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5AE297D8" w:rsidR="00AA23EC" w:rsidRDefault="00DD466D" w:rsidP="00DD466D">
      <w:pPr>
        <w:pStyle w:val="Heading1"/>
      </w:pPr>
      <w:r>
        <w:t>1.ИМЕ НА ЛЕКАРСТВЕНИЯ ПРОДУКТ</w:t>
      </w:r>
    </w:p>
    <w:p w14:paraId="41E81362" w14:textId="7F3C6F3D" w:rsidR="003F3402" w:rsidRDefault="003F3402" w:rsidP="003F3402"/>
    <w:p w14:paraId="70DA4073" w14:textId="77777777" w:rsidR="003F3402" w:rsidRPr="003F3402" w:rsidRDefault="003F3402" w:rsidP="003F3402">
      <w:pPr>
        <w:rPr>
          <w:sz w:val="24"/>
          <w:szCs w:val="24"/>
        </w:rPr>
      </w:pPr>
      <w:r w:rsidRPr="003F3402">
        <w:rPr>
          <w:lang w:eastAsia="bg-BG"/>
        </w:rPr>
        <w:t xml:space="preserve">Абизол 30 </w:t>
      </w:r>
      <w:r w:rsidRPr="003F3402">
        <w:rPr>
          <w:lang w:val="en-US"/>
        </w:rPr>
        <w:t>mg</w:t>
      </w:r>
      <w:r w:rsidRPr="000D09C1">
        <w:t xml:space="preserve"> </w:t>
      </w:r>
      <w:r w:rsidRPr="003F3402">
        <w:rPr>
          <w:lang w:eastAsia="bg-BG"/>
        </w:rPr>
        <w:t>таблетки</w:t>
      </w:r>
    </w:p>
    <w:p w14:paraId="4C8472CB" w14:textId="7FE75DA1" w:rsidR="003F3402" w:rsidRPr="003F3402" w:rsidRDefault="003F3402" w:rsidP="003F3402">
      <w:proofErr w:type="spellStart"/>
      <w:r w:rsidRPr="003F3402">
        <w:rPr>
          <w:lang w:val="en-US"/>
        </w:rPr>
        <w:t>Abizol</w:t>
      </w:r>
      <w:proofErr w:type="spellEnd"/>
      <w:r w:rsidRPr="000D09C1">
        <w:t xml:space="preserve"> </w:t>
      </w:r>
      <w:r w:rsidRPr="003F3402">
        <w:rPr>
          <w:lang w:eastAsia="bg-BG"/>
        </w:rPr>
        <w:t xml:space="preserve">30 </w:t>
      </w:r>
      <w:r w:rsidRPr="003F3402">
        <w:rPr>
          <w:lang w:val="en-US"/>
        </w:rPr>
        <w:t>mg</w:t>
      </w:r>
      <w:r w:rsidRPr="000D09C1">
        <w:t xml:space="preserve"> </w:t>
      </w:r>
      <w:r w:rsidRPr="003F3402">
        <w:rPr>
          <w:lang w:val="en-US"/>
        </w:rPr>
        <w:t>tablets</w:t>
      </w:r>
    </w:p>
    <w:p w14:paraId="0A368469" w14:textId="69FFF261" w:rsidR="00C0049F" w:rsidRDefault="00DD466D" w:rsidP="009F1313">
      <w:pPr>
        <w:pStyle w:val="Heading1"/>
      </w:pPr>
      <w:r>
        <w:t>2. КАЧЕСТВЕН И КОЛИЧЕСТВЕН СЪСТАВ</w:t>
      </w:r>
    </w:p>
    <w:p w14:paraId="1B026E0C" w14:textId="47449109" w:rsidR="003F3402" w:rsidRDefault="003F3402" w:rsidP="003F3402"/>
    <w:p w14:paraId="041DBC25"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Всяка таблетка съдържа 30 </w:t>
      </w:r>
      <w:r w:rsidRPr="003F3402">
        <w:rPr>
          <w:rFonts w:eastAsia="Times New Roman" w:cs="Arial"/>
          <w:color w:val="000000"/>
          <w:lang w:val="en-US"/>
        </w:rPr>
        <w:t>mg</w:t>
      </w:r>
      <w:r w:rsidRPr="003F3402">
        <w:rPr>
          <w:rFonts w:eastAsia="Times New Roman" w:cs="Arial"/>
          <w:color w:val="000000"/>
        </w:rPr>
        <w:t xml:space="preserve"> </w:t>
      </w:r>
      <w:r w:rsidRPr="003F3402">
        <w:rPr>
          <w:rFonts w:eastAsia="Times New Roman" w:cs="Arial"/>
          <w:color w:val="000000"/>
          <w:lang w:eastAsia="bg-BG"/>
        </w:rPr>
        <w:t xml:space="preserve">арипипразол </w:t>
      </w:r>
      <w:r w:rsidRPr="003F3402">
        <w:rPr>
          <w:rFonts w:eastAsia="Times New Roman" w:cs="Arial"/>
          <w:i/>
          <w:iCs/>
          <w:color w:val="000000"/>
        </w:rPr>
        <w:t>(</w:t>
      </w:r>
      <w:r w:rsidRPr="003F3402">
        <w:rPr>
          <w:rFonts w:eastAsia="Times New Roman" w:cs="Arial"/>
          <w:i/>
          <w:iCs/>
          <w:color w:val="000000"/>
          <w:lang w:val="en-US"/>
        </w:rPr>
        <w:t>aripiprazole</w:t>
      </w:r>
      <w:r w:rsidRPr="003F3402">
        <w:rPr>
          <w:rFonts w:eastAsia="Times New Roman" w:cs="Arial"/>
          <w:i/>
          <w:iCs/>
          <w:color w:val="000000"/>
        </w:rPr>
        <w:t>).</w:t>
      </w:r>
    </w:p>
    <w:p w14:paraId="26403EE5" w14:textId="77777777" w:rsidR="003F3402" w:rsidRPr="003F3402" w:rsidRDefault="003F3402" w:rsidP="003F3402">
      <w:pPr>
        <w:spacing w:line="240" w:lineRule="auto"/>
        <w:rPr>
          <w:rFonts w:eastAsia="Times New Roman" w:cs="Arial"/>
          <w:color w:val="000000"/>
          <w:u w:val="single"/>
          <w:lang w:eastAsia="bg-BG"/>
        </w:rPr>
      </w:pPr>
    </w:p>
    <w:p w14:paraId="03C7987C" w14:textId="532DFC98"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Помощни вещества с известно действие</w:t>
      </w:r>
      <w:r w:rsidRPr="003F3402">
        <w:rPr>
          <w:rFonts w:eastAsia="Times New Roman" w:cs="Arial"/>
          <w:color w:val="000000"/>
          <w:lang w:eastAsia="bg-BG"/>
        </w:rPr>
        <w:t>:</w:t>
      </w:r>
    </w:p>
    <w:p w14:paraId="1B3173A3"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Всяка таблетка от 30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съдържа 221,85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манитол като помощно вещество и червен железен оксид (Е 172) като оцветител.</w:t>
      </w:r>
    </w:p>
    <w:p w14:paraId="2C7CD578" w14:textId="77777777" w:rsidR="003F3402" w:rsidRPr="003F3402" w:rsidRDefault="003F3402" w:rsidP="003F3402"/>
    <w:p w14:paraId="614984C4" w14:textId="5E725626" w:rsidR="008A6AF2" w:rsidRDefault="00DD466D" w:rsidP="002C50EE">
      <w:pPr>
        <w:pStyle w:val="Heading1"/>
      </w:pPr>
      <w:r>
        <w:t>3. ЛЕКАРСТВЕНА ФОРМА</w:t>
      </w:r>
    </w:p>
    <w:p w14:paraId="635FD974" w14:textId="6F261553" w:rsidR="003F3402" w:rsidRDefault="003F3402" w:rsidP="003F3402"/>
    <w:p w14:paraId="71A18C4D" w14:textId="77777777" w:rsidR="003F3402" w:rsidRPr="003F3402" w:rsidRDefault="003F3402" w:rsidP="003F3402">
      <w:pPr>
        <w:rPr>
          <w:sz w:val="24"/>
          <w:szCs w:val="24"/>
        </w:rPr>
      </w:pPr>
      <w:r w:rsidRPr="003F3402">
        <w:rPr>
          <w:lang w:eastAsia="bg-BG"/>
        </w:rPr>
        <w:t>Таблетка</w:t>
      </w:r>
    </w:p>
    <w:p w14:paraId="5D90547E" w14:textId="77777777" w:rsidR="003F3402" w:rsidRPr="003F3402" w:rsidRDefault="003F3402" w:rsidP="003F3402">
      <w:pPr>
        <w:rPr>
          <w:sz w:val="24"/>
          <w:szCs w:val="24"/>
        </w:rPr>
      </w:pPr>
      <w:r w:rsidRPr="003F3402">
        <w:rPr>
          <w:lang w:eastAsia="bg-BG"/>
        </w:rPr>
        <w:t>Таблетките са кръгли, розови, с релефно обозначение „30“ от едната страна на таблетката.</w:t>
      </w:r>
    </w:p>
    <w:p w14:paraId="230CF75B" w14:textId="77777777" w:rsidR="003F3402" w:rsidRPr="003F3402" w:rsidRDefault="003F3402" w:rsidP="003F3402"/>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05063C9F" w:rsidR="00395555" w:rsidRDefault="00395555" w:rsidP="00395555"/>
    <w:p w14:paraId="2FAB0221"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Абизол е показан за лечение на шизофрения при възрастни и юноши на възраст над 15 години.</w:t>
      </w:r>
    </w:p>
    <w:p w14:paraId="42DADF59" w14:textId="77777777" w:rsidR="003F3402" w:rsidRPr="003F3402" w:rsidRDefault="003F3402" w:rsidP="003F3402">
      <w:pPr>
        <w:spacing w:line="240" w:lineRule="auto"/>
        <w:rPr>
          <w:rFonts w:eastAsia="Times New Roman" w:cs="Arial"/>
          <w:color w:val="000000"/>
          <w:lang w:eastAsia="bg-BG"/>
        </w:rPr>
      </w:pPr>
    </w:p>
    <w:p w14:paraId="4E7D75DE" w14:textId="3653AB2E" w:rsidR="003F3402" w:rsidRPr="003F3402" w:rsidRDefault="003F3402" w:rsidP="003F3402">
      <w:pPr>
        <w:spacing w:line="240" w:lineRule="auto"/>
        <w:rPr>
          <w:rFonts w:eastAsia="Times New Roman" w:cs="Arial"/>
        </w:rPr>
      </w:pPr>
      <w:r w:rsidRPr="003F3402">
        <w:rPr>
          <w:rFonts w:eastAsia="Times New Roman" w:cs="Arial"/>
          <w:color w:val="000000"/>
          <w:lang w:eastAsia="bg-BG"/>
        </w:rPr>
        <w:t>Абизол е показан за лечение на умерени до тежки манийни епизоди при биполярно афективно разстройство и за предотвратяване на нови манийни епизоди при пациенти, които страдат предимно от манийни епизоди, и чиито манийни епизоди се повлияват от лечение с арипипразол (вж. точка 5.1).</w:t>
      </w:r>
    </w:p>
    <w:p w14:paraId="6E6BBD8D" w14:textId="77777777" w:rsidR="003F3402" w:rsidRPr="003F3402" w:rsidRDefault="003F3402" w:rsidP="003F3402">
      <w:pPr>
        <w:spacing w:line="240" w:lineRule="auto"/>
        <w:rPr>
          <w:rFonts w:eastAsia="Times New Roman" w:cs="Arial"/>
          <w:color w:val="000000"/>
          <w:lang w:eastAsia="bg-BG"/>
        </w:rPr>
      </w:pPr>
    </w:p>
    <w:p w14:paraId="3E1FA33C" w14:textId="5EC6099D" w:rsidR="003F3402" w:rsidRPr="003F3402" w:rsidRDefault="003F3402" w:rsidP="003F3402">
      <w:pPr>
        <w:spacing w:line="240" w:lineRule="auto"/>
        <w:rPr>
          <w:rFonts w:eastAsia="Times New Roman" w:cs="Arial"/>
        </w:rPr>
      </w:pPr>
      <w:r w:rsidRPr="003F3402">
        <w:rPr>
          <w:rFonts w:eastAsia="Times New Roman" w:cs="Arial"/>
          <w:color w:val="000000"/>
          <w:lang w:eastAsia="bg-BG"/>
        </w:rPr>
        <w:t>Абизол е показан за лечение до 12 седмици на умерени до тежки манийни епизоди при биполярно афективно разстройство тип I при юноши на и над 13 години (вж. точка 5.1).</w:t>
      </w:r>
    </w:p>
    <w:p w14:paraId="5B5040E1" w14:textId="77777777" w:rsidR="003F3402" w:rsidRPr="00395555" w:rsidRDefault="003F3402" w:rsidP="00395555"/>
    <w:p w14:paraId="7C0CA5EB" w14:textId="453B1320" w:rsidR="00C0049F" w:rsidRDefault="002C50EE" w:rsidP="009F1313">
      <w:pPr>
        <w:pStyle w:val="Heading2"/>
      </w:pPr>
      <w:r>
        <w:t>4.2. Дозировка и начин на приложение</w:t>
      </w:r>
    </w:p>
    <w:p w14:paraId="06599D40" w14:textId="36F265EF" w:rsidR="003F3402" w:rsidRDefault="003F3402" w:rsidP="003F3402"/>
    <w:p w14:paraId="7368BD7F" w14:textId="77777777" w:rsidR="003F3402" w:rsidRPr="003F3402" w:rsidRDefault="003F3402" w:rsidP="003F3402">
      <w:pPr>
        <w:pStyle w:val="Heading3"/>
        <w:rPr>
          <w:rFonts w:eastAsia="Times New Roman"/>
          <w:u w:val="single"/>
        </w:rPr>
      </w:pPr>
      <w:r w:rsidRPr="003F3402">
        <w:rPr>
          <w:rFonts w:eastAsia="Times New Roman"/>
          <w:u w:val="single"/>
          <w:lang w:eastAsia="bg-BG"/>
        </w:rPr>
        <w:t>Дозировка</w:t>
      </w:r>
    </w:p>
    <w:p w14:paraId="64075919" w14:textId="77777777" w:rsidR="003F3402" w:rsidRPr="003F3402" w:rsidRDefault="003F3402" w:rsidP="003F3402">
      <w:pPr>
        <w:spacing w:line="240" w:lineRule="auto"/>
        <w:rPr>
          <w:rFonts w:eastAsia="Times New Roman" w:cs="Arial"/>
          <w:i/>
          <w:iCs/>
          <w:color w:val="000000"/>
          <w:lang w:eastAsia="bg-BG"/>
        </w:rPr>
      </w:pPr>
    </w:p>
    <w:p w14:paraId="143A9578" w14:textId="40E67445"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Възрастни:</w:t>
      </w:r>
    </w:p>
    <w:p w14:paraId="2684D877" w14:textId="77777777"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Шизофрения:</w:t>
      </w:r>
    </w:p>
    <w:p w14:paraId="517105BA"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Препоръчваната начална дневна доза Абизол е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или 15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с поддържаща дневна доза 15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приемана веднъж дневно, независимо от храненето.</w:t>
      </w:r>
    </w:p>
    <w:p w14:paraId="49C4A8E8" w14:textId="77777777" w:rsidR="003F3402" w:rsidRPr="003F3402" w:rsidRDefault="003F3402" w:rsidP="003F3402">
      <w:pPr>
        <w:spacing w:line="240" w:lineRule="auto"/>
        <w:rPr>
          <w:rFonts w:eastAsia="Times New Roman" w:cs="Arial"/>
          <w:color w:val="000000"/>
          <w:lang w:eastAsia="bg-BG"/>
        </w:rPr>
      </w:pPr>
    </w:p>
    <w:p w14:paraId="77F588C2" w14:textId="08F212B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Абизол е ефективен при дози от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до 30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дневно. Не е наблюдавана повишена ефективност при дози по-високи от препоръчваната дневна доза от 15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въпреки, че при отделни пациенти по-високи дози може да бъдат от полза. Максималната дневна доза не трябва да надвишава 30 </w:t>
      </w:r>
      <w:r w:rsidRPr="003F3402">
        <w:rPr>
          <w:rFonts w:eastAsia="Times New Roman" w:cs="Arial"/>
          <w:color w:val="000000"/>
          <w:lang w:val="en-US"/>
        </w:rPr>
        <w:t>mg</w:t>
      </w:r>
      <w:r w:rsidRPr="003F3402">
        <w:rPr>
          <w:rFonts w:eastAsia="Times New Roman" w:cs="Arial"/>
          <w:color w:val="000000"/>
          <w:lang w:val="ru-RU"/>
        </w:rPr>
        <w:t>.</w:t>
      </w:r>
    </w:p>
    <w:p w14:paraId="01A914C6" w14:textId="77777777" w:rsidR="003F3402" w:rsidRPr="003F3402" w:rsidRDefault="003F3402" w:rsidP="003F3402">
      <w:pPr>
        <w:spacing w:line="240" w:lineRule="auto"/>
        <w:rPr>
          <w:rFonts w:eastAsia="Times New Roman" w:cs="Arial"/>
          <w:i/>
          <w:iCs/>
          <w:color w:val="000000"/>
          <w:lang w:eastAsia="bg-BG"/>
        </w:rPr>
      </w:pPr>
    </w:p>
    <w:p w14:paraId="218C72AA" w14:textId="1890AF7D"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Манийни епизоди при биполярно афективно разстройство тип I:</w:t>
      </w:r>
    </w:p>
    <w:p w14:paraId="2417A4B9"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Препоръчваната начална доза Абизол е 15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приложена веднъж дневно, независимо от храненето като монотерапия или комбинирана терапия (вж. точка 5.1). При някои пациенти по-високи дози може да бъдат от полза. Максималната дневна доза не трябва да надвишава 30 </w:t>
      </w:r>
      <w:r w:rsidRPr="003F3402">
        <w:rPr>
          <w:rFonts w:eastAsia="Times New Roman" w:cs="Arial"/>
          <w:color w:val="000000"/>
          <w:lang w:val="en-US"/>
        </w:rPr>
        <w:t>mg</w:t>
      </w:r>
      <w:r w:rsidRPr="003F3402">
        <w:rPr>
          <w:rFonts w:eastAsia="Times New Roman" w:cs="Arial"/>
          <w:color w:val="000000"/>
          <w:lang w:val="ru-RU"/>
        </w:rPr>
        <w:t>.</w:t>
      </w:r>
    </w:p>
    <w:p w14:paraId="4E98DB8D" w14:textId="77777777" w:rsidR="003F3402" w:rsidRPr="003F3402" w:rsidRDefault="003F3402" w:rsidP="003F3402">
      <w:pPr>
        <w:spacing w:line="240" w:lineRule="auto"/>
        <w:rPr>
          <w:rFonts w:eastAsia="Times New Roman" w:cs="Arial"/>
          <w:i/>
          <w:iCs/>
          <w:color w:val="000000"/>
          <w:lang w:eastAsia="bg-BG"/>
        </w:rPr>
      </w:pPr>
    </w:p>
    <w:p w14:paraId="3A171331" w14:textId="4E8E928C"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Предотвратяване на рецидиви на манийни епизоди при биполярно афективно разстройство:</w:t>
      </w:r>
    </w:p>
    <w:p w14:paraId="4F5C77EC" w14:textId="77777777" w:rsidR="003F3402" w:rsidRPr="003F3402" w:rsidRDefault="003F3402" w:rsidP="003F3402">
      <w:pPr>
        <w:rPr>
          <w:rFonts w:eastAsia="Times New Roman" w:cs="Arial"/>
        </w:rPr>
      </w:pPr>
      <w:r w:rsidRPr="003F3402">
        <w:rPr>
          <w:rFonts w:eastAsia="Times New Roman" w:cs="Arial"/>
          <w:color w:val="000000"/>
          <w:lang w:eastAsia="bg-BG"/>
        </w:rPr>
        <w:t>За предотвратяване на нови манийни епизоди при пациенти, които са приемали арипипразол като монотерапия или комбинирана терапия, лечението продължава в същата доза. Промени в дневната</w:t>
      </w:r>
      <w:r w:rsidRPr="003F3402">
        <w:rPr>
          <w:rFonts w:eastAsia="Times New Roman" w:cs="Arial"/>
          <w:color w:val="000000"/>
          <w:lang w:val="ru-RU" w:eastAsia="bg-BG"/>
        </w:rPr>
        <w:t xml:space="preserve"> </w:t>
      </w:r>
      <w:r w:rsidRPr="003F3402">
        <w:rPr>
          <w:rFonts w:eastAsia="Times New Roman" w:cs="Arial"/>
          <w:color w:val="000000"/>
          <w:lang w:eastAsia="bg-BG"/>
        </w:rPr>
        <w:t>дозировка, включително намаляване на дозата, трябва да се обмислят в зависимост от клиничното състояние.</w:t>
      </w:r>
    </w:p>
    <w:p w14:paraId="553130FD" w14:textId="77777777" w:rsidR="003F3402" w:rsidRPr="003F3402" w:rsidRDefault="003F3402" w:rsidP="003F3402">
      <w:pPr>
        <w:spacing w:line="240" w:lineRule="auto"/>
        <w:rPr>
          <w:rFonts w:eastAsia="Times New Roman" w:cs="Arial"/>
          <w:i/>
          <w:iCs/>
          <w:color w:val="000000"/>
          <w:lang w:eastAsia="bg-BG"/>
        </w:rPr>
      </w:pPr>
    </w:p>
    <w:p w14:paraId="29718B27" w14:textId="226343EA"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Педиатрична популация:</w:t>
      </w:r>
    </w:p>
    <w:p w14:paraId="03F418A9" w14:textId="77777777"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Шизофрения при юноши на и над 15 години и възрастни:</w:t>
      </w:r>
    </w:p>
    <w:p w14:paraId="4662B56E"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Препоръчваната доза Абизол е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дневно, приложена веднъж дневно, независимо от храненето. Лечението трябва да бъде започнато с доза от 2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(с арипипразол перорален разтвор) в продължение на два дни, титрирана до 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за още два дни до достигане на препоръчителната дневна доза от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При необходимост, последващо повишаване на дозите трябва да се направи със стъпки от 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без да се надвишава максималната дневна доза от 3 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(вж. точка 5.1).</w:t>
      </w:r>
    </w:p>
    <w:p w14:paraId="092263DB" w14:textId="77777777" w:rsidR="003F3402" w:rsidRPr="003F3402" w:rsidRDefault="003F3402" w:rsidP="003F3402">
      <w:pPr>
        <w:spacing w:line="240" w:lineRule="auto"/>
        <w:rPr>
          <w:rFonts w:eastAsia="Times New Roman" w:cs="Arial"/>
          <w:color w:val="000000"/>
          <w:lang w:eastAsia="bg-BG"/>
        </w:rPr>
      </w:pPr>
    </w:p>
    <w:p w14:paraId="53D712FA" w14:textId="5B31309A"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Абизол е ефикасен при дози от 10 до 30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дневно. При юноши не е наблюдавана повишена ефикасност при дневни дози по-високи от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въпреки че някои пациенти може да се повлияят благоприятно от по-високите дози.</w:t>
      </w:r>
    </w:p>
    <w:p w14:paraId="2B4C15D6" w14:textId="77777777" w:rsidR="003F3402" w:rsidRPr="003F3402" w:rsidRDefault="003F3402" w:rsidP="003F3402">
      <w:pPr>
        <w:spacing w:line="240" w:lineRule="auto"/>
        <w:rPr>
          <w:rFonts w:eastAsia="Times New Roman" w:cs="Arial"/>
          <w:color w:val="000000"/>
          <w:lang w:eastAsia="bg-BG"/>
        </w:rPr>
      </w:pPr>
    </w:p>
    <w:p w14:paraId="7CFFEEBD" w14:textId="075D8F38" w:rsidR="003F3402" w:rsidRPr="003F3402" w:rsidRDefault="003F3402" w:rsidP="003F3402">
      <w:pPr>
        <w:spacing w:line="240" w:lineRule="auto"/>
        <w:rPr>
          <w:rFonts w:eastAsia="Times New Roman" w:cs="Arial"/>
        </w:rPr>
      </w:pPr>
      <w:r w:rsidRPr="003F3402">
        <w:rPr>
          <w:rFonts w:eastAsia="Times New Roman" w:cs="Arial"/>
          <w:color w:val="000000"/>
          <w:lang w:eastAsia="bg-BG"/>
        </w:rPr>
        <w:t>Абизол не се препоръчва за пациенти с шизофрения на възраст под 15 години, поради отсъствие на данни за безопасност и ефикасност (вж. точки 4.8 и 5.1).</w:t>
      </w:r>
    </w:p>
    <w:p w14:paraId="77A2E3AE" w14:textId="77777777" w:rsidR="003F3402" w:rsidRPr="003F3402" w:rsidRDefault="003F3402" w:rsidP="003F3402">
      <w:pPr>
        <w:spacing w:line="240" w:lineRule="auto"/>
        <w:rPr>
          <w:rFonts w:eastAsia="Times New Roman" w:cs="Arial"/>
          <w:i/>
          <w:iCs/>
          <w:color w:val="000000"/>
          <w:lang w:eastAsia="bg-BG"/>
        </w:rPr>
      </w:pPr>
    </w:p>
    <w:p w14:paraId="0176B469" w14:textId="20EE78F4"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 xml:space="preserve">Манийни епизоди при биполярно афективно разстройство тип I при юноши на и над 13 години: </w:t>
      </w:r>
      <w:r w:rsidRPr="003F3402">
        <w:rPr>
          <w:rFonts w:eastAsia="Times New Roman" w:cs="Arial"/>
          <w:color w:val="000000"/>
          <w:lang w:eastAsia="bg-BG"/>
        </w:rPr>
        <w:t xml:space="preserve">Препоръчителната доза Абизол е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приета веднъж дневно, независимо от храненето. Лечението трябва да започне с 2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(арипипразол перорален разтвор) за 2 дни, титрира се до 5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за още 2 дни, за да се достигне препоръчителната дневна доза от 10 </w:t>
      </w:r>
      <w:r w:rsidRPr="003F3402">
        <w:rPr>
          <w:rFonts w:eastAsia="Times New Roman" w:cs="Arial"/>
          <w:color w:val="000000"/>
          <w:lang w:val="en-US"/>
        </w:rPr>
        <w:t>mg</w:t>
      </w:r>
      <w:r w:rsidRPr="003F3402">
        <w:rPr>
          <w:rFonts w:eastAsia="Times New Roman" w:cs="Arial"/>
          <w:color w:val="000000"/>
          <w:lang w:val="ru-RU"/>
        </w:rPr>
        <w:t>.</w:t>
      </w:r>
    </w:p>
    <w:p w14:paraId="535F4D76" w14:textId="77777777" w:rsidR="003F3402" w:rsidRPr="003F3402" w:rsidRDefault="003F3402" w:rsidP="003F3402">
      <w:pPr>
        <w:spacing w:line="240" w:lineRule="auto"/>
        <w:rPr>
          <w:rFonts w:eastAsia="Times New Roman" w:cs="Arial"/>
          <w:color w:val="000000"/>
          <w:lang w:eastAsia="bg-BG"/>
        </w:rPr>
      </w:pPr>
    </w:p>
    <w:p w14:paraId="41F3DB6A" w14:textId="3F058F82"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Продължителността на лечението трябва да е минималната необходима за контрол на симптомите без да надвишава 12 седмици. Не е наблюдавано повишаване на ефикасността при дози по-високи от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дневно, а дневна доза от 30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се свързва със съществено по-висока честота на нежеланите лекарствени реакции, включително екстрапирамидни събития, сомнолентност, отпадналост и увеличение на теглото (вж. точка 4.8). По тази причина, дози по-високи от 10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дневно трябва да се прилагат в изключителни случаи и при стриктно клинично наблюдение (вж. точки 4.4,4.8. и 5.1).</w:t>
      </w:r>
    </w:p>
    <w:p w14:paraId="41557759" w14:textId="77777777" w:rsidR="003F3402" w:rsidRPr="003F3402" w:rsidRDefault="003F3402" w:rsidP="003F3402">
      <w:pPr>
        <w:spacing w:line="240" w:lineRule="auto"/>
        <w:rPr>
          <w:rFonts w:eastAsia="Times New Roman" w:cs="Arial"/>
          <w:color w:val="000000"/>
          <w:lang w:eastAsia="bg-BG"/>
        </w:rPr>
      </w:pPr>
    </w:p>
    <w:p w14:paraId="43353EFC" w14:textId="0A2B7C8A" w:rsidR="003F3402" w:rsidRPr="003F3402" w:rsidRDefault="003F3402" w:rsidP="003F3402">
      <w:pPr>
        <w:spacing w:line="240" w:lineRule="auto"/>
        <w:rPr>
          <w:rFonts w:eastAsia="Times New Roman" w:cs="Arial"/>
        </w:rPr>
      </w:pPr>
      <w:r w:rsidRPr="003F3402">
        <w:rPr>
          <w:rFonts w:eastAsia="Times New Roman" w:cs="Arial"/>
          <w:color w:val="000000"/>
          <w:lang w:eastAsia="bg-BG"/>
        </w:rPr>
        <w:lastRenderedPageBreak/>
        <w:t>Съществува повишен риск от нежелани лекарствени реакции свързани с арипипразол за по-младите пациенти. По тази причина Абизол не трябва да се използва при пациенти под 13 години (вж. точки 4.8 и 5.1).</w:t>
      </w:r>
    </w:p>
    <w:p w14:paraId="06F98E26" w14:textId="77777777" w:rsidR="003F3402" w:rsidRPr="003F3402" w:rsidRDefault="003F3402" w:rsidP="003F3402">
      <w:pPr>
        <w:spacing w:line="240" w:lineRule="auto"/>
        <w:rPr>
          <w:rFonts w:eastAsia="Times New Roman" w:cs="Arial"/>
          <w:i/>
          <w:iCs/>
          <w:color w:val="000000"/>
          <w:lang w:eastAsia="bg-BG"/>
        </w:rPr>
      </w:pPr>
    </w:p>
    <w:p w14:paraId="6CBE27CE" w14:textId="06D07A89"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Раздразнителност, свързана с аутизъм:</w:t>
      </w:r>
    </w:p>
    <w:p w14:paraId="5609F701"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Безопасността и ефикасността на Абизол при деца и юноши на възраст до 18 години все още не е установена. Наличните до момента данни са описани в точка 5.1, но не може да бъде направена препоръка по отношение на дозировката.</w:t>
      </w:r>
    </w:p>
    <w:p w14:paraId="5559ED07" w14:textId="77777777" w:rsidR="003F3402" w:rsidRPr="003F3402" w:rsidRDefault="003F3402" w:rsidP="003F3402">
      <w:pPr>
        <w:spacing w:line="240" w:lineRule="auto"/>
        <w:rPr>
          <w:rFonts w:eastAsia="Times New Roman" w:cs="Arial"/>
          <w:i/>
          <w:iCs/>
          <w:color w:val="000000"/>
          <w:lang w:eastAsia="bg-BG"/>
        </w:rPr>
      </w:pPr>
    </w:p>
    <w:p w14:paraId="5755D43A" w14:textId="2ECEFA02"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Пациенти с чернодробно увреждане:</w:t>
      </w:r>
    </w:p>
    <w:p w14:paraId="12BBA05F"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Не се налага корекция на дозата при пациенти с леко до умерено тежко чернодробно нарушение. Няма достатъчно данни, за да бъдат направени препоръки относно режима на дозиране при пациенти с тежко увреждане на черния дроб. При тези пациенти е необходимо внимателно определяне на дозата. Въпреки това, при пациентите с тежко чернодробно увреждане, максималната дневна доза от 30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трябва да се прилага с повишено внимание (вж. точка 5.2).</w:t>
      </w:r>
    </w:p>
    <w:p w14:paraId="38CF108F" w14:textId="77777777" w:rsidR="003F3402" w:rsidRPr="003F3402" w:rsidRDefault="003F3402" w:rsidP="003F3402">
      <w:pPr>
        <w:spacing w:line="240" w:lineRule="auto"/>
        <w:rPr>
          <w:rFonts w:eastAsia="Times New Roman" w:cs="Arial"/>
          <w:i/>
          <w:iCs/>
          <w:color w:val="000000"/>
          <w:lang w:eastAsia="bg-BG"/>
        </w:rPr>
      </w:pPr>
    </w:p>
    <w:p w14:paraId="4304142F" w14:textId="75E6F843"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Пациенти с бъбречно увреждане:</w:t>
      </w:r>
    </w:p>
    <w:p w14:paraId="0E872758"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Не се налага корекция на дозата при пациенти с бъбречно увреждане.</w:t>
      </w:r>
    </w:p>
    <w:p w14:paraId="77ABE51E" w14:textId="77777777" w:rsidR="003F3402" w:rsidRPr="003F3402" w:rsidRDefault="003F3402" w:rsidP="003F3402">
      <w:pPr>
        <w:spacing w:line="240" w:lineRule="auto"/>
        <w:rPr>
          <w:rFonts w:eastAsia="Times New Roman" w:cs="Arial"/>
          <w:i/>
          <w:iCs/>
          <w:color w:val="000000"/>
          <w:lang w:eastAsia="bg-BG"/>
        </w:rPr>
      </w:pPr>
    </w:p>
    <w:p w14:paraId="71FD0D65" w14:textId="7ABB1F47"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Пациенти в старческа възраст:</w:t>
      </w:r>
    </w:p>
    <w:p w14:paraId="13F7BEE6"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Не е установена ефективността на арипипразол за лечение на шизофрения и биполярно афективно разстройство при пациенти на възраст на и над 65 годишна възраст. В резултат на по-голяма чувствителност на тази популация, започването на лечение с по-ниски дози трябва да се има предвид в случаите, когато това е клинично оправдано (вж. точка 4.4).</w:t>
      </w:r>
    </w:p>
    <w:p w14:paraId="0C3D58D2" w14:textId="1881B9B2" w:rsidR="003F3402" w:rsidRPr="003F3402" w:rsidRDefault="003F3402" w:rsidP="003F3402">
      <w:pPr>
        <w:rPr>
          <w:rFonts w:cs="Arial"/>
        </w:rPr>
      </w:pPr>
    </w:p>
    <w:p w14:paraId="20B46A1D" w14:textId="77777777"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Пол:</w:t>
      </w:r>
    </w:p>
    <w:p w14:paraId="4457AF47"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Не се налага корекция на дозата при пациенти от женски пол в сравнение с тези от мъжки пол (вж. точка 5.2).</w:t>
      </w:r>
    </w:p>
    <w:p w14:paraId="20B752E4" w14:textId="77777777" w:rsidR="003F3402" w:rsidRPr="003F3402" w:rsidRDefault="003F3402" w:rsidP="003F3402">
      <w:pPr>
        <w:spacing w:line="240" w:lineRule="auto"/>
        <w:rPr>
          <w:rFonts w:eastAsia="Times New Roman" w:cs="Arial"/>
          <w:i/>
          <w:iCs/>
          <w:color w:val="000000"/>
          <w:lang w:eastAsia="bg-BG"/>
        </w:rPr>
      </w:pPr>
    </w:p>
    <w:p w14:paraId="72EC2157" w14:textId="2CD5CA1C"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Пушене:</w:t>
      </w:r>
    </w:p>
    <w:p w14:paraId="67C7EBAE"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Имайки предвид метаболитния път на арипипразол, не се налага корекция на дозата при пушачи (вж. точка 4.5).</w:t>
      </w:r>
    </w:p>
    <w:p w14:paraId="25BD67D0" w14:textId="77777777" w:rsidR="003F3402" w:rsidRPr="003F3402" w:rsidRDefault="003F3402" w:rsidP="003F3402">
      <w:pPr>
        <w:spacing w:line="240" w:lineRule="auto"/>
        <w:rPr>
          <w:rFonts w:eastAsia="Times New Roman" w:cs="Arial"/>
          <w:i/>
          <w:iCs/>
          <w:color w:val="000000"/>
          <w:lang w:eastAsia="bg-BG"/>
        </w:rPr>
      </w:pPr>
    </w:p>
    <w:p w14:paraId="7BA973C2" w14:textId="33F3A994"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Адаптиране на дозата, поради взаимодействия:</w:t>
      </w:r>
    </w:p>
    <w:p w14:paraId="2ECADBDA"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В случай на едновременна употреба на арипипразол с мощни инхибитори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или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 xml:space="preserve">дозата на арипипразол трябва да се редуцира. При спиране на лечението с инхибитори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или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(изваждането им от комбинираното лечение), дозата на арипипразол трябва да се повиши (вж. точка 4.5).</w:t>
      </w:r>
    </w:p>
    <w:p w14:paraId="4DC7C892" w14:textId="77777777" w:rsidR="003F3402" w:rsidRPr="003F3402" w:rsidRDefault="003F3402" w:rsidP="003F3402">
      <w:pPr>
        <w:spacing w:line="240" w:lineRule="auto"/>
        <w:rPr>
          <w:rFonts w:eastAsia="Times New Roman" w:cs="Arial"/>
          <w:color w:val="000000"/>
          <w:lang w:eastAsia="bg-BG"/>
        </w:rPr>
      </w:pPr>
    </w:p>
    <w:p w14:paraId="37611622" w14:textId="6E445041"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При едновременното приложение на арипипразол с мощни индуктори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дозата на арипипразол трябва да се повиши. При спиране на лечението с индуктори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(изваждането им от комбинираното лечение), дозата на арипипразол трябва да се понижи до обичайната препоръчвана доза (вж. точка 4.5).</w:t>
      </w:r>
    </w:p>
    <w:p w14:paraId="67595E7E" w14:textId="77777777" w:rsidR="003F3402" w:rsidRPr="003F3402" w:rsidRDefault="003F3402" w:rsidP="003F3402">
      <w:pPr>
        <w:spacing w:line="240" w:lineRule="auto"/>
        <w:rPr>
          <w:rFonts w:eastAsia="Times New Roman" w:cs="Arial"/>
          <w:color w:val="000000"/>
          <w:u w:val="single"/>
          <w:lang w:eastAsia="bg-BG"/>
        </w:rPr>
      </w:pPr>
    </w:p>
    <w:p w14:paraId="229AEB53" w14:textId="046665BB" w:rsidR="003F3402" w:rsidRPr="003F3402" w:rsidRDefault="003F3402" w:rsidP="003F3402">
      <w:pPr>
        <w:pStyle w:val="Heading3"/>
        <w:rPr>
          <w:rFonts w:eastAsia="Times New Roman"/>
          <w:u w:val="single"/>
        </w:rPr>
      </w:pPr>
      <w:r w:rsidRPr="003F3402">
        <w:rPr>
          <w:rFonts w:eastAsia="Times New Roman"/>
          <w:u w:val="single"/>
          <w:lang w:eastAsia="bg-BG"/>
        </w:rPr>
        <w:t>Начин на приложение</w:t>
      </w:r>
    </w:p>
    <w:p w14:paraId="7233D9B2" w14:textId="77777777" w:rsidR="003F3402" w:rsidRPr="003F3402" w:rsidRDefault="003F3402" w:rsidP="003F3402">
      <w:pPr>
        <w:rPr>
          <w:rFonts w:eastAsia="Times New Roman" w:cs="Arial"/>
          <w:color w:val="000000"/>
          <w:lang w:eastAsia="bg-BG"/>
        </w:rPr>
      </w:pPr>
    </w:p>
    <w:p w14:paraId="43BD96A3" w14:textId="6A8B0460" w:rsidR="003F3402" w:rsidRPr="003F3402" w:rsidRDefault="003F3402" w:rsidP="003F3402">
      <w:pPr>
        <w:rPr>
          <w:rFonts w:eastAsia="Times New Roman" w:cs="Arial"/>
          <w:color w:val="000000"/>
          <w:lang w:eastAsia="bg-BG"/>
        </w:rPr>
      </w:pPr>
      <w:r w:rsidRPr="003F3402">
        <w:rPr>
          <w:rFonts w:eastAsia="Times New Roman" w:cs="Arial"/>
          <w:color w:val="000000"/>
          <w:lang w:eastAsia="bg-BG"/>
        </w:rPr>
        <w:t>За перорално приложение.</w:t>
      </w:r>
    </w:p>
    <w:p w14:paraId="57AA9CA8" w14:textId="4748CDFF" w:rsidR="003F3402" w:rsidRPr="003F3402" w:rsidRDefault="003F3402" w:rsidP="003F3402"/>
    <w:p w14:paraId="62B13D0B" w14:textId="562C3873" w:rsidR="00395555" w:rsidRDefault="002C50EE" w:rsidP="008A6AF2">
      <w:pPr>
        <w:pStyle w:val="Heading2"/>
      </w:pPr>
      <w:r>
        <w:lastRenderedPageBreak/>
        <w:t>4.3. Противопоказания</w:t>
      </w:r>
    </w:p>
    <w:p w14:paraId="797E65F8" w14:textId="011AE544" w:rsidR="003F3402" w:rsidRDefault="003F3402" w:rsidP="003F3402"/>
    <w:p w14:paraId="7FDA1314" w14:textId="4F1377DE" w:rsidR="003F3402" w:rsidRDefault="003F3402" w:rsidP="003F3402">
      <w:r>
        <w:t>Свръхчувствителност към активното вещество или към някое от помощните вещества, изброени в точка 6.1.</w:t>
      </w:r>
    </w:p>
    <w:p w14:paraId="38EA5D62" w14:textId="77777777" w:rsidR="003F3402" w:rsidRPr="003F3402" w:rsidRDefault="003F3402" w:rsidP="003F3402"/>
    <w:p w14:paraId="5A4AC413" w14:textId="120D5B5C" w:rsidR="00395555" w:rsidRDefault="002C50EE" w:rsidP="008A6AF2">
      <w:pPr>
        <w:pStyle w:val="Heading2"/>
      </w:pPr>
      <w:r>
        <w:t>4.4. Специални предупреждения и предпазни мерки при употреба</w:t>
      </w:r>
    </w:p>
    <w:p w14:paraId="25769B56" w14:textId="5231ED96" w:rsidR="003F3402" w:rsidRDefault="003F3402" w:rsidP="003F3402"/>
    <w:p w14:paraId="48A28A3A"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По време на антипсихотичното лечение, подобряването на клиничното състояние на пациента може да отнеме от няколко дни до няколко седмици. През този период пациентите трябва да бъдат под постоянно наблюдение.</w:t>
      </w:r>
    </w:p>
    <w:p w14:paraId="72526E97" w14:textId="77777777" w:rsidR="003F3402" w:rsidRPr="003F3402" w:rsidRDefault="003F3402" w:rsidP="003F3402">
      <w:pPr>
        <w:spacing w:line="240" w:lineRule="auto"/>
        <w:rPr>
          <w:rFonts w:eastAsia="Times New Roman" w:cs="Arial"/>
          <w:color w:val="000000"/>
          <w:lang w:eastAsia="bg-BG"/>
        </w:rPr>
      </w:pPr>
    </w:p>
    <w:p w14:paraId="1E9DA02D" w14:textId="0AFBA0BF" w:rsidR="003F3402" w:rsidRPr="003F3402" w:rsidRDefault="003F3402" w:rsidP="003F3402">
      <w:pPr>
        <w:spacing w:line="240" w:lineRule="auto"/>
        <w:rPr>
          <w:rFonts w:eastAsia="Times New Roman" w:cs="Arial"/>
        </w:rPr>
      </w:pPr>
      <w:r w:rsidRPr="003F3402">
        <w:rPr>
          <w:rFonts w:eastAsia="Times New Roman" w:cs="Arial"/>
          <w:color w:val="000000"/>
          <w:lang w:eastAsia="bg-BG"/>
        </w:rPr>
        <w:t>Възникването на суицидно поведение е присъщо за психическите заболявания и афективните разстройства и в някои случаи за него се съобщава скоро след започване или след смяна на терапията с антипсихотици, включително и с арипипразол (вж. точка 4.8). Терапията с антипсихотици трябва да се съпътства с наблюдение на високорисковите пациенти. Резултати от епидемиологично проучване сред пациенти с шизофрения или биполярно афективно разстройство предполагат, че няма повишен риск от склонност към самоубийство при употреба на арипипразол в сравнение с други антипсихотици. Информацията при педиатричната популация не е достатъчна, за да се оцени риска при по-млади пациенти (под 18 годишна възраст), но съществуват доказателства, че суицидният риск остава и след първите 4 седмици на лечение с атипични антипсихотици, включително арипипразол.</w:t>
      </w:r>
    </w:p>
    <w:p w14:paraId="1BC5B69F" w14:textId="77777777" w:rsidR="003F3402" w:rsidRPr="003F3402" w:rsidRDefault="003F3402" w:rsidP="003F3402">
      <w:pPr>
        <w:spacing w:line="240" w:lineRule="auto"/>
        <w:rPr>
          <w:rFonts w:eastAsia="Times New Roman" w:cs="Arial"/>
          <w:color w:val="000000"/>
          <w:u w:val="single"/>
          <w:lang w:eastAsia="bg-BG"/>
        </w:rPr>
      </w:pPr>
    </w:p>
    <w:p w14:paraId="20168E4E" w14:textId="12713332"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Сърдечно-съдови нарушения:</w:t>
      </w:r>
    </w:p>
    <w:p w14:paraId="1C5E0368"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Арипипразол трябва да се прилага предпазливо при пациенти с доказано сърдечно-съдово заболяване (прекаран инфаркт на миокарда или исхемична болест на сърцето, сърдечна недостатъчност или нарушения на проводимостта), мозъчно-съдово заболяване, условия, които биха довели до предразположение към хипотония (обезводняване, хиповолемия и лечение с антихипертензивни лекарствени продукти) или към хипертония, в това число ускорена или злокачествена.</w:t>
      </w:r>
    </w:p>
    <w:p w14:paraId="6D9351B3" w14:textId="77777777" w:rsidR="003F3402" w:rsidRPr="003F3402" w:rsidRDefault="003F3402" w:rsidP="003F3402">
      <w:pPr>
        <w:spacing w:line="240" w:lineRule="auto"/>
        <w:rPr>
          <w:rFonts w:eastAsia="Times New Roman" w:cs="Arial"/>
          <w:color w:val="000000"/>
          <w:lang w:eastAsia="bg-BG"/>
        </w:rPr>
      </w:pPr>
    </w:p>
    <w:p w14:paraId="5DB561AE" w14:textId="47B2263B" w:rsidR="003F3402" w:rsidRPr="003F3402" w:rsidRDefault="003F3402" w:rsidP="003F3402">
      <w:pPr>
        <w:spacing w:line="240" w:lineRule="auto"/>
        <w:rPr>
          <w:rFonts w:eastAsia="Times New Roman" w:cs="Arial"/>
          <w:color w:val="000000"/>
          <w:lang w:eastAsia="bg-BG"/>
        </w:rPr>
      </w:pPr>
      <w:r w:rsidRPr="003F3402">
        <w:rPr>
          <w:rFonts w:eastAsia="Times New Roman" w:cs="Arial"/>
          <w:color w:val="000000"/>
          <w:lang w:eastAsia="bg-BG"/>
        </w:rPr>
        <w:t>Съобщени са случаи на венозен тромбемболизъм (ВТЕ) при пациенти, приемащи антипсихотични средства. Тъй като при тези пациенти често се наблюдават придобити рискови фактори за ВТЕ, всички възможни рискови фактори следва да бъдат идентифицирани преди и по време на терапията с Абизол и да бъдат предприети превантивни мерки.</w:t>
      </w:r>
    </w:p>
    <w:p w14:paraId="187175FC" w14:textId="53C80223" w:rsidR="003F3402" w:rsidRPr="003F3402" w:rsidRDefault="003F3402" w:rsidP="003F3402">
      <w:pPr>
        <w:spacing w:line="240" w:lineRule="auto"/>
        <w:rPr>
          <w:rFonts w:eastAsia="Times New Roman" w:cs="Arial"/>
          <w:color w:val="000000"/>
          <w:lang w:eastAsia="bg-BG"/>
        </w:rPr>
      </w:pPr>
    </w:p>
    <w:p w14:paraId="0B52B567" w14:textId="77777777"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Нарушения на проводимостта:</w:t>
      </w:r>
    </w:p>
    <w:p w14:paraId="7F05D4E8"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При клинични проучвания с арипипразол честотата на удължаване на </w:t>
      </w:r>
      <w:r w:rsidRPr="003F3402">
        <w:rPr>
          <w:rFonts w:eastAsia="Times New Roman" w:cs="Arial"/>
          <w:color w:val="000000"/>
          <w:lang w:val="en-US"/>
        </w:rPr>
        <w:t>QT</w:t>
      </w:r>
      <w:r w:rsidRPr="003F3402">
        <w:rPr>
          <w:rFonts w:eastAsia="Times New Roman" w:cs="Arial"/>
          <w:color w:val="000000"/>
          <w:lang w:eastAsia="bg-BG"/>
        </w:rPr>
        <w:t xml:space="preserve">-интервала е била сравнима с тази при плацебо. Както и при другите антипсихотици, арипипразол трябва да се използва предпазливо при пациенти с фамилна история за удължаване на </w:t>
      </w:r>
      <w:r w:rsidRPr="003F3402">
        <w:rPr>
          <w:rFonts w:eastAsia="Times New Roman" w:cs="Arial"/>
          <w:color w:val="000000"/>
          <w:lang w:val="en-US"/>
        </w:rPr>
        <w:t>QT</w:t>
      </w:r>
      <w:r w:rsidRPr="003F3402">
        <w:rPr>
          <w:rFonts w:eastAsia="Times New Roman" w:cs="Arial"/>
          <w:color w:val="000000"/>
          <w:lang w:eastAsia="bg-BG"/>
        </w:rPr>
        <w:t>-интервала.</w:t>
      </w:r>
    </w:p>
    <w:p w14:paraId="2018AF6B" w14:textId="77777777" w:rsidR="003F3402" w:rsidRPr="003F3402" w:rsidRDefault="003F3402" w:rsidP="003F3402">
      <w:pPr>
        <w:spacing w:line="240" w:lineRule="auto"/>
        <w:rPr>
          <w:rFonts w:eastAsia="Times New Roman" w:cs="Arial"/>
          <w:color w:val="000000"/>
          <w:u w:val="single"/>
          <w:lang w:eastAsia="bg-BG"/>
        </w:rPr>
      </w:pPr>
    </w:p>
    <w:p w14:paraId="1DC5B3BB" w14:textId="624F87C6"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Тардивна дискинезия:</w:t>
      </w:r>
    </w:p>
    <w:p w14:paraId="448CD2B1"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При клинични проучвания в продължение на една година или по-малко, случаите на необходимост от лечение на появилите се дискинезии по време на лечението с арипипразол не са чести. При появата на признаци и симптоми на тардивна дискинезия при пациенти на лечение с Абизол, трябва да се обмисли възможността за намаляване на дозата или прекратяване на лечението. Тези симптоми може временно да се влошат или да се появят, дори след прекратяване на лечението.</w:t>
      </w:r>
    </w:p>
    <w:p w14:paraId="3679D5D5" w14:textId="77777777" w:rsidR="003F3402" w:rsidRPr="003F3402" w:rsidRDefault="003F3402" w:rsidP="003F3402">
      <w:pPr>
        <w:spacing w:line="240" w:lineRule="auto"/>
        <w:rPr>
          <w:rFonts w:eastAsia="Times New Roman" w:cs="Arial"/>
          <w:color w:val="000000"/>
          <w:u w:val="single"/>
          <w:lang w:eastAsia="bg-BG"/>
        </w:rPr>
      </w:pPr>
    </w:p>
    <w:p w14:paraId="697BAE42" w14:textId="6E0E5257"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Други екстрапирамидни симптоми:</w:t>
      </w:r>
    </w:p>
    <w:p w14:paraId="48D911A3"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В клинични проучвания на арипипразол при деца са наблюдавани акатизия и паркинсонизъм. При появата на признаци и симптоми на други </w:t>
      </w:r>
      <w:r w:rsidRPr="003F3402">
        <w:rPr>
          <w:rFonts w:eastAsia="Times New Roman" w:cs="Arial"/>
          <w:color w:val="000000"/>
          <w:lang w:val="en-US"/>
        </w:rPr>
        <w:t>EPS</w:t>
      </w:r>
      <w:r w:rsidRPr="003F3402">
        <w:rPr>
          <w:rFonts w:eastAsia="Times New Roman" w:cs="Arial"/>
          <w:color w:val="000000"/>
          <w:lang w:val="ru-RU"/>
        </w:rPr>
        <w:t xml:space="preserve"> </w:t>
      </w:r>
      <w:r w:rsidRPr="003F3402">
        <w:rPr>
          <w:rFonts w:eastAsia="Times New Roman" w:cs="Arial"/>
          <w:color w:val="000000"/>
          <w:lang w:eastAsia="bg-BG"/>
        </w:rPr>
        <w:t>при пациенти приемащи арипипразол , трябва да се обмисли възможността за намаляване на дозата и внимателно клинично наблюдение.</w:t>
      </w:r>
    </w:p>
    <w:p w14:paraId="40BF9831" w14:textId="77777777" w:rsidR="003F3402" w:rsidRPr="003F3402" w:rsidRDefault="003F3402" w:rsidP="003F3402">
      <w:pPr>
        <w:spacing w:line="240" w:lineRule="auto"/>
        <w:rPr>
          <w:rFonts w:eastAsia="Times New Roman" w:cs="Arial"/>
          <w:color w:val="000000"/>
          <w:u w:val="single"/>
          <w:lang w:eastAsia="bg-BG"/>
        </w:rPr>
      </w:pPr>
    </w:p>
    <w:p w14:paraId="4A867720" w14:textId="7B0D1A87"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 xml:space="preserve">Невролептичен малигнен синдром </w:t>
      </w:r>
      <w:r w:rsidRPr="003F3402">
        <w:rPr>
          <w:rFonts w:eastAsia="Times New Roman" w:cs="Arial"/>
          <w:color w:val="000000"/>
          <w:u w:val="single"/>
          <w:lang w:val="ru-RU"/>
        </w:rPr>
        <w:t>(</w:t>
      </w:r>
      <w:r w:rsidRPr="003F3402">
        <w:rPr>
          <w:rFonts w:eastAsia="Times New Roman" w:cs="Arial"/>
          <w:color w:val="000000"/>
          <w:u w:val="single"/>
          <w:lang w:val="en-US"/>
        </w:rPr>
        <w:t>NMS</w:t>
      </w:r>
      <w:r w:rsidRPr="003F3402">
        <w:rPr>
          <w:rFonts w:eastAsia="Times New Roman" w:cs="Arial"/>
          <w:color w:val="000000"/>
          <w:u w:val="single"/>
          <w:lang w:val="ru-RU"/>
        </w:rPr>
        <w:t>):</w:t>
      </w:r>
    </w:p>
    <w:p w14:paraId="2394E975" w14:textId="77777777" w:rsidR="003F3402" w:rsidRPr="003F3402" w:rsidRDefault="003F3402" w:rsidP="003F3402">
      <w:pPr>
        <w:spacing w:line="240" w:lineRule="auto"/>
        <w:rPr>
          <w:rFonts w:eastAsia="Times New Roman" w:cs="Arial"/>
        </w:rPr>
      </w:pPr>
      <w:r w:rsidRPr="003F3402">
        <w:rPr>
          <w:rFonts w:eastAsia="Times New Roman" w:cs="Arial"/>
          <w:color w:val="000000"/>
          <w:lang w:val="en-US"/>
        </w:rPr>
        <w:t>NMS</w:t>
      </w:r>
      <w:r w:rsidRPr="003F3402">
        <w:rPr>
          <w:rFonts w:eastAsia="Times New Roman" w:cs="Arial"/>
          <w:color w:val="000000"/>
          <w:lang w:val="ru-RU"/>
        </w:rPr>
        <w:t xml:space="preserve"> </w:t>
      </w:r>
      <w:r w:rsidRPr="003F3402">
        <w:rPr>
          <w:rFonts w:eastAsia="Times New Roman" w:cs="Arial"/>
          <w:color w:val="000000"/>
          <w:lang w:eastAsia="bg-BG"/>
        </w:rPr>
        <w:t xml:space="preserve">е потенциално фатален комплекс от симптоми, който е свързан с антипсихотичните лекарствени продукти. В клинични проучвания са докладвани редки случаи на </w:t>
      </w:r>
      <w:r w:rsidRPr="003F3402">
        <w:rPr>
          <w:rFonts w:eastAsia="Times New Roman" w:cs="Arial"/>
          <w:color w:val="000000"/>
          <w:lang w:val="en-US"/>
        </w:rPr>
        <w:t>NMS</w:t>
      </w:r>
      <w:r w:rsidRPr="003F3402">
        <w:rPr>
          <w:rFonts w:eastAsia="Times New Roman" w:cs="Arial"/>
          <w:color w:val="000000"/>
          <w:lang w:val="ru-RU"/>
        </w:rPr>
        <w:t xml:space="preserve"> </w:t>
      </w:r>
      <w:r w:rsidRPr="003F3402">
        <w:rPr>
          <w:rFonts w:eastAsia="Times New Roman" w:cs="Arial"/>
          <w:color w:val="000000"/>
          <w:lang w:eastAsia="bg-BG"/>
        </w:rPr>
        <w:t xml:space="preserve">по време на лечение с арипипразол. Клиничните прояви на </w:t>
      </w:r>
      <w:r w:rsidRPr="003F3402">
        <w:rPr>
          <w:rFonts w:eastAsia="Times New Roman" w:cs="Arial"/>
          <w:color w:val="000000"/>
          <w:lang w:val="en-US"/>
        </w:rPr>
        <w:t>NMS</w:t>
      </w:r>
      <w:r w:rsidRPr="003F3402">
        <w:rPr>
          <w:rFonts w:eastAsia="Times New Roman" w:cs="Arial"/>
          <w:color w:val="000000"/>
          <w:lang w:val="ru-RU"/>
        </w:rPr>
        <w:t xml:space="preserve"> </w:t>
      </w:r>
      <w:r w:rsidRPr="003F3402">
        <w:rPr>
          <w:rFonts w:eastAsia="Times New Roman" w:cs="Arial"/>
          <w:color w:val="000000"/>
          <w:lang w:eastAsia="bg-BG"/>
        </w:rPr>
        <w:t xml:space="preserve">са хиперпирексия, мускулна ригидност, нарушен ментален статус и данни за автономна нестабилност (промени в пулса и кръвно налягане, тахикардия, диафореза и сърдечна аритмия). Допълнително може да са налице и повишени стойности на креатин фосфокиназата, миоглобинурия (рабдомиолиза) и остра бъбречна недостатъчност. Съобщава се също така, обаче, и за повишени стойности на креатин фосфокиназа и рабдомиолиза, не непременно във връзка с </w:t>
      </w:r>
      <w:r w:rsidRPr="003F3402">
        <w:rPr>
          <w:rFonts w:eastAsia="Times New Roman" w:cs="Arial"/>
          <w:color w:val="000000"/>
          <w:lang w:val="en-US"/>
        </w:rPr>
        <w:t>NMS</w:t>
      </w:r>
      <w:r w:rsidRPr="003F3402">
        <w:rPr>
          <w:rFonts w:eastAsia="Times New Roman" w:cs="Arial"/>
          <w:color w:val="000000"/>
          <w:lang w:val="ru-RU"/>
        </w:rPr>
        <w:t xml:space="preserve">. </w:t>
      </w:r>
      <w:r w:rsidRPr="003F3402">
        <w:rPr>
          <w:rFonts w:eastAsia="Times New Roman" w:cs="Arial"/>
          <w:color w:val="000000"/>
          <w:lang w:eastAsia="bg-BG"/>
        </w:rPr>
        <w:t xml:space="preserve">Ако пациентите развият признаци или симптоми, характерни за </w:t>
      </w:r>
      <w:r w:rsidRPr="003F3402">
        <w:rPr>
          <w:rFonts w:eastAsia="Times New Roman" w:cs="Arial"/>
          <w:color w:val="000000"/>
          <w:lang w:val="en-US"/>
        </w:rPr>
        <w:t>NMS</w:t>
      </w:r>
      <w:r w:rsidRPr="003F3402">
        <w:rPr>
          <w:rFonts w:eastAsia="Times New Roman" w:cs="Arial"/>
          <w:color w:val="000000"/>
          <w:lang w:val="ru-RU"/>
        </w:rPr>
        <w:t xml:space="preserve">, </w:t>
      </w:r>
      <w:r w:rsidRPr="003F3402">
        <w:rPr>
          <w:rFonts w:eastAsia="Times New Roman" w:cs="Arial"/>
          <w:color w:val="000000"/>
          <w:lang w:eastAsia="bg-BG"/>
        </w:rPr>
        <w:t xml:space="preserve">или имат необяснимо висока температура без допълнителни кличини признаци на </w:t>
      </w:r>
      <w:r w:rsidRPr="003F3402">
        <w:rPr>
          <w:rFonts w:eastAsia="Times New Roman" w:cs="Arial"/>
          <w:color w:val="000000"/>
          <w:lang w:val="en-US"/>
        </w:rPr>
        <w:t>NMS</w:t>
      </w:r>
      <w:r w:rsidRPr="003F3402">
        <w:rPr>
          <w:rFonts w:eastAsia="Times New Roman" w:cs="Arial"/>
          <w:color w:val="000000"/>
          <w:lang w:val="ru-RU"/>
        </w:rPr>
        <w:t xml:space="preserve">, </w:t>
      </w:r>
      <w:r w:rsidRPr="003F3402">
        <w:rPr>
          <w:rFonts w:eastAsia="Times New Roman" w:cs="Arial"/>
          <w:color w:val="000000"/>
          <w:lang w:eastAsia="bg-BG"/>
        </w:rPr>
        <w:t>приема на всички антипсихотични лекарствени продукти, включително Абизол, трябва да се преустанови.</w:t>
      </w:r>
    </w:p>
    <w:p w14:paraId="20F79ACE" w14:textId="77777777" w:rsidR="003F3402" w:rsidRPr="003F3402" w:rsidRDefault="003F3402" w:rsidP="003F3402">
      <w:pPr>
        <w:spacing w:line="240" w:lineRule="auto"/>
        <w:rPr>
          <w:rFonts w:eastAsia="Times New Roman" w:cs="Arial"/>
          <w:color w:val="000000"/>
          <w:u w:val="single"/>
          <w:lang w:eastAsia="bg-BG"/>
        </w:rPr>
      </w:pPr>
    </w:p>
    <w:p w14:paraId="22CCF763" w14:textId="113E600D"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Гърчове:</w:t>
      </w:r>
    </w:p>
    <w:p w14:paraId="2C3B4830"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В клинични проучвания са докладвани нечести случаи на гърчове по време на лечение с арипипразол. Ето защо, арипипразол трябва да се прилага с повишено внимание при пациенти прекарали в миналото епизоди на гърчове или състояния, свързани с гърчове.</w:t>
      </w:r>
    </w:p>
    <w:p w14:paraId="0AF151DA" w14:textId="77777777" w:rsidR="003F3402" w:rsidRPr="003F3402" w:rsidRDefault="003F3402" w:rsidP="003F3402">
      <w:pPr>
        <w:spacing w:line="240" w:lineRule="auto"/>
        <w:rPr>
          <w:rFonts w:eastAsia="Times New Roman" w:cs="Arial"/>
          <w:color w:val="000000"/>
          <w:u w:val="single"/>
          <w:lang w:eastAsia="bg-BG"/>
        </w:rPr>
      </w:pPr>
    </w:p>
    <w:p w14:paraId="794D2E41" w14:textId="55FAA0A2"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Възрастни пациенти с психоза, свързана с деменция:</w:t>
      </w:r>
    </w:p>
    <w:p w14:paraId="20F46522" w14:textId="77777777"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Повишена смъртност:</w:t>
      </w:r>
    </w:p>
    <w:p w14:paraId="5AD88405"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В три плацебо-контролирани проучвания с арипипразол при възрастни пациенти (</w:t>
      </w:r>
      <w:r w:rsidRPr="003F3402">
        <w:rPr>
          <w:rFonts w:eastAsia="Times New Roman" w:cs="Arial"/>
          <w:color w:val="000000"/>
          <w:lang w:val="en-US"/>
        </w:rPr>
        <w:t>n</w:t>
      </w:r>
      <w:r w:rsidRPr="003F3402">
        <w:rPr>
          <w:rFonts w:eastAsia="Times New Roman" w:cs="Arial"/>
          <w:color w:val="000000"/>
          <w:lang w:eastAsia="bg-BG"/>
        </w:rPr>
        <w:t>=938, средна възраст 82,4 г., от 56 до 99 г.) с психоза, свързана с болестта на Алцхаймер, пациентите на лечение с арипипразол са били изложени на по-голям риск от смъртност в сравнение с групата на лечение с плацебо. Смъртността при пациентите на лечение с арипипразол е била 3,5% в сравнение с 1,7% при групата на лечение с плацебо. Макар че причините за смъртта са били различни, повечето са били свързани със сърдечно-съдови инциденти (напр. сърдечна недостатъчност, внезапна смърт) или инфекции (напр. пневмония).</w:t>
      </w:r>
    </w:p>
    <w:p w14:paraId="680EBDCE" w14:textId="77777777" w:rsidR="003F3402" w:rsidRPr="003F3402" w:rsidRDefault="003F3402" w:rsidP="003F3402">
      <w:pPr>
        <w:spacing w:line="240" w:lineRule="auto"/>
        <w:rPr>
          <w:rFonts w:eastAsia="Times New Roman" w:cs="Arial"/>
          <w:i/>
          <w:iCs/>
          <w:color w:val="000000"/>
          <w:lang w:eastAsia="bg-BG"/>
        </w:rPr>
      </w:pPr>
    </w:p>
    <w:p w14:paraId="3F4D9646" w14:textId="66DDDA5B" w:rsidR="003F3402" w:rsidRPr="003F3402" w:rsidRDefault="003F3402" w:rsidP="003F3402">
      <w:pPr>
        <w:spacing w:line="240" w:lineRule="auto"/>
        <w:rPr>
          <w:rFonts w:eastAsia="Times New Roman" w:cs="Arial"/>
        </w:rPr>
      </w:pPr>
      <w:r w:rsidRPr="003F3402">
        <w:rPr>
          <w:rFonts w:eastAsia="Times New Roman" w:cs="Arial"/>
          <w:i/>
          <w:iCs/>
          <w:color w:val="000000"/>
          <w:lang w:eastAsia="bg-BG"/>
        </w:rPr>
        <w:t>Церебро-васкуларни нежелани реакции:</w:t>
      </w:r>
    </w:p>
    <w:p w14:paraId="1E8AC8D5"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В същите проучвания се съобщава за церебро-васкуларни нежелани реакции (напр. инсулт, преходна исхемична атака), в това число и фатални инциденти (средна възраст 84 г., от 78 до 88 г.). Общо при 1,3% от пациентите на лечение с арипипразол се съобщава за церебро-васкуларни нежелани реакции в сравнение с 0,6% от пациентите на лечение с плацебо. Разликата не е статистически значима. В едно клинично проучване с фиксирана доза обаче се съобщава за значима връзка между дозата и отговора и церебро-васкуларните реакции при пациенти на лечение с арипипразол.</w:t>
      </w:r>
    </w:p>
    <w:p w14:paraId="4D475F35"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Арипипразол не е показан за лечение на психоза в следствие на деменция.</w:t>
      </w:r>
    </w:p>
    <w:p w14:paraId="14D1FDB4" w14:textId="77777777" w:rsidR="003F3402" w:rsidRPr="003F3402" w:rsidRDefault="003F3402" w:rsidP="003F3402">
      <w:pPr>
        <w:spacing w:line="240" w:lineRule="auto"/>
        <w:rPr>
          <w:rFonts w:eastAsia="Times New Roman" w:cs="Arial"/>
          <w:color w:val="000000"/>
          <w:u w:val="single"/>
          <w:lang w:eastAsia="bg-BG"/>
        </w:rPr>
      </w:pPr>
    </w:p>
    <w:p w14:paraId="461C4733" w14:textId="1894857E"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Хипергликемия и захарен диабет:</w:t>
      </w:r>
    </w:p>
    <w:p w14:paraId="73321C80" w14:textId="77777777" w:rsidR="003F3402" w:rsidRPr="003F3402" w:rsidRDefault="003F3402" w:rsidP="003F3402">
      <w:pPr>
        <w:rPr>
          <w:rFonts w:eastAsia="Times New Roman" w:cs="Arial"/>
        </w:rPr>
      </w:pPr>
      <w:r w:rsidRPr="003F3402">
        <w:rPr>
          <w:rFonts w:eastAsia="Times New Roman" w:cs="Arial"/>
          <w:color w:val="000000"/>
          <w:lang w:eastAsia="bg-BG"/>
        </w:rPr>
        <w:t xml:space="preserve">Има съобщения за хипергликемия, в някои случаи прекомерна и свързана с кетоацидоза или хиперосмоларна кома или смърт, при пациенти на лечение с атипични антипсихотици, включително Абизол. Рисковите фактори, които може да доведат </w:t>
      </w:r>
      <w:r w:rsidRPr="003F3402">
        <w:rPr>
          <w:rFonts w:eastAsia="Times New Roman" w:cs="Arial"/>
          <w:color w:val="000000"/>
          <w:lang w:eastAsia="bg-BG"/>
        </w:rPr>
        <w:lastRenderedPageBreak/>
        <w:t>пациентите до тежки усложнения, включват</w:t>
      </w:r>
      <w:r w:rsidRPr="003F3402">
        <w:rPr>
          <w:rFonts w:eastAsia="Times New Roman" w:cs="Arial"/>
          <w:color w:val="000000"/>
          <w:lang w:val="ru-RU" w:eastAsia="bg-BG"/>
        </w:rPr>
        <w:t xml:space="preserve"> </w:t>
      </w:r>
      <w:r w:rsidRPr="003F3402">
        <w:rPr>
          <w:rFonts w:eastAsia="Times New Roman" w:cs="Arial"/>
          <w:color w:val="000000"/>
          <w:lang w:eastAsia="bg-BG"/>
        </w:rPr>
        <w:t>затлъстяване и предходни заболявания от диабет в семейството. В клинични проучвания с арипипразол не са наблюдавани значими различия по отношение честотата на нежеланите реакции, свързани с хипергликемия (включително диабет) или по отношение на абнормни лабораторни стойности на гликемия в сравнение с плацебо. Няма точни рискови данни за свързани с хипергликемия нежелани реакции при пациенти лекувани с арипипразол и с други атипични антипсихотици, за да може да се направи сравнение. Пациентите, лекувани с някакви антипсихотиции, включително и Абизол, трябва да бъдат наблюдавани за признаци и симптоми на хипергликемия (напр. полидипсия, полиурия, полифагия и слабост), като състоянието на пациенти със захарен диабет или с рискови фактори за захарен диабет трябва да се контролира, поради опасност от влошаване на глюкозния контрол.</w:t>
      </w:r>
    </w:p>
    <w:p w14:paraId="50B8A930" w14:textId="77777777" w:rsidR="003F3402" w:rsidRPr="003F3402" w:rsidRDefault="003F3402" w:rsidP="003F3402">
      <w:pPr>
        <w:spacing w:line="240" w:lineRule="auto"/>
        <w:rPr>
          <w:rFonts w:eastAsia="Times New Roman" w:cs="Arial"/>
          <w:color w:val="000000"/>
          <w:u w:val="single"/>
          <w:lang w:eastAsia="bg-BG"/>
        </w:rPr>
      </w:pPr>
    </w:p>
    <w:p w14:paraId="647C5CB9" w14:textId="25D753DA"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Свръхчувствителност:</w:t>
      </w:r>
    </w:p>
    <w:p w14:paraId="11FE19B9"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Както при други лекарствени продукти, така и при арипипразол може да възникнат реакции на свръхчувствителност, характеризиращи се с алергични симптоми (вж. точка 4.8).</w:t>
      </w:r>
    </w:p>
    <w:p w14:paraId="37198D19" w14:textId="77777777" w:rsidR="003F3402" w:rsidRPr="003F3402" w:rsidRDefault="003F3402" w:rsidP="003F3402">
      <w:pPr>
        <w:spacing w:line="240" w:lineRule="auto"/>
        <w:rPr>
          <w:rFonts w:eastAsia="Times New Roman" w:cs="Arial"/>
          <w:color w:val="000000"/>
          <w:u w:val="single"/>
          <w:lang w:eastAsia="bg-BG"/>
        </w:rPr>
      </w:pPr>
    </w:p>
    <w:p w14:paraId="5C2D92FD" w14:textId="573F6BDB"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Увеличаване на теглото:</w:t>
      </w:r>
    </w:p>
    <w:p w14:paraId="5B6CEA5F"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Увеличаването на теглото се наблюдава често при болни от шизофрения и биполярна мания поради съпътстващи заболявания, използване на антипсихотици, за които се знае, че водят до увеличаване на тегло, нездравословен начин на живот, като може да се стигне до тежки усложнения. За увеличаване на теглото се съобщава в постмаркетинговия период при пациенти със значителни рискови фактори, например предишно заболяване от диабет, нарушения на щитовидната жлеза или аденом на хипофизата. В клинични проучвания няма данни, че арипипразол предизвиква клинично значимо увеличаване на теглото при възрастни (вж. точка 5.1). В клинични проучвания при юноши с биполярна мания, арипипразол се свързва с увеличаване на тегло след 4-седмично лечение. Юноши с биполярна мания трябва да се проследяват за увеличаване на теглото. Ако се наблюдава клинично значимо увеличение на теглото, трябва да се обмисли намаляване на дозата (вж. точка 4.8).</w:t>
      </w:r>
    </w:p>
    <w:p w14:paraId="36106906" w14:textId="77777777" w:rsidR="003F3402" w:rsidRPr="003F3402" w:rsidRDefault="003F3402" w:rsidP="003F3402">
      <w:pPr>
        <w:spacing w:line="240" w:lineRule="auto"/>
        <w:rPr>
          <w:rFonts w:eastAsia="Times New Roman" w:cs="Arial"/>
          <w:color w:val="000000"/>
          <w:u w:val="single"/>
          <w:lang w:eastAsia="bg-BG"/>
        </w:rPr>
      </w:pPr>
    </w:p>
    <w:p w14:paraId="7C681F04" w14:textId="6A46B812"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Дисфагия:</w:t>
      </w:r>
    </w:p>
    <w:p w14:paraId="417ADADB"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Езофагеална неподвижност и аспирация се свързват с лечението с антипсихотици, включително арипипразол. Арипипразол и други антипсихотични активни вещества трябва да се използват предпазливо при пациенти с риск от пневмония.</w:t>
      </w:r>
    </w:p>
    <w:p w14:paraId="613B9F41" w14:textId="77777777" w:rsidR="003F3402" w:rsidRPr="003F3402" w:rsidRDefault="003F3402" w:rsidP="003F3402">
      <w:pPr>
        <w:spacing w:line="240" w:lineRule="auto"/>
        <w:rPr>
          <w:rFonts w:eastAsia="Times New Roman" w:cs="Arial"/>
          <w:color w:val="000000"/>
          <w:u w:val="single"/>
          <w:lang w:eastAsia="bg-BG"/>
        </w:rPr>
      </w:pPr>
    </w:p>
    <w:p w14:paraId="212AEDE2" w14:textId="2E99E6E5"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Патологично влечение към хазарта:</w:t>
      </w:r>
    </w:p>
    <w:p w14:paraId="06F4C747"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Докладвани са случаи на патологично влечение към хазарта</w:t>
      </w:r>
    </w:p>
    <w:p w14:paraId="778DAFE7"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по време на постмаркетинговия период при пациенти приемащи арипипразол, независимо от това дали са имали такава анамнеза. Пациенти с анамнеза за патологично влечение към хазарта могат да бъдат изложени на по-голям риск и трябва да се проследяват внимателно (вж.</w:t>
      </w:r>
    </w:p>
    <w:p w14:paraId="11A22B34"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точка 4,8).</w:t>
      </w:r>
    </w:p>
    <w:p w14:paraId="4BAD71C4" w14:textId="77777777" w:rsidR="003F3402" w:rsidRPr="003F3402" w:rsidRDefault="003F3402" w:rsidP="003F3402">
      <w:pPr>
        <w:spacing w:line="240" w:lineRule="auto"/>
        <w:rPr>
          <w:rFonts w:eastAsia="Times New Roman" w:cs="Arial"/>
          <w:color w:val="000000"/>
          <w:u w:val="single"/>
          <w:lang w:eastAsia="bg-BG"/>
        </w:rPr>
      </w:pPr>
    </w:p>
    <w:p w14:paraId="15602E27" w14:textId="47596611"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 xml:space="preserve">Пациенти със съпътстваш </w:t>
      </w:r>
      <w:r w:rsidRPr="003F3402">
        <w:rPr>
          <w:rFonts w:eastAsia="Times New Roman" w:cs="Arial"/>
          <w:color w:val="000000"/>
          <w:u w:val="single"/>
          <w:lang w:val="en-US"/>
        </w:rPr>
        <w:t>ADHD</w:t>
      </w:r>
      <w:r w:rsidRPr="003F3402">
        <w:rPr>
          <w:rFonts w:eastAsia="Times New Roman" w:cs="Arial"/>
          <w:color w:val="000000"/>
          <w:u w:val="single"/>
          <w:lang w:val="ru-RU"/>
        </w:rPr>
        <w:t xml:space="preserve"> </w:t>
      </w:r>
      <w:r w:rsidRPr="003F3402">
        <w:rPr>
          <w:rFonts w:eastAsia="Times New Roman" w:cs="Arial"/>
          <w:color w:val="000000"/>
          <w:u w:val="single"/>
          <w:lang w:eastAsia="bg-BG"/>
        </w:rPr>
        <w:t xml:space="preserve">(синдром на хиперактивност с дефицит на вниманието): </w:t>
      </w:r>
      <w:r w:rsidRPr="003F3402">
        <w:rPr>
          <w:rFonts w:eastAsia="Times New Roman" w:cs="Arial"/>
          <w:color w:val="000000"/>
          <w:lang w:eastAsia="bg-BG"/>
        </w:rPr>
        <w:t xml:space="preserve">Въпреки че биполярното афективно разстройство тип I и </w:t>
      </w:r>
      <w:r w:rsidRPr="003F3402">
        <w:rPr>
          <w:rFonts w:eastAsia="Times New Roman" w:cs="Arial"/>
          <w:color w:val="000000"/>
          <w:lang w:val="en-US"/>
        </w:rPr>
        <w:t>ADHD</w:t>
      </w:r>
      <w:r w:rsidRPr="003F3402">
        <w:rPr>
          <w:rFonts w:eastAsia="Times New Roman" w:cs="Arial"/>
          <w:color w:val="000000"/>
          <w:lang w:val="ru-RU"/>
        </w:rPr>
        <w:t xml:space="preserve"> </w:t>
      </w:r>
      <w:r w:rsidRPr="003F3402">
        <w:rPr>
          <w:rFonts w:eastAsia="Times New Roman" w:cs="Arial"/>
          <w:color w:val="000000"/>
          <w:lang w:eastAsia="bg-BG"/>
        </w:rPr>
        <w:t>често са съпътстващи състояния са налични ограничени данни за едновременното приложение на арипипразол и стимуланти. Поради тази причина тези лекарства трябва да се прилагат с особено внимание, когато са в комбинация.</w:t>
      </w:r>
    </w:p>
    <w:p w14:paraId="45E44C4A" w14:textId="56FEAE71" w:rsidR="003F3402" w:rsidRPr="003F3402" w:rsidRDefault="003F3402" w:rsidP="003F3402">
      <w:pPr>
        <w:spacing w:line="240" w:lineRule="auto"/>
        <w:rPr>
          <w:rFonts w:ascii="Times New Roman" w:eastAsia="Times New Roman" w:hAnsi="Times New Roman" w:cs="Times New Roman"/>
        </w:rPr>
      </w:pPr>
    </w:p>
    <w:p w14:paraId="3B06DE65" w14:textId="77777777" w:rsidR="003F3402" w:rsidRPr="003F3402" w:rsidRDefault="003F3402" w:rsidP="003F3402">
      <w:pPr>
        <w:spacing w:line="240" w:lineRule="auto"/>
        <w:rPr>
          <w:rFonts w:ascii="Times New Roman" w:eastAsia="Times New Roman" w:hAnsi="Times New Roman" w:cs="Times New Roman"/>
          <w:sz w:val="24"/>
          <w:szCs w:val="24"/>
        </w:rPr>
      </w:pPr>
    </w:p>
    <w:p w14:paraId="607467EF" w14:textId="77777777" w:rsidR="003F3402" w:rsidRPr="003F3402" w:rsidRDefault="003F3402" w:rsidP="003F3402"/>
    <w:p w14:paraId="1244F76A" w14:textId="30DF7584" w:rsidR="00395555" w:rsidRDefault="002C50EE" w:rsidP="008A6AF2">
      <w:pPr>
        <w:pStyle w:val="Heading2"/>
      </w:pPr>
      <w:r>
        <w:t>4.5. Взаимодействие с други лекарствени продукти и други форми на взаимодействие</w:t>
      </w:r>
    </w:p>
    <w:p w14:paraId="07AC1802" w14:textId="7021AA0A" w:rsidR="003F3402" w:rsidRDefault="003F3402" w:rsidP="003F3402"/>
    <w:p w14:paraId="15ADDDF7" w14:textId="77777777" w:rsidR="003F3402" w:rsidRPr="00304265" w:rsidRDefault="003F3402" w:rsidP="003F3402">
      <w:pPr>
        <w:rPr>
          <w:rFonts w:cs="Arial"/>
          <w:sz w:val="24"/>
          <w:szCs w:val="24"/>
        </w:rPr>
      </w:pPr>
      <w:r w:rsidRPr="00304265">
        <w:rPr>
          <w:rFonts w:cs="Arial"/>
          <w:lang w:eastAsia="bg-BG"/>
        </w:rPr>
        <w:t>Поради своя α</w:t>
      </w:r>
      <w:r w:rsidRPr="00304265">
        <w:rPr>
          <w:rFonts w:cs="Arial"/>
          <w:vertAlign w:val="subscript"/>
          <w:lang w:eastAsia="bg-BG"/>
        </w:rPr>
        <w:t>1</w:t>
      </w:r>
      <w:r w:rsidRPr="00304265">
        <w:rPr>
          <w:rFonts w:cs="Arial"/>
          <w:lang w:eastAsia="bg-BG"/>
        </w:rPr>
        <w:t>-адренергичен рецепторен антагонизъм, арипипразол може да усили ефекта на някои антихипертензивни средства.</w:t>
      </w:r>
    </w:p>
    <w:p w14:paraId="406E2076" w14:textId="77777777" w:rsidR="003F3402" w:rsidRPr="00304265" w:rsidRDefault="003F3402" w:rsidP="003F3402">
      <w:pPr>
        <w:rPr>
          <w:rFonts w:cs="Arial"/>
          <w:lang w:eastAsia="bg-BG"/>
        </w:rPr>
      </w:pPr>
    </w:p>
    <w:p w14:paraId="4A2908D3" w14:textId="3E438C67" w:rsidR="003F3402" w:rsidRPr="00304265" w:rsidRDefault="003F3402" w:rsidP="003F3402">
      <w:pPr>
        <w:rPr>
          <w:rFonts w:cs="Arial"/>
          <w:sz w:val="24"/>
          <w:szCs w:val="24"/>
        </w:rPr>
      </w:pPr>
      <w:r w:rsidRPr="00304265">
        <w:rPr>
          <w:rFonts w:cs="Arial"/>
          <w:lang w:eastAsia="bg-BG"/>
        </w:rPr>
        <w:t>Поради основния ефект на арипипразол върху ЦНС, е необходимо повишено внимание при употребата на арипипразол в комбинация с алкохол или други лекарства, действащи върху ЦНС, с потенциална възможност за поява на нежелани лекарствени реакции, като седиране (вж. точка 4.8).</w:t>
      </w:r>
    </w:p>
    <w:p w14:paraId="741AABF3" w14:textId="77777777" w:rsidR="003F3402" w:rsidRPr="00304265" w:rsidRDefault="003F3402" w:rsidP="003F3402">
      <w:pPr>
        <w:rPr>
          <w:rFonts w:cs="Arial"/>
          <w:lang w:eastAsia="bg-BG"/>
        </w:rPr>
      </w:pPr>
    </w:p>
    <w:p w14:paraId="56852D01" w14:textId="5BE02EED" w:rsidR="003F3402" w:rsidRPr="00304265" w:rsidRDefault="003F3402" w:rsidP="003F3402">
      <w:pPr>
        <w:rPr>
          <w:rFonts w:cs="Arial"/>
          <w:lang w:eastAsia="bg-BG"/>
        </w:rPr>
      </w:pPr>
      <w:r w:rsidRPr="00304265">
        <w:rPr>
          <w:rFonts w:cs="Arial"/>
          <w:lang w:eastAsia="bg-BG"/>
        </w:rPr>
        <w:t xml:space="preserve">Трябва да се внимава много, ако арипипразол се прилага едновременно с лекарствени продукти, за които е известно, че водят до удължаване на </w:t>
      </w:r>
      <w:r w:rsidRPr="00304265">
        <w:rPr>
          <w:rFonts w:cs="Arial"/>
          <w:lang w:val="en-US"/>
        </w:rPr>
        <w:t>QT</w:t>
      </w:r>
      <w:r w:rsidRPr="00304265">
        <w:rPr>
          <w:rFonts w:cs="Arial"/>
          <w:lang w:eastAsia="bg-BG"/>
        </w:rPr>
        <w:t>-интервала или електролитен дисбаланс.</w:t>
      </w:r>
    </w:p>
    <w:p w14:paraId="42750EB1" w14:textId="1FC178EA" w:rsidR="003F3402" w:rsidRPr="00304265" w:rsidRDefault="003F3402" w:rsidP="003F3402">
      <w:pPr>
        <w:rPr>
          <w:rFonts w:cs="Arial"/>
          <w:lang w:eastAsia="bg-BG"/>
        </w:rPr>
      </w:pPr>
    </w:p>
    <w:p w14:paraId="1A63F60F" w14:textId="77777777"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Възможност за въздействие на други лекарствени продукти върху Абизол:</w:t>
      </w:r>
    </w:p>
    <w:p w14:paraId="07E35354" w14:textId="77777777" w:rsidR="003F3402" w:rsidRPr="003F3402" w:rsidRDefault="003F3402" w:rsidP="003F3402">
      <w:pPr>
        <w:spacing w:line="240" w:lineRule="auto"/>
        <w:rPr>
          <w:rFonts w:eastAsia="Times New Roman" w:cs="Arial"/>
        </w:rPr>
      </w:pPr>
      <w:r w:rsidRPr="003F3402">
        <w:rPr>
          <w:rFonts w:eastAsia="Times New Roman" w:cs="Arial"/>
          <w:color w:val="000000"/>
          <w:lang w:eastAsia="bg-BG"/>
        </w:rPr>
        <w:t>Инхибиторите на стомашната киселинност, Н2-антагониста фамотидин, намаляват скоростта на абсорбция на арипипразол, но този ефект няма клинична значимост.</w:t>
      </w:r>
    </w:p>
    <w:p w14:paraId="6B9057F7" w14:textId="77777777" w:rsidR="003F3402" w:rsidRPr="00304265" w:rsidRDefault="003F3402" w:rsidP="003F3402">
      <w:pPr>
        <w:spacing w:line="240" w:lineRule="auto"/>
        <w:rPr>
          <w:rFonts w:eastAsia="Times New Roman" w:cs="Arial"/>
          <w:color w:val="000000"/>
          <w:lang w:eastAsia="bg-BG"/>
        </w:rPr>
      </w:pPr>
    </w:p>
    <w:p w14:paraId="370061A2" w14:textId="76F68D1C"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Арипипразол се метаболизира чрез множество метаболитни пътища, включващи ензимните системи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 xml:space="preserve">и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но не и </w:t>
      </w:r>
      <w:r w:rsidRPr="003F3402">
        <w:rPr>
          <w:rFonts w:eastAsia="Times New Roman" w:cs="Arial"/>
          <w:color w:val="000000"/>
          <w:lang w:val="en-US"/>
        </w:rPr>
        <w:t>CYP</w:t>
      </w:r>
      <w:r w:rsidRPr="003F3402">
        <w:rPr>
          <w:rFonts w:eastAsia="Times New Roman" w:cs="Arial"/>
          <w:color w:val="000000"/>
          <w:lang w:val="ru-RU"/>
        </w:rPr>
        <w:t>1</w:t>
      </w:r>
      <w:r w:rsidRPr="003F3402">
        <w:rPr>
          <w:rFonts w:eastAsia="Times New Roman" w:cs="Arial"/>
          <w:color w:val="000000"/>
          <w:lang w:val="en-US"/>
        </w:rPr>
        <w:t>A</w:t>
      </w:r>
      <w:r w:rsidRPr="003F3402">
        <w:rPr>
          <w:rFonts w:eastAsia="Times New Roman" w:cs="Arial"/>
          <w:color w:val="000000"/>
          <w:lang w:val="ru-RU"/>
        </w:rPr>
        <w:t xml:space="preserve">. </w:t>
      </w:r>
      <w:r w:rsidRPr="003F3402">
        <w:rPr>
          <w:rFonts w:eastAsia="Times New Roman" w:cs="Arial"/>
          <w:color w:val="000000"/>
          <w:lang w:eastAsia="bg-BG"/>
        </w:rPr>
        <w:t>Ето защо, при пушачи не се налага корекция на дозата.</w:t>
      </w:r>
    </w:p>
    <w:p w14:paraId="54E199A4" w14:textId="77777777" w:rsidR="003F3402" w:rsidRPr="00304265" w:rsidRDefault="003F3402" w:rsidP="003F3402">
      <w:pPr>
        <w:spacing w:line="240" w:lineRule="auto"/>
        <w:rPr>
          <w:rFonts w:eastAsia="Times New Roman" w:cs="Arial"/>
          <w:color w:val="000000"/>
          <w:lang w:eastAsia="bg-BG"/>
        </w:rPr>
      </w:pPr>
    </w:p>
    <w:p w14:paraId="24AE4C76" w14:textId="1B8B950B"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В клинично проучване със здрави доброволци, мощният инхибитор на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 xml:space="preserve">(хинидин) води до повишаване на </w:t>
      </w:r>
      <w:r w:rsidRPr="003F3402">
        <w:rPr>
          <w:rFonts w:eastAsia="Times New Roman" w:cs="Arial"/>
          <w:color w:val="000000"/>
          <w:lang w:val="en-US"/>
        </w:rPr>
        <w:t>AUC</w:t>
      </w:r>
      <w:r w:rsidRPr="003F3402">
        <w:rPr>
          <w:rFonts w:eastAsia="Times New Roman" w:cs="Arial"/>
          <w:color w:val="000000"/>
          <w:lang w:val="ru-RU"/>
        </w:rPr>
        <w:t xml:space="preserve"> </w:t>
      </w:r>
      <w:r w:rsidRPr="003F3402">
        <w:rPr>
          <w:rFonts w:eastAsia="Times New Roman" w:cs="Arial"/>
          <w:color w:val="000000"/>
          <w:lang w:eastAsia="bg-BG"/>
        </w:rPr>
        <w:t>на арипипразол със 107%, докато стойността на С</w:t>
      </w:r>
      <w:r w:rsidRPr="003F3402">
        <w:rPr>
          <w:rFonts w:eastAsia="Times New Roman" w:cs="Arial"/>
          <w:color w:val="000000"/>
          <w:vertAlign w:val="subscript"/>
          <w:lang w:val="en-US"/>
        </w:rPr>
        <w:t>max</w:t>
      </w:r>
      <w:r w:rsidRPr="003F3402">
        <w:rPr>
          <w:rFonts w:eastAsia="Times New Roman" w:cs="Arial"/>
          <w:color w:val="000000"/>
          <w:lang w:eastAsia="bg-BG"/>
        </w:rPr>
        <w:t xml:space="preserve"> остава непроменена. </w:t>
      </w:r>
      <w:r w:rsidRPr="003F3402">
        <w:rPr>
          <w:rFonts w:eastAsia="Times New Roman" w:cs="Arial"/>
          <w:color w:val="000000"/>
          <w:lang w:val="en-US"/>
        </w:rPr>
        <w:t>AUC</w:t>
      </w:r>
      <w:r w:rsidRPr="003F3402">
        <w:rPr>
          <w:rFonts w:eastAsia="Times New Roman" w:cs="Arial"/>
          <w:color w:val="000000"/>
          <w:lang w:val="ru-RU"/>
        </w:rPr>
        <w:t xml:space="preserve"> </w:t>
      </w:r>
      <w:r w:rsidRPr="003F3402">
        <w:rPr>
          <w:rFonts w:eastAsia="Times New Roman" w:cs="Arial"/>
          <w:color w:val="000000"/>
          <w:lang w:eastAsia="bg-BG"/>
        </w:rPr>
        <w:t>и С</w:t>
      </w:r>
      <w:r w:rsidRPr="003F3402">
        <w:rPr>
          <w:rFonts w:eastAsia="Times New Roman" w:cs="Arial"/>
          <w:color w:val="000000"/>
          <w:vertAlign w:val="subscript"/>
          <w:lang w:val="en-US"/>
        </w:rPr>
        <w:t>max</w:t>
      </w:r>
      <w:r w:rsidRPr="003F3402">
        <w:rPr>
          <w:rFonts w:eastAsia="Times New Roman" w:cs="Arial"/>
          <w:color w:val="000000"/>
          <w:lang w:eastAsia="bg-BG"/>
        </w:rPr>
        <w:t xml:space="preserve"> на дехидро-арипипразол, който е активен метаболит на арипипразол, намаляват съответно с 32% и 47%. При едновременното приложение на Абизол с хинидин, дозата на Абизол трябва да бъде намалена почти наполовина спрямо обичайно предписваната доза. Подобни ефекти може да се очакват и при други мощни инхибитори на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като флуоксетин и пароксетин, поради което е необходимо същото редуциране на дозата.</w:t>
      </w:r>
    </w:p>
    <w:p w14:paraId="61FC1D64" w14:textId="77777777" w:rsidR="003F3402" w:rsidRPr="00304265" w:rsidRDefault="003F3402" w:rsidP="003F3402">
      <w:pPr>
        <w:spacing w:line="240" w:lineRule="auto"/>
        <w:rPr>
          <w:rFonts w:eastAsia="Times New Roman" w:cs="Arial"/>
          <w:color w:val="000000"/>
          <w:lang w:eastAsia="bg-BG"/>
        </w:rPr>
      </w:pPr>
    </w:p>
    <w:p w14:paraId="4DB0D3DB" w14:textId="77777777" w:rsidR="003F3402" w:rsidRPr="00304265" w:rsidRDefault="003F3402" w:rsidP="003F3402">
      <w:pPr>
        <w:spacing w:line="240" w:lineRule="auto"/>
        <w:rPr>
          <w:rFonts w:eastAsia="Times New Roman" w:cs="Arial"/>
          <w:color w:val="000000"/>
          <w:lang w:eastAsia="bg-BG"/>
        </w:rPr>
      </w:pPr>
      <w:r w:rsidRPr="003F3402">
        <w:rPr>
          <w:rFonts w:eastAsia="Times New Roman" w:cs="Arial"/>
          <w:color w:val="000000"/>
          <w:lang w:eastAsia="bg-BG"/>
        </w:rPr>
        <w:t xml:space="preserve">В клинично проучване при здрави доброволци, мощният инхибитор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(кетоконазол) повишава </w:t>
      </w:r>
      <w:r w:rsidRPr="003F3402">
        <w:rPr>
          <w:rFonts w:eastAsia="Times New Roman" w:cs="Arial"/>
          <w:color w:val="000000"/>
          <w:lang w:val="en-US"/>
        </w:rPr>
        <w:t>AUC</w:t>
      </w:r>
      <w:r w:rsidRPr="003F3402">
        <w:rPr>
          <w:rFonts w:eastAsia="Times New Roman" w:cs="Arial"/>
          <w:color w:val="000000"/>
          <w:lang w:val="ru-RU"/>
        </w:rPr>
        <w:t xml:space="preserve"> </w:t>
      </w:r>
      <w:r w:rsidRPr="003F3402">
        <w:rPr>
          <w:rFonts w:eastAsia="Times New Roman" w:cs="Arial"/>
          <w:color w:val="000000"/>
          <w:lang w:eastAsia="bg-BG"/>
        </w:rPr>
        <w:t>и С</w:t>
      </w:r>
      <w:r w:rsidRPr="003F3402">
        <w:rPr>
          <w:rFonts w:eastAsia="Times New Roman" w:cs="Arial"/>
          <w:color w:val="000000"/>
          <w:vertAlign w:val="subscript"/>
          <w:lang w:val="en-US"/>
        </w:rPr>
        <w:t>max</w:t>
      </w:r>
      <w:r w:rsidRPr="003F3402">
        <w:rPr>
          <w:rFonts w:eastAsia="Times New Roman" w:cs="Arial"/>
          <w:color w:val="000000"/>
          <w:lang w:eastAsia="bg-BG"/>
        </w:rPr>
        <w:t xml:space="preserve"> на арипипразол съответно с 63% и 37%. </w:t>
      </w:r>
      <w:r w:rsidRPr="003F3402">
        <w:rPr>
          <w:rFonts w:eastAsia="Times New Roman" w:cs="Arial"/>
          <w:color w:val="000000"/>
          <w:lang w:val="en-US"/>
        </w:rPr>
        <w:t>AUC</w:t>
      </w:r>
      <w:r w:rsidRPr="003F3402">
        <w:rPr>
          <w:rFonts w:eastAsia="Times New Roman" w:cs="Arial"/>
          <w:color w:val="000000"/>
          <w:lang w:val="ru-RU"/>
        </w:rPr>
        <w:t xml:space="preserve"> </w:t>
      </w:r>
      <w:r w:rsidRPr="003F3402">
        <w:rPr>
          <w:rFonts w:eastAsia="Times New Roman" w:cs="Arial"/>
          <w:color w:val="000000"/>
          <w:lang w:eastAsia="bg-BG"/>
        </w:rPr>
        <w:t>и С</w:t>
      </w:r>
      <w:r w:rsidRPr="003F3402">
        <w:rPr>
          <w:rFonts w:eastAsia="Times New Roman" w:cs="Arial"/>
          <w:color w:val="000000"/>
          <w:vertAlign w:val="subscript"/>
          <w:lang w:val="en-US"/>
        </w:rPr>
        <w:t>max</w:t>
      </w:r>
      <w:r w:rsidRPr="003F3402">
        <w:rPr>
          <w:rFonts w:eastAsia="Times New Roman" w:cs="Arial"/>
          <w:color w:val="000000"/>
          <w:lang w:eastAsia="bg-BG"/>
        </w:rPr>
        <w:t xml:space="preserve"> на дехидро-арипипразол се повишават съответно със 77% и 43%. При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 xml:space="preserve">бавни бавни метаболизатори едновременното приложение на мощни инхибитори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може да доведе до по-високи плазмени концентрации на арипипразол, в сравнение с тези при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 xml:space="preserve">бързи метаболизатори. </w:t>
      </w:r>
    </w:p>
    <w:p w14:paraId="4DB7FEB8" w14:textId="5D907085"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При едновременно приложение на кетоконазол или други мощни инхибитори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и Абизол, трябва да бъде направена оценка на съотношението полза/риск за пациента. При едновременна употреба на кетоконазол и Абизол, дозата на Абизол трябва да се намали наполовина, спрямо обичайно прилаганата доза. Подобни ефекти може да се очакват и при други мощни инхибитори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като итраконазол и </w:t>
      </w:r>
      <w:r w:rsidRPr="003F3402">
        <w:rPr>
          <w:rFonts w:eastAsia="Times New Roman" w:cs="Arial"/>
          <w:color w:val="000000"/>
          <w:lang w:val="en-US"/>
        </w:rPr>
        <w:t>HIV</w:t>
      </w:r>
      <w:r w:rsidRPr="003F3402">
        <w:rPr>
          <w:rFonts w:eastAsia="Times New Roman" w:cs="Arial"/>
          <w:color w:val="000000"/>
          <w:lang w:eastAsia="bg-BG"/>
        </w:rPr>
        <w:t>-протеазни инхибитори, поради което е необходимо същото редуциране на дозата.</w:t>
      </w:r>
    </w:p>
    <w:p w14:paraId="7F83A884" w14:textId="77777777" w:rsidR="00304265" w:rsidRPr="00304265" w:rsidRDefault="00304265" w:rsidP="003F3402">
      <w:pPr>
        <w:spacing w:line="240" w:lineRule="auto"/>
        <w:rPr>
          <w:rFonts w:eastAsia="Times New Roman" w:cs="Arial"/>
          <w:color w:val="000000"/>
          <w:lang w:eastAsia="bg-BG"/>
        </w:rPr>
      </w:pPr>
    </w:p>
    <w:p w14:paraId="26B3A6FF" w14:textId="09398A84"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При преустановяване приема на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или ЗА4 инхибитор, дозата на Абизол трябва да се повиши до тази прилагана преди започване на комбинираното лечение.</w:t>
      </w:r>
    </w:p>
    <w:p w14:paraId="7B2C9635" w14:textId="77777777" w:rsidR="00304265" w:rsidRPr="00304265" w:rsidRDefault="00304265" w:rsidP="003F3402">
      <w:pPr>
        <w:spacing w:line="240" w:lineRule="auto"/>
        <w:rPr>
          <w:rFonts w:eastAsia="Times New Roman" w:cs="Arial"/>
          <w:color w:val="000000"/>
          <w:lang w:eastAsia="bg-BG"/>
        </w:rPr>
      </w:pPr>
    </w:p>
    <w:p w14:paraId="551A496C" w14:textId="78E4C37D"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Когато слаби инхибитори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(напр. дилтиазем или есциталопрам) или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Pr="003F3402">
        <w:rPr>
          <w:rFonts w:eastAsia="Times New Roman" w:cs="Arial"/>
          <w:color w:val="000000"/>
          <w:lang w:eastAsia="bg-BG"/>
        </w:rPr>
        <w:t>се използват едновременно с Абизол, може да се очаква слабо повишаване на концентрациите на арипипразол.</w:t>
      </w:r>
    </w:p>
    <w:p w14:paraId="156B4DD8" w14:textId="77777777" w:rsidR="00304265" w:rsidRPr="00304265" w:rsidRDefault="00304265" w:rsidP="003F3402">
      <w:pPr>
        <w:spacing w:line="240" w:lineRule="auto"/>
        <w:rPr>
          <w:rFonts w:eastAsia="Times New Roman" w:cs="Arial"/>
          <w:color w:val="000000"/>
          <w:lang w:eastAsia="bg-BG"/>
        </w:rPr>
      </w:pPr>
    </w:p>
    <w:p w14:paraId="6C7F8455" w14:textId="788B5C92"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След едновременно приложение на карбамазепин, мощен индуктор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измерените геометрични средни на </w:t>
      </w:r>
      <w:proofErr w:type="spellStart"/>
      <w:r w:rsidRPr="003F3402">
        <w:rPr>
          <w:rFonts w:eastAsia="Times New Roman" w:cs="Arial"/>
          <w:color w:val="000000"/>
          <w:lang w:val="en-US"/>
        </w:rPr>
        <w:t>C</w:t>
      </w:r>
      <w:r w:rsidRPr="003F3402">
        <w:rPr>
          <w:rFonts w:eastAsia="Times New Roman" w:cs="Arial"/>
          <w:color w:val="000000"/>
          <w:vertAlign w:val="subscript"/>
          <w:lang w:val="en-US"/>
        </w:rPr>
        <w:t>max</w:t>
      </w:r>
      <w:proofErr w:type="spellEnd"/>
      <w:r w:rsidRPr="003F3402">
        <w:rPr>
          <w:rFonts w:eastAsia="Times New Roman" w:cs="Arial"/>
          <w:color w:val="000000"/>
          <w:lang w:val="ru-RU"/>
        </w:rPr>
        <w:t xml:space="preserve"> </w:t>
      </w:r>
      <w:r w:rsidRPr="003F3402">
        <w:rPr>
          <w:rFonts w:eastAsia="Times New Roman" w:cs="Arial"/>
          <w:color w:val="000000"/>
          <w:lang w:eastAsia="bg-BG"/>
        </w:rPr>
        <w:t xml:space="preserve">и </w:t>
      </w:r>
      <w:r w:rsidRPr="003F3402">
        <w:rPr>
          <w:rFonts w:eastAsia="Times New Roman" w:cs="Arial"/>
          <w:color w:val="000000"/>
          <w:lang w:val="en-US"/>
        </w:rPr>
        <w:t>AUC</w:t>
      </w:r>
      <w:r w:rsidRPr="003F3402">
        <w:rPr>
          <w:rFonts w:eastAsia="Times New Roman" w:cs="Arial"/>
          <w:color w:val="000000"/>
          <w:lang w:val="ru-RU"/>
        </w:rPr>
        <w:t xml:space="preserve"> </w:t>
      </w:r>
      <w:r w:rsidRPr="003F3402">
        <w:rPr>
          <w:rFonts w:eastAsia="Times New Roman" w:cs="Arial"/>
          <w:color w:val="000000"/>
          <w:lang w:eastAsia="bg-BG"/>
        </w:rPr>
        <w:t xml:space="preserve">на арипипразол са били по-ниски със съответно 68% и 73% спрямо тези при самостоятелно приложение на арипипразол (30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 xml:space="preserve">Подобно на това, геометричните средни на </w:t>
      </w:r>
      <w:proofErr w:type="spellStart"/>
      <w:r w:rsidRPr="003F3402">
        <w:rPr>
          <w:rFonts w:eastAsia="Times New Roman" w:cs="Arial"/>
          <w:color w:val="000000"/>
          <w:lang w:val="en-US"/>
        </w:rPr>
        <w:t>C</w:t>
      </w:r>
      <w:r w:rsidRPr="003F3402">
        <w:rPr>
          <w:rFonts w:eastAsia="Times New Roman" w:cs="Arial"/>
          <w:color w:val="000000"/>
          <w:vertAlign w:val="subscript"/>
          <w:lang w:val="en-US"/>
        </w:rPr>
        <w:t>max</w:t>
      </w:r>
      <w:proofErr w:type="spellEnd"/>
      <w:r w:rsidRPr="003F3402">
        <w:rPr>
          <w:rFonts w:eastAsia="Times New Roman" w:cs="Arial"/>
          <w:color w:val="000000"/>
          <w:lang w:val="ru-RU"/>
        </w:rPr>
        <w:t xml:space="preserve"> </w:t>
      </w:r>
      <w:r w:rsidRPr="003F3402">
        <w:rPr>
          <w:rFonts w:eastAsia="Times New Roman" w:cs="Arial"/>
          <w:color w:val="000000"/>
          <w:lang w:eastAsia="bg-BG"/>
        </w:rPr>
        <w:t xml:space="preserve">и </w:t>
      </w:r>
      <w:r w:rsidRPr="003F3402">
        <w:rPr>
          <w:rFonts w:eastAsia="Times New Roman" w:cs="Arial"/>
          <w:color w:val="000000"/>
          <w:lang w:val="en-US"/>
        </w:rPr>
        <w:t>AUC</w:t>
      </w:r>
      <w:r w:rsidRPr="003F3402">
        <w:rPr>
          <w:rFonts w:eastAsia="Times New Roman" w:cs="Arial"/>
          <w:color w:val="000000"/>
          <w:lang w:val="ru-RU"/>
        </w:rPr>
        <w:t xml:space="preserve"> </w:t>
      </w:r>
      <w:r w:rsidRPr="003F3402">
        <w:rPr>
          <w:rFonts w:eastAsia="Times New Roman" w:cs="Arial"/>
          <w:color w:val="000000"/>
          <w:lang w:eastAsia="bg-BG"/>
        </w:rPr>
        <w:t>на дехидро-арипипразол, след едновременно приложение с карбамазепин са били по- ниски съответно с 69% и 71%, спрямо тези при самостоятелно приложение на арипипразол.</w:t>
      </w:r>
    </w:p>
    <w:p w14:paraId="2893278D" w14:textId="77777777" w:rsidR="00304265" w:rsidRPr="00304265" w:rsidRDefault="00304265" w:rsidP="003F3402">
      <w:pPr>
        <w:spacing w:line="240" w:lineRule="auto"/>
        <w:rPr>
          <w:rFonts w:eastAsia="Times New Roman" w:cs="Arial"/>
          <w:color w:val="000000"/>
          <w:lang w:eastAsia="bg-BG"/>
        </w:rPr>
      </w:pPr>
    </w:p>
    <w:p w14:paraId="73049162" w14:textId="5096143C"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При едновременна употреба на Абизол и карбамазепин, дозата на Абизол трябва да бъде удвоена. Подобни ефекти може да се очакват и при други мощни индуктори на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 xml:space="preserve">(като рифампицин, рифабутин, фенитоин, фенобарбитал, примидон, ефавиренц, невирапин и жълт кантарион), което налага подобно повишаване на дозата. При преустановяване на приема на мощните </w:t>
      </w:r>
      <w:r w:rsidRPr="003F3402">
        <w:rPr>
          <w:rFonts w:eastAsia="Times New Roman" w:cs="Arial"/>
          <w:color w:val="000000"/>
          <w:lang w:val="en-US"/>
        </w:rPr>
        <w:t>CYP</w:t>
      </w:r>
      <w:r w:rsidRPr="003F3402">
        <w:rPr>
          <w:rFonts w:eastAsia="Times New Roman" w:cs="Arial"/>
          <w:color w:val="000000"/>
          <w:lang w:val="ru-RU"/>
        </w:rPr>
        <w:t>3</w:t>
      </w:r>
      <w:r w:rsidRPr="003F3402">
        <w:rPr>
          <w:rFonts w:eastAsia="Times New Roman" w:cs="Arial"/>
          <w:color w:val="000000"/>
          <w:lang w:val="en-US"/>
        </w:rPr>
        <w:t>A</w:t>
      </w:r>
      <w:r w:rsidRPr="003F3402">
        <w:rPr>
          <w:rFonts w:eastAsia="Times New Roman" w:cs="Arial"/>
          <w:color w:val="000000"/>
          <w:lang w:val="ru-RU"/>
        </w:rPr>
        <w:t xml:space="preserve">4 </w:t>
      </w:r>
      <w:r w:rsidRPr="003F3402">
        <w:rPr>
          <w:rFonts w:eastAsia="Times New Roman" w:cs="Arial"/>
          <w:color w:val="000000"/>
          <w:lang w:eastAsia="bg-BG"/>
        </w:rPr>
        <w:t>индуктори, дозата на арипипразол трябва да бъде намалена до обичайно прилаганата доза.</w:t>
      </w:r>
    </w:p>
    <w:p w14:paraId="18155B79" w14:textId="77777777" w:rsidR="00304265" w:rsidRPr="00304265" w:rsidRDefault="00304265" w:rsidP="003F3402">
      <w:pPr>
        <w:spacing w:line="240" w:lineRule="auto"/>
        <w:rPr>
          <w:rFonts w:eastAsia="Times New Roman" w:cs="Arial"/>
          <w:color w:val="000000"/>
          <w:lang w:eastAsia="bg-BG"/>
        </w:rPr>
      </w:pPr>
    </w:p>
    <w:p w14:paraId="114A5B02" w14:textId="30611953" w:rsidR="003F3402" w:rsidRPr="003F3402" w:rsidRDefault="003F3402" w:rsidP="003F3402">
      <w:pPr>
        <w:spacing w:line="240" w:lineRule="auto"/>
        <w:rPr>
          <w:rFonts w:eastAsia="Times New Roman" w:cs="Arial"/>
        </w:rPr>
      </w:pPr>
      <w:r w:rsidRPr="003F3402">
        <w:rPr>
          <w:rFonts w:eastAsia="Times New Roman" w:cs="Arial"/>
          <w:color w:val="000000"/>
          <w:lang w:eastAsia="bg-BG"/>
        </w:rPr>
        <w:t>При едновременната употреба на валпроат или литий с арипипразол, не е наблюдавана клинично значима промяна в концентрациите на арипипразол.</w:t>
      </w:r>
    </w:p>
    <w:p w14:paraId="1C523772" w14:textId="77777777" w:rsidR="00304265" w:rsidRPr="00304265" w:rsidRDefault="00304265" w:rsidP="003F3402">
      <w:pPr>
        <w:spacing w:line="240" w:lineRule="auto"/>
        <w:rPr>
          <w:rFonts w:eastAsia="Times New Roman" w:cs="Arial"/>
          <w:color w:val="000000"/>
          <w:lang w:eastAsia="bg-BG"/>
        </w:rPr>
      </w:pPr>
    </w:p>
    <w:p w14:paraId="6C921FAF" w14:textId="0662EE07" w:rsidR="003F3402" w:rsidRPr="003F3402" w:rsidRDefault="003F3402" w:rsidP="003F3402">
      <w:pPr>
        <w:spacing w:line="240" w:lineRule="auto"/>
        <w:rPr>
          <w:rFonts w:eastAsia="Times New Roman" w:cs="Arial"/>
        </w:rPr>
      </w:pPr>
      <w:r w:rsidRPr="003F3402">
        <w:rPr>
          <w:rFonts w:eastAsia="Times New Roman" w:cs="Arial"/>
          <w:color w:val="000000"/>
          <w:lang w:eastAsia="bg-BG"/>
        </w:rPr>
        <w:t xml:space="preserve">Серотонинов синдром: съобщавани са случаи на серотонинов синдром при пациенти приемащи арипипразол, като е възможна поява на признаци и симптоми свързани с това състояние, особено при едновременно приемане на серотонинергични лекарствени продукти, като например </w:t>
      </w:r>
      <w:r w:rsidRPr="003F3402">
        <w:rPr>
          <w:rFonts w:eastAsia="Times New Roman" w:cs="Arial"/>
          <w:color w:val="000000"/>
          <w:lang w:val="en-US"/>
        </w:rPr>
        <w:t>SSRI</w:t>
      </w:r>
      <w:r w:rsidRPr="003F3402">
        <w:rPr>
          <w:rFonts w:eastAsia="Times New Roman" w:cs="Arial"/>
          <w:color w:val="000000"/>
          <w:lang w:val="ru-RU"/>
        </w:rPr>
        <w:t>/</w:t>
      </w:r>
      <w:r w:rsidRPr="003F3402">
        <w:rPr>
          <w:rFonts w:eastAsia="Times New Roman" w:cs="Arial"/>
          <w:color w:val="000000"/>
          <w:lang w:val="en-US"/>
        </w:rPr>
        <w:t>SNRI</w:t>
      </w:r>
      <w:r w:rsidRPr="003F3402">
        <w:rPr>
          <w:rFonts w:eastAsia="Times New Roman" w:cs="Arial"/>
          <w:color w:val="000000"/>
          <w:lang w:val="ru-RU"/>
        </w:rPr>
        <w:t xml:space="preserve"> </w:t>
      </w:r>
      <w:r w:rsidRPr="003F3402">
        <w:rPr>
          <w:rFonts w:eastAsia="Times New Roman" w:cs="Arial"/>
          <w:color w:val="000000"/>
          <w:lang w:eastAsia="bg-BG"/>
        </w:rPr>
        <w:t>или такива, за които е известно, че повишават концентрацията на арипипразол (вж. точка 4.8).</w:t>
      </w:r>
    </w:p>
    <w:p w14:paraId="39F094FD" w14:textId="77777777" w:rsidR="00304265" w:rsidRPr="00304265" w:rsidRDefault="00304265" w:rsidP="003F3402">
      <w:pPr>
        <w:spacing w:line="240" w:lineRule="auto"/>
        <w:rPr>
          <w:rFonts w:eastAsia="Times New Roman" w:cs="Arial"/>
          <w:color w:val="000000"/>
          <w:u w:val="single"/>
          <w:lang w:eastAsia="bg-BG"/>
        </w:rPr>
      </w:pPr>
    </w:p>
    <w:p w14:paraId="3CD6731C" w14:textId="5AF9BDBB" w:rsidR="003F3402" w:rsidRPr="003F3402" w:rsidRDefault="003F3402" w:rsidP="003F3402">
      <w:pPr>
        <w:spacing w:line="240" w:lineRule="auto"/>
        <w:rPr>
          <w:rFonts w:eastAsia="Times New Roman" w:cs="Arial"/>
        </w:rPr>
      </w:pPr>
      <w:r w:rsidRPr="003F3402">
        <w:rPr>
          <w:rFonts w:eastAsia="Times New Roman" w:cs="Arial"/>
          <w:color w:val="000000"/>
          <w:u w:val="single"/>
          <w:lang w:eastAsia="bg-BG"/>
        </w:rPr>
        <w:t>Потенциална възможност на Абизол да въздейства върху други лекарствени продукти:</w:t>
      </w:r>
    </w:p>
    <w:p w14:paraId="218ADEF4" w14:textId="3EE33BD0" w:rsidR="00304265" w:rsidRPr="000D09C1" w:rsidRDefault="003F3402" w:rsidP="000D09C1">
      <w:pPr>
        <w:spacing w:line="240" w:lineRule="auto"/>
        <w:rPr>
          <w:rFonts w:eastAsia="Times New Roman" w:cs="Arial"/>
          <w:color w:val="000000"/>
          <w:lang w:eastAsia="bg-BG"/>
        </w:rPr>
      </w:pPr>
      <w:r w:rsidRPr="003F3402">
        <w:rPr>
          <w:rFonts w:eastAsia="Times New Roman" w:cs="Arial"/>
          <w:color w:val="000000"/>
          <w:lang w:eastAsia="bg-BG"/>
        </w:rPr>
        <w:t xml:space="preserve">В клинични проучвания дози от 10-30 </w:t>
      </w:r>
      <w:r w:rsidRPr="003F3402">
        <w:rPr>
          <w:rFonts w:eastAsia="Times New Roman" w:cs="Arial"/>
          <w:color w:val="000000"/>
          <w:lang w:val="en-US"/>
        </w:rPr>
        <w:t>mg</w:t>
      </w:r>
      <w:r w:rsidRPr="003F3402">
        <w:rPr>
          <w:rFonts w:eastAsia="Times New Roman" w:cs="Arial"/>
          <w:color w:val="000000"/>
          <w:lang w:val="ru-RU"/>
        </w:rPr>
        <w:t xml:space="preserve"> </w:t>
      </w:r>
      <w:r w:rsidRPr="003F3402">
        <w:rPr>
          <w:rFonts w:eastAsia="Times New Roman" w:cs="Arial"/>
          <w:color w:val="000000"/>
          <w:lang w:eastAsia="bg-BG"/>
        </w:rPr>
        <w:t>арипипразол дневно не са показали</w:t>
      </w:r>
      <w:r w:rsidRPr="003F3402">
        <w:rPr>
          <w:rFonts w:eastAsia="Times New Roman" w:cs="Arial"/>
          <w:color w:val="000000"/>
          <w:lang w:val="ru-RU"/>
        </w:rPr>
        <w:t xml:space="preserve"> </w:t>
      </w:r>
      <w:r w:rsidRPr="003F3402">
        <w:rPr>
          <w:rFonts w:eastAsia="Times New Roman" w:cs="Arial"/>
          <w:color w:val="000000"/>
          <w:lang w:eastAsia="bg-BG"/>
        </w:rPr>
        <w:t>значим ефект върху</w:t>
      </w:r>
      <w:r w:rsidR="000D09C1" w:rsidRPr="000D09C1">
        <w:rPr>
          <w:rFonts w:eastAsia="Times New Roman" w:cs="Arial"/>
          <w:lang w:val="ru-RU"/>
        </w:rPr>
        <w:t xml:space="preserve"> </w:t>
      </w:r>
      <w:r w:rsidRPr="003F3402">
        <w:rPr>
          <w:rFonts w:eastAsia="Times New Roman" w:cs="Arial"/>
          <w:color w:val="000000"/>
          <w:lang w:eastAsia="bg-BG"/>
        </w:rPr>
        <w:t xml:space="preserve">метаболизма на субстратите на </w:t>
      </w:r>
      <w:r w:rsidRPr="003F3402">
        <w:rPr>
          <w:rFonts w:eastAsia="Times New Roman" w:cs="Arial"/>
          <w:color w:val="000000"/>
          <w:lang w:val="en-US"/>
        </w:rPr>
        <w:t>CYP</w:t>
      </w:r>
      <w:r w:rsidRPr="003F3402">
        <w:rPr>
          <w:rFonts w:eastAsia="Times New Roman" w:cs="Arial"/>
          <w:color w:val="000000"/>
          <w:lang w:val="ru-RU"/>
        </w:rPr>
        <w:t>2</w:t>
      </w:r>
      <w:r w:rsidRPr="003F3402">
        <w:rPr>
          <w:rFonts w:eastAsia="Times New Roman" w:cs="Arial"/>
          <w:color w:val="000000"/>
          <w:lang w:val="en-US"/>
        </w:rPr>
        <w:t>D</w:t>
      </w:r>
      <w:r w:rsidRPr="003F3402">
        <w:rPr>
          <w:rFonts w:eastAsia="Times New Roman" w:cs="Arial"/>
          <w:color w:val="000000"/>
          <w:lang w:val="ru-RU"/>
        </w:rPr>
        <w:t xml:space="preserve">6 </w:t>
      </w:r>
      <w:r w:rsidR="000D09C1">
        <w:rPr>
          <w:rFonts w:eastAsia="Times New Roman" w:cs="Arial"/>
          <w:color w:val="000000"/>
          <w:lang w:eastAsia="bg-BG"/>
        </w:rPr>
        <w:t xml:space="preserve">(съотношението </w:t>
      </w:r>
      <w:r w:rsidRPr="003F3402">
        <w:rPr>
          <w:rFonts w:eastAsia="Times New Roman" w:cs="Arial"/>
          <w:color w:val="000000"/>
          <w:lang w:eastAsia="bg-BG"/>
        </w:rPr>
        <w:t>декстрометорфан/3-метокоиморфинан) (варфарин), 2С19 (омепразол) и ЗА4 (декстрометорфан). Освен т</w:t>
      </w:r>
      <w:r w:rsidR="000D09C1">
        <w:rPr>
          <w:rFonts w:eastAsia="Times New Roman" w:cs="Arial"/>
          <w:color w:val="000000"/>
          <w:lang w:eastAsia="bg-BG"/>
        </w:rPr>
        <w:t>ова, арипипразол и дехидро-арип</w:t>
      </w:r>
      <w:bookmarkStart w:id="1" w:name="_GoBack"/>
      <w:bookmarkEnd w:id="1"/>
      <w:r w:rsidR="000D09C1">
        <w:rPr>
          <w:rFonts w:eastAsia="Times New Roman" w:cs="Arial"/>
          <w:color w:val="000000"/>
          <w:lang w:eastAsia="bg-BG"/>
        </w:rPr>
        <w:t xml:space="preserve">разол </w:t>
      </w:r>
      <w:r w:rsidR="00304265" w:rsidRPr="00304265">
        <w:rPr>
          <w:rFonts w:eastAsia="Times New Roman" w:cs="Arial"/>
          <w:color w:val="000000"/>
          <w:lang w:eastAsia="bg-BG"/>
        </w:rPr>
        <w:t>не са показали потенциал за въздействие върху С</w:t>
      </w:r>
      <w:r w:rsidR="00304265" w:rsidRPr="00304265">
        <w:rPr>
          <w:rFonts w:eastAsia="Times New Roman" w:cs="Arial"/>
          <w:color w:val="000000"/>
          <w:lang w:val="en-US"/>
        </w:rPr>
        <w:t>YP</w:t>
      </w:r>
      <w:r w:rsidR="00304265" w:rsidRPr="00304265">
        <w:rPr>
          <w:rFonts w:eastAsia="Times New Roman" w:cs="Arial"/>
          <w:color w:val="000000"/>
          <w:lang w:eastAsia="bg-BG"/>
        </w:rPr>
        <w:t xml:space="preserve">1 А2-медиирания метаболизум </w:t>
      </w:r>
      <w:r w:rsidR="00304265" w:rsidRPr="00304265">
        <w:rPr>
          <w:rFonts w:eastAsia="Times New Roman" w:cs="Arial"/>
          <w:i/>
          <w:iCs/>
          <w:color w:val="000000"/>
          <w:lang w:val="en-US"/>
        </w:rPr>
        <w:t>in</w:t>
      </w:r>
      <w:r w:rsidR="00304265" w:rsidRPr="00304265">
        <w:rPr>
          <w:rFonts w:eastAsia="Times New Roman" w:cs="Arial"/>
          <w:i/>
          <w:iCs/>
          <w:color w:val="000000"/>
          <w:lang w:val="ru-RU"/>
        </w:rPr>
        <w:t xml:space="preserve"> </w:t>
      </w:r>
      <w:r w:rsidR="00304265" w:rsidRPr="00304265">
        <w:rPr>
          <w:rFonts w:eastAsia="Times New Roman" w:cs="Arial"/>
          <w:i/>
          <w:iCs/>
          <w:color w:val="000000"/>
          <w:lang w:val="en-US"/>
        </w:rPr>
        <w:t>vitro</w:t>
      </w:r>
      <w:r w:rsidR="00304265" w:rsidRPr="00304265">
        <w:rPr>
          <w:rFonts w:eastAsia="Times New Roman" w:cs="Arial"/>
          <w:i/>
          <w:iCs/>
          <w:color w:val="000000"/>
          <w:lang w:val="ru-RU"/>
        </w:rPr>
        <w:t xml:space="preserve">. </w:t>
      </w:r>
      <w:r w:rsidR="00304265" w:rsidRPr="00304265">
        <w:rPr>
          <w:rFonts w:eastAsia="Times New Roman" w:cs="Arial"/>
          <w:color w:val="000000"/>
          <w:lang w:eastAsia="bg-BG"/>
        </w:rPr>
        <w:t>Ето защо, не се очаква арипипразол да доведе до клинично значими лекарствени взаимодействия с лекарствени продукти, медиирани от тези ензимни системи.</w:t>
      </w:r>
    </w:p>
    <w:p w14:paraId="5CA04B54" w14:textId="77777777" w:rsidR="00304265" w:rsidRPr="00304265" w:rsidRDefault="00304265" w:rsidP="00304265">
      <w:pPr>
        <w:spacing w:line="240" w:lineRule="auto"/>
        <w:rPr>
          <w:rFonts w:eastAsia="Times New Roman" w:cs="Arial"/>
          <w:color w:val="000000"/>
          <w:lang w:eastAsia="bg-BG"/>
        </w:rPr>
      </w:pPr>
    </w:p>
    <w:p w14:paraId="6798022B" w14:textId="4D98090E" w:rsidR="00304265" w:rsidRPr="00304265" w:rsidRDefault="00304265" w:rsidP="00304265">
      <w:pPr>
        <w:spacing w:line="240" w:lineRule="auto"/>
        <w:rPr>
          <w:rFonts w:eastAsia="Times New Roman" w:cs="Arial"/>
        </w:rPr>
      </w:pPr>
      <w:r w:rsidRPr="00304265">
        <w:rPr>
          <w:rFonts w:eastAsia="Times New Roman" w:cs="Arial"/>
          <w:color w:val="000000"/>
          <w:lang w:eastAsia="bg-BG"/>
        </w:rPr>
        <w:t>При едновременното приложение на арипипразол с валпроат, литий или ламотригин не са наблюдавани клинично значими промени в концентрациите на валпроат, литий или ламотригин.</w:t>
      </w:r>
    </w:p>
    <w:p w14:paraId="5C486FF7" w14:textId="40B2D9EE" w:rsidR="003F3402" w:rsidRPr="003F3402" w:rsidRDefault="003F3402" w:rsidP="003F3402"/>
    <w:p w14:paraId="6EADE4D6" w14:textId="364D782F" w:rsidR="00395555" w:rsidRDefault="002C50EE" w:rsidP="008A6AF2">
      <w:pPr>
        <w:pStyle w:val="Heading2"/>
      </w:pPr>
      <w:r>
        <w:t>4.6. Фертилитет, бременност и кърмене</w:t>
      </w:r>
    </w:p>
    <w:p w14:paraId="55087665" w14:textId="285F661D" w:rsidR="00304265" w:rsidRDefault="00304265" w:rsidP="00304265"/>
    <w:p w14:paraId="2AD7DA0A" w14:textId="77777777" w:rsidR="00304265" w:rsidRPr="00304265" w:rsidRDefault="00304265" w:rsidP="00304265">
      <w:pPr>
        <w:pStyle w:val="Heading3"/>
        <w:rPr>
          <w:rFonts w:eastAsia="Times New Roman"/>
          <w:u w:val="single"/>
        </w:rPr>
      </w:pPr>
      <w:r w:rsidRPr="00304265">
        <w:rPr>
          <w:rFonts w:eastAsia="Times New Roman"/>
          <w:u w:val="single"/>
          <w:lang w:eastAsia="bg-BG"/>
        </w:rPr>
        <w:t>Бременност</w:t>
      </w:r>
    </w:p>
    <w:p w14:paraId="35D483E8" w14:textId="77777777" w:rsidR="00304265" w:rsidRPr="00304265" w:rsidRDefault="00304265" w:rsidP="00304265">
      <w:pPr>
        <w:rPr>
          <w:sz w:val="24"/>
          <w:szCs w:val="24"/>
        </w:rPr>
      </w:pPr>
      <w:r w:rsidRPr="00304265">
        <w:rPr>
          <w:lang w:eastAsia="bg-BG"/>
        </w:rPr>
        <w:t xml:space="preserve">Не са провеждани съответни контролирани проучвания с арипипразол при бременни жени. Докладвани са конгенитални аномалии, обаче, не може да се установи причинно-следствена връзка с арипипразол. Проучванията при животни не изключват възможността за поява на токсичност (вж.точка 5.3). Пациентите трябва да бъдат съветвани да осведомят лекуващия лекар в случай на поява на бременност или, ако </w:t>
      </w:r>
      <w:r w:rsidRPr="00304265">
        <w:rPr>
          <w:lang w:eastAsia="bg-BG"/>
        </w:rPr>
        <w:lastRenderedPageBreak/>
        <w:t>планират такава по време на лечението с арипипразол. Поради недостатъчните данни за безопасност при хора и резултатите получени от репродуктивните проучвания при животни, този лекарствен продукт не трябва да се прилага по време на бременност, освен в случаите, когато очакваната полза ясно оправдава потенциалния риск за плода.</w:t>
      </w:r>
    </w:p>
    <w:p w14:paraId="34D51FB1" w14:textId="77777777" w:rsidR="00304265" w:rsidRPr="00304265" w:rsidRDefault="00304265" w:rsidP="00304265">
      <w:pPr>
        <w:rPr>
          <w:sz w:val="24"/>
          <w:szCs w:val="24"/>
        </w:rPr>
      </w:pPr>
      <w:r w:rsidRPr="00304265">
        <w:rPr>
          <w:lang w:eastAsia="bg-BG"/>
        </w:rPr>
        <w:t>При новородени, изложени на антипсихотици (включително арипипразол) през третия триместър на бременността има риск от нежелани лекарствени реакции, включващи екстрапирамидни симптоми и/или симптоми на отнемане след раждането, които може да варират по тежест и продължителност. Докладвани са случаи на възбуда, хипертония, хипотония, тремор, сомнолентност, респираторен дистерс или хранителни разстройства. Затова, новородените трябва да бъдат внимателно мониторирани.</w:t>
      </w:r>
    </w:p>
    <w:p w14:paraId="3E766A58" w14:textId="77777777" w:rsidR="00304265" w:rsidRDefault="00304265" w:rsidP="00304265">
      <w:pPr>
        <w:rPr>
          <w:lang w:eastAsia="bg-BG"/>
        </w:rPr>
      </w:pPr>
    </w:p>
    <w:p w14:paraId="6F2D9CEB" w14:textId="7D22E349" w:rsidR="00304265" w:rsidRPr="00304265" w:rsidRDefault="00304265" w:rsidP="00304265">
      <w:pPr>
        <w:pStyle w:val="Heading3"/>
        <w:rPr>
          <w:rFonts w:eastAsia="Times New Roman"/>
          <w:u w:val="single"/>
        </w:rPr>
      </w:pPr>
      <w:r w:rsidRPr="00304265">
        <w:rPr>
          <w:rFonts w:eastAsia="Times New Roman"/>
          <w:u w:val="single"/>
          <w:lang w:eastAsia="bg-BG"/>
        </w:rPr>
        <w:t>Кърмене</w:t>
      </w:r>
    </w:p>
    <w:p w14:paraId="6EDD3A87" w14:textId="3A76EB33" w:rsidR="00304265" w:rsidRDefault="00304265" w:rsidP="00304265">
      <w:pPr>
        <w:rPr>
          <w:lang w:eastAsia="bg-BG"/>
        </w:rPr>
      </w:pPr>
      <w:r w:rsidRPr="00304265">
        <w:rPr>
          <w:lang w:eastAsia="bg-BG"/>
        </w:rPr>
        <w:t>Арипипразол се отделя в кърмата. Пациентките трябва да бъдат съветвани да не кърмят по време на лечението с арипипразол.</w:t>
      </w:r>
    </w:p>
    <w:p w14:paraId="7F29DC8A" w14:textId="77777777" w:rsidR="00304265" w:rsidRPr="00304265" w:rsidRDefault="00304265" w:rsidP="00304265"/>
    <w:p w14:paraId="5766770B" w14:textId="03FE923F" w:rsidR="00395555" w:rsidRDefault="002C50EE" w:rsidP="008A6AF2">
      <w:pPr>
        <w:pStyle w:val="Heading2"/>
      </w:pPr>
      <w:r>
        <w:t>4.7. Ефекти върху способността за шофиране и работа с машини</w:t>
      </w:r>
    </w:p>
    <w:p w14:paraId="583D34F4" w14:textId="3F256C14" w:rsidR="00304265" w:rsidRDefault="00304265" w:rsidP="00304265"/>
    <w:p w14:paraId="6CFA469C" w14:textId="77777777" w:rsidR="00304265" w:rsidRPr="00304265" w:rsidRDefault="00304265" w:rsidP="00304265">
      <w:pPr>
        <w:rPr>
          <w:sz w:val="24"/>
          <w:szCs w:val="24"/>
        </w:rPr>
      </w:pPr>
      <w:r w:rsidRPr="00304265">
        <w:rPr>
          <w:lang w:eastAsia="bg-BG"/>
        </w:rPr>
        <w:t>Какго при другите антипсихотици, пациентите трябва да бъдат с повишено внимание при работа с потенциално опасни машини, включително превозни средства, докато не са напълно сигурни, че лечението с арипипразол няма отрицателен ефект върху изпълнението на тези дейности. При някои педиатрични пациенти с биполярно афективно разстройство тип I се наблюдава повишена честота на сомнолентност и отпадналост (вж. точка 4.8).</w:t>
      </w:r>
    </w:p>
    <w:p w14:paraId="19B00346" w14:textId="77777777" w:rsidR="00304265" w:rsidRPr="00304265" w:rsidRDefault="00304265" w:rsidP="00304265"/>
    <w:p w14:paraId="4FE16E21" w14:textId="5873C1C3" w:rsidR="00395555" w:rsidRDefault="002C50EE" w:rsidP="008A6AF2">
      <w:pPr>
        <w:pStyle w:val="Heading2"/>
      </w:pPr>
      <w:r>
        <w:t>4.8. Нежелани лекарствени реакции</w:t>
      </w:r>
    </w:p>
    <w:p w14:paraId="6BDD2FAD" w14:textId="1F7AF7E3" w:rsidR="00304265" w:rsidRDefault="00304265" w:rsidP="00304265"/>
    <w:p w14:paraId="0F8DF6F5" w14:textId="77777777" w:rsidR="00304265" w:rsidRPr="00304265" w:rsidRDefault="00304265" w:rsidP="00304265">
      <w:pPr>
        <w:spacing w:line="240" w:lineRule="auto"/>
        <w:rPr>
          <w:rFonts w:eastAsia="Times New Roman" w:cs="Arial"/>
          <w:sz w:val="12"/>
          <w:szCs w:val="24"/>
        </w:rPr>
      </w:pPr>
      <w:r w:rsidRPr="00304265">
        <w:rPr>
          <w:rFonts w:eastAsia="Times New Roman" w:cs="Arial"/>
          <w:color w:val="000000"/>
          <w:szCs w:val="42"/>
          <w:u w:val="single"/>
          <w:lang w:eastAsia="bg-BG"/>
        </w:rPr>
        <w:t>Резюме на профила на безопасност</w:t>
      </w:r>
    </w:p>
    <w:p w14:paraId="35775E06" w14:textId="77777777" w:rsidR="00304265" w:rsidRDefault="00304265" w:rsidP="00304265">
      <w:pPr>
        <w:spacing w:line="240" w:lineRule="auto"/>
        <w:rPr>
          <w:rFonts w:eastAsia="Times New Roman" w:cs="Arial"/>
          <w:color w:val="000000"/>
          <w:szCs w:val="42"/>
          <w:lang w:eastAsia="bg-BG"/>
        </w:rPr>
      </w:pPr>
    </w:p>
    <w:p w14:paraId="5447C1BC" w14:textId="0771D7FB" w:rsidR="00304265" w:rsidRPr="00304265" w:rsidRDefault="00304265" w:rsidP="00304265">
      <w:pPr>
        <w:spacing w:line="240" w:lineRule="auto"/>
        <w:rPr>
          <w:rFonts w:eastAsia="Times New Roman" w:cs="Arial"/>
          <w:sz w:val="12"/>
          <w:szCs w:val="24"/>
        </w:rPr>
      </w:pPr>
      <w:r w:rsidRPr="00304265">
        <w:rPr>
          <w:rFonts w:eastAsia="Times New Roman" w:cs="Arial"/>
          <w:color w:val="000000"/>
          <w:szCs w:val="42"/>
          <w:lang w:eastAsia="bg-BG"/>
        </w:rPr>
        <w:t>Най-често докладваните нежелани лекарствени реакции в плацебо контролирани проучвания са акатизия и гадене, появяващи се при над 3% от пациентите, лекувани с перорален арипипразол.</w:t>
      </w:r>
    </w:p>
    <w:p w14:paraId="77AEC96A" w14:textId="77777777" w:rsidR="00304265" w:rsidRDefault="00304265" w:rsidP="00304265">
      <w:pPr>
        <w:rPr>
          <w:rFonts w:eastAsia="Times New Roman" w:cs="Arial"/>
          <w:color w:val="000000"/>
          <w:szCs w:val="42"/>
          <w:lang w:eastAsia="bg-BG"/>
        </w:rPr>
      </w:pPr>
    </w:p>
    <w:p w14:paraId="4B8472A4" w14:textId="3F5EDB9B" w:rsidR="00304265" w:rsidRDefault="00304265" w:rsidP="00304265">
      <w:pPr>
        <w:rPr>
          <w:rFonts w:eastAsia="Times New Roman" w:cs="Arial"/>
          <w:color w:val="000000"/>
          <w:szCs w:val="42"/>
          <w:lang w:eastAsia="bg-BG"/>
        </w:rPr>
      </w:pPr>
      <w:r w:rsidRPr="00304265">
        <w:rPr>
          <w:rFonts w:eastAsia="Times New Roman" w:cs="Arial"/>
          <w:color w:val="000000"/>
          <w:szCs w:val="42"/>
          <w:lang w:eastAsia="bg-BG"/>
        </w:rPr>
        <w:t>Всички нежелани лекарствени реакции са изброени по системо-органен клас и честота: много чести (≥ 1/10), чести (≥1/100 до &lt; 1/10), нечести (≥1/1000 до &lt; 1/100), редки (≥1/10000 до &lt; 1/1000), много редки (&lt; 1/10 000) и с неизвестна честота (от наличните данни не може да бъде направена оценка). При всяко групиране по честота, нежеланите реакции са представени в низходящ ред по отношение на тяхната сериозност.</w:t>
      </w:r>
    </w:p>
    <w:p w14:paraId="351B9177" w14:textId="7DA858FE" w:rsidR="00304265" w:rsidRDefault="00304265" w:rsidP="00304265">
      <w:pPr>
        <w:rPr>
          <w:rFonts w:eastAsia="Times New Roman" w:cs="Arial"/>
          <w:color w:val="000000"/>
          <w:szCs w:val="42"/>
          <w:lang w:eastAsia="bg-BG"/>
        </w:rPr>
      </w:pPr>
    </w:p>
    <w:tbl>
      <w:tblPr>
        <w:tblStyle w:val="TableGrid"/>
        <w:tblW w:w="0" w:type="auto"/>
        <w:tblLook w:val="04A0" w:firstRow="1" w:lastRow="0" w:firstColumn="1" w:lastColumn="0" w:noHBand="0" w:noVBand="1"/>
      </w:tblPr>
      <w:tblGrid>
        <w:gridCol w:w="2289"/>
        <w:gridCol w:w="2267"/>
        <w:gridCol w:w="2422"/>
        <w:gridCol w:w="2372"/>
      </w:tblGrid>
      <w:tr w:rsidR="00304265" w14:paraId="6BF103C3" w14:textId="77777777" w:rsidTr="00304265">
        <w:tc>
          <w:tcPr>
            <w:tcW w:w="2383" w:type="dxa"/>
          </w:tcPr>
          <w:p w14:paraId="16C7DE6C" w14:textId="77777777" w:rsidR="00304265" w:rsidRPr="00304265" w:rsidRDefault="00304265" w:rsidP="00304265"/>
        </w:tc>
        <w:tc>
          <w:tcPr>
            <w:tcW w:w="2382" w:type="dxa"/>
          </w:tcPr>
          <w:p w14:paraId="0CAC9933" w14:textId="63C61B0A" w:rsidR="00304265" w:rsidRPr="00304265" w:rsidRDefault="00304265" w:rsidP="00304265">
            <w:r w:rsidRPr="00304265">
              <w:rPr>
                <w:b/>
                <w:bCs/>
              </w:rPr>
              <w:t>Чести</w:t>
            </w:r>
          </w:p>
        </w:tc>
        <w:tc>
          <w:tcPr>
            <w:tcW w:w="2422" w:type="dxa"/>
          </w:tcPr>
          <w:p w14:paraId="547DE356" w14:textId="42084B8A" w:rsidR="00304265" w:rsidRPr="00304265" w:rsidRDefault="00304265" w:rsidP="00304265">
            <w:r w:rsidRPr="00304265">
              <w:rPr>
                <w:b/>
                <w:bCs/>
              </w:rPr>
              <w:t>Нечести</w:t>
            </w:r>
          </w:p>
        </w:tc>
        <w:tc>
          <w:tcPr>
            <w:tcW w:w="2389" w:type="dxa"/>
            <w:vAlign w:val="bottom"/>
          </w:tcPr>
          <w:p w14:paraId="7C8741B7" w14:textId="5346BF1A" w:rsidR="00304265" w:rsidRPr="00304265" w:rsidRDefault="00304265" w:rsidP="00304265">
            <w:r w:rsidRPr="00304265">
              <w:rPr>
                <w:b/>
                <w:bCs/>
              </w:rPr>
              <w:t>С неизвестна честота (от наличните данни не може да бъде направена оценка)</w:t>
            </w:r>
          </w:p>
        </w:tc>
      </w:tr>
      <w:tr w:rsidR="00304265" w14:paraId="7E4E1AAF" w14:textId="77777777" w:rsidTr="00304265">
        <w:tc>
          <w:tcPr>
            <w:tcW w:w="2383" w:type="dxa"/>
          </w:tcPr>
          <w:p w14:paraId="182A3A77" w14:textId="5C1E3DB5" w:rsidR="00304265" w:rsidRPr="00304265" w:rsidRDefault="00304265" w:rsidP="00304265">
            <w:r w:rsidRPr="00304265">
              <w:rPr>
                <w:b/>
                <w:bCs/>
              </w:rPr>
              <w:t>Нарушения на кръвта и лимфната система</w:t>
            </w:r>
          </w:p>
        </w:tc>
        <w:tc>
          <w:tcPr>
            <w:tcW w:w="2382" w:type="dxa"/>
          </w:tcPr>
          <w:p w14:paraId="2711ACFE" w14:textId="77777777" w:rsidR="00304265" w:rsidRPr="00304265" w:rsidRDefault="00304265" w:rsidP="00304265"/>
        </w:tc>
        <w:tc>
          <w:tcPr>
            <w:tcW w:w="2422" w:type="dxa"/>
          </w:tcPr>
          <w:p w14:paraId="6C2643DE" w14:textId="77777777" w:rsidR="00304265" w:rsidRPr="00304265" w:rsidRDefault="00304265" w:rsidP="00304265"/>
        </w:tc>
        <w:tc>
          <w:tcPr>
            <w:tcW w:w="2389" w:type="dxa"/>
            <w:vAlign w:val="bottom"/>
          </w:tcPr>
          <w:p w14:paraId="0F322CDD" w14:textId="77777777" w:rsidR="00304265" w:rsidRPr="00304265" w:rsidRDefault="00304265" w:rsidP="00304265">
            <w:r w:rsidRPr="00304265">
              <w:t>Левкопения</w:t>
            </w:r>
          </w:p>
          <w:p w14:paraId="12EFC12D" w14:textId="77777777" w:rsidR="00304265" w:rsidRPr="00304265" w:rsidRDefault="00304265" w:rsidP="00304265">
            <w:r w:rsidRPr="00304265">
              <w:t>Неутропения</w:t>
            </w:r>
          </w:p>
          <w:p w14:paraId="13069350" w14:textId="12D2993E" w:rsidR="00304265" w:rsidRPr="00304265" w:rsidRDefault="00304265" w:rsidP="00304265">
            <w:r w:rsidRPr="00304265">
              <w:t>Тромбоцитопения</w:t>
            </w:r>
          </w:p>
        </w:tc>
      </w:tr>
      <w:tr w:rsidR="00304265" w14:paraId="0F8428D7" w14:textId="77777777" w:rsidTr="00304265">
        <w:tc>
          <w:tcPr>
            <w:tcW w:w="2383" w:type="dxa"/>
          </w:tcPr>
          <w:p w14:paraId="58F6FD36" w14:textId="77777777" w:rsidR="00304265" w:rsidRPr="00304265" w:rsidRDefault="00304265" w:rsidP="00304265">
            <w:r w:rsidRPr="00304265">
              <w:rPr>
                <w:b/>
                <w:bCs/>
              </w:rPr>
              <w:lastRenderedPageBreak/>
              <w:t>Нарушения</w:t>
            </w:r>
            <w:r w:rsidRPr="00304265">
              <w:rPr>
                <w:b/>
                <w:bCs/>
              </w:rPr>
              <w:tab/>
              <w:t>на</w:t>
            </w:r>
          </w:p>
          <w:p w14:paraId="15629560" w14:textId="165CDA89" w:rsidR="00304265" w:rsidRPr="00304265" w:rsidRDefault="00304265" w:rsidP="00304265">
            <w:r w:rsidRPr="00304265">
              <w:rPr>
                <w:b/>
                <w:bCs/>
              </w:rPr>
              <w:t>имунната система</w:t>
            </w:r>
          </w:p>
        </w:tc>
        <w:tc>
          <w:tcPr>
            <w:tcW w:w="2382" w:type="dxa"/>
          </w:tcPr>
          <w:p w14:paraId="020949A3" w14:textId="77777777" w:rsidR="00304265" w:rsidRPr="00304265" w:rsidRDefault="00304265" w:rsidP="00304265"/>
        </w:tc>
        <w:tc>
          <w:tcPr>
            <w:tcW w:w="2422" w:type="dxa"/>
          </w:tcPr>
          <w:p w14:paraId="395AA9D0" w14:textId="77777777" w:rsidR="00304265" w:rsidRPr="00304265" w:rsidRDefault="00304265" w:rsidP="00304265"/>
        </w:tc>
        <w:tc>
          <w:tcPr>
            <w:tcW w:w="2389" w:type="dxa"/>
            <w:vAlign w:val="bottom"/>
          </w:tcPr>
          <w:p w14:paraId="03386C0D" w14:textId="77777777" w:rsidR="00304265" w:rsidRPr="00304265" w:rsidRDefault="00304265" w:rsidP="00304265">
            <w:r w:rsidRPr="00304265">
              <w:t>Алергична</w:t>
            </w:r>
            <w:r w:rsidRPr="00304265">
              <w:tab/>
              <w:t>реакция</w:t>
            </w:r>
          </w:p>
          <w:p w14:paraId="2695DDA1" w14:textId="77777777" w:rsidR="00304265" w:rsidRPr="00304265" w:rsidRDefault="00304265" w:rsidP="00304265">
            <w:r w:rsidRPr="00304265">
              <w:t>(например анафилактична реакция, ангиоедем, включително подуване на езика, едем на езика, едем на лицето, пруритус</w:t>
            </w:r>
            <w:r w:rsidRPr="00304265">
              <w:tab/>
              <w:t>или</w:t>
            </w:r>
          </w:p>
          <w:p w14:paraId="663161DC" w14:textId="5E643817" w:rsidR="00304265" w:rsidRPr="00304265" w:rsidRDefault="00304265" w:rsidP="00304265">
            <w:r w:rsidRPr="00304265">
              <w:t>уртикария)</w:t>
            </w:r>
          </w:p>
        </w:tc>
      </w:tr>
      <w:tr w:rsidR="00304265" w14:paraId="2C01C6FA" w14:textId="77777777" w:rsidTr="00304265">
        <w:tc>
          <w:tcPr>
            <w:tcW w:w="2383" w:type="dxa"/>
          </w:tcPr>
          <w:p w14:paraId="45C8A997" w14:textId="77777777" w:rsidR="00304265" w:rsidRPr="00304265" w:rsidRDefault="00304265" w:rsidP="00304265">
            <w:r w:rsidRPr="00304265">
              <w:rPr>
                <w:b/>
                <w:bCs/>
              </w:rPr>
              <w:t>Нарушения</w:t>
            </w:r>
            <w:r w:rsidRPr="00304265">
              <w:rPr>
                <w:b/>
                <w:bCs/>
              </w:rPr>
              <w:tab/>
              <w:t>на</w:t>
            </w:r>
          </w:p>
          <w:p w14:paraId="5C1F7381" w14:textId="3E1EDA86" w:rsidR="00304265" w:rsidRPr="00304265" w:rsidRDefault="00304265" w:rsidP="00304265">
            <w:r w:rsidRPr="00304265">
              <w:rPr>
                <w:b/>
                <w:bCs/>
              </w:rPr>
              <w:t>ендокринната система</w:t>
            </w:r>
          </w:p>
        </w:tc>
        <w:tc>
          <w:tcPr>
            <w:tcW w:w="2382" w:type="dxa"/>
          </w:tcPr>
          <w:p w14:paraId="3D9F0CEE" w14:textId="77777777" w:rsidR="00304265" w:rsidRPr="00304265" w:rsidRDefault="00304265" w:rsidP="00304265"/>
        </w:tc>
        <w:tc>
          <w:tcPr>
            <w:tcW w:w="2422" w:type="dxa"/>
          </w:tcPr>
          <w:p w14:paraId="19BFE3F9" w14:textId="40B22A42" w:rsidR="00304265" w:rsidRPr="00304265" w:rsidRDefault="00304265" w:rsidP="00304265">
            <w:r w:rsidRPr="00304265">
              <w:t>Хиперпролактинемия</w:t>
            </w:r>
          </w:p>
        </w:tc>
        <w:tc>
          <w:tcPr>
            <w:tcW w:w="2389" w:type="dxa"/>
            <w:vAlign w:val="bottom"/>
          </w:tcPr>
          <w:p w14:paraId="7199954E" w14:textId="0E0C0F2E" w:rsidR="00304265" w:rsidRPr="00304265" w:rsidRDefault="00304265" w:rsidP="00304265">
            <w:r w:rsidRPr="00304265">
              <w:t>Диабетна хиперосмоларна кома Диабетна кетоацидоза Хипергликемия</w:t>
            </w:r>
          </w:p>
        </w:tc>
      </w:tr>
      <w:tr w:rsidR="00304265" w14:paraId="13A71EB2" w14:textId="77777777" w:rsidTr="00304265">
        <w:tc>
          <w:tcPr>
            <w:tcW w:w="2383" w:type="dxa"/>
          </w:tcPr>
          <w:p w14:paraId="7FAF0C15" w14:textId="1593A663" w:rsidR="00304265" w:rsidRPr="00304265" w:rsidRDefault="00304265" w:rsidP="00304265">
            <w:r>
              <w:rPr>
                <w:b/>
                <w:bCs/>
              </w:rPr>
              <w:t xml:space="preserve">Нарушения </w:t>
            </w:r>
            <w:r w:rsidRPr="00304265">
              <w:rPr>
                <w:b/>
                <w:bCs/>
              </w:rPr>
              <w:t>на</w:t>
            </w:r>
          </w:p>
          <w:p w14:paraId="796F808E" w14:textId="59E40096" w:rsidR="00304265" w:rsidRPr="00304265" w:rsidRDefault="00304265" w:rsidP="00304265">
            <w:r>
              <w:rPr>
                <w:b/>
                <w:bCs/>
              </w:rPr>
              <w:t xml:space="preserve">метаболизма </w:t>
            </w:r>
            <w:r w:rsidRPr="00304265">
              <w:rPr>
                <w:b/>
                <w:bCs/>
              </w:rPr>
              <w:t>и</w:t>
            </w:r>
          </w:p>
          <w:p w14:paraId="5B3B1F30" w14:textId="45A3BC66" w:rsidR="00304265" w:rsidRPr="00304265" w:rsidRDefault="00304265" w:rsidP="00304265">
            <w:r w:rsidRPr="00304265">
              <w:rPr>
                <w:b/>
                <w:bCs/>
              </w:rPr>
              <w:t>храненето</w:t>
            </w:r>
          </w:p>
        </w:tc>
        <w:tc>
          <w:tcPr>
            <w:tcW w:w="2382" w:type="dxa"/>
          </w:tcPr>
          <w:p w14:paraId="06286163" w14:textId="357F75CA" w:rsidR="00304265" w:rsidRPr="00304265" w:rsidRDefault="00304265" w:rsidP="00304265">
            <w:r w:rsidRPr="00304265">
              <w:t>Захарен диабет</w:t>
            </w:r>
          </w:p>
        </w:tc>
        <w:tc>
          <w:tcPr>
            <w:tcW w:w="2422" w:type="dxa"/>
          </w:tcPr>
          <w:p w14:paraId="562CCA7C" w14:textId="75D68CF6" w:rsidR="00304265" w:rsidRPr="00304265" w:rsidRDefault="00304265" w:rsidP="00304265">
            <w:r w:rsidRPr="00304265">
              <w:t>Хипергликемия</w:t>
            </w:r>
          </w:p>
        </w:tc>
        <w:tc>
          <w:tcPr>
            <w:tcW w:w="2389" w:type="dxa"/>
            <w:vAlign w:val="bottom"/>
          </w:tcPr>
          <w:p w14:paraId="0F60E7BE" w14:textId="42EABD9E" w:rsidR="00304265" w:rsidRPr="00304265" w:rsidRDefault="00304265" w:rsidP="00304265">
            <w:r w:rsidRPr="00304265">
              <w:t>Хипонатриемия Анорексия Намаляване на теглото Увеличаване на теглото</w:t>
            </w:r>
          </w:p>
        </w:tc>
      </w:tr>
      <w:tr w:rsidR="00304265" w14:paraId="63A7E486" w14:textId="77777777" w:rsidTr="00304265">
        <w:tc>
          <w:tcPr>
            <w:tcW w:w="2383" w:type="dxa"/>
          </w:tcPr>
          <w:p w14:paraId="0D514EC3" w14:textId="427920CD" w:rsidR="00304265" w:rsidRPr="00304265" w:rsidRDefault="00304265" w:rsidP="00304265">
            <w:r w:rsidRPr="00304265">
              <w:rPr>
                <w:b/>
                <w:bCs/>
              </w:rPr>
              <w:t>Психични нарушения</w:t>
            </w:r>
          </w:p>
        </w:tc>
        <w:tc>
          <w:tcPr>
            <w:tcW w:w="2382" w:type="dxa"/>
          </w:tcPr>
          <w:p w14:paraId="034735E2" w14:textId="3BEC4079" w:rsidR="00304265" w:rsidRPr="00304265" w:rsidRDefault="00304265" w:rsidP="00304265">
            <w:r w:rsidRPr="00304265">
              <w:t>Безсъние Тревожност Безпокойство</w:t>
            </w:r>
          </w:p>
        </w:tc>
        <w:tc>
          <w:tcPr>
            <w:tcW w:w="2422" w:type="dxa"/>
          </w:tcPr>
          <w:p w14:paraId="7172404A" w14:textId="77777777" w:rsidR="00304265" w:rsidRPr="00304265" w:rsidRDefault="00304265" w:rsidP="00304265">
            <w:r w:rsidRPr="00304265">
              <w:t>Депресия</w:t>
            </w:r>
          </w:p>
          <w:p w14:paraId="5DEAC490" w14:textId="47194B06" w:rsidR="00304265" w:rsidRPr="00304265" w:rsidRDefault="00304265" w:rsidP="00304265">
            <w:r w:rsidRPr="00304265">
              <w:t>Хиперсексуалност</w:t>
            </w:r>
          </w:p>
        </w:tc>
        <w:tc>
          <w:tcPr>
            <w:tcW w:w="2389" w:type="dxa"/>
            <w:vAlign w:val="bottom"/>
          </w:tcPr>
          <w:p w14:paraId="305FEDA3" w14:textId="77777777" w:rsidR="00304265" w:rsidRPr="00304265" w:rsidRDefault="00304265" w:rsidP="00304265">
            <w:r w:rsidRPr="00304265">
              <w:t>Суициден</w:t>
            </w:r>
            <w:r w:rsidRPr="00304265">
              <w:tab/>
              <w:t>опит,</w:t>
            </w:r>
          </w:p>
          <w:p w14:paraId="6B2C527D" w14:textId="77777777" w:rsidR="00304265" w:rsidRPr="00304265" w:rsidRDefault="00304265" w:rsidP="00304265">
            <w:r w:rsidRPr="00304265">
              <w:t>суицидна идеация и извършено самоубийство</w:t>
            </w:r>
            <w:r w:rsidRPr="00304265">
              <w:tab/>
              <w:t>(вж.</w:t>
            </w:r>
          </w:p>
          <w:p w14:paraId="1283C1A0" w14:textId="1E65822B" w:rsidR="00304265" w:rsidRPr="00304265" w:rsidRDefault="00304265" w:rsidP="00304265">
            <w:r w:rsidRPr="00304265">
              <w:t>точка 4.4) Патологично влечение към хазарт Агресия Възбуда Нервност</w:t>
            </w:r>
          </w:p>
        </w:tc>
      </w:tr>
      <w:tr w:rsidR="00304265" w14:paraId="015E0B35" w14:textId="77777777" w:rsidTr="00304265">
        <w:tc>
          <w:tcPr>
            <w:tcW w:w="2383" w:type="dxa"/>
          </w:tcPr>
          <w:p w14:paraId="0CB36CF0" w14:textId="77777777" w:rsidR="00304265" w:rsidRPr="00304265" w:rsidRDefault="00304265" w:rsidP="00304265">
            <w:r w:rsidRPr="00304265">
              <w:rPr>
                <w:b/>
                <w:bCs/>
              </w:rPr>
              <w:t>Нарушения</w:t>
            </w:r>
            <w:r w:rsidRPr="00304265">
              <w:rPr>
                <w:b/>
                <w:bCs/>
              </w:rPr>
              <w:tab/>
              <w:t>на</w:t>
            </w:r>
          </w:p>
          <w:p w14:paraId="3AF6DADF" w14:textId="5A66F6EC" w:rsidR="00304265" w:rsidRPr="00304265" w:rsidRDefault="00304265" w:rsidP="00304265">
            <w:r w:rsidRPr="00304265">
              <w:rPr>
                <w:b/>
                <w:bCs/>
              </w:rPr>
              <w:t>нервната система</w:t>
            </w:r>
          </w:p>
        </w:tc>
        <w:tc>
          <w:tcPr>
            <w:tcW w:w="2382" w:type="dxa"/>
          </w:tcPr>
          <w:p w14:paraId="2B376FF5" w14:textId="3B1B9D5E" w:rsidR="00304265" w:rsidRPr="00304265" w:rsidRDefault="00304265" w:rsidP="00304265">
            <w:r w:rsidRPr="00304265">
              <w:t>Акатизия Екстрапирамидни нарушения Тремор Главоболие Седация Сомнолентност Замаяност</w:t>
            </w:r>
          </w:p>
        </w:tc>
        <w:tc>
          <w:tcPr>
            <w:tcW w:w="2422" w:type="dxa"/>
          </w:tcPr>
          <w:p w14:paraId="2D70ECA0" w14:textId="77777777" w:rsidR="00304265" w:rsidRPr="00304265" w:rsidRDefault="00304265" w:rsidP="00304265">
            <w:r w:rsidRPr="00304265">
              <w:t>Тардивна дискинезия</w:t>
            </w:r>
          </w:p>
          <w:p w14:paraId="08CEE6C5" w14:textId="603288EB" w:rsidR="00304265" w:rsidRPr="00304265" w:rsidRDefault="00304265" w:rsidP="00304265">
            <w:r w:rsidRPr="00304265">
              <w:t>Дистония</w:t>
            </w:r>
          </w:p>
        </w:tc>
        <w:tc>
          <w:tcPr>
            <w:tcW w:w="2389" w:type="dxa"/>
            <w:vAlign w:val="bottom"/>
          </w:tcPr>
          <w:p w14:paraId="0DBB9490" w14:textId="77777777" w:rsidR="00304265" w:rsidRPr="00304265" w:rsidRDefault="00304265" w:rsidP="00304265">
            <w:r w:rsidRPr="00304265">
              <w:t>Невролептичен малигнен</w:t>
            </w:r>
            <w:r w:rsidRPr="00304265">
              <w:tab/>
              <w:t>синдром</w:t>
            </w:r>
          </w:p>
          <w:p w14:paraId="703F0F15" w14:textId="77777777" w:rsidR="00304265" w:rsidRPr="00304265" w:rsidRDefault="00304265" w:rsidP="00304265">
            <w:r w:rsidRPr="00304265">
              <w:rPr>
                <w:lang w:val="ru-RU"/>
              </w:rPr>
              <w:t>(</w:t>
            </w:r>
            <w:r w:rsidRPr="00304265">
              <w:rPr>
                <w:lang w:val="en-US"/>
              </w:rPr>
              <w:t>NMS</w:t>
            </w:r>
            <w:r w:rsidRPr="00304265">
              <w:rPr>
                <w:lang w:val="ru-RU"/>
              </w:rPr>
              <w:t>)</w:t>
            </w:r>
          </w:p>
          <w:p w14:paraId="3E32905D" w14:textId="77777777" w:rsidR="00304265" w:rsidRPr="00304265" w:rsidRDefault="00304265" w:rsidP="00304265">
            <w:r w:rsidRPr="00304265">
              <w:t xml:space="preserve">Генерализирани тонично-клонични припадъци тип </w:t>
            </w:r>
            <w:r w:rsidRPr="00304265">
              <w:rPr>
                <w:lang w:val="ru-RU"/>
              </w:rPr>
              <w:t>“</w:t>
            </w:r>
            <w:r w:rsidRPr="00304265">
              <w:rPr>
                <w:lang w:val="en-US"/>
              </w:rPr>
              <w:t>grand</w:t>
            </w:r>
            <w:r w:rsidRPr="00304265">
              <w:rPr>
                <w:lang w:val="ru-RU"/>
              </w:rPr>
              <w:t xml:space="preserve"> </w:t>
            </w:r>
            <w:r w:rsidRPr="00304265">
              <w:rPr>
                <w:lang w:val="en-US"/>
              </w:rPr>
              <w:t>mal</w:t>
            </w:r>
            <w:r w:rsidRPr="00304265">
              <w:rPr>
                <w:lang w:val="ru-RU"/>
              </w:rPr>
              <w:t>”</w:t>
            </w:r>
          </w:p>
          <w:p w14:paraId="0477C21A" w14:textId="34D923D1" w:rsidR="00304265" w:rsidRPr="00304265" w:rsidRDefault="00304265" w:rsidP="00304265">
            <w:r w:rsidRPr="00304265">
              <w:t>Серотонинов синдром Нарушение на говора</w:t>
            </w:r>
          </w:p>
        </w:tc>
      </w:tr>
      <w:tr w:rsidR="00304265" w14:paraId="7DD5CC46" w14:textId="77777777" w:rsidTr="00304265">
        <w:tc>
          <w:tcPr>
            <w:tcW w:w="2383" w:type="dxa"/>
            <w:vAlign w:val="bottom"/>
          </w:tcPr>
          <w:p w14:paraId="0FE0A6BB" w14:textId="093FCF36" w:rsidR="00304265" w:rsidRPr="00304265" w:rsidRDefault="00304265" w:rsidP="00304265">
            <w:r w:rsidRPr="00304265">
              <w:rPr>
                <w:b/>
                <w:bCs/>
              </w:rPr>
              <w:t>Нарушения на очите</w:t>
            </w:r>
          </w:p>
        </w:tc>
        <w:tc>
          <w:tcPr>
            <w:tcW w:w="2382" w:type="dxa"/>
            <w:vAlign w:val="bottom"/>
          </w:tcPr>
          <w:p w14:paraId="3869096F" w14:textId="6FFD0CA0" w:rsidR="00304265" w:rsidRPr="00304265" w:rsidRDefault="00304265" w:rsidP="00304265">
            <w:r w:rsidRPr="00304265">
              <w:t>Замъглено зрение</w:t>
            </w:r>
          </w:p>
        </w:tc>
        <w:tc>
          <w:tcPr>
            <w:tcW w:w="2422" w:type="dxa"/>
            <w:vAlign w:val="bottom"/>
          </w:tcPr>
          <w:p w14:paraId="309BC0D4" w14:textId="59DA574D" w:rsidR="00304265" w:rsidRPr="00304265" w:rsidRDefault="00304265" w:rsidP="00304265">
            <w:r w:rsidRPr="00304265">
              <w:t>Диплопия</w:t>
            </w:r>
          </w:p>
        </w:tc>
        <w:tc>
          <w:tcPr>
            <w:tcW w:w="2389" w:type="dxa"/>
          </w:tcPr>
          <w:p w14:paraId="62414A8C" w14:textId="77777777" w:rsidR="00304265" w:rsidRPr="00304265" w:rsidRDefault="00304265" w:rsidP="00304265"/>
        </w:tc>
      </w:tr>
      <w:tr w:rsidR="00304265" w14:paraId="68AF7241" w14:textId="77777777" w:rsidTr="00304265">
        <w:tc>
          <w:tcPr>
            <w:tcW w:w="2383" w:type="dxa"/>
          </w:tcPr>
          <w:p w14:paraId="0E0A9D75" w14:textId="28540482" w:rsidR="00304265" w:rsidRPr="00304265" w:rsidRDefault="00304265" w:rsidP="00304265">
            <w:r w:rsidRPr="00304265">
              <w:rPr>
                <w:b/>
                <w:bCs/>
              </w:rPr>
              <w:t>Сърдечни нарушения</w:t>
            </w:r>
          </w:p>
        </w:tc>
        <w:tc>
          <w:tcPr>
            <w:tcW w:w="2382" w:type="dxa"/>
          </w:tcPr>
          <w:p w14:paraId="48474714" w14:textId="77777777" w:rsidR="00304265" w:rsidRPr="00304265" w:rsidRDefault="00304265" w:rsidP="00304265"/>
        </w:tc>
        <w:tc>
          <w:tcPr>
            <w:tcW w:w="2422" w:type="dxa"/>
          </w:tcPr>
          <w:p w14:paraId="717E9F3B" w14:textId="3A3DB968" w:rsidR="00304265" w:rsidRPr="00304265" w:rsidRDefault="00304265" w:rsidP="00304265">
            <w:r w:rsidRPr="00304265">
              <w:t>Тахикардия</w:t>
            </w:r>
          </w:p>
        </w:tc>
        <w:tc>
          <w:tcPr>
            <w:tcW w:w="2389" w:type="dxa"/>
            <w:vAlign w:val="bottom"/>
          </w:tcPr>
          <w:p w14:paraId="6CFE9DE0" w14:textId="77777777" w:rsidR="00304265" w:rsidRPr="00304265" w:rsidRDefault="00304265" w:rsidP="00304265">
            <w:r w:rsidRPr="00304265">
              <w:t>Внезапна необяснима смърт</w:t>
            </w:r>
          </w:p>
          <w:p w14:paraId="7EFB8512" w14:textId="77777777" w:rsidR="00304265" w:rsidRPr="00304265" w:rsidRDefault="00304265" w:rsidP="00304265">
            <w:proofErr w:type="spellStart"/>
            <w:r w:rsidRPr="00304265">
              <w:rPr>
                <w:lang w:val="en-US"/>
              </w:rPr>
              <w:t>Torsades</w:t>
            </w:r>
            <w:proofErr w:type="spellEnd"/>
            <w:r w:rsidRPr="00304265">
              <w:rPr>
                <w:lang w:val="en-US"/>
              </w:rPr>
              <w:t xml:space="preserve"> de pointes</w:t>
            </w:r>
          </w:p>
          <w:p w14:paraId="122CF68F" w14:textId="77777777" w:rsidR="00304265" w:rsidRPr="00304265" w:rsidRDefault="00304265" w:rsidP="00304265">
            <w:r w:rsidRPr="00304265">
              <w:lastRenderedPageBreak/>
              <w:t xml:space="preserve">Удължаване на </w:t>
            </w:r>
            <w:r w:rsidRPr="00304265">
              <w:rPr>
                <w:lang w:val="en-US"/>
              </w:rPr>
              <w:t>QT</w:t>
            </w:r>
            <w:r w:rsidRPr="00304265">
              <w:rPr>
                <w:lang w:val="ru-RU"/>
              </w:rPr>
              <w:t xml:space="preserve"> </w:t>
            </w:r>
            <w:r w:rsidRPr="00304265">
              <w:t>интервала</w:t>
            </w:r>
          </w:p>
          <w:p w14:paraId="61FB7888" w14:textId="77777777" w:rsidR="00304265" w:rsidRPr="00304265" w:rsidRDefault="00304265" w:rsidP="00304265">
            <w:r w:rsidRPr="00304265">
              <w:t>Камерни аритмии</w:t>
            </w:r>
          </w:p>
          <w:p w14:paraId="074BD62C" w14:textId="77777777" w:rsidR="00304265" w:rsidRPr="00304265" w:rsidRDefault="00304265" w:rsidP="00304265">
            <w:r w:rsidRPr="00304265">
              <w:t>Сърдечен арест</w:t>
            </w:r>
          </w:p>
          <w:p w14:paraId="21AF99E4" w14:textId="03640485" w:rsidR="00304265" w:rsidRPr="00304265" w:rsidRDefault="00304265" w:rsidP="00304265">
            <w:r w:rsidRPr="00304265">
              <w:t>Брадикардия</w:t>
            </w:r>
          </w:p>
        </w:tc>
      </w:tr>
      <w:tr w:rsidR="00304265" w14:paraId="57E35399" w14:textId="77777777" w:rsidTr="00304265">
        <w:tc>
          <w:tcPr>
            <w:tcW w:w="2383" w:type="dxa"/>
          </w:tcPr>
          <w:p w14:paraId="2DBF0AD2" w14:textId="2F0E0E13" w:rsidR="00304265" w:rsidRPr="00304265" w:rsidRDefault="00304265" w:rsidP="00304265">
            <w:r w:rsidRPr="00304265">
              <w:rPr>
                <w:b/>
                <w:bCs/>
              </w:rPr>
              <w:lastRenderedPageBreak/>
              <w:t>Съдови нарушения</w:t>
            </w:r>
          </w:p>
        </w:tc>
        <w:tc>
          <w:tcPr>
            <w:tcW w:w="2382" w:type="dxa"/>
          </w:tcPr>
          <w:p w14:paraId="150EE0A6" w14:textId="77777777" w:rsidR="00304265" w:rsidRPr="00304265" w:rsidRDefault="00304265" w:rsidP="00304265"/>
        </w:tc>
        <w:tc>
          <w:tcPr>
            <w:tcW w:w="2422" w:type="dxa"/>
          </w:tcPr>
          <w:p w14:paraId="76CD0948" w14:textId="493ECBBD" w:rsidR="00304265" w:rsidRPr="00304265" w:rsidRDefault="00304265" w:rsidP="00304265">
            <w:r w:rsidRPr="00304265">
              <w:t>Ортостатична хипотония</w:t>
            </w:r>
          </w:p>
        </w:tc>
        <w:tc>
          <w:tcPr>
            <w:tcW w:w="2389" w:type="dxa"/>
            <w:vAlign w:val="bottom"/>
          </w:tcPr>
          <w:p w14:paraId="091AED87" w14:textId="77777777" w:rsidR="00304265" w:rsidRPr="00304265" w:rsidRDefault="00304265" w:rsidP="00304265">
            <w:r w:rsidRPr="00304265">
              <w:t>Венозна тромбоемболия (включително белодробна емболия и дълбока</w:t>
            </w:r>
            <w:r w:rsidRPr="00304265">
              <w:tab/>
              <w:t>венозна</w:t>
            </w:r>
          </w:p>
          <w:p w14:paraId="32EA0C36" w14:textId="6916FBAE" w:rsidR="00304265" w:rsidRPr="00304265" w:rsidRDefault="00304265" w:rsidP="00304265">
            <w:r w:rsidRPr="00304265">
              <w:t>тромбоза) Хипертония Синкоп</w:t>
            </w:r>
          </w:p>
        </w:tc>
      </w:tr>
      <w:tr w:rsidR="00304265" w14:paraId="32F404A6" w14:textId="77777777" w:rsidTr="00304265">
        <w:tc>
          <w:tcPr>
            <w:tcW w:w="2383" w:type="dxa"/>
          </w:tcPr>
          <w:p w14:paraId="470B0892" w14:textId="31C21F6C" w:rsidR="00304265" w:rsidRPr="00304265" w:rsidRDefault="00304265" w:rsidP="00304265">
            <w:r w:rsidRPr="00304265">
              <w:rPr>
                <w:b/>
                <w:bCs/>
              </w:rPr>
              <w:t>Респираторни, гръдни и медиастинални нарушения</w:t>
            </w:r>
          </w:p>
        </w:tc>
        <w:tc>
          <w:tcPr>
            <w:tcW w:w="2382" w:type="dxa"/>
          </w:tcPr>
          <w:p w14:paraId="0D54A9C6" w14:textId="77777777" w:rsidR="00304265" w:rsidRPr="00304265" w:rsidRDefault="00304265" w:rsidP="00304265"/>
        </w:tc>
        <w:tc>
          <w:tcPr>
            <w:tcW w:w="2422" w:type="dxa"/>
          </w:tcPr>
          <w:p w14:paraId="0401D784" w14:textId="7F3C4A92" w:rsidR="00304265" w:rsidRPr="00304265" w:rsidRDefault="00304265" w:rsidP="00304265">
            <w:r w:rsidRPr="00304265">
              <w:t>Хълцане</w:t>
            </w:r>
          </w:p>
        </w:tc>
        <w:tc>
          <w:tcPr>
            <w:tcW w:w="2389" w:type="dxa"/>
            <w:vAlign w:val="bottom"/>
          </w:tcPr>
          <w:p w14:paraId="4705C929" w14:textId="77777777" w:rsidR="00304265" w:rsidRPr="00304265" w:rsidRDefault="00304265" w:rsidP="00304265">
            <w:r w:rsidRPr="00304265">
              <w:t>Аспирационна пневмония</w:t>
            </w:r>
          </w:p>
          <w:p w14:paraId="55B59A79" w14:textId="44030921" w:rsidR="00304265" w:rsidRPr="00304265" w:rsidRDefault="00304265" w:rsidP="00304265">
            <w:r w:rsidRPr="00304265">
              <w:rPr>
                <w:u w:val="single"/>
              </w:rPr>
              <w:t>Ларингоспазъм Орофарингеален спазъм</w:t>
            </w:r>
          </w:p>
        </w:tc>
      </w:tr>
      <w:tr w:rsidR="00304265" w14:paraId="5A4EA154" w14:textId="77777777" w:rsidTr="00304265">
        <w:tc>
          <w:tcPr>
            <w:tcW w:w="2383" w:type="dxa"/>
          </w:tcPr>
          <w:p w14:paraId="56633556" w14:textId="1638C576" w:rsidR="00304265" w:rsidRPr="00304265" w:rsidRDefault="00304265" w:rsidP="00304265">
            <w:r w:rsidRPr="00304265">
              <w:rPr>
                <w:b/>
                <w:bCs/>
              </w:rPr>
              <w:t>Стомашно-чревни нарушения</w:t>
            </w:r>
          </w:p>
        </w:tc>
        <w:tc>
          <w:tcPr>
            <w:tcW w:w="2382" w:type="dxa"/>
            <w:vAlign w:val="bottom"/>
          </w:tcPr>
          <w:p w14:paraId="370206B3" w14:textId="1AFC0627" w:rsidR="00304265" w:rsidRPr="00304265" w:rsidRDefault="00304265" w:rsidP="00304265">
            <w:r w:rsidRPr="00304265">
              <w:t>Констипация Диспепсия Гадене Хиперсаливация Повръщане</w:t>
            </w:r>
          </w:p>
        </w:tc>
        <w:tc>
          <w:tcPr>
            <w:tcW w:w="2422" w:type="dxa"/>
          </w:tcPr>
          <w:p w14:paraId="63C7CE6D" w14:textId="77777777" w:rsidR="00304265" w:rsidRPr="00304265" w:rsidRDefault="00304265" w:rsidP="00304265"/>
        </w:tc>
        <w:tc>
          <w:tcPr>
            <w:tcW w:w="2389" w:type="dxa"/>
            <w:vAlign w:val="bottom"/>
          </w:tcPr>
          <w:p w14:paraId="5184C82E" w14:textId="77777777" w:rsidR="00304265" w:rsidRPr="00304265" w:rsidRDefault="00304265" w:rsidP="00304265">
            <w:r w:rsidRPr="00304265">
              <w:t>Панкреатит</w:t>
            </w:r>
          </w:p>
          <w:p w14:paraId="6E006786" w14:textId="77777777" w:rsidR="00304265" w:rsidRPr="00304265" w:rsidRDefault="00304265" w:rsidP="00304265">
            <w:r w:rsidRPr="00304265">
              <w:t>Дисфагия</w:t>
            </w:r>
          </w:p>
          <w:p w14:paraId="20905F37" w14:textId="77777777" w:rsidR="00304265" w:rsidRPr="00304265" w:rsidRDefault="00304265" w:rsidP="00304265">
            <w:r w:rsidRPr="00304265">
              <w:t>Диария</w:t>
            </w:r>
          </w:p>
          <w:p w14:paraId="5DA18B3C" w14:textId="77777777" w:rsidR="00304265" w:rsidRPr="00304265" w:rsidRDefault="00304265" w:rsidP="00304265">
            <w:r w:rsidRPr="00304265">
              <w:t>Коремен дискомфорт</w:t>
            </w:r>
          </w:p>
          <w:p w14:paraId="03471DCB" w14:textId="196756DD" w:rsidR="00304265" w:rsidRPr="00304265" w:rsidRDefault="00304265" w:rsidP="00304265">
            <w:r w:rsidRPr="00304265">
              <w:t>Стомашен дискомфорт</w:t>
            </w:r>
          </w:p>
        </w:tc>
      </w:tr>
      <w:tr w:rsidR="00304265" w14:paraId="7B39B0A1" w14:textId="77777777" w:rsidTr="00304265">
        <w:tc>
          <w:tcPr>
            <w:tcW w:w="2383" w:type="dxa"/>
          </w:tcPr>
          <w:p w14:paraId="158FF048" w14:textId="2C7C1C80" w:rsidR="00304265" w:rsidRPr="00304265" w:rsidRDefault="00304265" w:rsidP="00304265">
            <w:r w:rsidRPr="00304265">
              <w:rPr>
                <w:b/>
                <w:bCs/>
              </w:rPr>
              <w:t>Хепатобилиарнн нарушения</w:t>
            </w:r>
          </w:p>
        </w:tc>
        <w:tc>
          <w:tcPr>
            <w:tcW w:w="2382" w:type="dxa"/>
          </w:tcPr>
          <w:p w14:paraId="4E01BFB0" w14:textId="77777777" w:rsidR="00304265" w:rsidRPr="00304265" w:rsidRDefault="00304265" w:rsidP="00304265"/>
        </w:tc>
        <w:tc>
          <w:tcPr>
            <w:tcW w:w="2422" w:type="dxa"/>
          </w:tcPr>
          <w:p w14:paraId="3423B25B" w14:textId="77777777" w:rsidR="00304265" w:rsidRPr="00304265" w:rsidRDefault="00304265" w:rsidP="00304265"/>
        </w:tc>
        <w:tc>
          <w:tcPr>
            <w:tcW w:w="2389" w:type="dxa"/>
          </w:tcPr>
          <w:p w14:paraId="305E2787" w14:textId="77777777" w:rsidR="00304265" w:rsidRPr="00304265" w:rsidRDefault="00304265" w:rsidP="00304265">
            <w:r w:rsidRPr="00304265">
              <w:t>Чернодробна недостатъчност Хепатит Жълтеница</w:t>
            </w:r>
          </w:p>
          <w:p w14:paraId="271F3565" w14:textId="77777777" w:rsidR="00304265" w:rsidRPr="00304265" w:rsidRDefault="00304265" w:rsidP="00304265">
            <w:r w:rsidRPr="00304265">
              <w:t>Повишена</w:t>
            </w:r>
            <w:r w:rsidRPr="00304265">
              <w:tab/>
              <w:t>аланин</w:t>
            </w:r>
          </w:p>
          <w:p w14:paraId="735024E0" w14:textId="77777777" w:rsidR="00304265" w:rsidRPr="00304265" w:rsidRDefault="00304265" w:rsidP="00304265">
            <w:r w:rsidRPr="00304265">
              <w:t xml:space="preserve">аминотрансфераза </w:t>
            </w:r>
            <w:r w:rsidRPr="00304265">
              <w:rPr>
                <w:lang w:val="ru-RU"/>
              </w:rPr>
              <w:t>(</w:t>
            </w:r>
            <w:r w:rsidRPr="00304265">
              <w:rPr>
                <w:lang w:val="en-US"/>
              </w:rPr>
              <w:t>ALT</w:t>
            </w:r>
            <w:r w:rsidRPr="00304265">
              <w:rPr>
                <w:lang w:val="ru-RU"/>
              </w:rPr>
              <w:t>)</w:t>
            </w:r>
          </w:p>
          <w:p w14:paraId="64A3A6A0" w14:textId="77777777" w:rsidR="00304265" w:rsidRPr="00304265" w:rsidRDefault="00304265" w:rsidP="00304265">
            <w:r w:rsidRPr="00304265">
              <w:t xml:space="preserve">Повишена аспартат аминотрансфераза </w:t>
            </w:r>
            <w:r w:rsidRPr="00304265">
              <w:rPr>
                <w:lang w:val="ru-RU"/>
              </w:rPr>
              <w:t>(</w:t>
            </w:r>
            <w:r w:rsidRPr="00304265">
              <w:rPr>
                <w:lang w:val="en-US"/>
              </w:rPr>
              <w:t>AST</w:t>
            </w:r>
            <w:r w:rsidRPr="00304265">
              <w:rPr>
                <w:lang w:val="ru-RU"/>
              </w:rPr>
              <w:t xml:space="preserve">) </w:t>
            </w:r>
            <w:r w:rsidRPr="00304265">
              <w:t>Повишена</w:t>
            </w:r>
            <w:r w:rsidRPr="00304265">
              <w:tab/>
              <w:t>гама</w:t>
            </w:r>
          </w:p>
          <w:p w14:paraId="753C2EB3" w14:textId="77777777" w:rsidR="00304265" w:rsidRPr="00304265" w:rsidRDefault="00304265" w:rsidP="00304265">
            <w:r w:rsidRPr="00304265">
              <w:t xml:space="preserve">глутамил трансфераза </w:t>
            </w:r>
            <w:r w:rsidRPr="00304265">
              <w:rPr>
                <w:lang w:val="ru-RU"/>
              </w:rPr>
              <w:t>(</w:t>
            </w:r>
            <w:r w:rsidRPr="00304265">
              <w:rPr>
                <w:lang w:val="en-US"/>
              </w:rPr>
              <w:t>GGT</w:t>
            </w:r>
            <w:r w:rsidRPr="00304265">
              <w:rPr>
                <w:lang w:val="ru-RU"/>
              </w:rPr>
              <w:t xml:space="preserve">) </w:t>
            </w:r>
            <w:r w:rsidRPr="00304265">
              <w:t>Повишена</w:t>
            </w:r>
            <w:r w:rsidRPr="00304265">
              <w:tab/>
              <w:t>алкална</w:t>
            </w:r>
          </w:p>
          <w:p w14:paraId="587E2AB8" w14:textId="20D87C6B" w:rsidR="00304265" w:rsidRPr="00304265" w:rsidRDefault="00304265" w:rsidP="00304265">
            <w:r w:rsidRPr="00304265">
              <w:t>фосфатаза</w:t>
            </w:r>
          </w:p>
        </w:tc>
      </w:tr>
      <w:tr w:rsidR="00304265" w14:paraId="40A6667A" w14:textId="77777777" w:rsidTr="00304265">
        <w:tc>
          <w:tcPr>
            <w:tcW w:w="2383" w:type="dxa"/>
          </w:tcPr>
          <w:p w14:paraId="6F39FDE2" w14:textId="2C29E439" w:rsidR="00304265" w:rsidRPr="00304265" w:rsidRDefault="00304265" w:rsidP="00304265">
            <w:r w:rsidRPr="00304265">
              <w:rPr>
                <w:b/>
                <w:bCs/>
              </w:rPr>
              <w:t>Нарушения на кожата и подкожната тъкан</w:t>
            </w:r>
          </w:p>
        </w:tc>
        <w:tc>
          <w:tcPr>
            <w:tcW w:w="2382" w:type="dxa"/>
          </w:tcPr>
          <w:p w14:paraId="1ECDA870" w14:textId="77777777" w:rsidR="00304265" w:rsidRPr="00304265" w:rsidRDefault="00304265" w:rsidP="00304265"/>
        </w:tc>
        <w:tc>
          <w:tcPr>
            <w:tcW w:w="2422" w:type="dxa"/>
          </w:tcPr>
          <w:p w14:paraId="52C3825D" w14:textId="77777777" w:rsidR="00304265" w:rsidRPr="00304265" w:rsidRDefault="00304265" w:rsidP="00304265"/>
        </w:tc>
        <w:tc>
          <w:tcPr>
            <w:tcW w:w="2389" w:type="dxa"/>
            <w:vAlign w:val="bottom"/>
          </w:tcPr>
          <w:p w14:paraId="5E251FE5" w14:textId="77777777" w:rsidR="00304265" w:rsidRPr="00304265" w:rsidRDefault="00304265" w:rsidP="00304265">
            <w:r w:rsidRPr="00304265">
              <w:t>Обрив</w:t>
            </w:r>
          </w:p>
          <w:p w14:paraId="316D1409" w14:textId="51456F14" w:rsidR="00304265" w:rsidRPr="00304265" w:rsidRDefault="00304265" w:rsidP="00304265">
            <w:r w:rsidRPr="00304265">
              <w:t>Реакция на фоточувствителност Алопеция Хиперхидроза</w:t>
            </w:r>
          </w:p>
        </w:tc>
      </w:tr>
      <w:tr w:rsidR="00304265" w14:paraId="3F4AC4B2" w14:textId="77777777" w:rsidTr="00304265">
        <w:tc>
          <w:tcPr>
            <w:tcW w:w="2383" w:type="dxa"/>
            <w:vAlign w:val="bottom"/>
          </w:tcPr>
          <w:p w14:paraId="6FC338C4" w14:textId="5F12F85A" w:rsidR="00304265" w:rsidRPr="00304265" w:rsidRDefault="00304265" w:rsidP="00304265">
            <w:r>
              <w:rPr>
                <w:b/>
                <w:bCs/>
              </w:rPr>
              <w:lastRenderedPageBreak/>
              <w:t xml:space="preserve">Нарушения </w:t>
            </w:r>
            <w:r w:rsidRPr="00304265">
              <w:rPr>
                <w:b/>
                <w:bCs/>
              </w:rPr>
              <w:t>на</w:t>
            </w:r>
          </w:p>
          <w:p w14:paraId="4AB61B8E" w14:textId="66A65AE8" w:rsidR="00304265" w:rsidRPr="00304265" w:rsidRDefault="00304265" w:rsidP="00304265">
            <w:r>
              <w:rPr>
                <w:b/>
                <w:bCs/>
              </w:rPr>
              <w:t xml:space="preserve">мускулно-скелетната система </w:t>
            </w:r>
            <w:r w:rsidRPr="00304265">
              <w:rPr>
                <w:b/>
                <w:bCs/>
              </w:rPr>
              <w:t>и</w:t>
            </w:r>
            <w:r w:rsidRPr="00304265">
              <w:rPr>
                <w:lang w:val="ru-RU"/>
              </w:rPr>
              <w:t xml:space="preserve"> </w:t>
            </w:r>
            <w:r w:rsidRPr="00304265">
              <w:rPr>
                <w:b/>
                <w:bCs/>
              </w:rPr>
              <w:t>съединителната тъкан</w:t>
            </w:r>
          </w:p>
        </w:tc>
        <w:tc>
          <w:tcPr>
            <w:tcW w:w="2382" w:type="dxa"/>
          </w:tcPr>
          <w:p w14:paraId="474BEA22" w14:textId="77777777" w:rsidR="00304265" w:rsidRPr="00304265" w:rsidRDefault="00304265" w:rsidP="00304265"/>
        </w:tc>
        <w:tc>
          <w:tcPr>
            <w:tcW w:w="2422" w:type="dxa"/>
          </w:tcPr>
          <w:p w14:paraId="4661E222" w14:textId="77777777" w:rsidR="00304265" w:rsidRPr="00304265" w:rsidRDefault="00304265" w:rsidP="00304265"/>
        </w:tc>
        <w:tc>
          <w:tcPr>
            <w:tcW w:w="2389" w:type="dxa"/>
          </w:tcPr>
          <w:p w14:paraId="342D0CA4" w14:textId="4B170244" w:rsidR="00304265" w:rsidRPr="00304265" w:rsidRDefault="00304265" w:rsidP="00304265">
            <w:r w:rsidRPr="00304265">
              <w:t>Рабдомиолиза Миалгия Скованост</w:t>
            </w:r>
          </w:p>
        </w:tc>
      </w:tr>
      <w:tr w:rsidR="00304265" w14:paraId="221569D5" w14:textId="77777777" w:rsidTr="00304265">
        <w:tc>
          <w:tcPr>
            <w:tcW w:w="2383" w:type="dxa"/>
            <w:vAlign w:val="bottom"/>
          </w:tcPr>
          <w:p w14:paraId="3B795FC9" w14:textId="15510124" w:rsidR="00304265" w:rsidRPr="00304265" w:rsidRDefault="00304265" w:rsidP="00304265">
            <w:r>
              <w:rPr>
                <w:b/>
                <w:bCs/>
              </w:rPr>
              <w:t xml:space="preserve">Нарушения </w:t>
            </w:r>
            <w:r w:rsidRPr="00304265">
              <w:rPr>
                <w:b/>
                <w:bCs/>
              </w:rPr>
              <w:t>на</w:t>
            </w:r>
          </w:p>
          <w:p w14:paraId="3A5C8680" w14:textId="1527A89A" w:rsidR="00304265" w:rsidRPr="00304265" w:rsidRDefault="00304265" w:rsidP="00304265">
            <w:r>
              <w:rPr>
                <w:b/>
                <w:bCs/>
              </w:rPr>
              <w:t xml:space="preserve">бъбреците </w:t>
            </w:r>
            <w:r w:rsidRPr="00304265">
              <w:rPr>
                <w:b/>
                <w:bCs/>
              </w:rPr>
              <w:t>и</w:t>
            </w:r>
          </w:p>
          <w:p w14:paraId="3268C7B1" w14:textId="0AA0A63C" w:rsidR="00304265" w:rsidRPr="00304265" w:rsidRDefault="00304265" w:rsidP="00304265">
            <w:r w:rsidRPr="00304265">
              <w:rPr>
                <w:b/>
                <w:bCs/>
              </w:rPr>
              <w:t>пикочните пътища</w:t>
            </w:r>
          </w:p>
        </w:tc>
        <w:tc>
          <w:tcPr>
            <w:tcW w:w="2382" w:type="dxa"/>
          </w:tcPr>
          <w:p w14:paraId="78C1A1C5" w14:textId="77777777" w:rsidR="00304265" w:rsidRPr="00304265" w:rsidRDefault="00304265" w:rsidP="00304265"/>
        </w:tc>
        <w:tc>
          <w:tcPr>
            <w:tcW w:w="2422" w:type="dxa"/>
          </w:tcPr>
          <w:p w14:paraId="376805EB" w14:textId="77777777" w:rsidR="00304265" w:rsidRPr="00304265" w:rsidRDefault="00304265" w:rsidP="00304265"/>
        </w:tc>
        <w:tc>
          <w:tcPr>
            <w:tcW w:w="2389" w:type="dxa"/>
            <w:vAlign w:val="bottom"/>
          </w:tcPr>
          <w:p w14:paraId="5015F515" w14:textId="77777777" w:rsidR="00304265" w:rsidRPr="00304265" w:rsidRDefault="00304265" w:rsidP="00304265">
            <w:r w:rsidRPr="00304265">
              <w:t>Инконтиненция</w:t>
            </w:r>
            <w:r w:rsidRPr="00304265">
              <w:tab/>
              <w:t>на</w:t>
            </w:r>
          </w:p>
          <w:p w14:paraId="2CB7CBE2" w14:textId="756803B0" w:rsidR="00304265" w:rsidRPr="00304265" w:rsidRDefault="00304265" w:rsidP="00304265">
            <w:r w:rsidRPr="00304265">
              <w:t>урина Задържане на урина</w:t>
            </w:r>
          </w:p>
        </w:tc>
      </w:tr>
      <w:tr w:rsidR="00304265" w14:paraId="397A687F" w14:textId="77777777" w:rsidTr="00304265">
        <w:tc>
          <w:tcPr>
            <w:tcW w:w="2383" w:type="dxa"/>
            <w:vAlign w:val="bottom"/>
          </w:tcPr>
          <w:p w14:paraId="326267B5" w14:textId="278D9541" w:rsidR="00304265" w:rsidRPr="00304265" w:rsidRDefault="00304265" w:rsidP="00304265">
            <w:r w:rsidRPr="00304265">
              <w:rPr>
                <w:b/>
                <w:bCs/>
              </w:rPr>
              <w:t>Състояния с</w:t>
            </w:r>
            <w:r>
              <w:rPr>
                <w:b/>
                <w:bCs/>
              </w:rPr>
              <w:t xml:space="preserve">вързани с бременността, родовия </w:t>
            </w:r>
            <w:r w:rsidRPr="00304265">
              <w:rPr>
                <w:b/>
                <w:bCs/>
              </w:rPr>
              <w:t>и</w:t>
            </w:r>
          </w:p>
          <w:p w14:paraId="2A89C3DB" w14:textId="04314C78" w:rsidR="00304265" w:rsidRPr="00304265" w:rsidRDefault="00304265" w:rsidP="00304265">
            <w:r w:rsidRPr="00304265">
              <w:rPr>
                <w:b/>
                <w:bCs/>
              </w:rPr>
              <w:t>послеродовия период</w:t>
            </w:r>
          </w:p>
        </w:tc>
        <w:tc>
          <w:tcPr>
            <w:tcW w:w="2382" w:type="dxa"/>
          </w:tcPr>
          <w:p w14:paraId="022B7A3C" w14:textId="77777777" w:rsidR="00304265" w:rsidRPr="00304265" w:rsidRDefault="00304265" w:rsidP="00304265"/>
        </w:tc>
        <w:tc>
          <w:tcPr>
            <w:tcW w:w="2422" w:type="dxa"/>
          </w:tcPr>
          <w:p w14:paraId="58FD02D2" w14:textId="77777777" w:rsidR="00304265" w:rsidRPr="00304265" w:rsidRDefault="00304265" w:rsidP="00304265"/>
        </w:tc>
        <w:tc>
          <w:tcPr>
            <w:tcW w:w="2389" w:type="dxa"/>
          </w:tcPr>
          <w:p w14:paraId="7D6226E0" w14:textId="724F5688" w:rsidR="00304265" w:rsidRPr="00304265" w:rsidRDefault="00304265" w:rsidP="00304265">
            <w:r w:rsidRPr="00304265">
              <w:t>Синдром на отнемане при новородени (вж, точка 4,6)</w:t>
            </w:r>
          </w:p>
        </w:tc>
      </w:tr>
      <w:tr w:rsidR="00304265" w14:paraId="3139E9A0" w14:textId="77777777" w:rsidTr="00304265">
        <w:tc>
          <w:tcPr>
            <w:tcW w:w="2383" w:type="dxa"/>
            <w:vAlign w:val="bottom"/>
          </w:tcPr>
          <w:p w14:paraId="68B78F6C" w14:textId="77777777" w:rsidR="00304265" w:rsidRPr="00304265" w:rsidRDefault="00304265" w:rsidP="00304265">
            <w:r w:rsidRPr="00304265">
              <w:rPr>
                <w:b/>
                <w:bCs/>
              </w:rPr>
              <w:t>Нарушения</w:t>
            </w:r>
            <w:r w:rsidRPr="00304265">
              <w:rPr>
                <w:b/>
                <w:bCs/>
              </w:rPr>
              <w:tab/>
              <w:t>на</w:t>
            </w:r>
          </w:p>
          <w:p w14:paraId="28079333" w14:textId="6506115A" w:rsidR="00304265" w:rsidRPr="00304265" w:rsidRDefault="00304265" w:rsidP="00304265">
            <w:r w:rsidRPr="00304265">
              <w:rPr>
                <w:b/>
                <w:bCs/>
              </w:rPr>
              <w:t>репродуктивната система и гърдите</w:t>
            </w:r>
          </w:p>
        </w:tc>
        <w:tc>
          <w:tcPr>
            <w:tcW w:w="2382" w:type="dxa"/>
          </w:tcPr>
          <w:p w14:paraId="45A6D4CF" w14:textId="77777777" w:rsidR="00304265" w:rsidRPr="00304265" w:rsidRDefault="00304265" w:rsidP="00304265"/>
        </w:tc>
        <w:tc>
          <w:tcPr>
            <w:tcW w:w="2422" w:type="dxa"/>
          </w:tcPr>
          <w:p w14:paraId="2C3ED567" w14:textId="77777777" w:rsidR="00304265" w:rsidRPr="00304265" w:rsidRDefault="00304265" w:rsidP="00304265"/>
        </w:tc>
        <w:tc>
          <w:tcPr>
            <w:tcW w:w="2389" w:type="dxa"/>
          </w:tcPr>
          <w:p w14:paraId="018D9FD9" w14:textId="34D491D9" w:rsidR="00304265" w:rsidRPr="00304265" w:rsidRDefault="00304265" w:rsidP="00304265">
            <w:r w:rsidRPr="00304265">
              <w:t>Приапизъм</w:t>
            </w:r>
          </w:p>
        </w:tc>
      </w:tr>
      <w:tr w:rsidR="00304265" w14:paraId="5F460A62" w14:textId="77777777" w:rsidTr="00304265">
        <w:tc>
          <w:tcPr>
            <w:tcW w:w="2383" w:type="dxa"/>
          </w:tcPr>
          <w:p w14:paraId="15C475E5" w14:textId="59EBF7BD" w:rsidR="00304265" w:rsidRPr="00304265" w:rsidRDefault="00304265" w:rsidP="00304265">
            <w:r w:rsidRPr="00304265">
              <w:rPr>
                <w:b/>
                <w:bCs/>
              </w:rPr>
              <w:t>Общи нарушения и ефекти на мястото на приложение</w:t>
            </w:r>
          </w:p>
        </w:tc>
        <w:tc>
          <w:tcPr>
            <w:tcW w:w="2382" w:type="dxa"/>
          </w:tcPr>
          <w:p w14:paraId="2CEB9E35" w14:textId="4C8BF98E" w:rsidR="00304265" w:rsidRPr="00304265" w:rsidRDefault="00304265" w:rsidP="00304265">
            <w:r w:rsidRPr="00304265">
              <w:t>Умора</w:t>
            </w:r>
          </w:p>
        </w:tc>
        <w:tc>
          <w:tcPr>
            <w:tcW w:w="2422" w:type="dxa"/>
          </w:tcPr>
          <w:p w14:paraId="66212870" w14:textId="77777777" w:rsidR="00304265" w:rsidRPr="00304265" w:rsidRDefault="00304265" w:rsidP="00304265"/>
        </w:tc>
        <w:tc>
          <w:tcPr>
            <w:tcW w:w="2389" w:type="dxa"/>
            <w:vAlign w:val="bottom"/>
          </w:tcPr>
          <w:p w14:paraId="30F1AC01" w14:textId="77777777" w:rsidR="00304265" w:rsidRPr="00304265" w:rsidRDefault="00304265" w:rsidP="00304265">
            <w:r w:rsidRPr="00304265">
              <w:t>Нарушения</w:t>
            </w:r>
            <w:r w:rsidRPr="00304265">
              <w:tab/>
              <w:t>в</w:t>
            </w:r>
          </w:p>
          <w:p w14:paraId="21193654" w14:textId="42608006" w:rsidR="00304265" w:rsidRPr="00304265" w:rsidRDefault="00304265" w:rsidP="00304265">
            <w:r w:rsidRPr="00304265">
              <w:t>терморегулацията (например хипотермия, пирексия) Болка в гърдите Периферен оток</w:t>
            </w:r>
          </w:p>
        </w:tc>
      </w:tr>
      <w:tr w:rsidR="00304265" w14:paraId="63703935" w14:textId="77777777" w:rsidTr="00304265">
        <w:tc>
          <w:tcPr>
            <w:tcW w:w="2383" w:type="dxa"/>
          </w:tcPr>
          <w:p w14:paraId="1D093196" w14:textId="0B1C41F8" w:rsidR="00304265" w:rsidRPr="00304265" w:rsidRDefault="00304265" w:rsidP="00304265">
            <w:r w:rsidRPr="00304265">
              <w:rPr>
                <w:b/>
                <w:bCs/>
              </w:rPr>
              <w:t>Изследвания</w:t>
            </w:r>
          </w:p>
        </w:tc>
        <w:tc>
          <w:tcPr>
            <w:tcW w:w="2382" w:type="dxa"/>
          </w:tcPr>
          <w:p w14:paraId="04C0151F" w14:textId="77777777" w:rsidR="00304265" w:rsidRPr="00304265" w:rsidRDefault="00304265" w:rsidP="00304265"/>
        </w:tc>
        <w:tc>
          <w:tcPr>
            <w:tcW w:w="2422" w:type="dxa"/>
          </w:tcPr>
          <w:p w14:paraId="57F700A1" w14:textId="77777777" w:rsidR="00304265" w:rsidRPr="00304265" w:rsidRDefault="00304265" w:rsidP="00304265"/>
        </w:tc>
        <w:tc>
          <w:tcPr>
            <w:tcW w:w="2389" w:type="dxa"/>
            <w:vAlign w:val="bottom"/>
          </w:tcPr>
          <w:p w14:paraId="7A2842F4" w14:textId="7082FF5F" w:rsidR="00304265" w:rsidRPr="00304265" w:rsidRDefault="00304265" w:rsidP="00304265">
            <w:r>
              <w:t xml:space="preserve">Повишена кръвна захар Повишен </w:t>
            </w:r>
            <w:r w:rsidRPr="00304265">
              <w:t>гликиран</w:t>
            </w:r>
            <w:r>
              <w:t xml:space="preserve"> </w:t>
            </w:r>
            <w:r w:rsidRPr="00304265">
              <w:t>хемоглобин</w:t>
            </w:r>
          </w:p>
          <w:p w14:paraId="759D88F7" w14:textId="66BE587D" w:rsidR="00304265" w:rsidRPr="00304265" w:rsidRDefault="00304265" w:rsidP="00304265">
            <w:r>
              <w:t xml:space="preserve">Флуктуация </w:t>
            </w:r>
            <w:r w:rsidRPr="00304265">
              <w:t>на</w:t>
            </w:r>
          </w:p>
          <w:p w14:paraId="379C7586" w14:textId="090F40ED" w:rsidR="00304265" w:rsidRPr="00304265" w:rsidRDefault="00304265" w:rsidP="00304265">
            <w:r>
              <w:t xml:space="preserve">кръвната захар Повишена </w:t>
            </w:r>
            <w:r w:rsidRPr="00304265">
              <w:t>креатин</w:t>
            </w:r>
          </w:p>
          <w:p w14:paraId="39E00D6F" w14:textId="08557105" w:rsidR="00304265" w:rsidRPr="00304265" w:rsidRDefault="00304265" w:rsidP="00304265">
            <w:r w:rsidRPr="00304265">
              <w:t>фосфокиназа</w:t>
            </w:r>
          </w:p>
        </w:tc>
      </w:tr>
    </w:tbl>
    <w:p w14:paraId="3E6B1584" w14:textId="293A7015" w:rsidR="00304265" w:rsidRDefault="00304265" w:rsidP="00304265"/>
    <w:p w14:paraId="780814E1" w14:textId="77777777" w:rsidR="00304265" w:rsidRPr="00304265" w:rsidRDefault="00304265" w:rsidP="00304265">
      <w:pPr>
        <w:spacing w:line="240" w:lineRule="auto"/>
        <w:rPr>
          <w:rFonts w:eastAsia="Times New Roman" w:cs="Arial"/>
        </w:rPr>
      </w:pPr>
      <w:r w:rsidRPr="00304265">
        <w:rPr>
          <w:rFonts w:eastAsia="Times New Roman" w:cs="Arial"/>
          <w:color w:val="000000"/>
          <w:u w:val="single"/>
          <w:lang w:eastAsia="bg-BG"/>
        </w:rPr>
        <w:t>Описание на избрани нежелани реакции</w:t>
      </w:r>
    </w:p>
    <w:p w14:paraId="724DDEB8" w14:textId="77777777" w:rsidR="00304265" w:rsidRPr="00304265" w:rsidRDefault="00304265" w:rsidP="00304265">
      <w:pPr>
        <w:spacing w:line="240" w:lineRule="auto"/>
        <w:rPr>
          <w:rFonts w:eastAsia="Times New Roman" w:cs="Arial"/>
          <w:b/>
          <w:bCs/>
          <w:color w:val="000000"/>
          <w:lang w:eastAsia="bg-BG"/>
        </w:rPr>
      </w:pPr>
      <w:bookmarkStart w:id="2" w:name="bookmark0"/>
    </w:p>
    <w:p w14:paraId="691605D4" w14:textId="590A117D" w:rsidR="00304265" w:rsidRPr="00304265" w:rsidRDefault="00304265" w:rsidP="00304265">
      <w:pPr>
        <w:spacing w:line="240" w:lineRule="auto"/>
        <w:rPr>
          <w:rFonts w:eastAsia="Times New Roman" w:cs="Arial"/>
        </w:rPr>
      </w:pPr>
      <w:r w:rsidRPr="00304265">
        <w:rPr>
          <w:rFonts w:eastAsia="Times New Roman" w:cs="Arial"/>
          <w:b/>
          <w:bCs/>
          <w:color w:val="000000"/>
          <w:lang w:eastAsia="bg-BG"/>
        </w:rPr>
        <w:t xml:space="preserve">Екстра пирамидни симптоми </w:t>
      </w:r>
      <w:r w:rsidRPr="00304265">
        <w:rPr>
          <w:rFonts w:eastAsia="Times New Roman" w:cs="Arial"/>
          <w:b/>
          <w:bCs/>
          <w:color w:val="000000"/>
          <w:lang w:val="ru-RU"/>
        </w:rPr>
        <w:t>(</w:t>
      </w:r>
      <w:r w:rsidRPr="00304265">
        <w:rPr>
          <w:rFonts w:eastAsia="Times New Roman" w:cs="Arial"/>
          <w:b/>
          <w:bCs/>
          <w:color w:val="000000"/>
          <w:lang w:val="en-US"/>
        </w:rPr>
        <w:t>EPS</w:t>
      </w:r>
      <w:r w:rsidRPr="00304265">
        <w:rPr>
          <w:rFonts w:eastAsia="Times New Roman" w:cs="Arial"/>
          <w:b/>
          <w:bCs/>
          <w:color w:val="000000"/>
          <w:lang w:val="ru-RU"/>
        </w:rPr>
        <w:t>):</w:t>
      </w:r>
      <w:bookmarkEnd w:id="2"/>
    </w:p>
    <w:p w14:paraId="0CEA8D3B" w14:textId="77777777"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Шизофрения</w:t>
      </w:r>
    </w:p>
    <w:p w14:paraId="1D38C38A"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В продължително, 52-седмично контролирано проучване, при пациентите на лечение с арипипразол като цяло е наблюдавана по-ниска честота (25,8%) на </w:t>
      </w:r>
      <w:r w:rsidRPr="00304265">
        <w:rPr>
          <w:rFonts w:eastAsia="Times New Roman" w:cs="Arial"/>
          <w:color w:val="000000"/>
          <w:lang w:val="en-US"/>
        </w:rPr>
        <w:t>EPS</w:t>
      </w:r>
      <w:r w:rsidRPr="00304265">
        <w:rPr>
          <w:rFonts w:eastAsia="Times New Roman" w:cs="Arial"/>
          <w:color w:val="000000"/>
          <w:lang w:val="ru-RU"/>
        </w:rPr>
        <w:t xml:space="preserve">, </w:t>
      </w:r>
      <w:r w:rsidRPr="00304265">
        <w:rPr>
          <w:rFonts w:eastAsia="Times New Roman" w:cs="Arial"/>
          <w:color w:val="000000"/>
          <w:lang w:eastAsia="bg-BG"/>
        </w:rPr>
        <w:t xml:space="preserve">включително паркинсонизъм, акатизия и дискинезия, в сравнение с пациентите лекувани с халоперидол (57,3%). При продължително, 26- седмично, плацебо-контролирано проучване, честотата на </w:t>
      </w:r>
      <w:r w:rsidRPr="00304265">
        <w:rPr>
          <w:rFonts w:eastAsia="Times New Roman" w:cs="Arial"/>
          <w:color w:val="000000"/>
          <w:lang w:val="en-US"/>
        </w:rPr>
        <w:t>EPS</w:t>
      </w:r>
      <w:r w:rsidRPr="00304265">
        <w:rPr>
          <w:rFonts w:eastAsia="Times New Roman" w:cs="Arial"/>
          <w:color w:val="000000"/>
          <w:lang w:val="ru-RU"/>
        </w:rPr>
        <w:t xml:space="preserve"> </w:t>
      </w:r>
      <w:r w:rsidRPr="00304265">
        <w:rPr>
          <w:rFonts w:eastAsia="Times New Roman" w:cs="Arial"/>
          <w:color w:val="000000"/>
          <w:lang w:eastAsia="bg-BG"/>
        </w:rPr>
        <w:t xml:space="preserve">при пациентите на лечение с арипипразол е била 19% и съответно 13,1% при пациентите от групата на плацебо. В друго 26- седмично контролирано проучване, честотата на </w:t>
      </w:r>
      <w:r w:rsidRPr="00304265">
        <w:rPr>
          <w:rFonts w:eastAsia="Times New Roman" w:cs="Arial"/>
          <w:color w:val="000000"/>
          <w:lang w:val="en-US"/>
        </w:rPr>
        <w:t>EPS</w:t>
      </w:r>
      <w:r w:rsidRPr="00304265">
        <w:rPr>
          <w:rFonts w:eastAsia="Times New Roman" w:cs="Arial"/>
          <w:color w:val="000000"/>
          <w:lang w:val="ru-RU"/>
        </w:rPr>
        <w:t xml:space="preserve"> </w:t>
      </w:r>
      <w:r w:rsidRPr="00304265">
        <w:rPr>
          <w:rFonts w:eastAsia="Times New Roman" w:cs="Arial"/>
          <w:color w:val="000000"/>
          <w:lang w:eastAsia="bg-BG"/>
        </w:rPr>
        <w:t>при пациентите на лечение с арипипразол е била 14,8% и съответно 15,1% при пациентите на лечение с оланзапин,</w:t>
      </w:r>
    </w:p>
    <w:p w14:paraId="5B907FB9" w14:textId="77777777" w:rsidR="00304265" w:rsidRPr="00304265" w:rsidRDefault="00304265" w:rsidP="00304265">
      <w:pPr>
        <w:spacing w:line="240" w:lineRule="auto"/>
        <w:rPr>
          <w:rFonts w:eastAsia="Times New Roman" w:cs="Arial"/>
          <w:i/>
          <w:iCs/>
          <w:color w:val="000000"/>
          <w:lang w:eastAsia="bg-BG"/>
        </w:rPr>
      </w:pPr>
    </w:p>
    <w:p w14:paraId="25B233F7" w14:textId="306631C8"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lastRenderedPageBreak/>
        <w:t>Манийни епизоди на биполярно афективно разстройство -</w:t>
      </w:r>
      <w:r w:rsidRPr="00304265">
        <w:rPr>
          <w:rFonts w:eastAsia="Times New Roman" w:cs="Arial"/>
          <w:color w:val="000000"/>
          <w:lang w:eastAsia="bg-BG"/>
        </w:rPr>
        <w:t xml:space="preserve"> В 12-седмично контролирано проучване честотата на </w:t>
      </w:r>
      <w:r w:rsidRPr="00304265">
        <w:rPr>
          <w:rFonts w:eastAsia="Times New Roman" w:cs="Arial"/>
          <w:color w:val="000000"/>
          <w:lang w:val="en-US"/>
        </w:rPr>
        <w:t>EPS</w:t>
      </w:r>
      <w:r w:rsidRPr="00304265">
        <w:rPr>
          <w:rFonts w:eastAsia="Times New Roman" w:cs="Arial"/>
          <w:color w:val="000000"/>
          <w:lang w:val="ru-RU"/>
        </w:rPr>
        <w:t xml:space="preserve"> </w:t>
      </w:r>
      <w:r w:rsidRPr="00304265">
        <w:rPr>
          <w:rFonts w:eastAsia="Times New Roman" w:cs="Arial"/>
          <w:color w:val="000000"/>
          <w:lang w:eastAsia="bg-BG"/>
        </w:rPr>
        <w:t xml:space="preserve">е била 23,5% при пациентите на лечение с арипипразол и 53,3% при пациентите на лечение с халоперидол. В друго 12-седмично проучване честотата на </w:t>
      </w:r>
      <w:r w:rsidRPr="00304265">
        <w:rPr>
          <w:rFonts w:eastAsia="Times New Roman" w:cs="Arial"/>
          <w:color w:val="000000"/>
          <w:lang w:val="en-US"/>
        </w:rPr>
        <w:t>EPS</w:t>
      </w:r>
      <w:r w:rsidRPr="00304265">
        <w:rPr>
          <w:rFonts w:eastAsia="Times New Roman" w:cs="Arial"/>
          <w:color w:val="000000"/>
          <w:lang w:val="ru-RU"/>
        </w:rPr>
        <w:t xml:space="preserve"> </w:t>
      </w:r>
      <w:r w:rsidRPr="00304265">
        <w:rPr>
          <w:rFonts w:eastAsia="Times New Roman" w:cs="Arial"/>
          <w:color w:val="000000"/>
          <w:lang w:eastAsia="bg-BG"/>
        </w:rPr>
        <w:t xml:space="preserve">е била 26,6% при пациентите на лечение с арипипразол и 17,6% при пациентите на лечение с литий. При дългосрочната 26- седмична поддържаща фаза на плацебо контролирано проучване, честотата на </w:t>
      </w:r>
      <w:r w:rsidRPr="00304265">
        <w:rPr>
          <w:rFonts w:eastAsia="Times New Roman" w:cs="Arial"/>
          <w:color w:val="000000"/>
          <w:lang w:val="en-US"/>
        </w:rPr>
        <w:t>EPS</w:t>
      </w:r>
      <w:r w:rsidRPr="00304265">
        <w:rPr>
          <w:rFonts w:eastAsia="Times New Roman" w:cs="Arial"/>
          <w:color w:val="000000"/>
          <w:lang w:val="ru-RU"/>
        </w:rPr>
        <w:t xml:space="preserve"> </w:t>
      </w:r>
      <w:r w:rsidRPr="00304265">
        <w:rPr>
          <w:rFonts w:eastAsia="Times New Roman" w:cs="Arial"/>
          <w:color w:val="000000"/>
          <w:lang w:eastAsia="bg-BG"/>
        </w:rPr>
        <w:t>при пациентите на лечение с арипипразол е била 18,2% и 15,7% при пациентите от групата на плацебо.</w:t>
      </w:r>
    </w:p>
    <w:p w14:paraId="564428F2" w14:textId="77777777" w:rsidR="00304265" w:rsidRPr="00304265" w:rsidRDefault="00304265" w:rsidP="00304265">
      <w:pPr>
        <w:spacing w:line="240" w:lineRule="auto"/>
        <w:rPr>
          <w:rFonts w:eastAsia="Times New Roman" w:cs="Arial"/>
          <w:i/>
          <w:iCs/>
          <w:color w:val="000000"/>
          <w:lang w:eastAsia="bg-BG"/>
        </w:rPr>
      </w:pPr>
    </w:p>
    <w:p w14:paraId="4080525D" w14:textId="5180D3A4"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Акатизия</w:t>
      </w:r>
    </w:p>
    <w:p w14:paraId="15E48624"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плацебо контролирани проучвания, честотата на акатизия при пациенти с биполярно разстройство е била 12,1% при лекуваните с арипипразол и 3,2% при групата на плацебо. При пациентите с шизофрения честотата на акатизия е била 6,2% при лекуваните с арипипразол и 3,0% при групата на плацебо.</w:t>
      </w:r>
    </w:p>
    <w:p w14:paraId="2E8DE9EE" w14:textId="77777777" w:rsidR="00304265" w:rsidRPr="00304265" w:rsidRDefault="00304265" w:rsidP="00304265">
      <w:pPr>
        <w:spacing w:line="240" w:lineRule="auto"/>
        <w:rPr>
          <w:rFonts w:eastAsia="Times New Roman" w:cs="Arial"/>
          <w:i/>
          <w:iCs/>
          <w:color w:val="000000"/>
          <w:lang w:eastAsia="bg-BG"/>
        </w:rPr>
      </w:pPr>
    </w:p>
    <w:p w14:paraId="7AFACA12" w14:textId="0FE3BB1C"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Дистония-реакция, свързвана с лекарствения клас:</w:t>
      </w:r>
    </w:p>
    <w:p w14:paraId="0227212F"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Симптомите на дистония, удължени абнормни контракции на мускулни групи, може да се появят при чувствителни индивиди по време на първите няколко дни на лечение. Симптомите на дистония включват спазъм на вратните мускули, понякога прогресиращ до стягане в гърлото, затруднено преглъщане, затруднено дишане и/или протрузия на езика. Въпреки че тези симптоми може да се появят и при ниски дози, те се появяват по-често и са по-тежки при по-мощните и при прилаганите в по-високи дози антипсихотици от първо поколение. Повишен риск от остра дистония се наблюдава при мъжете и при по-младите възрастови групи.</w:t>
      </w:r>
    </w:p>
    <w:p w14:paraId="55268A28" w14:textId="77777777" w:rsidR="00304265" w:rsidRPr="00304265" w:rsidRDefault="00304265" w:rsidP="00304265">
      <w:pPr>
        <w:spacing w:line="240" w:lineRule="auto"/>
        <w:rPr>
          <w:rFonts w:eastAsia="Times New Roman" w:cs="Arial"/>
          <w:i/>
          <w:iCs/>
          <w:color w:val="000000"/>
          <w:lang w:eastAsia="bg-BG"/>
        </w:rPr>
      </w:pPr>
    </w:p>
    <w:p w14:paraId="3230B94E" w14:textId="15541140"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Пролактин</w:t>
      </w:r>
    </w:p>
    <w:p w14:paraId="1241A5C8"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клинични проучвания за одобрените показания и в постмаркетинговия период, при използване на арипипразол се наблюдава както увеличение, така и намаление на серумния пролактин, в сравнение с изходното ниво (точка 5.1).</w:t>
      </w:r>
    </w:p>
    <w:p w14:paraId="04DCA105" w14:textId="77777777" w:rsidR="00304265" w:rsidRPr="00304265" w:rsidRDefault="00304265" w:rsidP="00304265">
      <w:pPr>
        <w:spacing w:line="240" w:lineRule="auto"/>
        <w:rPr>
          <w:rFonts w:eastAsia="Times New Roman" w:cs="Arial"/>
          <w:i/>
          <w:iCs/>
          <w:color w:val="000000"/>
          <w:lang w:eastAsia="bg-BG"/>
        </w:rPr>
      </w:pPr>
    </w:p>
    <w:p w14:paraId="7B8195DC" w14:textId="428F0C6E"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Лабораторни параметри</w:t>
      </w:r>
    </w:p>
    <w:p w14:paraId="355F1F92"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При сравнението на арипипразол и плацебо, по отношение на броя пациенти при които са наблюдавани клинично значими промени в рутинните лабораторни и липидните параметри (вж. точка 5.1), не са наблюдавани клинично значими различия. Повишаване на СРК (креатинин фосфокиназата), обикновено преходно и асимптомно е наблюдавано при 3,5% от пациентите на лечение с арипипразол, в сравнение 2,0% от пациентите на плацебо.</w:t>
      </w:r>
    </w:p>
    <w:p w14:paraId="41B6D853" w14:textId="77777777" w:rsidR="00304265" w:rsidRPr="00304265" w:rsidRDefault="00304265" w:rsidP="00304265">
      <w:pPr>
        <w:spacing w:line="240" w:lineRule="auto"/>
        <w:rPr>
          <w:rFonts w:eastAsia="Times New Roman" w:cs="Arial"/>
          <w:color w:val="000000"/>
          <w:u w:val="single"/>
          <w:lang w:eastAsia="bg-BG"/>
        </w:rPr>
      </w:pPr>
    </w:p>
    <w:p w14:paraId="1D4AE741" w14:textId="1F19F41E" w:rsidR="00304265" w:rsidRPr="00304265" w:rsidRDefault="00304265" w:rsidP="00304265">
      <w:pPr>
        <w:spacing w:line="240" w:lineRule="auto"/>
        <w:rPr>
          <w:rFonts w:eastAsia="Times New Roman" w:cs="Arial"/>
        </w:rPr>
      </w:pPr>
      <w:r w:rsidRPr="00304265">
        <w:rPr>
          <w:rFonts w:eastAsia="Times New Roman" w:cs="Arial"/>
          <w:color w:val="000000"/>
          <w:u w:val="single"/>
          <w:lang w:eastAsia="bg-BG"/>
        </w:rPr>
        <w:t>Педиатрична популация:</w:t>
      </w:r>
    </w:p>
    <w:p w14:paraId="6F6E7F67" w14:textId="77777777" w:rsidR="00304265" w:rsidRPr="00304265" w:rsidRDefault="00304265" w:rsidP="00304265">
      <w:pPr>
        <w:spacing w:line="240" w:lineRule="auto"/>
        <w:rPr>
          <w:rFonts w:eastAsia="Times New Roman" w:cs="Arial"/>
          <w:i/>
          <w:iCs/>
          <w:color w:val="000000"/>
          <w:lang w:eastAsia="bg-BG"/>
        </w:rPr>
      </w:pPr>
    </w:p>
    <w:p w14:paraId="5D965977" w14:textId="1E95AF30"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Шизофрения при юноши на и над 15 години</w:t>
      </w:r>
    </w:p>
    <w:p w14:paraId="6BF3148D"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краткосрочно клинично плацебо-контролирано проучване на 302 юноши (на възраст 13-17 години) с шизофрения, честотата и вида на нежеланите реакции са подобни на наблюдаваните при възрастни пациенти, с изключение на следните нежелани събития, които са наблюдавани по-често при юноши, приемащи перорално арипипразол (и по-често в сравнение с плацебо): сомнолентност/седация и екстрапирамидни нарушения са докладвани много често (≥1/10), ксеростомия (сухота в устата), повишен апетит и ортостатична хипотония са докладвани често (≥1/100, &lt; 1/10).</w:t>
      </w:r>
    </w:p>
    <w:p w14:paraId="41EAAF62" w14:textId="7D1A90BE" w:rsidR="00304265" w:rsidRPr="00304265" w:rsidRDefault="00304265" w:rsidP="00304265">
      <w:pPr>
        <w:rPr>
          <w:rFonts w:cs="Arial"/>
        </w:rPr>
      </w:pPr>
    </w:p>
    <w:p w14:paraId="772A778F"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Профилът на безопасност в 26-седмично, отворено разширено изпитване е подобен на профила на безопасност на краткосрочно, плацебо-контролирано проучване. Профилът на безопасност на дългосрочно, двойно-сляпо, плацебо контролирано проучване е също </w:t>
      </w:r>
      <w:r w:rsidRPr="00304265">
        <w:rPr>
          <w:rFonts w:eastAsia="Times New Roman" w:cs="Arial"/>
          <w:color w:val="000000"/>
          <w:lang w:eastAsia="bg-BG"/>
        </w:rPr>
        <w:lastRenderedPageBreak/>
        <w:t>сходен, с изключение на следните реакции, които се съобщават по-често, отколкото при педиатрични пациенти, приемащи плацебо: често се съобщава за намаляване на теглото, повишаване на инсулина в кръвта, аритмия и левкопения (≥1/100, &lt; 1/10).</w:t>
      </w:r>
    </w:p>
    <w:p w14:paraId="5D1B9B83" w14:textId="77777777" w:rsidR="00304265" w:rsidRPr="00304265" w:rsidRDefault="00304265" w:rsidP="00304265">
      <w:pPr>
        <w:spacing w:line="240" w:lineRule="auto"/>
        <w:rPr>
          <w:rFonts w:eastAsia="Times New Roman" w:cs="Arial"/>
          <w:color w:val="000000"/>
          <w:lang w:eastAsia="bg-BG"/>
        </w:rPr>
      </w:pPr>
    </w:p>
    <w:p w14:paraId="3339AC4D" w14:textId="1009A56A"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В избрана юношеска популация с шизофрения (13-17 години) с експозиция до 2 години, случайте на ниски серумни нива на пролактин при юноши от женски пол (&lt;3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 xml:space="preserve">и от мъжки пол (&lt;2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 xml:space="preserve">са били съответно 29,5% и 48,3%. В младежката (13-17 години) популация с шизофрения, с експозиция на арипипразол от 5 до 30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 xml:space="preserve">в продължение на до 72 месеца, случаите на ниски серумни нива на пролактин при жените (&lt; 3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 xml:space="preserve">и мъжете (&lt; 2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бяха съответно 25,6% и 45,0%.</w:t>
      </w:r>
    </w:p>
    <w:p w14:paraId="4693C97C"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В две дългосрочни проучвания при юноши (13-17 години) с шизофрения и пациенти с биполярно разстройство, лекувани с арипипразол, честотата на ниски серумни нива на пролактин при жени (&lt; 3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 xml:space="preserve">и мъже (&lt; 2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е съответно 37,0% и 59,4%.</w:t>
      </w:r>
    </w:p>
    <w:p w14:paraId="6C7AEAC6" w14:textId="77777777" w:rsidR="00304265" w:rsidRPr="00304265" w:rsidRDefault="00304265" w:rsidP="00304265">
      <w:pPr>
        <w:spacing w:line="240" w:lineRule="auto"/>
        <w:rPr>
          <w:rFonts w:eastAsia="Times New Roman" w:cs="Arial"/>
          <w:i/>
          <w:iCs/>
          <w:color w:val="000000"/>
          <w:lang w:eastAsia="bg-BG"/>
        </w:rPr>
      </w:pPr>
    </w:p>
    <w:p w14:paraId="2EA566C6" w14:textId="0729DFCA"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 xml:space="preserve">Манийни епизоди при биполярно афективно разстройство тип I при юноши на и над 13 години </w:t>
      </w:r>
      <w:r w:rsidRPr="00304265">
        <w:rPr>
          <w:rFonts w:eastAsia="Times New Roman" w:cs="Arial"/>
          <w:color w:val="000000"/>
          <w:lang w:eastAsia="bg-BG"/>
        </w:rPr>
        <w:t>Честотата и типа на нежеланите лекарствени реакции при юноши с биполярно афективно разстройство тип I са подобни на тези при възрастни, с изключение на следните: много чести (≥1/10) сомнолентност (23,0%), екстрапирамидно нарушение (18,4%), акатизия (16,0%) и отпадналост (11,8%); чести (&gt; 1/100, &lt; 1/10) болка в горната абдоминална област, увеличение на сърдечната честота, увеличаване на теглото, повишен апетит, мускулно потръпване и дискинезия.</w:t>
      </w:r>
    </w:p>
    <w:p w14:paraId="2ADE74F6" w14:textId="77777777" w:rsidR="00304265" w:rsidRPr="00304265" w:rsidRDefault="00304265" w:rsidP="00304265">
      <w:pPr>
        <w:spacing w:line="240" w:lineRule="auto"/>
        <w:rPr>
          <w:rFonts w:eastAsia="Times New Roman" w:cs="Arial"/>
          <w:color w:val="000000"/>
          <w:lang w:eastAsia="bg-BG"/>
        </w:rPr>
      </w:pPr>
    </w:p>
    <w:p w14:paraId="1A6493C5" w14:textId="7FBA586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Следните нежелани лекарствени реакции са имали вероятен дозозависим характер: екстрапирамидно нарушение (със следната честота 10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 xml:space="preserve">9,1%, 30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 xml:space="preserve">28,8%, плацебо, 1,7%); и акатизия (със следната честота 10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 xml:space="preserve">12,1%, 30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20,3%, плацебо, 1,7%).</w:t>
      </w:r>
    </w:p>
    <w:p w14:paraId="4CC369B0" w14:textId="77777777" w:rsidR="00304265" w:rsidRPr="00304265" w:rsidRDefault="00304265" w:rsidP="00304265">
      <w:pPr>
        <w:spacing w:line="240" w:lineRule="auto"/>
        <w:rPr>
          <w:rFonts w:eastAsia="Times New Roman" w:cs="Arial"/>
          <w:color w:val="000000"/>
          <w:lang w:eastAsia="bg-BG"/>
        </w:rPr>
      </w:pPr>
    </w:p>
    <w:p w14:paraId="1F85BE3E" w14:textId="428D9615"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Средните промени в телесното тегло при юноши с биполярно афективно разстройство тип I на 12-та и 30-та седмица за арипипразол са 2,4 </w:t>
      </w:r>
      <w:r w:rsidRPr="00304265">
        <w:rPr>
          <w:rFonts w:eastAsia="Times New Roman" w:cs="Arial"/>
          <w:color w:val="000000"/>
          <w:lang w:val="en-US"/>
        </w:rPr>
        <w:t>kg</w:t>
      </w:r>
      <w:r w:rsidRPr="00304265">
        <w:rPr>
          <w:rFonts w:eastAsia="Times New Roman" w:cs="Arial"/>
          <w:color w:val="000000"/>
          <w:lang w:val="ru-RU"/>
        </w:rPr>
        <w:t xml:space="preserve"> </w:t>
      </w:r>
      <w:r w:rsidRPr="00304265">
        <w:rPr>
          <w:rFonts w:eastAsia="Times New Roman" w:cs="Arial"/>
          <w:color w:val="000000"/>
          <w:lang w:eastAsia="bg-BG"/>
        </w:rPr>
        <w:t xml:space="preserve">и 5,8 </w:t>
      </w:r>
      <w:r w:rsidRPr="00304265">
        <w:rPr>
          <w:rFonts w:eastAsia="Times New Roman" w:cs="Arial"/>
          <w:color w:val="000000"/>
          <w:lang w:val="en-US"/>
        </w:rPr>
        <w:t>kg</w:t>
      </w:r>
      <w:r w:rsidRPr="00304265">
        <w:rPr>
          <w:rFonts w:eastAsia="Times New Roman" w:cs="Arial"/>
          <w:color w:val="000000"/>
          <w:lang w:val="ru-RU"/>
        </w:rPr>
        <w:t xml:space="preserve"> </w:t>
      </w:r>
      <w:r w:rsidRPr="00304265">
        <w:rPr>
          <w:rFonts w:eastAsia="Times New Roman" w:cs="Arial"/>
          <w:color w:val="000000"/>
          <w:lang w:eastAsia="bg-BG"/>
        </w:rPr>
        <w:t xml:space="preserve">и при плацебо съответно 0,2 </w:t>
      </w:r>
      <w:r w:rsidRPr="00304265">
        <w:rPr>
          <w:rFonts w:eastAsia="Times New Roman" w:cs="Arial"/>
          <w:color w:val="000000"/>
          <w:lang w:val="en-US"/>
        </w:rPr>
        <w:t>kg</w:t>
      </w:r>
      <w:r w:rsidRPr="00304265">
        <w:rPr>
          <w:rFonts w:eastAsia="Times New Roman" w:cs="Arial"/>
          <w:color w:val="000000"/>
          <w:lang w:val="ru-RU"/>
        </w:rPr>
        <w:t xml:space="preserve"> </w:t>
      </w:r>
      <w:r w:rsidRPr="00304265">
        <w:rPr>
          <w:rFonts w:eastAsia="Times New Roman" w:cs="Arial"/>
          <w:color w:val="000000"/>
          <w:lang w:eastAsia="bg-BG"/>
        </w:rPr>
        <w:t xml:space="preserve">и 2,3 </w:t>
      </w:r>
      <w:r w:rsidRPr="00304265">
        <w:rPr>
          <w:rFonts w:eastAsia="Times New Roman" w:cs="Arial"/>
          <w:color w:val="000000"/>
          <w:lang w:val="en-US"/>
        </w:rPr>
        <w:t>kg</w:t>
      </w:r>
      <w:r w:rsidRPr="00304265">
        <w:rPr>
          <w:rFonts w:eastAsia="Times New Roman" w:cs="Arial"/>
          <w:color w:val="000000"/>
          <w:lang w:val="ru-RU"/>
        </w:rPr>
        <w:t>.</w:t>
      </w:r>
    </w:p>
    <w:p w14:paraId="6619F063" w14:textId="77777777" w:rsidR="00304265" w:rsidRPr="00304265" w:rsidRDefault="00304265" w:rsidP="00304265">
      <w:pPr>
        <w:spacing w:line="240" w:lineRule="auto"/>
        <w:rPr>
          <w:rFonts w:eastAsia="Times New Roman" w:cs="Arial"/>
          <w:color w:val="000000"/>
          <w:lang w:eastAsia="bg-BG"/>
        </w:rPr>
      </w:pPr>
    </w:p>
    <w:p w14:paraId="68E0038C" w14:textId="02DCA7B1" w:rsidR="00304265" w:rsidRPr="00304265" w:rsidRDefault="00304265" w:rsidP="00304265">
      <w:pPr>
        <w:spacing w:line="240" w:lineRule="auto"/>
        <w:rPr>
          <w:rFonts w:eastAsia="Times New Roman" w:cs="Arial"/>
        </w:rPr>
      </w:pPr>
      <w:r w:rsidRPr="00304265">
        <w:rPr>
          <w:rFonts w:eastAsia="Times New Roman" w:cs="Arial"/>
          <w:color w:val="000000"/>
          <w:lang w:eastAsia="bg-BG"/>
        </w:rPr>
        <w:t>При педиатричната популация, сомнолентност и отпадналост са наблюдавани по-често при пациенти с биполярно разстройство отколкото при пациенти с шизофрения.</w:t>
      </w:r>
    </w:p>
    <w:p w14:paraId="488DCC1F" w14:textId="77777777" w:rsidR="00304265" w:rsidRPr="00304265" w:rsidRDefault="00304265" w:rsidP="00304265">
      <w:pPr>
        <w:spacing w:line="240" w:lineRule="auto"/>
        <w:rPr>
          <w:rFonts w:eastAsia="Times New Roman" w:cs="Arial"/>
          <w:color w:val="000000"/>
          <w:lang w:eastAsia="bg-BG"/>
        </w:rPr>
      </w:pPr>
    </w:p>
    <w:p w14:paraId="74F50672" w14:textId="3339B97D"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При педиатричната биполярна популация (10-17 години) при експозиция до 30 седмици, честотата на ниски нива на пролактин в серума при индивиди от женски пол (&lt;3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 xml:space="preserve">и индивиди от мъжки пол (&lt;2 </w:t>
      </w:r>
      <w:r w:rsidRPr="00304265">
        <w:rPr>
          <w:rFonts w:eastAsia="Times New Roman" w:cs="Arial"/>
          <w:color w:val="000000"/>
          <w:lang w:val="en-US"/>
        </w:rPr>
        <w:t>ng</w:t>
      </w:r>
      <w:r w:rsidRPr="00304265">
        <w:rPr>
          <w:rFonts w:eastAsia="Times New Roman" w:cs="Arial"/>
          <w:color w:val="000000"/>
          <w:lang w:val="ru-RU"/>
        </w:rPr>
        <w:t>/</w:t>
      </w:r>
      <w:r w:rsidRPr="00304265">
        <w:rPr>
          <w:rFonts w:eastAsia="Times New Roman" w:cs="Arial"/>
          <w:color w:val="000000"/>
          <w:lang w:val="en-US"/>
        </w:rPr>
        <w:t>ml</w:t>
      </w:r>
      <w:r w:rsidRPr="00304265">
        <w:rPr>
          <w:rFonts w:eastAsia="Times New Roman" w:cs="Arial"/>
          <w:color w:val="000000"/>
          <w:lang w:val="ru-RU"/>
        </w:rPr>
        <w:t xml:space="preserve">) </w:t>
      </w:r>
      <w:r w:rsidRPr="00304265">
        <w:rPr>
          <w:rFonts w:eastAsia="Times New Roman" w:cs="Arial"/>
          <w:color w:val="000000"/>
          <w:lang w:eastAsia="bg-BG"/>
        </w:rPr>
        <w:t>е била съответно 28,0% и 53,3%.</w:t>
      </w:r>
    </w:p>
    <w:p w14:paraId="762B4C2C" w14:textId="77777777" w:rsidR="00304265" w:rsidRPr="00304265" w:rsidRDefault="00304265" w:rsidP="00304265">
      <w:pPr>
        <w:spacing w:line="240" w:lineRule="auto"/>
        <w:rPr>
          <w:rFonts w:eastAsia="Times New Roman" w:cs="Arial"/>
          <w:color w:val="000000"/>
          <w:u w:val="single"/>
          <w:lang w:eastAsia="bg-BG"/>
        </w:rPr>
      </w:pPr>
    </w:p>
    <w:p w14:paraId="77053587" w14:textId="0C2803ED" w:rsidR="00304265" w:rsidRPr="00304265" w:rsidRDefault="00304265" w:rsidP="00304265">
      <w:pPr>
        <w:spacing w:line="240" w:lineRule="auto"/>
        <w:rPr>
          <w:rFonts w:eastAsia="Times New Roman" w:cs="Arial"/>
        </w:rPr>
      </w:pPr>
      <w:r w:rsidRPr="00304265">
        <w:rPr>
          <w:rFonts w:eastAsia="Times New Roman" w:cs="Arial"/>
          <w:color w:val="000000"/>
          <w:u w:val="single"/>
          <w:lang w:eastAsia="bg-BG"/>
        </w:rPr>
        <w:t>Съобщаване на подозирани нежелани реакции</w:t>
      </w:r>
    </w:p>
    <w:p w14:paraId="4CB788F1" w14:textId="77777777" w:rsidR="00304265" w:rsidRPr="00304265" w:rsidRDefault="00304265" w:rsidP="00304265">
      <w:pPr>
        <w:spacing w:line="240" w:lineRule="auto"/>
        <w:rPr>
          <w:rFonts w:eastAsia="Times New Roman" w:cs="Arial"/>
          <w:color w:val="000000"/>
          <w:lang w:eastAsia="bg-BG"/>
        </w:rPr>
      </w:pPr>
    </w:p>
    <w:p w14:paraId="1DE36E76" w14:textId="76163336" w:rsidR="00304265" w:rsidRPr="00304265" w:rsidRDefault="00304265" w:rsidP="00304265">
      <w:pPr>
        <w:spacing w:line="240" w:lineRule="auto"/>
        <w:rPr>
          <w:rFonts w:eastAsia="Times New Roman" w:cs="Arial"/>
        </w:rPr>
      </w:pPr>
      <w:r w:rsidRPr="0030426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Нежеланите реакции може да бъдат съобщени директно на Изпълнителна агенция по лекарствата (ИАЛ):</w:t>
      </w:r>
    </w:p>
    <w:p w14:paraId="72A1618D" w14:textId="77777777" w:rsidR="00304265" w:rsidRPr="00304265" w:rsidRDefault="00304265" w:rsidP="00304265">
      <w:pPr>
        <w:spacing w:line="240" w:lineRule="auto"/>
        <w:rPr>
          <w:rFonts w:eastAsia="Times New Roman" w:cs="Arial"/>
          <w:color w:val="000000"/>
          <w:lang w:eastAsia="bg-BG"/>
        </w:rPr>
      </w:pPr>
    </w:p>
    <w:p w14:paraId="3911666E" w14:textId="380D55CD" w:rsidR="00304265" w:rsidRPr="00304265" w:rsidRDefault="00304265" w:rsidP="00304265">
      <w:pPr>
        <w:spacing w:line="240" w:lineRule="auto"/>
        <w:rPr>
          <w:rFonts w:eastAsia="Times New Roman" w:cs="Arial"/>
        </w:rPr>
      </w:pPr>
      <w:r w:rsidRPr="00304265">
        <w:rPr>
          <w:rFonts w:eastAsia="Times New Roman" w:cs="Arial"/>
          <w:color w:val="000000"/>
          <w:lang w:eastAsia="bg-BG"/>
        </w:rPr>
        <w:t>БЪЛГАРИЯ, София 1303, ул. Дамян Груев 8</w:t>
      </w:r>
    </w:p>
    <w:p w14:paraId="0A3A1EAD" w14:textId="77777777" w:rsidR="00304265" w:rsidRPr="00304265" w:rsidRDefault="00304265" w:rsidP="00304265">
      <w:pPr>
        <w:spacing w:line="240" w:lineRule="auto"/>
        <w:rPr>
          <w:rFonts w:eastAsia="Times New Roman" w:cs="Arial"/>
          <w:color w:val="000000"/>
          <w:lang w:eastAsia="bg-BG"/>
        </w:rPr>
      </w:pPr>
      <w:r w:rsidRPr="00304265">
        <w:rPr>
          <w:rFonts w:eastAsia="Times New Roman" w:cs="Arial"/>
          <w:color w:val="000000"/>
          <w:lang w:eastAsia="bg-BG"/>
        </w:rPr>
        <w:t xml:space="preserve">Тел. +359 2 8903555 </w:t>
      </w:r>
    </w:p>
    <w:p w14:paraId="08E7AA74" w14:textId="77777777" w:rsidR="00304265" w:rsidRPr="00304265" w:rsidRDefault="00304265" w:rsidP="00304265">
      <w:pPr>
        <w:spacing w:line="240" w:lineRule="auto"/>
        <w:rPr>
          <w:rFonts w:eastAsia="Times New Roman" w:cs="Arial"/>
          <w:color w:val="000000"/>
          <w:u w:val="single"/>
          <w:lang w:val="ru-RU"/>
        </w:rPr>
      </w:pPr>
      <w:r w:rsidRPr="00304265">
        <w:rPr>
          <w:rFonts w:eastAsia="Times New Roman" w:cs="Arial"/>
          <w:color w:val="000000"/>
          <w:lang w:eastAsia="bg-BG"/>
        </w:rPr>
        <w:t xml:space="preserve">ел. поща: </w:t>
      </w:r>
      <w:r w:rsidRPr="00304265">
        <w:rPr>
          <w:rFonts w:eastAsia="Times New Roman" w:cs="Arial"/>
        </w:rPr>
        <w:fldChar w:fldCharType="begin"/>
      </w:r>
      <w:r w:rsidRPr="00304265">
        <w:rPr>
          <w:rFonts w:eastAsia="Times New Roman" w:cs="Arial"/>
        </w:rPr>
        <w:instrText xml:space="preserve"> HYPERLINK "mailto:bda@bda.bg" </w:instrText>
      </w:r>
      <w:r w:rsidRPr="00304265">
        <w:rPr>
          <w:rFonts w:eastAsia="Times New Roman" w:cs="Arial"/>
        </w:rPr>
        <w:fldChar w:fldCharType="separate"/>
      </w:r>
      <w:r w:rsidRPr="00304265">
        <w:rPr>
          <w:rFonts w:eastAsia="Times New Roman" w:cs="Arial"/>
          <w:color w:val="000000"/>
          <w:u w:val="single"/>
          <w:lang w:val="en-US"/>
        </w:rPr>
        <w:t>bda</w:t>
      </w:r>
      <w:r w:rsidRPr="00304265">
        <w:rPr>
          <w:rFonts w:eastAsia="Times New Roman" w:cs="Arial"/>
          <w:color w:val="000000"/>
          <w:u w:val="single"/>
          <w:lang w:val="ru-RU"/>
        </w:rPr>
        <w:t>@</w:t>
      </w:r>
      <w:r w:rsidRPr="00304265">
        <w:rPr>
          <w:rFonts w:eastAsia="Times New Roman" w:cs="Arial"/>
          <w:color w:val="000000"/>
          <w:u w:val="single"/>
          <w:lang w:val="en-US"/>
        </w:rPr>
        <w:t>bda</w:t>
      </w:r>
      <w:r w:rsidRPr="00304265">
        <w:rPr>
          <w:rFonts w:eastAsia="Times New Roman" w:cs="Arial"/>
          <w:color w:val="000000"/>
          <w:u w:val="single"/>
          <w:lang w:val="ru-RU"/>
        </w:rPr>
        <w:t>.</w:t>
      </w:r>
      <w:r w:rsidRPr="00304265">
        <w:rPr>
          <w:rFonts w:eastAsia="Times New Roman" w:cs="Arial"/>
          <w:color w:val="000000"/>
          <w:u w:val="single"/>
          <w:lang w:val="en-US"/>
        </w:rPr>
        <w:t>bg</w:t>
      </w:r>
      <w:r w:rsidRPr="00304265">
        <w:rPr>
          <w:rFonts w:eastAsia="Times New Roman" w:cs="Arial"/>
        </w:rPr>
        <w:fldChar w:fldCharType="end"/>
      </w:r>
      <w:r w:rsidRPr="00304265">
        <w:rPr>
          <w:rFonts w:eastAsia="Times New Roman" w:cs="Arial"/>
          <w:color w:val="000000"/>
          <w:u w:val="single"/>
          <w:lang w:val="ru-RU"/>
        </w:rPr>
        <w:t xml:space="preserve"> </w:t>
      </w:r>
    </w:p>
    <w:p w14:paraId="6B936153" w14:textId="72B79BFA"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уебсайт: </w:t>
      </w:r>
      <w:r w:rsidRPr="00304265">
        <w:rPr>
          <w:rFonts w:eastAsia="Times New Roman" w:cs="Arial"/>
        </w:rPr>
        <w:fldChar w:fldCharType="begin"/>
      </w:r>
      <w:r w:rsidRPr="00304265">
        <w:rPr>
          <w:rFonts w:eastAsia="Times New Roman" w:cs="Arial"/>
        </w:rPr>
        <w:instrText xml:space="preserve"> HYPERLINK "http://www.bda.bg" </w:instrText>
      </w:r>
      <w:r w:rsidRPr="00304265">
        <w:rPr>
          <w:rFonts w:eastAsia="Times New Roman" w:cs="Arial"/>
        </w:rPr>
        <w:fldChar w:fldCharType="separate"/>
      </w:r>
      <w:r w:rsidRPr="00304265">
        <w:rPr>
          <w:rFonts w:eastAsia="Times New Roman" w:cs="Arial"/>
          <w:color w:val="000000"/>
          <w:u w:val="single"/>
          <w:lang w:val="en-US"/>
        </w:rPr>
        <w:t>www</w:t>
      </w:r>
      <w:r w:rsidRPr="00304265">
        <w:rPr>
          <w:rFonts w:eastAsia="Times New Roman" w:cs="Arial"/>
          <w:color w:val="000000"/>
          <w:u w:val="single"/>
          <w:lang w:val="ru-RU"/>
        </w:rPr>
        <w:t>.</w:t>
      </w:r>
      <w:proofErr w:type="spellStart"/>
      <w:r w:rsidRPr="00304265">
        <w:rPr>
          <w:rFonts w:eastAsia="Times New Roman" w:cs="Arial"/>
          <w:color w:val="000000"/>
          <w:u w:val="single"/>
          <w:lang w:val="en-US"/>
        </w:rPr>
        <w:t>bda</w:t>
      </w:r>
      <w:proofErr w:type="spellEnd"/>
      <w:r w:rsidRPr="00304265">
        <w:rPr>
          <w:rFonts w:eastAsia="Times New Roman" w:cs="Arial"/>
          <w:color w:val="000000"/>
          <w:u w:val="single"/>
          <w:lang w:val="ru-RU"/>
        </w:rPr>
        <w:t>.</w:t>
      </w:r>
      <w:proofErr w:type="spellStart"/>
      <w:r w:rsidRPr="00304265">
        <w:rPr>
          <w:rFonts w:eastAsia="Times New Roman" w:cs="Arial"/>
          <w:color w:val="000000"/>
          <w:u w:val="single"/>
          <w:lang w:val="en-US"/>
        </w:rPr>
        <w:t>bg</w:t>
      </w:r>
      <w:proofErr w:type="spellEnd"/>
      <w:r w:rsidRPr="00304265">
        <w:rPr>
          <w:rFonts w:eastAsia="Times New Roman" w:cs="Arial"/>
        </w:rPr>
        <w:fldChar w:fldCharType="end"/>
      </w:r>
    </w:p>
    <w:p w14:paraId="7F2FD2D0" w14:textId="77777777" w:rsidR="00304265" w:rsidRPr="00304265" w:rsidRDefault="00304265" w:rsidP="00304265"/>
    <w:p w14:paraId="4ED30546" w14:textId="630F5A5B" w:rsidR="007C605B" w:rsidRDefault="002C50EE" w:rsidP="009F1313">
      <w:pPr>
        <w:pStyle w:val="Heading2"/>
      </w:pPr>
      <w:r>
        <w:lastRenderedPageBreak/>
        <w:t>4.9. Предозиране</w:t>
      </w:r>
    </w:p>
    <w:p w14:paraId="5F0A48F9" w14:textId="289E5239" w:rsidR="00304265" w:rsidRDefault="00304265" w:rsidP="00304265"/>
    <w:p w14:paraId="254D54E7" w14:textId="77777777" w:rsidR="00304265" w:rsidRPr="00304265" w:rsidRDefault="00304265" w:rsidP="00304265">
      <w:pPr>
        <w:pStyle w:val="Heading3"/>
        <w:rPr>
          <w:rFonts w:eastAsia="Times New Roman"/>
          <w:u w:val="single"/>
        </w:rPr>
      </w:pPr>
      <w:r w:rsidRPr="00304265">
        <w:rPr>
          <w:rFonts w:eastAsia="Times New Roman"/>
          <w:u w:val="single"/>
          <w:lang w:eastAsia="bg-BG"/>
        </w:rPr>
        <w:t>Признаци и симптоми</w:t>
      </w:r>
    </w:p>
    <w:p w14:paraId="47A025C2" w14:textId="77777777" w:rsidR="00304265" w:rsidRPr="00304265" w:rsidRDefault="00304265" w:rsidP="00304265">
      <w:pPr>
        <w:rPr>
          <w:rFonts w:eastAsia="Times New Roman" w:cs="Arial"/>
        </w:rPr>
      </w:pPr>
      <w:r w:rsidRPr="00304265">
        <w:rPr>
          <w:rFonts w:eastAsia="Times New Roman" w:cs="Arial"/>
          <w:color w:val="000000"/>
          <w:lang w:eastAsia="bg-BG"/>
        </w:rPr>
        <w:t xml:space="preserve">В клинични проучвания и от постмаркетингов опит е установено, че случайното или умишлено остро предозиране само с арипипразол при възрастни пациенти, за които е събщено, че са приели приблизително дози до 1 260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 xml:space="preserve">не е довело до фатални последици, Наблюдаваните симптоми и признаци с потенциално клинично значение включват летаргия, повишено кръвно налягане, сънливост, тахикардия, гадене, повръщане и диария. Освен това, има съобщения за инцидентно предозиране само с арипипразол (достигащо до 195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при деца без фатални последици. Потенциално сериозните признаци и симптоми от медицинска гледна точка, включват безсъние, преходна загуба на съзнание и екстрапирамидни симптоми.</w:t>
      </w:r>
    </w:p>
    <w:p w14:paraId="02478E22" w14:textId="77777777" w:rsidR="00304265" w:rsidRDefault="00304265" w:rsidP="00304265">
      <w:pPr>
        <w:spacing w:line="240" w:lineRule="auto"/>
        <w:rPr>
          <w:rFonts w:eastAsia="Times New Roman" w:cs="Arial"/>
          <w:color w:val="000000"/>
          <w:u w:val="single"/>
          <w:lang w:eastAsia="bg-BG"/>
        </w:rPr>
      </w:pPr>
    </w:p>
    <w:p w14:paraId="65D5610F" w14:textId="56CC9A48" w:rsidR="00304265" w:rsidRPr="00304265" w:rsidRDefault="00304265" w:rsidP="00304265">
      <w:pPr>
        <w:pStyle w:val="Heading3"/>
        <w:rPr>
          <w:rFonts w:eastAsia="Times New Roman"/>
          <w:u w:val="single"/>
        </w:rPr>
      </w:pPr>
      <w:r w:rsidRPr="00304265">
        <w:rPr>
          <w:rFonts w:eastAsia="Times New Roman"/>
          <w:u w:val="single"/>
          <w:lang w:eastAsia="bg-BG"/>
        </w:rPr>
        <w:t>Лечение при предозиране</w:t>
      </w:r>
    </w:p>
    <w:p w14:paraId="45F977A2"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Лечението при предозиране, трябва да включва поддържащо лечение, осигуряване на проходими дихателни пътища, оксигенация и вентилация, както и назначаването на симптоматично лечение. Трябва да се има предвид вероятността от употребата на няколко лекарствени продукта. Ето защо е необходим незабавен контрол на сърдечно-съдовата система и включването на непрекъснато електрокардиографско проследяване за улавянето на възможна аритмия. При всяко потвърдено или подозирано предозиране с арипипразол е необходимо постоянно проследяване на пациента до неговото пълно възстановяване,</w:t>
      </w:r>
    </w:p>
    <w:p w14:paraId="0E6F4D02"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Активен въглен (50 </w:t>
      </w:r>
      <w:r w:rsidRPr="00304265">
        <w:rPr>
          <w:rFonts w:eastAsia="Times New Roman" w:cs="Arial"/>
          <w:color w:val="000000"/>
          <w:lang w:val="en-US"/>
        </w:rPr>
        <w:t>g</w:t>
      </w:r>
      <w:r w:rsidRPr="00304265">
        <w:rPr>
          <w:rFonts w:eastAsia="Times New Roman" w:cs="Arial"/>
          <w:color w:val="000000"/>
          <w:lang w:val="ru-RU"/>
        </w:rPr>
        <w:t xml:space="preserve">), </w:t>
      </w:r>
      <w:r w:rsidRPr="00304265">
        <w:rPr>
          <w:rFonts w:eastAsia="Times New Roman" w:cs="Arial"/>
          <w:color w:val="000000"/>
          <w:lang w:eastAsia="bg-BG"/>
        </w:rPr>
        <w:t>приложен до 1 час след приема на арипипразол, намалява С</w:t>
      </w:r>
      <w:r w:rsidRPr="00304265">
        <w:rPr>
          <w:rFonts w:eastAsia="Times New Roman" w:cs="Arial"/>
          <w:color w:val="000000"/>
          <w:vertAlign w:val="subscript"/>
          <w:lang w:val="en-US"/>
        </w:rPr>
        <w:t>max</w:t>
      </w:r>
      <w:r w:rsidRPr="00304265">
        <w:rPr>
          <w:rFonts w:eastAsia="Times New Roman" w:cs="Arial"/>
          <w:color w:val="000000"/>
          <w:lang w:eastAsia="bg-BG"/>
        </w:rPr>
        <w:t xml:space="preserve"> на арипипразол с около 41% и </w:t>
      </w:r>
      <w:r w:rsidRPr="00304265">
        <w:rPr>
          <w:rFonts w:eastAsia="Times New Roman" w:cs="Arial"/>
          <w:color w:val="000000"/>
          <w:lang w:val="en-US"/>
        </w:rPr>
        <w:t>AUC</w:t>
      </w:r>
      <w:r w:rsidRPr="00304265">
        <w:rPr>
          <w:rFonts w:eastAsia="Times New Roman" w:cs="Arial"/>
          <w:color w:val="000000"/>
          <w:lang w:val="ru-RU"/>
        </w:rPr>
        <w:t xml:space="preserve"> </w:t>
      </w:r>
      <w:r w:rsidRPr="00304265">
        <w:rPr>
          <w:rFonts w:eastAsia="Times New Roman" w:cs="Arial"/>
          <w:color w:val="000000"/>
          <w:lang w:eastAsia="bg-BG"/>
        </w:rPr>
        <w:t>с около 51%, което предполага възможност за лечение на предозирането с активен въглен.</w:t>
      </w:r>
    </w:p>
    <w:p w14:paraId="23262693" w14:textId="77777777" w:rsidR="00304265" w:rsidRDefault="00304265" w:rsidP="00304265">
      <w:pPr>
        <w:spacing w:line="240" w:lineRule="auto"/>
        <w:rPr>
          <w:rFonts w:eastAsia="Times New Roman" w:cs="Arial"/>
          <w:color w:val="000000"/>
          <w:u w:val="single"/>
          <w:lang w:eastAsia="bg-BG"/>
        </w:rPr>
      </w:pPr>
    </w:p>
    <w:p w14:paraId="5EEA0052" w14:textId="0E2456E4" w:rsidR="00304265" w:rsidRPr="00304265" w:rsidRDefault="00304265" w:rsidP="00304265">
      <w:pPr>
        <w:pStyle w:val="Heading3"/>
        <w:rPr>
          <w:rFonts w:eastAsia="Times New Roman"/>
          <w:u w:val="single"/>
        </w:rPr>
      </w:pPr>
      <w:r w:rsidRPr="00304265">
        <w:rPr>
          <w:rFonts w:eastAsia="Times New Roman"/>
          <w:u w:val="single"/>
          <w:lang w:eastAsia="bg-BG"/>
        </w:rPr>
        <w:t>Хемодиализа</w:t>
      </w:r>
    </w:p>
    <w:p w14:paraId="521B2547"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Въпреки че няма данни относно ефекта на хемодиализата при лечение на предозирането с арипипразол, не се очаква хемодиализата да се окаже полезна в този случай, тъй като арипипразол се свързва във висока степен с плазмените протеини.</w:t>
      </w:r>
    </w:p>
    <w:p w14:paraId="5CC51F69" w14:textId="112C716A" w:rsidR="00304265" w:rsidRPr="00304265" w:rsidRDefault="00304265" w:rsidP="00304265"/>
    <w:p w14:paraId="02081B24" w14:textId="1F46E296" w:rsidR="00395555" w:rsidRPr="00395555" w:rsidRDefault="002C50EE" w:rsidP="008A6AF2">
      <w:pPr>
        <w:pStyle w:val="Heading1"/>
      </w:pPr>
      <w:r>
        <w:t>5. ФАРМАКОЛОГИЧНИ СВОЙСТВА</w:t>
      </w:r>
    </w:p>
    <w:p w14:paraId="5350637D" w14:textId="09A2934C" w:rsidR="00395555" w:rsidRDefault="002C50EE" w:rsidP="008A6AF2">
      <w:pPr>
        <w:pStyle w:val="Heading2"/>
      </w:pPr>
      <w:r>
        <w:t>5.1. Фармакодинамични свойства</w:t>
      </w:r>
    </w:p>
    <w:p w14:paraId="3CF97F6F" w14:textId="4A9AA156" w:rsidR="00304265" w:rsidRDefault="00304265" w:rsidP="00304265"/>
    <w:p w14:paraId="4DCB5B8E"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Фармакотерапевтична група: други антипсихотици, АТС код: </w:t>
      </w:r>
      <w:r w:rsidRPr="00304265">
        <w:rPr>
          <w:rFonts w:eastAsia="Times New Roman" w:cs="Arial"/>
          <w:color w:val="000000"/>
          <w:lang w:val="en-US"/>
        </w:rPr>
        <w:t>N</w:t>
      </w:r>
      <w:r w:rsidRPr="00304265">
        <w:rPr>
          <w:rFonts w:eastAsia="Times New Roman" w:cs="Arial"/>
          <w:color w:val="000000"/>
          <w:lang w:val="ru-RU"/>
        </w:rPr>
        <w:t>05</w:t>
      </w:r>
      <w:r w:rsidRPr="00304265">
        <w:rPr>
          <w:rFonts w:eastAsia="Times New Roman" w:cs="Arial"/>
          <w:color w:val="000000"/>
          <w:lang w:val="en-US"/>
        </w:rPr>
        <w:t>AX</w:t>
      </w:r>
      <w:r w:rsidRPr="00304265">
        <w:rPr>
          <w:rFonts w:eastAsia="Times New Roman" w:cs="Arial"/>
          <w:color w:val="000000"/>
          <w:lang w:val="ru-RU"/>
        </w:rPr>
        <w:t>12</w:t>
      </w:r>
    </w:p>
    <w:p w14:paraId="531932A0" w14:textId="77777777" w:rsidR="00304265" w:rsidRPr="00304265" w:rsidRDefault="00304265" w:rsidP="00304265">
      <w:pPr>
        <w:spacing w:line="240" w:lineRule="auto"/>
        <w:rPr>
          <w:rFonts w:eastAsia="Times New Roman" w:cs="Arial"/>
          <w:color w:val="000000"/>
          <w:u w:val="single"/>
          <w:lang w:eastAsia="bg-BG"/>
        </w:rPr>
      </w:pPr>
    </w:p>
    <w:p w14:paraId="0D842AE2" w14:textId="7742A74D" w:rsidR="00304265" w:rsidRPr="00304265" w:rsidRDefault="00304265" w:rsidP="00304265">
      <w:pPr>
        <w:spacing w:line="240" w:lineRule="auto"/>
        <w:rPr>
          <w:rFonts w:eastAsia="Times New Roman" w:cs="Arial"/>
        </w:rPr>
      </w:pPr>
      <w:r w:rsidRPr="00304265">
        <w:rPr>
          <w:rFonts w:eastAsia="Times New Roman" w:cs="Arial"/>
          <w:color w:val="000000"/>
          <w:u w:val="single"/>
          <w:lang w:eastAsia="bg-BG"/>
        </w:rPr>
        <w:t>Механизъм на действие</w:t>
      </w:r>
    </w:p>
    <w:p w14:paraId="191D55CC" w14:textId="77777777" w:rsidR="00304265" w:rsidRPr="00304265" w:rsidRDefault="00304265" w:rsidP="00304265">
      <w:pPr>
        <w:spacing w:line="240" w:lineRule="auto"/>
        <w:rPr>
          <w:rFonts w:eastAsia="Times New Roman" w:cs="Arial"/>
          <w:color w:val="000000"/>
          <w:lang w:eastAsia="bg-BG"/>
        </w:rPr>
      </w:pPr>
    </w:p>
    <w:p w14:paraId="226DE0D7" w14:textId="08B8157F"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Предполага се, че ефективността на арипипразол при шизофрения и биполярно афективно разстройство се дължи на комбинацията от частичен агонизъм спрямо допаминовите </w:t>
      </w:r>
      <w:r w:rsidRPr="00304265">
        <w:rPr>
          <w:rFonts w:eastAsia="Times New Roman" w:cs="Arial"/>
          <w:color w:val="000000"/>
          <w:lang w:val="en-US"/>
        </w:rPr>
        <w:t>D</w:t>
      </w:r>
      <w:r w:rsidRPr="00304265">
        <w:rPr>
          <w:rFonts w:eastAsia="Times New Roman" w:cs="Arial"/>
          <w:color w:val="000000"/>
          <w:lang w:val="ru-RU"/>
        </w:rPr>
        <w:t xml:space="preserve">2 </w:t>
      </w:r>
      <w:r w:rsidRPr="00304265">
        <w:rPr>
          <w:rFonts w:eastAsia="Times New Roman" w:cs="Arial"/>
          <w:color w:val="000000"/>
          <w:lang w:eastAsia="bg-BG"/>
        </w:rPr>
        <w:t xml:space="preserve">и серотониновите 5НТ1а рецептори и антагонизъм спрямо серотониновите 5НТ2а рецептори. Арипипразол проявява антагонистични свойства при животински модели с допаминергична хиперктивност и агонистични свойства при животински модели с допаминергична хипоактивност. Арипипразол проявява висок афинитет на свързване </w:t>
      </w:r>
      <w:r w:rsidRPr="00304265">
        <w:rPr>
          <w:rFonts w:eastAsia="Times New Roman" w:cs="Arial"/>
          <w:color w:val="000000"/>
          <w:lang w:val="en-US"/>
        </w:rPr>
        <w:t>in</w:t>
      </w:r>
      <w:r w:rsidRPr="00304265">
        <w:rPr>
          <w:rFonts w:eastAsia="Times New Roman" w:cs="Arial"/>
          <w:color w:val="000000"/>
          <w:lang w:val="ru-RU"/>
        </w:rPr>
        <w:t xml:space="preserve"> </w:t>
      </w:r>
      <w:r w:rsidRPr="00304265">
        <w:rPr>
          <w:rFonts w:eastAsia="Times New Roman" w:cs="Arial"/>
          <w:color w:val="000000"/>
          <w:lang w:val="en-US"/>
        </w:rPr>
        <w:t>vitro</w:t>
      </w:r>
      <w:r w:rsidRPr="00304265">
        <w:rPr>
          <w:rFonts w:eastAsia="Times New Roman" w:cs="Arial"/>
          <w:color w:val="000000"/>
          <w:lang w:val="ru-RU"/>
        </w:rPr>
        <w:t xml:space="preserve"> </w:t>
      </w:r>
      <w:r w:rsidRPr="00304265">
        <w:rPr>
          <w:rFonts w:eastAsia="Times New Roman" w:cs="Arial"/>
          <w:color w:val="000000"/>
          <w:lang w:eastAsia="bg-BG"/>
        </w:rPr>
        <w:t xml:space="preserve">с допаминовите </w:t>
      </w:r>
      <w:r w:rsidRPr="00304265">
        <w:rPr>
          <w:rFonts w:eastAsia="Times New Roman" w:cs="Arial"/>
          <w:color w:val="000000"/>
          <w:lang w:val="en-US"/>
        </w:rPr>
        <w:t>D</w:t>
      </w:r>
      <w:r w:rsidRPr="00304265">
        <w:rPr>
          <w:rFonts w:eastAsia="Times New Roman" w:cs="Arial"/>
          <w:color w:val="000000"/>
          <w:lang w:val="ru-RU"/>
        </w:rPr>
        <w:t xml:space="preserve">2 </w:t>
      </w:r>
      <w:r w:rsidRPr="00304265">
        <w:rPr>
          <w:rFonts w:eastAsia="Times New Roman" w:cs="Arial"/>
          <w:color w:val="000000"/>
          <w:lang w:eastAsia="bg-BG"/>
        </w:rPr>
        <w:t xml:space="preserve">и </w:t>
      </w:r>
      <w:r w:rsidRPr="00304265">
        <w:rPr>
          <w:rFonts w:eastAsia="Times New Roman" w:cs="Arial"/>
          <w:color w:val="000000"/>
          <w:lang w:val="en-US"/>
        </w:rPr>
        <w:t>D</w:t>
      </w:r>
      <w:r w:rsidRPr="00304265">
        <w:rPr>
          <w:rFonts w:eastAsia="Times New Roman" w:cs="Arial"/>
          <w:color w:val="000000"/>
          <w:lang w:val="ru-RU"/>
        </w:rPr>
        <w:t xml:space="preserve">3, </w:t>
      </w:r>
      <w:r w:rsidRPr="00304265">
        <w:rPr>
          <w:rFonts w:eastAsia="Times New Roman" w:cs="Arial"/>
          <w:color w:val="000000"/>
          <w:lang w:eastAsia="bg-BG"/>
        </w:rPr>
        <w:t xml:space="preserve">серотонинови 5НТ1а и 5НТ2а рецептори и умерен афинитет спрямо допаминовите </w:t>
      </w:r>
      <w:r w:rsidRPr="00304265">
        <w:rPr>
          <w:rFonts w:eastAsia="Times New Roman" w:cs="Arial"/>
          <w:color w:val="000000"/>
          <w:lang w:val="en-US"/>
        </w:rPr>
        <w:t>D</w:t>
      </w:r>
      <w:r w:rsidRPr="00304265">
        <w:rPr>
          <w:rFonts w:eastAsia="Times New Roman" w:cs="Arial"/>
          <w:color w:val="000000"/>
          <w:lang w:val="ru-RU"/>
        </w:rPr>
        <w:t xml:space="preserve">4, </w:t>
      </w:r>
      <w:r w:rsidRPr="00304265">
        <w:rPr>
          <w:rFonts w:eastAsia="Times New Roman" w:cs="Arial"/>
          <w:color w:val="000000"/>
          <w:lang w:eastAsia="bg-BG"/>
        </w:rPr>
        <w:t xml:space="preserve">серотониновите 5НТ2с и 5НТ7, алфа1-адренергичните и Н1 хистаминови рецептори. Арипипразол проявява и умерен </w:t>
      </w:r>
      <w:r w:rsidRPr="00304265">
        <w:rPr>
          <w:rFonts w:eastAsia="Times New Roman" w:cs="Arial"/>
          <w:color w:val="000000"/>
          <w:lang w:eastAsia="bg-BG"/>
        </w:rPr>
        <w:lastRenderedPageBreak/>
        <w:t>афинитет към местата на обратно поемане на серотонин и незначителен ефект към мускариновите рецептори. Взаимодействието с други рецептори, различни от допаминовите и серотонинови подтипове, обяснява някои от другите клинични ефекти на арипипразол.</w:t>
      </w:r>
    </w:p>
    <w:p w14:paraId="325D8918" w14:textId="77777777" w:rsidR="00304265" w:rsidRPr="00304265" w:rsidRDefault="00304265" w:rsidP="00304265">
      <w:pPr>
        <w:spacing w:line="240" w:lineRule="auto"/>
        <w:rPr>
          <w:rFonts w:eastAsia="Times New Roman" w:cs="Arial"/>
          <w:color w:val="000000"/>
          <w:lang w:eastAsia="bg-BG"/>
        </w:rPr>
      </w:pPr>
    </w:p>
    <w:p w14:paraId="6C576F8B" w14:textId="1571307B"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Дози арипипразол от 0,5 до 30 </w:t>
      </w:r>
      <w:r w:rsidRPr="00304265">
        <w:rPr>
          <w:rFonts w:eastAsia="Times New Roman" w:cs="Arial"/>
          <w:color w:val="000000"/>
          <w:lang w:val="en-US"/>
        </w:rPr>
        <w:t>mg</w:t>
      </w:r>
      <w:r w:rsidRPr="00304265">
        <w:rPr>
          <w:rFonts w:eastAsia="Times New Roman" w:cs="Arial"/>
          <w:color w:val="000000"/>
          <w:lang w:val="ru-RU"/>
        </w:rPr>
        <w:t xml:space="preserve">, </w:t>
      </w:r>
      <w:r w:rsidRPr="00304265">
        <w:rPr>
          <w:rFonts w:eastAsia="Times New Roman" w:cs="Arial"/>
          <w:color w:val="000000"/>
          <w:lang w:eastAsia="bg-BG"/>
        </w:rPr>
        <w:t xml:space="preserve">приемани веднъж дневно от здрави доброволци за период от 2 седмици, водят до дозо-зависимо намаляване на свързването с 11С-раклоприд, специфичен </w:t>
      </w:r>
      <w:r w:rsidRPr="00304265">
        <w:rPr>
          <w:rFonts w:eastAsia="Times New Roman" w:cs="Arial"/>
          <w:color w:val="000000"/>
          <w:lang w:val="en-US"/>
        </w:rPr>
        <w:t>D</w:t>
      </w:r>
      <w:r w:rsidRPr="00304265">
        <w:rPr>
          <w:rFonts w:eastAsia="Times New Roman" w:cs="Arial"/>
          <w:color w:val="000000"/>
          <w:lang w:val="ru-RU"/>
        </w:rPr>
        <w:t>2/</w:t>
      </w:r>
      <w:r w:rsidRPr="00304265">
        <w:rPr>
          <w:rFonts w:eastAsia="Times New Roman" w:cs="Arial"/>
          <w:color w:val="000000"/>
          <w:lang w:val="en-US"/>
        </w:rPr>
        <w:t>D</w:t>
      </w:r>
      <w:r w:rsidRPr="00304265">
        <w:rPr>
          <w:rFonts w:eastAsia="Times New Roman" w:cs="Arial"/>
          <w:color w:val="000000"/>
          <w:lang w:val="ru-RU"/>
        </w:rPr>
        <w:t xml:space="preserve">3 </w:t>
      </w:r>
      <w:r w:rsidRPr="00304265">
        <w:rPr>
          <w:rFonts w:eastAsia="Times New Roman" w:cs="Arial"/>
          <w:color w:val="000000"/>
          <w:lang w:eastAsia="bg-BG"/>
        </w:rPr>
        <w:t>рецепторен лиганд, в областта на опашката и путамена, установено с помощта на позитронна емисионна томография.</w:t>
      </w:r>
    </w:p>
    <w:p w14:paraId="29BDF3E7" w14:textId="77777777" w:rsidR="00304265" w:rsidRPr="00304265" w:rsidRDefault="00304265" w:rsidP="00304265">
      <w:pPr>
        <w:spacing w:line="240" w:lineRule="auto"/>
        <w:rPr>
          <w:rFonts w:eastAsia="Times New Roman" w:cs="Arial"/>
          <w:color w:val="000000"/>
          <w:u w:val="single"/>
          <w:lang w:eastAsia="bg-BG"/>
        </w:rPr>
      </w:pPr>
    </w:p>
    <w:p w14:paraId="715F26B9" w14:textId="05A1C2E1" w:rsidR="00304265" w:rsidRPr="00304265" w:rsidRDefault="00304265" w:rsidP="00304265">
      <w:pPr>
        <w:spacing w:line="240" w:lineRule="auto"/>
        <w:rPr>
          <w:rFonts w:eastAsia="Times New Roman" w:cs="Arial"/>
        </w:rPr>
      </w:pPr>
      <w:r w:rsidRPr="00304265">
        <w:rPr>
          <w:rFonts w:eastAsia="Times New Roman" w:cs="Arial"/>
          <w:color w:val="000000"/>
          <w:u w:val="single"/>
          <w:lang w:eastAsia="bg-BG"/>
        </w:rPr>
        <w:t>Клинична ефикасност и безопасност</w:t>
      </w:r>
    </w:p>
    <w:p w14:paraId="2E90D756" w14:textId="77777777" w:rsidR="00304265" w:rsidRPr="00304265" w:rsidRDefault="00304265" w:rsidP="00304265">
      <w:pPr>
        <w:spacing w:line="240" w:lineRule="auto"/>
        <w:rPr>
          <w:rFonts w:eastAsia="Times New Roman" w:cs="Arial"/>
          <w:i/>
          <w:iCs/>
          <w:color w:val="000000"/>
          <w:lang w:eastAsia="bg-BG"/>
        </w:rPr>
      </w:pPr>
    </w:p>
    <w:p w14:paraId="6A5D7187" w14:textId="32457B1D"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Шизофрения:</w:t>
      </w:r>
    </w:p>
    <w:p w14:paraId="1DD93EA8" w14:textId="49613037" w:rsidR="00304265" w:rsidRPr="00304265" w:rsidRDefault="00304265" w:rsidP="00304265">
      <w:pPr>
        <w:spacing w:line="240" w:lineRule="auto"/>
        <w:rPr>
          <w:rFonts w:eastAsia="Times New Roman" w:cs="Arial"/>
          <w:color w:val="000000"/>
          <w:lang w:eastAsia="bg-BG"/>
        </w:rPr>
      </w:pPr>
      <w:r w:rsidRPr="00304265">
        <w:rPr>
          <w:rFonts w:eastAsia="Times New Roman" w:cs="Arial"/>
          <w:color w:val="000000"/>
          <w:lang w:eastAsia="bg-BG"/>
        </w:rPr>
        <w:t>В три краткотрайни (4 до 6 седмици) плацебо-контролирани проучвания включващи 1 228 възрастни пациента с шизофрения, проявяваща се с позитивни и негативни симптоми, арипипразол е показал статистически значимо по-голямо подобрение на психичните симптоми, в сравнение с плацебо.</w:t>
      </w:r>
    </w:p>
    <w:p w14:paraId="3083874C" w14:textId="40EA35DE" w:rsidR="00304265" w:rsidRPr="00304265" w:rsidRDefault="00304265" w:rsidP="00304265">
      <w:pPr>
        <w:spacing w:line="240" w:lineRule="auto"/>
        <w:rPr>
          <w:rFonts w:eastAsia="Times New Roman" w:cs="Arial"/>
          <w:color w:val="000000"/>
          <w:lang w:eastAsia="bg-BG"/>
        </w:rPr>
      </w:pPr>
    </w:p>
    <w:p w14:paraId="6930C8C7"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Арипипразол е ефективен по отношение на запазване на клиничното подобрение при продължително лечение при възрастни пациенти, показали отговор при започване на лечението. При сравнително проучване с халоперидол, броя на пациентите при които отговора спрямо лекарствения продукт се е запазил в продължение на 52-седмици е сходен при двете групи (арипипразол 77% и халоперидол 73%). По отношение на броя пациенти завършили проучването, при групата на арипипразол той е значително по-голям (43%), в сравнение с халоперидол (30%). Резултатите от скалите, използвани за проследяване на вторичните критерии, включително </w:t>
      </w:r>
      <w:r w:rsidRPr="00304265">
        <w:rPr>
          <w:rFonts w:eastAsia="Times New Roman" w:cs="Arial"/>
          <w:color w:val="000000"/>
          <w:lang w:val="en-US"/>
        </w:rPr>
        <w:t>PANSS</w:t>
      </w:r>
      <w:r w:rsidRPr="00304265">
        <w:rPr>
          <w:rFonts w:eastAsia="Times New Roman" w:cs="Arial"/>
          <w:color w:val="000000"/>
          <w:lang w:val="ru-RU"/>
        </w:rPr>
        <w:t xml:space="preserve"> </w:t>
      </w:r>
      <w:r w:rsidRPr="00304265">
        <w:rPr>
          <w:rFonts w:eastAsia="Times New Roman" w:cs="Arial"/>
          <w:color w:val="000000"/>
          <w:lang w:eastAsia="bg-BG"/>
        </w:rPr>
        <w:t xml:space="preserve">и </w:t>
      </w:r>
      <w:proofErr w:type="spellStart"/>
      <w:r w:rsidRPr="00304265">
        <w:rPr>
          <w:rFonts w:eastAsia="Times New Roman" w:cs="Arial"/>
          <w:color w:val="000000"/>
          <w:lang w:val="en-US"/>
        </w:rPr>
        <w:t>Montgomeiy</w:t>
      </w:r>
      <w:proofErr w:type="spellEnd"/>
      <w:r w:rsidRPr="00304265">
        <w:rPr>
          <w:rFonts w:eastAsia="Times New Roman" w:cs="Arial"/>
          <w:color w:val="000000"/>
          <w:lang w:val="ru-RU"/>
        </w:rPr>
        <w:t>-</w:t>
      </w:r>
      <w:proofErr w:type="spellStart"/>
      <w:r w:rsidRPr="00304265">
        <w:rPr>
          <w:rFonts w:eastAsia="Times New Roman" w:cs="Arial"/>
          <w:color w:val="000000"/>
          <w:lang w:val="en-US"/>
        </w:rPr>
        <w:t>Asberg</w:t>
      </w:r>
      <w:proofErr w:type="spellEnd"/>
      <w:r w:rsidRPr="00304265">
        <w:rPr>
          <w:rFonts w:eastAsia="Times New Roman" w:cs="Arial"/>
          <w:color w:val="000000"/>
          <w:lang w:val="ru-RU"/>
        </w:rPr>
        <w:t xml:space="preserve"> </w:t>
      </w:r>
      <w:r w:rsidRPr="00304265">
        <w:rPr>
          <w:rFonts w:eastAsia="Times New Roman" w:cs="Arial"/>
          <w:color w:val="000000"/>
          <w:lang w:val="en-US"/>
        </w:rPr>
        <w:t>Depression</w:t>
      </w:r>
      <w:r w:rsidRPr="00304265">
        <w:rPr>
          <w:rFonts w:eastAsia="Times New Roman" w:cs="Arial"/>
          <w:color w:val="000000"/>
          <w:lang w:val="ru-RU"/>
        </w:rPr>
        <w:t xml:space="preserve"> </w:t>
      </w:r>
      <w:r w:rsidRPr="00304265">
        <w:rPr>
          <w:rFonts w:eastAsia="Times New Roman" w:cs="Arial"/>
          <w:color w:val="000000"/>
          <w:lang w:val="en-US"/>
        </w:rPr>
        <w:t>Rating</w:t>
      </w:r>
      <w:r w:rsidRPr="00304265">
        <w:rPr>
          <w:rFonts w:eastAsia="Times New Roman" w:cs="Arial"/>
          <w:color w:val="000000"/>
          <w:lang w:val="ru-RU"/>
        </w:rPr>
        <w:t xml:space="preserve"> </w:t>
      </w:r>
      <w:r w:rsidRPr="00304265">
        <w:rPr>
          <w:rFonts w:eastAsia="Times New Roman" w:cs="Arial"/>
          <w:color w:val="000000"/>
          <w:lang w:val="en-US"/>
        </w:rPr>
        <w:t>Scale</w:t>
      </w:r>
      <w:r w:rsidRPr="00304265">
        <w:rPr>
          <w:rFonts w:eastAsia="Times New Roman" w:cs="Arial"/>
          <w:color w:val="000000"/>
          <w:lang w:val="ru-RU"/>
        </w:rPr>
        <w:t xml:space="preserve"> </w:t>
      </w:r>
      <w:r w:rsidRPr="00304265">
        <w:rPr>
          <w:rFonts w:eastAsia="Times New Roman" w:cs="Arial"/>
          <w:color w:val="000000"/>
          <w:lang w:eastAsia="bg-BG"/>
        </w:rPr>
        <w:t>показват значително подобрение спрямо халоперидол.</w:t>
      </w:r>
    </w:p>
    <w:p w14:paraId="0F937867"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При 26-седмично, плацебо-контролирано проучване при стабилизирани пациенти с хронична шизофрения, арипипразол е показал значително по-голямо редуциране честотата на пристъпите, 34% при групата на арипипразол и 57% при плацебо.</w:t>
      </w:r>
    </w:p>
    <w:p w14:paraId="2C2DC3D7" w14:textId="77777777" w:rsidR="00304265" w:rsidRPr="00304265" w:rsidRDefault="00304265" w:rsidP="00304265">
      <w:pPr>
        <w:spacing w:line="240" w:lineRule="auto"/>
        <w:rPr>
          <w:rFonts w:eastAsia="Times New Roman" w:cs="Arial"/>
          <w:i/>
          <w:iCs/>
          <w:color w:val="000000"/>
          <w:lang w:eastAsia="bg-BG"/>
        </w:rPr>
      </w:pPr>
    </w:p>
    <w:p w14:paraId="277EAF6E" w14:textId="3AF38B24"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Увеличаване на теглото:</w:t>
      </w:r>
    </w:p>
    <w:p w14:paraId="421CE8A6"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В клинични проучвания, арипипразол не е показал, че води до клинично значимо повишаване на теглото. В 26-седмично, двойно-сляпо, мулти-национално, сравнително проучване с оланзапин при 314 възрастни пациента с шизофрения, в което увеличението на теглото е първична крайна точка, значително по-малко пациенти са имали най-малко 7% увеличение на теглото, спрямо изходните стойности (например увеличение на теглото с най-малко 5.6 </w:t>
      </w:r>
      <w:r w:rsidRPr="00304265">
        <w:rPr>
          <w:rFonts w:eastAsia="Times New Roman" w:cs="Arial"/>
          <w:color w:val="000000"/>
          <w:lang w:val="en-US"/>
        </w:rPr>
        <w:t>kg</w:t>
      </w:r>
      <w:r w:rsidRPr="00304265">
        <w:rPr>
          <w:rFonts w:eastAsia="Times New Roman" w:cs="Arial"/>
          <w:color w:val="000000"/>
          <w:lang w:val="ru-RU"/>
        </w:rPr>
        <w:t xml:space="preserve"> </w:t>
      </w:r>
      <w:r w:rsidRPr="00304265">
        <w:rPr>
          <w:rFonts w:eastAsia="Times New Roman" w:cs="Arial"/>
          <w:color w:val="000000"/>
          <w:lang w:eastAsia="bg-BG"/>
        </w:rPr>
        <w:t xml:space="preserve">при средно изходно тегло ~80,5 </w:t>
      </w:r>
      <w:r w:rsidRPr="00304265">
        <w:rPr>
          <w:rFonts w:eastAsia="Times New Roman" w:cs="Arial"/>
          <w:color w:val="000000"/>
          <w:lang w:val="en-US"/>
        </w:rPr>
        <w:t>kg</w:t>
      </w:r>
      <w:r w:rsidRPr="00304265">
        <w:rPr>
          <w:rFonts w:eastAsia="Times New Roman" w:cs="Arial"/>
          <w:color w:val="000000"/>
          <w:lang w:val="ru-RU"/>
        </w:rPr>
        <w:t xml:space="preserve">) </w:t>
      </w:r>
      <w:r w:rsidRPr="00304265">
        <w:rPr>
          <w:rFonts w:eastAsia="Times New Roman" w:cs="Arial"/>
          <w:color w:val="000000"/>
          <w:lang w:eastAsia="bg-BG"/>
        </w:rPr>
        <w:t xml:space="preserve">при групата на арипипразол </w:t>
      </w:r>
      <w:r w:rsidRPr="00304265">
        <w:rPr>
          <w:rFonts w:eastAsia="Times New Roman" w:cs="Arial"/>
          <w:color w:val="000000"/>
          <w:lang w:val="ru-RU"/>
        </w:rPr>
        <w:t>(</w:t>
      </w:r>
      <w:r w:rsidRPr="00304265">
        <w:rPr>
          <w:rFonts w:eastAsia="Times New Roman" w:cs="Arial"/>
          <w:color w:val="000000"/>
          <w:lang w:val="en-US"/>
        </w:rPr>
        <w:t>N</w:t>
      </w:r>
      <w:r w:rsidRPr="00304265">
        <w:rPr>
          <w:rFonts w:eastAsia="Times New Roman" w:cs="Arial"/>
          <w:color w:val="000000"/>
          <w:lang w:val="ru-RU"/>
        </w:rPr>
        <w:t xml:space="preserve">= </w:t>
      </w:r>
      <w:r w:rsidRPr="00304265">
        <w:rPr>
          <w:rFonts w:eastAsia="Times New Roman" w:cs="Arial"/>
          <w:color w:val="000000"/>
          <w:lang w:eastAsia="bg-BG"/>
        </w:rPr>
        <w:t xml:space="preserve">18, или 13% от оценените пациенти), в сравнение с оланзапин </w:t>
      </w:r>
      <w:r w:rsidRPr="00304265">
        <w:rPr>
          <w:rFonts w:eastAsia="Times New Roman" w:cs="Arial"/>
          <w:color w:val="000000"/>
          <w:lang w:val="ru-RU"/>
        </w:rPr>
        <w:t>(</w:t>
      </w:r>
      <w:r w:rsidRPr="00304265">
        <w:rPr>
          <w:rFonts w:eastAsia="Times New Roman" w:cs="Arial"/>
          <w:color w:val="000000"/>
          <w:lang w:val="en-US"/>
        </w:rPr>
        <w:t>N</w:t>
      </w:r>
      <w:r w:rsidRPr="00304265">
        <w:rPr>
          <w:rFonts w:eastAsia="Times New Roman" w:cs="Arial"/>
          <w:color w:val="000000"/>
          <w:lang w:val="ru-RU"/>
        </w:rPr>
        <w:t xml:space="preserve">= </w:t>
      </w:r>
      <w:r w:rsidRPr="00304265">
        <w:rPr>
          <w:rFonts w:eastAsia="Times New Roman" w:cs="Arial"/>
          <w:color w:val="000000"/>
          <w:lang w:eastAsia="bg-BG"/>
        </w:rPr>
        <w:t>45, или 33% от оценените пациенти).</w:t>
      </w:r>
    </w:p>
    <w:p w14:paraId="1C04D6C0" w14:textId="77777777" w:rsidR="00304265" w:rsidRPr="00304265" w:rsidRDefault="00304265" w:rsidP="00304265">
      <w:pPr>
        <w:spacing w:line="240" w:lineRule="auto"/>
        <w:rPr>
          <w:rFonts w:eastAsia="Times New Roman" w:cs="Arial"/>
          <w:i/>
          <w:iCs/>
          <w:color w:val="000000"/>
          <w:lang w:eastAsia="bg-BG"/>
        </w:rPr>
      </w:pPr>
    </w:p>
    <w:p w14:paraId="6A161267" w14:textId="72BEC7D3"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Липидни параметри:</w:t>
      </w:r>
    </w:p>
    <w:p w14:paraId="6BCCDB0C"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При обобщен анализ на липидните параметри от плацебо контролирани клинични проучвания при възрастни, няма данни, че арипипразол причинява клинично значими промени в нивата на общия холестерол, триглицеридите, </w:t>
      </w:r>
      <w:r w:rsidRPr="00304265">
        <w:rPr>
          <w:rFonts w:eastAsia="Times New Roman" w:cs="Arial"/>
          <w:color w:val="000000"/>
          <w:lang w:val="en-US"/>
        </w:rPr>
        <w:t>HDL</w:t>
      </w:r>
      <w:r w:rsidRPr="00304265">
        <w:rPr>
          <w:rFonts w:eastAsia="Times New Roman" w:cs="Arial"/>
          <w:color w:val="000000"/>
          <w:lang w:val="ru-RU"/>
        </w:rPr>
        <w:t xml:space="preserve"> </w:t>
      </w:r>
      <w:r w:rsidRPr="00304265">
        <w:rPr>
          <w:rFonts w:eastAsia="Times New Roman" w:cs="Arial"/>
          <w:color w:val="000000"/>
          <w:lang w:eastAsia="bg-BG"/>
        </w:rPr>
        <w:t xml:space="preserve">и </w:t>
      </w:r>
      <w:r w:rsidRPr="00304265">
        <w:rPr>
          <w:rFonts w:eastAsia="Times New Roman" w:cs="Arial"/>
          <w:color w:val="000000"/>
          <w:lang w:val="en-US"/>
        </w:rPr>
        <w:t>LDL</w:t>
      </w:r>
      <w:r w:rsidRPr="00304265">
        <w:rPr>
          <w:rFonts w:eastAsia="Times New Roman" w:cs="Arial"/>
          <w:color w:val="000000"/>
          <w:lang w:val="ru-RU"/>
        </w:rPr>
        <w:t>.</w:t>
      </w:r>
    </w:p>
    <w:p w14:paraId="2CFC4F33"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-Общ холестерол: честотата на промените в нивата от нормални (&lt;5,18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към високи (≥6,22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е била 2,5% при арипипразол и 2,8% при плацебо, а средната промяна от изходно ниво е била - 0,15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 xml:space="preserve">-0,182, -0,115) при арипипразол и -0,11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-0,148, -0,066) при плацебо.</w:t>
      </w:r>
    </w:p>
    <w:p w14:paraId="66772A79"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-Триглицериди на гладно: честотата на промените в нивата от нормални (&lt;1,69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към високи (≥ 2,26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е била 7,4% при арипипразол и 7,0% при плацебо, а средната </w:t>
      </w:r>
      <w:r w:rsidRPr="00304265">
        <w:rPr>
          <w:rFonts w:eastAsia="Times New Roman" w:cs="Arial"/>
          <w:color w:val="000000"/>
          <w:lang w:eastAsia="bg-BG"/>
        </w:rPr>
        <w:lastRenderedPageBreak/>
        <w:t xml:space="preserve">промяна от изходно ниво е била -0,11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 xml:space="preserve">-0,182, -0,046) при арипипразол и -0,07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-0,148, 0,007) при плацебо.</w:t>
      </w:r>
    </w:p>
    <w:p w14:paraId="04A540B9" w14:textId="77777777" w:rsidR="00304265" w:rsidRPr="00304265" w:rsidRDefault="00304265" w:rsidP="00304265">
      <w:pPr>
        <w:spacing w:line="240" w:lineRule="auto"/>
        <w:rPr>
          <w:rFonts w:eastAsia="Times New Roman" w:cs="Arial"/>
        </w:rPr>
      </w:pPr>
      <w:r w:rsidRPr="00304265">
        <w:rPr>
          <w:rFonts w:eastAsia="Times New Roman" w:cs="Arial"/>
          <w:color w:val="000000"/>
          <w:lang w:val="ru-RU"/>
        </w:rPr>
        <w:t>-</w:t>
      </w:r>
      <w:r w:rsidRPr="00304265">
        <w:rPr>
          <w:rFonts w:eastAsia="Times New Roman" w:cs="Arial"/>
          <w:color w:val="000000"/>
          <w:lang w:val="en-US"/>
        </w:rPr>
        <w:t>HDL</w:t>
      </w:r>
      <w:r w:rsidRPr="00304265">
        <w:rPr>
          <w:rFonts w:eastAsia="Times New Roman" w:cs="Arial"/>
          <w:color w:val="000000"/>
          <w:lang w:val="ru-RU"/>
        </w:rPr>
        <w:t xml:space="preserve">: </w:t>
      </w:r>
      <w:r w:rsidRPr="00304265">
        <w:rPr>
          <w:rFonts w:eastAsia="Times New Roman" w:cs="Arial"/>
          <w:color w:val="000000"/>
          <w:lang w:eastAsia="bg-BG"/>
        </w:rPr>
        <w:t xml:space="preserve">честотата на промените в нивата от нормални (≥1,04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към ниски (&lt;1,04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е била 11,4% при арипипразол и 12,5% при плацебо, а средната промяна от изходно ниво е била -0,03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 xml:space="preserve">-0,046, -0,017) при арипипразол и -0,04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-0,056, -0,022) при плацебо.</w:t>
      </w:r>
    </w:p>
    <w:p w14:paraId="52B0A7BD" w14:textId="77777777" w:rsidR="00304265" w:rsidRPr="00304265" w:rsidRDefault="00304265" w:rsidP="00304265">
      <w:pPr>
        <w:spacing w:line="240" w:lineRule="auto"/>
        <w:rPr>
          <w:rFonts w:eastAsia="Times New Roman" w:cs="Arial"/>
        </w:rPr>
      </w:pPr>
      <w:r w:rsidRPr="00304265">
        <w:rPr>
          <w:rFonts w:eastAsia="Times New Roman" w:cs="Arial"/>
          <w:color w:val="000000"/>
          <w:lang w:val="ru-RU"/>
        </w:rPr>
        <w:t>-</w:t>
      </w:r>
      <w:r w:rsidRPr="00304265">
        <w:rPr>
          <w:rFonts w:eastAsia="Times New Roman" w:cs="Arial"/>
          <w:color w:val="000000"/>
          <w:lang w:val="en-US"/>
        </w:rPr>
        <w:t>LDL</w:t>
      </w:r>
      <w:r w:rsidRPr="00304265">
        <w:rPr>
          <w:rFonts w:eastAsia="Times New Roman" w:cs="Arial"/>
          <w:color w:val="000000"/>
          <w:lang w:val="ru-RU"/>
        </w:rPr>
        <w:t xml:space="preserve"> </w:t>
      </w:r>
      <w:r w:rsidRPr="00304265">
        <w:rPr>
          <w:rFonts w:eastAsia="Times New Roman" w:cs="Arial"/>
          <w:color w:val="000000"/>
          <w:lang w:eastAsia="bg-BG"/>
        </w:rPr>
        <w:t xml:space="preserve">на гладно: честотата на промените в нивата от нормални (&lt;2,59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към високи (≥4,14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е била 0,6% при арипипразол и 0,7% при плацебо, а средната промяна от изходно ниво е била - 0.09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 xml:space="preserve">/1 </w:t>
      </w:r>
      <w:r w:rsidRPr="00304265">
        <w:rPr>
          <w:rFonts w:eastAsia="Times New Roman" w:cs="Arial"/>
          <w:color w:val="000000"/>
          <w:lang w:eastAsia="bg-BG"/>
        </w:rPr>
        <w:t xml:space="preserve">(95%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 xml:space="preserve">-0,139, -0,047) при арипипразол и -0,06 </w:t>
      </w:r>
      <w:proofErr w:type="spellStart"/>
      <w:r w:rsidRPr="00304265">
        <w:rPr>
          <w:rFonts w:eastAsia="Times New Roman" w:cs="Arial"/>
          <w:color w:val="000000"/>
          <w:lang w:val="en-US"/>
        </w:rPr>
        <w:t>mmol</w:t>
      </w:r>
      <w:proofErr w:type="spellEnd"/>
      <w:r w:rsidRPr="00304265">
        <w:rPr>
          <w:rFonts w:eastAsia="Times New Roman" w:cs="Arial"/>
          <w:color w:val="000000"/>
          <w:lang w:val="ru-RU"/>
        </w:rPr>
        <w:t>/</w:t>
      </w:r>
      <w:r w:rsidRPr="00304265">
        <w:rPr>
          <w:rFonts w:eastAsia="Times New Roman" w:cs="Arial"/>
          <w:color w:val="000000"/>
          <w:lang w:val="en-US"/>
        </w:rPr>
        <w:t>l</w:t>
      </w:r>
      <w:r w:rsidRPr="00304265">
        <w:rPr>
          <w:rFonts w:eastAsia="Times New Roman" w:cs="Arial"/>
          <w:color w:val="000000"/>
          <w:lang w:eastAsia="bg-BG"/>
        </w:rPr>
        <w:t xml:space="preserve"> (95% </w:t>
      </w:r>
      <w:r w:rsidRPr="00304265">
        <w:rPr>
          <w:rFonts w:eastAsia="Times New Roman" w:cs="Arial"/>
          <w:color w:val="000000"/>
          <w:lang w:val="en-US"/>
        </w:rPr>
        <w:t>CI</w:t>
      </w:r>
      <w:r w:rsidRPr="00304265">
        <w:rPr>
          <w:rFonts w:eastAsia="Times New Roman" w:cs="Arial"/>
          <w:color w:val="000000"/>
          <w:lang w:val="ru-RU"/>
        </w:rPr>
        <w:t xml:space="preserve">: </w:t>
      </w:r>
      <w:r w:rsidRPr="00304265">
        <w:rPr>
          <w:rFonts w:eastAsia="Times New Roman" w:cs="Arial"/>
          <w:color w:val="000000"/>
          <w:lang w:eastAsia="bg-BG"/>
        </w:rPr>
        <w:t>-0,116, -0,012) при плацебо.</w:t>
      </w:r>
    </w:p>
    <w:p w14:paraId="5F985EB4" w14:textId="77777777" w:rsidR="00304265" w:rsidRPr="00304265" w:rsidRDefault="00304265" w:rsidP="00304265">
      <w:pPr>
        <w:spacing w:line="240" w:lineRule="auto"/>
        <w:rPr>
          <w:rFonts w:eastAsia="Times New Roman" w:cs="Arial"/>
          <w:i/>
          <w:iCs/>
          <w:color w:val="000000"/>
          <w:lang w:eastAsia="bg-BG"/>
        </w:rPr>
      </w:pPr>
    </w:p>
    <w:p w14:paraId="5E1FCFC8" w14:textId="00AF4936"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Пролактин</w:t>
      </w:r>
    </w:p>
    <w:p w14:paraId="0573087F"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Нивата на пролактин са оценявани във всички проучвания за всички дози арипипразол (</w:t>
      </w:r>
      <w:r w:rsidRPr="00304265">
        <w:rPr>
          <w:rFonts w:eastAsia="Times New Roman" w:cs="Arial"/>
          <w:color w:val="000000"/>
          <w:lang w:val="en-US"/>
        </w:rPr>
        <w:t>n</w:t>
      </w:r>
      <w:r w:rsidRPr="00304265">
        <w:rPr>
          <w:rFonts w:eastAsia="Times New Roman" w:cs="Arial"/>
          <w:color w:val="000000"/>
          <w:lang w:eastAsia="bg-BG"/>
        </w:rPr>
        <w:t>=28,242). Случаите на хиперпролактинемия или увеличаване на серумния пролактин при пациенти, лекувани с арипипразол (0,3%) са равни на тези при плацебо (0,2%). При пациенти, които приемат арипипразол, медианата на времето до настъпване на ефект е 42 дни, а медианата на продължителността на ефекта е 34 дни.</w:t>
      </w:r>
    </w:p>
    <w:p w14:paraId="37839064" w14:textId="77777777" w:rsidR="00304265" w:rsidRPr="00304265" w:rsidRDefault="00304265" w:rsidP="00304265">
      <w:pPr>
        <w:spacing w:line="240" w:lineRule="auto"/>
        <w:rPr>
          <w:rFonts w:eastAsia="Times New Roman" w:cs="Arial"/>
          <w:color w:val="000000"/>
          <w:lang w:eastAsia="bg-BG"/>
        </w:rPr>
      </w:pPr>
    </w:p>
    <w:p w14:paraId="2919A5A3" w14:textId="5B5A6FE5" w:rsidR="00304265" w:rsidRPr="00304265" w:rsidRDefault="00304265" w:rsidP="00304265">
      <w:pPr>
        <w:spacing w:line="240" w:lineRule="auto"/>
        <w:rPr>
          <w:rFonts w:eastAsia="Times New Roman" w:cs="Arial"/>
        </w:rPr>
      </w:pPr>
      <w:r w:rsidRPr="00304265">
        <w:rPr>
          <w:rFonts w:eastAsia="Times New Roman" w:cs="Arial"/>
          <w:color w:val="000000"/>
          <w:lang w:eastAsia="bg-BG"/>
        </w:rPr>
        <w:t>Случаите на хипопролатнитемия или намаляване на серумния пролактин при пациенти, лекувани с арипипразол, са 0,4% в сравнение с 0,02% при пациенти, лекувани с плацебо. При пациенти, получаващи арипипразол, медианата на времето до настъпване на ефект е 30 дни, а медианата на продължителността на ефекта е 194 дни.</w:t>
      </w:r>
    </w:p>
    <w:p w14:paraId="1117DBDD" w14:textId="77777777" w:rsidR="00304265" w:rsidRPr="00304265" w:rsidRDefault="00304265" w:rsidP="00304265">
      <w:pPr>
        <w:spacing w:line="240" w:lineRule="auto"/>
        <w:rPr>
          <w:rFonts w:eastAsia="Times New Roman" w:cs="Arial"/>
          <w:i/>
          <w:iCs/>
          <w:color w:val="000000"/>
          <w:lang w:eastAsia="bg-BG"/>
        </w:rPr>
      </w:pPr>
    </w:p>
    <w:p w14:paraId="57F42C37" w14:textId="7376012C"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Манийни епизоди при биполярно афективно разстройство:</w:t>
      </w:r>
    </w:p>
    <w:p w14:paraId="25ACE5EC" w14:textId="77777777" w:rsidR="00304265" w:rsidRPr="00304265" w:rsidRDefault="00304265" w:rsidP="00304265">
      <w:pPr>
        <w:rPr>
          <w:rFonts w:eastAsia="Times New Roman" w:cs="Arial"/>
        </w:rPr>
      </w:pPr>
      <w:r w:rsidRPr="00304265">
        <w:rPr>
          <w:rFonts w:eastAsia="Times New Roman" w:cs="Arial"/>
          <w:color w:val="000000"/>
          <w:lang w:eastAsia="bg-BG"/>
        </w:rPr>
        <w:t>В две 3-седмични плацебо контролирани изпитвания на монотерапия с променливи дози при пациенти с маниен или смесен епизод на биполярно афективно разстройство арипипразол е показал по-висока ефикасност спрямо плацебо при намаляване на маниийните симптоми за 3 седмици. Тези изпитвания са включвали пациенти със или без психотични симптоми и със или без бързо циклично протичане.</w:t>
      </w:r>
    </w:p>
    <w:p w14:paraId="74FD4607"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едно 3-седмично плацебо контролирано изпитване на монотерапия с фиксирана доза при пациенти с маниен или смесен епизод на биполярно афективно разстройство арипипразол не е показал по-висока ефикасност спрямо плацебо.</w:t>
      </w:r>
    </w:p>
    <w:p w14:paraId="33747CB2"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две 12-седмични, контролирани с плацебо и активно вещество, изпитвания на монотерапия при пациенти с маниен или смесен епизод на биполярно афективно разстройство, със или без психотични симптоми, арипипразол е показал по-висока ефикасност спрямо плацебо на 3-та седмица и поддържане на ефект сравним с литий или халоперидол, на 12-та седмица.</w:t>
      </w:r>
    </w:p>
    <w:p w14:paraId="16E07FC6"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Арипипразол е показал и достигане на симптоматична ремисия на манията на 12-та седмица при част от пациентите, сравнима с тази при литий и халоперидол.</w:t>
      </w:r>
    </w:p>
    <w:p w14:paraId="3D9290DE"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едно 6-седмично плацебо контролирано изпитване при пациенти с маниен или смесен епизод на биполярно афективно разстройство, със или без психотични симптоми, които частично не се повлияват от монотерапия с литий или валпроат при терапевтични серумни нива за 2 седмици, добавянето на арипипразол като адювантно лечение е довело до по-висока ефикасност при намаляване на манийните симптоми в сравнение с монотерапията с литий или валпроат.</w:t>
      </w:r>
    </w:p>
    <w:p w14:paraId="3ACC687E"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В едно 26-седмично плацебо контролирано изпитване, със 74-седмично продължение, при манийни пациенти постигнали ремисия с арипипразол по време на стабилизационната фаза преди рандомизация, арипипразол е показал превъзходство над плацебо за предотвратяване на биполярни рецидиви, предимно за предотвратяване на </w:t>
      </w:r>
      <w:r w:rsidRPr="00304265">
        <w:rPr>
          <w:rFonts w:eastAsia="Times New Roman" w:cs="Arial"/>
          <w:color w:val="000000"/>
          <w:lang w:eastAsia="bg-BG"/>
        </w:rPr>
        <w:lastRenderedPageBreak/>
        <w:t>мания, но не е показал превъзходство над плацебо за предотвратяване на рецивите на депресия.</w:t>
      </w:r>
    </w:p>
    <w:p w14:paraId="4ED18D6D"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При едно 52-седмично плацебо контролирано изпитване, при пациенти с биполярно афективно разстройство тип I с настоящ маниен или смесен епизод, които са достигнали стабилна ремисия </w:t>
      </w:r>
      <w:r w:rsidRPr="00304265">
        <w:rPr>
          <w:rFonts w:eastAsia="Times New Roman" w:cs="Arial"/>
          <w:color w:val="000000"/>
          <w:lang w:val="ru-RU"/>
        </w:rPr>
        <w:t>(</w:t>
      </w:r>
      <w:r w:rsidRPr="00304265">
        <w:rPr>
          <w:rFonts w:eastAsia="Times New Roman" w:cs="Arial"/>
          <w:color w:val="000000"/>
          <w:lang w:val="en-US"/>
        </w:rPr>
        <w:t>Y</w:t>
      </w:r>
      <w:r w:rsidRPr="00304265">
        <w:rPr>
          <w:rFonts w:eastAsia="Times New Roman" w:cs="Arial"/>
          <w:color w:val="000000"/>
          <w:lang w:val="ru-RU"/>
        </w:rPr>
        <w:t xml:space="preserve">- </w:t>
      </w:r>
      <w:r w:rsidRPr="00304265">
        <w:rPr>
          <w:rFonts w:eastAsia="Times New Roman" w:cs="Arial"/>
          <w:color w:val="000000"/>
          <w:lang w:val="en-US"/>
        </w:rPr>
        <w:t>MRS</w:t>
      </w:r>
      <w:r w:rsidRPr="00304265">
        <w:rPr>
          <w:rFonts w:eastAsia="Times New Roman" w:cs="Arial"/>
          <w:color w:val="000000"/>
          <w:lang w:val="ru-RU"/>
        </w:rPr>
        <w:t xml:space="preserve"> </w:t>
      </w:r>
      <w:r w:rsidRPr="00304265">
        <w:rPr>
          <w:rFonts w:eastAsia="Times New Roman" w:cs="Arial"/>
          <w:color w:val="000000"/>
          <w:lang w:eastAsia="bg-BG"/>
        </w:rPr>
        <w:t xml:space="preserve">и </w:t>
      </w:r>
      <w:r w:rsidRPr="00304265">
        <w:rPr>
          <w:rFonts w:eastAsia="Times New Roman" w:cs="Arial"/>
          <w:color w:val="000000"/>
          <w:lang w:val="en-US"/>
        </w:rPr>
        <w:t>MADRS</w:t>
      </w:r>
      <w:r w:rsidRPr="00304265">
        <w:rPr>
          <w:rFonts w:eastAsia="Times New Roman" w:cs="Arial"/>
          <w:color w:val="000000"/>
          <w:lang w:val="ru-RU"/>
        </w:rPr>
        <w:t xml:space="preserve"> </w:t>
      </w:r>
      <w:r w:rsidRPr="00304265">
        <w:rPr>
          <w:rFonts w:eastAsia="Times New Roman" w:cs="Arial"/>
          <w:color w:val="000000"/>
          <w:lang w:eastAsia="bg-BG"/>
        </w:rPr>
        <w:t xml:space="preserve">общ скор ≤12) на арипипразол (10 </w:t>
      </w:r>
      <w:r w:rsidRPr="00304265">
        <w:rPr>
          <w:rFonts w:eastAsia="Times New Roman" w:cs="Arial"/>
          <w:color w:val="000000"/>
          <w:lang w:val="en-US"/>
        </w:rPr>
        <w:t>mg</w:t>
      </w:r>
      <w:r w:rsidRPr="00304265">
        <w:rPr>
          <w:rFonts w:eastAsia="Times New Roman" w:cs="Arial"/>
          <w:color w:val="000000"/>
          <w:lang w:eastAsia="bg-BG"/>
        </w:rPr>
        <w:t xml:space="preserve">/дневно до 30 </w:t>
      </w:r>
      <w:r w:rsidRPr="00304265">
        <w:rPr>
          <w:rFonts w:eastAsia="Times New Roman" w:cs="Arial"/>
          <w:color w:val="000000"/>
          <w:lang w:val="en-US"/>
        </w:rPr>
        <w:t>mg</w:t>
      </w:r>
      <w:r w:rsidRPr="00304265">
        <w:rPr>
          <w:rFonts w:eastAsia="Times New Roman" w:cs="Arial"/>
          <w:color w:val="000000"/>
          <w:lang w:eastAsia="bg-BG"/>
        </w:rPr>
        <w:t xml:space="preserve">/дневно), добавен към литий или валпроат за 12 последователни седмици, добавеният арипипразол е показал превъзходство спрямо плацебо с 46% понижен риск при превенция на биполярен рецидив (коефициент на риск 0,54) и 65% понижен риск при превенция на рецидив на мания (коефициент на риск 0,35) спрямо добавеното плацебо, но не е показал превъзходство спрямо плацебо при превенция на рецидив на депресия. Добавеният арипипразол е показал превъзходство спрямо плацебо в измерителя на вторичния резултат, </w:t>
      </w:r>
      <w:r w:rsidRPr="00304265">
        <w:rPr>
          <w:rFonts w:eastAsia="Times New Roman" w:cs="Arial"/>
          <w:color w:val="000000"/>
          <w:lang w:val="en-US"/>
        </w:rPr>
        <w:t>CGI</w:t>
      </w:r>
      <w:r w:rsidRPr="00304265">
        <w:rPr>
          <w:rFonts w:eastAsia="Times New Roman" w:cs="Arial"/>
          <w:color w:val="000000"/>
          <w:lang w:val="ru-RU"/>
        </w:rPr>
        <w:t>-</w:t>
      </w:r>
      <w:r w:rsidRPr="00304265">
        <w:rPr>
          <w:rFonts w:eastAsia="Times New Roman" w:cs="Arial"/>
          <w:color w:val="000000"/>
          <w:lang w:val="en-US"/>
        </w:rPr>
        <w:t>BP</w:t>
      </w:r>
      <w:r w:rsidRPr="00304265">
        <w:rPr>
          <w:rFonts w:eastAsia="Times New Roman" w:cs="Arial"/>
          <w:color w:val="000000"/>
          <w:lang w:val="ru-RU"/>
        </w:rPr>
        <w:t xml:space="preserve"> </w:t>
      </w:r>
      <w:r w:rsidRPr="00304265">
        <w:rPr>
          <w:rFonts w:eastAsia="Times New Roman" w:cs="Arial"/>
          <w:color w:val="000000"/>
          <w:lang w:eastAsia="bg-BG"/>
        </w:rPr>
        <w:t>скор за тежест на заболяването (мания).</w:t>
      </w:r>
    </w:p>
    <w:p w14:paraId="582B7EC4"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това изпитване избраните от изследователите пациенти са били на отворена монотерапия с литий или с валпроат, за да се установи частична липса на отговор. Пациентите са били стабилизирани за поне 12 последователни седмици с комбинацията от арипипразол и същия стабилизатор на настроението.</w:t>
      </w:r>
    </w:p>
    <w:p w14:paraId="17AAFBD3"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Стабилизираните пациенти след това са били рандомизирани да продължат същия стабилизатор на настроението с двойнозаслепени арипипразол или плацебо. Четири подгрупи със стабилизатори на настроението са били оценени в рандомизираната фаза: арипипразол + литий; арипипразол + валпроат; плацебо + литий; плацебо + валпроат.</w:t>
      </w:r>
    </w:p>
    <w:p w14:paraId="158B803B"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 xml:space="preserve">Степените по </w:t>
      </w:r>
      <w:r w:rsidRPr="00304265">
        <w:rPr>
          <w:rFonts w:eastAsia="Times New Roman" w:cs="Arial"/>
          <w:color w:val="000000"/>
          <w:lang w:val="en-US"/>
        </w:rPr>
        <w:t>Kaplan</w:t>
      </w:r>
      <w:r w:rsidRPr="00304265">
        <w:rPr>
          <w:rFonts w:eastAsia="Times New Roman" w:cs="Arial"/>
          <w:color w:val="000000"/>
          <w:lang w:val="ru-RU"/>
        </w:rPr>
        <w:t>-</w:t>
      </w:r>
      <w:r w:rsidRPr="00304265">
        <w:rPr>
          <w:rFonts w:eastAsia="Times New Roman" w:cs="Arial"/>
          <w:color w:val="000000"/>
          <w:lang w:val="en-US"/>
        </w:rPr>
        <w:t>Meier</w:t>
      </w:r>
      <w:r w:rsidRPr="00304265">
        <w:rPr>
          <w:rFonts w:eastAsia="Times New Roman" w:cs="Arial"/>
          <w:color w:val="000000"/>
          <w:lang w:val="ru-RU"/>
        </w:rPr>
        <w:t xml:space="preserve"> </w:t>
      </w:r>
      <w:r w:rsidRPr="00304265">
        <w:rPr>
          <w:rFonts w:eastAsia="Times New Roman" w:cs="Arial"/>
          <w:color w:val="000000"/>
          <w:lang w:eastAsia="bg-BG"/>
        </w:rPr>
        <w:t>за рецидив на епизод на настроението за рамото с допълнителна терапия са били съответно 16 % за арипипразол + литий и 18 % за арипипразол + валпроат сравнени с 45 % за плацебо + литий и 19 % за плацебо + валпроат.</w:t>
      </w:r>
    </w:p>
    <w:p w14:paraId="3C89729E" w14:textId="77777777" w:rsidR="00304265" w:rsidRPr="00304265" w:rsidRDefault="00304265" w:rsidP="00304265">
      <w:pPr>
        <w:spacing w:line="240" w:lineRule="auto"/>
        <w:rPr>
          <w:rFonts w:eastAsia="Times New Roman" w:cs="Arial"/>
          <w:color w:val="000000"/>
          <w:u w:val="single"/>
          <w:lang w:eastAsia="bg-BG"/>
        </w:rPr>
      </w:pPr>
    </w:p>
    <w:p w14:paraId="23C32237" w14:textId="02F999AF" w:rsidR="00304265" w:rsidRPr="00304265" w:rsidRDefault="00304265" w:rsidP="00304265">
      <w:pPr>
        <w:spacing w:line="240" w:lineRule="auto"/>
        <w:rPr>
          <w:rFonts w:eastAsia="Times New Roman" w:cs="Arial"/>
        </w:rPr>
      </w:pPr>
      <w:r w:rsidRPr="00304265">
        <w:rPr>
          <w:rFonts w:eastAsia="Times New Roman" w:cs="Arial"/>
          <w:color w:val="000000"/>
          <w:u w:val="single"/>
          <w:lang w:eastAsia="bg-BG"/>
        </w:rPr>
        <w:t>Педиатрична популация:</w:t>
      </w:r>
    </w:p>
    <w:p w14:paraId="10045619" w14:textId="77777777"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t>Шизофрения при юноши:</w:t>
      </w:r>
    </w:p>
    <w:p w14:paraId="1167C6D1" w14:textId="77777777" w:rsidR="00304265" w:rsidRPr="00304265" w:rsidRDefault="00304265" w:rsidP="00304265">
      <w:pPr>
        <w:spacing w:line="240" w:lineRule="auto"/>
        <w:rPr>
          <w:rFonts w:eastAsia="Times New Roman" w:cs="Arial"/>
        </w:rPr>
      </w:pPr>
      <w:r w:rsidRPr="00304265">
        <w:rPr>
          <w:rFonts w:eastAsia="Times New Roman" w:cs="Arial"/>
          <w:color w:val="000000"/>
          <w:lang w:eastAsia="bg-BG"/>
        </w:rPr>
        <w:t>В 6-седмично плацебо-контролирано клинично проучване на 302 юноши с шизофрения (13-17 години), с позитивни и негативни симптоми, арипипразол се свързва със статистически значимо подобрение на психотичните симптоми , в сравнение с плацебо. В подпроучване на юноши на възраст между 15 и 17 години, представляващи 74% от изследваната популация, поддържане на ефекта се наблюдава в продължение на 26-седмично отворено разширено проучване.</w:t>
      </w:r>
    </w:p>
    <w:p w14:paraId="6ED9239B" w14:textId="77777777" w:rsidR="00304265" w:rsidRPr="00304265" w:rsidRDefault="00304265" w:rsidP="00304265">
      <w:pPr>
        <w:spacing w:line="240" w:lineRule="auto"/>
        <w:rPr>
          <w:rFonts w:eastAsia="Times New Roman" w:cs="Arial"/>
          <w:color w:val="000000"/>
          <w:lang w:eastAsia="bg-BG"/>
        </w:rPr>
      </w:pPr>
    </w:p>
    <w:p w14:paraId="0EAA6064" w14:textId="77777777" w:rsidR="00304265" w:rsidRPr="00304265" w:rsidRDefault="00304265" w:rsidP="00304265">
      <w:pPr>
        <w:rPr>
          <w:rFonts w:eastAsia="Times New Roman" w:cs="Arial"/>
        </w:rPr>
      </w:pPr>
      <w:r w:rsidRPr="00304265">
        <w:rPr>
          <w:rFonts w:eastAsia="Times New Roman" w:cs="Arial"/>
          <w:color w:val="000000"/>
          <w:lang w:eastAsia="bg-BG"/>
        </w:rPr>
        <w:t>В едно 60- до 89- седмично, рандомизирано, двойно-сляпо, плацебо контролирано проучване при юноши (</w:t>
      </w:r>
      <w:r w:rsidRPr="00304265">
        <w:rPr>
          <w:rFonts w:eastAsia="Times New Roman" w:cs="Arial"/>
          <w:color w:val="000000"/>
          <w:lang w:val="en-US"/>
        </w:rPr>
        <w:t>n</w:t>
      </w:r>
      <w:r w:rsidRPr="00304265">
        <w:rPr>
          <w:rFonts w:eastAsia="Times New Roman" w:cs="Arial"/>
          <w:color w:val="000000"/>
          <w:lang w:eastAsia="bg-BG"/>
        </w:rPr>
        <w:t xml:space="preserve">= 146; възраст 13-17 години) с шизофрения има статистически значима разлика в честотата на рецидив на психотични симптоми между групата на арипипразол (19,39%) и тази на плацебо (37,50%). Точковата оценка на коефициента на риск </w:t>
      </w:r>
      <w:r w:rsidRPr="00304265">
        <w:rPr>
          <w:rFonts w:eastAsia="Times New Roman" w:cs="Arial"/>
          <w:color w:val="000000"/>
          <w:lang w:val="ru-RU"/>
        </w:rPr>
        <w:t>(</w:t>
      </w:r>
      <w:r w:rsidRPr="00304265">
        <w:rPr>
          <w:rFonts w:eastAsia="Times New Roman" w:cs="Arial"/>
          <w:color w:val="000000"/>
          <w:lang w:val="en-US"/>
        </w:rPr>
        <w:t>HR</w:t>
      </w:r>
      <w:r w:rsidRPr="00304265">
        <w:rPr>
          <w:rFonts w:eastAsia="Times New Roman" w:cs="Arial"/>
          <w:color w:val="000000"/>
          <w:lang w:val="ru-RU"/>
        </w:rPr>
        <w:t xml:space="preserve">) </w:t>
      </w:r>
      <w:r w:rsidRPr="00304265">
        <w:rPr>
          <w:rFonts w:eastAsia="Times New Roman" w:cs="Arial"/>
          <w:color w:val="000000"/>
          <w:lang w:eastAsia="bg-BG"/>
        </w:rPr>
        <w:t xml:space="preserve">е 0,461 (95% доверителен интервал, 0,242 - 0,879) в цялата популация. В анализа на подгрупата точковата оценка на </w:t>
      </w:r>
      <w:r w:rsidRPr="00304265">
        <w:rPr>
          <w:rFonts w:eastAsia="Times New Roman" w:cs="Arial"/>
          <w:color w:val="000000"/>
          <w:lang w:val="en-US"/>
        </w:rPr>
        <w:t>HR</w:t>
      </w:r>
      <w:r w:rsidRPr="00304265">
        <w:rPr>
          <w:rFonts w:eastAsia="Times New Roman" w:cs="Arial"/>
          <w:color w:val="000000"/>
          <w:lang w:val="ru-RU"/>
        </w:rPr>
        <w:t xml:space="preserve"> </w:t>
      </w:r>
      <w:r w:rsidRPr="00304265">
        <w:rPr>
          <w:rFonts w:eastAsia="Times New Roman" w:cs="Arial"/>
          <w:color w:val="000000"/>
          <w:lang w:eastAsia="bg-BG"/>
        </w:rPr>
        <w:t xml:space="preserve">е 0,495 за пациентите на възраст от 13 до 14 години в сравнение с 0,454 за пациентите на възраст от 15 до 17 години. Въпреки това оценката на </w:t>
      </w:r>
      <w:r w:rsidRPr="00304265">
        <w:rPr>
          <w:rFonts w:eastAsia="Times New Roman" w:cs="Arial"/>
          <w:color w:val="000000"/>
          <w:lang w:val="en-US"/>
        </w:rPr>
        <w:t>HR</w:t>
      </w:r>
      <w:r w:rsidRPr="00304265">
        <w:rPr>
          <w:rFonts w:eastAsia="Times New Roman" w:cs="Arial"/>
          <w:color w:val="000000"/>
          <w:lang w:val="ru-RU"/>
        </w:rPr>
        <w:t xml:space="preserve"> </w:t>
      </w:r>
      <w:r w:rsidRPr="00304265">
        <w:rPr>
          <w:rFonts w:eastAsia="Times New Roman" w:cs="Arial"/>
          <w:color w:val="000000"/>
          <w:lang w:eastAsia="bg-BG"/>
        </w:rPr>
        <w:t xml:space="preserve">за по-младата възрастова (13-14 години) група не е точна, отразявайки по-малкия брой пациенти в тази група (арипипразол, </w:t>
      </w:r>
      <w:r w:rsidRPr="00304265">
        <w:rPr>
          <w:rFonts w:eastAsia="Times New Roman" w:cs="Arial"/>
          <w:color w:val="000000"/>
          <w:lang w:val="en-US"/>
        </w:rPr>
        <w:t>n</w:t>
      </w:r>
      <w:r w:rsidRPr="00304265">
        <w:rPr>
          <w:rFonts w:eastAsia="Times New Roman" w:cs="Arial"/>
          <w:color w:val="000000"/>
          <w:lang w:eastAsia="bg-BG"/>
        </w:rPr>
        <w:t>=29; плацебо,</w:t>
      </w:r>
      <w:r w:rsidRPr="00304265">
        <w:rPr>
          <w:rFonts w:eastAsia="Times New Roman" w:cs="Arial"/>
          <w:color w:val="000000"/>
          <w:lang w:val="en-US"/>
        </w:rPr>
        <w:t>n</w:t>
      </w:r>
      <w:r w:rsidRPr="00304265">
        <w:rPr>
          <w:rFonts w:eastAsia="Times New Roman" w:cs="Arial"/>
          <w:color w:val="000000"/>
          <w:lang w:eastAsia="bg-BG"/>
        </w:rPr>
        <w:t xml:space="preserve">=12) и доверителният интервал за тази оценка (вариращ от 0,51 до 1,628) не позволява да се направят изводи за наличието на ефект от лечението. За разлика от това 95%-ия доверителен интервал за </w:t>
      </w:r>
      <w:r w:rsidRPr="00304265">
        <w:rPr>
          <w:rFonts w:eastAsia="Times New Roman" w:cs="Arial"/>
          <w:color w:val="000000"/>
          <w:lang w:val="en-US"/>
        </w:rPr>
        <w:t>HR</w:t>
      </w:r>
      <w:r w:rsidRPr="00304265">
        <w:rPr>
          <w:rFonts w:eastAsia="Times New Roman" w:cs="Arial"/>
          <w:color w:val="000000"/>
          <w:lang w:val="ru-RU"/>
        </w:rPr>
        <w:t xml:space="preserve"> </w:t>
      </w:r>
      <w:r w:rsidRPr="00304265">
        <w:rPr>
          <w:rFonts w:eastAsia="Times New Roman" w:cs="Arial"/>
          <w:color w:val="000000"/>
          <w:lang w:eastAsia="bg-BG"/>
        </w:rPr>
        <w:t>в по-възрастната подгрупа (арипипразол, п=69; плацебо, п=36) е от 0,242 до 0,879 и следователно може да се направи извод за ефект от лечението при по-възрастните пациенти.</w:t>
      </w:r>
    </w:p>
    <w:p w14:paraId="22E9D6D8" w14:textId="77777777" w:rsidR="00304265" w:rsidRPr="00304265" w:rsidRDefault="00304265" w:rsidP="00304265">
      <w:pPr>
        <w:spacing w:line="240" w:lineRule="auto"/>
        <w:rPr>
          <w:rFonts w:eastAsia="Times New Roman" w:cs="Arial"/>
          <w:i/>
          <w:iCs/>
          <w:color w:val="000000"/>
          <w:lang w:eastAsia="bg-BG"/>
        </w:rPr>
      </w:pPr>
    </w:p>
    <w:p w14:paraId="39408251" w14:textId="00ADB448" w:rsidR="00304265" w:rsidRPr="00304265" w:rsidRDefault="00304265" w:rsidP="00304265">
      <w:pPr>
        <w:spacing w:line="240" w:lineRule="auto"/>
        <w:rPr>
          <w:rFonts w:eastAsia="Times New Roman" w:cs="Arial"/>
        </w:rPr>
      </w:pPr>
      <w:r w:rsidRPr="00304265">
        <w:rPr>
          <w:rFonts w:eastAsia="Times New Roman" w:cs="Arial"/>
          <w:i/>
          <w:iCs/>
          <w:color w:val="000000"/>
          <w:lang w:eastAsia="bg-BG"/>
        </w:rPr>
        <w:lastRenderedPageBreak/>
        <w:t xml:space="preserve">Манийни епизоди при деца и юноши с биполярно афективно разстройство тип I </w:t>
      </w:r>
      <w:r w:rsidRPr="00304265">
        <w:rPr>
          <w:rFonts w:eastAsia="Times New Roman" w:cs="Arial"/>
          <w:color w:val="000000"/>
          <w:lang w:eastAsia="bg-BG"/>
        </w:rPr>
        <w:t xml:space="preserve">Арипипразол е изследван в 30 седмично, плацебо контролирано клинично проучване, включващо 296 деца и юноши (от 10 до 17 години), които са покривали критериите на </w:t>
      </w:r>
      <w:r w:rsidRPr="00304265">
        <w:rPr>
          <w:rFonts w:eastAsia="Times New Roman" w:cs="Arial"/>
          <w:color w:val="000000"/>
          <w:lang w:val="en-US"/>
        </w:rPr>
        <w:t>DSM</w:t>
      </w:r>
      <w:r w:rsidRPr="00304265">
        <w:rPr>
          <w:rFonts w:eastAsia="Times New Roman" w:cs="Arial"/>
          <w:color w:val="000000"/>
          <w:lang w:val="ru-RU"/>
        </w:rPr>
        <w:t>-</w:t>
      </w:r>
      <w:r w:rsidRPr="00304265">
        <w:rPr>
          <w:rFonts w:eastAsia="Times New Roman" w:cs="Arial"/>
          <w:color w:val="000000"/>
          <w:lang w:val="en-US"/>
        </w:rPr>
        <w:t>IV</w:t>
      </w:r>
      <w:r w:rsidRPr="00304265">
        <w:rPr>
          <w:rFonts w:eastAsia="Times New Roman" w:cs="Arial"/>
          <w:color w:val="000000"/>
          <w:lang w:val="ru-RU"/>
        </w:rPr>
        <w:t xml:space="preserve"> </w:t>
      </w:r>
      <w:r w:rsidRPr="00304265">
        <w:rPr>
          <w:rFonts w:eastAsia="Times New Roman" w:cs="Arial"/>
          <w:color w:val="000000"/>
          <w:lang w:eastAsia="bg-BG"/>
        </w:rPr>
        <w:t xml:space="preserve">за биполярно афективно разстройство тип I с манийни или смесени епизоди със или без психотична компонента и са имали </w:t>
      </w:r>
      <w:r w:rsidRPr="00304265">
        <w:rPr>
          <w:rFonts w:eastAsia="Times New Roman" w:cs="Arial"/>
          <w:color w:val="000000"/>
          <w:lang w:val="en-US"/>
        </w:rPr>
        <w:t>Y</w:t>
      </w:r>
      <w:r w:rsidRPr="00304265">
        <w:rPr>
          <w:rFonts w:eastAsia="Times New Roman" w:cs="Arial"/>
          <w:color w:val="000000"/>
          <w:lang w:val="ru-RU"/>
        </w:rPr>
        <w:t>-</w:t>
      </w:r>
      <w:r w:rsidRPr="00304265">
        <w:rPr>
          <w:rFonts w:eastAsia="Times New Roman" w:cs="Arial"/>
          <w:color w:val="000000"/>
          <w:lang w:val="en-US"/>
        </w:rPr>
        <w:t>MRS</w:t>
      </w:r>
      <w:r w:rsidRPr="00304265">
        <w:rPr>
          <w:rFonts w:eastAsia="Times New Roman" w:cs="Arial"/>
          <w:color w:val="000000"/>
          <w:lang w:val="ru-RU"/>
        </w:rPr>
        <w:t xml:space="preserve"> </w:t>
      </w:r>
      <w:r w:rsidRPr="00304265">
        <w:rPr>
          <w:rFonts w:eastAsia="Times New Roman" w:cs="Arial"/>
          <w:color w:val="000000"/>
          <w:lang w:eastAsia="bg-BG"/>
        </w:rPr>
        <w:t xml:space="preserve">резултат &gt;20 при изходните нива. Сред пациентите включени в първичния анализ за ефикасност, 139 пациента са имали съпътстваща диагноза </w:t>
      </w:r>
      <w:r w:rsidRPr="00304265">
        <w:rPr>
          <w:rFonts w:eastAsia="Times New Roman" w:cs="Arial"/>
          <w:color w:val="000000"/>
          <w:lang w:val="en-US"/>
        </w:rPr>
        <w:t>ADHD</w:t>
      </w:r>
      <w:r w:rsidRPr="00304265">
        <w:rPr>
          <w:rFonts w:eastAsia="Times New Roman" w:cs="Arial"/>
          <w:color w:val="000000"/>
          <w:lang w:val="ru-RU"/>
        </w:rPr>
        <w:t xml:space="preserve"> </w:t>
      </w:r>
      <w:r w:rsidRPr="00304265">
        <w:rPr>
          <w:rFonts w:eastAsia="Times New Roman" w:cs="Arial"/>
          <w:color w:val="000000"/>
          <w:lang w:eastAsia="bg-BG"/>
        </w:rPr>
        <w:t xml:space="preserve">(синдром на хиперактивност с дефицит на вниманието). Арипипразол е показал превъзходство в сравнение с плацебо за промяна от изходните нива на 4-та и 12-та седмица по </w:t>
      </w:r>
      <w:r w:rsidRPr="00304265">
        <w:rPr>
          <w:rFonts w:eastAsia="Times New Roman" w:cs="Arial"/>
          <w:color w:val="000000"/>
          <w:lang w:val="en-US"/>
        </w:rPr>
        <w:t>Y</w:t>
      </w:r>
      <w:r w:rsidRPr="00304265">
        <w:rPr>
          <w:rFonts w:eastAsia="Times New Roman" w:cs="Arial"/>
          <w:color w:val="000000"/>
          <w:lang w:val="ru-RU"/>
        </w:rPr>
        <w:t>-</w:t>
      </w:r>
      <w:r w:rsidRPr="00304265">
        <w:rPr>
          <w:rFonts w:eastAsia="Times New Roman" w:cs="Arial"/>
          <w:color w:val="000000"/>
          <w:lang w:val="en-US"/>
        </w:rPr>
        <w:t>MRS</w:t>
      </w:r>
      <w:r w:rsidRPr="00304265">
        <w:rPr>
          <w:rFonts w:eastAsia="Times New Roman" w:cs="Arial"/>
          <w:color w:val="000000"/>
          <w:lang w:val="ru-RU"/>
        </w:rPr>
        <w:t xml:space="preserve"> </w:t>
      </w:r>
      <w:r w:rsidRPr="00304265">
        <w:rPr>
          <w:rFonts w:eastAsia="Times New Roman" w:cs="Arial"/>
          <w:color w:val="000000"/>
          <w:lang w:eastAsia="bg-BG"/>
        </w:rPr>
        <w:t xml:space="preserve">общ резултат. В последващ анализ, подобрението спрямо плацебо е по-изразено при пациенти със съпътстваща диагноза </w:t>
      </w:r>
      <w:r w:rsidRPr="00304265">
        <w:rPr>
          <w:rFonts w:eastAsia="Times New Roman" w:cs="Arial"/>
          <w:color w:val="000000"/>
          <w:lang w:val="en-US"/>
        </w:rPr>
        <w:t>ADHD</w:t>
      </w:r>
      <w:r w:rsidRPr="00304265">
        <w:rPr>
          <w:rFonts w:eastAsia="Times New Roman" w:cs="Arial"/>
          <w:color w:val="000000"/>
          <w:lang w:val="ru-RU"/>
        </w:rPr>
        <w:t xml:space="preserve"> </w:t>
      </w:r>
      <w:r w:rsidRPr="00304265">
        <w:rPr>
          <w:rFonts w:eastAsia="Times New Roman" w:cs="Arial"/>
          <w:color w:val="000000"/>
          <w:lang w:eastAsia="bg-BG"/>
        </w:rPr>
        <w:t xml:space="preserve">в сравнение с групата без </w:t>
      </w:r>
      <w:r w:rsidRPr="00304265">
        <w:rPr>
          <w:rFonts w:eastAsia="Times New Roman" w:cs="Arial"/>
          <w:color w:val="000000"/>
          <w:lang w:val="en-US"/>
        </w:rPr>
        <w:t>ADHD</w:t>
      </w:r>
      <w:r w:rsidRPr="00304265">
        <w:rPr>
          <w:rFonts w:eastAsia="Times New Roman" w:cs="Arial"/>
          <w:color w:val="000000"/>
          <w:lang w:val="ru-RU"/>
        </w:rPr>
        <w:t xml:space="preserve">, </w:t>
      </w:r>
      <w:r w:rsidRPr="00304265">
        <w:rPr>
          <w:rFonts w:eastAsia="Times New Roman" w:cs="Arial"/>
          <w:color w:val="000000"/>
          <w:lang w:eastAsia="bg-BG"/>
        </w:rPr>
        <w:t>където няма разлика спрямо плацебо. Превенцията на рецидиви не е установена.</w:t>
      </w:r>
    </w:p>
    <w:p w14:paraId="1D37CC84" w14:textId="77777777" w:rsidR="00304265" w:rsidRPr="00304265" w:rsidRDefault="00304265" w:rsidP="00304265">
      <w:pPr>
        <w:spacing w:line="240" w:lineRule="auto"/>
        <w:rPr>
          <w:rFonts w:eastAsia="Times New Roman" w:cs="Arial"/>
          <w:b/>
          <w:bCs/>
          <w:color w:val="000000"/>
          <w:lang w:eastAsia="bg-BG"/>
        </w:rPr>
      </w:pPr>
    </w:p>
    <w:p w14:paraId="7AD43AC8" w14:textId="15D6E36B" w:rsidR="00304265" w:rsidRDefault="00304265" w:rsidP="00304265">
      <w:pPr>
        <w:spacing w:line="240" w:lineRule="auto"/>
        <w:rPr>
          <w:rFonts w:eastAsia="Times New Roman" w:cs="Arial"/>
          <w:b/>
          <w:bCs/>
          <w:color w:val="000000"/>
          <w:lang w:eastAsia="bg-BG"/>
        </w:rPr>
      </w:pPr>
      <w:r w:rsidRPr="00304265">
        <w:rPr>
          <w:rFonts w:eastAsia="Times New Roman" w:cs="Arial"/>
          <w:b/>
          <w:bCs/>
          <w:color w:val="000000"/>
          <w:lang w:eastAsia="bg-BG"/>
        </w:rPr>
        <w:t xml:space="preserve">Таблица 1: Средно подобрение спрямо изходните нива по </w:t>
      </w:r>
      <w:r w:rsidRPr="00304265">
        <w:rPr>
          <w:rFonts w:eastAsia="Times New Roman" w:cs="Arial"/>
          <w:b/>
          <w:bCs/>
          <w:color w:val="000000"/>
          <w:lang w:val="en-US"/>
        </w:rPr>
        <w:t>YMRS</w:t>
      </w:r>
      <w:r w:rsidRPr="00304265">
        <w:rPr>
          <w:rFonts w:eastAsia="Times New Roman" w:cs="Arial"/>
          <w:b/>
          <w:bCs/>
          <w:color w:val="000000"/>
          <w:lang w:val="ru-RU"/>
        </w:rPr>
        <w:t xml:space="preserve"> </w:t>
      </w:r>
      <w:r w:rsidRPr="00304265">
        <w:rPr>
          <w:rFonts w:eastAsia="Times New Roman" w:cs="Arial"/>
          <w:b/>
          <w:bCs/>
          <w:color w:val="000000"/>
          <w:lang w:eastAsia="bg-BG"/>
        </w:rPr>
        <w:t>резултат за психиатрична коморбидност</w:t>
      </w:r>
    </w:p>
    <w:tbl>
      <w:tblPr>
        <w:tblStyle w:val="TableGrid"/>
        <w:tblW w:w="0" w:type="auto"/>
        <w:tblLook w:val="04A0" w:firstRow="1" w:lastRow="0" w:firstColumn="1" w:lastColumn="0" w:noHBand="0" w:noVBand="1"/>
      </w:tblPr>
      <w:tblGrid>
        <w:gridCol w:w="1801"/>
        <w:gridCol w:w="1515"/>
        <w:gridCol w:w="1515"/>
        <w:gridCol w:w="1542"/>
        <w:gridCol w:w="1485"/>
        <w:gridCol w:w="1492"/>
      </w:tblGrid>
      <w:tr w:rsidR="00304265" w14:paraId="6AF62F62" w14:textId="77777777" w:rsidTr="00304265">
        <w:tc>
          <w:tcPr>
            <w:tcW w:w="1801" w:type="dxa"/>
          </w:tcPr>
          <w:p w14:paraId="4321CE84" w14:textId="58714952" w:rsidR="00304265" w:rsidRPr="00304265" w:rsidRDefault="00304265" w:rsidP="00304265">
            <w:pPr>
              <w:spacing w:line="240" w:lineRule="auto"/>
              <w:rPr>
                <w:rFonts w:eastAsia="Times New Roman" w:cs="Arial"/>
                <w:b/>
                <w:bCs/>
                <w:color w:val="000000"/>
                <w:lang w:eastAsia="bg-BG"/>
              </w:rPr>
            </w:pPr>
            <w:r w:rsidRPr="00304265">
              <w:rPr>
                <w:b/>
                <w:bCs/>
              </w:rPr>
              <w:t>Психиатрична коморбидност</w:t>
            </w:r>
          </w:p>
        </w:tc>
        <w:tc>
          <w:tcPr>
            <w:tcW w:w="1575" w:type="dxa"/>
          </w:tcPr>
          <w:p w14:paraId="02FC6FA1" w14:textId="0D16B49F" w:rsidR="00304265" w:rsidRPr="00304265" w:rsidRDefault="00304265" w:rsidP="00304265">
            <w:pPr>
              <w:spacing w:line="240" w:lineRule="auto"/>
              <w:rPr>
                <w:rFonts w:eastAsia="Times New Roman" w:cs="Arial"/>
                <w:b/>
                <w:bCs/>
                <w:color w:val="000000"/>
                <w:lang w:eastAsia="bg-BG"/>
              </w:rPr>
            </w:pPr>
            <w:r w:rsidRPr="00304265">
              <w:t>4-та седмица</w:t>
            </w:r>
          </w:p>
        </w:tc>
        <w:tc>
          <w:tcPr>
            <w:tcW w:w="1576" w:type="dxa"/>
          </w:tcPr>
          <w:p w14:paraId="29532684" w14:textId="3B1BE578" w:rsidR="00304265" w:rsidRPr="00304265" w:rsidRDefault="00304265" w:rsidP="00304265">
            <w:pPr>
              <w:spacing w:line="240" w:lineRule="auto"/>
              <w:rPr>
                <w:rFonts w:eastAsia="Times New Roman" w:cs="Arial"/>
                <w:b/>
                <w:bCs/>
                <w:color w:val="000000"/>
                <w:lang w:eastAsia="bg-BG"/>
              </w:rPr>
            </w:pPr>
            <w:r w:rsidRPr="00304265">
              <w:t>12-та седмица</w:t>
            </w:r>
          </w:p>
        </w:tc>
        <w:tc>
          <w:tcPr>
            <w:tcW w:w="1542" w:type="dxa"/>
          </w:tcPr>
          <w:p w14:paraId="75F9642D" w14:textId="21B6F326" w:rsidR="00304265" w:rsidRPr="00304265" w:rsidRDefault="00304265" w:rsidP="00304265">
            <w:pPr>
              <w:spacing w:line="240" w:lineRule="auto"/>
              <w:rPr>
                <w:rFonts w:eastAsia="Times New Roman" w:cs="Arial"/>
                <w:b/>
                <w:bCs/>
                <w:color w:val="000000"/>
                <w:lang w:eastAsia="bg-BG"/>
              </w:rPr>
            </w:pPr>
            <w:r w:rsidRPr="00304265">
              <w:rPr>
                <w:b/>
                <w:bCs/>
                <w:lang w:val="en-US"/>
              </w:rPr>
              <w:t>ADHD</w:t>
            </w:r>
          </w:p>
        </w:tc>
        <w:tc>
          <w:tcPr>
            <w:tcW w:w="1541" w:type="dxa"/>
          </w:tcPr>
          <w:p w14:paraId="7B851B77" w14:textId="029ABC52" w:rsidR="00304265" w:rsidRPr="00304265" w:rsidRDefault="00304265" w:rsidP="00304265">
            <w:pPr>
              <w:spacing w:line="240" w:lineRule="auto"/>
              <w:rPr>
                <w:rFonts w:eastAsia="Times New Roman" w:cs="Arial"/>
                <w:b/>
                <w:bCs/>
                <w:color w:val="000000"/>
                <w:lang w:eastAsia="bg-BG"/>
              </w:rPr>
            </w:pPr>
            <w:r w:rsidRPr="00304265">
              <w:t>4-та седмица</w:t>
            </w:r>
          </w:p>
        </w:tc>
        <w:tc>
          <w:tcPr>
            <w:tcW w:w="1541" w:type="dxa"/>
          </w:tcPr>
          <w:p w14:paraId="3C7B8DA8" w14:textId="05373C28" w:rsidR="00304265" w:rsidRPr="00304265" w:rsidRDefault="00304265" w:rsidP="00304265">
            <w:pPr>
              <w:spacing w:line="240" w:lineRule="auto"/>
              <w:rPr>
                <w:rFonts w:eastAsia="Times New Roman" w:cs="Arial"/>
                <w:b/>
                <w:bCs/>
                <w:color w:val="000000"/>
                <w:lang w:eastAsia="bg-BG"/>
              </w:rPr>
            </w:pPr>
            <w:r w:rsidRPr="00304265">
              <w:rPr>
                <w:b/>
                <w:bCs/>
              </w:rPr>
              <w:t>12-та седмица</w:t>
            </w:r>
          </w:p>
        </w:tc>
      </w:tr>
      <w:tr w:rsidR="00304265" w14:paraId="4C491574" w14:textId="77777777" w:rsidTr="00304265">
        <w:tc>
          <w:tcPr>
            <w:tcW w:w="1801" w:type="dxa"/>
          </w:tcPr>
          <w:p w14:paraId="0184BC24" w14:textId="383EFECA" w:rsidR="00304265" w:rsidRPr="00304265" w:rsidRDefault="00304265" w:rsidP="00304265">
            <w:pPr>
              <w:spacing w:line="240" w:lineRule="auto"/>
              <w:rPr>
                <w:rFonts w:eastAsia="Times New Roman" w:cs="Arial"/>
                <w:b/>
                <w:bCs/>
                <w:color w:val="000000"/>
                <w:lang w:eastAsia="bg-BG"/>
              </w:rPr>
            </w:pPr>
            <w:r w:rsidRPr="00304265">
              <w:t xml:space="preserve">арипипразол 10 </w:t>
            </w:r>
            <w:r w:rsidRPr="00304265">
              <w:rPr>
                <w:lang w:val="en-US"/>
              </w:rPr>
              <w:t xml:space="preserve">mg </w:t>
            </w:r>
            <w:r w:rsidRPr="00304265">
              <w:t>(</w:t>
            </w:r>
            <w:r w:rsidRPr="00304265">
              <w:rPr>
                <w:lang w:val="en-US"/>
              </w:rPr>
              <w:t>n</w:t>
            </w:r>
            <w:r w:rsidRPr="00304265">
              <w:t>=48)</w:t>
            </w:r>
          </w:p>
        </w:tc>
        <w:tc>
          <w:tcPr>
            <w:tcW w:w="1575" w:type="dxa"/>
          </w:tcPr>
          <w:p w14:paraId="5C32562B" w14:textId="63C16F2F" w:rsidR="00304265" w:rsidRPr="00304265" w:rsidRDefault="00304265" w:rsidP="00304265">
            <w:pPr>
              <w:spacing w:line="240" w:lineRule="auto"/>
              <w:rPr>
                <w:rFonts w:eastAsia="Times New Roman" w:cs="Arial"/>
                <w:b/>
                <w:bCs/>
                <w:color w:val="000000"/>
                <w:lang w:eastAsia="bg-BG"/>
              </w:rPr>
            </w:pPr>
            <w:r w:rsidRPr="00304265">
              <w:t>14,9</w:t>
            </w:r>
          </w:p>
        </w:tc>
        <w:tc>
          <w:tcPr>
            <w:tcW w:w="1576" w:type="dxa"/>
          </w:tcPr>
          <w:p w14:paraId="12208618" w14:textId="0ED35C2F" w:rsidR="00304265" w:rsidRPr="00304265" w:rsidRDefault="00304265" w:rsidP="00304265">
            <w:pPr>
              <w:spacing w:line="240" w:lineRule="auto"/>
              <w:rPr>
                <w:rFonts w:eastAsia="Times New Roman" w:cs="Arial"/>
                <w:b/>
                <w:bCs/>
                <w:color w:val="000000"/>
                <w:lang w:eastAsia="bg-BG"/>
              </w:rPr>
            </w:pPr>
            <w:r w:rsidRPr="00304265">
              <w:t>15,1</w:t>
            </w:r>
          </w:p>
        </w:tc>
        <w:tc>
          <w:tcPr>
            <w:tcW w:w="1542" w:type="dxa"/>
          </w:tcPr>
          <w:p w14:paraId="04C4F6D4" w14:textId="330B7E03" w:rsidR="00304265" w:rsidRPr="00304265" w:rsidRDefault="00304265" w:rsidP="00304265">
            <w:pPr>
              <w:spacing w:line="240" w:lineRule="auto"/>
              <w:rPr>
                <w:rFonts w:eastAsia="Times New Roman" w:cs="Arial"/>
                <w:b/>
                <w:bCs/>
                <w:color w:val="000000"/>
                <w:lang w:eastAsia="bg-BG"/>
              </w:rPr>
            </w:pPr>
            <w:r w:rsidRPr="00304265">
              <w:t xml:space="preserve">арипипразол 10 </w:t>
            </w:r>
            <w:r w:rsidRPr="00304265">
              <w:rPr>
                <w:lang w:val="en-US"/>
              </w:rPr>
              <w:t xml:space="preserve">mg </w:t>
            </w:r>
            <w:r w:rsidRPr="00304265">
              <w:t>(</w:t>
            </w:r>
            <w:r w:rsidRPr="00304265">
              <w:rPr>
                <w:lang w:val="en-US"/>
              </w:rPr>
              <w:t>n</w:t>
            </w:r>
            <w:r w:rsidRPr="00304265">
              <w:t>=44)</w:t>
            </w:r>
          </w:p>
        </w:tc>
        <w:tc>
          <w:tcPr>
            <w:tcW w:w="1541" w:type="dxa"/>
          </w:tcPr>
          <w:p w14:paraId="133DC7A9" w14:textId="5AEDFB64" w:rsidR="00304265" w:rsidRPr="00304265" w:rsidRDefault="00304265" w:rsidP="00304265">
            <w:pPr>
              <w:spacing w:line="240" w:lineRule="auto"/>
              <w:rPr>
                <w:rFonts w:eastAsia="Times New Roman" w:cs="Arial"/>
                <w:b/>
                <w:bCs/>
                <w:color w:val="000000"/>
                <w:lang w:eastAsia="bg-BG"/>
              </w:rPr>
            </w:pPr>
            <w:r w:rsidRPr="00304265">
              <w:t>15,2</w:t>
            </w:r>
          </w:p>
        </w:tc>
        <w:tc>
          <w:tcPr>
            <w:tcW w:w="1541" w:type="dxa"/>
          </w:tcPr>
          <w:p w14:paraId="44214B0D" w14:textId="76D212C3" w:rsidR="00304265" w:rsidRPr="00304265" w:rsidRDefault="00304265" w:rsidP="00304265">
            <w:pPr>
              <w:spacing w:line="240" w:lineRule="auto"/>
              <w:rPr>
                <w:rFonts w:eastAsia="Times New Roman" w:cs="Arial"/>
                <w:b/>
                <w:bCs/>
                <w:color w:val="000000"/>
                <w:lang w:eastAsia="bg-BG"/>
              </w:rPr>
            </w:pPr>
            <w:r w:rsidRPr="00304265">
              <w:t>15,6</w:t>
            </w:r>
          </w:p>
        </w:tc>
      </w:tr>
      <w:tr w:rsidR="00304265" w14:paraId="329A79CF" w14:textId="77777777" w:rsidTr="00304265">
        <w:tc>
          <w:tcPr>
            <w:tcW w:w="1801" w:type="dxa"/>
          </w:tcPr>
          <w:p w14:paraId="2AC8D3EA" w14:textId="5D841F16" w:rsidR="00304265" w:rsidRPr="00304265" w:rsidRDefault="00304265" w:rsidP="00304265">
            <w:pPr>
              <w:spacing w:line="240" w:lineRule="auto"/>
              <w:rPr>
                <w:rFonts w:eastAsia="Times New Roman" w:cs="Arial"/>
                <w:b/>
                <w:bCs/>
                <w:color w:val="000000"/>
                <w:lang w:eastAsia="bg-BG"/>
              </w:rPr>
            </w:pPr>
            <w:r w:rsidRPr="00304265">
              <w:t xml:space="preserve">арипипразол 30 </w:t>
            </w:r>
            <w:r w:rsidRPr="00304265">
              <w:rPr>
                <w:lang w:val="en-US"/>
              </w:rPr>
              <w:t xml:space="preserve">mg </w:t>
            </w:r>
            <w:r w:rsidRPr="00304265">
              <w:t>(</w:t>
            </w:r>
            <w:r w:rsidRPr="00304265">
              <w:rPr>
                <w:lang w:val="en-US"/>
              </w:rPr>
              <w:t>n</w:t>
            </w:r>
            <w:r w:rsidRPr="00304265">
              <w:t>=51)</w:t>
            </w:r>
          </w:p>
        </w:tc>
        <w:tc>
          <w:tcPr>
            <w:tcW w:w="1575" w:type="dxa"/>
          </w:tcPr>
          <w:p w14:paraId="75768A80" w14:textId="30A968AF" w:rsidR="00304265" w:rsidRPr="00304265" w:rsidRDefault="00304265" w:rsidP="00304265">
            <w:pPr>
              <w:spacing w:line="240" w:lineRule="auto"/>
              <w:rPr>
                <w:rFonts w:eastAsia="Times New Roman" w:cs="Arial"/>
                <w:b/>
                <w:bCs/>
                <w:color w:val="000000"/>
                <w:lang w:eastAsia="bg-BG"/>
              </w:rPr>
            </w:pPr>
            <w:r w:rsidRPr="00304265">
              <w:t>16,7</w:t>
            </w:r>
          </w:p>
        </w:tc>
        <w:tc>
          <w:tcPr>
            <w:tcW w:w="1576" w:type="dxa"/>
          </w:tcPr>
          <w:p w14:paraId="5FAC502D" w14:textId="6E21C54F" w:rsidR="00304265" w:rsidRPr="00304265" w:rsidRDefault="00304265" w:rsidP="00304265">
            <w:pPr>
              <w:spacing w:line="240" w:lineRule="auto"/>
              <w:rPr>
                <w:rFonts w:eastAsia="Times New Roman" w:cs="Arial"/>
                <w:b/>
                <w:bCs/>
                <w:color w:val="000000"/>
                <w:lang w:eastAsia="bg-BG"/>
              </w:rPr>
            </w:pPr>
            <w:r w:rsidRPr="00304265">
              <w:t>16,9</w:t>
            </w:r>
          </w:p>
        </w:tc>
        <w:tc>
          <w:tcPr>
            <w:tcW w:w="1542" w:type="dxa"/>
          </w:tcPr>
          <w:p w14:paraId="708CBBF7" w14:textId="7426CCDB" w:rsidR="00304265" w:rsidRPr="00304265" w:rsidRDefault="00304265" w:rsidP="00304265">
            <w:pPr>
              <w:spacing w:line="240" w:lineRule="auto"/>
              <w:rPr>
                <w:rFonts w:eastAsia="Times New Roman" w:cs="Arial"/>
                <w:b/>
                <w:bCs/>
                <w:color w:val="000000"/>
                <w:lang w:eastAsia="bg-BG"/>
              </w:rPr>
            </w:pPr>
            <w:r w:rsidRPr="00304265">
              <w:t xml:space="preserve">арипипразол 30 </w:t>
            </w:r>
            <w:r w:rsidRPr="00304265">
              <w:rPr>
                <w:lang w:val="en-US"/>
              </w:rPr>
              <w:t xml:space="preserve">mg </w:t>
            </w:r>
            <w:r w:rsidRPr="00304265">
              <w:t>(</w:t>
            </w:r>
            <w:r w:rsidRPr="00304265">
              <w:rPr>
                <w:lang w:val="en-US"/>
              </w:rPr>
              <w:t>n=</w:t>
            </w:r>
            <w:r w:rsidRPr="00304265">
              <w:t>48)</w:t>
            </w:r>
          </w:p>
        </w:tc>
        <w:tc>
          <w:tcPr>
            <w:tcW w:w="1541" w:type="dxa"/>
          </w:tcPr>
          <w:p w14:paraId="6213E8F7" w14:textId="0F8DDDE1" w:rsidR="00304265" w:rsidRPr="00304265" w:rsidRDefault="00304265" w:rsidP="00304265">
            <w:pPr>
              <w:spacing w:line="240" w:lineRule="auto"/>
              <w:rPr>
                <w:rFonts w:eastAsia="Times New Roman" w:cs="Arial"/>
                <w:b/>
                <w:bCs/>
                <w:color w:val="000000"/>
                <w:lang w:eastAsia="bg-BG"/>
              </w:rPr>
            </w:pPr>
            <w:r w:rsidRPr="00304265">
              <w:t>15,9</w:t>
            </w:r>
          </w:p>
        </w:tc>
        <w:tc>
          <w:tcPr>
            <w:tcW w:w="1541" w:type="dxa"/>
          </w:tcPr>
          <w:p w14:paraId="30DD3DD9" w14:textId="5085BF01" w:rsidR="00304265" w:rsidRPr="00304265" w:rsidRDefault="00304265" w:rsidP="00304265">
            <w:pPr>
              <w:spacing w:line="240" w:lineRule="auto"/>
              <w:rPr>
                <w:rFonts w:eastAsia="Times New Roman" w:cs="Arial"/>
                <w:b/>
                <w:bCs/>
                <w:color w:val="000000"/>
                <w:lang w:eastAsia="bg-BG"/>
              </w:rPr>
            </w:pPr>
            <w:r w:rsidRPr="00304265">
              <w:t>16,7</w:t>
            </w:r>
          </w:p>
        </w:tc>
      </w:tr>
      <w:tr w:rsidR="00304265" w14:paraId="54276BBD" w14:textId="77777777" w:rsidTr="00304265">
        <w:tc>
          <w:tcPr>
            <w:tcW w:w="1801" w:type="dxa"/>
          </w:tcPr>
          <w:p w14:paraId="6B3FDB14" w14:textId="209B4955" w:rsidR="00304265" w:rsidRPr="00304265" w:rsidRDefault="00304265" w:rsidP="00304265">
            <w:pPr>
              <w:spacing w:line="240" w:lineRule="auto"/>
              <w:rPr>
                <w:rFonts w:eastAsia="Times New Roman" w:cs="Arial"/>
                <w:b/>
                <w:bCs/>
                <w:color w:val="000000"/>
                <w:lang w:eastAsia="bg-BG"/>
              </w:rPr>
            </w:pPr>
            <w:r w:rsidRPr="00304265">
              <w:t>Плацебо (</w:t>
            </w:r>
            <w:r w:rsidRPr="00304265">
              <w:rPr>
                <w:lang w:val="en-US"/>
              </w:rPr>
              <w:t>n</w:t>
            </w:r>
            <w:r w:rsidRPr="00304265">
              <w:t>=52)</w:t>
            </w:r>
            <w:r w:rsidRPr="00304265">
              <w:rPr>
                <w:vertAlign w:val="superscript"/>
              </w:rPr>
              <w:t>а</w:t>
            </w:r>
          </w:p>
        </w:tc>
        <w:tc>
          <w:tcPr>
            <w:tcW w:w="1575" w:type="dxa"/>
          </w:tcPr>
          <w:p w14:paraId="0BC48927" w14:textId="00590F6F" w:rsidR="00304265" w:rsidRPr="00304265" w:rsidRDefault="00304265" w:rsidP="00304265">
            <w:pPr>
              <w:spacing w:line="240" w:lineRule="auto"/>
              <w:rPr>
                <w:rFonts w:eastAsia="Times New Roman" w:cs="Arial"/>
                <w:b/>
                <w:bCs/>
                <w:color w:val="000000"/>
                <w:lang w:eastAsia="bg-BG"/>
              </w:rPr>
            </w:pPr>
            <w:r w:rsidRPr="00304265">
              <w:t>7,0</w:t>
            </w:r>
          </w:p>
        </w:tc>
        <w:tc>
          <w:tcPr>
            <w:tcW w:w="1576" w:type="dxa"/>
          </w:tcPr>
          <w:p w14:paraId="0DCE4C73" w14:textId="73B1C8B9" w:rsidR="00304265" w:rsidRPr="00304265" w:rsidRDefault="00304265" w:rsidP="00304265">
            <w:pPr>
              <w:spacing w:line="240" w:lineRule="auto"/>
              <w:rPr>
                <w:rFonts w:eastAsia="Times New Roman" w:cs="Arial"/>
                <w:b/>
                <w:bCs/>
                <w:color w:val="000000"/>
                <w:lang w:eastAsia="bg-BG"/>
              </w:rPr>
            </w:pPr>
            <w:r w:rsidRPr="00304265">
              <w:t>8,2</w:t>
            </w:r>
          </w:p>
        </w:tc>
        <w:tc>
          <w:tcPr>
            <w:tcW w:w="1542" w:type="dxa"/>
          </w:tcPr>
          <w:p w14:paraId="3E57A2DB" w14:textId="7BA873BA" w:rsidR="00304265" w:rsidRPr="00304265" w:rsidRDefault="00304265" w:rsidP="00304265">
            <w:pPr>
              <w:spacing w:line="240" w:lineRule="auto"/>
              <w:rPr>
                <w:rFonts w:eastAsia="Times New Roman" w:cs="Arial"/>
                <w:b/>
                <w:bCs/>
                <w:color w:val="000000"/>
                <w:lang w:eastAsia="bg-BG"/>
              </w:rPr>
            </w:pPr>
            <w:r>
              <w:t>Плацебо (</w:t>
            </w:r>
            <w:r>
              <w:rPr>
                <w:lang w:val="en-US"/>
              </w:rPr>
              <w:t>n</w:t>
            </w:r>
            <w:r w:rsidRPr="00304265">
              <w:t>=47)</w:t>
            </w:r>
            <w:r w:rsidRPr="00304265">
              <w:rPr>
                <w:vertAlign w:val="superscript"/>
                <w:lang w:val="en-US"/>
              </w:rPr>
              <w:t>b</w:t>
            </w:r>
          </w:p>
        </w:tc>
        <w:tc>
          <w:tcPr>
            <w:tcW w:w="1541" w:type="dxa"/>
          </w:tcPr>
          <w:p w14:paraId="430F858C" w14:textId="54803750" w:rsidR="00304265" w:rsidRPr="00304265" w:rsidRDefault="00304265" w:rsidP="00304265">
            <w:pPr>
              <w:spacing w:line="240" w:lineRule="auto"/>
              <w:rPr>
                <w:rFonts w:eastAsia="Times New Roman" w:cs="Arial"/>
                <w:b/>
                <w:bCs/>
                <w:color w:val="000000"/>
                <w:lang w:eastAsia="bg-BG"/>
              </w:rPr>
            </w:pPr>
            <w:r w:rsidRPr="00304265">
              <w:t>6,3</w:t>
            </w:r>
          </w:p>
        </w:tc>
        <w:tc>
          <w:tcPr>
            <w:tcW w:w="1541" w:type="dxa"/>
          </w:tcPr>
          <w:p w14:paraId="45832B78" w14:textId="55D6D5DF" w:rsidR="00304265" w:rsidRPr="00304265" w:rsidRDefault="00304265" w:rsidP="00304265">
            <w:pPr>
              <w:spacing w:line="240" w:lineRule="auto"/>
              <w:rPr>
                <w:rFonts w:eastAsia="Times New Roman" w:cs="Arial"/>
                <w:b/>
                <w:bCs/>
                <w:color w:val="000000"/>
                <w:lang w:eastAsia="bg-BG"/>
              </w:rPr>
            </w:pPr>
            <w:r w:rsidRPr="00304265">
              <w:t>7,0</w:t>
            </w:r>
          </w:p>
        </w:tc>
      </w:tr>
      <w:tr w:rsidR="00304265" w14:paraId="57C70A52" w14:textId="77777777" w:rsidTr="00304265">
        <w:tc>
          <w:tcPr>
            <w:tcW w:w="1801" w:type="dxa"/>
          </w:tcPr>
          <w:p w14:paraId="075D2700" w14:textId="066E5247" w:rsidR="00304265" w:rsidRPr="00304265" w:rsidRDefault="00304265" w:rsidP="00304265">
            <w:pPr>
              <w:spacing w:line="240" w:lineRule="auto"/>
              <w:rPr>
                <w:rFonts w:eastAsia="Times New Roman" w:cs="Arial"/>
                <w:b/>
                <w:bCs/>
                <w:color w:val="000000"/>
                <w:lang w:eastAsia="bg-BG"/>
              </w:rPr>
            </w:pPr>
            <w:r w:rsidRPr="00304265">
              <w:rPr>
                <w:b/>
                <w:bCs/>
              </w:rPr>
              <w:t>Без психиатрична коморбидност</w:t>
            </w:r>
          </w:p>
        </w:tc>
        <w:tc>
          <w:tcPr>
            <w:tcW w:w="1575" w:type="dxa"/>
          </w:tcPr>
          <w:p w14:paraId="1BADEFB6" w14:textId="51573367" w:rsidR="00304265" w:rsidRPr="00304265" w:rsidRDefault="00304265" w:rsidP="00304265">
            <w:pPr>
              <w:spacing w:line="240" w:lineRule="auto"/>
              <w:rPr>
                <w:rFonts w:eastAsia="Times New Roman" w:cs="Arial"/>
                <w:b/>
                <w:bCs/>
                <w:color w:val="000000"/>
                <w:lang w:eastAsia="bg-BG"/>
              </w:rPr>
            </w:pPr>
            <w:r w:rsidRPr="00304265">
              <w:t>4-та седмица</w:t>
            </w:r>
          </w:p>
        </w:tc>
        <w:tc>
          <w:tcPr>
            <w:tcW w:w="1576" w:type="dxa"/>
          </w:tcPr>
          <w:p w14:paraId="7AD1E23E" w14:textId="195BC672" w:rsidR="00304265" w:rsidRPr="00304265" w:rsidRDefault="00304265" w:rsidP="00304265">
            <w:pPr>
              <w:spacing w:line="240" w:lineRule="auto"/>
              <w:rPr>
                <w:rFonts w:eastAsia="Times New Roman" w:cs="Arial"/>
                <w:b/>
                <w:bCs/>
                <w:color w:val="000000"/>
                <w:lang w:eastAsia="bg-BG"/>
              </w:rPr>
            </w:pPr>
            <w:r w:rsidRPr="00304265">
              <w:t>12-та седмица</w:t>
            </w:r>
          </w:p>
        </w:tc>
        <w:tc>
          <w:tcPr>
            <w:tcW w:w="1542" w:type="dxa"/>
          </w:tcPr>
          <w:p w14:paraId="60E16F84" w14:textId="2DD7B5BD" w:rsidR="00304265" w:rsidRPr="00304265" w:rsidRDefault="00304265" w:rsidP="00304265">
            <w:pPr>
              <w:spacing w:line="240" w:lineRule="auto"/>
              <w:rPr>
                <w:rFonts w:eastAsia="Times New Roman" w:cs="Arial"/>
                <w:b/>
                <w:bCs/>
                <w:color w:val="000000"/>
                <w:lang w:eastAsia="bg-BG"/>
              </w:rPr>
            </w:pPr>
            <w:r w:rsidRPr="00304265">
              <w:rPr>
                <w:b/>
              </w:rPr>
              <w:t>Без</w:t>
            </w:r>
            <w:r w:rsidRPr="00304265">
              <w:t xml:space="preserve"> </w:t>
            </w:r>
            <w:r w:rsidRPr="00304265">
              <w:rPr>
                <w:b/>
                <w:bCs/>
                <w:lang w:val="en-US"/>
              </w:rPr>
              <w:t>ADHD</w:t>
            </w:r>
          </w:p>
        </w:tc>
        <w:tc>
          <w:tcPr>
            <w:tcW w:w="1541" w:type="dxa"/>
          </w:tcPr>
          <w:p w14:paraId="437FF2B2" w14:textId="4763D273" w:rsidR="00304265" w:rsidRPr="00304265" w:rsidRDefault="00304265" w:rsidP="00304265">
            <w:pPr>
              <w:spacing w:line="240" w:lineRule="auto"/>
              <w:rPr>
                <w:rFonts w:eastAsia="Times New Roman" w:cs="Arial"/>
                <w:b/>
                <w:bCs/>
                <w:color w:val="000000"/>
                <w:lang w:eastAsia="bg-BG"/>
              </w:rPr>
            </w:pPr>
            <w:r w:rsidRPr="00304265">
              <w:t>4-та седмица</w:t>
            </w:r>
          </w:p>
        </w:tc>
        <w:tc>
          <w:tcPr>
            <w:tcW w:w="1541" w:type="dxa"/>
          </w:tcPr>
          <w:p w14:paraId="1E8E650B" w14:textId="5B8D67DB" w:rsidR="00304265" w:rsidRPr="00304265" w:rsidRDefault="00304265" w:rsidP="00304265">
            <w:pPr>
              <w:spacing w:line="240" w:lineRule="auto"/>
              <w:rPr>
                <w:rFonts w:eastAsia="Times New Roman" w:cs="Arial"/>
                <w:b/>
                <w:bCs/>
                <w:color w:val="000000"/>
                <w:lang w:eastAsia="bg-BG"/>
              </w:rPr>
            </w:pPr>
            <w:r w:rsidRPr="00304265">
              <w:t>12-та седмица</w:t>
            </w:r>
          </w:p>
        </w:tc>
      </w:tr>
      <w:tr w:rsidR="00304265" w14:paraId="00E0067D" w14:textId="77777777" w:rsidTr="00304265">
        <w:tc>
          <w:tcPr>
            <w:tcW w:w="1801" w:type="dxa"/>
          </w:tcPr>
          <w:p w14:paraId="09E3D5E4" w14:textId="70D8B696" w:rsidR="00304265" w:rsidRPr="00304265" w:rsidRDefault="00304265" w:rsidP="00304265">
            <w:pPr>
              <w:spacing w:line="240" w:lineRule="auto"/>
              <w:rPr>
                <w:rFonts w:eastAsia="Times New Roman" w:cs="Arial"/>
                <w:b/>
                <w:bCs/>
                <w:color w:val="000000"/>
                <w:lang w:eastAsia="bg-BG"/>
              </w:rPr>
            </w:pPr>
            <w:r w:rsidRPr="00304265">
              <w:t xml:space="preserve">арипипразол 10 </w:t>
            </w:r>
            <w:r w:rsidRPr="00304265">
              <w:rPr>
                <w:lang w:val="en-US"/>
              </w:rPr>
              <w:t xml:space="preserve">mg </w:t>
            </w:r>
            <w:r w:rsidRPr="00304265">
              <w:t>(</w:t>
            </w:r>
            <w:r w:rsidRPr="00304265">
              <w:rPr>
                <w:lang w:val="en-US"/>
              </w:rPr>
              <w:t>n</w:t>
            </w:r>
            <w:r w:rsidRPr="00304265">
              <w:t>=27)</w:t>
            </w:r>
          </w:p>
        </w:tc>
        <w:tc>
          <w:tcPr>
            <w:tcW w:w="1575" w:type="dxa"/>
          </w:tcPr>
          <w:p w14:paraId="0491471A" w14:textId="44E19B04" w:rsidR="00304265" w:rsidRPr="00304265" w:rsidRDefault="00304265" w:rsidP="00304265">
            <w:pPr>
              <w:spacing w:line="240" w:lineRule="auto"/>
              <w:rPr>
                <w:rFonts w:eastAsia="Times New Roman" w:cs="Arial"/>
                <w:b/>
                <w:bCs/>
                <w:color w:val="000000"/>
                <w:lang w:eastAsia="bg-BG"/>
              </w:rPr>
            </w:pPr>
            <w:r w:rsidRPr="00304265">
              <w:t>12,8</w:t>
            </w:r>
          </w:p>
        </w:tc>
        <w:tc>
          <w:tcPr>
            <w:tcW w:w="1576" w:type="dxa"/>
          </w:tcPr>
          <w:p w14:paraId="5461578F" w14:textId="1E04D27B" w:rsidR="00304265" w:rsidRPr="00304265" w:rsidRDefault="00304265" w:rsidP="00304265">
            <w:pPr>
              <w:spacing w:line="240" w:lineRule="auto"/>
              <w:rPr>
                <w:rFonts w:eastAsia="Times New Roman" w:cs="Arial"/>
                <w:b/>
                <w:bCs/>
                <w:color w:val="000000"/>
                <w:lang w:eastAsia="bg-BG"/>
              </w:rPr>
            </w:pPr>
            <w:r w:rsidRPr="00304265">
              <w:t>15,9</w:t>
            </w:r>
          </w:p>
        </w:tc>
        <w:tc>
          <w:tcPr>
            <w:tcW w:w="1542" w:type="dxa"/>
          </w:tcPr>
          <w:p w14:paraId="3568DBBF" w14:textId="5AD633D8" w:rsidR="00304265" w:rsidRPr="00304265" w:rsidRDefault="00304265" w:rsidP="00304265">
            <w:pPr>
              <w:spacing w:line="240" w:lineRule="auto"/>
              <w:rPr>
                <w:rFonts w:eastAsia="Times New Roman" w:cs="Arial"/>
                <w:b/>
                <w:bCs/>
                <w:color w:val="000000"/>
                <w:lang w:eastAsia="bg-BG"/>
              </w:rPr>
            </w:pPr>
            <w:r w:rsidRPr="00304265">
              <w:t xml:space="preserve">арипипразол 10 </w:t>
            </w:r>
            <w:r w:rsidRPr="00304265">
              <w:rPr>
                <w:lang w:val="en-US"/>
              </w:rPr>
              <w:t xml:space="preserve">mg </w:t>
            </w:r>
            <w:r w:rsidRPr="00304265">
              <w:t>(</w:t>
            </w:r>
            <w:r w:rsidRPr="00304265">
              <w:rPr>
                <w:lang w:val="en-US"/>
              </w:rPr>
              <w:t>n</w:t>
            </w:r>
            <w:r w:rsidRPr="00304265">
              <w:t>=37)</w:t>
            </w:r>
          </w:p>
        </w:tc>
        <w:tc>
          <w:tcPr>
            <w:tcW w:w="1541" w:type="dxa"/>
          </w:tcPr>
          <w:p w14:paraId="12C2FD37" w14:textId="668FC5E6" w:rsidR="00304265" w:rsidRPr="00304265" w:rsidRDefault="00304265" w:rsidP="00304265">
            <w:pPr>
              <w:spacing w:line="240" w:lineRule="auto"/>
              <w:rPr>
                <w:rFonts w:eastAsia="Times New Roman" w:cs="Arial"/>
                <w:b/>
                <w:bCs/>
                <w:color w:val="000000"/>
                <w:lang w:eastAsia="bg-BG"/>
              </w:rPr>
            </w:pPr>
            <w:r w:rsidRPr="00304265">
              <w:t>12,7</w:t>
            </w:r>
          </w:p>
        </w:tc>
        <w:tc>
          <w:tcPr>
            <w:tcW w:w="1541" w:type="dxa"/>
          </w:tcPr>
          <w:p w14:paraId="5D78DDC0" w14:textId="34A7FFFE" w:rsidR="00304265" w:rsidRPr="00304265" w:rsidRDefault="00304265" w:rsidP="00304265">
            <w:pPr>
              <w:spacing w:line="240" w:lineRule="auto"/>
              <w:rPr>
                <w:rFonts w:eastAsia="Times New Roman" w:cs="Arial"/>
                <w:b/>
                <w:bCs/>
                <w:color w:val="000000"/>
                <w:lang w:eastAsia="bg-BG"/>
              </w:rPr>
            </w:pPr>
            <w:r w:rsidRPr="00304265">
              <w:t>15,7</w:t>
            </w:r>
          </w:p>
        </w:tc>
      </w:tr>
      <w:tr w:rsidR="00304265" w14:paraId="7675F22F" w14:textId="77777777" w:rsidTr="00304265">
        <w:tc>
          <w:tcPr>
            <w:tcW w:w="1801" w:type="dxa"/>
          </w:tcPr>
          <w:p w14:paraId="2D65A6EE" w14:textId="3A0B6CFC" w:rsidR="00304265" w:rsidRPr="00304265" w:rsidRDefault="00304265" w:rsidP="00304265">
            <w:pPr>
              <w:spacing w:line="240" w:lineRule="auto"/>
              <w:rPr>
                <w:rFonts w:eastAsia="Times New Roman" w:cs="Arial"/>
                <w:b/>
                <w:bCs/>
                <w:color w:val="000000"/>
                <w:lang w:eastAsia="bg-BG"/>
              </w:rPr>
            </w:pPr>
            <w:r w:rsidRPr="00304265">
              <w:t xml:space="preserve">арипипразол 30 </w:t>
            </w:r>
            <w:r w:rsidRPr="00304265">
              <w:rPr>
                <w:lang w:val="en-US"/>
              </w:rPr>
              <w:t xml:space="preserve">mg </w:t>
            </w:r>
            <w:r w:rsidRPr="00304265">
              <w:t>(</w:t>
            </w:r>
            <w:r w:rsidRPr="00304265">
              <w:rPr>
                <w:lang w:val="en-US"/>
              </w:rPr>
              <w:t>n</w:t>
            </w:r>
            <w:r w:rsidRPr="00304265">
              <w:t>=25)</w:t>
            </w:r>
          </w:p>
        </w:tc>
        <w:tc>
          <w:tcPr>
            <w:tcW w:w="1575" w:type="dxa"/>
          </w:tcPr>
          <w:p w14:paraId="2FC1B0CF" w14:textId="6360D124" w:rsidR="00304265" w:rsidRPr="00304265" w:rsidRDefault="00304265" w:rsidP="00304265">
            <w:pPr>
              <w:spacing w:line="240" w:lineRule="auto"/>
              <w:rPr>
                <w:rFonts w:eastAsia="Times New Roman" w:cs="Arial"/>
                <w:b/>
                <w:bCs/>
                <w:color w:val="000000"/>
                <w:lang w:eastAsia="bg-BG"/>
              </w:rPr>
            </w:pPr>
            <w:r w:rsidRPr="00304265">
              <w:t>15,3</w:t>
            </w:r>
          </w:p>
        </w:tc>
        <w:tc>
          <w:tcPr>
            <w:tcW w:w="1576" w:type="dxa"/>
          </w:tcPr>
          <w:p w14:paraId="34A8CAF5" w14:textId="14444ADE" w:rsidR="00304265" w:rsidRPr="00304265" w:rsidRDefault="00304265" w:rsidP="00304265">
            <w:pPr>
              <w:spacing w:line="240" w:lineRule="auto"/>
              <w:rPr>
                <w:rFonts w:eastAsia="Times New Roman" w:cs="Arial"/>
                <w:b/>
                <w:bCs/>
                <w:color w:val="000000"/>
                <w:lang w:eastAsia="bg-BG"/>
              </w:rPr>
            </w:pPr>
            <w:r w:rsidRPr="00304265">
              <w:t>14,7</w:t>
            </w:r>
          </w:p>
        </w:tc>
        <w:tc>
          <w:tcPr>
            <w:tcW w:w="1542" w:type="dxa"/>
          </w:tcPr>
          <w:p w14:paraId="4A7EDB5A" w14:textId="2C147B48" w:rsidR="00304265" w:rsidRPr="00304265" w:rsidRDefault="00304265" w:rsidP="00304265">
            <w:pPr>
              <w:spacing w:line="240" w:lineRule="auto"/>
              <w:rPr>
                <w:rFonts w:eastAsia="Times New Roman" w:cs="Arial"/>
                <w:b/>
                <w:bCs/>
                <w:color w:val="000000"/>
                <w:lang w:eastAsia="bg-BG"/>
              </w:rPr>
            </w:pPr>
            <w:r w:rsidRPr="00304265">
              <w:t xml:space="preserve">арипипразол 30 </w:t>
            </w:r>
            <w:r w:rsidRPr="00304265">
              <w:rPr>
                <w:lang w:val="en-US"/>
              </w:rPr>
              <w:t xml:space="preserve">mg </w:t>
            </w:r>
            <w:r w:rsidRPr="00304265">
              <w:t>(</w:t>
            </w:r>
            <w:r w:rsidRPr="00304265">
              <w:rPr>
                <w:lang w:val="en-US"/>
              </w:rPr>
              <w:t>n</w:t>
            </w:r>
            <w:r w:rsidRPr="00304265">
              <w:t>=30)</w:t>
            </w:r>
          </w:p>
        </w:tc>
        <w:tc>
          <w:tcPr>
            <w:tcW w:w="1541" w:type="dxa"/>
          </w:tcPr>
          <w:p w14:paraId="7FB1F2AE" w14:textId="28CA41FD" w:rsidR="00304265" w:rsidRPr="00304265" w:rsidRDefault="00304265" w:rsidP="00304265">
            <w:pPr>
              <w:spacing w:line="240" w:lineRule="auto"/>
              <w:rPr>
                <w:rFonts w:eastAsia="Times New Roman" w:cs="Arial"/>
                <w:b/>
                <w:bCs/>
                <w:color w:val="000000"/>
                <w:lang w:eastAsia="bg-BG"/>
              </w:rPr>
            </w:pPr>
            <w:r w:rsidRPr="00304265">
              <w:t>14,6</w:t>
            </w:r>
          </w:p>
        </w:tc>
        <w:tc>
          <w:tcPr>
            <w:tcW w:w="1541" w:type="dxa"/>
          </w:tcPr>
          <w:p w14:paraId="68B803C8" w14:textId="72524FAA" w:rsidR="00304265" w:rsidRPr="00304265" w:rsidRDefault="00304265" w:rsidP="00304265">
            <w:pPr>
              <w:spacing w:line="240" w:lineRule="auto"/>
              <w:rPr>
                <w:rFonts w:eastAsia="Times New Roman" w:cs="Arial"/>
                <w:b/>
                <w:bCs/>
                <w:color w:val="000000"/>
                <w:lang w:eastAsia="bg-BG"/>
              </w:rPr>
            </w:pPr>
            <w:r w:rsidRPr="00304265">
              <w:t>13,4</w:t>
            </w:r>
          </w:p>
        </w:tc>
      </w:tr>
      <w:tr w:rsidR="00304265" w14:paraId="1F1166B8" w14:textId="77777777" w:rsidTr="00304265">
        <w:tc>
          <w:tcPr>
            <w:tcW w:w="1801" w:type="dxa"/>
          </w:tcPr>
          <w:p w14:paraId="25D8EFCF" w14:textId="1AF8D2A2" w:rsidR="00304265" w:rsidRPr="00304265" w:rsidRDefault="00304265" w:rsidP="00304265">
            <w:pPr>
              <w:spacing w:line="240" w:lineRule="auto"/>
              <w:rPr>
                <w:rFonts w:eastAsia="Times New Roman" w:cs="Arial"/>
                <w:b/>
                <w:bCs/>
                <w:color w:val="000000"/>
                <w:lang w:eastAsia="bg-BG"/>
              </w:rPr>
            </w:pPr>
            <w:r w:rsidRPr="00304265">
              <w:t>Плацебо (</w:t>
            </w:r>
            <w:r w:rsidRPr="00304265">
              <w:rPr>
                <w:lang w:val="en-US"/>
              </w:rPr>
              <w:t>n</w:t>
            </w:r>
            <w:r w:rsidRPr="00304265">
              <w:t>=18)</w:t>
            </w:r>
          </w:p>
        </w:tc>
        <w:tc>
          <w:tcPr>
            <w:tcW w:w="1575" w:type="dxa"/>
          </w:tcPr>
          <w:p w14:paraId="0E74A00F" w14:textId="56B55C3A" w:rsidR="00304265" w:rsidRPr="00304265" w:rsidRDefault="00304265" w:rsidP="00304265">
            <w:pPr>
              <w:spacing w:line="240" w:lineRule="auto"/>
              <w:rPr>
                <w:rFonts w:eastAsia="Times New Roman" w:cs="Arial"/>
                <w:b/>
                <w:bCs/>
                <w:color w:val="000000"/>
                <w:lang w:eastAsia="bg-BG"/>
              </w:rPr>
            </w:pPr>
            <w:r w:rsidRPr="00304265">
              <w:t>9,4</w:t>
            </w:r>
          </w:p>
        </w:tc>
        <w:tc>
          <w:tcPr>
            <w:tcW w:w="1576" w:type="dxa"/>
          </w:tcPr>
          <w:p w14:paraId="2B2D1A58" w14:textId="06A012F0" w:rsidR="00304265" w:rsidRPr="00304265" w:rsidRDefault="00304265" w:rsidP="00304265">
            <w:pPr>
              <w:spacing w:line="240" w:lineRule="auto"/>
              <w:rPr>
                <w:rFonts w:eastAsia="Times New Roman" w:cs="Arial"/>
                <w:b/>
                <w:bCs/>
                <w:color w:val="000000"/>
                <w:lang w:eastAsia="bg-BG"/>
              </w:rPr>
            </w:pPr>
            <w:r w:rsidRPr="00304265">
              <w:t>9,7</w:t>
            </w:r>
          </w:p>
        </w:tc>
        <w:tc>
          <w:tcPr>
            <w:tcW w:w="1542" w:type="dxa"/>
          </w:tcPr>
          <w:p w14:paraId="7C5872F6" w14:textId="5AC714E8" w:rsidR="00304265" w:rsidRPr="00304265" w:rsidRDefault="00304265" w:rsidP="00304265">
            <w:pPr>
              <w:spacing w:line="240" w:lineRule="auto"/>
              <w:rPr>
                <w:rFonts w:eastAsia="Times New Roman" w:cs="Arial"/>
                <w:b/>
                <w:bCs/>
                <w:color w:val="000000"/>
                <w:lang w:eastAsia="bg-BG"/>
              </w:rPr>
            </w:pPr>
            <w:r w:rsidRPr="00304265">
              <w:t>Плацебо (</w:t>
            </w:r>
            <w:r w:rsidRPr="00304265">
              <w:rPr>
                <w:lang w:val="en-US"/>
              </w:rPr>
              <w:t>n</w:t>
            </w:r>
            <w:r w:rsidRPr="00304265">
              <w:t>=25)</w:t>
            </w:r>
          </w:p>
        </w:tc>
        <w:tc>
          <w:tcPr>
            <w:tcW w:w="1541" w:type="dxa"/>
          </w:tcPr>
          <w:p w14:paraId="683F5521" w14:textId="2279F4B4" w:rsidR="00304265" w:rsidRPr="00304265" w:rsidRDefault="00304265" w:rsidP="00304265">
            <w:pPr>
              <w:spacing w:line="240" w:lineRule="auto"/>
              <w:rPr>
                <w:rFonts w:eastAsia="Times New Roman" w:cs="Arial"/>
                <w:b/>
                <w:bCs/>
                <w:color w:val="000000"/>
                <w:lang w:eastAsia="bg-BG"/>
              </w:rPr>
            </w:pPr>
            <w:r w:rsidRPr="00304265">
              <w:t>9,9</w:t>
            </w:r>
          </w:p>
        </w:tc>
        <w:tc>
          <w:tcPr>
            <w:tcW w:w="1541" w:type="dxa"/>
          </w:tcPr>
          <w:p w14:paraId="60B1C64D" w14:textId="3BAD70DD" w:rsidR="00304265" w:rsidRPr="00304265" w:rsidRDefault="00304265" w:rsidP="00304265">
            <w:pPr>
              <w:spacing w:line="240" w:lineRule="auto"/>
              <w:rPr>
                <w:rFonts w:eastAsia="Times New Roman" w:cs="Arial"/>
                <w:b/>
                <w:bCs/>
                <w:color w:val="000000"/>
                <w:lang w:eastAsia="bg-BG"/>
              </w:rPr>
            </w:pPr>
            <w:r w:rsidRPr="00304265">
              <w:t>10,0</w:t>
            </w:r>
          </w:p>
        </w:tc>
      </w:tr>
    </w:tbl>
    <w:p w14:paraId="73234ADB" w14:textId="77777777" w:rsidR="00304265" w:rsidRPr="00B54088" w:rsidRDefault="00304265" w:rsidP="00304265">
      <w:pPr>
        <w:spacing w:line="240" w:lineRule="auto"/>
        <w:rPr>
          <w:rFonts w:eastAsia="Times New Roman" w:cs="Arial"/>
          <w:color w:val="000000"/>
          <w:lang w:eastAsia="bg-BG"/>
        </w:rPr>
      </w:pPr>
      <w:proofErr w:type="gramStart"/>
      <w:r w:rsidRPr="00B54088">
        <w:rPr>
          <w:rFonts w:eastAsia="Times New Roman" w:cs="Arial"/>
          <w:color w:val="000000"/>
          <w:vertAlign w:val="superscript"/>
          <w:lang w:val="en-US"/>
        </w:rPr>
        <w:t>a</w:t>
      </w:r>
      <w:r w:rsidRPr="00B54088">
        <w:rPr>
          <w:rFonts w:eastAsia="Times New Roman" w:cs="Arial"/>
          <w:color w:val="000000"/>
          <w:lang w:val="en-US"/>
        </w:rPr>
        <w:t>n</w:t>
      </w:r>
      <w:r w:rsidRPr="00B54088">
        <w:rPr>
          <w:rFonts w:eastAsia="Times New Roman" w:cs="Arial"/>
          <w:color w:val="000000"/>
          <w:lang w:eastAsia="bg-BG"/>
        </w:rPr>
        <w:t>=</w:t>
      </w:r>
      <w:proofErr w:type="gramEnd"/>
      <w:r w:rsidRPr="00B54088">
        <w:rPr>
          <w:rFonts w:eastAsia="Times New Roman" w:cs="Arial"/>
          <w:color w:val="000000"/>
          <w:lang w:eastAsia="bg-BG"/>
        </w:rPr>
        <w:t xml:space="preserve">51 на 4-та седмица </w:t>
      </w:r>
    </w:p>
    <w:p w14:paraId="66EAC2C3" w14:textId="7A06D4EC" w:rsidR="00304265" w:rsidRPr="00B54088" w:rsidRDefault="00304265" w:rsidP="00304265">
      <w:pPr>
        <w:spacing w:line="240" w:lineRule="auto"/>
        <w:rPr>
          <w:rFonts w:eastAsia="Times New Roman" w:cs="Arial"/>
        </w:rPr>
      </w:pPr>
      <w:proofErr w:type="spellStart"/>
      <w:proofErr w:type="gramStart"/>
      <w:r w:rsidRPr="00B54088">
        <w:rPr>
          <w:rFonts w:eastAsia="Times New Roman" w:cs="Arial"/>
          <w:color w:val="000000"/>
          <w:vertAlign w:val="superscript"/>
          <w:lang w:val="en-US"/>
        </w:rPr>
        <w:t>b</w:t>
      </w:r>
      <w:r w:rsidRPr="00B54088">
        <w:rPr>
          <w:rFonts w:eastAsia="Times New Roman" w:cs="Arial"/>
          <w:color w:val="000000"/>
          <w:lang w:val="en-US"/>
        </w:rPr>
        <w:t>n</w:t>
      </w:r>
      <w:proofErr w:type="spellEnd"/>
      <w:r w:rsidRPr="00B54088">
        <w:rPr>
          <w:rFonts w:eastAsia="Times New Roman" w:cs="Arial"/>
          <w:color w:val="000000"/>
          <w:lang w:eastAsia="bg-BG"/>
        </w:rPr>
        <w:t>=</w:t>
      </w:r>
      <w:proofErr w:type="gramEnd"/>
      <w:r w:rsidRPr="00B54088">
        <w:rPr>
          <w:rFonts w:eastAsia="Times New Roman" w:cs="Arial"/>
          <w:color w:val="000000"/>
          <w:lang w:eastAsia="bg-BG"/>
        </w:rPr>
        <w:t>46 на 4-та седмица</w:t>
      </w:r>
    </w:p>
    <w:p w14:paraId="71461BEE" w14:textId="77777777" w:rsidR="00304265" w:rsidRPr="00B54088" w:rsidRDefault="00304265" w:rsidP="00304265">
      <w:pPr>
        <w:spacing w:line="240" w:lineRule="auto"/>
        <w:rPr>
          <w:rFonts w:eastAsia="Times New Roman" w:cs="Arial"/>
          <w:color w:val="000000"/>
          <w:lang w:eastAsia="bg-BG"/>
        </w:rPr>
      </w:pPr>
    </w:p>
    <w:p w14:paraId="573EA195" w14:textId="2BFBADC5" w:rsidR="00304265" w:rsidRPr="00B54088" w:rsidRDefault="00304265" w:rsidP="00304265">
      <w:pPr>
        <w:spacing w:line="240" w:lineRule="auto"/>
        <w:rPr>
          <w:rFonts w:eastAsia="Times New Roman" w:cs="Arial"/>
        </w:rPr>
      </w:pPr>
      <w:r w:rsidRPr="00B54088">
        <w:rPr>
          <w:rFonts w:eastAsia="Times New Roman" w:cs="Arial"/>
          <w:color w:val="000000"/>
          <w:lang w:eastAsia="bg-BG"/>
        </w:rPr>
        <w:t xml:space="preserve">Най-честите събития свързани с лечението при пациенти приемащи 30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са екстрапирамидно нарушение (28,3%), сомнолентност (27,3%), главоболие (23,2%) и гадене (14,1%), Средното увеличение на теглото за 30 седмичен период на лечение е 2,9 </w:t>
      </w:r>
      <w:r w:rsidRPr="00B54088">
        <w:rPr>
          <w:rFonts w:eastAsia="Times New Roman" w:cs="Arial"/>
          <w:color w:val="000000"/>
          <w:lang w:val="en-US"/>
        </w:rPr>
        <w:t>kg</w:t>
      </w:r>
      <w:r w:rsidRPr="00B54088">
        <w:rPr>
          <w:rFonts w:eastAsia="Times New Roman" w:cs="Arial"/>
          <w:color w:val="000000"/>
          <w:lang w:val="ru-RU"/>
        </w:rPr>
        <w:t xml:space="preserve"> </w:t>
      </w:r>
      <w:r w:rsidRPr="00B54088">
        <w:rPr>
          <w:rFonts w:eastAsia="Times New Roman" w:cs="Arial"/>
          <w:color w:val="000000"/>
          <w:lang w:eastAsia="bg-BG"/>
        </w:rPr>
        <w:t xml:space="preserve">сравнено с 0,98 </w:t>
      </w:r>
      <w:r w:rsidRPr="00B54088">
        <w:rPr>
          <w:rFonts w:eastAsia="Times New Roman" w:cs="Arial"/>
          <w:color w:val="000000"/>
          <w:lang w:val="en-US"/>
        </w:rPr>
        <w:t>kg</w:t>
      </w:r>
      <w:r w:rsidRPr="00B54088">
        <w:rPr>
          <w:rFonts w:eastAsia="Times New Roman" w:cs="Arial"/>
          <w:color w:val="000000"/>
          <w:lang w:val="ru-RU"/>
        </w:rPr>
        <w:t xml:space="preserve"> </w:t>
      </w:r>
      <w:r w:rsidRPr="00B54088">
        <w:rPr>
          <w:rFonts w:eastAsia="Times New Roman" w:cs="Arial"/>
          <w:color w:val="000000"/>
          <w:lang w:eastAsia="bg-BG"/>
        </w:rPr>
        <w:t>при пациентите приемали плацебо.</w:t>
      </w:r>
    </w:p>
    <w:p w14:paraId="0AAE703B" w14:textId="77777777" w:rsidR="00304265" w:rsidRPr="00B54088" w:rsidRDefault="00304265" w:rsidP="00304265">
      <w:pPr>
        <w:spacing w:line="240" w:lineRule="auto"/>
        <w:rPr>
          <w:rFonts w:eastAsia="Times New Roman" w:cs="Arial"/>
          <w:i/>
          <w:iCs/>
          <w:color w:val="000000"/>
          <w:u w:val="single"/>
          <w:lang w:eastAsia="bg-BG"/>
        </w:rPr>
      </w:pPr>
    </w:p>
    <w:p w14:paraId="18C9BCCE" w14:textId="29AA7099" w:rsidR="00304265" w:rsidRPr="00B54088" w:rsidRDefault="00304265" w:rsidP="00304265">
      <w:pPr>
        <w:spacing w:line="240" w:lineRule="auto"/>
        <w:rPr>
          <w:rFonts w:eastAsia="Times New Roman" w:cs="Arial"/>
        </w:rPr>
      </w:pPr>
      <w:r w:rsidRPr="00B54088">
        <w:rPr>
          <w:rFonts w:eastAsia="Times New Roman" w:cs="Arial"/>
          <w:i/>
          <w:iCs/>
          <w:color w:val="000000"/>
          <w:u w:val="single"/>
          <w:lang w:eastAsia="bg-BG"/>
        </w:rPr>
        <w:t>Раздразнителност, свързана с аутизъм при педиатрични пациенти</w:t>
      </w:r>
      <w:r w:rsidRPr="00B54088">
        <w:rPr>
          <w:rFonts w:eastAsia="Times New Roman" w:cs="Arial"/>
          <w:color w:val="000000"/>
          <w:lang w:eastAsia="bg-BG"/>
        </w:rPr>
        <w:t xml:space="preserve"> (вж. точка 4.2)</w:t>
      </w:r>
    </w:p>
    <w:p w14:paraId="0E5CDEFD" w14:textId="77777777" w:rsidR="00304265" w:rsidRPr="00B54088" w:rsidRDefault="00304265" w:rsidP="00304265">
      <w:pPr>
        <w:spacing w:line="240" w:lineRule="auto"/>
        <w:rPr>
          <w:rFonts w:eastAsia="Times New Roman" w:cs="Arial"/>
        </w:rPr>
      </w:pPr>
      <w:r w:rsidRPr="00B54088">
        <w:rPr>
          <w:rFonts w:eastAsia="Times New Roman" w:cs="Arial"/>
          <w:color w:val="000000"/>
          <w:lang w:eastAsia="bg-BG"/>
        </w:rPr>
        <w:t xml:space="preserve">Арипипразол е проучван при пациенти на възраст от 6 до 17 години в две 8-седмични, плацебо- контролирани проучвания [едно с гъвкава доза (2-15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дневно) и едно с фиксирана доза (5,10 или 15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дневно)] и едно 52-седмично отворено проучване. Дозирането в тези проучвания е започнало с доза 2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дневно, увеличена до 5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дневно след една седмица и увеличавана с по 5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дневно всяка седмица до достигане на таргетната доза. Повече от 75% от пациентите са под 13-годишна възраст. Арипипразол е показал статистически значима по-голяма ефикасност в сравнение с плацебо по подскалата за раздразнителност </w:t>
      </w:r>
      <w:r w:rsidRPr="00B54088">
        <w:rPr>
          <w:rFonts w:eastAsia="Times New Roman" w:cs="Arial"/>
          <w:color w:val="000000"/>
          <w:lang w:val="en-US"/>
        </w:rPr>
        <w:t>Aberrant</w:t>
      </w:r>
      <w:r w:rsidRPr="00B54088">
        <w:rPr>
          <w:rFonts w:eastAsia="Times New Roman" w:cs="Arial"/>
          <w:color w:val="000000"/>
          <w:lang w:val="ru-RU"/>
        </w:rPr>
        <w:t xml:space="preserve"> </w:t>
      </w:r>
      <w:proofErr w:type="spellStart"/>
      <w:r w:rsidRPr="00B54088">
        <w:rPr>
          <w:rFonts w:eastAsia="Times New Roman" w:cs="Arial"/>
          <w:color w:val="000000"/>
          <w:lang w:val="en-US"/>
        </w:rPr>
        <w:t>Behaviour</w:t>
      </w:r>
      <w:proofErr w:type="spellEnd"/>
      <w:r w:rsidRPr="00B54088">
        <w:rPr>
          <w:rFonts w:eastAsia="Times New Roman" w:cs="Arial"/>
          <w:color w:val="000000"/>
          <w:lang w:val="ru-RU"/>
        </w:rPr>
        <w:t xml:space="preserve"> </w:t>
      </w:r>
      <w:r w:rsidRPr="00B54088">
        <w:rPr>
          <w:rFonts w:eastAsia="Times New Roman" w:cs="Arial"/>
          <w:color w:val="000000"/>
          <w:lang w:val="en-US"/>
        </w:rPr>
        <w:t>Checklist</w:t>
      </w:r>
      <w:r w:rsidRPr="00B54088">
        <w:rPr>
          <w:rFonts w:eastAsia="Times New Roman" w:cs="Arial"/>
          <w:color w:val="000000"/>
          <w:lang w:val="ru-RU"/>
        </w:rPr>
        <w:t xml:space="preserve">. </w:t>
      </w:r>
      <w:r w:rsidRPr="00B54088">
        <w:rPr>
          <w:rFonts w:eastAsia="Times New Roman" w:cs="Arial"/>
          <w:color w:val="000000"/>
          <w:lang w:eastAsia="bg-BG"/>
        </w:rPr>
        <w:t xml:space="preserve">Въпреки това, </w:t>
      </w:r>
      <w:r w:rsidRPr="00B54088">
        <w:rPr>
          <w:rFonts w:eastAsia="Times New Roman" w:cs="Arial"/>
          <w:color w:val="000000"/>
          <w:lang w:eastAsia="bg-BG"/>
        </w:rPr>
        <w:lastRenderedPageBreak/>
        <w:t>клиничната значимост на тези открития все още не е установена. Профилът на безопасност включва увеличаване на теглото и промени в нивата на пролактин.</w:t>
      </w:r>
    </w:p>
    <w:p w14:paraId="1BE35393" w14:textId="390ADDF6" w:rsidR="00304265" w:rsidRPr="00B54088" w:rsidRDefault="00304265" w:rsidP="00304265">
      <w:pPr>
        <w:spacing w:line="240" w:lineRule="auto"/>
        <w:rPr>
          <w:rFonts w:eastAsia="Times New Roman" w:cs="Arial"/>
          <w:color w:val="000000"/>
          <w:lang w:val="ru-RU" w:eastAsia="bg-BG"/>
        </w:rPr>
      </w:pPr>
      <w:r w:rsidRPr="00B54088">
        <w:rPr>
          <w:rFonts w:eastAsia="Times New Roman" w:cs="Arial"/>
          <w:color w:val="000000"/>
          <w:lang w:eastAsia="bg-BG"/>
        </w:rPr>
        <w:t xml:space="preserve">Продължителността на тези дългосрочни проучвания е ограничена до 52 седмици. В избрани проучвания, случайте на ниски нива на пролактин при индивиди от женски пол (&lt;3 </w:t>
      </w:r>
      <w:r w:rsidRPr="00B54088">
        <w:rPr>
          <w:rFonts w:eastAsia="Times New Roman" w:cs="Arial"/>
          <w:color w:val="000000"/>
          <w:lang w:val="en-US"/>
        </w:rPr>
        <w:t>ng</w:t>
      </w:r>
      <w:r w:rsidRPr="00B54088">
        <w:rPr>
          <w:rFonts w:eastAsia="Times New Roman" w:cs="Arial"/>
          <w:color w:val="000000"/>
          <w:lang w:val="ru-RU"/>
        </w:rPr>
        <w:t>/</w:t>
      </w:r>
      <w:r w:rsidRPr="00B54088">
        <w:rPr>
          <w:rFonts w:eastAsia="Times New Roman" w:cs="Arial"/>
          <w:color w:val="000000"/>
          <w:lang w:val="en-US"/>
        </w:rPr>
        <w:t>mg</w:t>
      </w:r>
      <w:r w:rsidRPr="00B54088">
        <w:rPr>
          <w:rFonts w:eastAsia="Times New Roman" w:cs="Arial"/>
          <w:color w:val="000000"/>
          <w:lang w:val="ru-RU"/>
        </w:rPr>
        <w:t>)</w:t>
      </w:r>
      <w:r w:rsidRPr="00B54088">
        <w:rPr>
          <w:rFonts w:eastAsia="Times New Roman" w:cs="Arial"/>
          <w:color w:val="000000"/>
          <w:lang w:eastAsia="bg-BG"/>
        </w:rPr>
        <w:t xml:space="preserve"> и индивиди</w:t>
      </w:r>
      <w:r w:rsidR="00B54088" w:rsidRPr="00B54088">
        <w:rPr>
          <w:rFonts w:eastAsia="Times New Roman" w:cs="Arial"/>
          <w:color w:val="000000"/>
          <w:lang w:val="ru-RU" w:eastAsia="bg-BG"/>
        </w:rPr>
        <w:t xml:space="preserve"> </w:t>
      </w:r>
      <w:r w:rsidR="00B54088" w:rsidRPr="00B54088">
        <w:rPr>
          <w:rFonts w:cs="Arial"/>
        </w:rPr>
        <w:t>от мъжки пол (&lt;2 ng</w:t>
      </w:r>
      <w:r w:rsidR="00B54088" w:rsidRPr="00B54088">
        <w:rPr>
          <w:rFonts w:cs="Arial"/>
          <w:lang w:val="ru-RU"/>
        </w:rPr>
        <w:t>/</w:t>
      </w:r>
      <w:r w:rsidR="00B54088" w:rsidRPr="00B54088">
        <w:rPr>
          <w:rFonts w:cs="Arial"/>
        </w:rPr>
        <w:t>ml</w:t>
      </w:r>
      <w:r w:rsidR="00B54088" w:rsidRPr="00B54088">
        <w:rPr>
          <w:rFonts w:cs="Arial"/>
          <w:lang w:val="ru-RU"/>
        </w:rPr>
        <w:t xml:space="preserve">) </w:t>
      </w:r>
      <w:r w:rsidR="00B54088" w:rsidRPr="00B54088">
        <w:rPr>
          <w:rFonts w:cs="Arial"/>
        </w:rPr>
        <w:t>в група на пациенти лекувани с арипипразол е съответно 27/46 (58,7%) и 258/298 (86,6%). В плацебо-контролирани проучвания, средното увеличение на теглото е 0,4 kg</w:t>
      </w:r>
      <w:r w:rsidR="00B54088" w:rsidRPr="00B54088">
        <w:rPr>
          <w:rFonts w:cs="Arial"/>
          <w:lang w:val="ru-RU"/>
        </w:rPr>
        <w:t xml:space="preserve"> </w:t>
      </w:r>
      <w:r w:rsidR="00B54088" w:rsidRPr="00B54088">
        <w:rPr>
          <w:rFonts w:cs="Arial"/>
        </w:rPr>
        <w:t>в групата на плацебо и 1,6 kg</w:t>
      </w:r>
      <w:r w:rsidR="00B54088" w:rsidRPr="00B54088">
        <w:rPr>
          <w:rFonts w:cs="Arial"/>
          <w:lang w:val="ru-RU"/>
        </w:rPr>
        <w:t xml:space="preserve"> </w:t>
      </w:r>
      <w:r w:rsidR="00B54088" w:rsidRPr="00B54088">
        <w:rPr>
          <w:rFonts w:cs="Arial"/>
        </w:rPr>
        <w:t>при арипипразол.</w:t>
      </w:r>
    </w:p>
    <w:p w14:paraId="6227572A" w14:textId="1A47DD3F" w:rsidR="00304265" w:rsidRPr="00B54088" w:rsidRDefault="00304265" w:rsidP="00304265">
      <w:pPr>
        <w:spacing w:line="240" w:lineRule="auto"/>
        <w:rPr>
          <w:rFonts w:eastAsia="Times New Roman" w:cs="Arial"/>
          <w:color w:val="000000"/>
          <w:lang w:eastAsia="bg-BG"/>
        </w:rPr>
      </w:pPr>
    </w:p>
    <w:p w14:paraId="2F9D7FDC" w14:textId="77777777" w:rsidR="00304265" w:rsidRPr="00B54088" w:rsidRDefault="00304265" w:rsidP="00304265">
      <w:pPr>
        <w:spacing w:line="240" w:lineRule="auto"/>
        <w:rPr>
          <w:rFonts w:eastAsia="Times New Roman" w:cs="Arial"/>
        </w:rPr>
      </w:pPr>
      <w:r w:rsidRPr="00B54088">
        <w:rPr>
          <w:rFonts w:eastAsia="Times New Roman" w:cs="Arial"/>
          <w:color w:val="000000"/>
          <w:lang w:eastAsia="bg-BG"/>
        </w:rPr>
        <w:t xml:space="preserve">Арипипразол също е проучван в дългосрочно поддържащо плацебо контролирано проучване. След стабилизиране с арипипразол за 13-26 седмици (2-15 </w:t>
      </w:r>
      <w:r w:rsidRPr="00B54088">
        <w:rPr>
          <w:rFonts w:eastAsia="Times New Roman" w:cs="Arial"/>
          <w:color w:val="000000"/>
          <w:lang w:val="en-US"/>
        </w:rPr>
        <w:t>mg</w:t>
      </w:r>
      <w:r w:rsidRPr="00B54088">
        <w:rPr>
          <w:rFonts w:eastAsia="Times New Roman" w:cs="Arial"/>
          <w:color w:val="000000"/>
          <w:lang w:eastAsia="bg-BG"/>
        </w:rPr>
        <w:t xml:space="preserve">/дневно), част от пациентите със стабилни показатели са останали на арипипразол, а останалите са преминали на плацебо за още 16 седмици. Честотата на рецидивите по </w:t>
      </w:r>
      <w:r w:rsidRPr="00B54088">
        <w:rPr>
          <w:rFonts w:eastAsia="Times New Roman" w:cs="Arial"/>
          <w:color w:val="000000"/>
          <w:lang w:val="en-US"/>
        </w:rPr>
        <w:t>Kaplan</w:t>
      </w:r>
      <w:r w:rsidRPr="00B54088">
        <w:rPr>
          <w:rFonts w:eastAsia="Times New Roman" w:cs="Arial"/>
          <w:color w:val="000000"/>
          <w:lang w:val="ru-RU"/>
        </w:rPr>
        <w:t>-</w:t>
      </w:r>
      <w:r w:rsidRPr="00B54088">
        <w:rPr>
          <w:rFonts w:eastAsia="Times New Roman" w:cs="Arial"/>
          <w:color w:val="000000"/>
          <w:lang w:val="en-US"/>
        </w:rPr>
        <w:t>Meier</w:t>
      </w:r>
      <w:r w:rsidRPr="00B54088">
        <w:rPr>
          <w:rFonts w:eastAsia="Times New Roman" w:cs="Arial"/>
          <w:color w:val="000000"/>
          <w:lang w:val="ru-RU"/>
        </w:rPr>
        <w:t xml:space="preserve"> </w:t>
      </w:r>
      <w:r w:rsidRPr="00B54088">
        <w:rPr>
          <w:rFonts w:eastAsia="Times New Roman" w:cs="Arial"/>
          <w:color w:val="000000"/>
          <w:lang w:eastAsia="bg-BG"/>
        </w:rPr>
        <w:t xml:space="preserve">на 16-тата седмица са 35% за арипипразол и 52% за плацебо, като коефициента на риска от рецидив за 16 седмици (арипипразол/плацебо) е 0,57 (статистически незначителна разлика). Средното увеличение на теглото след фазата на стабилизиране с арипипразол (до 26-тата седмица) е 3,2 </w:t>
      </w:r>
      <w:r w:rsidRPr="00B54088">
        <w:rPr>
          <w:rFonts w:eastAsia="Times New Roman" w:cs="Arial"/>
          <w:color w:val="000000"/>
          <w:lang w:val="en-US"/>
        </w:rPr>
        <w:t>kg</w:t>
      </w:r>
      <w:r w:rsidRPr="00B54088">
        <w:rPr>
          <w:rFonts w:eastAsia="Times New Roman" w:cs="Arial"/>
          <w:color w:val="000000"/>
          <w:lang w:val="ru-RU"/>
        </w:rPr>
        <w:t xml:space="preserve">, </w:t>
      </w:r>
      <w:r w:rsidRPr="00B54088">
        <w:rPr>
          <w:rFonts w:eastAsia="Times New Roman" w:cs="Arial"/>
          <w:color w:val="000000"/>
          <w:lang w:eastAsia="bg-BG"/>
        </w:rPr>
        <w:t xml:space="preserve">а във втората фаза на проучването (16 седмици) се наблюдава средно увеличение от 2,2 </w:t>
      </w:r>
      <w:r w:rsidRPr="00B54088">
        <w:rPr>
          <w:rFonts w:eastAsia="Times New Roman" w:cs="Arial"/>
          <w:color w:val="000000"/>
          <w:lang w:val="en-US"/>
        </w:rPr>
        <w:t>kg</w:t>
      </w:r>
      <w:r w:rsidRPr="00B54088">
        <w:rPr>
          <w:rFonts w:eastAsia="Times New Roman" w:cs="Arial"/>
          <w:color w:val="000000"/>
          <w:lang w:val="ru-RU"/>
        </w:rPr>
        <w:t xml:space="preserve"> </w:t>
      </w:r>
      <w:r w:rsidRPr="00B54088">
        <w:rPr>
          <w:rFonts w:eastAsia="Times New Roman" w:cs="Arial"/>
          <w:color w:val="000000"/>
          <w:lang w:eastAsia="bg-BG"/>
        </w:rPr>
        <w:t xml:space="preserve">за арипипразол в сравнение с 0,6 </w:t>
      </w:r>
      <w:r w:rsidRPr="00B54088">
        <w:rPr>
          <w:rFonts w:eastAsia="Times New Roman" w:cs="Arial"/>
          <w:color w:val="000000"/>
          <w:lang w:val="en-US"/>
        </w:rPr>
        <w:t>kg</w:t>
      </w:r>
      <w:r w:rsidRPr="00B54088">
        <w:rPr>
          <w:rFonts w:eastAsia="Times New Roman" w:cs="Arial"/>
          <w:color w:val="000000"/>
          <w:lang w:val="ru-RU"/>
        </w:rPr>
        <w:t xml:space="preserve"> </w:t>
      </w:r>
      <w:r w:rsidRPr="00B54088">
        <w:rPr>
          <w:rFonts w:eastAsia="Times New Roman" w:cs="Arial"/>
          <w:color w:val="000000"/>
          <w:lang w:eastAsia="bg-BG"/>
        </w:rPr>
        <w:t>за плацебо. Екстрапирамидни симптоми са съобщавани главно по време на стабилизиращата фаза при 17% от пациентите, като с тремор са 6,5%.</w:t>
      </w:r>
    </w:p>
    <w:p w14:paraId="7219FAFD" w14:textId="77777777" w:rsidR="00304265" w:rsidRPr="00B54088" w:rsidRDefault="00304265" w:rsidP="00304265">
      <w:pPr>
        <w:spacing w:line="240" w:lineRule="auto"/>
        <w:rPr>
          <w:rFonts w:eastAsia="Times New Roman" w:cs="Arial"/>
          <w:i/>
          <w:iCs/>
          <w:color w:val="000000"/>
          <w:lang w:eastAsia="bg-BG"/>
        </w:rPr>
      </w:pPr>
    </w:p>
    <w:p w14:paraId="483EE327" w14:textId="650E5684" w:rsidR="00304265" w:rsidRPr="00B54088" w:rsidRDefault="00304265" w:rsidP="00304265">
      <w:pPr>
        <w:spacing w:line="240" w:lineRule="auto"/>
        <w:rPr>
          <w:rFonts w:eastAsia="Times New Roman" w:cs="Arial"/>
        </w:rPr>
      </w:pPr>
      <w:r w:rsidRPr="00B54088">
        <w:rPr>
          <w:rFonts w:eastAsia="Times New Roman" w:cs="Arial"/>
          <w:i/>
          <w:iCs/>
          <w:color w:val="000000"/>
          <w:lang w:eastAsia="bg-BG"/>
        </w:rPr>
        <w:t xml:space="preserve">Тикове, свързани със синдрома на </w:t>
      </w:r>
      <w:r w:rsidRPr="00B54088">
        <w:rPr>
          <w:rFonts w:eastAsia="Times New Roman" w:cs="Arial"/>
          <w:i/>
          <w:iCs/>
          <w:color w:val="000000"/>
          <w:lang w:val="en-US"/>
        </w:rPr>
        <w:t>Tourette</w:t>
      </w:r>
      <w:r w:rsidRPr="00B54088">
        <w:rPr>
          <w:rFonts w:eastAsia="Times New Roman" w:cs="Arial"/>
          <w:i/>
          <w:iCs/>
          <w:color w:val="000000"/>
          <w:lang w:val="ru-RU"/>
        </w:rPr>
        <w:t xml:space="preserve"> </w:t>
      </w:r>
      <w:r w:rsidRPr="00B54088">
        <w:rPr>
          <w:rFonts w:eastAsia="Times New Roman" w:cs="Arial"/>
          <w:i/>
          <w:iCs/>
          <w:color w:val="000000"/>
          <w:lang w:eastAsia="bg-BG"/>
        </w:rPr>
        <w:t>при педиатрични пациенти (вж. точка 4.2)</w:t>
      </w:r>
    </w:p>
    <w:p w14:paraId="2F9D2CE8" w14:textId="77777777" w:rsidR="00304265" w:rsidRPr="00B54088" w:rsidRDefault="00304265" w:rsidP="00304265">
      <w:pPr>
        <w:spacing w:line="240" w:lineRule="auto"/>
        <w:rPr>
          <w:rFonts w:eastAsia="Times New Roman" w:cs="Arial"/>
        </w:rPr>
      </w:pPr>
      <w:r w:rsidRPr="00B54088">
        <w:rPr>
          <w:rFonts w:eastAsia="Times New Roman" w:cs="Arial"/>
          <w:color w:val="000000"/>
          <w:lang w:eastAsia="bg-BG"/>
        </w:rPr>
        <w:t xml:space="preserve">Ефикасността на арипипразол е проучена при педиатрични пациенти със синдром на </w:t>
      </w:r>
      <w:r w:rsidRPr="00B54088">
        <w:rPr>
          <w:rFonts w:eastAsia="Times New Roman" w:cs="Arial"/>
          <w:color w:val="000000"/>
          <w:lang w:val="en-US"/>
        </w:rPr>
        <w:t>Tourette</w:t>
      </w:r>
      <w:r w:rsidRPr="00B54088">
        <w:rPr>
          <w:rFonts w:eastAsia="Times New Roman" w:cs="Arial"/>
          <w:color w:val="000000"/>
          <w:lang w:val="ru-RU"/>
        </w:rPr>
        <w:t xml:space="preserve"> </w:t>
      </w:r>
      <w:r w:rsidRPr="00B54088">
        <w:rPr>
          <w:rFonts w:eastAsia="Times New Roman" w:cs="Arial"/>
          <w:color w:val="000000"/>
          <w:lang w:eastAsia="bg-BG"/>
        </w:rPr>
        <w:t xml:space="preserve">(арипипразол: </w:t>
      </w:r>
      <w:r w:rsidRPr="00B54088">
        <w:rPr>
          <w:rFonts w:eastAsia="Times New Roman" w:cs="Arial"/>
          <w:color w:val="000000"/>
          <w:lang w:val="en-US"/>
        </w:rPr>
        <w:t>n</w:t>
      </w:r>
      <w:r w:rsidRPr="00B54088">
        <w:rPr>
          <w:rFonts w:eastAsia="Times New Roman" w:cs="Arial"/>
          <w:color w:val="000000"/>
          <w:lang w:eastAsia="bg-BG"/>
        </w:rPr>
        <w:t xml:space="preserve">=99, плацебо: </w:t>
      </w:r>
      <w:r w:rsidRPr="00B54088">
        <w:rPr>
          <w:rFonts w:eastAsia="Times New Roman" w:cs="Arial"/>
          <w:color w:val="000000"/>
          <w:lang w:val="en-US"/>
        </w:rPr>
        <w:t>n</w:t>
      </w:r>
      <w:r w:rsidRPr="00B54088">
        <w:rPr>
          <w:rFonts w:eastAsia="Times New Roman" w:cs="Arial"/>
          <w:color w:val="000000"/>
          <w:lang w:eastAsia="bg-BG"/>
        </w:rPr>
        <w:t xml:space="preserve">=44) в едно рандомизирано, двойносляпо, плацебо-контролирано, 8- седмично проучване, използващо планова група за лечение с фиксирана доза въз основа на теглото и дозов диапазон от 5 </w:t>
      </w:r>
      <w:r w:rsidRPr="00B54088">
        <w:rPr>
          <w:rFonts w:eastAsia="Times New Roman" w:cs="Arial"/>
          <w:color w:val="000000"/>
          <w:lang w:val="en-US"/>
        </w:rPr>
        <w:t>mg</w:t>
      </w:r>
      <w:r w:rsidRPr="00B54088">
        <w:rPr>
          <w:rFonts w:eastAsia="Times New Roman" w:cs="Arial"/>
          <w:color w:val="000000"/>
          <w:lang w:eastAsia="bg-BG"/>
        </w:rPr>
        <w:t xml:space="preserve">/ден до 20 </w:t>
      </w:r>
      <w:r w:rsidRPr="00B54088">
        <w:rPr>
          <w:rFonts w:eastAsia="Times New Roman" w:cs="Arial"/>
          <w:color w:val="000000"/>
          <w:lang w:val="en-US"/>
        </w:rPr>
        <w:t>mg</w:t>
      </w:r>
      <w:r w:rsidRPr="00B54088">
        <w:rPr>
          <w:rFonts w:eastAsia="Times New Roman" w:cs="Arial"/>
          <w:color w:val="000000"/>
          <w:lang w:eastAsia="bg-BG"/>
        </w:rPr>
        <w:t xml:space="preserve">/ден при стартова доза от 2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Пациентите са на възраст от 7 до 17 години и показват средна оценка 30 по показателите за обща оценка на тиковете по Йейлската скала за обща тежест на тиковете </w:t>
      </w:r>
      <w:r w:rsidRPr="00B54088">
        <w:rPr>
          <w:rFonts w:eastAsia="Times New Roman" w:cs="Arial"/>
          <w:color w:val="000000"/>
          <w:lang w:val="ru-RU"/>
        </w:rPr>
        <w:t>(</w:t>
      </w:r>
      <w:r w:rsidRPr="00B54088">
        <w:rPr>
          <w:rFonts w:eastAsia="Times New Roman" w:cs="Arial"/>
          <w:color w:val="000000"/>
          <w:lang w:val="en-US"/>
        </w:rPr>
        <w:t>Total</w:t>
      </w:r>
      <w:r w:rsidRPr="00B54088">
        <w:rPr>
          <w:rFonts w:eastAsia="Times New Roman" w:cs="Arial"/>
          <w:color w:val="000000"/>
          <w:lang w:val="ru-RU"/>
        </w:rPr>
        <w:t xml:space="preserve"> </w:t>
      </w:r>
      <w:r w:rsidRPr="00B54088">
        <w:rPr>
          <w:rFonts w:eastAsia="Times New Roman" w:cs="Arial"/>
          <w:color w:val="000000"/>
          <w:lang w:val="en-US"/>
        </w:rPr>
        <w:t>Tic</w:t>
      </w:r>
      <w:r w:rsidRPr="00B54088">
        <w:rPr>
          <w:rFonts w:eastAsia="Times New Roman" w:cs="Arial"/>
          <w:color w:val="000000"/>
          <w:lang w:val="ru-RU"/>
        </w:rPr>
        <w:t xml:space="preserve"> </w:t>
      </w:r>
      <w:r w:rsidRPr="00B54088">
        <w:rPr>
          <w:rFonts w:eastAsia="Times New Roman" w:cs="Arial"/>
          <w:color w:val="000000"/>
          <w:lang w:val="en-US"/>
        </w:rPr>
        <w:t>Score</w:t>
      </w:r>
      <w:r w:rsidRPr="00B54088">
        <w:rPr>
          <w:rFonts w:eastAsia="Times New Roman" w:cs="Arial"/>
          <w:color w:val="000000"/>
          <w:lang w:val="ru-RU"/>
        </w:rPr>
        <w:t xml:space="preserve"> </w:t>
      </w:r>
      <w:r w:rsidRPr="00B54088">
        <w:rPr>
          <w:rFonts w:eastAsia="Times New Roman" w:cs="Arial"/>
          <w:color w:val="000000"/>
          <w:lang w:val="en-US"/>
        </w:rPr>
        <w:t>on</w:t>
      </w:r>
      <w:r w:rsidRPr="00B54088">
        <w:rPr>
          <w:rFonts w:eastAsia="Times New Roman" w:cs="Arial"/>
          <w:color w:val="000000"/>
          <w:lang w:val="ru-RU"/>
        </w:rPr>
        <w:t xml:space="preserve"> </w:t>
      </w:r>
      <w:r w:rsidRPr="00B54088">
        <w:rPr>
          <w:rFonts w:eastAsia="Times New Roman" w:cs="Arial"/>
          <w:color w:val="000000"/>
          <w:lang w:val="en-US"/>
        </w:rPr>
        <w:t>the</w:t>
      </w:r>
      <w:r w:rsidRPr="00B54088">
        <w:rPr>
          <w:rFonts w:eastAsia="Times New Roman" w:cs="Arial"/>
          <w:color w:val="000000"/>
          <w:lang w:val="ru-RU"/>
        </w:rPr>
        <w:t xml:space="preserve"> </w:t>
      </w:r>
      <w:r w:rsidRPr="00B54088">
        <w:rPr>
          <w:rFonts w:eastAsia="Times New Roman" w:cs="Arial"/>
          <w:color w:val="000000"/>
          <w:lang w:val="en-US"/>
        </w:rPr>
        <w:t>Yale</w:t>
      </w:r>
      <w:r w:rsidRPr="00B54088">
        <w:rPr>
          <w:rFonts w:eastAsia="Times New Roman" w:cs="Arial"/>
          <w:color w:val="000000"/>
          <w:lang w:val="ru-RU"/>
        </w:rPr>
        <w:t xml:space="preserve"> </w:t>
      </w:r>
      <w:r w:rsidRPr="00B54088">
        <w:rPr>
          <w:rFonts w:eastAsia="Times New Roman" w:cs="Arial"/>
          <w:color w:val="000000"/>
          <w:lang w:val="en-US"/>
        </w:rPr>
        <w:t>Global</w:t>
      </w:r>
      <w:r w:rsidRPr="00B54088">
        <w:rPr>
          <w:rFonts w:eastAsia="Times New Roman" w:cs="Arial"/>
          <w:color w:val="000000"/>
          <w:lang w:val="ru-RU"/>
        </w:rPr>
        <w:t xml:space="preserve"> </w:t>
      </w:r>
      <w:r w:rsidRPr="00B54088">
        <w:rPr>
          <w:rFonts w:eastAsia="Times New Roman" w:cs="Arial"/>
          <w:color w:val="000000"/>
          <w:lang w:val="en-US"/>
        </w:rPr>
        <w:t>Tic</w:t>
      </w:r>
      <w:r w:rsidRPr="00B54088">
        <w:rPr>
          <w:rFonts w:eastAsia="Times New Roman" w:cs="Arial"/>
          <w:color w:val="000000"/>
          <w:lang w:val="ru-RU"/>
        </w:rPr>
        <w:t xml:space="preserve"> </w:t>
      </w:r>
      <w:r w:rsidRPr="00B54088">
        <w:rPr>
          <w:rFonts w:eastAsia="Times New Roman" w:cs="Arial"/>
          <w:color w:val="000000"/>
          <w:lang w:val="en-US"/>
        </w:rPr>
        <w:t>Severity</w:t>
      </w:r>
      <w:r w:rsidRPr="00B54088">
        <w:rPr>
          <w:rFonts w:eastAsia="Times New Roman" w:cs="Arial"/>
          <w:color w:val="000000"/>
          <w:lang w:val="ru-RU"/>
        </w:rPr>
        <w:t xml:space="preserve"> </w:t>
      </w:r>
      <w:r w:rsidRPr="00B54088">
        <w:rPr>
          <w:rFonts w:eastAsia="Times New Roman" w:cs="Arial"/>
          <w:color w:val="000000"/>
          <w:lang w:val="en-US"/>
        </w:rPr>
        <w:t>Scale</w:t>
      </w:r>
      <w:r w:rsidRPr="00B54088">
        <w:rPr>
          <w:rFonts w:eastAsia="Times New Roman" w:cs="Arial"/>
          <w:color w:val="000000"/>
          <w:lang w:val="ru-RU"/>
        </w:rPr>
        <w:t xml:space="preserve">, </w:t>
      </w:r>
      <w:r w:rsidRPr="00B54088">
        <w:rPr>
          <w:rFonts w:eastAsia="Times New Roman" w:cs="Arial"/>
          <w:color w:val="000000"/>
          <w:lang w:val="en-US"/>
        </w:rPr>
        <w:t>TTS</w:t>
      </w:r>
      <w:r w:rsidRPr="00B54088">
        <w:rPr>
          <w:rFonts w:eastAsia="Times New Roman" w:cs="Arial"/>
          <w:color w:val="000000"/>
          <w:lang w:val="ru-RU"/>
        </w:rPr>
        <w:t>-</w:t>
      </w:r>
      <w:r w:rsidRPr="00B54088">
        <w:rPr>
          <w:rFonts w:eastAsia="Times New Roman" w:cs="Arial"/>
          <w:color w:val="000000"/>
          <w:lang w:val="en-US"/>
        </w:rPr>
        <w:t>YGTSS</w:t>
      </w:r>
      <w:r w:rsidRPr="00B54088">
        <w:rPr>
          <w:rFonts w:eastAsia="Times New Roman" w:cs="Arial"/>
          <w:color w:val="000000"/>
          <w:lang w:val="ru-RU"/>
        </w:rPr>
        <w:t xml:space="preserve">) </w:t>
      </w:r>
      <w:r w:rsidRPr="00B54088">
        <w:rPr>
          <w:rFonts w:eastAsia="Times New Roman" w:cs="Arial"/>
          <w:color w:val="000000"/>
          <w:lang w:eastAsia="bg-BG"/>
        </w:rPr>
        <w:t xml:space="preserve">при началното ниво. Арипипразол показа подобрение от 13,35 на показателите по скалата </w:t>
      </w:r>
      <w:r w:rsidRPr="00B54088">
        <w:rPr>
          <w:rFonts w:eastAsia="Times New Roman" w:cs="Arial"/>
          <w:color w:val="000000"/>
          <w:lang w:val="en-US"/>
        </w:rPr>
        <w:t>TTS</w:t>
      </w:r>
      <w:r w:rsidRPr="00B54088">
        <w:rPr>
          <w:rFonts w:eastAsia="Times New Roman" w:cs="Arial"/>
          <w:color w:val="000000"/>
          <w:lang w:val="ru-RU"/>
        </w:rPr>
        <w:t>-</w:t>
      </w:r>
      <w:r w:rsidRPr="00B54088">
        <w:rPr>
          <w:rFonts w:eastAsia="Times New Roman" w:cs="Arial"/>
          <w:color w:val="000000"/>
          <w:lang w:val="en-US"/>
        </w:rPr>
        <w:t>YGTSS</w:t>
      </w:r>
      <w:r w:rsidRPr="00B54088">
        <w:rPr>
          <w:rFonts w:eastAsia="Times New Roman" w:cs="Arial"/>
          <w:color w:val="000000"/>
          <w:lang w:val="ru-RU"/>
        </w:rPr>
        <w:t xml:space="preserve"> </w:t>
      </w:r>
      <w:r w:rsidRPr="00B54088">
        <w:rPr>
          <w:rFonts w:eastAsia="Times New Roman" w:cs="Arial"/>
          <w:color w:val="000000"/>
          <w:lang w:eastAsia="bg-BG"/>
        </w:rPr>
        <w:t xml:space="preserve">спрямо началото ниво до седмица 8 за групата на ниска доза (5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или 10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и 16,94 за групата на висока доза (10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или 20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в сравнение с подобрение от 7,09 при групата на плацебо.</w:t>
      </w:r>
    </w:p>
    <w:p w14:paraId="53AB48A5" w14:textId="77777777" w:rsidR="00304265" w:rsidRPr="00B54088" w:rsidRDefault="00304265" w:rsidP="00304265">
      <w:pPr>
        <w:spacing w:line="240" w:lineRule="auto"/>
        <w:rPr>
          <w:rFonts w:eastAsia="Times New Roman" w:cs="Arial"/>
          <w:color w:val="000000"/>
          <w:lang w:eastAsia="bg-BG"/>
        </w:rPr>
      </w:pPr>
    </w:p>
    <w:p w14:paraId="3BD07CAD" w14:textId="52F06741" w:rsidR="00304265" w:rsidRPr="00B54088" w:rsidRDefault="00304265" w:rsidP="00304265">
      <w:pPr>
        <w:spacing w:line="240" w:lineRule="auto"/>
        <w:rPr>
          <w:rFonts w:eastAsia="Times New Roman" w:cs="Arial"/>
        </w:rPr>
      </w:pPr>
      <w:r w:rsidRPr="00B54088">
        <w:rPr>
          <w:rFonts w:eastAsia="Times New Roman" w:cs="Arial"/>
          <w:color w:val="000000"/>
          <w:lang w:eastAsia="bg-BG"/>
        </w:rPr>
        <w:t xml:space="preserve">Ефикасността на арипипразол при педиатрични пациенти със синдром на </w:t>
      </w:r>
      <w:r w:rsidRPr="00B54088">
        <w:rPr>
          <w:rFonts w:eastAsia="Times New Roman" w:cs="Arial"/>
          <w:color w:val="000000"/>
          <w:lang w:val="en-US"/>
        </w:rPr>
        <w:t>Tourette</w:t>
      </w:r>
      <w:r w:rsidRPr="00B54088">
        <w:rPr>
          <w:rFonts w:eastAsia="Times New Roman" w:cs="Arial"/>
          <w:color w:val="000000"/>
          <w:lang w:val="ru-RU"/>
        </w:rPr>
        <w:t xml:space="preserve"> </w:t>
      </w:r>
      <w:r w:rsidRPr="00B54088">
        <w:rPr>
          <w:rFonts w:eastAsia="Times New Roman" w:cs="Arial"/>
          <w:color w:val="000000"/>
          <w:lang w:eastAsia="bg-BG"/>
        </w:rPr>
        <w:t xml:space="preserve">(арипипразол: n= 32; плацебо: </w:t>
      </w:r>
      <w:r w:rsidRPr="00B54088">
        <w:rPr>
          <w:rFonts w:eastAsia="Times New Roman" w:cs="Arial"/>
          <w:color w:val="000000"/>
          <w:lang w:val="en-US"/>
        </w:rPr>
        <w:t>n</w:t>
      </w:r>
      <w:r w:rsidRPr="00B54088">
        <w:rPr>
          <w:rFonts w:eastAsia="Times New Roman" w:cs="Arial"/>
          <w:color w:val="000000"/>
          <w:lang w:eastAsia="bg-BG"/>
        </w:rPr>
        <w:t xml:space="preserve">=29) е оценена също при гъвкав дозов диапазон от 2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до 20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на ден и стартова доза от 2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в 10-седмично рандомизирано, двойносляпо, плацебоконтролирано проучване, проведено в Южна Корея. Пациентите са на възраст от 6 до 18 години и показват средна оценка 29 по </w:t>
      </w:r>
      <w:r w:rsidRPr="00B54088">
        <w:rPr>
          <w:rFonts w:eastAsia="Times New Roman" w:cs="Arial"/>
          <w:color w:val="000000"/>
          <w:lang w:val="en-US"/>
        </w:rPr>
        <w:t>TTS</w:t>
      </w:r>
      <w:r w:rsidRPr="00B54088">
        <w:rPr>
          <w:rFonts w:eastAsia="Times New Roman" w:cs="Arial"/>
          <w:color w:val="000000"/>
          <w:lang w:val="ru-RU"/>
        </w:rPr>
        <w:t>-</w:t>
      </w:r>
      <w:r w:rsidRPr="00B54088">
        <w:rPr>
          <w:rFonts w:eastAsia="Times New Roman" w:cs="Arial"/>
          <w:color w:val="000000"/>
          <w:lang w:val="en-US"/>
        </w:rPr>
        <w:t>YGTSS</w:t>
      </w:r>
      <w:r w:rsidRPr="00B54088">
        <w:rPr>
          <w:rFonts w:eastAsia="Times New Roman" w:cs="Arial"/>
          <w:color w:val="000000"/>
          <w:lang w:val="ru-RU"/>
        </w:rPr>
        <w:t xml:space="preserve"> </w:t>
      </w:r>
      <w:r w:rsidRPr="00B54088">
        <w:rPr>
          <w:rFonts w:eastAsia="Times New Roman" w:cs="Arial"/>
          <w:color w:val="000000"/>
          <w:lang w:eastAsia="bg-BG"/>
        </w:rPr>
        <w:t xml:space="preserve">при началното ниво. Групата на арипипразол показва подобрение от 14,97 по </w:t>
      </w:r>
      <w:r w:rsidRPr="00B54088">
        <w:rPr>
          <w:rFonts w:eastAsia="Times New Roman" w:cs="Arial"/>
          <w:color w:val="000000"/>
          <w:lang w:val="en-US"/>
        </w:rPr>
        <w:t>TTS</w:t>
      </w:r>
      <w:r w:rsidRPr="00B54088">
        <w:rPr>
          <w:rFonts w:eastAsia="Times New Roman" w:cs="Arial"/>
          <w:color w:val="000000"/>
          <w:lang w:val="ru-RU"/>
        </w:rPr>
        <w:t>-</w:t>
      </w:r>
      <w:r w:rsidRPr="00B54088">
        <w:rPr>
          <w:rFonts w:eastAsia="Times New Roman" w:cs="Arial"/>
          <w:color w:val="000000"/>
          <w:lang w:val="en-US"/>
        </w:rPr>
        <w:t>YGTSS</w:t>
      </w:r>
      <w:r w:rsidRPr="00B54088">
        <w:rPr>
          <w:rFonts w:eastAsia="Times New Roman" w:cs="Arial"/>
          <w:color w:val="000000"/>
          <w:lang w:val="ru-RU"/>
        </w:rPr>
        <w:t xml:space="preserve"> </w:t>
      </w:r>
      <w:r w:rsidRPr="00B54088">
        <w:rPr>
          <w:rFonts w:eastAsia="Times New Roman" w:cs="Arial"/>
          <w:color w:val="000000"/>
          <w:lang w:eastAsia="bg-BG"/>
        </w:rPr>
        <w:t>спрямо началното ниво до седмица 10 в сравнение с подобрение от 9,62 в групата на плацебо.</w:t>
      </w:r>
    </w:p>
    <w:p w14:paraId="641A0ACD" w14:textId="77777777" w:rsidR="00B54088" w:rsidRPr="00B54088" w:rsidRDefault="00B54088" w:rsidP="00304265">
      <w:pPr>
        <w:spacing w:line="240" w:lineRule="auto"/>
        <w:rPr>
          <w:rFonts w:eastAsia="Times New Roman" w:cs="Arial"/>
          <w:color w:val="000000"/>
          <w:lang w:eastAsia="bg-BG"/>
        </w:rPr>
      </w:pPr>
    </w:p>
    <w:p w14:paraId="484BBBC2" w14:textId="0FF5CF2F" w:rsidR="00304265" w:rsidRPr="00B54088" w:rsidRDefault="00304265" w:rsidP="00304265">
      <w:pPr>
        <w:spacing w:line="240" w:lineRule="auto"/>
        <w:rPr>
          <w:rFonts w:eastAsia="Times New Roman" w:cs="Arial"/>
        </w:rPr>
      </w:pPr>
      <w:r w:rsidRPr="00B54088">
        <w:rPr>
          <w:rFonts w:eastAsia="Times New Roman" w:cs="Arial"/>
          <w:color w:val="000000"/>
          <w:lang w:eastAsia="bg-BG"/>
        </w:rPr>
        <w:t>И в двете краткосрочни изпитвания, клиничната значимост на получените данни за ефикасността не е установена, вземайки предвид степентта на лечебния ефект в сравнение с големия плацебо ефект и неясните ефекти относно психо-социалното функциониране. Липсват дългосрочни данни по отношение на ефикасността и безопасността на арипипразол при това променливо разстройство.</w:t>
      </w:r>
    </w:p>
    <w:p w14:paraId="1847A79C" w14:textId="77777777" w:rsidR="00B54088" w:rsidRPr="00B54088" w:rsidRDefault="00B54088" w:rsidP="00304265">
      <w:pPr>
        <w:spacing w:line="240" w:lineRule="auto"/>
        <w:rPr>
          <w:rFonts w:eastAsia="Times New Roman" w:cs="Arial"/>
          <w:color w:val="000000"/>
          <w:lang w:eastAsia="bg-BG"/>
        </w:rPr>
      </w:pPr>
    </w:p>
    <w:p w14:paraId="292C3C2E" w14:textId="657A27F7" w:rsidR="00304265" w:rsidRPr="00B54088" w:rsidRDefault="00304265" w:rsidP="00B54088">
      <w:pPr>
        <w:spacing w:line="240" w:lineRule="auto"/>
        <w:rPr>
          <w:rFonts w:eastAsia="Times New Roman" w:cs="Arial"/>
        </w:rPr>
      </w:pPr>
      <w:r w:rsidRPr="00B54088">
        <w:rPr>
          <w:rFonts w:eastAsia="Times New Roman" w:cs="Arial"/>
          <w:color w:val="000000"/>
          <w:lang w:eastAsia="bg-BG"/>
        </w:rPr>
        <w:t xml:space="preserve">Европейската агенция по лекарствата отлага задължението за предоставяне на резултатите от проучванията с арипипразол в една или повече подгрупи на </w:t>
      </w:r>
      <w:r w:rsidRPr="00B54088">
        <w:rPr>
          <w:rFonts w:eastAsia="Times New Roman" w:cs="Arial"/>
          <w:color w:val="000000"/>
          <w:lang w:eastAsia="bg-BG"/>
        </w:rPr>
        <w:lastRenderedPageBreak/>
        <w:t>педиатричната популация при лечението на шизофрения и биполярно афективно разстройство (вж. точка 4.2 за информация относно употреба в педиатрията).</w:t>
      </w:r>
    </w:p>
    <w:p w14:paraId="1A5C2ABD" w14:textId="77777777" w:rsidR="00B54088" w:rsidRPr="00B54088" w:rsidRDefault="00B54088" w:rsidP="00B54088">
      <w:pPr>
        <w:spacing w:line="240" w:lineRule="auto"/>
        <w:rPr>
          <w:rFonts w:ascii="Times New Roman" w:eastAsia="Times New Roman" w:hAnsi="Times New Roman" w:cs="Times New Roman"/>
        </w:rPr>
      </w:pPr>
    </w:p>
    <w:p w14:paraId="26535098" w14:textId="561D3450" w:rsidR="00395555" w:rsidRDefault="002C50EE" w:rsidP="008A6AF2">
      <w:pPr>
        <w:pStyle w:val="Heading2"/>
      </w:pPr>
      <w:r>
        <w:t>5.2. Фармакокинетични свойства</w:t>
      </w:r>
    </w:p>
    <w:p w14:paraId="396CB2BC" w14:textId="5CE05FBD" w:rsidR="00B54088" w:rsidRDefault="00B54088" w:rsidP="00B54088"/>
    <w:p w14:paraId="03FF8D30" w14:textId="77777777" w:rsidR="00B54088" w:rsidRPr="00B54088" w:rsidRDefault="00B54088" w:rsidP="00B54088">
      <w:pPr>
        <w:pStyle w:val="Heading3"/>
        <w:rPr>
          <w:rFonts w:eastAsia="Times New Roman"/>
          <w:u w:val="single"/>
        </w:rPr>
      </w:pPr>
      <w:r w:rsidRPr="00B54088">
        <w:rPr>
          <w:rFonts w:eastAsia="Times New Roman"/>
          <w:u w:val="single"/>
          <w:lang w:eastAsia="bg-BG"/>
        </w:rPr>
        <w:t>Абсорбция</w:t>
      </w:r>
    </w:p>
    <w:p w14:paraId="7DD818BD" w14:textId="77777777" w:rsidR="00B54088" w:rsidRPr="00B54088" w:rsidRDefault="00B54088" w:rsidP="00B54088">
      <w:pPr>
        <w:rPr>
          <w:sz w:val="24"/>
          <w:szCs w:val="24"/>
        </w:rPr>
      </w:pPr>
      <w:r w:rsidRPr="00B54088">
        <w:rPr>
          <w:lang w:eastAsia="bg-BG"/>
        </w:rPr>
        <w:t>Арипопразол се абсорбира добре, като пикови плазмени концентрации се постигат в рамките на 3-5 часа след приема. Арипипразол претърпява минимален пресистемен метаболизъм.</w:t>
      </w:r>
    </w:p>
    <w:p w14:paraId="663A149A" w14:textId="77777777" w:rsidR="00B54088" w:rsidRPr="00B54088" w:rsidRDefault="00B54088" w:rsidP="00B54088">
      <w:pPr>
        <w:rPr>
          <w:sz w:val="24"/>
          <w:szCs w:val="24"/>
        </w:rPr>
      </w:pPr>
      <w:r w:rsidRPr="00B54088">
        <w:rPr>
          <w:lang w:eastAsia="bg-BG"/>
        </w:rPr>
        <w:t>Абсолютната перорална бионаличност при таблетната форма е 87%. Богатата на мазнини храна не повлиява фармакокинетиката на арипипразол.</w:t>
      </w:r>
    </w:p>
    <w:p w14:paraId="532FC64C" w14:textId="77777777" w:rsidR="00B54088" w:rsidRDefault="00B54088" w:rsidP="00B54088">
      <w:pPr>
        <w:rPr>
          <w:lang w:eastAsia="bg-BG"/>
        </w:rPr>
      </w:pPr>
    </w:p>
    <w:p w14:paraId="5D354138" w14:textId="18FA3E2B" w:rsidR="00B54088" w:rsidRPr="00B54088" w:rsidRDefault="00B54088" w:rsidP="00B54088">
      <w:pPr>
        <w:pStyle w:val="Heading3"/>
        <w:rPr>
          <w:rFonts w:eastAsia="Times New Roman"/>
          <w:u w:val="single"/>
        </w:rPr>
      </w:pPr>
      <w:r w:rsidRPr="00B54088">
        <w:rPr>
          <w:rFonts w:eastAsia="Times New Roman"/>
          <w:u w:val="single"/>
          <w:lang w:eastAsia="bg-BG"/>
        </w:rPr>
        <w:t>Разпределение</w:t>
      </w:r>
    </w:p>
    <w:p w14:paraId="26C5AFA7" w14:textId="7509FAC0" w:rsidR="00B54088" w:rsidRPr="00B54088" w:rsidRDefault="00B54088" w:rsidP="00B54088">
      <w:pPr>
        <w:rPr>
          <w:lang w:val="ru-RU" w:eastAsia="bg-BG"/>
        </w:rPr>
      </w:pPr>
      <w:r w:rsidRPr="00B54088">
        <w:rPr>
          <w:lang w:eastAsia="bg-BG"/>
        </w:rPr>
        <w:t xml:space="preserve">Арипипразол се разпределя в целия организъм, като обема на разпределение е 4,9 </w:t>
      </w:r>
      <w:r w:rsidRPr="00B54088">
        <w:rPr>
          <w:lang w:val="ru-RU"/>
        </w:rPr>
        <w:t>1/</w:t>
      </w:r>
      <w:r w:rsidRPr="00B54088">
        <w:rPr>
          <w:lang w:val="en-US"/>
        </w:rPr>
        <w:t>kg</w:t>
      </w:r>
      <w:r w:rsidRPr="00B54088">
        <w:rPr>
          <w:lang w:val="ru-RU"/>
        </w:rPr>
        <w:t xml:space="preserve">, </w:t>
      </w:r>
      <w:r w:rsidRPr="00B54088">
        <w:rPr>
          <w:lang w:eastAsia="bg-BG"/>
        </w:rPr>
        <w:t>показващ екстензивното екстраваскуларно разпределение. При терапевтични концентрации, арипипразол и дехидро-арипипразол се свързват със серумните протеини, предимно с албумина, повече от 99%</w:t>
      </w:r>
      <w:r w:rsidRPr="00B54088">
        <w:rPr>
          <w:lang w:val="ru-RU" w:eastAsia="bg-BG"/>
        </w:rPr>
        <w:t>.</w:t>
      </w:r>
    </w:p>
    <w:p w14:paraId="2C876682" w14:textId="617445EB" w:rsidR="00B54088" w:rsidRDefault="00B54088" w:rsidP="00B54088">
      <w:pPr>
        <w:rPr>
          <w:lang w:eastAsia="bg-BG"/>
        </w:rPr>
      </w:pPr>
    </w:p>
    <w:p w14:paraId="6994290A" w14:textId="77777777"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Биотрансформация:</w:t>
      </w:r>
    </w:p>
    <w:p w14:paraId="73F751F3"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Арипипразол се метаболизира активно в черния дроб, чрез три биотрансформационни пътя: дехидрогениране, хидроксилиране и </w:t>
      </w:r>
      <w:r w:rsidRPr="00B54088">
        <w:rPr>
          <w:rFonts w:eastAsia="Times New Roman" w:cs="Arial"/>
          <w:color w:val="000000"/>
          <w:lang w:val="en-US"/>
        </w:rPr>
        <w:t>N</w:t>
      </w:r>
      <w:r w:rsidRPr="00B54088">
        <w:rPr>
          <w:rFonts w:eastAsia="Times New Roman" w:cs="Arial"/>
          <w:color w:val="000000"/>
          <w:lang w:eastAsia="bg-BG"/>
        </w:rPr>
        <w:t xml:space="preserve">-деалкилиране. В </w:t>
      </w:r>
      <w:r w:rsidRPr="00B54088">
        <w:rPr>
          <w:rFonts w:eastAsia="Times New Roman" w:cs="Arial"/>
          <w:i/>
          <w:iCs/>
          <w:color w:val="000000"/>
          <w:lang w:val="en-US"/>
        </w:rPr>
        <w:t>in</w:t>
      </w:r>
      <w:r w:rsidRPr="00B54088">
        <w:rPr>
          <w:rFonts w:eastAsia="Times New Roman" w:cs="Arial"/>
          <w:i/>
          <w:iCs/>
          <w:color w:val="000000"/>
          <w:lang w:val="ru-RU"/>
        </w:rPr>
        <w:t xml:space="preserve"> </w:t>
      </w:r>
      <w:r w:rsidRPr="00B54088">
        <w:rPr>
          <w:rFonts w:eastAsia="Times New Roman" w:cs="Arial"/>
          <w:i/>
          <w:iCs/>
          <w:color w:val="000000"/>
          <w:lang w:val="en-US"/>
        </w:rPr>
        <w:t>vitro</w:t>
      </w:r>
      <w:r w:rsidRPr="00B54088">
        <w:rPr>
          <w:rFonts w:eastAsia="Times New Roman" w:cs="Arial"/>
          <w:color w:val="000000"/>
          <w:lang w:val="ru-RU"/>
        </w:rPr>
        <w:t xml:space="preserve"> </w:t>
      </w:r>
      <w:r w:rsidRPr="00B54088">
        <w:rPr>
          <w:rFonts w:eastAsia="Times New Roman" w:cs="Arial"/>
          <w:color w:val="000000"/>
          <w:lang w:eastAsia="bg-BG"/>
        </w:rPr>
        <w:t xml:space="preserve">проучвания, ензимите </w:t>
      </w:r>
      <w:r w:rsidRPr="00B54088">
        <w:rPr>
          <w:rFonts w:eastAsia="Times New Roman" w:cs="Arial"/>
          <w:color w:val="000000"/>
          <w:lang w:val="en-US"/>
        </w:rPr>
        <w:t>CYP</w:t>
      </w:r>
      <w:r w:rsidRPr="00B54088">
        <w:rPr>
          <w:rFonts w:eastAsia="Times New Roman" w:cs="Arial"/>
          <w:color w:val="000000"/>
          <w:lang w:val="ru-RU"/>
        </w:rPr>
        <w:t>3</w:t>
      </w:r>
      <w:r w:rsidRPr="00B54088">
        <w:rPr>
          <w:rFonts w:eastAsia="Times New Roman" w:cs="Arial"/>
          <w:color w:val="000000"/>
          <w:lang w:val="en-US"/>
        </w:rPr>
        <w:t>A</w:t>
      </w:r>
      <w:r w:rsidRPr="00B54088">
        <w:rPr>
          <w:rFonts w:eastAsia="Times New Roman" w:cs="Arial"/>
          <w:color w:val="000000"/>
          <w:lang w:val="ru-RU"/>
        </w:rPr>
        <w:t xml:space="preserve">4 </w:t>
      </w:r>
      <w:r w:rsidRPr="00B54088">
        <w:rPr>
          <w:rFonts w:eastAsia="Times New Roman" w:cs="Arial"/>
          <w:color w:val="000000"/>
          <w:lang w:eastAsia="bg-BG"/>
        </w:rPr>
        <w:t xml:space="preserve">и </w:t>
      </w:r>
      <w:r w:rsidRPr="00B54088">
        <w:rPr>
          <w:rFonts w:eastAsia="Times New Roman" w:cs="Arial"/>
          <w:color w:val="000000"/>
          <w:lang w:val="en-US"/>
        </w:rPr>
        <w:t>CYP</w:t>
      </w:r>
      <w:r w:rsidRPr="00B54088">
        <w:rPr>
          <w:rFonts w:eastAsia="Times New Roman" w:cs="Arial"/>
          <w:color w:val="000000"/>
          <w:lang w:val="ru-RU"/>
        </w:rPr>
        <w:t>2</w:t>
      </w:r>
      <w:r w:rsidRPr="00B54088">
        <w:rPr>
          <w:rFonts w:eastAsia="Times New Roman" w:cs="Arial"/>
          <w:color w:val="000000"/>
          <w:lang w:val="en-US"/>
        </w:rPr>
        <w:t>D</w:t>
      </w:r>
      <w:r w:rsidRPr="00B54088">
        <w:rPr>
          <w:rFonts w:eastAsia="Times New Roman" w:cs="Arial"/>
          <w:color w:val="000000"/>
          <w:lang w:val="ru-RU"/>
        </w:rPr>
        <w:t xml:space="preserve">6 </w:t>
      </w:r>
      <w:r w:rsidRPr="00B54088">
        <w:rPr>
          <w:rFonts w:eastAsia="Times New Roman" w:cs="Arial"/>
          <w:color w:val="000000"/>
          <w:lang w:eastAsia="bg-BG"/>
        </w:rPr>
        <w:t xml:space="preserve">са отговорни за дехидрогенирането и хидроксилирането на арипипразол, а </w:t>
      </w:r>
      <w:r w:rsidRPr="00B54088">
        <w:rPr>
          <w:rFonts w:eastAsia="Times New Roman" w:cs="Arial"/>
          <w:color w:val="000000"/>
          <w:lang w:val="en-US"/>
        </w:rPr>
        <w:t>N</w:t>
      </w:r>
      <w:r w:rsidRPr="00B54088">
        <w:rPr>
          <w:rFonts w:eastAsia="Times New Roman" w:cs="Arial"/>
          <w:color w:val="000000"/>
          <w:lang w:eastAsia="bg-BG"/>
        </w:rPr>
        <w:t xml:space="preserve">-деалкилирането се катализира от </w:t>
      </w:r>
      <w:r w:rsidRPr="00B54088">
        <w:rPr>
          <w:rFonts w:eastAsia="Times New Roman" w:cs="Arial"/>
          <w:color w:val="000000"/>
          <w:lang w:val="en-US"/>
        </w:rPr>
        <w:t>CYP</w:t>
      </w:r>
      <w:r w:rsidRPr="00B54088">
        <w:rPr>
          <w:rFonts w:eastAsia="Times New Roman" w:cs="Arial"/>
          <w:color w:val="000000"/>
          <w:lang w:val="ru-RU"/>
        </w:rPr>
        <w:t>3</w:t>
      </w:r>
      <w:r w:rsidRPr="00B54088">
        <w:rPr>
          <w:rFonts w:eastAsia="Times New Roman" w:cs="Arial"/>
          <w:color w:val="000000"/>
          <w:lang w:val="en-US"/>
        </w:rPr>
        <w:t>A</w:t>
      </w:r>
      <w:r w:rsidRPr="00B54088">
        <w:rPr>
          <w:rFonts w:eastAsia="Times New Roman" w:cs="Arial"/>
          <w:color w:val="000000"/>
          <w:lang w:val="ru-RU"/>
        </w:rPr>
        <w:t xml:space="preserve">4. </w:t>
      </w:r>
      <w:r w:rsidRPr="00B54088">
        <w:rPr>
          <w:rFonts w:eastAsia="Times New Roman" w:cs="Arial"/>
          <w:color w:val="000000"/>
          <w:lang w:eastAsia="bg-BG"/>
        </w:rPr>
        <w:t xml:space="preserve">Арипипразол се разпределя предимно в системната циркулация. При стационарно състояние, дехидро-арипипразол, който е активен метаболит, представлява около 40% от </w:t>
      </w:r>
      <w:r w:rsidRPr="00B54088">
        <w:rPr>
          <w:rFonts w:eastAsia="Times New Roman" w:cs="Arial"/>
          <w:color w:val="000000"/>
          <w:lang w:val="en-US"/>
        </w:rPr>
        <w:t>AUC</w:t>
      </w:r>
      <w:r w:rsidRPr="00B54088">
        <w:rPr>
          <w:rFonts w:eastAsia="Times New Roman" w:cs="Arial"/>
          <w:color w:val="000000"/>
          <w:lang w:val="ru-RU"/>
        </w:rPr>
        <w:t xml:space="preserve"> </w:t>
      </w:r>
      <w:r w:rsidRPr="00B54088">
        <w:rPr>
          <w:rFonts w:eastAsia="Times New Roman" w:cs="Arial"/>
          <w:color w:val="000000"/>
          <w:lang w:eastAsia="bg-BG"/>
        </w:rPr>
        <w:t>на арипипразол в плазмата.</w:t>
      </w:r>
    </w:p>
    <w:p w14:paraId="6AF367A4" w14:textId="77777777" w:rsidR="00B54088" w:rsidRPr="00B54088" w:rsidRDefault="00B54088" w:rsidP="00B54088">
      <w:pPr>
        <w:spacing w:line="240" w:lineRule="auto"/>
        <w:rPr>
          <w:rFonts w:eastAsia="Times New Roman" w:cs="Arial"/>
          <w:color w:val="000000"/>
          <w:u w:val="single"/>
          <w:lang w:eastAsia="bg-BG"/>
        </w:rPr>
      </w:pPr>
    </w:p>
    <w:p w14:paraId="720FD800" w14:textId="0B4ED94F"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Елиминиране:</w:t>
      </w:r>
    </w:p>
    <w:p w14:paraId="64DE7A99"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Средният елиминационен полуживот на арипипразол е приблизително 75 часа при бързи метаболизатори на </w:t>
      </w:r>
      <w:r w:rsidRPr="00B54088">
        <w:rPr>
          <w:rFonts w:eastAsia="Times New Roman" w:cs="Arial"/>
          <w:color w:val="000000"/>
          <w:lang w:val="en-US"/>
        </w:rPr>
        <w:t>CYP</w:t>
      </w:r>
      <w:r w:rsidRPr="00B54088">
        <w:rPr>
          <w:rFonts w:eastAsia="Times New Roman" w:cs="Arial"/>
          <w:color w:val="000000"/>
          <w:lang w:val="ru-RU"/>
        </w:rPr>
        <w:t>2</w:t>
      </w:r>
      <w:r w:rsidRPr="00B54088">
        <w:rPr>
          <w:rFonts w:eastAsia="Times New Roman" w:cs="Arial"/>
          <w:color w:val="000000"/>
          <w:lang w:val="en-US"/>
        </w:rPr>
        <w:t>D</w:t>
      </w:r>
      <w:r w:rsidRPr="00B54088">
        <w:rPr>
          <w:rFonts w:eastAsia="Times New Roman" w:cs="Arial"/>
          <w:color w:val="000000"/>
          <w:lang w:val="ru-RU"/>
        </w:rPr>
        <w:t xml:space="preserve">6 </w:t>
      </w:r>
      <w:r w:rsidRPr="00B54088">
        <w:rPr>
          <w:rFonts w:eastAsia="Times New Roman" w:cs="Arial"/>
          <w:color w:val="000000"/>
          <w:lang w:eastAsia="bg-BG"/>
        </w:rPr>
        <w:t xml:space="preserve">и около 146 часа при бавни метаболизатори на </w:t>
      </w:r>
      <w:r w:rsidRPr="00B54088">
        <w:rPr>
          <w:rFonts w:eastAsia="Times New Roman" w:cs="Arial"/>
          <w:color w:val="000000"/>
          <w:lang w:val="en-US"/>
        </w:rPr>
        <w:t>CYP</w:t>
      </w:r>
      <w:r w:rsidRPr="00B54088">
        <w:rPr>
          <w:rFonts w:eastAsia="Times New Roman" w:cs="Arial"/>
          <w:color w:val="000000"/>
          <w:lang w:val="ru-RU"/>
        </w:rPr>
        <w:t>2</w:t>
      </w:r>
      <w:r w:rsidRPr="00B54088">
        <w:rPr>
          <w:rFonts w:eastAsia="Times New Roman" w:cs="Arial"/>
          <w:color w:val="000000"/>
          <w:lang w:val="en-US"/>
        </w:rPr>
        <w:t>D</w:t>
      </w:r>
      <w:r w:rsidRPr="00B54088">
        <w:rPr>
          <w:rFonts w:eastAsia="Times New Roman" w:cs="Arial"/>
          <w:color w:val="000000"/>
          <w:lang w:val="ru-RU"/>
        </w:rPr>
        <w:t>6.</w:t>
      </w:r>
    </w:p>
    <w:p w14:paraId="0CD63DEE" w14:textId="77777777" w:rsidR="00B54088" w:rsidRPr="00B54088" w:rsidRDefault="00B54088" w:rsidP="00B54088">
      <w:pPr>
        <w:spacing w:line="240" w:lineRule="auto"/>
        <w:rPr>
          <w:rFonts w:eastAsia="Times New Roman" w:cs="Arial"/>
          <w:color w:val="000000"/>
          <w:lang w:eastAsia="bg-BG"/>
        </w:rPr>
      </w:pPr>
    </w:p>
    <w:p w14:paraId="46123080" w14:textId="16DBE469"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Общия телесен клирънс на арипипразол е 0,7 </w:t>
      </w:r>
      <w:r w:rsidRPr="00B54088">
        <w:rPr>
          <w:rFonts w:eastAsia="Times New Roman" w:cs="Arial"/>
          <w:color w:val="000000"/>
          <w:lang w:val="en-US"/>
        </w:rPr>
        <w:t>ml</w:t>
      </w:r>
      <w:r w:rsidRPr="00B54088">
        <w:rPr>
          <w:rFonts w:eastAsia="Times New Roman" w:cs="Arial"/>
          <w:color w:val="000000"/>
          <w:lang w:val="ru-RU"/>
        </w:rPr>
        <w:t>/</w:t>
      </w:r>
      <w:r w:rsidRPr="00B54088">
        <w:rPr>
          <w:rFonts w:eastAsia="Times New Roman" w:cs="Arial"/>
          <w:color w:val="000000"/>
          <w:lang w:val="en-US"/>
        </w:rPr>
        <w:t>min</w:t>
      </w:r>
      <w:r w:rsidRPr="00B54088">
        <w:rPr>
          <w:rFonts w:eastAsia="Times New Roman" w:cs="Arial"/>
          <w:color w:val="000000"/>
          <w:lang w:val="ru-RU"/>
        </w:rPr>
        <w:t>/</w:t>
      </w:r>
      <w:r w:rsidRPr="00B54088">
        <w:rPr>
          <w:rFonts w:eastAsia="Times New Roman" w:cs="Arial"/>
          <w:color w:val="000000"/>
          <w:lang w:val="en-US"/>
        </w:rPr>
        <w:t>kg</w:t>
      </w:r>
      <w:r w:rsidRPr="00B54088">
        <w:rPr>
          <w:rFonts w:eastAsia="Times New Roman" w:cs="Arial"/>
          <w:color w:val="000000"/>
          <w:lang w:val="ru-RU"/>
        </w:rPr>
        <w:t xml:space="preserve">, </w:t>
      </w:r>
      <w:r w:rsidRPr="00B54088">
        <w:rPr>
          <w:rFonts w:eastAsia="Times New Roman" w:cs="Arial"/>
          <w:color w:val="000000"/>
          <w:lang w:eastAsia="bg-BG"/>
        </w:rPr>
        <w:t>като той е предимно чернодробен.</w:t>
      </w:r>
    </w:p>
    <w:p w14:paraId="6BB59805" w14:textId="77777777" w:rsidR="00B54088" w:rsidRPr="00B54088" w:rsidRDefault="00B54088" w:rsidP="00B54088">
      <w:pPr>
        <w:spacing w:line="240" w:lineRule="auto"/>
        <w:rPr>
          <w:rFonts w:eastAsia="Times New Roman" w:cs="Arial"/>
          <w:color w:val="000000"/>
          <w:lang w:eastAsia="bg-BG"/>
        </w:rPr>
      </w:pPr>
    </w:p>
    <w:p w14:paraId="42DB6E13" w14:textId="12128644" w:rsidR="00B54088" w:rsidRPr="00B54088" w:rsidRDefault="00B54088" w:rsidP="00B54088">
      <w:pPr>
        <w:spacing w:line="240" w:lineRule="auto"/>
        <w:rPr>
          <w:rFonts w:eastAsia="Times New Roman" w:cs="Arial"/>
        </w:rPr>
      </w:pPr>
      <w:r w:rsidRPr="00B54088">
        <w:rPr>
          <w:rFonts w:eastAsia="Times New Roman" w:cs="Arial"/>
          <w:color w:val="000000"/>
          <w:lang w:eastAsia="bg-BG"/>
        </w:rPr>
        <w:t>След еднократна перорална доза [</w:t>
      </w:r>
      <w:r w:rsidRPr="00B54088">
        <w:rPr>
          <w:rFonts w:eastAsia="Times New Roman" w:cs="Arial"/>
          <w:color w:val="000000"/>
          <w:vertAlign w:val="superscript"/>
          <w:lang w:eastAsia="bg-BG"/>
        </w:rPr>
        <w:t>14</w:t>
      </w:r>
      <w:r w:rsidRPr="00B54088">
        <w:rPr>
          <w:rFonts w:eastAsia="Times New Roman" w:cs="Arial"/>
          <w:color w:val="000000"/>
          <w:lang w:eastAsia="bg-BG"/>
        </w:rPr>
        <w:t>С]-маркиран арипипразол, около 27% от приетата радиоактивност се открива в урината, а около 60% в изпражненията. По-малко от 1 % от непроменения арипипразол се екскретира с урината, а 18% се откриват в изпражненията в непроменен вид.</w:t>
      </w:r>
    </w:p>
    <w:p w14:paraId="4F22C709" w14:textId="77777777" w:rsidR="00B54088" w:rsidRPr="00B54088" w:rsidRDefault="00B54088" w:rsidP="00B54088">
      <w:pPr>
        <w:spacing w:line="240" w:lineRule="auto"/>
        <w:rPr>
          <w:rFonts w:eastAsia="Times New Roman" w:cs="Arial"/>
          <w:i/>
          <w:iCs/>
          <w:color w:val="000000"/>
          <w:lang w:eastAsia="bg-BG"/>
        </w:rPr>
      </w:pPr>
    </w:p>
    <w:p w14:paraId="771AA4FE" w14:textId="70177650" w:rsidR="00B54088" w:rsidRPr="00B54088" w:rsidRDefault="00B54088" w:rsidP="00B54088">
      <w:pPr>
        <w:spacing w:line="240" w:lineRule="auto"/>
        <w:rPr>
          <w:rFonts w:eastAsia="Times New Roman" w:cs="Arial"/>
        </w:rPr>
      </w:pPr>
      <w:r w:rsidRPr="00B54088">
        <w:rPr>
          <w:rFonts w:eastAsia="Times New Roman" w:cs="Arial"/>
          <w:i/>
          <w:iCs/>
          <w:color w:val="000000"/>
          <w:lang w:eastAsia="bg-BG"/>
        </w:rPr>
        <w:t>Фармакокинетика при специални групи пациенти</w:t>
      </w:r>
    </w:p>
    <w:p w14:paraId="04168C77" w14:textId="77777777" w:rsidR="00B54088" w:rsidRPr="00B54088" w:rsidRDefault="00B54088" w:rsidP="00B54088">
      <w:pPr>
        <w:spacing w:line="240" w:lineRule="auto"/>
        <w:rPr>
          <w:rFonts w:eastAsia="Times New Roman" w:cs="Arial"/>
          <w:color w:val="000000"/>
          <w:u w:val="single"/>
          <w:lang w:eastAsia="bg-BG"/>
        </w:rPr>
      </w:pPr>
    </w:p>
    <w:p w14:paraId="54389929" w14:textId="3095F64C"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Педиатрична популация:</w:t>
      </w:r>
    </w:p>
    <w:p w14:paraId="1A58A186"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Фармакокинетиката на пероралния арипипразол и дехидро-арипипразол при педиатрични пациенти на възраст от 13 до 17 години е подобна на тази при възрастни пациенти след коригиране на разликата в телесното тегло.</w:t>
      </w:r>
    </w:p>
    <w:p w14:paraId="518F1AA8" w14:textId="77777777" w:rsidR="00B54088" w:rsidRPr="00B54088" w:rsidRDefault="00B54088" w:rsidP="00B54088">
      <w:pPr>
        <w:spacing w:line="240" w:lineRule="auto"/>
        <w:rPr>
          <w:rFonts w:eastAsia="Times New Roman" w:cs="Arial"/>
          <w:color w:val="000000"/>
          <w:u w:val="single"/>
          <w:lang w:eastAsia="bg-BG"/>
        </w:rPr>
      </w:pPr>
    </w:p>
    <w:p w14:paraId="55394D2C" w14:textId="043A745F"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Пациенти в старческа възраст:</w:t>
      </w:r>
    </w:p>
    <w:p w14:paraId="1252735E"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Не са установени различия във фармакокинетиката на арипипразол при здрави доброволци в старческа възраст и по-млади индивиди, както и някакви забележими </w:t>
      </w:r>
      <w:r w:rsidRPr="00B54088">
        <w:rPr>
          <w:rFonts w:eastAsia="Times New Roman" w:cs="Arial"/>
          <w:color w:val="000000"/>
          <w:lang w:eastAsia="bg-BG"/>
        </w:rPr>
        <w:lastRenderedPageBreak/>
        <w:t>ефекти на възрастта при популационния фармакокинетичен анализ на пациентите с шизофрения.</w:t>
      </w:r>
    </w:p>
    <w:p w14:paraId="322AD7CA" w14:textId="77777777" w:rsidR="00B54088" w:rsidRPr="00B54088" w:rsidRDefault="00B54088" w:rsidP="00B54088">
      <w:pPr>
        <w:spacing w:line="240" w:lineRule="auto"/>
        <w:rPr>
          <w:rFonts w:eastAsia="Times New Roman" w:cs="Arial"/>
          <w:color w:val="000000"/>
          <w:u w:val="single"/>
          <w:lang w:eastAsia="bg-BG"/>
        </w:rPr>
      </w:pPr>
    </w:p>
    <w:p w14:paraId="0020A396" w14:textId="79FE7712"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Пол:</w:t>
      </w:r>
    </w:p>
    <w:p w14:paraId="7F305B13" w14:textId="107CF001" w:rsidR="00B54088" w:rsidRPr="00B54088" w:rsidRDefault="00B54088" w:rsidP="00B54088">
      <w:pPr>
        <w:spacing w:line="240" w:lineRule="auto"/>
        <w:rPr>
          <w:rFonts w:eastAsia="Times New Roman" w:cs="Arial"/>
          <w:color w:val="000000"/>
          <w:lang w:eastAsia="bg-BG"/>
        </w:rPr>
      </w:pPr>
      <w:r w:rsidRPr="00B54088">
        <w:rPr>
          <w:rFonts w:eastAsia="Times New Roman" w:cs="Arial"/>
          <w:color w:val="000000"/>
          <w:lang w:eastAsia="bg-BG"/>
        </w:rPr>
        <w:t>Не са установени различия във фармакокинетиката на арипипразол при здрави мъже и жени, както и някакви забележими ефекти на пола при популационния фармакокинетичен анализ на пациентите с шизофрения.</w:t>
      </w:r>
    </w:p>
    <w:p w14:paraId="14ACE1EC" w14:textId="77777777" w:rsidR="00B54088" w:rsidRPr="00B54088" w:rsidRDefault="00B54088" w:rsidP="00B54088">
      <w:pPr>
        <w:spacing w:line="240" w:lineRule="auto"/>
        <w:rPr>
          <w:rFonts w:eastAsia="Times New Roman" w:cs="Arial"/>
          <w:color w:val="000000"/>
          <w:u w:val="single"/>
          <w:lang w:eastAsia="bg-BG"/>
        </w:rPr>
      </w:pPr>
    </w:p>
    <w:p w14:paraId="7D22E0D6" w14:textId="240FFEC0"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Пушене и етнически фактори:</w:t>
      </w:r>
    </w:p>
    <w:p w14:paraId="3E186069"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Популационната фармакокинетична оценка не е установила клинично значими свързани с расата или пушенето различия във фармакокинетиката на арипипразол.</w:t>
      </w:r>
    </w:p>
    <w:p w14:paraId="3249FA1B" w14:textId="77777777" w:rsidR="00B54088" w:rsidRPr="00B54088" w:rsidRDefault="00B54088" w:rsidP="00B54088">
      <w:pPr>
        <w:spacing w:line="240" w:lineRule="auto"/>
        <w:rPr>
          <w:rFonts w:eastAsia="Times New Roman" w:cs="Arial"/>
          <w:color w:val="000000"/>
          <w:u w:val="single"/>
          <w:lang w:eastAsia="bg-BG"/>
        </w:rPr>
      </w:pPr>
    </w:p>
    <w:p w14:paraId="483780EC" w14:textId="4C8F58AE"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Бъбречно увреждане:</w:t>
      </w:r>
    </w:p>
    <w:p w14:paraId="1459C357"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Установено е, че фармакокинетичните свойства на арипипразол и дехидро-арипипразол при пациенти с тежко бъбречно заболяване са сходни с тези при млади здрави индивиди.</w:t>
      </w:r>
    </w:p>
    <w:p w14:paraId="4B3F0AD5" w14:textId="77777777" w:rsidR="00B54088" w:rsidRPr="00B54088" w:rsidRDefault="00B54088" w:rsidP="00B54088">
      <w:pPr>
        <w:spacing w:line="240" w:lineRule="auto"/>
        <w:rPr>
          <w:rFonts w:eastAsia="Times New Roman" w:cs="Arial"/>
          <w:color w:val="000000"/>
          <w:u w:val="single"/>
          <w:lang w:eastAsia="bg-BG"/>
        </w:rPr>
      </w:pPr>
    </w:p>
    <w:p w14:paraId="52A79FC5" w14:textId="30A529BD" w:rsidR="00B54088" w:rsidRPr="00B54088" w:rsidRDefault="00B54088" w:rsidP="00B54088">
      <w:pPr>
        <w:spacing w:line="240" w:lineRule="auto"/>
        <w:rPr>
          <w:rFonts w:eastAsia="Times New Roman" w:cs="Arial"/>
        </w:rPr>
      </w:pPr>
      <w:r w:rsidRPr="00B54088">
        <w:rPr>
          <w:rFonts w:eastAsia="Times New Roman" w:cs="Arial"/>
          <w:color w:val="000000"/>
          <w:u w:val="single"/>
          <w:lang w:eastAsia="bg-BG"/>
        </w:rPr>
        <w:t>Чернодробно увреждане:</w:t>
      </w:r>
    </w:p>
    <w:p w14:paraId="03A92721"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При проучване с еднократна доза, при пациенти с различна степен на чернодробна цироза </w:t>
      </w:r>
      <w:r w:rsidRPr="00B54088">
        <w:rPr>
          <w:rFonts w:eastAsia="Times New Roman" w:cs="Arial"/>
          <w:color w:val="000000"/>
          <w:lang w:val="ru-RU"/>
        </w:rPr>
        <w:t>(</w:t>
      </w:r>
      <w:r w:rsidRPr="00B54088">
        <w:rPr>
          <w:rFonts w:eastAsia="Times New Roman" w:cs="Arial"/>
          <w:color w:val="000000"/>
          <w:lang w:val="en-US"/>
        </w:rPr>
        <w:t>Child</w:t>
      </w:r>
      <w:r w:rsidRPr="00B54088">
        <w:rPr>
          <w:rFonts w:eastAsia="Times New Roman" w:cs="Arial"/>
          <w:color w:val="000000"/>
          <w:lang w:val="ru-RU"/>
        </w:rPr>
        <w:t>-</w:t>
      </w:r>
      <w:r w:rsidRPr="00B54088">
        <w:rPr>
          <w:rFonts w:eastAsia="Times New Roman" w:cs="Arial"/>
          <w:color w:val="000000"/>
          <w:lang w:val="en-US"/>
        </w:rPr>
        <w:t>Pugh</w:t>
      </w:r>
      <w:r w:rsidRPr="00B54088">
        <w:rPr>
          <w:rFonts w:eastAsia="Times New Roman" w:cs="Arial"/>
          <w:color w:val="000000"/>
          <w:lang w:val="ru-RU"/>
        </w:rPr>
        <w:t xml:space="preserve"> </w:t>
      </w:r>
      <w:r w:rsidRPr="00B54088">
        <w:rPr>
          <w:rFonts w:eastAsia="Times New Roman" w:cs="Arial"/>
          <w:color w:val="000000"/>
          <w:lang w:val="en-US"/>
        </w:rPr>
        <w:t>Classes</w:t>
      </w:r>
      <w:r w:rsidRPr="00B54088">
        <w:rPr>
          <w:rFonts w:eastAsia="Times New Roman" w:cs="Arial"/>
          <w:color w:val="000000"/>
          <w:lang w:val="ru-RU"/>
        </w:rPr>
        <w:t xml:space="preserve"> </w:t>
      </w:r>
      <w:r w:rsidRPr="00B54088">
        <w:rPr>
          <w:rFonts w:eastAsia="Times New Roman" w:cs="Arial"/>
          <w:color w:val="000000"/>
          <w:lang w:eastAsia="bg-BG"/>
        </w:rPr>
        <w:t xml:space="preserve">А, В, </w:t>
      </w:r>
      <w:r w:rsidRPr="00B54088">
        <w:rPr>
          <w:rFonts w:eastAsia="Times New Roman" w:cs="Arial"/>
          <w:color w:val="000000"/>
          <w:lang w:val="en-US"/>
        </w:rPr>
        <w:t>and</w:t>
      </w:r>
      <w:r w:rsidRPr="00B54088">
        <w:rPr>
          <w:rFonts w:eastAsia="Times New Roman" w:cs="Arial"/>
          <w:color w:val="000000"/>
          <w:lang w:val="ru-RU"/>
        </w:rPr>
        <w:t xml:space="preserve"> </w:t>
      </w:r>
      <w:r w:rsidRPr="00B54088">
        <w:rPr>
          <w:rFonts w:eastAsia="Times New Roman" w:cs="Arial"/>
          <w:color w:val="000000"/>
          <w:lang w:eastAsia="bg-BG"/>
        </w:rPr>
        <w:t>С) не е установен значителен ефект на чернодробното увреждане върху фармакокинетиката на арипипразол и дехидро-арипипразол, но в проучването са били включени само 3 пациента с клас С чернодробна цироза, което е недостатъчно за правенето на заключение относно техния метаболитен капацитет.</w:t>
      </w:r>
    </w:p>
    <w:p w14:paraId="737246E4" w14:textId="02169789" w:rsidR="00B54088" w:rsidRPr="00B54088" w:rsidRDefault="00B54088" w:rsidP="00B54088"/>
    <w:p w14:paraId="028E658A" w14:textId="37C01C3E" w:rsidR="00395555" w:rsidRDefault="002C50EE" w:rsidP="008A6AF2">
      <w:pPr>
        <w:pStyle w:val="Heading2"/>
      </w:pPr>
      <w:r>
        <w:t>5.3. Предклинични данни за безопасност</w:t>
      </w:r>
    </w:p>
    <w:p w14:paraId="60083637" w14:textId="3614B598" w:rsidR="00B54088" w:rsidRDefault="00B54088" w:rsidP="00B54088"/>
    <w:p w14:paraId="23056B61" w14:textId="77777777" w:rsidR="00B54088" w:rsidRPr="00B54088" w:rsidRDefault="00B54088" w:rsidP="00B54088">
      <w:pPr>
        <w:rPr>
          <w:rFonts w:cs="Arial"/>
          <w:sz w:val="24"/>
          <w:szCs w:val="24"/>
        </w:rPr>
      </w:pPr>
      <w:r w:rsidRPr="00B54088">
        <w:rPr>
          <w:rFonts w:cs="Arial"/>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 репродуктивна токсичност и токсичност за развитието.</w:t>
      </w:r>
    </w:p>
    <w:p w14:paraId="53876B59" w14:textId="21F53531" w:rsidR="00B54088" w:rsidRPr="00B54088" w:rsidRDefault="00B54088" w:rsidP="00B54088">
      <w:pPr>
        <w:rPr>
          <w:rFonts w:cs="Arial"/>
        </w:rPr>
      </w:pPr>
    </w:p>
    <w:p w14:paraId="33FBC7ED" w14:textId="77777777"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Значими токсикологични ефекти са наблюдавани единствено при дози или експозиция, превишаващи значително максималната доза или експозиция при човека, което показва, че тези ефекти са ограничени или не са свързани с клиничното приложение. Те включват: дозо-зависима адреноксртикална течност (липофусцин пигментно акумулиране и/или загуба на паренхимни клетки) при плъхове, при 104- седмично приложение на дози от 20 до 60 </w:t>
      </w:r>
      <w:r w:rsidRPr="00B54088">
        <w:rPr>
          <w:rFonts w:eastAsia="Times New Roman" w:cs="Arial"/>
          <w:color w:val="000000"/>
          <w:lang w:val="en-US"/>
        </w:rPr>
        <w:t>mg</w:t>
      </w:r>
      <w:r w:rsidRPr="00B54088">
        <w:rPr>
          <w:rFonts w:eastAsia="Times New Roman" w:cs="Arial"/>
          <w:color w:val="000000"/>
          <w:lang w:val="ru-RU"/>
        </w:rPr>
        <w:t>/</w:t>
      </w:r>
      <w:r w:rsidRPr="00B54088">
        <w:rPr>
          <w:rFonts w:eastAsia="Times New Roman" w:cs="Arial"/>
          <w:color w:val="000000"/>
          <w:lang w:val="en-US"/>
        </w:rPr>
        <w:t>kg</w:t>
      </w:r>
      <w:r w:rsidRPr="00B54088">
        <w:rPr>
          <w:rFonts w:eastAsia="Times New Roman" w:cs="Arial"/>
          <w:color w:val="000000"/>
          <w:lang w:eastAsia="bg-BG"/>
        </w:rPr>
        <w:t xml:space="preserve">/дневно (3 до 10 пъти спрямо средната стационарна </w:t>
      </w:r>
      <w:r w:rsidRPr="00B54088">
        <w:rPr>
          <w:rFonts w:eastAsia="Times New Roman" w:cs="Arial"/>
          <w:color w:val="000000"/>
          <w:lang w:val="en-US"/>
        </w:rPr>
        <w:t>AUC</w:t>
      </w:r>
      <w:r w:rsidRPr="00B54088">
        <w:rPr>
          <w:rFonts w:eastAsia="Times New Roman" w:cs="Arial"/>
          <w:color w:val="000000"/>
          <w:lang w:val="ru-RU"/>
        </w:rPr>
        <w:t xml:space="preserve"> </w:t>
      </w:r>
      <w:r w:rsidRPr="00B54088">
        <w:rPr>
          <w:rFonts w:eastAsia="Times New Roman" w:cs="Arial"/>
          <w:color w:val="000000"/>
          <w:lang w:eastAsia="bg-BG"/>
        </w:rPr>
        <w:t xml:space="preserve">при максималната препоръчана доза при човек) и повишаване честотата на адренокортикалните карциноми и комбинираните адренокортикални аденоми/карциноми при женски плъхове, при доза 60 </w:t>
      </w:r>
      <w:r w:rsidRPr="00B54088">
        <w:rPr>
          <w:rFonts w:eastAsia="Times New Roman" w:cs="Arial"/>
          <w:color w:val="000000"/>
          <w:lang w:val="en-US"/>
        </w:rPr>
        <w:t>mg</w:t>
      </w:r>
      <w:r w:rsidRPr="00B54088">
        <w:rPr>
          <w:rFonts w:eastAsia="Times New Roman" w:cs="Arial"/>
          <w:color w:val="000000"/>
          <w:lang w:val="ru-RU"/>
        </w:rPr>
        <w:t>/</w:t>
      </w:r>
      <w:r w:rsidRPr="00B54088">
        <w:rPr>
          <w:rFonts w:eastAsia="Times New Roman" w:cs="Arial"/>
          <w:color w:val="000000"/>
          <w:lang w:val="en-US"/>
        </w:rPr>
        <w:t>kg</w:t>
      </w:r>
      <w:r w:rsidRPr="00B54088">
        <w:rPr>
          <w:rFonts w:eastAsia="Times New Roman" w:cs="Arial"/>
          <w:color w:val="000000"/>
          <w:lang w:eastAsia="bg-BG"/>
        </w:rPr>
        <w:t xml:space="preserve">/дневно (10 пъти спрямо средна стационарна </w:t>
      </w:r>
      <w:r w:rsidRPr="00B54088">
        <w:rPr>
          <w:rFonts w:eastAsia="Times New Roman" w:cs="Arial"/>
          <w:color w:val="000000"/>
          <w:lang w:val="en-US"/>
        </w:rPr>
        <w:t>AUC</w:t>
      </w:r>
      <w:r w:rsidRPr="00B54088">
        <w:rPr>
          <w:rFonts w:eastAsia="Times New Roman" w:cs="Arial"/>
          <w:color w:val="000000"/>
          <w:lang w:val="ru-RU"/>
        </w:rPr>
        <w:t xml:space="preserve"> </w:t>
      </w:r>
      <w:r w:rsidRPr="00B54088">
        <w:rPr>
          <w:rFonts w:eastAsia="Times New Roman" w:cs="Arial"/>
          <w:color w:val="000000"/>
          <w:lang w:eastAsia="bg-BG"/>
        </w:rPr>
        <w:t>при максималната препоръчана доза при човек). Най-високата нетуморогенна експозиция при женски плъхове е надвишавала 7 пъти експозицията на препоръчаната доза при хора.</w:t>
      </w:r>
    </w:p>
    <w:p w14:paraId="4FD57C60" w14:textId="77777777" w:rsidR="00B54088" w:rsidRPr="00B54088" w:rsidRDefault="00B54088" w:rsidP="00B54088">
      <w:pPr>
        <w:spacing w:line="240" w:lineRule="auto"/>
        <w:rPr>
          <w:rFonts w:eastAsia="Times New Roman" w:cs="Arial"/>
          <w:color w:val="000000"/>
          <w:lang w:eastAsia="bg-BG"/>
        </w:rPr>
      </w:pPr>
    </w:p>
    <w:p w14:paraId="5D3194C8" w14:textId="7AC0C1BD"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Допълнително е наблюдавана и холелетиаза в резултат на преципитиране на сулфатните конюгати на хидроксилираните метаболити на арипипразол в жлъчката на маймуни след многократни перорални дози от 25 до 125 </w:t>
      </w:r>
      <w:r w:rsidRPr="00B54088">
        <w:rPr>
          <w:rFonts w:eastAsia="Times New Roman" w:cs="Arial"/>
          <w:color w:val="000000"/>
          <w:lang w:val="en-US"/>
        </w:rPr>
        <w:t>mg</w:t>
      </w:r>
      <w:r w:rsidRPr="00B54088">
        <w:rPr>
          <w:rFonts w:eastAsia="Times New Roman" w:cs="Arial"/>
          <w:color w:val="000000"/>
          <w:lang w:val="ru-RU"/>
        </w:rPr>
        <w:t>/</w:t>
      </w:r>
      <w:r w:rsidRPr="00B54088">
        <w:rPr>
          <w:rFonts w:eastAsia="Times New Roman" w:cs="Arial"/>
          <w:color w:val="000000"/>
          <w:lang w:val="en-US"/>
        </w:rPr>
        <w:t>kg</w:t>
      </w:r>
      <w:r w:rsidRPr="00B54088">
        <w:rPr>
          <w:rFonts w:eastAsia="Times New Roman" w:cs="Arial"/>
          <w:color w:val="000000"/>
          <w:lang w:eastAsia="bg-BG"/>
        </w:rPr>
        <w:t xml:space="preserve">/дневно (1 до 3 пъти спрямо средна стационарна </w:t>
      </w:r>
      <w:r w:rsidRPr="00B54088">
        <w:rPr>
          <w:rFonts w:eastAsia="Times New Roman" w:cs="Arial"/>
          <w:color w:val="000000"/>
          <w:lang w:val="en-US"/>
        </w:rPr>
        <w:t>AUC</w:t>
      </w:r>
      <w:r w:rsidRPr="00B54088">
        <w:rPr>
          <w:rFonts w:eastAsia="Times New Roman" w:cs="Arial"/>
          <w:color w:val="000000"/>
          <w:lang w:val="ru-RU"/>
        </w:rPr>
        <w:t xml:space="preserve"> </w:t>
      </w:r>
      <w:r w:rsidRPr="00B54088">
        <w:rPr>
          <w:rFonts w:eastAsia="Times New Roman" w:cs="Arial"/>
          <w:color w:val="000000"/>
          <w:lang w:eastAsia="bg-BG"/>
        </w:rPr>
        <w:t xml:space="preserve">на максималната препоръчана клинична доза или 16 до 81 пъти максималната препоръчана доза при човека на база </w:t>
      </w:r>
      <w:r w:rsidRPr="00B54088">
        <w:rPr>
          <w:rFonts w:eastAsia="Times New Roman" w:cs="Arial"/>
          <w:color w:val="000000"/>
          <w:lang w:val="en-US"/>
        </w:rPr>
        <w:t>mg</w:t>
      </w:r>
      <w:r w:rsidRPr="00B54088">
        <w:rPr>
          <w:rFonts w:eastAsia="Times New Roman" w:cs="Arial"/>
          <w:color w:val="000000"/>
          <w:lang w:val="ru-RU"/>
        </w:rPr>
        <w:t>/</w:t>
      </w:r>
      <w:r w:rsidRPr="00B54088">
        <w:rPr>
          <w:rFonts w:eastAsia="Times New Roman" w:cs="Arial"/>
          <w:color w:val="000000"/>
          <w:lang w:val="en-US"/>
        </w:rPr>
        <w:t>m</w:t>
      </w:r>
      <w:r w:rsidRPr="00B54088">
        <w:rPr>
          <w:rFonts w:eastAsia="Times New Roman" w:cs="Arial"/>
          <w:color w:val="000000"/>
          <w:vertAlign w:val="superscript"/>
          <w:lang w:val="ru-RU"/>
        </w:rPr>
        <w:t>2</w:t>
      </w:r>
      <w:r w:rsidRPr="00B54088">
        <w:rPr>
          <w:rFonts w:eastAsia="Times New Roman" w:cs="Arial"/>
          <w:color w:val="000000"/>
          <w:lang w:val="ru-RU"/>
        </w:rPr>
        <w:t xml:space="preserve">). </w:t>
      </w:r>
      <w:r w:rsidRPr="00B54088">
        <w:rPr>
          <w:rFonts w:eastAsia="Times New Roman" w:cs="Arial"/>
          <w:color w:val="000000"/>
          <w:lang w:eastAsia="bg-BG"/>
        </w:rPr>
        <w:t xml:space="preserve">Освен това концентрациите на сулфатните конюгати на хидрокси-арипипразол в човешката жлъчка при максималната допустима доза от 30 </w:t>
      </w:r>
      <w:r w:rsidRPr="00B54088">
        <w:rPr>
          <w:rFonts w:eastAsia="Times New Roman" w:cs="Arial"/>
          <w:color w:val="000000"/>
          <w:lang w:val="en-US"/>
        </w:rPr>
        <w:t>mg</w:t>
      </w:r>
      <w:r w:rsidRPr="00B54088">
        <w:rPr>
          <w:rFonts w:eastAsia="Times New Roman" w:cs="Arial"/>
          <w:color w:val="000000"/>
          <w:lang w:val="ru-RU"/>
        </w:rPr>
        <w:t xml:space="preserve"> </w:t>
      </w:r>
      <w:r w:rsidRPr="00B54088">
        <w:rPr>
          <w:rFonts w:eastAsia="Times New Roman" w:cs="Arial"/>
          <w:color w:val="000000"/>
          <w:lang w:eastAsia="bg-BG"/>
        </w:rPr>
        <w:t xml:space="preserve">дневно, не са повече от 6% от концентрациите установени в </w:t>
      </w:r>
      <w:r w:rsidRPr="00B54088">
        <w:rPr>
          <w:rFonts w:eastAsia="Times New Roman" w:cs="Arial"/>
          <w:color w:val="000000"/>
          <w:lang w:eastAsia="bg-BG"/>
        </w:rPr>
        <w:lastRenderedPageBreak/>
        <w:t xml:space="preserve">жлъчката на маймуни при 39-седмично проучване и са под техните граници (6%) на </w:t>
      </w:r>
      <w:r w:rsidRPr="00B54088">
        <w:rPr>
          <w:rFonts w:eastAsia="Times New Roman" w:cs="Arial"/>
          <w:i/>
          <w:iCs/>
          <w:color w:val="000000"/>
          <w:lang w:val="en-US"/>
        </w:rPr>
        <w:t>in</w:t>
      </w:r>
      <w:r w:rsidRPr="00B54088">
        <w:rPr>
          <w:rFonts w:eastAsia="Times New Roman" w:cs="Arial"/>
          <w:i/>
          <w:iCs/>
          <w:color w:val="000000"/>
          <w:lang w:val="ru-RU"/>
        </w:rPr>
        <w:t xml:space="preserve"> </w:t>
      </w:r>
      <w:r w:rsidRPr="00B54088">
        <w:rPr>
          <w:rFonts w:eastAsia="Times New Roman" w:cs="Arial"/>
          <w:i/>
          <w:iCs/>
          <w:color w:val="000000"/>
          <w:lang w:val="en-US"/>
        </w:rPr>
        <w:t>vitro</w:t>
      </w:r>
      <w:r w:rsidRPr="00B54088">
        <w:rPr>
          <w:rFonts w:eastAsia="Times New Roman" w:cs="Arial"/>
          <w:color w:val="000000"/>
          <w:lang w:val="ru-RU"/>
        </w:rPr>
        <w:t xml:space="preserve"> </w:t>
      </w:r>
      <w:r w:rsidRPr="00B54088">
        <w:rPr>
          <w:rFonts w:eastAsia="Times New Roman" w:cs="Arial"/>
          <w:color w:val="000000"/>
          <w:lang w:eastAsia="bg-BG"/>
        </w:rPr>
        <w:t>разтворимост.</w:t>
      </w:r>
    </w:p>
    <w:p w14:paraId="4ED75DE0" w14:textId="77777777" w:rsidR="00B54088" w:rsidRPr="00B54088" w:rsidRDefault="00B54088" w:rsidP="00B54088">
      <w:pPr>
        <w:spacing w:line="240" w:lineRule="auto"/>
        <w:rPr>
          <w:rFonts w:eastAsia="Times New Roman" w:cs="Arial"/>
          <w:color w:val="000000"/>
          <w:lang w:eastAsia="bg-BG"/>
        </w:rPr>
      </w:pPr>
    </w:p>
    <w:p w14:paraId="522593A6" w14:textId="4C114D82" w:rsidR="00B54088" w:rsidRPr="00B54088" w:rsidRDefault="00B54088" w:rsidP="00B54088">
      <w:pPr>
        <w:spacing w:line="240" w:lineRule="auto"/>
        <w:rPr>
          <w:rFonts w:eastAsia="Times New Roman" w:cs="Arial"/>
        </w:rPr>
      </w:pPr>
      <w:r w:rsidRPr="00B54088">
        <w:rPr>
          <w:rFonts w:eastAsia="Times New Roman" w:cs="Arial"/>
          <w:color w:val="000000"/>
          <w:lang w:eastAsia="bg-BG"/>
        </w:rPr>
        <w:t>При млади плъхове и кучета, токсичността на арипипразол при проучвания с многократно прилагане е сравнима с токсичността при възрастни животни, като не са наблюдавани невротоксичност или нежелани ефекти, засягащи растежа.</w:t>
      </w:r>
    </w:p>
    <w:p w14:paraId="293BAC27" w14:textId="77777777" w:rsidR="00B54088" w:rsidRPr="00B54088" w:rsidRDefault="00B54088" w:rsidP="00B54088">
      <w:pPr>
        <w:spacing w:line="240" w:lineRule="auto"/>
        <w:rPr>
          <w:rFonts w:eastAsia="Times New Roman" w:cs="Arial"/>
          <w:color w:val="000000"/>
          <w:lang w:eastAsia="bg-BG"/>
        </w:rPr>
      </w:pPr>
    </w:p>
    <w:p w14:paraId="5706612E" w14:textId="04DADC28" w:rsidR="00B54088" w:rsidRPr="00B54088" w:rsidRDefault="00B54088" w:rsidP="00B54088">
      <w:pPr>
        <w:spacing w:line="240" w:lineRule="auto"/>
        <w:rPr>
          <w:rFonts w:eastAsia="Times New Roman" w:cs="Arial"/>
        </w:rPr>
      </w:pPr>
      <w:r w:rsidRPr="00B54088">
        <w:rPr>
          <w:rFonts w:eastAsia="Times New Roman" w:cs="Arial"/>
          <w:color w:val="000000"/>
          <w:lang w:eastAsia="bg-BG"/>
        </w:rPr>
        <w:t xml:space="preserve">Въз основа на резултатите от пълните стандартни тестове за генотоксичност, е установено, че арипипразол не е генотоксичен. При проучвания върху репродуктивната токсичност е установено, че арипипразол не уврежда фертилността. Късна токсичност, включително доза - зависима късна фетална осификация и възможен тератогенен ефект е наблюдавана при плъхове, при дози водещи до субтерапевтични концентрации (въз основа на </w:t>
      </w:r>
      <w:r w:rsidRPr="00B54088">
        <w:rPr>
          <w:rFonts w:eastAsia="Times New Roman" w:cs="Arial"/>
          <w:color w:val="000000"/>
          <w:lang w:val="en-US"/>
        </w:rPr>
        <w:t>AUC</w:t>
      </w:r>
      <w:r w:rsidRPr="00B54088">
        <w:rPr>
          <w:rFonts w:eastAsia="Times New Roman" w:cs="Arial"/>
          <w:color w:val="000000"/>
          <w:lang w:val="ru-RU"/>
        </w:rPr>
        <w:t xml:space="preserve">) </w:t>
      </w:r>
      <w:r w:rsidRPr="00B54088">
        <w:rPr>
          <w:rFonts w:eastAsia="Times New Roman" w:cs="Arial"/>
          <w:color w:val="000000"/>
          <w:lang w:eastAsia="bg-BG"/>
        </w:rPr>
        <w:t xml:space="preserve">и при зайци, при дози водещи до концентрации 3 и 11 пъти спрямо средната </w:t>
      </w:r>
      <w:r w:rsidRPr="00B54088">
        <w:rPr>
          <w:rFonts w:eastAsia="Times New Roman" w:cs="Arial"/>
          <w:color w:val="000000"/>
          <w:lang w:val="en-US"/>
        </w:rPr>
        <w:t>AUC</w:t>
      </w:r>
      <w:r w:rsidRPr="00B54088">
        <w:rPr>
          <w:rFonts w:eastAsia="Times New Roman" w:cs="Arial"/>
          <w:color w:val="000000"/>
          <w:lang w:val="ru-RU"/>
        </w:rPr>
        <w:t xml:space="preserve"> </w:t>
      </w:r>
      <w:r w:rsidRPr="00B54088">
        <w:rPr>
          <w:rFonts w:eastAsia="Times New Roman" w:cs="Arial"/>
          <w:color w:val="000000"/>
          <w:lang w:eastAsia="bg-BG"/>
        </w:rPr>
        <w:t>при достигане на стационарно състояние при максималната препоръчвана доза в клиничната практика. Токсичност при майката се появява при дози, подобни на тези провокиращи късна токсичност.</w:t>
      </w:r>
    </w:p>
    <w:p w14:paraId="5B3C9850" w14:textId="77777777" w:rsidR="00B54088" w:rsidRPr="00B54088" w:rsidRDefault="00B54088" w:rsidP="00B54088">
      <w:pPr>
        <w:spacing w:line="240" w:lineRule="auto"/>
        <w:rPr>
          <w:rFonts w:ascii="Times New Roman" w:eastAsia="Times New Roman" w:hAnsi="Times New Roman" w:cs="Times New Roman"/>
        </w:rPr>
      </w:pPr>
    </w:p>
    <w:p w14:paraId="6A7820AB" w14:textId="4183D7F8" w:rsidR="008A6AF2" w:rsidRDefault="002C50EE" w:rsidP="00395555">
      <w:pPr>
        <w:pStyle w:val="Heading1"/>
      </w:pPr>
      <w:r>
        <w:t>7. ПРИТЕЖАТЕЛ НА РАЗРЕШЕНИЕТО ЗА УПОТРЕБА</w:t>
      </w:r>
    </w:p>
    <w:p w14:paraId="7A010AD9" w14:textId="150A2B29" w:rsidR="00B54088" w:rsidRDefault="00B54088" w:rsidP="00B54088"/>
    <w:p w14:paraId="30D2EB55" w14:textId="77777777" w:rsidR="00B54088" w:rsidRPr="00B54088" w:rsidRDefault="00B54088" w:rsidP="00B54088">
      <w:pPr>
        <w:rPr>
          <w:sz w:val="24"/>
          <w:szCs w:val="24"/>
        </w:rPr>
      </w:pPr>
      <w:r w:rsidRPr="00B54088">
        <w:rPr>
          <w:lang w:eastAsia="bg-BG"/>
        </w:rPr>
        <w:t>НОБЕЛ ФАРМА ЕООД</w:t>
      </w:r>
    </w:p>
    <w:p w14:paraId="269AE95B" w14:textId="77777777" w:rsidR="00B54088" w:rsidRPr="00B54088" w:rsidRDefault="00B54088" w:rsidP="00B54088">
      <w:pPr>
        <w:rPr>
          <w:sz w:val="24"/>
          <w:szCs w:val="24"/>
        </w:rPr>
      </w:pPr>
      <w:r w:rsidRPr="00B54088">
        <w:rPr>
          <w:lang w:eastAsia="bg-BG"/>
        </w:rPr>
        <w:t>Околовръстен път № 36</w:t>
      </w:r>
    </w:p>
    <w:p w14:paraId="1FF71ADB" w14:textId="77777777" w:rsidR="00B54088" w:rsidRPr="00B54088" w:rsidRDefault="00B54088" w:rsidP="00B54088">
      <w:pPr>
        <w:rPr>
          <w:sz w:val="24"/>
          <w:szCs w:val="24"/>
        </w:rPr>
      </w:pPr>
      <w:r w:rsidRPr="00B54088">
        <w:rPr>
          <w:lang w:eastAsia="bg-BG"/>
        </w:rPr>
        <w:t>София 1415, България</w:t>
      </w:r>
    </w:p>
    <w:p w14:paraId="65CE1262" w14:textId="77777777" w:rsidR="00B54088" w:rsidRPr="00B54088" w:rsidRDefault="00B54088" w:rsidP="00B54088">
      <w:pPr>
        <w:rPr>
          <w:sz w:val="24"/>
          <w:szCs w:val="24"/>
        </w:rPr>
      </w:pPr>
      <w:r w:rsidRPr="00B54088">
        <w:rPr>
          <w:lang w:eastAsia="bg-BG"/>
        </w:rPr>
        <w:t>тел.:+359 2 962 62 80</w:t>
      </w:r>
    </w:p>
    <w:p w14:paraId="2DA416BD" w14:textId="77777777" w:rsidR="00B54088" w:rsidRPr="00B54088" w:rsidRDefault="00B54088" w:rsidP="00B54088">
      <w:pPr>
        <w:rPr>
          <w:sz w:val="24"/>
          <w:szCs w:val="24"/>
        </w:rPr>
      </w:pPr>
      <w:r w:rsidRPr="00B54088">
        <w:rPr>
          <w:lang w:eastAsia="bg-BG"/>
        </w:rPr>
        <w:t>факс: +359 2 962 90 36</w:t>
      </w:r>
    </w:p>
    <w:p w14:paraId="0B092209" w14:textId="77777777" w:rsidR="00B54088" w:rsidRPr="00B54088" w:rsidRDefault="00B54088" w:rsidP="00B54088">
      <w:pPr>
        <w:rPr>
          <w:sz w:val="24"/>
          <w:szCs w:val="24"/>
        </w:rPr>
      </w:pPr>
      <w:r w:rsidRPr="00B54088">
        <w:rPr>
          <w:lang w:eastAsia="bg-BG"/>
        </w:rPr>
        <w:t xml:space="preserve">ел.поща: </w:t>
      </w:r>
      <w:r w:rsidRPr="00B54088">
        <w:rPr>
          <w:sz w:val="24"/>
          <w:szCs w:val="24"/>
        </w:rPr>
        <w:fldChar w:fldCharType="begin"/>
      </w:r>
      <w:r w:rsidRPr="00B54088">
        <w:rPr>
          <w:sz w:val="24"/>
          <w:szCs w:val="24"/>
        </w:rPr>
        <w:instrText xml:space="preserve"> HYPERLINK "mailto:info@nobelpharma.bg" </w:instrText>
      </w:r>
      <w:r w:rsidRPr="00B54088">
        <w:rPr>
          <w:sz w:val="24"/>
          <w:szCs w:val="24"/>
        </w:rPr>
        <w:fldChar w:fldCharType="separate"/>
      </w:r>
      <w:r w:rsidRPr="00B54088">
        <w:rPr>
          <w:u w:val="single"/>
          <w:lang w:val="en-US"/>
        </w:rPr>
        <w:t>info</w:t>
      </w:r>
      <w:r w:rsidRPr="00B54088">
        <w:rPr>
          <w:u w:val="single"/>
          <w:lang w:val="ru-RU"/>
        </w:rPr>
        <w:t>@</w:t>
      </w:r>
      <w:proofErr w:type="spellStart"/>
      <w:r w:rsidRPr="00B54088">
        <w:rPr>
          <w:u w:val="single"/>
          <w:lang w:val="en-US"/>
        </w:rPr>
        <w:t>nobelpharma</w:t>
      </w:r>
      <w:proofErr w:type="spellEnd"/>
      <w:r w:rsidRPr="00B54088">
        <w:rPr>
          <w:u w:val="single"/>
          <w:lang w:val="ru-RU"/>
        </w:rPr>
        <w:t>.</w:t>
      </w:r>
      <w:proofErr w:type="spellStart"/>
      <w:r w:rsidRPr="00B54088">
        <w:rPr>
          <w:u w:val="single"/>
          <w:lang w:val="en-US"/>
        </w:rPr>
        <w:t>bg</w:t>
      </w:r>
      <w:proofErr w:type="spellEnd"/>
      <w:r w:rsidRPr="00B54088">
        <w:rPr>
          <w:sz w:val="24"/>
          <w:szCs w:val="24"/>
        </w:rPr>
        <w:fldChar w:fldCharType="end"/>
      </w:r>
    </w:p>
    <w:p w14:paraId="42266EFA" w14:textId="77777777" w:rsidR="00B54088" w:rsidRPr="00B54088" w:rsidRDefault="00B54088" w:rsidP="00B54088"/>
    <w:p w14:paraId="04840D59" w14:textId="786B70C8" w:rsidR="002C50EE" w:rsidRDefault="002C50EE" w:rsidP="00395555">
      <w:pPr>
        <w:pStyle w:val="Heading1"/>
      </w:pPr>
      <w:r>
        <w:t>8. НОМЕР НА РАЗРЕШЕНИЕТО ЗА УПОТРЕБА</w:t>
      </w:r>
    </w:p>
    <w:p w14:paraId="4CD2ADBA" w14:textId="495FA930" w:rsidR="00B54088" w:rsidRDefault="00B54088" w:rsidP="00B54088"/>
    <w:p w14:paraId="75EA7080" w14:textId="6107ECCB" w:rsidR="00B54088" w:rsidRPr="00B54088" w:rsidRDefault="00B54088" w:rsidP="00B54088">
      <w:r>
        <w:t>20160006</w:t>
      </w:r>
    </w:p>
    <w:p w14:paraId="2CCB5832" w14:textId="08140316" w:rsidR="007C605B" w:rsidRDefault="002C50EE" w:rsidP="007C605B">
      <w:pPr>
        <w:pStyle w:val="Heading1"/>
      </w:pPr>
      <w:r>
        <w:t>9. ДАТА НА ПЪРВО РАЗРЕШАВАНЕ/ПОДНОВЯВАНЕ НА РАЗРЕШЕНИЕТО ЗА УПОТРЕБА</w:t>
      </w:r>
    </w:p>
    <w:p w14:paraId="02C72695" w14:textId="2D1FCF76" w:rsidR="00B54088" w:rsidRDefault="00B54088" w:rsidP="00B54088"/>
    <w:p w14:paraId="2C28F8A1" w14:textId="77777777" w:rsidR="00B54088" w:rsidRPr="00B54088" w:rsidRDefault="00B54088" w:rsidP="00B54088">
      <w:pPr>
        <w:rPr>
          <w:sz w:val="24"/>
          <w:szCs w:val="24"/>
        </w:rPr>
      </w:pPr>
      <w:r w:rsidRPr="00B54088">
        <w:rPr>
          <w:lang w:eastAsia="bg-BG"/>
        </w:rPr>
        <w:t>Дата на първо разрешаване: 07 януари 2016 г.</w:t>
      </w:r>
    </w:p>
    <w:p w14:paraId="3866B797" w14:textId="3AD6FAA7" w:rsidR="00B54088" w:rsidRPr="00B54088" w:rsidRDefault="00B54088" w:rsidP="00B54088">
      <w:r w:rsidRPr="00B54088">
        <w:rPr>
          <w:lang w:eastAsia="bg-BG"/>
        </w:rPr>
        <w:t>Дата на последно подновяване:</w:t>
      </w:r>
    </w:p>
    <w:p w14:paraId="0E9D0119" w14:textId="0245C6D7" w:rsidR="002C50EE" w:rsidRDefault="002C50EE" w:rsidP="002C50EE">
      <w:pPr>
        <w:pStyle w:val="Heading1"/>
      </w:pPr>
      <w:r>
        <w:t>10. ДАТА НА АКТУАЛИЗИРАНЕ НА ТЕКСТА</w:t>
      </w:r>
    </w:p>
    <w:bookmarkEnd w:id="0"/>
    <w:p w14:paraId="43FB38A2" w14:textId="0D7C217B" w:rsidR="007C605B" w:rsidRPr="003E3126" w:rsidRDefault="00B54088" w:rsidP="00B54088">
      <w:r>
        <w:t>09/2017</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8"/>
  </w:num>
  <w:num w:numId="12">
    <w:abstractNumId w:val="13"/>
  </w:num>
  <w:num w:numId="13">
    <w:abstractNumId w:val="18"/>
  </w:num>
  <w:num w:numId="14">
    <w:abstractNumId w:val="11"/>
  </w:num>
  <w:num w:numId="15">
    <w:abstractNumId w:val="27"/>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29"/>
  </w:num>
  <w:num w:numId="28">
    <w:abstractNumId w:val="6"/>
  </w:num>
  <w:num w:numId="29">
    <w:abstractNumId w:val="19"/>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D09C1"/>
    <w:rsid w:val="00185A46"/>
    <w:rsid w:val="001915B6"/>
    <w:rsid w:val="001D1B23"/>
    <w:rsid w:val="002B3C38"/>
    <w:rsid w:val="002B4DBB"/>
    <w:rsid w:val="002C50EE"/>
    <w:rsid w:val="00304265"/>
    <w:rsid w:val="00340A0A"/>
    <w:rsid w:val="003765DC"/>
    <w:rsid w:val="00395555"/>
    <w:rsid w:val="003E3126"/>
    <w:rsid w:val="003F3402"/>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5408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8531</Words>
  <Characters>48629</Characters>
  <Application>Microsoft Office Word</Application>
  <DocSecurity>0</DocSecurity>
  <Lines>405</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2022-01-26T12:04:00Z</dcterms:created>
  <dcterms:modified xsi:type="dcterms:W3CDTF">2022-01-26T12:16:00Z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