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6E2DBDB3" w:rsidR="00AA23EC" w:rsidRDefault="00DD466D" w:rsidP="00DD466D">
      <w:pPr>
        <w:pStyle w:val="1"/>
      </w:pPr>
      <w:r>
        <w:t>1.ИМЕ НА ЛЕКАРСТВЕНИЯ ПРОДУКТ</w:t>
      </w:r>
    </w:p>
    <w:p w14:paraId="6BF1E4DE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АЦЦ 200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eastAsia="bg-BG"/>
        </w:rPr>
        <w:t>ефервесцентни</w:t>
      </w:r>
      <w:proofErr w:type="spellEnd"/>
      <w:r w:rsidRPr="00F929DA">
        <w:rPr>
          <w:lang w:eastAsia="bg-BG"/>
        </w:rPr>
        <w:t xml:space="preserve"> таблетки</w:t>
      </w:r>
    </w:p>
    <w:p w14:paraId="39E61867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АЦЦ 600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eastAsia="bg-BG"/>
        </w:rPr>
        <w:t>ефервесцентни</w:t>
      </w:r>
      <w:proofErr w:type="spellEnd"/>
      <w:r w:rsidRPr="00F929DA">
        <w:rPr>
          <w:lang w:eastAsia="bg-BG"/>
        </w:rPr>
        <w:t xml:space="preserve"> таблетки</w:t>
      </w:r>
    </w:p>
    <w:p w14:paraId="4CF592AA" w14:textId="77777777" w:rsidR="00F929DA" w:rsidRDefault="00F929DA" w:rsidP="00F929DA">
      <w:pPr>
        <w:rPr>
          <w:lang w:eastAsia="bg-BG"/>
        </w:rPr>
      </w:pPr>
    </w:p>
    <w:p w14:paraId="4B42F5B8" w14:textId="49409088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АСС 200 </w:t>
      </w:r>
      <w:r w:rsidRPr="00F929DA">
        <w:rPr>
          <w:lang w:val="en-US"/>
        </w:rPr>
        <w:t>mg effervescent tablets</w:t>
      </w:r>
    </w:p>
    <w:p w14:paraId="6BD37496" w14:textId="62D96690" w:rsidR="00F929DA" w:rsidRPr="00F929DA" w:rsidRDefault="00F929DA" w:rsidP="00F929DA">
      <w:r w:rsidRPr="00F929DA">
        <w:rPr>
          <w:lang w:val="en-US"/>
        </w:rPr>
        <w:t>ACC 600 mg effervescent tablets</w:t>
      </w:r>
    </w:p>
    <w:p w14:paraId="4D88B710" w14:textId="040854C2" w:rsidR="00D86297" w:rsidRDefault="00DD466D" w:rsidP="00AA23EC">
      <w:pPr>
        <w:pStyle w:val="1"/>
      </w:pPr>
      <w:r>
        <w:t>2. КАЧЕСТВЕН И КОЛИЧЕСТВЕН СЪСТАВ</w:t>
      </w:r>
    </w:p>
    <w:p w14:paraId="4EA85784" w14:textId="2B322FE8" w:rsidR="00F929DA" w:rsidRDefault="00F929DA" w:rsidP="00F929DA"/>
    <w:p w14:paraId="5C138094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Всяка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съдържа 200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</w:t>
      </w:r>
      <w:r w:rsidRPr="00F929DA">
        <w:rPr>
          <w:rFonts w:eastAsia="Times New Roman" w:cs="Arial"/>
          <w:i/>
          <w:iCs/>
          <w:color w:val="000000"/>
          <w:lang w:val="en-US"/>
        </w:rPr>
        <w:t>{acetylcysteine).</w:t>
      </w:r>
    </w:p>
    <w:p w14:paraId="5B1EDF6A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389CBC" w14:textId="6D7275D2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</w:t>
      </w:r>
    </w:p>
    <w:p w14:paraId="5DE1BDF9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Всяка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съдържа до 20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70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r w:rsidRPr="00F929DA">
        <w:rPr>
          <w:rFonts w:eastAsia="Times New Roman" w:cs="Arial"/>
          <w:color w:val="000000"/>
          <w:lang w:eastAsia="bg-BG"/>
        </w:rPr>
        <w:t xml:space="preserve">лактоза, безводна и 4,3 </w:t>
      </w:r>
      <w:r w:rsidRPr="00F929DA">
        <w:rPr>
          <w:rFonts w:eastAsia="Times New Roman" w:cs="Arial"/>
          <w:color w:val="000000"/>
          <w:lang w:val="en-US"/>
        </w:rPr>
        <w:t xml:space="preserve">mmol </w:t>
      </w:r>
      <w:r w:rsidRPr="00F929DA">
        <w:rPr>
          <w:rFonts w:eastAsia="Times New Roman" w:cs="Arial"/>
          <w:color w:val="000000"/>
          <w:lang w:eastAsia="bg-BG"/>
        </w:rPr>
        <w:t xml:space="preserve">(99 </w:t>
      </w:r>
      <w:r w:rsidRPr="00F929DA">
        <w:rPr>
          <w:rFonts w:eastAsia="Times New Roman" w:cs="Arial"/>
          <w:color w:val="000000"/>
          <w:lang w:val="en-US"/>
        </w:rPr>
        <w:t xml:space="preserve">mg) </w:t>
      </w:r>
      <w:r w:rsidRPr="00F929DA">
        <w:rPr>
          <w:rFonts w:eastAsia="Times New Roman" w:cs="Arial"/>
          <w:color w:val="000000"/>
          <w:lang w:eastAsia="bg-BG"/>
        </w:rPr>
        <w:t>натрий.</w:t>
      </w:r>
    </w:p>
    <w:p w14:paraId="0B3AE511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841E607" w14:textId="670378B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Всяка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съдържа 600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</w:t>
      </w:r>
      <w:r w:rsidRPr="00F929DA">
        <w:rPr>
          <w:rFonts w:eastAsia="Times New Roman" w:cs="Arial"/>
          <w:i/>
          <w:iCs/>
          <w:color w:val="000000"/>
          <w:lang w:val="en-US"/>
        </w:rPr>
        <w:t>{acetylcysteine).</w:t>
      </w:r>
    </w:p>
    <w:p w14:paraId="32A7B625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227BF3" w14:textId="4CB40EC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действие:</w:t>
      </w:r>
    </w:p>
    <w:p w14:paraId="3F649FAA" w14:textId="4E15EE63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Всяка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съдържа до 40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70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r w:rsidRPr="00F929DA">
        <w:rPr>
          <w:rFonts w:eastAsia="Times New Roman" w:cs="Arial"/>
          <w:color w:val="000000"/>
          <w:lang w:eastAsia="bg-BG"/>
        </w:rPr>
        <w:t xml:space="preserve">лактоза, безводна и 6,0 </w:t>
      </w:r>
      <w:r w:rsidRPr="00F929DA">
        <w:rPr>
          <w:rFonts w:eastAsia="Times New Roman" w:cs="Arial"/>
          <w:color w:val="000000"/>
          <w:lang w:val="en-US"/>
        </w:rPr>
        <w:t xml:space="preserve">mmol </w:t>
      </w:r>
      <w:r w:rsidRPr="00F929DA">
        <w:rPr>
          <w:rFonts w:eastAsia="Times New Roman" w:cs="Arial"/>
          <w:color w:val="000000"/>
          <w:lang w:eastAsia="bg-BG"/>
        </w:rPr>
        <w:t xml:space="preserve">(139 </w:t>
      </w:r>
      <w:r w:rsidRPr="00F929DA">
        <w:rPr>
          <w:rFonts w:eastAsia="Times New Roman" w:cs="Arial"/>
          <w:color w:val="000000"/>
          <w:lang w:val="en-US"/>
        </w:rPr>
        <w:t xml:space="preserve">mg) </w:t>
      </w:r>
      <w:r w:rsidRPr="00F929DA">
        <w:rPr>
          <w:rFonts w:eastAsia="Times New Roman" w:cs="Arial"/>
          <w:color w:val="000000"/>
          <w:lang w:eastAsia="bg-BG"/>
        </w:rPr>
        <w:t>натрий.</w:t>
      </w:r>
    </w:p>
    <w:p w14:paraId="5E332777" w14:textId="3A673C6F" w:rsidR="005A66D9" w:rsidRDefault="00DD466D" w:rsidP="00CA1B57">
      <w:pPr>
        <w:pStyle w:val="1"/>
      </w:pPr>
      <w:r>
        <w:t>3. ЛЕКАРСТВЕНА ФОРМА</w:t>
      </w:r>
    </w:p>
    <w:p w14:paraId="25863A74" w14:textId="297D3C99" w:rsidR="00F929DA" w:rsidRDefault="00F929DA" w:rsidP="00F929DA"/>
    <w:p w14:paraId="55DEDE18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</w:t>
      </w:r>
    </w:p>
    <w:p w14:paraId="7AE3EE69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1FB188E" w14:textId="67531F48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200 </w:t>
      </w:r>
      <w:r w:rsidRPr="00F929DA">
        <w:rPr>
          <w:rFonts w:eastAsia="Times New Roman" w:cs="Arial"/>
          <w:i/>
          <w:iCs/>
          <w:color w:val="000000"/>
          <w:lang w:val="en-US"/>
        </w:rPr>
        <w:t xml:space="preserve">mg, </w:t>
      </w:r>
      <w:r w:rsidRPr="00F929DA">
        <w:rPr>
          <w:rFonts w:eastAsia="Times New Roman" w:cs="Arial"/>
          <w:i/>
          <w:iCs/>
          <w:color w:val="000000"/>
          <w:lang w:eastAsia="bg-BG"/>
        </w:rPr>
        <w:t xml:space="preserve">600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6697C450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E9F79E" w14:textId="5D216E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>Бяла, кръгла таблетка, с делителна черта от едната страна, повърхност без неравности, с мирис на къпини.</w:t>
      </w:r>
    </w:p>
    <w:p w14:paraId="42CD6827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Ефервесцентната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може да бъде разделена на две равни дози.</w:t>
      </w:r>
    </w:p>
    <w:p w14:paraId="448A85DC" w14:textId="77777777" w:rsidR="00F929DA" w:rsidRPr="00F929DA" w:rsidRDefault="00F929DA" w:rsidP="00F929DA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43264305" w:rsidR="003765DC" w:rsidRDefault="003765DC" w:rsidP="003765DC"/>
    <w:p w14:paraId="7C7BC51D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200 </w:t>
      </w:r>
      <w:r w:rsidRPr="00F929DA">
        <w:rPr>
          <w:lang w:val="en-US"/>
        </w:rPr>
        <w:t>mg:</w:t>
      </w:r>
    </w:p>
    <w:p w14:paraId="3345E565" w14:textId="77777777" w:rsidR="00F929DA" w:rsidRPr="00F929DA" w:rsidRDefault="00F929DA" w:rsidP="00F929DA">
      <w:pPr>
        <w:rPr>
          <w:sz w:val="24"/>
          <w:szCs w:val="24"/>
        </w:rPr>
      </w:pPr>
      <w:proofErr w:type="spellStart"/>
      <w:r w:rsidRPr="00F929DA">
        <w:rPr>
          <w:lang w:eastAsia="bg-BG"/>
        </w:rPr>
        <w:t>Секретолитично</w:t>
      </w:r>
      <w:proofErr w:type="spellEnd"/>
      <w:r w:rsidRPr="00F929DA">
        <w:rPr>
          <w:lang w:eastAsia="bg-BG"/>
        </w:rPr>
        <w:t xml:space="preserve"> лечение на остри и хронични </w:t>
      </w:r>
      <w:proofErr w:type="spellStart"/>
      <w:r w:rsidRPr="00F929DA">
        <w:rPr>
          <w:lang w:eastAsia="bg-BG"/>
        </w:rPr>
        <w:t>бронхопулмонарни</w:t>
      </w:r>
      <w:proofErr w:type="spellEnd"/>
      <w:r w:rsidRPr="00F929DA">
        <w:rPr>
          <w:lang w:eastAsia="bg-BG"/>
        </w:rPr>
        <w:t xml:space="preserve"> заболявания, придружени с нарушено образуване и пренос на секрет при възрастни, юноши и деца на възраст над 2 години.</w:t>
      </w:r>
    </w:p>
    <w:p w14:paraId="6E6EB1CC" w14:textId="77777777" w:rsidR="00F929DA" w:rsidRDefault="00F929DA" w:rsidP="00F929DA">
      <w:pPr>
        <w:rPr>
          <w:lang w:eastAsia="bg-BG"/>
        </w:rPr>
      </w:pPr>
    </w:p>
    <w:p w14:paraId="1B7E10E9" w14:textId="26E9B26C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600 </w:t>
      </w:r>
      <w:r w:rsidRPr="00F929DA">
        <w:rPr>
          <w:lang w:val="en-US"/>
        </w:rPr>
        <w:t>mg:</w:t>
      </w:r>
    </w:p>
    <w:p w14:paraId="2DE5EDF6" w14:textId="4E5B7D7B" w:rsidR="00F929DA" w:rsidRPr="003765DC" w:rsidRDefault="00F929DA" w:rsidP="00F929DA">
      <w:proofErr w:type="spellStart"/>
      <w:r w:rsidRPr="00F929DA">
        <w:rPr>
          <w:lang w:eastAsia="bg-BG"/>
        </w:rPr>
        <w:t>Секретолитично</w:t>
      </w:r>
      <w:proofErr w:type="spellEnd"/>
      <w:r w:rsidRPr="00F929DA">
        <w:rPr>
          <w:lang w:eastAsia="bg-BG"/>
        </w:rPr>
        <w:t xml:space="preserve"> лечение на остри и хронични </w:t>
      </w:r>
      <w:proofErr w:type="spellStart"/>
      <w:r w:rsidRPr="00F929DA">
        <w:rPr>
          <w:lang w:eastAsia="bg-BG"/>
        </w:rPr>
        <w:t>бронхопулмонарни</w:t>
      </w:r>
      <w:proofErr w:type="spellEnd"/>
      <w:r w:rsidRPr="00F929DA">
        <w:rPr>
          <w:lang w:eastAsia="bg-BG"/>
        </w:rPr>
        <w:t xml:space="preserve"> заболявания, придружени с нарушено образуване и пренос на секрет при възрастни и юноши на възраст над 14 години.</w:t>
      </w:r>
    </w:p>
    <w:p w14:paraId="66024DB0" w14:textId="27A7D3C6" w:rsidR="003765DC" w:rsidRDefault="002C50EE" w:rsidP="002B3C38">
      <w:pPr>
        <w:pStyle w:val="2"/>
      </w:pPr>
      <w:r>
        <w:lastRenderedPageBreak/>
        <w:t>4.2. Дозировка и начин на приложение</w:t>
      </w:r>
    </w:p>
    <w:p w14:paraId="6C7425B9" w14:textId="3ED81F65" w:rsidR="00F929DA" w:rsidRDefault="00F929DA" w:rsidP="00F929DA"/>
    <w:p w14:paraId="79B3637A" w14:textId="77777777" w:rsidR="00F929DA" w:rsidRPr="00F929DA" w:rsidRDefault="00F929DA" w:rsidP="00F929DA">
      <w:pPr>
        <w:pStyle w:val="3"/>
        <w:rPr>
          <w:rFonts w:eastAsia="Times New Roman"/>
          <w:u w:val="single"/>
        </w:rPr>
      </w:pPr>
      <w:r w:rsidRPr="00F929DA">
        <w:rPr>
          <w:rFonts w:eastAsia="Times New Roman"/>
          <w:u w:val="single"/>
          <w:lang w:eastAsia="bg-BG"/>
        </w:rPr>
        <w:t>Дозировка</w:t>
      </w:r>
    </w:p>
    <w:p w14:paraId="1B19BDA0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1FC3E52" w14:textId="73F50DA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200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74EFCB7E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Ако не е предписано друго, следната дозировка се препоръчва за АЦЦ 200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таблетки:</w:t>
      </w:r>
    </w:p>
    <w:p w14:paraId="32975DC5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5E9CC8" w14:textId="29015144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Възрастни и юноши над 14 години</w:t>
      </w:r>
    </w:p>
    <w:p w14:paraId="7EB16FCE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1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2-3 пъти дневно (съответстващи на 400-600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дневно)</w:t>
      </w:r>
    </w:p>
    <w:p w14:paraId="6C5C38F0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81B3927" w14:textId="41DD92F9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Деца и юноши на възраст от 6 до 14 години</w:t>
      </w:r>
    </w:p>
    <w:p w14:paraId="476C8F2B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1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два пъти дневно (съответстващи на 400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дневно)</w:t>
      </w:r>
    </w:p>
    <w:p w14:paraId="0F79772C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ABD4428" w14:textId="1BCFD70B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Деца на възраст от 2 до 5 години</w:t>
      </w:r>
    </w:p>
    <w:p w14:paraId="39EC7CB6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vertAlign w:val="superscript"/>
          <w:lang w:eastAsia="bg-BG"/>
        </w:rPr>
        <w:t>1</w:t>
      </w:r>
      <w:r w:rsidRPr="00F929DA">
        <w:rPr>
          <w:rFonts w:eastAsia="Times New Roman" w:cs="Arial"/>
          <w:color w:val="000000"/>
          <w:lang w:eastAsia="bg-BG"/>
        </w:rPr>
        <w:t>/</w:t>
      </w:r>
      <w:r w:rsidRPr="00F929DA">
        <w:rPr>
          <w:rFonts w:eastAsia="Times New Roman" w:cs="Arial"/>
          <w:color w:val="000000"/>
          <w:vertAlign w:val="subscript"/>
          <w:lang w:eastAsia="bg-BG"/>
        </w:rPr>
        <w:t>2</w:t>
      </w:r>
      <w:r w:rsidRPr="00F929D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2-3 пъти дневно (съответстващи на 200-300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дневно)</w:t>
      </w:r>
    </w:p>
    <w:p w14:paraId="2C5FBFE4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0792537" w14:textId="1FB636C4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600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02957352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Ако не е предписано друго, следната дозировка се препоръчва за АЦЦ 600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ефервесцентни</w:t>
      </w:r>
      <w:proofErr w:type="spellEnd"/>
    </w:p>
    <w:p w14:paraId="0CC5D02C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75B714" w14:textId="1CAF5112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Възрастни и юноши над 14 години</w:t>
      </w:r>
    </w:p>
    <w:p w14:paraId="50FD4D23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>72</w:t>
      </w:r>
      <w:r w:rsidRPr="00F929D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два пъти дневно или 1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 веднъж дневно (съответстващи на 600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дневно)</w:t>
      </w:r>
    </w:p>
    <w:p w14:paraId="2A04FECA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852483" w14:textId="53BD8E32" w:rsidR="00F929DA" w:rsidRPr="00F929DA" w:rsidRDefault="00F929DA" w:rsidP="00F929DA">
      <w:pPr>
        <w:pStyle w:val="3"/>
        <w:rPr>
          <w:rFonts w:eastAsia="Times New Roman"/>
          <w:u w:val="single"/>
        </w:rPr>
      </w:pPr>
      <w:r w:rsidRPr="00F929DA">
        <w:rPr>
          <w:rFonts w:eastAsia="Times New Roman"/>
          <w:u w:val="single"/>
          <w:lang w:eastAsia="bg-BG"/>
        </w:rPr>
        <w:t>Начин на приложение</w:t>
      </w:r>
    </w:p>
    <w:p w14:paraId="2ED6858A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Ефервесцентните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таблетки се приемат разтворени в чаша вода след хранене.</w:t>
      </w:r>
    </w:p>
    <w:p w14:paraId="0F5890F4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6CDD1B3" w14:textId="4C0FA5CD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u w:val="single"/>
          <w:lang w:eastAsia="bg-BG"/>
        </w:rPr>
        <w:t>Продължителност на лечението</w:t>
      </w:r>
    </w:p>
    <w:p w14:paraId="35D74D1E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0F2C6AC" w14:textId="458C63A3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200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0CBC9E10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АЦЦ 200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таблетки не трябва да се приемат повече от 4-5 дни без консултация с лекар.</w:t>
      </w:r>
    </w:p>
    <w:p w14:paraId="3B087CAB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600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043942D5" w14:textId="13A035D4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АЦЦ 600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таблетки не трябва да се приемат повече от 4-5 дни без консултация с лекар.</w:t>
      </w:r>
    </w:p>
    <w:p w14:paraId="44604E79" w14:textId="77777777" w:rsidR="00F929DA" w:rsidRPr="00F929DA" w:rsidRDefault="00F929DA" w:rsidP="00F929DA"/>
    <w:p w14:paraId="1A261012" w14:textId="3DAF51F2" w:rsidR="003765DC" w:rsidRDefault="002C50EE" w:rsidP="002B3C38">
      <w:pPr>
        <w:pStyle w:val="2"/>
      </w:pPr>
      <w:r>
        <w:t>4.3. Противопоказания</w:t>
      </w:r>
    </w:p>
    <w:p w14:paraId="09E79087" w14:textId="043DD4FE" w:rsidR="00F929DA" w:rsidRDefault="00F929DA" w:rsidP="00F929DA"/>
    <w:p w14:paraId="0AE32976" w14:textId="68BB324B" w:rsidR="00F929DA" w:rsidRPr="00F929DA" w:rsidRDefault="00F929DA" w:rsidP="00F929DA">
      <w:pPr>
        <w:pStyle w:val="a3"/>
        <w:numPr>
          <w:ilvl w:val="0"/>
          <w:numId w:val="26"/>
        </w:numPr>
        <w:rPr>
          <w:sz w:val="24"/>
          <w:szCs w:val="24"/>
        </w:rPr>
      </w:pPr>
      <w:r w:rsidRPr="00F929DA">
        <w:rPr>
          <w:lang w:eastAsia="bg-BG"/>
        </w:rPr>
        <w:t xml:space="preserve">свръхчувствителност към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или към някое от помощните вещества, изброени в точка 6.1.</w:t>
      </w:r>
    </w:p>
    <w:p w14:paraId="6D1822B5" w14:textId="77777777" w:rsidR="00F929DA" w:rsidRDefault="00F929DA" w:rsidP="00F929DA">
      <w:pPr>
        <w:rPr>
          <w:i/>
          <w:iCs/>
          <w:lang w:eastAsia="bg-BG"/>
        </w:rPr>
      </w:pPr>
    </w:p>
    <w:p w14:paraId="47BA5AC0" w14:textId="3DB1E7D8" w:rsidR="00F929DA" w:rsidRPr="00F929DA" w:rsidRDefault="00F929DA" w:rsidP="00F929DA">
      <w:pPr>
        <w:rPr>
          <w:sz w:val="24"/>
          <w:szCs w:val="24"/>
        </w:rPr>
      </w:pPr>
      <w:r w:rsidRPr="00F929DA">
        <w:rPr>
          <w:i/>
          <w:iCs/>
          <w:lang w:eastAsia="bg-BG"/>
        </w:rPr>
        <w:t xml:space="preserve">200 </w:t>
      </w:r>
      <w:r w:rsidRPr="00F929DA">
        <w:rPr>
          <w:i/>
          <w:iCs/>
          <w:lang w:val="en-US"/>
        </w:rPr>
        <w:t>mg:</w:t>
      </w:r>
    </w:p>
    <w:p w14:paraId="53384B25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Поради високото съдържание на активно вещество, половин таблетка от АЦЦ 200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eastAsia="bg-BG"/>
        </w:rPr>
        <w:t>ефервесцентн</w:t>
      </w:r>
      <w:proofErr w:type="spellEnd"/>
      <w:r w:rsidRPr="00F929DA">
        <w:rPr>
          <w:lang w:eastAsia="bg-BG"/>
        </w:rPr>
        <w:t xml:space="preserve">, таблетки не трябва да се употребява при деца под 2-годишна възраст, </w:t>
      </w:r>
      <w:r w:rsidRPr="00F929DA">
        <w:rPr>
          <w:lang w:eastAsia="bg-BG"/>
        </w:rPr>
        <w:lastRenderedPageBreak/>
        <w:t xml:space="preserve">както и цяла таблетка от АЦЦ 200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eastAsia="bg-BG"/>
        </w:rPr>
        <w:t>ефервесцентни</w:t>
      </w:r>
      <w:proofErr w:type="spellEnd"/>
      <w:r w:rsidRPr="00F929DA">
        <w:rPr>
          <w:lang w:eastAsia="bg-BG"/>
        </w:rPr>
        <w:t xml:space="preserve"> таблетки не трябва да се прилага при деца под 6 години</w:t>
      </w:r>
    </w:p>
    <w:p w14:paraId="267A523E" w14:textId="77777777" w:rsidR="00F929DA" w:rsidRDefault="00F929DA" w:rsidP="00F929DA">
      <w:pPr>
        <w:rPr>
          <w:i/>
          <w:iCs/>
          <w:lang w:eastAsia="bg-BG"/>
        </w:rPr>
      </w:pPr>
    </w:p>
    <w:p w14:paraId="31A7AAA7" w14:textId="2DD6DA1D" w:rsidR="00F929DA" w:rsidRPr="00F929DA" w:rsidRDefault="00F929DA" w:rsidP="00F929DA">
      <w:pPr>
        <w:rPr>
          <w:sz w:val="24"/>
          <w:szCs w:val="24"/>
        </w:rPr>
      </w:pPr>
      <w:r w:rsidRPr="00F929DA">
        <w:rPr>
          <w:i/>
          <w:iCs/>
          <w:lang w:eastAsia="bg-BG"/>
        </w:rPr>
        <w:t xml:space="preserve">600 </w:t>
      </w:r>
      <w:r w:rsidRPr="00F929DA">
        <w:rPr>
          <w:i/>
          <w:iCs/>
          <w:lang w:val="en-US"/>
        </w:rPr>
        <w:t>mg:</w:t>
      </w:r>
    </w:p>
    <w:p w14:paraId="084A84D7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Поради високото съдържание на активно вещество, АЦЦ 600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eastAsia="bg-BG"/>
        </w:rPr>
        <w:t>ефервесцентни</w:t>
      </w:r>
      <w:proofErr w:type="spellEnd"/>
      <w:r w:rsidRPr="00F929DA">
        <w:rPr>
          <w:lang w:eastAsia="bg-BG"/>
        </w:rPr>
        <w:t xml:space="preserve"> таблетки не трябва да се употребява при деца под 14-годишна възраст,</w:t>
      </w:r>
    </w:p>
    <w:p w14:paraId="5320D8FB" w14:textId="77777777" w:rsidR="00F929DA" w:rsidRPr="00F929DA" w:rsidRDefault="00F929DA" w:rsidP="00F929DA"/>
    <w:p w14:paraId="5EF6E7D6" w14:textId="06B8FE8C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0209FF94" w14:textId="549E8584" w:rsidR="00F929DA" w:rsidRDefault="00F929DA" w:rsidP="00F929DA"/>
    <w:p w14:paraId="6074EDFF" w14:textId="63DCE36B" w:rsidR="00F929DA" w:rsidRDefault="00F929DA" w:rsidP="00F929DA">
      <w:r>
        <w:t xml:space="preserve">Много рядко е съобщавано за тежки кожни реакции, като синдром на Стивънс-Джонсън и синдром на </w:t>
      </w:r>
      <w:proofErr w:type="spellStart"/>
      <w:r>
        <w:t>Лайел</w:t>
      </w:r>
      <w:proofErr w:type="spellEnd"/>
      <w:r>
        <w:t xml:space="preserve">, съвпадащи по време с употребата на </w:t>
      </w:r>
      <w:proofErr w:type="spellStart"/>
      <w:r>
        <w:t>ацетилцистеин</w:t>
      </w:r>
      <w:proofErr w:type="spellEnd"/>
      <w:r>
        <w:t xml:space="preserve">. Ако бъдат забелязани нововъзникнали промени по кожата и лигавиците, трябва незабавно да се потърси консултация с лекар, а приемът на </w:t>
      </w:r>
      <w:proofErr w:type="spellStart"/>
      <w:r>
        <w:t>ацетилцистеин</w:t>
      </w:r>
      <w:proofErr w:type="spellEnd"/>
      <w:r>
        <w:t xml:space="preserve"> трябва да се преустанови (</w:t>
      </w:r>
      <w:proofErr w:type="spellStart"/>
      <w:r>
        <w:t>вж</w:t>
      </w:r>
      <w:proofErr w:type="spellEnd"/>
      <w:r>
        <w:t>, също точка 4.8).</w:t>
      </w:r>
    </w:p>
    <w:p w14:paraId="2C0D61F4" w14:textId="18739E91" w:rsidR="00F929DA" w:rsidRDefault="00F929DA" w:rsidP="00F929DA"/>
    <w:p w14:paraId="623B3090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Необходимо е повишено внимание при употребата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при пациенти с бронхиална астма и при пациенти с анамнеза за язва.</w:t>
      </w:r>
    </w:p>
    <w:p w14:paraId="34698AEA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C2FFA6" w14:textId="10D77328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Необходимо е повишено внимание при пациенти с непоносимост към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хистамини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. При такива пациенти трябва да се избягва продължително лечение, тъй като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повлиява метаболизма на хистамина и може да предизвика симптоми на непоносимост (напр. главоболие, вазомоторен ринит, сърбеж).</w:t>
      </w:r>
    </w:p>
    <w:p w14:paraId="1D924E6D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D63608" w14:textId="2E160388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Употребата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особено в началото на лечението, може да доведе до втечняване на секрета и това да увеличи обема на бронхиален секрет. Ако пациентът не може да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отхрачва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достатъчно, трябва да се предприемат подходящи мерки (като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постурален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дренаж и аспирация)</w:t>
      </w:r>
    </w:p>
    <w:p w14:paraId="1FD4498A" w14:textId="77777777" w:rsidR="00F929DA" w:rsidRPr="00F929DA" w:rsidRDefault="00F929DA" w:rsidP="00F929D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46E3A99F" w14:textId="7AAB7C81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b/>
          <w:bCs/>
          <w:color w:val="000000"/>
          <w:lang w:eastAsia="bg-BG"/>
        </w:rPr>
        <w:t xml:space="preserve">АЦЦ </w:t>
      </w:r>
      <w:proofErr w:type="spellStart"/>
      <w:r w:rsidRPr="00F929DA">
        <w:rPr>
          <w:rFonts w:eastAsia="Times New Roman" w:cs="Arial"/>
          <w:b/>
          <w:bCs/>
          <w:color w:val="000000"/>
          <w:lang w:eastAsia="bg-BG"/>
        </w:rPr>
        <w:t>ефервесцентни</w:t>
      </w:r>
      <w:proofErr w:type="spellEnd"/>
      <w:r w:rsidRPr="00F929DA">
        <w:rPr>
          <w:rFonts w:eastAsia="Times New Roman" w:cs="Arial"/>
          <w:b/>
          <w:bCs/>
          <w:color w:val="000000"/>
          <w:lang w:eastAsia="bg-BG"/>
        </w:rPr>
        <w:t xml:space="preserve"> таблетки съдържа </w:t>
      </w:r>
      <w:proofErr w:type="spellStart"/>
      <w:r w:rsidRPr="00F929DA">
        <w:rPr>
          <w:rFonts w:eastAsia="Times New Roman" w:cs="Arial"/>
          <w:b/>
          <w:bCs/>
          <w:color w:val="000000"/>
          <w:lang w:eastAsia="bg-BG"/>
        </w:rPr>
        <w:t>сорбитол</w:t>
      </w:r>
      <w:proofErr w:type="spellEnd"/>
      <w:r w:rsidRPr="00F929DA">
        <w:rPr>
          <w:rFonts w:eastAsia="Times New Roman" w:cs="Arial"/>
          <w:b/>
          <w:bCs/>
          <w:color w:val="000000"/>
          <w:lang w:eastAsia="bg-BG"/>
        </w:rPr>
        <w:t>, лактоза и натрий</w:t>
      </w:r>
      <w:bookmarkEnd w:id="1"/>
    </w:p>
    <w:p w14:paraId="35F45D49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6EF1500" w14:textId="2D1FBF23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200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3D056B7B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Този лекарствен продукт съдържа до 20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във всяка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таблетка. Пациенти с редки наследствени проблеми на непоносимост към фруктоза </w:t>
      </w:r>
      <w:r w:rsidRPr="00F929DA">
        <w:rPr>
          <w:rFonts w:eastAsia="Times New Roman" w:cs="Arial"/>
          <w:color w:val="000000"/>
          <w:lang w:val="en-US"/>
        </w:rPr>
        <w:t xml:space="preserve">(HFI) </w:t>
      </w:r>
      <w:r w:rsidRPr="00F929DA">
        <w:rPr>
          <w:rFonts w:eastAsia="Times New Roman" w:cs="Arial"/>
          <w:color w:val="000000"/>
          <w:lang w:eastAsia="bg-BG"/>
        </w:rPr>
        <w:t>не трябва да приемат този лекарствен продукт.</w:t>
      </w:r>
    </w:p>
    <w:p w14:paraId="6B95560B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3F9164B" w14:textId="371CEBF8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Този лекарствен продукт съдържа 70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r w:rsidRPr="00F929DA">
        <w:rPr>
          <w:rFonts w:eastAsia="Times New Roman" w:cs="Arial"/>
          <w:color w:val="000000"/>
          <w:lang w:eastAsia="bg-BG"/>
        </w:rPr>
        <w:t xml:space="preserve">лактоза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таблетка. Пациенти с редки наследствени проблеми като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непоносимост, общ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глюкозо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малабсорбция не трябва да приемат този лекарствен продукт.</w:t>
      </w:r>
    </w:p>
    <w:p w14:paraId="7C2B887B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D8EF18" w14:textId="5B12D2BD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Този лекарствен продукт съдържа 4,3 </w:t>
      </w:r>
      <w:r w:rsidRPr="00F929DA">
        <w:rPr>
          <w:rFonts w:eastAsia="Times New Roman" w:cs="Arial"/>
          <w:color w:val="000000"/>
          <w:lang w:val="en-US"/>
        </w:rPr>
        <w:t xml:space="preserve">mmol </w:t>
      </w:r>
      <w:r w:rsidRPr="00F929DA">
        <w:rPr>
          <w:rFonts w:eastAsia="Times New Roman" w:cs="Arial"/>
          <w:color w:val="000000"/>
          <w:lang w:eastAsia="bg-BG"/>
        </w:rPr>
        <w:t xml:space="preserve">(99 </w:t>
      </w:r>
      <w:r w:rsidRPr="00F929DA">
        <w:rPr>
          <w:rFonts w:eastAsia="Times New Roman" w:cs="Arial"/>
          <w:color w:val="000000"/>
          <w:lang w:val="en-US"/>
        </w:rPr>
        <w:t xml:space="preserve">mg) </w:t>
      </w:r>
      <w:r w:rsidRPr="00F929DA">
        <w:rPr>
          <w:rFonts w:eastAsia="Times New Roman" w:cs="Arial"/>
          <w:color w:val="000000"/>
          <w:lang w:eastAsia="bg-BG"/>
        </w:rPr>
        <w:t xml:space="preserve">натрий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таблетка, еквивалентни на 5% от препоръчваната от СЗО максимална дневна доза от 2 </w:t>
      </w:r>
      <w:r w:rsidRPr="00F929DA">
        <w:rPr>
          <w:rFonts w:eastAsia="Times New Roman" w:cs="Arial"/>
          <w:color w:val="000000"/>
          <w:lang w:val="en-US"/>
        </w:rPr>
        <w:t xml:space="preserve">g </w:t>
      </w:r>
      <w:r w:rsidRPr="00F929DA">
        <w:rPr>
          <w:rFonts w:eastAsia="Times New Roman" w:cs="Arial"/>
          <w:color w:val="000000"/>
          <w:lang w:eastAsia="bg-BG"/>
        </w:rPr>
        <w:t>натрий за възрастен.</w:t>
      </w:r>
    </w:p>
    <w:p w14:paraId="6F62A9E7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E59603B" w14:textId="33EB9292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 xml:space="preserve">600 </w:t>
      </w:r>
      <w:r w:rsidRPr="00F929DA">
        <w:rPr>
          <w:rFonts w:eastAsia="Times New Roman" w:cs="Arial"/>
          <w:i/>
          <w:iCs/>
          <w:color w:val="000000"/>
          <w:lang w:val="en-US"/>
        </w:rPr>
        <w:t>mg:</w:t>
      </w:r>
    </w:p>
    <w:p w14:paraId="45CDA295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Този лекарствен продукт съдържа до 40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сорбитол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във всяка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таблетка.</w:t>
      </w:r>
    </w:p>
    <w:p w14:paraId="15DBFFA8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E2FE60" w14:textId="1C7D8174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Този лекарствен продукт съдържа 70 </w:t>
      </w:r>
      <w:r w:rsidRPr="00F929DA">
        <w:rPr>
          <w:rFonts w:eastAsia="Times New Roman" w:cs="Arial"/>
          <w:color w:val="000000"/>
          <w:lang w:val="en-US"/>
        </w:rPr>
        <w:t xml:space="preserve">mg </w:t>
      </w:r>
      <w:r w:rsidRPr="00F929DA">
        <w:rPr>
          <w:rFonts w:eastAsia="Times New Roman" w:cs="Arial"/>
          <w:color w:val="000000"/>
          <w:lang w:eastAsia="bg-BG"/>
        </w:rPr>
        <w:t xml:space="preserve">лактоза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таблетка. Пациенти с редки наследствени проблеми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непоносимост, тотален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глюкозо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-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малабсорбция не трябва да приемат този лекарствен продукт.</w:t>
      </w:r>
    </w:p>
    <w:p w14:paraId="64FB6C7A" w14:textId="77777777" w:rsidR="00F929DA" w:rsidRPr="00F929DA" w:rsidRDefault="00F929DA" w:rsidP="00F929DA">
      <w:pPr>
        <w:rPr>
          <w:rFonts w:eastAsia="Times New Roman" w:cs="Arial"/>
          <w:color w:val="000000"/>
          <w:lang w:eastAsia="bg-BG"/>
        </w:rPr>
      </w:pPr>
    </w:p>
    <w:p w14:paraId="2696DABF" w14:textId="1B31EA6F" w:rsidR="00F929DA" w:rsidRPr="00F929DA" w:rsidRDefault="00F929DA" w:rsidP="00F929DA">
      <w:pPr>
        <w:rPr>
          <w:rFonts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Този лекарствен продукт съдържа 6,0 </w:t>
      </w:r>
      <w:r w:rsidRPr="00F929DA">
        <w:rPr>
          <w:rFonts w:eastAsia="Times New Roman" w:cs="Arial"/>
          <w:color w:val="000000"/>
          <w:lang w:val="en-US"/>
        </w:rPr>
        <w:t xml:space="preserve">mmol </w:t>
      </w:r>
      <w:r w:rsidRPr="00F929DA">
        <w:rPr>
          <w:rFonts w:eastAsia="Times New Roman" w:cs="Arial"/>
          <w:color w:val="000000"/>
          <w:lang w:eastAsia="bg-BG"/>
        </w:rPr>
        <w:t xml:space="preserve">(139 </w:t>
      </w:r>
      <w:r w:rsidRPr="00F929DA">
        <w:rPr>
          <w:rFonts w:eastAsia="Times New Roman" w:cs="Arial"/>
          <w:color w:val="000000"/>
          <w:lang w:val="en-US"/>
        </w:rPr>
        <w:t xml:space="preserve">mg) </w:t>
      </w:r>
      <w:r w:rsidRPr="00F929DA">
        <w:rPr>
          <w:rFonts w:eastAsia="Times New Roman" w:cs="Arial"/>
          <w:color w:val="000000"/>
          <w:lang w:eastAsia="bg-BG"/>
        </w:rPr>
        <w:t xml:space="preserve">натрий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ефервесцентна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таблетка, еквивалентни на 7 % от препоръчваната от СЗО максимална дневна доза от 2 </w:t>
      </w:r>
      <w:r w:rsidRPr="00F929DA">
        <w:rPr>
          <w:rFonts w:eastAsia="Times New Roman" w:cs="Arial"/>
          <w:color w:val="000000"/>
          <w:lang w:val="en-US"/>
        </w:rPr>
        <w:t xml:space="preserve">g </w:t>
      </w:r>
      <w:r w:rsidRPr="00F929DA">
        <w:rPr>
          <w:rFonts w:eastAsia="Times New Roman" w:cs="Arial"/>
          <w:color w:val="000000"/>
          <w:lang w:eastAsia="bg-BG"/>
        </w:rPr>
        <w:t>натрий за възрастен.</w:t>
      </w:r>
    </w:p>
    <w:p w14:paraId="43530B14" w14:textId="77777777" w:rsidR="00F929DA" w:rsidRPr="00F929DA" w:rsidRDefault="00F929DA" w:rsidP="00F929DA"/>
    <w:p w14:paraId="297352C8" w14:textId="30B2EA7F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5ADADE5B" w14:textId="19912932" w:rsidR="00F929DA" w:rsidRDefault="00F929DA" w:rsidP="00F929DA"/>
    <w:p w14:paraId="24E1099E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>Проучвания за взаимодействията са провеждани само при възрастни.</w:t>
      </w:r>
    </w:p>
    <w:p w14:paraId="66FC4847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3AC531" w14:textId="5AC231C5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Комбинираното приложение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антитусивни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средства (средства за облекчаване на кашлицата) може да предизвика опасна конгестия на секрет поради потиснатия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кашличен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рефлекс, затова при такова комбинирано лечение е необходимо особено внимателно диагностициране.</w:t>
      </w:r>
    </w:p>
    <w:p w14:paraId="09714DCC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1ABDDFD" w14:textId="5F8842A3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>Антибиотици</w:t>
      </w:r>
    </w:p>
    <w:p w14:paraId="2970100C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>Съобщенията до настоящия момент за инактивация на антибиотици (</w:t>
      </w:r>
      <w:proofErr w:type="spellStart"/>
      <w:r w:rsidRPr="00F929DA">
        <w:rPr>
          <w:rFonts w:eastAsia="Times New Roman" w:cs="Arial"/>
          <w:color w:val="000000"/>
          <w:lang w:eastAsia="bg-BG"/>
        </w:rPr>
        <w:t>тетрациклини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аминогликозиди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пеницилини) от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се отнасят изключително до </w:t>
      </w:r>
      <w:r w:rsidRPr="00F929DA">
        <w:rPr>
          <w:rFonts w:eastAsia="Times New Roman" w:cs="Arial"/>
          <w:i/>
          <w:iCs/>
          <w:color w:val="000000"/>
          <w:lang w:val="en-US"/>
        </w:rPr>
        <w:t>in vitro</w:t>
      </w:r>
      <w:r w:rsidRPr="00F929DA">
        <w:rPr>
          <w:rFonts w:eastAsia="Times New Roman" w:cs="Arial"/>
          <w:color w:val="000000"/>
          <w:lang w:val="en-US"/>
        </w:rPr>
        <w:t xml:space="preserve"> </w:t>
      </w:r>
      <w:r w:rsidRPr="00F929DA">
        <w:rPr>
          <w:rFonts w:eastAsia="Times New Roman" w:cs="Arial"/>
          <w:color w:val="000000"/>
          <w:lang w:eastAsia="bg-BG"/>
        </w:rPr>
        <w:t xml:space="preserve">експерименти, при които съответните вещества са смесвани директно. Независимо от това, поради съображения за безопасност, пероралните антибиотици трябва да се приемат отделно и с интервал поне 2 часа от приема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. Това не се отнася за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цефиксим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лоракарбеф</w:t>
      </w:r>
      <w:proofErr w:type="spellEnd"/>
      <w:r w:rsidRPr="00F929DA">
        <w:rPr>
          <w:rFonts w:eastAsia="Times New Roman" w:cs="Arial"/>
          <w:color w:val="000000"/>
          <w:lang w:eastAsia="bg-BG"/>
        </w:rPr>
        <w:t>.</w:t>
      </w:r>
    </w:p>
    <w:p w14:paraId="2594FBB0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B246DBB" w14:textId="42B14446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>Активен въглен във високи дози</w:t>
      </w:r>
    </w:p>
    <w:p w14:paraId="4F9282D0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Употребата на активен въглен може да понижи ефекта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>.</w:t>
      </w:r>
    </w:p>
    <w:p w14:paraId="70E6185C" w14:textId="1EFD1460" w:rsidR="00F929DA" w:rsidRDefault="00F929DA" w:rsidP="00F929DA"/>
    <w:p w14:paraId="03D1EA83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>/</w:t>
      </w:r>
      <w:proofErr w:type="spellStart"/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>глшцерил</w:t>
      </w:r>
      <w:proofErr w:type="spellEnd"/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 xml:space="preserve"> </w:t>
      </w:r>
      <w:proofErr w:type="spellStart"/>
      <w:r w:rsidRPr="00F929DA">
        <w:rPr>
          <w:rFonts w:eastAsia="Times New Roman" w:cs="Arial"/>
          <w:i/>
          <w:iCs/>
          <w:color w:val="000000"/>
          <w:u w:val="single"/>
          <w:lang w:eastAsia="bg-BG"/>
        </w:rPr>
        <w:t>тринитрат</w:t>
      </w:r>
      <w:proofErr w:type="spellEnd"/>
    </w:p>
    <w:p w14:paraId="271E6694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Съдоразширяващия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антиагрегантния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ефект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глицерил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тринитрат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(нитроглицерин) може да се повиши при едновременен прием с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>.</w:t>
      </w:r>
    </w:p>
    <w:p w14:paraId="5451FE14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Ако е необходимо общо лечение с нитроглицерин 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>, пациентът трябва да бъде наблюдаван за потенциална хипотония, която може да е сериозна и може да бъде представена с главоболие.</w:t>
      </w:r>
    </w:p>
    <w:p w14:paraId="31CEA9E9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88D1596" w14:textId="563E5EFB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>Промени в определянето на лабораторни показатели</w:t>
      </w:r>
    </w:p>
    <w:p w14:paraId="35006ADA" w14:textId="77777777" w:rsidR="00F929DA" w:rsidRDefault="00F929DA" w:rsidP="00F929DA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може да повлияе колориметричното изследване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салицилати.</w:t>
      </w:r>
      <w:proofErr w:type="spellEnd"/>
    </w:p>
    <w:p w14:paraId="23CF5FF6" w14:textId="1BCD7B50" w:rsidR="00F929DA" w:rsidRPr="00F929DA" w:rsidRDefault="00F929DA" w:rsidP="00F929DA">
      <w:pPr>
        <w:pStyle w:val="a3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F929DA">
        <w:rPr>
          <w:rFonts w:eastAsia="Times New Roman" w:cs="Arial"/>
          <w:color w:val="000000"/>
          <w:lang w:eastAsia="bg-BG"/>
        </w:rPr>
        <w:t xml:space="preserve">при изследвания на урина,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може да повлияе резултатите при определянето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кетотела</w:t>
      </w:r>
      <w:proofErr w:type="spellEnd"/>
      <w:r w:rsidRPr="00F929DA">
        <w:rPr>
          <w:rFonts w:eastAsia="Times New Roman" w:cs="Arial"/>
          <w:color w:val="000000"/>
          <w:lang w:eastAsia="bg-BG"/>
        </w:rPr>
        <w:t>.</w:t>
      </w:r>
    </w:p>
    <w:p w14:paraId="3001F5C5" w14:textId="77777777" w:rsidR="00F929DA" w:rsidRPr="00F929DA" w:rsidRDefault="00F929DA" w:rsidP="00F929DA">
      <w:pPr>
        <w:rPr>
          <w:rFonts w:eastAsia="Times New Roman" w:cs="Arial"/>
          <w:color w:val="000000"/>
          <w:lang w:eastAsia="bg-BG"/>
        </w:rPr>
      </w:pPr>
    </w:p>
    <w:p w14:paraId="6E03680F" w14:textId="529437EA" w:rsidR="00F929DA" w:rsidRDefault="00F929DA" w:rsidP="00F929DA">
      <w:pPr>
        <w:rPr>
          <w:rFonts w:eastAsia="Times New Roman" w:cs="Arial"/>
          <w:color w:val="000000"/>
          <w:lang w:eastAsia="bg-BG"/>
        </w:rPr>
      </w:pPr>
      <w:r w:rsidRPr="00F929DA">
        <w:rPr>
          <w:rFonts w:eastAsia="Times New Roman" w:cs="Arial"/>
          <w:color w:val="000000"/>
          <w:lang w:eastAsia="bg-BG"/>
        </w:rPr>
        <w:t xml:space="preserve">Не се препоръчва разтварянето на различни форми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 други лекарствени продукти.</w:t>
      </w:r>
    </w:p>
    <w:p w14:paraId="1B31DD15" w14:textId="77777777" w:rsidR="00F929DA" w:rsidRPr="00F929DA" w:rsidRDefault="00F929DA" w:rsidP="00F929DA">
      <w:pPr>
        <w:rPr>
          <w:rFonts w:cs="Arial"/>
        </w:rPr>
      </w:pPr>
    </w:p>
    <w:p w14:paraId="20B09708" w14:textId="6C100F46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F26E7B7" w14:textId="62FB36A2" w:rsidR="00F929DA" w:rsidRDefault="00F929DA" w:rsidP="00F929DA"/>
    <w:p w14:paraId="38B78AB7" w14:textId="77777777" w:rsidR="00F929DA" w:rsidRPr="00F929DA" w:rsidRDefault="00F929DA" w:rsidP="00F929DA">
      <w:pPr>
        <w:pStyle w:val="3"/>
        <w:rPr>
          <w:rFonts w:eastAsia="Times New Roman"/>
          <w:i/>
          <w:iCs/>
        </w:rPr>
      </w:pPr>
      <w:proofErr w:type="spellStart"/>
      <w:r w:rsidRPr="00F929DA">
        <w:rPr>
          <w:rFonts w:eastAsia="Times New Roman"/>
          <w:i/>
          <w:iCs/>
          <w:lang w:eastAsia="bg-BG"/>
        </w:rPr>
        <w:t>Фертилитет</w:t>
      </w:r>
      <w:proofErr w:type="spellEnd"/>
    </w:p>
    <w:p w14:paraId="74516E50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Не са налични данни относно ефекта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върху </w:t>
      </w:r>
      <w:proofErr w:type="spellStart"/>
      <w:r w:rsidRPr="00F929DA">
        <w:rPr>
          <w:lang w:eastAsia="bg-BG"/>
        </w:rPr>
        <w:t>фертилитета</w:t>
      </w:r>
      <w:proofErr w:type="spellEnd"/>
      <w:r w:rsidRPr="00F929DA">
        <w:rPr>
          <w:lang w:eastAsia="bg-BG"/>
        </w:rPr>
        <w:t xml:space="preserve"> при хората. Проучванията при животни не показват вредни ефекти по отношение на </w:t>
      </w:r>
      <w:proofErr w:type="spellStart"/>
      <w:r w:rsidRPr="00F929DA">
        <w:rPr>
          <w:lang w:eastAsia="bg-BG"/>
        </w:rPr>
        <w:t>фертилитета</w:t>
      </w:r>
      <w:proofErr w:type="spellEnd"/>
      <w:r w:rsidRPr="00F929DA">
        <w:rPr>
          <w:lang w:eastAsia="bg-BG"/>
        </w:rPr>
        <w:t xml:space="preserve"> при хора при прилагане на препоръчителните дози (виж точка 5.3).</w:t>
      </w:r>
    </w:p>
    <w:p w14:paraId="535C2309" w14:textId="77777777" w:rsidR="00F929DA" w:rsidRDefault="00F929DA" w:rsidP="00F929DA">
      <w:pPr>
        <w:rPr>
          <w:lang w:eastAsia="bg-BG"/>
        </w:rPr>
      </w:pPr>
    </w:p>
    <w:p w14:paraId="7301D91D" w14:textId="5B227129" w:rsidR="00F929DA" w:rsidRPr="00F929DA" w:rsidRDefault="00F929DA" w:rsidP="00F929DA">
      <w:pPr>
        <w:pStyle w:val="3"/>
        <w:rPr>
          <w:rFonts w:eastAsia="Times New Roman"/>
          <w:i/>
          <w:iCs/>
        </w:rPr>
      </w:pPr>
      <w:r w:rsidRPr="00F929DA">
        <w:rPr>
          <w:rFonts w:eastAsia="Times New Roman"/>
          <w:i/>
          <w:iCs/>
          <w:lang w:eastAsia="bg-BG"/>
        </w:rPr>
        <w:t>Бременност</w:t>
      </w:r>
    </w:p>
    <w:p w14:paraId="28F316A9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Не са налични убедителни клинични от употребата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при бременни. Изпитванията при животни не показват преки или непреки вредни ефекти по отношение на репродуктивната токсичност (виж точка 5.3). Когато това е възможно, употребата по време на бременност трябва да се избягва и да се предприема само след внимателна оценка на съотношението полза-риск.</w:t>
      </w:r>
    </w:p>
    <w:p w14:paraId="3E2CE38D" w14:textId="77777777" w:rsidR="00F929DA" w:rsidRDefault="00F929DA" w:rsidP="00F929DA">
      <w:pPr>
        <w:rPr>
          <w:lang w:eastAsia="bg-BG"/>
        </w:rPr>
      </w:pPr>
    </w:p>
    <w:p w14:paraId="10B9253E" w14:textId="23E5B3BB" w:rsidR="00F929DA" w:rsidRPr="00F929DA" w:rsidRDefault="00F929DA" w:rsidP="00F929DA">
      <w:pPr>
        <w:pStyle w:val="3"/>
        <w:rPr>
          <w:rFonts w:eastAsia="Times New Roman"/>
          <w:i/>
          <w:iCs/>
        </w:rPr>
      </w:pPr>
      <w:r w:rsidRPr="00F929DA">
        <w:rPr>
          <w:rFonts w:eastAsia="Times New Roman"/>
          <w:i/>
          <w:iCs/>
          <w:lang w:eastAsia="bg-BG"/>
        </w:rPr>
        <w:t>Кърмене</w:t>
      </w:r>
    </w:p>
    <w:p w14:paraId="29D678D1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Няма информация относно екскрецията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или неговите метаболити в кърмата. Не може да се изключи риск за кърмачето. Употреба по време на кърмене трябва да се предприема само след внимателна оценка на съотношението полза-риск.</w:t>
      </w:r>
    </w:p>
    <w:p w14:paraId="5A6BD40B" w14:textId="77777777" w:rsidR="00F929DA" w:rsidRPr="00F929DA" w:rsidRDefault="00F929DA" w:rsidP="00F929DA"/>
    <w:p w14:paraId="13465597" w14:textId="10B8F4C0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2292337B" w14:textId="5DCDC555" w:rsidR="00F929DA" w:rsidRDefault="00F929DA" w:rsidP="00F929DA"/>
    <w:p w14:paraId="3A182AF1" w14:textId="3358E629" w:rsidR="00F929DA" w:rsidRDefault="00F929DA" w:rsidP="00F929DA">
      <w:proofErr w:type="spellStart"/>
      <w:r>
        <w:t>Ацетилцистеин</w:t>
      </w:r>
      <w:proofErr w:type="spellEnd"/>
      <w:r>
        <w:t xml:space="preserve"> не повлиява способността за шофиране и работа с машини.</w:t>
      </w:r>
    </w:p>
    <w:p w14:paraId="748282C4" w14:textId="77777777" w:rsidR="00F929DA" w:rsidRPr="00F929DA" w:rsidRDefault="00F929DA" w:rsidP="00F929DA"/>
    <w:p w14:paraId="5D66F04B" w14:textId="4DDF8B2B" w:rsidR="003765DC" w:rsidRDefault="002C50EE" w:rsidP="002B3C38">
      <w:pPr>
        <w:pStyle w:val="2"/>
      </w:pPr>
      <w:r>
        <w:t>4.8. Нежелани лекарствени реакции</w:t>
      </w:r>
    </w:p>
    <w:p w14:paraId="13EAD51A" w14:textId="32FE102D" w:rsidR="00F929DA" w:rsidRDefault="00F929DA" w:rsidP="00F929DA"/>
    <w:p w14:paraId="1E4B5EC7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Оценката на нежеланите реакции се базира на следната информация за честотата им:</w:t>
      </w:r>
    </w:p>
    <w:p w14:paraId="4C7FC638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Много чести (</w:t>
      </w:r>
      <w:r w:rsidRPr="00F929DA">
        <w:rPr>
          <w:lang w:val="en-US"/>
        </w:rPr>
        <w:t>≥</w:t>
      </w:r>
      <w:r w:rsidRPr="00F929DA">
        <w:rPr>
          <w:lang w:eastAsia="bg-BG"/>
        </w:rPr>
        <w:t xml:space="preserve"> 1/10)</w:t>
      </w:r>
    </w:p>
    <w:p w14:paraId="5CE42896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Чести (</w:t>
      </w:r>
      <w:r w:rsidRPr="00F929DA">
        <w:rPr>
          <w:lang w:val="en-US"/>
        </w:rPr>
        <w:t>≥</w:t>
      </w:r>
      <w:r w:rsidRPr="00F929DA">
        <w:rPr>
          <w:lang w:eastAsia="bg-BG"/>
        </w:rPr>
        <w:t>1/100 до &lt; 1/10)</w:t>
      </w:r>
    </w:p>
    <w:p w14:paraId="37F5DEF4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Нечести (</w:t>
      </w:r>
      <w:r w:rsidRPr="00F929DA">
        <w:rPr>
          <w:lang w:val="en-US"/>
        </w:rPr>
        <w:t>≥</w:t>
      </w:r>
      <w:r w:rsidRPr="00F929DA">
        <w:rPr>
          <w:lang w:eastAsia="bg-BG"/>
        </w:rPr>
        <w:t>1/1 000 до &lt; 1/100)</w:t>
      </w:r>
    </w:p>
    <w:p w14:paraId="6E771606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Редки (</w:t>
      </w:r>
      <w:r w:rsidRPr="00F929DA">
        <w:rPr>
          <w:lang w:val="en-US"/>
        </w:rPr>
        <w:t>≥</w:t>
      </w:r>
      <w:r w:rsidRPr="00F929DA">
        <w:rPr>
          <w:lang w:eastAsia="bg-BG"/>
        </w:rPr>
        <w:t>1/10 000 до &lt; 1/1 000)</w:t>
      </w:r>
    </w:p>
    <w:p w14:paraId="6994C6C8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Много редки (&lt; 1/10 000)</w:t>
      </w:r>
    </w:p>
    <w:p w14:paraId="57BF5DFF" w14:textId="6DD9E1F3" w:rsidR="00F929DA" w:rsidRDefault="00F929DA" w:rsidP="00F929DA">
      <w:pPr>
        <w:rPr>
          <w:lang w:eastAsia="bg-BG"/>
        </w:rPr>
      </w:pPr>
      <w:r w:rsidRPr="00F929DA">
        <w:rPr>
          <w:lang w:eastAsia="bg-BG"/>
        </w:rPr>
        <w:t>С неизвестна честота (от наличните данни не може да бъде направена оценка)</w:t>
      </w:r>
    </w:p>
    <w:p w14:paraId="5ABE1FB0" w14:textId="4AD278E1" w:rsidR="00F929DA" w:rsidRDefault="00F929DA" w:rsidP="00F929DA">
      <w:pPr>
        <w:rPr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1"/>
        <w:gridCol w:w="1545"/>
        <w:gridCol w:w="1595"/>
        <w:gridCol w:w="3245"/>
        <w:gridCol w:w="1324"/>
      </w:tblGrid>
      <w:tr w:rsidR="00F929DA" w14:paraId="36E82DE9" w14:textId="77777777" w:rsidTr="00F929DA">
        <w:tc>
          <w:tcPr>
            <w:tcW w:w="1680" w:type="dxa"/>
            <w:vMerge w:val="restart"/>
          </w:tcPr>
          <w:p w14:paraId="76387119" w14:textId="3D123808" w:rsidR="00F929DA" w:rsidRPr="00F929DA" w:rsidRDefault="00F929DA" w:rsidP="00F929D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929DA">
              <w:rPr>
                <w:b/>
                <w:bCs/>
                <w:lang w:eastAsia="bg-BG"/>
              </w:rPr>
              <w:t>Системо</w:t>
            </w:r>
            <w:proofErr w:type="spellEnd"/>
            <w:r w:rsidRPr="00F929DA">
              <w:rPr>
                <w:b/>
                <w:bCs/>
                <w:lang w:eastAsia="bg-BG"/>
              </w:rPr>
              <w:t>-органен клас</w:t>
            </w:r>
          </w:p>
        </w:tc>
        <w:tc>
          <w:tcPr>
            <w:tcW w:w="7896" w:type="dxa"/>
            <w:gridSpan w:val="4"/>
          </w:tcPr>
          <w:p w14:paraId="71431E24" w14:textId="03BDEAB8" w:rsidR="00F929DA" w:rsidRPr="00F929DA" w:rsidRDefault="00F929DA" w:rsidP="00F929D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9DA">
              <w:rPr>
                <w:b/>
                <w:bCs/>
                <w:lang w:eastAsia="bg-BG"/>
              </w:rPr>
              <w:t>Нежелани реакции</w:t>
            </w:r>
          </w:p>
        </w:tc>
      </w:tr>
      <w:tr w:rsidR="00F929DA" w14:paraId="12B4E8A4" w14:textId="77777777" w:rsidTr="00F929DA">
        <w:tc>
          <w:tcPr>
            <w:tcW w:w="1680" w:type="dxa"/>
            <w:vMerge/>
          </w:tcPr>
          <w:p w14:paraId="04360D9A" w14:textId="77777777" w:rsid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581" w:type="dxa"/>
          </w:tcPr>
          <w:p w14:paraId="28B48B23" w14:textId="205A9A4C" w:rsidR="00F929DA" w:rsidRPr="00F929DA" w:rsidRDefault="00F929DA" w:rsidP="00F929DA">
            <w:pPr>
              <w:rPr>
                <w:b/>
                <w:bCs/>
                <w:lang w:eastAsia="bg-BG"/>
              </w:rPr>
            </w:pPr>
            <w:r w:rsidRPr="00F929DA">
              <w:rPr>
                <w:b/>
                <w:bCs/>
              </w:rPr>
              <w:t>Нечести</w:t>
            </w:r>
          </w:p>
        </w:tc>
        <w:tc>
          <w:tcPr>
            <w:tcW w:w="1632" w:type="dxa"/>
          </w:tcPr>
          <w:p w14:paraId="314A8E6A" w14:textId="4EDE0B2F" w:rsidR="00F929DA" w:rsidRPr="00F929DA" w:rsidRDefault="00F929DA" w:rsidP="00F929DA">
            <w:pPr>
              <w:rPr>
                <w:b/>
                <w:bCs/>
                <w:lang w:eastAsia="bg-BG"/>
              </w:rPr>
            </w:pPr>
            <w:r w:rsidRPr="00F929DA">
              <w:rPr>
                <w:b/>
                <w:bCs/>
              </w:rPr>
              <w:t>Редки</w:t>
            </w:r>
          </w:p>
        </w:tc>
        <w:tc>
          <w:tcPr>
            <w:tcW w:w="3328" w:type="dxa"/>
          </w:tcPr>
          <w:p w14:paraId="1446440A" w14:textId="375FDF0B" w:rsidR="00F929DA" w:rsidRPr="00F929DA" w:rsidRDefault="00F929DA" w:rsidP="00F929DA">
            <w:pPr>
              <w:rPr>
                <w:b/>
                <w:bCs/>
                <w:lang w:eastAsia="bg-BG"/>
              </w:rPr>
            </w:pPr>
            <w:r w:rsidRPr="00F929DA">
              <w:rPr>
                <w:b/>
                <w:bCs/>
              </w:rPr>
              <w:t>Много редки</w:t>
            </w:r>
          </w:p>
        </w:tc>
        <w:tc>
          <w:tcPr>
            <w:tcW w:w="1355" w:type="dxa"/>
            <w:vAlign w:val="bottom"/>
          </w:tcPr>
          <w:p w14:paraId="66ACEAB4" w14:textId="73FC8215" w:rsidR="00F929DA" w:rsidRPr="00F929DA" w:rsidRDefault="00F929DA" w:rsidP="00F929DA">
            <w:pPr>
              <w:rPr>
                <w:b/>
                <w:bCs/>
                <w:lang w:eastAsia="bg-BG"/>
              </w:rPr>
            </w:pPr>
            <w:r w:rsidRPr="00F929DA">
              <w:rPr>
                <w:b/>
                <w:bCs/>
              </w:rPr>
              <w:t>С неизвестна честота</w:t>
            </w:r>
          </w:p>
        </w:tc>
      </w:tr>
      <w:tr w:rsidR="00F929DA" w14:paraId="3E613303" w14:textId="77777777" w:rsidTr="00F929DA">
        <w:tc>
          <w:tcPr>
            <w:tcW w:w="1680" w:type="dxa"/>
            <w:vAlign w:val="bottom"/>
          </w:tcPr>
          <w:p w14:paraId="414D889C" w14:textId="2C7FE505" w:rsidR="00F929DA" w:rsidRDefault="00F929DA" w:rsidP="00F929DA">
            <w:pPr>
              <w:rPr>
                <w:lang w:eastAsia="bg-BG"/>
              </w:rPr>
            </w:pPr>
            <w:r>
              <w:rPr>
                <w:rFonts w:cs="Arial"/>
              </w:rPr>
              <w:t>Нарушения на имунната система</w:t>
            </w:r>
          </w:p>
        </w:tc>
        <w:tc>
          <w:tcPr>
            <w:tcW w:w="1581" w:type="dxa"/>
            <w:vAlign w:val="bottom"/>
          </w:tcPr>
          <w:p w14:paraId="567EA8E1" w14:textId="4181BA52" w:rsidR="00F929DA" w:rsidRDefault="00F929DA" w:rsidP="00F929DA">
            <w:pPr>
              <w:rPr>
                <w:lang w:eastAsia="bg-BG"/>
              </w:rPr>
            </w:pPr>
            <w:r>
              <w:rPr>
                <w:rFonts w:cs="Arial"/>
              </w:rPr>
              <w:t xml:space="preserve">Реакции на </w:t>
            </w:r>
            <w:proofErr w:type="spellStart"/>
            <w:r>
              <w:rPr>
                <w:rFonts w:cs="Arial"/>
              </w:rPr>
              <w:t>свръхчувствит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елност</w:t>
            </w:r>
            <w:proofErr w:type="spellEnd"/>
          </w:p>
        </w:tc>
        <w:tc>
          <w:tcPr>
            <w:tcW w:w="1632" w:type="dxa"/>
          </w:tcPr>
          <w:p w14:paraId="5421A245" w14:textId="77777777" w:rsid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  <w:vAlign w:val="bottom"/>
          </w:tcPr>
          <w:p w14:paraId="295B0570" w14:textId="28D5BCE6" w:rsidR="00F929DA" w:rsidRDefault="00F929DA" w:rsidP="00F929DA">
            <w:pPr>
              <w:rPr>
                <w:lang w:eastAsia="bg-BG"/>
              </w:rPr>
            </w:pPr>
            <w:proofErr w:type="spellStart"/>
            <w:r>
              <w:t>Анафилактичен</w:t>
            </w:r>
            <w:proofErr w:type="spellEnd"/>
            <w:r>
              <w:t xml:space="preserve"> шок, </w:t>
            </w:r>
            <w:proofErr w:type="spellStart"/>
            <w:r>
              <w:t>анафилактични</w:t>
            </w:r>
            <w:proofErr w:type="spellEnd"/>
            <w:r>
              <w:t>/</w:t>
            </w:r>
            <w:proofErr w:type="spellStart"/>
            <w:r>
              <w:t>анафилактоидни</w:t>
            </w:r>
            <w:proofErr w:type="spellEnd"/>
            <w:r>
              <w:t xml:space="preserve"> реакции</w:t>
            </w:r>
          </w:p>
        </w:tc>
        <w:tc>
          <w:tcPr>
            <w:tcW w:w="1355" w:type="dxa"/>
          </w:tcPr>
          <w:p w14:paraId="23EC6165" w14:textId="77777777" w:rsid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31AAD917" w14:textId="77777777" w:rsidTr="00F929DA">
        <w:tc>
          <w:tcPr>
            <w:tcW w:w="1680" w:type="dxa"/>
          </w:tcPr>
          <w:p w14:paraId="31EED355" w14:textId="0457A50C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Нарушения на нервната система</w:t>
            </w:r>
          </w:p>
        </w:tc>
        <w:tc>
          <w:tcPr>
            <w:tcW w:w="1581" w:type="dxa"/>
          </w:tcPr>
          <w:p w14:paraId="322E242B" w14:textId="316360CD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Главоболие</w:t>
            </w:r>
          </w:p>
        </w:tc>
        <w:tc>
          <w:tcPr>
            <w:tcW w:w="1632" w:type="dxa"/>
          </w:tcPr>
          <w:p w14:paraId="2F2E599E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2030CDA1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0B4D5B0E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0A7BB0A6" w14:textId="77777777" w:rsidTr="00F929DA">
        <w:tc>
          <w:tcPr>
            <w:tcW w:w="1680" w:type="dxa"/>
            <w:vAlign w:val="bottom"/>
          </w:tcPr>
          <w:p w14:paraId="02571942" w14:textId="4C856F17" w:rsidR="00F929DA" w:rsidRPr="00F929DA" w:rsidRDefault="00F929DA" w:rsidP="00F929DA">
            <w:pPr>
              <w:rPr>
                <w:lang w:eastAsia="bg-BG"/>
              </w:rPr>
            </w:pPr>
            <w:r w:rsidRPr="00F929DA">
              <w:t>Нарушения на ухото и лабиринта</w:t>
            </w:r>
          </w:p>
        </w:tc>
        <w:tc>
          <w:tcPr>
            <w:tcW w:w="1581" w:type="dxa"/>
          </w:tcPr>
          <w:p w14:paraId="62709A8B" w14:textId="36039E4C" w:rsidR="00F929DA" w:rsidRPr="00F929DA" w:rsidRDefault="00F929DA" w:rsidP="00F929DA">
            <w:pPr>
              <w:rPr>
                <w:lang w:eastAsia="bg-BG"/>
              </w:rPr>
            </w:pPr>
            <w:proofErr w:type="spellStart"/>
            <w:r w:rsidRPr="00F929DA">
              <w:t>Тинитус</w:t>
            </w:r>
            <w:proofErr w:type="spellEnd"/>
          </w:p>
        </w:tc>
        <w:tc>
          <w:tcPr>
            <w:tcW w:w="1632" w:type="dxa"/>
          </w:tcPr>
          <w:p w14:paraId="14E5AEBA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4A6CD316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4BEAD1B3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1FE39DE2" w14:textId="77777777" w:rsidTr="00F929DA">
        <w:tc>
          <w:tcPr>
            <w:tcW w:w="1680" w:type="dxa"/>
          </w:tcPr>
          <w:p w14:paraId="46348401" w14:textId="43DC9463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Сърдечни нарушения</w:t>
            </w:r>
          </w:p>
        </w:tc>
        <w:tc>
          <w:tcPr>
            <w:tcW w:w="1581" w:type="dxa"/>
          </w:tcPr>
          <w:p w14:paraId="67B900F0" w14:textId="00357E73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Тахикардия</w:t>
            </w:r>
          </w:p>
        </w:tc>
        <w:tc>
          <w:tcPr>
            <w:tcW w:w="1632" w:type="dxa"/>
          </w:tcPr>
          <w:p w14:paraId="3F65EA94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43E4FF1D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431BE316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2D923B6A" w14:textId="77777777" w:rsidTr="00F929DA">
        <w:tc>
          <w:tcPr>
            <w:tcW w:w="1680" w:type="dxa"/>
            <w:vAlign w:val="bottom"/>
          </w:tcPr>
          <w:p w14:paraId="7A2CA73D" w14:textId="1F40A525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Съдови нарушения</w:t>
            </w:r>
          </w:p>
        </w:tc>
        <w:tc>
          <w:tcPr>
            <w:tcW w:w="1581" w:type="dxa"/>
          </w:tcPr>
          <w:p w14:paraId="1E18BB95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632" w:type="dxa"/>
          </w:tcPr>
          <w:p w14:paraId="35E116AD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172FB2A2" w14:textId="0E0C4C18" w:rsidR="00F929DA" w:rsidRPr="00F929DA" w:rsidRDefault="00F929DA" w:rsidP="00F929DA">
            <w:pPr>
              <w:rPr>
                <w:lang w:eastAsia="bg-BG"/>
              </w:rPr>
            </w:pPr>
            <w:r w:rsidRPr="00F929DA">
              <w:t>Кръвоизлив</w:t>
            </w:r>
          </w:p>
        </w:tc>
        <w:tc>
          <w:tcPr>
            <w:tcW w:w="1355" w:type="dxa"/>
          </w:tcPr>
          <w:p w14:paraId="1BE4A4C8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010C0BBB" w14:textId="77777777" w:rsidTr="00F929DA">
        <w:tc>
          <w:tcPr>
            <w:tcW w:w="1680" w:type="dxa"/>
            <w:vAlign w:val="bottom"/>
          </w:tcPr>
          <w:p w14:paraId="5DFE122B" w14:textId="08CFF9CE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 xml:space="preserve">Респираторни, гръдни и </w:t>
            </w:r>
            <w:proofErr w:type="spellStart"/>
            <w:r w:rsidRPr="00F929DA">
              <w:rPr>
                <w:rFonts w:cs="Arial"/>
              </w:rPr>
              <w:lastRenderedPageBreak/>
              <w:t>медиастинални</w:t>
            </w:r>
            <w:proofErr w:type="spellEnd"/>
            <w:r w:rsidRPr="00F929DA">
              <w:rPr>
                <w:rFonts w:cs="Arial"/>
              </w:rPr>
              <w:t xml:space="preserve"> нарушения</w:t>
            </w:r>
          </w:p>
        </w:tc>
        <w:tc>
          <w:tcPr>
            <w:tcW w:w="1581" w:type="dxa"/>
          </w:tcPr>
          <w:p w14:paraId="770BF274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632" w:type="dxa"/>
          </w:tcPr>
          <w:p w14:paraId="20614F7E" w14:textId="2DAF1972" w:rsidR="00F929DA" w:rsidRPr="00F929DA" w:rsidRDefault="00F929DA" w:rsidP="00F929DA">
            <w:pPr>
              <w:rPr>
                <w:lang w:eastAsia="bg-BG"/>
              </w:rPr>
            </w:pPr>
            <w:proofErr w:type="spellStart"/>
            <w:r w:rsidRPr="00F929DA">
              <w:t>Бронхоспазъм</w:t>
            </w:r>
            <w:proofErr w:type="spellEnd"/>
            <w:r w:rsidRPr="00F929DA">
              <w:t xml:space="preserve">, </w:t>
            </w:r>
            <w:proofErr w:type="spellStart"/>
            <w:r w:rsidRPr="00F929DA">
              <w:t>диспнея</w:t>
            </w:r>
            <w:proofErr w:type="spellEnd"/>
          </w:p>
        </w:tc>
        <w:tc>
          <w:tcPr>
            <w:tcW w:w="3328" w:type="dxa"/>
          </w:tcPr>
          <w:p w14:paraId="50335848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5CCEB53F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460BA653" w14:textId="77777777" w:rsidTr="00F929DA">
        <w:tc>
          <w:tcPr>
            <w:tcW w:w="1680" w:type="dxa"/>
          </w:tcPr>
          <w:p w14:paraId="462AB03E" w14:textId="29BD0C9D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Стомашно- чревни нарушения</w:t>
            </w:r>
          </w:p>
        </w:tc>
        <w:tc>
          <w:tcPr>
            <w:tcW w:w="1581" w:type="dxa"/>
            <w:vAlign w:val="bottom"/>
          </w:tcPr>
          <w:p w14:paraId="6EB813E9" w14:textId="5499A067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Повръщане, диария, стоматит, коремна болка, гадене</w:t>
            </w:r>
          </w:p>
        </w:tc>
        <w:tc>
          <w:tcPr>
            <w:tcW w:w="1632" w:type="dxa"/>
          </w:tcPr>
          <w:p w14:paraId="26E0D1B3" w14:textId="24AB6031" w:rsidR="00F929DA" w:rsidRPr="00F929DA" w:rsidRDefault="00F929DA" w:rsidP="00F929DA">
            <w:pPr>
              <w:rPr>
                <w:lang w:eastAsia="bg-BG"/>
              </w:rPr>
            </w:pPr>
            <w:r w:rsidRPr="00F929DA">
              <w:t>Диспепсия</w:t>
            </w:r>
          </w:p>
        </w:tc>
        <w:tc>
          <w:tcPr>
            <w:tcW w:w="3328" w:type="dxa"/>
          </w:tcPr>
          <w:p w14:paraId="19D983D7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48A39158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2F35F0A2" w14:textId="77777777" w:rsidTr="00F929DA">
        <w:tc>
          <w:tcPr>
            <w:tcW w:w="1680" w:type="dxa"/>
          </w:tcPr>
          <w:p w14:paraId="47F89153" w14:textId="5D960A4C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Нарушения на кожата и подкожната тъкан</w:t>
            </w:r>
          </w:p>
        </w:tc>
        <w:tc>
          <w:tcPr>
            <w:tcW w:w="1581" w:type="dxa"/>
            <w:vAlign w:val="bottom"/>
          </w:tcPr>
          <w:p w14:paraId="25EBE875" w14:textId="6015DEEC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 xml:space="preserve">Уртикария, обрив, ангиоедем, сърбеж, </w:t>
            </w:r>
            <w:proofErr w:type="spellStart"/>
            <w:r w:rsidRPr="00F929DA">
              <w:rPr>
                <w:rFonts w:cs="Arial"/>
              </w:rPr>
              <w:t>екзантем</w:t>
            </w:r>
            <w:proofErr w:type="spellEnd"/>
          </w:p>
        </w:tc>
        <w:tc>
          <w:tcPr>
            <w:tcW w:w="1632" w:type="dxa"/>
          </w:tcPr>
          <w:p w14:paraId="66419908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7D98C183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6844B739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  <w:tr w:rsidR="00F929DA" w14:paraId="5FEEC022" w14:textId="77777777" w:rsidTr="00F929DA">
        <w:tc>
          <w:tcPr>
            <w:tcW w:w="1680" w:type="dxa"/>
            <w:vAlign w:val="bottom"/>
          </w:tcPr>
          <w:p w14:paraId="435D320C" w14:textId="4215F15B" w:rsidR="00F929DA" w:rsidRPr="00F929DA" w:rsidRDefault="00F929DA" w:rsidP="00F929DA">
            <w:pPr>
              <w:rPr>
                <w:lang w:eastAsia="bg-BG"/>
              </w:rPr>
            </w:pPr>
            <w:r w:rsidRPr="00F929DA">
              <w:t>Общи нарушения и ефекти на мястото на приложение</w:t>
            </w:r>
          </w:p>
        </w:tc>
        <w:tc>
          <w:tcPr>
            <w:tcW w:w="1581" w:type="dxa"/>
          </w:tcPr>
          <w:p w14:paraId="6955BCDD" w14:textId="5ED8FFEE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Треска</w:t>
            </w:r>
          </w:p>
        </w:tc>
        <w:tc>
          <w:tcPr>
            <w:tcW w:w="1632" w:type="dxa"/>
          </w:tcPr>
          <w:p w14:paraId="193B6791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1700F421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1AA25049" w14:textId="45DF3F6D" w:rsidR="00F929DA" w:rsidRPr="00F929DA" w:rsidRDefault="00F929DA" w:rsidP="00F929DA">
            <w:pPr>
              <w:rPr>
                <w:lang w:eastAsia="bg-BG"/>
              </w:rPr>
            </w:pPr>
            <w:r w:rsidRPr="00F929DA">
              <w:rPr>
                <w:rFonts w:cs="Arial"/>
              </w:rPr>
              <w:t>Оток на лицето</w:t>
            </w:r>
          </w:p>
        </w:tc>
      </w:tr>
      <w:tr w:rsidR="00F929DA" w14:paraId="16109918" w14:textId="77777777" w:rsidTr="00F929DA">
        <w:tc>
          <w:tcPr>
            <w:tcW w:w="1680" w:type="dxa"/>
            <w:vAlign w:val="bottom"/>
          </w:tcPr>
          <w:p w14:paraId="56B4AE56" w14:textId="20911D01" w:rsidR="00F929DA" w:rsidRPr="00F929DA" w:rsidRDefault="00F929DA" w:rsidP="00F929DA">
            <w:pPr>
              <w:rPr>
                <w:lang w:eastAsia="bg-BG"/>
              </w:rPr>
            </w:pPr>
            <w:r w:rsidRPr="00F929DA">
              <w:t>Изследвания</w:t>
            </w:r>
          </w:p>
        </w:tc>
        <w:tc>
          <w:tcPr>
            <w:tcW w:w="1581" w:type="dxa"/>
            <w:vAlign w:val="bottom"/>
          </w:tcPr>
          <w:p w14:paraId="6C91080F" w14:textId="7A12721F" w:rsidR="00F929DA" w:rsidRPr="00F929DA" w:rsidRDefault="00F929DA" w:rsidP="00F929DA">
            <w:pPr>
              <w:rPr>
                <w:lang w:eastAsia="bg-BG"/>
              </w:rPr>
            </w:pPr>
            <w:r w:rsidRPr="00F929DA">
              <w:t>Хипотония</w:t>
            </w:r>
          </w:p>
        </w:tc>
        <w:tc>
          <w:tcPr>
            <w:tcW w:w="1632" w:type="dxa"/>
          </w:tcPr>
          <w:p w14:paraId="12EF1A18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3328" w:type="dxa"/>
          </w:tcPr>
          <w:p w14:paraId="79C8BAE5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  <w:tc>
          <w:tcPr>
            <w:tcW w:w="1355" w:type="dxa"/>
          </w:tcPr>
          <w:p w14:paraId="24B6DB87" w14:textId="77777777" w:rsidR="00F929DA" w:rsidRPr="00F929DA" w:rsidRDefault="00F929DA" w:rsidP="00F929DA">
            <w:pPr>
              <w:rPr>
                <w:lang w:eastAsia="bg-BG"/>
              </w:rPr>
            </w:pPr>
          </w:p>
        </w:tc>
      </w:tr>
    </w:tbl>
    <w:p w14:paraId="077436B2" w14:textId="30B10965" w:rsidR="00F929DA" w:rsidRDefault="00F929DA" w:rsidP="00F929DA">
      <w:pPr>
        <w:rPr>
          <w:lang w:eastAsia="bg-BG"/>
        </w:rPr>
      </w:pPr>
    </w:p>
    <w:p w14:paraId="341BDF41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В много редки случаи са съобщавани тежки кожни реакции, като синдром на Стивънс-Джонсън и токсична епидермална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съвпадащи по време с употребата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>. В повечето от тези случаи по същото време е приемано поне още едно друго лекарство, което може да е засилило описаните ефекти върху кожата и лигавиците.</w:t>
      </w:r>
    </w:p>
    <w:p w14:paraId="33BC688F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508540" w14:textId="1EB57E56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При възникване на нарушения на кожата или лигавиците, незабавно трябва да се потърси медицинска помощ и да се преустанови употребата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>.</w:t>
      </w:r>
    </w:p>
    <w:p w14:paraId="2FE27BD6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14AA6A" w14:textId="1B83F1DD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В допълнение, много рядко е съобщавано за хеморагии във връзка с приложението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частично с реакции на свръхчувствителност. При различни проучвания е потвърдена понижена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тромбоцитна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агрегация в присъствието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>. В настоящия момент не е възможно да се определи клиничното значение на този факт.</w:t>
      </w:r>
    </w:p>
    <w:p w14:paraId="7B342BDF" w14:textId="77777777" w:rsidR="00F929DA" w:rsidRPr="00F929DA" w:rsidRDefault="00F929DA" w:rsidP="00F929DA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BDA66E5" w14:textId="50F8FDF9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</w:p>
    <w:p w14:paraId="12C24488" w14:textId="44AA367C" w:rsidR="00F929DA" w:rsidRPr="00F929DA" w:rsidRDefault="00F929DA" w:rsidP="00F929DA">
      <w:pPr>
        <w:rPr>
          <w:rFonts w:cs="Arial"/>
          <w:lang w:eastAsia="bg-BG"/>
        </w:rPr>
      </w:pPr>
      <w:r w:rsidRPr="00F929DA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лекарствата, ул. „Дамян Груев“ № 8, 1303 София, тел.: +35928903417, </w:t>
      </w:r>
      <w:r w:rsidRPr="00F929DA">
        <w:rPr>
          <w:rFonts w:eastAsia="Times New Roman" w:cs="Arial"/>
          <w:color w:val="000000"/>
          <w:lang w:val="en-US"/>
        </w:rPr>
        <w:t>ye</w:t>
      </w:r>
      <w:proofErr w:type="spellStart"/>
      <w:r w:rsidRPr="00F929DA">
        <w:rPr>
          <w:rFonts w:eastAsia="Times New Roman" w:cs="Arial"/>
          <w:color w:val="000000"/>
          <w:lang w:eastAsia="bg-BG"/>
        </w:rPr>
        <w:t>бсайт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: </w:t>
      </w:r>
      <w:r w:rsidRPr="00F929DA">
        <w:rPr>
          <w:rFonts w:eastAsia="Times New Roman" w:cs="Arial"/>
          <w:color w:val="000000"/>
          <w:lang w:val="en-US"/>
        </w:rPr>
        <w:t>w</w:t>
      </w:r>
      <w:r w:rsidRPr="00F929DA">
        <w:rPr>
          <w:rFonts w:eastAsia="Times New Roman" w:cs="Arial"/>
          <w:color w:val="000000"/>
          <w:u w:val="single"/>
          <w:lang w:val="en-US"/>
        </w:rPr>
        <w:t>ww .bda.bg</w:t>
      </w:r>
    </w:p>
    <w:p w14:paraId="7688816B" w14:textId="77777777" w:rsidR="00F929DA" w:rsidRPr="00F929DA" w:rsidRDefault="00F929DA" w:rsidP="00F929DA"/>
    <w:p w14:paraId="42DF9851" w14:textId="160C4B3C" w:rsidR="003765DC" w:rsidRDefault="002C50EE" w:rsidP="002B3C38">
      <w:pPr>
        <w:pStyle w:val="2"/>
      </w:pPr>
      <w:r>
        <w:t>4.9. Предозиране</w:t>
      </w:r>
    </w:p>
    <w:p w14:paraId="70AEF537" w14:textId="03023692" w:rsidR="00F929DA" w:rsidRDefault="00F929DA" w:rsidP="00F929DA"/>
    <w:p w14:paraId="6584A41C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Досега не са съобщавани случаи на токсично предозиране с пероралните лекарствени форми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. Доброволци са третирани с доза от 11,6 </w:t>
      </w:r>
      <w:r w:rsidRPr="00F929DA">
        <w:rPr>
          <w:lang w:val="en-US"/>
        </w:rPr>
        <w:t xml:space="preserve">g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дневно в продължение на повече от 3 месеца, без да са наблюдавани някакви тежки нежелани реакции. Перорални дози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до 500 </w:t>
      </w:r>
      <w:r w:rsidRPr="00F929DA">
        <w:rPr>
          <w:lang w:val="en-US"/>
        </w:rPr>
        <w:t xml:space="preserve">mg /kg </w:t>
      </w:r>
      <w:r w:rsidRPr="00F929DA">
        <w:rPr>
          <w:lang w:eastAsia="bg-BG"/>
        </w:rPr>
        <w:t>телесно тегло са понасяни без симптоми на интоксикация.</w:t>
      </w:r>
    </w:p>
    <w:p w14:paraId="05FE17C0" w14:textId="77777777" w:rsidR="00F929DA" w:rsidRDefault="00F929DA" w:rsidP="00F929DA">
      <w:pPr>
        <w:rPr>
          <w:i/>
          <w:iCs/>
          <w:lang w:eastAsia="bg-BG"/>
        </w:rPr>
      </w:pPr>
    </w:p>
    <w:p w14:paraId="2C98A568" w14:textId="057A7AB4" w:rsidR="00F929DA" w:rsidRPr="00F929DA" w:rsidRDefault="00F929DA" w:rsidP="00F929DA">
      <w:pPr>
        <w:rPr>
          <w:i/>
          <w:iCs/>
          <w:lang w:eastAsia="bg-BG"/>
        </w:rPr>
      </w:pPr>
      <w:r>
        <w:rPr>
          <w:i/>
          <w:iCs/>
          <w:lang w:eastAsia="bg-BG"/>
        </w:rPr>
        <w:t xml:space="preserve">А) </w:t>
      </w:r>
      <w:r w:rsidRPr="00F929DA">
        <w:rPr>
          <w:i/>
          <w:iCs/>
          <w:lang w:eastAsia="bg-BG"/>
        </w:rPr>
        <w:t>Симптоми на интоксикация</w:t>
      </w:r>
    </w:p>
    <w:p w14:paraId="770E5B72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Предозирането може да доведе до стомашно-чревни симптоми като гадене, повръщане и диария. При кърмачетата съществува риск от свръхсекреция.</w:t>
      </w:r>
    </w:p>
    <w:p w14:paraId="4E22EAC7" w14:textId="77777777" w:rsidR="00F929DA" w:rsidRDefault="00F929DA" w:rsidP="00F929DA">
      <w:pPr>
        <w:rPr>
          <w:i/>
          <w:iCs/>
          <w:lang w:eastAsia="bg-BG"/>
        </w:rPr>
      </w:pPr>
    </w:p>
    <w:p w14:paraId="7CD72E5B" w14:textId="0E531626" w:rsidR="00F929DA" w:rsidRPr="00F929DA" w:rsidRDefault="00F929DA" w:rsidP="00F929DA">
      <w:pPr>
        <w:rPr>
          <w:i/>
          <w:iCs/>
          <w:lang w:eastAsia="bg-BG"/>
        </w:rPr>
      </w:pPr>
      <w:r>
        <w:rPr>
          <w:i/>
          <w:iCs/>
          <w:lang w:eastAsia="bg-BG"/>
        </w:rPr>
        <w:t xml:space="preserve">Б) </w:t>
      </w:r>
      <w:r w:rsidRPr="00F929DA">
        <w:rPr>
          <w:i/>
          <w:iCs/>
          <w:lang w:eastAsia="bg-BG"/>
        </w:rPr>
        <w:t>Терапевтични мерки при предозиране</w:t>
      </w:r>
    </w:p>
    <w:p w14:paraId="661A4255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Ако е необходимо, в зависимост от симптомите.</w:t>
      </w:r>
    </w:p>
    <w:p w14:paraId="133B5A55" w14:textId="77777777" w:rsidR="00F929DA" w:rsidRDefault="00F929DA" w:rsidP="00F929DA">
      <w:pPr>
        <w:rPr>
          <w:lang w:eastAsia="bg-BG"/>
        </w:rPr>
      </w:pPr>
    </w:p>
    <w:p w14:paraId="186F98AA" w14:textId="42A01B12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Има данни за интравенозно приложение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при хора в максимални дневни дози до 30 </w:t>
      </w:r>
      <w:r w:rsidRPr="00F929DA">
        <w:rPr>
          <w:lang w:val="en-US"/>
        </w:rPr>
        <w:t xml:space="preserve">g </w:t>
      </w:r>
      <w:r w:rsidRPr="00F929DA">
        <w:rPr>
          <w:lang w:eastAsia="bg-BG"/>
        </w:rPr>
        <w:t xml:space="preserve">при лечение на интоксикация с </w:t>
      </w:r>
      <w:proofErr w:type="spellStart"/>
      <w:r w:rsidRPr="00F929DA">
        <w:rPr>
          <w:lang w:eastAsia="bg-BG"/>
        </w:rPr>
        <w:t>парацетамол</w:t>
      </w:r>
      <w:proofErr w:type="spellEnd"/>
      <w:r w:rsidRPr="00F929DA">
        <w:rPr>
          <w:lang w:eastAsia="bg-BG"/>
        </w:rPr>
        <w:t xml:space="preserve">. Интравенозното приложение на изключително високи концентрации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води до частично необратими „</w:t>
      </w:r>
      <w:proofErr w:type="spellStart"/>
      <w:r w:rsidRPr="00F929DA">
        <w:rPr>
          <w:lang w:eastAsia="bg-BG"/>
        </w:rPr>
        <w:t>анафилактоидни</w:t>
      </w:r>
      <w:proofErr w:type="spellEnd"/>
      <w:r w:rsidRPr="00F929DA">
        <w:rPr>
          <w:lang w:eastAsia="bg-BG"/>
        </w:rPr>
        <w:t>“ реакции, особено при форсирано прилагане.</w:t>
      </w:r>
    </w:p>
    <w:p w14:paraId="06F42E9F" w14:textId="77777777" w:rsidR="00F929DA" w:rsidRPr="00F929DA" w:rsidRDefault="00F929DA" w:rsidP="00F929DA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24856A53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2D4CC6AC" w14:textId="756E8A20" w:rsidR="00F929DA" w:rsidRDefault="00F929DA" w:rsidP="00F929DA"/>
    <w:p w14:paraId="77E124AE" w14:textId="77777777" w:rsidR="00F929DA" w:rsidRPr="00F929DA" w:rsidRDefault="00F929DA" w:rsidP="00F929DA">
      <w:pPr>
        <w:rPr>
          <w:sz w:val="24"/>
          <w:szCs w:val="24"/>
        </w:rPr>
      </w:pPr>
      <w:proofErr w:type="spellStart"/>
      <w:r w:rsidRPr="00F929DA">
        <w:rPr>
          <w:lang w:eastAsia="bg-BG"/>
        </w:rPr>
        <w:t>Фармакотерапевтична</w:t>
      </w:r>
      <w:proofErr w:type="spellEnd"/>
      <w:r w:rsidRPr="00F929DA">
        <w:rPr>
          <w:lang w:eastAsia="bg-BG"/>
        </w:rPr>
        <w:t xml:space="preserve"> група: Лекарствени продукти за лечение на кашлица и простудни заболявания; </w:t>
      </w:r>
      <w:proofErr w:type="spellStart"/>
      <w:r w:rsidRPr="00F929DA">
        <w:rPr>
          <w:lang w:eastAsia="bg-BG"/>
        </w:rPr>
        <w:t>Муколитици</w:t>
      </w:r>
      <w:proofErr w:type="spellEnd"/>
      <w:r w:rsidRPr="00F929DA">
        <w:rPr>
          <w:lang w:eastAsia="bg-BG"/>
        </w:rPr>
        <w:t>;</w:t>
      </w:r>
    </w:p>
    <w:p w14:paraId="13490EC4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АТС код: </w:t>
      </w:r>
      <w:r w:rsidRPr="00F929DA">
        <w:rPr>
          <w:lang w:val="en-US"/>
        </w:rPr>
        <w:t xml:space="preserve">R05C </w:t>
      </w:r>
      <w:r w:rsidRPr="00F929DA">
        <w:rPr>
          <w:lang w:eastAsia="bg-BG"/>
        </w:rPr>
        <w:t>В01</w:t>
      </w:r>
    </w:p>
    <w:p w14:paraId="018EDD61" w14:textId="77777777" w:rsidR="00F929DA" w:rsidRDefault="00F929DA" w:rsidP="00F929DA">
      <w:pPr>
        <w:rPr>
          <w:lang w:eastAsia="bg-BG"/>
        </w:rPr>
      </w:pPr>
    </w:p>
    <w:p w14:paraId="74C829E0" w14:textId="64C20035" w:rsidR="00F929DA" w:rsidRPr="00F929DA" w:rsidRDefault="00F929DA" w:rsidP="00F929DA">
      <w:pPr>
        <w:rPr>
          <w:sz w:val="24"/>
          <w:szCs w:val="24"/>
        </w:rPr>
      </w:pP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е производно на аминокиселината </w:t>
      </w:r>
      <w:proofErr w:type="spellStart"/>
      <w:r w:rsidRPr="00F929DA">
        <w:rPr>
          <w:lang w:eastAsia="bg-BG"/>
        </w:rPr>
        <w:t>цистеин</w:t>
      </w:r>
      <w:proofErr w:type="spellEnd"/>
      <w:r w:rsidRPr="00F929DA">
        <w:rPr>
          <w:lang w:eastAsia="bg-BG"/>
        </w:rPr>
        <w:t xml:space="preserve">.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действа </w:t>
      </w:r>
      <w:proofErr w:type="spellStart"/>
      <w:r w:rsidRPr="00F929DA">
        <w:rPr>
          <w:lang w:eastAsia="bg-BG"/>
        </w:rPr>
        <w:t>секретолитично</w:t>
      </w:r>
      <w:proofErr w:type="spellEnd"/>
      <w:r w:rsidRPr="00F929DA">
        <w:rPr>
          <w:lang w:eastAsia="bg-BG"/>
        </w:rPr>
        <w:t xml:space="preserve"> и придвижва секрета в областта на респираторния тракт. Счита се, че той разкъсва свързващите </w:t>
      </w:r>
      <w:proofErr w:type="spellStart"/>
      <w:r w:rsidRPr="00F929DA">
        <w:rPr>
          <w:lang w:eastAsia="bg-BG"/>
        </w:rPr>
        <w:t>дисулфидни</w:t>
      </w:r>
      <w:proofErr w:type="spellEnd"/>
      <w:r w:rsidRPr="00F929DA">
        <w:rPr>
          <w:lang w:eastAsia="bg-BG"/>
        </w:rPr>
        <w:t xml:space="preserve"> мостове между </w:t>
      </w:r>
      <w:proofErr w:type="spellStart"/>
      <w:r w:rsidRPr="00F929DA">
        <w:rPr>
          <w:lang w:eastAsia="bg-BG"/>
        </w:rPr>
        <w:t>мукополизахаридните</w:t>
      </w:r>
      <w:proofErr w:type="spellEnd"/>
      <w:r w:rsidRPr="00F929DA">
        <w:rPr>
          <w:lang w:eastAsia="bg-BG"/>
        </w:rPr>
        <w:t xml:space="preserve"> вериги и това води до </w:t>
      </w:r>
      <w:proofErr w:type="spellStart"/>
      <w:r w:rsidRPr="00F929DA">
        <w:rPr>
          <w:lang w:eastAsia="bg-BG"/>
        </w:rPr>
        <w:t>деполимеризиращ</w:t>
      </w:r>
      <w:proofErr w:type="spellEnd"/>
      <w:r w:rsidRPr="00F929DA">
        <w:rPr>
          <w:lang w:eastAsia="bg-BG"/>
        </w:rPr>
        <w:t xml:space="preserve"> ефект върху ДНК веригите (в гнойния секрет). Посредством тези механизми се намалява вискозитета на секрета.</w:t>
      </w:r>
    </w:p>
    <w:p w14:paraId="70A428E6" w14:textId="77777777" w:rsidR="00F929DA" w:rsidRDefault="00F929DA" w:rsidP="00F929DA">
      <w:pPr>
        <w:rPr>
          <w:lang w:eastAsia="bg-BG"/>
        </w:rPr>
      </w:pPr>
    </w:p>
    <w:p w14:paraId="3DFB6AD0" w14:textId="01F6B5AC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Алтернативният механизъм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се основава на способността на неговата реактивна </w:t>
      </w:r>
      <w:r w:rsidRPr="00F929DA">
        <w:rPr>
          <w:lang w:val="en-US"/>
        </w:rPr>
        <w:t xml:space="preserve">SH </w:t>
      </w:r>
      <w:r w:rsidRPr="00F929DA">
        <w:rPr>
          <w:lang w:eastAsia="bg-BG"/>
        </w:rPr>
        <w:t xml:space="preserve">група да се свързва с химични радикали и по този начин да ги </w:t>
      </w:r>
      <w:proofErr w:type="spellStart"/>
      <w:r w:rsidRPr="00F929DA">
        <w:rPr>
          <w:lang w:eastAsia="bg-BG"/>
        </w:rPr>
        <w:t>детоксикира</w:t>
      </w:r>
      <w:proofErr w:type="spellEnd"/>
      <w:r w:rsidRPr="00F929DA">
        <w:rPr>
          <w:lang w:eastAsia="bg-BG"/>
        </w:rPr>
        <w:t>.</w:t>
      </w:r>
    </w:p>
    <w:p w14:paraId="30492AAB" w14:textId="77777777" w:rsidR="00F929DA" w:rsidRDefault="00F929DA" w:rsidP="00F929DA">
      <w:pPr>
        <w:rPr>
          <w:lang w:eastAsia="bg-BG"/>
        </w:rPr>
      </w:pPr>
    </w:p>
    <w:p w14:paraId="713D91E4" w14:textId="19ECE63B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Освен това,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допринася за повишаването на синтеза на </w:t>
      </w:r>
      <w:proofErr w:type="spellStart"/>
      <w:r w:rsidRPr="00F929DA">
        <w:rPr>
          <w:lang w:eastAsia="bg-BG"/>
        </w:rPr>
        <w:t>глутатион</w:t>
      </w:r>
      <w:proofErr w:type="spellEnd"/>
      <w:r w:rsidRPr="00F929DA">
        <w:rPr>
          <w:lang w:eastAsia="bg-BG"/>
        </w:rPr>
        <w:t xml:space="preserve">, което е важно за </w:t>
      </w:r>
      <w:proofErr w:type="spellStart"/>
      <w:r w:rsidRPr="00F929DA">
        <w:rPr>
          <w:lang w:eastAsia="bg-BG"/>
        </w:rPr>
        <w:t>детоксикацията</w:t>
      </w:r>
      <w:proofErr w:type="spellEnd"/>
      <w:r w:rsidRPr="00F929DA">
        <w:rPr>
          <w:lang w:eastAsia="bg-BG"/>
        </w:rPr>
        <w:t xml:space="preserve"> на вредните агенти. Това обяснява и неговия ефект като антидот при интоксикация с </w:t>
      </w:r>
      <w:proofErr w:type="spellStart"/>
      <w:r w:rsidRPr="00F929DA">
        <w:rPr>
          <w:lang w:eastAsia="bg-BG"/>
        </w:rPr>
        <w:t>парацетамол</w:t>
      </w:r>
      <w:proofErr w:type="spellEnd"/>
      <w:r w:rsidRPr="00F929DA">
        <w:rPr>
          <w:lang w:eastAsia="bg-BG"/>
        </w:rPr>
        <w:t>.</w:t>
      </w:r>
    </w:p>
    <w:p w14:paraId="59CFF4BD" w14:textId="77777777" w:rsidR="00F929DA" w:rsidRDefault="00F929DA" w:rsidP="00F929DA">
      <w:pPr>
        <w:rPr>
          <w:lang w:eastAsia="bg-BG"/>
        </w:rPr>
      </w:pPr>
    </w:p>
    <w:p w14:paraId="6212B9FC" w14:textId="0375D09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При профилактично приложение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при пациенти с хроничен бронхит/</w:t>
      </w:r>
      <w:proofErr w:type="spellStart"/>
      <w:r w:rsidRPr="00F929DA">
        <w:rPr>
          <w:lang w:eastAsia="bg-BG"/>
        </w:rPr>
        <w:t>муковисцидоза</w:t>
      </w:r>
      <w:proofErr w:type="spellEnd"/>
      <w:r w:rsidRPr="00F929DA">
        <w:rPr>
          <w:lang w:eastAsia="bg-BG"/>
        </w:rPr>
        <w:t xml:space="preserve"> е наблюдаван </w:t>
      </w:r>
      <w:proofErr w:type="spellStart"/>
      <w:r w:rsidRPr="00F929DA">
        <w:rPr>
          <w:lang w:eastAsia="bg-BG"/>
        </w:rPr>
        <w:t>протективен</w:t>
      </w:r>
      <w:proofErr w:type="spellEnd"/>
      <w:r w:rsidRPr="00F929DA">
        <w:rPr>
          <w:lang w:eastAsia="bg-BG"/>
        </w:rPr>
        <w:t xml:space="preserve"> ефект върху честотата и тежестта на бактериалните обостряния.</w:t>
      </w:r>
    </w:p>
    <w:p w14:paraId="2CB5DF11" w14:textId="77777777" w:rsidR="00F929DA" w:rsidRPr="00F929DA" w:rsidRDefault="00F929DA" w:rsidP="00F929DA"/>
    <w:p w14:paraId="4D7DA0E3" w14:textId="60CF89D5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EF8452C" w14:textId="77777777" w:rsidR="00F929DA" w:rsidRDefault="00F929DA" w:rsidP="00F929DA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14:paraId="7FED7ECD" w14:textId="7EAD0726" w:rsidR="00F929DA" w:rsidRPr="00F929DA" w:rsidRDefault="00F929DA" w:rsidP="00F929DA">
      <w:pPr>
        <w:pStyle w:val="3"/>
        <w:rPr>
          <w:rFonts w:eastAsia="Times New Roman"/>
          <w:u w:val="single"/>
        </w:rPr>
      </w:pPr>
      <w:r w:rsidRPr="00F929DA">
        <w:rPr>
          <w:rFonts w:eastAsia="Times New Roman"/>
          <w:u w:val="single"/>
          <w:lang w:eastAsia="bg-BG"/>
        </w:rPr>
        <w:t>Абсорбция</w:t>
      </w:r>
    </w:p>
    <w:p w14:paraId="7EB19C2C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929DA">
        <w:rPr>
          <w:rFonts w:eastAsia="Times New Roman" w:cs="Arial"/>
          <w:i/>
          <w:iCs/>
          <w:color w:val="000000"/>
          <w:lang w:eastAsia="bg-BG"/>
        </w:rPr>
        <w:t>След</w:t>
      </w:r>
      <w:r w:rsidRPr="00F929DA">
        <w:rPr>
          <w:rFonts w:eastAsia="Times New Roman" w:cs="Arial"/>
          <w:color w:val="000000"/>
          <w:lang w:eastAsia="bg-BG"/>
        </w:rPr>
        <w:t xml:space="preserve"> перорално приложение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се абсорбира бързо и почти напълно,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се в черния дроб до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който е фармакологично активен метаболит, както и до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дйацетилицистин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цистин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и други </w:t>
      </w:r>
    </w:p>
    <w:p w14:paraId="55266EA4" w14:textId="43F73B7A" w:rsidR="00F929DA" w:rsidRPr="00F929DA" w:rsidRDefault="00F929DA" w:rsidP="00F929DA">
      <w:pPr>
        <w:spacing w:line="240" w:lineRule="auto"/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смесени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дисулфиди</w:t>
      </w:r>
      <w:proofErr w:type="spellEnd"/>
      <w:r w:rsidRPr="00F929DA">
        <w:rPr>
          <w:rFonts w:eastAsia="Times New Roman" w:cs="Arial"/>
          <w:color w:val="000000"/>
          <w:lang w:eastAsia="bg-BG"/>
        </w:rPr>
        <w:t>.</w:t>
      </w:r>
    </w:p>
    <w:p w14:paraId="54709911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E6F6045" w14:textId="7EC1308D" w:rsidR="00F929DA" w:rsidRPr="00F929DA" w:rsidRDefault="00F929DA" w:rsidP="00F929DA">
      <w:pPr>
        <w:pStyle w:val="3"/>
        <w:rPr>
          <w:rFonts w:eastAsia="Times New Roman"/>
          <w:u w:val="single"/>
        </w:rPr>
      </w:pPr>
      <w:r w:rsidRPr="00F929DA">
        <w:rPr>
          <w:rFonts w:eastAsia="Times New Roman"/>
          <w:u w:val="single"/>
          <w:lang w:eastAsia="bg-BG"/>
        </w:rPr>
        <w:lastRenderedPageBreak/>
        <w:t>Разпределение</w:t>
      </w:r>
    </w:p>
    <w:p w14:paraId="47963A10" w14:textId="77777777" w:rsidR="00F929DA" w:rsidRPr="00F929DA" w:rsidRDefault="00F929DA" w:rsidP="00F929DA">
      <w:pPr>
        <w:rPr>
          <w:rFonts w:eastAsia="Times New Roman" w:cs="Arial"/>
        </w:rPr>
      </w:pPr>
      <w:r w:rsidRPr="00F929DA">
        <w:rPr>
          <w:rFonts w:eastAsia="Times New Roman" w:cs="Arial"/>
          <w:color w:val="000000"/>
          <w:lang w:eastAsia="bg-BG"/>
        </w:rPr>
        <w:t xml:space="preserve">Поради високия ефект на първо преминаване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бионаличиостта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на перорално приложен</w:t>
      </w:r>
      <w:r w:rsidRPr="00F929DA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е много ниска (приблизително 10%). При хора максимални плазмени концентрации се достигат след 1 -3 часа с максимална плазмена концентрация на метаболита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в рамките на 2 </w:t>
      </w:r>
      <w:proofErr w:type="spellStart"/>
      <w:r w:rsidRPr="00F929DA">
        <w:rPr>
          <w:rFonts w:eastAsia="Times New Roman" w:cs="Arial"/>
          <w:color w:val="000000"/>
          <w:lang w:val="en-US"/>
        </w:rPr>
        <w:t>μmol</w:t>
      </w:r>
      <w:proofErr w:type="spellEnd"/>
      <w:r w:rsidRPr="00F929DA">
        <w:rPr>
          <w:rFonts w:eastAsia="Times New Roman" w:cs="Arial"/>
          <w:color w:val="000000"/>
          <w:lang w:val="en-US"/>
        </w:rPr>
        <w:t xml:space="preserve">/l. </w:t>
      </w:r>
      <w:r w:rsidRPr="00F929DA">
        <w:rPr>
          <w:rFonts w:eastAsia="Times New Roman" w:cs="Arial"/>
          <w:color w:val="000000"/>
          <w:lang w:eastAsia="bg-BG"/>
        </w:rPr>
        <w:t xml:space="preserve">Свързването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 плазмените протеини е около 50%.</w:t>
      </w:r>
    </w:p>
    <w:p w14:paraId="27BCAD15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93E5133" w14:textId="5FADC072" w:rsidR="00F929DA" w:rsidRPr="00F929DA" w:rsidRDefault="00F929DA" w:rsidP="00F929DA">
      <w:pPr>
        <w:pStyle w:val="3"/>
        <w:rPr>
          <w:rFonts w:eastAsia="Times New Roman"/>
          <w:u w:val="single"/>
        </w:rPr>
      </w:pPr>
      <w:r w:rsidRPr="00F929DA">
        <w:rPr>
          <w:rFonts w:eastAsia="Times New Roman"/>
          <w:u w:val="single"/>
          <w:lang w:eastAsia="bg-BG"/>
        </w:rPr>
        <w:t>Биотрансформация</w:t>
      </w:r>
    </w:p>
    <w:p w14:paraId="16BE061E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и неговите метаболити се срещат в организма в три различни форми: частично в свободна форма, частично свързани с протеините чрез слаби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дисулфидни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връзки и частично като несвързана аминокиселина.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почти изцяло под формата на неактивни метаболити (неорганични сулфати,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диацетилцистин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) през бъбреците. Плазменият полуживот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е приблизително 1 час и се определя предимно от бързата чернодробна биотрансформация. Поради това нарушената чернодробна функция води до удължаване на плазмения полуживот до 8 часа.</w:t>
      </w:r>
    </w:p>
    <w:p w14:paraId="07615B92" w14:textId="77777777" w:rsidR="00F929DA" w:rsidRPr="00F929DA" w:rsidRDefault="00F929DA" w:rsidP="00F929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2FD78A7" w14:textId="328730A1" w:rsidR="00F929DA" w:rsidRPr="00F929DA" w:rsidRDefault="00F929DA" w:rsidP="00F929DA">
      <w:pPr>
        <w:pStyle w:val="3"/>
        <w:rPr>
          <w:rFonts w:eastAsia="Times New Roman"/>
          <w:u w:val="single"/>
        </w:rPr>
      </w:pPr>
      <w:r w:rsidRPr="00F929DA">
        <w:rPr>
          <w:rFonts w:eastAsia="Times New Roman"/>
          <w:u w:val="single"/>
          <w:lang w:eastAsia="bg-BG"/>
        </w:rPr>
        <w:t>Елиминиране</w:t>
      </w:r>
    </w:p>
    <w:p w14:paraId="210A6AA6" w14:textId="77777777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Фармакокинетични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проучвания на интравенозно приложен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показват обем на разпределение от 0,47 </w:t>
      </w:r>
      <w:r w:rsidRPr="00F929DA">
        <w:rPr>
          <w:rFonts w:eastAsia="Times New Roman" w:cs="Arial"/>
          <w:color w:val="000000"/>
          <w:lang w:val="en-US"/>
        </w:rPr>
        <w:t xml:space="preserve">1/kg </w:t>
      </w:r>
      <w:r w:rsidRPr="00F929DA">
        <w:rPr>
          <w:rFonts w:eastAsia="Times New Roman" w:cs="Arial"/>
          <w:color w:val="000000"/>
          <w:lang w:eastAsia="bg-BG"/>
        </w:rPr>
        <w:t xml:space="preserve">(общо) или 0,59 </w:t>
      </w:r>
      <w:r w:rsidRPr="00F929DA">
        <w:rPr>
          <w:rFonts w:eastAsia="Times New Roman" w:cs="Arial"/>
          <w:color w:val="000000"/>
          <w:lang w:val="en-US"/>
        </w:rPr>
        <w:t xml:space="preserve">1/kg </w:t>
      </w:r>
      <w:r w:rsidRPr="00F929DA">
        <w:rPr>
          <w:rFonts w:eastAsia="Times New Roman" w:cs="Arial"/>
          <w:color w:val="000000"/>
          <w:lang w:eastAsia="bg-BG"/>
        </w:rPr>
        <w:t xml:space="preserve">(редуциран), плазменият клирънс е определен съответно на 0,11 </w:t>
      </w:r>
      <w:r w:rsidRPr="00F929DA">
        <w:rPr>
          <w:rFonts w:eastAsia="Times New Roman" w:cs="Arial"/>
          <w:color w:val="000000"/>
          <w:lang w:val="en-US"/>
        </w:rPr>
        <w:t xml:space="preserve">1/h/kg </w:t>
      </w:r>
      <w:r w:rsidRPr="00F929DA">
        <w:rPr>
          <w:rFonts w:eastAsia="Times New Roman" w:cs="Arial"/>
          <w:color w:val="000000"/>
          <w:lang w:eastAsia="bg-BG"/>
        </w:rPr>
        <w:t xml:space="preserve">(общо) и 0,84 </w:t>
      </w:r>
      <w:r w:rsidRPr="00F929DA">
        <w:rPr>
          <w:rFonts w:eastAsia="Times New Roman" w:cs="Arial"/>
          <w:color w:val="000000"/>
          <w:lang w:val="en-US"/>
        </w:rPr>
        <w:t xml:space="preserve">1/h/kg </w:t>
      </w:r>
      <w:r w:rsidRPr="00F929DA">
        <w:rPr>
          <w:rFonts w:eastAsia="Times New Roman" w:cs="Arial"/>
          <w:color w:val="000000"/>
          <w:lang w:eastAsia="bg-BG"/>
        </w:rPr>
        <w:t>(редуциран). Елиминационният полуживот след интравенозно приложение е 30-40 минути, при което екскрецията следва трифазна кинетика (алфа, бета и терминална гама-фаза).</w:t>
      </w:r>
    </w:p>
    <w:p w14:paraId="135E2D96" w14:textId="77777777" w:rsidR="00F929DA" w:rsidRPr="00F929DA" w:rsidRDefault="00F929DA" w:rsidP="00F929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AA1CD3" w14:textId="1FA8374C" w:rsidR="00F929DA" w:rsidRPr="00F929DA" w:rsidRDefault="00F929DA" w:rsidP="00F929DA">
      <w:pPr>
        <w:spacing w:line="240" w:lineRule="auto"/>
        <w:rPr>
          <w:rFonts w:eastAsia="Times New Roman" w:cs="Arial"/>
        </w:rPr>
      </w:pP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преминава плацентата и е открит в кръвта от пъпната връв. Няма информация относно екскрецията в кърмата.</w:t>
      </w:r>
    </w:p>
    <w:p w14:paraId="294D905E" w14:textId="77777777" w:rsidR="00F929DA" w:rsidRPr="00F929DA" w:rsidRDefault="00F929DA" w:rsidP="00F929DA">
      <w:pPr>
        <w:rPr>
          <w:rFonts w:eastAsia="Times New Roman" w:cs="Arial"/>
          <w:color w:val="000000"/>
          <w:lang w:eastAsia="bg-BG"/>
        </w:rPr>
      </w:pPr>
    </w:p>
    <w:p w14:paraId="14E7A80B" w14:textId="1F079834" w:rsidR="00F929DA" w:rsidRPr="00F929DA" w:rsidRDefault="00F929DA" w:rsidP="00F929DA">
      <w:pPr>
        <w:rPr>
          <w:rFonts w:eastAsia="Times New Roman" w:cs="Arial"/>
          <w:color w:val="000000"/>
          <w:lang w:eastAsia="bg-BG"/>
        </w:rPr>
      </w:pPr>
      <w:r w:rsidRPr="00F929DA">
        <w:rPr>
          <w:rFonts w:eastAsia="Times New Roman" w:cs="Arial"/>
          <w:color w:val="000000"/>
          <w:lang w:eastAsia="bg-BG"/>
        </w:rPr>
        <w:t xml:space="preserve">Няма данни за поведението на </w:t>
      </w:r>
      <w:proofErr w:type="spellStart"/>
      <w:r w:rsidRPr="00F929DA">
        <w:rPr>
          <w:rFonts w:eastAsia="Times New Roman" w:cs="Arial"/>
          <w:color w:val="000000"/>
          <w:lang w:eastAsia="bg-BG"/>
        </w:rPr>
        <w:t>ацетилцистеин</w:t>
      </w:r>
      <w:proofErr w:type="spellEnd"/>
      <w:r w:rsidRPr="00F929DA">
        <w:rPr>
          <w:rFonts w:eastAsia="Times New Roman" w:cs="Arial"/>
          <w:color w:val="000000"/>
          <w:lang w:eastAsia="bg-BG"/>
        </w:rPr>
        <w:t xml:space="preserve"> спрямо кръвно-мозъчната бариера при хора.</w:t>
      </w:r>
    </w:p>
    <w:p w14:paraId="0166CC06" w14:textId="77777777" w:rsidR="00F929DA" w:rsidRPr="00F929DA" w:rsidRDefault="00F929DA" w:rsidP="00F929DA"/>
    <w:p w14:paraId="1BDBE06B" w14:textId="1977135A" w:rsidR="004D4D6B" w:rsidRDefault="002C50EE" w:rsidP="002B3C38">
      <w:pPr>
        <w:pStyle w:val="2"/>
      </w:pPr>
      <w:r>
        <w:t>5.3. Предклинични данни за безопасност</w:t>
      </w:r>
    </w:p>
    <w:p w14:paraId="082E2DCE" w14:textId="6E9FDD99" w:rsidR="00F929DA" w:rsidRDefault="00F929DA" w:rsidP="00F929DA"/>
    <w:p w14:paraId="695ECCFC" w14:textId="0FF17EDB" w:rsidR="00F929DA" w:rsidRPr="00F929DA" w:rsidRDefault="00F929DA" w:rsidP="00F929DA">
      <w:pPr>
        <w:rPr>
          <w:lang w:eastAsia="bg-BG"/>
        </w:rPr>
      </w:pPr>
      <w:r>
        <w:rPr>
          <w:lang w:eastAsia="bg-BG"/>
        </w:rPr>
        <w:t xml:space="preserve">А) </w:t>
      </w:r>
      <w:r w:rsidRPr="00F929DA">
        <w:rPr>
          <w:lang w:eastAsia="bg-BG"/>
        </w:rPr>
        <w:t>Остра токсичност</w:t>
      </w:r>
    </w:p>
    <w:p w14:paraId="74EACEBD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При експерименти с животни острата токсичност е ниска. За лечението на предозиране вижте точка 4.9.</w:t>
      </w:r>
    </w:p>
    <w:p w14:paraId="216CFAF4" w14:textId="77777777" w:rsidR="00F929DA" w:rsidRDefault="00F929DA" w:rsidP="00F929DA">
      <w:pPr>
        <w:rPr>
          <w:lang w:eastAsia="bg-BG"/>
        </w:rPr>
      </w:pPr>
    </w:p>
    <w:p w14:paraId="6F0A17C7" w14:textId="14D4EEFD" w:rsidR="00F929DA" w:rsidRPr="00F929DA" w:rsidRDefault="00F929DA" w:rsidP="00F929DA">
      <w:pPr>
        <w:rPr>
          <w:lang w:eastAsia="bg-BG"/>
        </w:rPr>
      </w:pPr>
      <w:r>
        <w:rPr>
          <w:lang w:eastAsia="bg-BG"/>
        </w:rPr>
        <w:t xml:space="preserve">Б) </w:t>
      </w:r>
      <w:r w:rsidRPr="00F929DA">
        <w:rPr>
          <w:lang w:eastAsia="bg-BG"/>
        </w:rPr>
        <w:t>Хронична токсичност</w:t>
      </w:r>
    </w:p>
    <w:p w14:paraId="713F1584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Проучвания при различни животински видове (плъх, куче) с продължителност до една година не показват патологични промени.</w:t>
      </w:r>
    </w:p>
    <w:p w14:paraId="1F0E7E4C" w14:textId="77777777" w:rsidR="00F929DA" w:rsidRDefault="00F929DA" w:rsidP="00F929DA">
      <w:pPr>
        <w:rPr>
          <w:lang w:eastAsia="bg-BG"/>
        </w:rPr>
      </w:pPr>
    </w:p>
    <w:p w14:paraId="1C295C45" w14:textId="03AD86D8" w:rsidR="00F929DA" w:rsidRPr="00F929DA" w:rsidRDefault="00F929DA" w:rsidP="00F929DA">
      <w:pPr>
        <w:rPr>
          <w:lang w:eastAsia="bg-BG"/>
        </w:rPr>
      </w:pPr>
      <w:r>
        <w:rPr>
          <w:lang w:eastAsia="bg-BG"/>
        </w:rPr>
        <w:t xml:space="preserve">В) </w:t>
      </w:r>
      <w:proofErr w:type="spellStart"/>
      <w:r w:rsidRPr="00F929DA">
        <w:rPr>
          <w:lang w:eastAsia="bg-BG"/>
        </w:rPr>
        <w:t>Туморогенен</w:t>
      </w:r>
      <w:proofErr w:type="spellEnd"/>
      <w:r w:rsidRPr="00F929DA">
        <w:rPr>
          <w:lang w:eastAsia="bg-BG"/>
        </w:rPr>
        <w:t xml:space="preserve"> и мутагенен потенциал</w:t>
      </w:r>
    </w:p>
    <w:p w14:paraId="79C58B85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Не се очакват мутагенни ефекти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. Резултатите от </w:t>
      </w:r>
      <w:r w:rsidRPr="00F929DA">
        <w:rPr>
          <w:i/>
          <w:iCs/>
          <w:lang w:val="en-US"/>
        </w:rPr>
        <w:t>in vitro</w:t>
      </w:r>
      <w:r w:rsidRPr="00F929DA">
        <w:rPr>
          <w:lang w:val="en-US"/>
        </w:rPr>
        <w:t xml:space="preserve"> </w:t>
      </w:r>
      <w:r w:rsidRPr="00F929DA">
        <w:rPr>
          <w:lang w:eastAsia="bg-BG"/>
        </w:rPr>
        <w:t>тест са отрицателни.</w:t>
      </w:r>
    </w:p>
    <w:p w14:paraId="25AF882A" w14:textId="77777777" w:rsidR="00F929DA" w:rsidRDefault="00F929DA" w:rsidP="00F929DA">
      <w:pPr>
        <w:rPr>
          <w:lang w:eastAsia="bg-BG"/>
        </w:rPr>
      </w:pPr>
    </w:p>
    <w:p w14:paraId="2A865FF5" w14:textId="331AC976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 xml:space="preserve">Не са провеждани проучвания за </w:t>
      </w:r>
      <w:proofErr w:type="spellStart"/>
      <w:r w:rsidRPr="00F929DA">
        <w:rPr>
          <w:lang w:eastAsia="bg-BG"/>
        </w:rPr>
        <w:t>туморогенния</w:t>
      </w:r>
      <w:proofErr w:type="spellEnd"/>
      <w:r w:rsidRPr="00F929DA">
        <w:rPr>
          <w:lang w:eastAsia="bg-BG"/>
        </w:rPr>
        <w:t xml:space="preserve"> потенциал на </w:t>
      </w: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>.</w:t>
      </w:r>
    </w:p>
    <w:p w14:paraId="30872C46" w14:textId="77777777" w:rsidR="00F929DA" w:rsidRDefault="00F929DA" w:rsidP="00F929DA">
      <w:pPr>
        <w:rPr>
          <w:lang w:eastAsia="bg-BG"/>
        </w:rPr>
      </w:pPr>
    </w:p>
    <w:p w14:paraId="001C108D" w14:textId="056F7A3D" w:rsidR="00F929DA" w:rsidRPr="00F929DA" w:rsidRDefault="00F929DA" w:rsidP="00F929DA">
      <w:pPr>
        <w:rPr>
          <w:lang w:eastAsia="bg-BG"/>
        </w:rPr>
      </w:pPr>
      <w:r>
        <w:rPr>
          <w:lang w:eastAsia="bg-BG"/>
        </w:rPr>
        <w:t xml:space="preserve">Г) </w:t>
      </w:r>
      <w:r w:rsidRPr="00F929DA">
        <w:rPr>
          <w:lang w:eastAsia="bg-BG"/>
        </w:rPr>
        <w:t>Репродуктивна токсичност</w:t>
      </w:r>
    </w:p>
    <w:p w14:paraId="4FB39CD5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lastRenderedPageBreak/>
        <w:t xml:space="preserve">Не са наблюдавани малформации при проучвания на </w:t>
      </w:r>
      <w:proofErr w:type="spellStart"/>
      <w:r w:rsidRPr="00F929DA">
        <w:rPr>
          <w:lang w:eastAsia="bg-BG"/>
        </w:rPr>
        <w:t>ембриотоксичността</w:t>
      </w:r>
      <w:proofErr w:type="spellEnd"/>
      <w:r w:rsidRPr="00F929DA">
        <w:rPr>
          <w:lang w:eastAsia="bg-BG"/>
        </w:rPr>
        <w:t xml:space="preserve"> при зайци и плъхове. Проучванията на </w:t>
      </w:r>
      <w:proofErr w:type="spellStart"/>
      <w:r w:rsidRPr="00F929DA">
        <w:rPr>
          <w:lang w:eastAsia="bg-BG"/>
        </w:rPr>
        <w:t>фертилитета</w:t>
      </w:r>
      <w:proofErr w:type="spellEnd"/>
      <w:r w:rsidRPr="00F929DA">
        <w:rPr>
          <w:lang w:eastAsia="bg-BG"/>
        </w:rPr>
        <w:t xml:space="preserve">, </w:t>
      </w:r>
      <w:proofErr w:type="spellStart"/>
      <w:r w:rsidRPr="00F929DA">
        <w:rPr>
          <w:lang w:eastAsia="bg-BG"/>
        </w:rPr>
        <w:t>перинаталната</w:t>
      </w:r>
      <w:proofErr w:type="spellEnd"/>
      <w:r w:rsidRPr="00F929DA">
        <w:rPr>
          <w:lang w:eastAsia="bg-BG"/>
        </w:rPr>
        <w:t xml:space="preserve"> и </w:t>
      </w:r>
      <w:proofErr w:type="spellStart"/>
      <w:r w:rsidRPr="00F929DA">
        <w:rPr>
          <w:lang w:eastAsia="bg-BG"/>
        </w:rPr>
        <w:t>постнаталната</w:t>
      </w:r>
      <w:proofErr w:type="spellEnd"/>
      <w:r w:rsidRPr="00F929DA">
        <w:rPr>
          <w:lang w:eastAsia="bg-BG"/>
        </w:rPr>
        <w:t xml:space="preserve"> токсичност са отрицателни.</w:t>
      </w:r>
    </w:p>
    <w:p w14:paraId="639F8A11" w14:textId="77777777" w:rsidR="00F929DA" w:rsidRDefault="00F929DA" w:rsidP="00F929DA">
      <w:pPr>
        <w:rPr>
          <w:lang w:eastAsia="bg-BG"/>
        </w:rPr>
      </w:pPr>
    </w:p>
    <w:p w14:paraId="38946648" w14:textId="080930BD" w:rsidR="00F929DA" w:rsidRPr="00F929DA" w:rsidRDefault="00F929DA" w:rsidP="00F929DA">
      <w:pPr>
        <w:rPr>
          <w:sz w:val="24"/>
          <w:szCs w:val="24"/>
        </w:rPr>
      </w:pPr>
      <w:proofErr w:type="spellStart"/>
      <w:r w:rsidRPr="00F929DA">
        <w:rPr>
          <w:lang w:eastAsia="bg-BG"/>
        </w:rPr>
        <w:t>Ацетилцистеин</w:t>
      </w:r>
      <w:proofErr w:type="spellEnd"/>
      <w:r w:rsidRPr="00F929DA">
        <w:rPr>
          <w:lang w:eastAsia="bg-BG"/>
        </w:rPr>
        <w:t xml:space="preserve"> преминава плацентата при плъхове и се открива в </w:t>
      </w:r>
      <w:proofErr w:type="spellStart"/>
      <w:r w:rsidRPr="00F929DA">
        <w:rPr>
          <w:lang w:eastAsia="bg-BG"/>
        </w:rPr>
        <w:t>амниотичната</w:t>
      </w:r>
      <w:proofErr w:type="spellEnd"/>
      <w:r w:rsidRPr="00F929DA">
        <w:rPr>
          <w:lang w:eastAsia="bg-BG"/>
        </w:rPr>
        <w:t xml:space="preserve"> течност. Концентрацията на метаболита </w:t>
      </w:r>
      <w:r w:rsidRPr="00F929DA">
        <w:rPr>
          <w:lang w:val="en-US"/>
        </w:rPr>
        <w:t xml:space="preserve">L- </w:t>
      </w:r>
      <w:proofErr w:type="spellStart"/>
      <w:r w:rsidRPr="00F929DA">
        <w:rPr>
          <w:lang w:eastAsia="bg-BG"/>
        </w:rPr>
        <w:t>цистеин</w:t>
      </w:r>
      <w:proofErr w:type="spellEnd"/>
      <w:r w:rsidRPr="00F929DA">
        <w:rPr>
          <w:lang w:eastAsia="bg-BG"/>
        </w:rPr>
        <w:t xml:space="preserve"> в плацентата и </w:t>
      </w:r>
      <w:proofErr w:type="spellStart"/>
      <w:r w:rsidRPr="00F929DA">
        <w:rPr>
          <w:lang w:eastAsia="bg-BG"/>
        </w:rPr>
        <w:t>фетуса</w:t>
      </w:r>
      <w:proofErr w:type="spellEnd"/>
      <w:r w:rsidRPr="00F929DA">
        <w:rPr>
          <w:lang w:eastAsia="bg-BG"/>
        </w:rPr>
        <w:t xml:space="preserve"> до 8 часа след перорално приложение е по-висока от плазмената концентрация при майката.</w:t>
      </w:r>
    </w:p>
    <w:p w14:paraId="06052568" w14:textId="77777777" w:rsidR="00F929DA" w:rsidRPr="00F929DA" w:rsidRDefault="00F929DA" w:rsidP="00F929DA"/>
    <w:p w14:paraId="6940F72E" w14:textId="20B13746" w:rsidR="009B171C" w:rsidRDefault="002C50EE" w:rsidP="00CA1B57">
      <w:pPr>
        <w:pStyle w:val="1"/>
      </w:pPr>
      <w:r>
        <w:t>7. ПРИТЕЖАТЕЛ НА РАЗРЕШЕНИЕТО ЗА УПОТРЕБА</w:t>
      </w:r>
    </w:p>
    <w:p w14:paraId="48CAAD65" w14:textId="77777777" w:rsidR="00F929DA" w:rsidRDefault="00F929DA" w:rsidP="00F929DA">
      <w:proofErr w:type="spellStart"/>
      <w:r>
        <w:t>Sandoz</w:t>
      </w:r>
      <w:proofErr w:type="spellEnd"/>
      <w:r>
        <w:t xml:space="preserve"> </w:t>
      </w:r>
      <w:proofErr w:type="spellStart"/>
      <w:r>
        <w:t>d.d</w:t>
      </w:r>
      <w:proofErr w:type="spellEnd"/>
      <w:r>
        <w:t xml:space="preserve">. </w:t>
      </w:r>
    </w:p>
    <w:p w14:paraId="751070C9" w14:textId="77777777" w:rsidR="00F929DA" w:rsidRDefault="00F929DA" w:rsidP="00F929DA">
      <w:pPr>
        <w:rPr>
          <w:lang w:eastAsia="bg-BG"/>
        </w:rPr>
      </w:pPr>
      <w:proofErr w:type="spellStart"/>
      <w:r>
        <w:t>VerovSkova</w:t>
      </w:r>
      <w:proofErr w:type="spellEnd"/>
      <w:r>
        <w:t xml:space="preserve"> </w:t>
      </w:r>
      <w:r>
        <w:rPr>
          <w:lang w:eastAsia="bg-BG"/>
        </w:rPr>
        <w:t xml:space="preserve">57, </w:t>
      </w:r>
    </w:p>
    <w:p w14:paraId="7C001A50" w14:textId="77777777" w:rsidR="00F929DA" w:rsidRDefault="00F929DA" w:rsidP="00F929DA">
      <w:r>
        <w:rPr>
          <w:lang w:eastAsia="bg-BG"/>
        </w:rPr>
        <w:t xml:space="preserve">1000 </w:t>
      </w:r>
      <w:proofErr w:type="spellStart"/>
      <w:r>
        <w:t>Ljubljana</w:t>
      </w:r>
      <w:proofErr w:type="spellEnd"/>
      <w:r>
        <w:t xml:space="preserve"> </w:t>
      </w:r>
    </w:p>
    <w:p w14:paraId="49A24C59" w14:textId="12C3C8EE" w:rsidR="00F929DA" w:rsidRPr="00F929DA" w:rsidRDefault="00F929DA" w:rsidP="00F929DA">
      <w:r>
        <w:rPr>
          <w:lang w:eastAsia="bg-BG"/>
        </w:rPr>
        <w:t>Словения</w:t>
      </w:r>
    </w:p>
    <w:p w14:paraId="04840D59" w14:textId="2AFE76AF" w:rsidR="002C50EE" w:rsidRDefault="002C50EE" w:rsidP="002C50EE">
      <w:pPr>
        <w:pStyle w:val="1"/>
      </w:pPr>
      <w:r>
        <w:t>8. НОМЕР НА РАЗРЕШЕНИЕТО ЗА УПОТРЕБА</w:t>
      </w:r>
    </w:p>
    <w:p w14:paraId="6D9EA376" w14:textId="77777777" w:rsidR="00F929DA" w:rsidRPr="00F929DA" w:rsidRDefault="00F929DA" w:rsidP="00F929DA">
      <w:pPr>
        <w:rPr>
          <w:sz w:val="24"/>
          <w:szCs w:val="24"/>
          <w:lang w:val="en-US"/>
        </w:rPr>
      </w:pPr>
      <w:r w:rsidRPr="00F929DA">
        <w:rPr>
          <w:lang w:eastAsia="bg-BG"/>
        </w:rPr>
        <w:t xml:space="preserve">АЦЦ 200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val="en-US"/>
        </w:rPr>
        <w:t>Per.No</w:t>
      </w:r>
      <w:proofErr w:type="spellEnd"/>
      <w:r w:rsidRPr="00F929DA">
        <w:rPr>
          <w:lang w:val="en-US"/>
        </w:rPr>
        <w:t xml:space="preserve">: </w:t>
      </w:r>
      <w:r w:rsidRPr="00F929DA">
        <w:rPr>
          <w:lang w:eastAsia="bg-BG"/>
        </w:rPr>
        <w:t>20140343</w:t>
      </w:r>
    </w:p>
    <w:p w14:paraId="7F1BE8B8" w14:textId="79F1D73B" w:rsidR="00F929DA" w:rsidRPr="00F929DA" w:rsidRDefault="00F929DA" w:rsidP="00F929DA">
      <w:r w:rsidRPr="00F929DA">
        <w:rPr>
          <w:lang w:eastAsia="bg-BG"/>
        </w:rPr>
        <w:t xml:space="preserve">АЦЦ 600 </w:t>
      </w:r>
      <w:r w:rsidRPr="00F929DA">
        <w:rPr>
          <w:lang w:val="en-US"/>
        </w:rPr>
        <w:t xml:space="preserve">mg </w:t>
      </w:r>
      <w:proofErr w:type="spellStart"/>
      <w:r w:rsidRPr="00F929DA">
        <w:rPr>
          <w:lang w:val="en-US"/>
        </w:rPr>
        <w:t>Per.No</w:t>
      </w:r>
      <w:proofErr w:type="spellEnd"/>
      <w:r w:rsidRPr="00F929DA">
        <w:rPr>
          <w:lang w:val="en-US"/>
        </w:rPr>
        <w:t>: 20140344</w:t>
      </w:r>
    </w:p>
    <w:p w14:paraId="5900CBF3" w14:textId="4DDAEBE4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7393E647" w14:textId="77777777" w:rsidR="00F929DA" w:rsidRPr="00F929DA" w:rsidRDefault="00F929DA" w:rsidP="00F929DA">
      <w:pPr>
        <w:rPr>
          <w:sz w:val="24"/>
          <w:szCs w:val="24"/>
        </w:rPr>
      </w:pPr>
      <w:r w:rsidRPr="00F929DA">
        <w:rPr>
          <w:lang w:eastAsia="bg-BG"/>
        </w:rPr>
        <w:t>Дата на първо разрешаване: 14.11. 2014</w:t>
      </w:r>
    </w:p>
    <w:p w14:paraId="62987499" w14:textId="0BF6197F" w:rsidR="00F929DA" w:rsidRPr="00F929DA" w:rsidRDefault="00F929DA" w:rsidP="00F929DA">
      <w:r w:rsidRPr="00F929DA">
        <w:rPr>
          <w:lang w:eastAsia="bg-BG"/>
        </w:rPr>
        <w:t>Дата на последно подновяване: 12.11.2018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210B7275" w:rsidR="00C87E90" w:rsidRPr="003E3126" w:rsidRDefault="00F929DA" w:rsidP="00F929DA">
      <w:r>
        <w:t>01/2020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4469F"/>
    <w:multiLevelType w:val="hybridMultilevel"/>
    <w:tmpl w:val="627CAEE6"/>
    <w:lvl w:ilvl="0" w:tplc="9142F5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9"/>
  </w:num>
  <w:num w:numId="15">
    <w:abstractNumId w:val="23"/>
  </w:num>
  <w:num w:numId="16">
    <w:abstractNumId w:val="7"/>
  </w:num>
  <w:num w:numId="17">
    <w:abstractNumId w:val="19"/>
  </w:num>
  <w:num w:numId="18">
    <w:abstractNumId w:val="5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035C4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929DA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2021-10-11T22:28:00Z</dcterms:created>
  <dcterms:modified xsi:type="dcterms:W3CDTF">2021-10-11T22:28:00Z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