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3B239815" w14:textId="114603E7" w:rsidR="00AA23EC" w:rsidRDefault="00DD466D" w:rsidP="00DD466D">
      <w:pPr>
        <w:pStyle w:val="Heading1"/>
      </w:pPr>
      <w:r>
        <w:t>1.ИМЕ НА ЛЕКАРСТВЕНИЯ ПРОДУКТ</w:t>
      </w:r>
    </w:p>
    <w:p w14:paraId="1F6A3BC1" w14:textId="77777777" w:rsidR="00497C72" w:rsidRPr="00497C72" w:rsidRDefault="00497C72" w:rsidP="00497C72">
      <w:pPr>
        <w:rPr>
          <w:sz w:val="24"/>
          <w:szCs w:val="24"/>
        </w:rPr>
      </w:pPr>
      <w:r w:rsidRPr="00497C72">
        <w:rPr>
          <w:lang w:eastAsia="bg-BG"/>
        </w:rPr>
        <w:t xml:space="preserve">АЦЦ </w:t>
      </w:r>
      <w:proofErr w:type="spellStart"/>
      <w:r w:rsidRPr="00497C72">
        <w:rPr>
          <w:lang w:eastAsia="bg-BG"/>
        </w:rPr>
        <w:t>Директ</w:t>
      </w:r>
      <w:proofErr w:type="spellEnd"/>
      <w:r w:rsidRPr="00497C72">
        <w:rPr>
          <w:lang w:eastAsia="bg-BG"/>
        </w:rPr>
        <w:t xml:space="preserve"> 600 </w:t>
      </w:r>
      <w:r w:rsidRPr="00497C72">
        <w:rPr>
          <w:lang w:val="en-US"/>
        </w:rPr>
        <w:t xml:space="preserve">mg </w:t>
      </w:r>
      <w:r w:rsidRPr="00497C72">
        <w:rPr>
          <w:lang w:eastAsia="bg-BG"/>
        </w:rPr>
        <w:t>перорален прах</w:t>
      </w:r>
    </w:p>
    <w:p w14:paraId="46107FFF" w14:textId="49832EFF" w:rsidR="00497C72" w:rsidRPr="00497C72" w:rsidRDefault="00497C72" w:rsidP="00497C72">
      <w:r w:rsidRPr="00497C72">
        <w:rPr>
          <w:lang w:val="en-US"/>
        </w:rPr>
        <w:t xml:space="preserve">ACC Direct </w:t>
      </w:r>
      <w:r w:rsidRPr="00497C72">
        <w:rPr>
          <w:lang w:eastAsia="bg-BG"/>
        </w:rPr>
        <w:t xml:space="preserve">600 </w:t>
      </w:r>
      <w:r w:rsidRPr="00497C72">
        <w:rPr>
          <w:lang w:val="en-US"/>
        </w:rPr>
        <w:t>mg oral powder</w:t>
      </w:r>
    </w:p>
    <w:p w14:paraId="4D88B710" w14:textId="16066C2F" w:rsidR="00D86297" w:rsidRDefault="00DD466D" w:rsidP="00AA23EC">
      <w:pPr>
        <w:pStyle w:val="Heading1"/>
      </w:pPr>
      <w:r>
        <w:t>2. КАЧЕСТВЕН И КОЛИЧЕСТВЕН СЪСТАВ</w:t>
      </w:r>
    </w:p>
    <w:p w14:paraId="0AC368F9" w14:textId="77777777" w:rsidR="00497C72" w:rsidRDefault="00497C72" w:rsidP="00497C7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70CDF2E" w14:textId="4300A4E9" w:rsidR="00497C72" w:rsidRPr="00497C72" w:rsidRDefault="00497C72" w:rsidP="00497C72">
      <w:pPr>
        <w:spacing w:line="240" w:lineRule="auto"/>
        <w:rPr>
          <w:rFonts w:eastAsia="Times New Roman" w:cs="Arial"/>
          <w:sz w:val="24"/>
          <w:szCs w:val="24"/>
        </w:rPr>
      </w:pPr>
      <w:r w:rsidRPr="00497C72">
        <w:rPr>
          <w:rFonts w:eastAsia="Times New Roman" w:cs="Arial"/>
          <w:color w:val="000000"/>
          <w:lang w:eastAsia="bg-BG"/>
        </w:rPr>
        <w:t xml:space="preserve">Всяко саше съдържа 600 </w:t>
      </w:r>
      <w:r w:rsidRPr="00497C72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</w:t>
      </w:r>
      <w:r w:rsidRPr="00497C72">
        <w:rPr>
          <w:rFonts w:eastAsia="Times New Roman" w:cs="Arial"/>
          <w:i/>
          <w:iCs/>
          <w:color w:val="000000"/>
          <w:lang w:val="en-US"/>
        </w:rPr>
        <w:t>(acetylcysteine).</w:t>
      </w:r>
    </w:p>
    <w:p w14:paraId="3458855A" w14:textId="77777777" w:rsidR="00497C72" w:rsidRDefault="00497C72" w:rsidP="00497C7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3DAB4E3" w14:textId="69BDE073" w:rsidR="00497C72" w:rsidRPr="00497C72" w:rsidRDefault="00497C72" w:rsidP="00497C72">
      <w:pPr>
        <w:spacing w:line="240" w:lineRule="auto"/>
        <w:rPr>
          <w:rFonts w:eastAsia="Times New Roman" w:cs="Arial"/>
          <w:sz w:val="24"/>
          <w:szCs w:val="24"/>
        </w:rPr>
      </w:pPr>
      <w:r w:rsidRPr="00497C72">
        <w:rPr>
          <w:rFonts w:eastAsia="Times New Roman" w:cs="Arial"/>
          <w:color w:val="000000"/>
          <w:u w:val="single"/>
          <w:lang w:eastAsia="bg-BG"/>
        </w:rPr>
        <w:t>Помощни вещества с известно действие</w:t>
      </w:r>
    </w:p>
    <w:p w14:paraId="0F710917" w14:textId="085A45C1" w:rsidR="00497C72" w:rsidRPr="00497C72" w:rsidRDefault="00497C72" w:rsidP="00497C72">
      <w:pPr>
        <w:rPr>
          <w:rFonts w:cs="Arial"/>
        </w:rPr>
      </w:pPr>
      <w:r w:rsidRPr="00497C72">
        <w:rPr>
          <w:rFonts w:eastAsia="Times New Roman" w:cs="Arial"/>
          <w:color w:val="000000"/>
          <w:lang w:eastAsia="bg-BG"/>
        </w:rPr>
        <w:t xml:space="preserve">Всяко саше съдържа 0,5 </w:t>
      </w:r>
      <w:r w:rsidRPr="00497C72">
        <w:rPr>
          <w:rFonts w:eastAsia="Times New Roman" w:cs="Arial"/>
          <w:color w:val="000000"/>
          <w:lang w:val="en-US"/>
        </w:rPr>
        <w:t xml:space="preserve">mg </w:t>
      </w:r>
      <w:r w:rsidRPr="00497C72">
        <w:rPr>
          <w:rFonts w:eastAsia="Times New Roman" w:cs="Arial"/>
          <w:color w:val="000000"/>
          <w:lang w:eastAsia="bg-BG"/>
        </w:rPr>
        <w:t xml:space="preserve">аспартам и до 527 </w:t>
      </w:r>
      <w:r w:rsidRPr="00497C72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497C72">
        <w:rPr>
          <w:rFonts w:eastAsia="Times New Roman" w:cs="Arial"/>
          <w:color w:val="000000"/>
          <w:lang w:eastAsia="bg-BG"/>
        </w:rPr>
        <w:t>сорбитол</w:t>
      </w:r>
      <w:proofErr w:type="spellEnd"/>
      <w:r w:rsidRPr="00497C72">
        <w:rPr>
          <w:rFonts w:eastAsia="Times New Roman" w:cs="Arial"/>
          <w:color w:val="000000"/>
          <w:lang w:eastAsia="bg-BG"/>
        </w:rPr>
        <w:t>.</w:t>
      </w:r>
    </w:p>
    <w:p w14:paraId="5E332777" w14:textId="059EC245" w:rsidR="005A66D9" w:rsidRDefault="00DD466D" w:rsidP="00CA1B57">
      <w:pPr>
        <w:pStyle w:val="Heading1"/>
      </w:pPr>
      <w:r>
        <w:t>3. ЛЕКАРСТВЕНА ФОРМА</w:t>
      </w:r>
    </w:p>
    <w:p w14:paraId="10A8E5DE" w14:textId="77777777" w:rsidR="00497C72" w:rsidRPr="00497C72" w:rsidRDefault="00497C72" w:rsidP="00497C72">
      <w:pPr>
        <w:rPr>
          <w:sz w:val="24"/>
          <w:szCs w:val="24"/>
        </w:rPr>
      </w:pPr>
      <w:r w:rsidRPr="00497C72">
        <w:rPr>
          <w:lang w:eastAsia="bg-BG"/>
        </w:rPr>
        <w:t>Перорален прах</w:t>
      </w:r>
    </w:p>
    <w:p w14:paraId="6DD80998" w14:textId="77777777" w:rsidR="00497C72" w:rsidRDefault="00497C72" w:rsidP="00497C72">
      <w:pPr>
        <w:rPr>
          <w:lang w:eastAsia="bg-BG"/>
        </w:rPr>
      </w:pPr>
    </w:p>
    <w:p w14:paraId="368F922E" w14:textId="13F4FABE" w:rsidR="00497C72" w:rsidRPr="00497C72" w:rsidRDefault="00497C72" w:rsidP="00497C72">
      <w:pPr>
        <w:rPr>
          <w:sz w:val="24"/>
          <w:szCs w:val="24"/>
        </w:rPr>
      </w:pPr>
      <w:r w:rsidRPr="00497C72">
        <w:rPr>
          <w:lang w:eastAsia="bg-BG"/>
        </w:rPr>
        <w:t>Бял до леко жълтеникав прах, с лесно разпадащи се агломерати, ако има такива, с мирис на къпина, който може да е леко серен.</w:t>
      </w:r>
    </w:p>
    <w:p w14:paraId="490FC2C4" w14:textId="77777777" w:rsidR="002C50EE" w:rsidRDefault="002C50EE" w:rsidP="002C50EE">
      <w:pPr>
        <w:pStyle w:val="Heading1"/>
      </w:pPr>
      <w:r>
        <w:t>4. КЛИНИЧНИ ДАННИ</w:t>
      </w:r>
    </w:p>
    <w:p w14:paraId="1512A286" w14:textId="2888A462" w:rsidR="00FD69E8" w:rsidRDefault="002C50EE" w:rsidP="00AA23EC">
      <w:pPr>
        <w:pStyle w:val="Heading2"/>
      </w:pPr>
      <w:r>
        <w:t>4.1. Терапевтични показания</w:t>
      </w:r>
    </w:p>
    <w:p w14:paraId="1FDFAE82" w14:textId="77777777" w:rsidR="00497C72" w:rsidRDefault="00497C72" w:rsidP="00497C72"/>
    <w:p w14:paraId="1D171A12" w14:textId="73E1289B" w:rsidR="003765DC" w:rsidRDefault="00497C72" w:rsidP="00497C72">
      <w:proofErr w:type="spellStart"/>
      <w:r>
        <w:t>Секретолитична</w:t>
      </w:r>
      <w:proofErr w:type="spellEnd"/>
      <w:r>
        <w:t xml:space="preserve"> терапия при остри и хронични </w:t>
      </w:r>
      <w:proofErr w:type="spellStart"/>
      <w:r>
        <w:t>бронхопулмонални</w:t>
      </w:r>
      <w:proofErr w:type="spellEnd"/>
      <w:r>
        <w:t xml:space="preserve"> заболявания, при които е необходимо намаляване на вискозитета на бронхиалния </w:t>
      </w:r>
      <w:proofErr w:type="spellStart"/>
      <w:r>
        <w:t>мукус</w:t>
      </w:r>
      <w:proofErr w:type="spellEnd"/>
      <w:r>
        <w:t xml:space="preserve">, за да се улесни </w:t>
      </w:r>
      <w:proofErr w:type="spellStart"/>
      <w:r>
        <w:t>отхрачването</w:t>
      </w:r>
      <w:proofErr w:type="spellEnd"/>
      <w:r>
        <w:t xml:space="preserve"> при възрастни.</w:t>
      </w:r>
    </w:p>
    <w:p w14:paraId="3171C00B" w14:textId="77777777" w:rsidR="00497C72" w:rsidRPr="003765DC" w:rsidRDefault="00497C72" w:rsidP="00497C72"/>
    <w:p w14:paraId="66024DB0" w14:textId="2FC58D3D" w:rsidR="003765DC" w:rsidRDefault="002C50EE" w:rsidP="002B3C38">
      <w:pPr>
        <w:pStyle w:val="Heading2"/>
      </w:pPr>
      <w:r>
        <w:t>4.2. Дозировка и начин на приложение</w:t>
      </w:r>
    </w:p>
    <w:p w14:paraId="48C83A85" w14:textId="4479E698" w:rsidR="00497C72" w:rsidRDefault="00497C72" w:rsidP="00497C72"/>
    <w:p w14:paraId="1061285E" w14:textId="77777777" w:rsidR="00497C72" w:rsidRPr="00497C72" w:rsidRDefault="00497C72" w:rsidP="00497C72">
      <w:pPr>
        <w:pStyle w:val="Heading3"/>
        <w:rPr>
          <w:rFonts w:eastAsia="Times New Roman"/>
          <w:u w:val="single"/>
        </w:rPr>
      </w:pPr>
      <w:r w:rsidRPr="00497C72">
        <w:rPr>
          <w:rFonts w:eastAsia="Times New Roman"/>
          <w:u w:val="single"/>
          <w:lang w:eastAsia="bg-BG"/>
        </w:rPr>
        <w:t>Дозировка</w:t>
      </w:r>
    </w:p>
    <w:p w14:paraId="7A564EB3" w14:textId="5518DA00" w:rsidR="00497C72" w:rsidRPr="00497C72" w:rsidRDefault="00497C72" w:rsidP="00497C72">
      <w:pPr>
        <w:spacing w:line="240" w:lineRule="auto"/>
        <w:rPr>
          <w:rFonts w:eastAsia="Times New Roman" w:cs="Arial"/>
          <w:sz w:val="24"/>
          <w:szCs w:val="24"/>
        </w:rPr>
      </w:pPr>
      <w:r w:rsidRPr="00497C72">
        <w:rPr>
          <w:rFonts w:eastAsia="Times New Roman" w:cs="Arial"/>
          <w:color w:val="000000"/>
          <w:lang w:eastAsia="bg-BG"/>
        </w:rPr>
        <w:t xml:space="preserve">Препоръчва се следната дозировка на </w:t>
      </w:r>
      <w:r w:rsidRPr="00497C72">
        <w:rPr>
          <w:rFonts w:eastAsia="Times New Roman" w:cs="Arial"/>
          <w:color w:val="000000"/>
          <w:u w:val="single"/>
          <w:lang w:eastAsia="bg-BG"/>
        </w:rPr>
        <w:t>АЦЦ</w:t>
      </w:r>
      <w:r w:rsidRPr="00497C72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Директ</w:t>
      </w:r>
      <w:proofErr w:type="spellEnd"/>
      <w:r w:rsidRPr="00497C72">
        <w:rPr>
          <w:rFonts w:eastAsia="Times New Roman" w:cs="Arial"/>
          <w:color w:val="000000"/>
          <w:lang w:eastAsia="bg-BG"/>
        </w:rPr>
        <w:t>:</w:t>
      </w:r>
    </w:p>
    <w:p w14:paraId="73CBA2BD" w14:textId="77777777" w:rsidR="00497C72" w:rsidRPr="00497C72" w:rsidRDefault="00497C72" w:rsidP="00497C7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C161DD7" w14:textId="29B0842E" w:rsidR="00497C72" w:rsidRPr="00497C72" w:rsidRDefault="00497C72" w:rsidP="00497C72">
      <w:pPr>
        <w:spacing w:line="240" w:lineRule="auto"/>
        <w:rPr>
          <w:rFonts w:eastAsia="Times New Roman" w:cs="Arial"/>
          <w:sz w:val="24"/>
          <w:szCs w:val="24"/>
        </w:rPr>
      </w:pPr>
      <w:r w:rsidRPr="00497C72">
        <w:rPr>
          <w:rFonts w:eastAsia="Times New Roman" w:cs="Arial"/>
          <w:color w:val="000000"/>
          <w:lang w:eastAsia="bg-BG"/>
        </w:rPr>
        <w:t>Само за възрастни</w:t>
      </w:r>
    </w:p>
    <w:p w14:paraId="5783A1D6" w14:textId="77777777" w:rsidR="00497C72" w:rsidRPr="00497C72" w:rsidRDefault="00497C72" w:rsidP="00497C72">
      <w:pPr>
        <w:spacing w:line="240" w:lineRule="auto"/>
        <w:rPr>
          <w:rFonts w:eastAsia="Times New Roman" w:cs="Arial"/>
          <w:sz w:val="24"/>
          <w:szCs w:val="24"/>
        </w:rPr>
      </w:pPr>
      <w:r w:rsidRPr="00497C72">
        <w:rPr>
          <w:rFonts w:eastAsia="Times New Roman" w:cs="Arial"/>
          <w:color w:val="000000"/>
          <w:lang w:eastAsia="bg-BG"/>
        </w:rPr>
        <w:t xml:space="preserve">1 саше веднъж дневно (еквивалентно на 600 </w:t>
      </w:r>
      <w:r w:rsidRPr="00497C72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дневно)</w:t>
      </w:r>
    </w:p>
    <w:p w14:paraId="30E17A2D" w14:textId="77777777" w:rsidR="00497C72" w:rsidRPr="00497C72" w:rsidRDefault="00497C72" w:rsidP="00497C7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FE47BAF" w14:textId="0DF5FC6C" w:rsidR="00497C72" w:rsidRPr="00497C72" w:rsidRDefault="00497C72" w:rsidP="00497C72">
      <w:pPr>
        <w:spacing w:line="240" w:lineRule="auto"/>
        <w:rPr>
          <w:rFonts w:eastAsia="Times New Roman" w:cs="Arial"/>
          <w:sz w:val="24"/>
          <w:szCs w:val="24"/>
        </w:rPr>
      </w:pPr>
      <w:r w:rsidRPr="00497C72">
        <w:rPr>
          <w:rFonts w:eastAsia="Times New Roman" w:cs="Arial"/>
          <w:color w:val="000000"/>
          <w:lang w:eastAsia="bg-BG"/>
        </w:rPr>
        <w:t xml:space="preserve">АЦЦ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Директ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</w:t>
      </w:r>
      <w:r w:rsidRPr="00497C72">
        <w:rPr>
          <w:rFonts w:eastAsia="Times New Roman" w:cs="Arial"/>
          <w:color w:val="000000"/>
          <w:u w:val="single"/>
          <w:lang w:eastAsia="bg-BG"/>
        </w:rPr>
        <w:t>не е подходящ за употреба</w:t>
      </w:r>
      <w:r w:rsidRPr="00497C72">
        <w:rPr>
          <w:rFonts w:eastAsia="Times New Roman" w:cs="Arial"/>
          <w:color w:val="000000"/>
          <w:lang w:eastAsia="bg-BG"/>
        </w:rPr>
        <w:t xml:space="preserve"> при юноши и деца. Налични са други подходящи лекарствени форми.</w:t>
      </w:r>
    </w:p>
    <w:p w14:paraId="18F87039" w14:textId="77777777" w:rsidR="00497C72" w:rsidRPr="00497C72" w:rsidRDefault="00497C72" w:rsidP="00497C7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B69ECD3" w14:textId="13860EF4" w:rsidR="00497C72" w:rsidRPr="00497C72" w:rsidRDefault="00497C72" w:rsidP="00497C72">
      <w:pPr>
        <w:spacing w:line="240" w:lineRule="auto"/>
        <w:rPr>
          <w:rFonts w:eastAsia="Times New Roman" w:cs="Arial"/>
          <w:sz w:val="24"/>
          <w:szCs w:val="24"/>
        </w:rPr>
      </w:pPr>
      <w:r w:rsidRPr="00497C72">
        <w:rPr>
          <w:rFonts w:eastAsia="Times New Roman" w:cs="Arial"/>
          <w:color w:val="000000"/>
          <w:u w:val="single"/>
          <w:lang w:eastAsia="bg-BG"/>
        </w:rPr>
        <w:t>Начин на приложение</w:t>
      </w:r>
    </w:p>
    <w:p w14:paraId="19AF250F" w14:textId="77777777" w:rsidR="00497C72" w:rsidRPr="00497C72" w:rsidRDefault="00497C72" w:rsidP="00497C72">
      <w:pPr>
        <w:spacing w:line="240" w:lineRule="auto"/>
        <w:rPr>
          <w:rFonts w:eastAsia="Times New Roman" w:cs="Arial"/>
          <w:sz w:val="24"/>
          <w:szCs w:val="24"/>
        </w:rPr>
      </w:pPr>
      <w:r w:rsidRPr="00497C72">
        <w:rPr>
          <w:rFonts w:eastAsia="Times New Roman" w:cs="Arial"/>
          <w:color w:val="000000"/>
          <w:lang w:eastAsia="bg-BG"/>
        </w:rPr>
        <w:t>Пероралният прах от едно саше трябва да се постави директно върху езика. Пероралният прах стимулира отделянето на слюнка и по този начин може да бъде лесно погълнат. Пе</w:t>
      </w:r>
      <w:r w:rsidRPr="00497C72">
        <w:rPr>
          <w:rFonts w:eastAsia="Times New Roman" w:cs="Arial"/>
          <w:color w:val="000000"/>
          <w:u w:val="single"/>
          <w:lang w:eastAsia="bg-BG"/>
        </w:rPr>
        <w:t>роралн</w:t>
      </w:r>
      <w:r w:rsidRPr="00497C72">
        <w:rPr>
          <w:rFonts w:eastAsia="Times New Roman" w:cs="Arial"/>
          <w:color w:val="000000"/>
          <w:lang w:eastAsia="bg-BG"/>
        </w:rPr>
        <w:t>ият прах не трябва да се дъвче преди поглъщане.</w:t>
      </w:r>
    </w:p>
    <w:p w14:paraId="2EA538F0" w14:textId="77777777" w:rsidR="00497C72" w:rsidRPr="00497C72" w:rsidRDefault="00497C72" w:rsidP="00497C7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F2D7215" w14:textId="26BCA8D2" w:rsidR="00497C72" w:rsidRPr="00497C72" w:rsidRDefault="00497C72" w:rsidP="00497C72">
      <w:pPr>
        <w:spacing w:line="240" w:lineRule="auto"/>
        <w:rPr>
          <w:rFonts w:eastAsia="Times New Roman" w:cs="Arial"/>
          <w:sz w:val="24"/>
          <w:szCs w:val="24"/>
        </w:rPr>
      </w:pPr>
      <w:r w:rsidRPr="00497C72">
        <w:rPr>
          <w:rFonts w:eastAsia="Times New Roman" w:cs="Arial"/>
          <w:color w:val="000000"/>
          <w:lang w:eastAsia="bg-BG"/>
        </w:rPr>
        <w:t>Може да се приема без вода.</w:t>
      </w:r>
    </w:p>
    <w:p w14:paraId="5FD26D6C" w14:textId="77777777" w:rsidR="00497C72" w:rsidRPr="00497C72" w:rsidRDefault="00497C72" w:rsidP="00497C7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D7E9454" w14:textId="27E8F87C" w:rsidR="00497C72" w:rsidRDefault="00497C72" w:rsidP="00497C7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  <w:r w:rsidRPr="00497C72">
        <w:rPr>
          <w:rFonts w:eastAsia="Times New Roman" w:cs="Arial"/>
          <w:color w:val="000000"/>
          <w:u w:val="single"/>
          <w:lang w:eastAsia="bg-BG"/>
        </w:rPr>
        <w:t>Пациенти в старческа възраст и пациенти с отпадналост</w:t>
      </w:r>
    </w:p>
    <w:p w14:paraId="2E5B0638" w14:textId="77777777" w:rsidR="00497C72" w:rsidRPr="00497C72" w:rsidRDefault="00497C72" w:rsidP="00497C72">
      <w:pPr>
        <w:spacing w:line="240" w:lineRule="auto"/>
        <w:rPr>
          <w:rFonts w:eastAsia="Times New Roman" w:cs="Arial"/>
          <w:sz w:val="24"/>
          <w:szCs w:val="24"/>
        </w:rPr>
      </w:pPr>
      <w:r w:rsidRPr="00497C72">
        <w:rPr>
          <w:rFonts w:eastAsia="Times New Roman" w:cs="Arial"/>
          <w:color w:val="000000"/>
          <w:lang w:eastAsia="bg-BG"/>
        </w:rPr>
        <w:lastRenderedPageBreak/>
        <w:t xml:space="preserve">За предпочитане е пациентите с намален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кашличен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рефлекс (пациенти в старческа възраст и пациенти с отпадналост) да приемат пероралния прах сутрин.</w:t>
      </w:r>
    </w:p>
    <w:p w14:paraId="1F6B60B7" w14:textId="77777777" w:rsidR="00497C72" w:rsidRPr="00497C72" w:rsidRDefault="00497C72" w:rsidP="00497C7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50A6117" w14:textId="01E092C6" w:rsidR="00497C72" w:rsidRPr="00497C72" w:rsidRDefault="00497C72" w:rsidP="00497C72">
      <w:pPr>
        <w:spacing w:line="240" w:lineRule="auto"/>
        <w:rPr>
          <w:rFonts w:eastAsia="Times New Roman" w:cs="Arial"/>
          <w:sz w:val="24"/>
          <w:szCs w:val="24"/>
        </w:rPr>
      </w:pPr>
      <w:r w:rsidRPr="00497C72">
        <w:rPr>
          <w:rFonts w:eastAsia="Times New Roman" w:cs="Arial"/>
          <w:color w:val="000000"/>
          <w:u w:val="single"/>
          <w:lang w:eastAsia="bg-BG"/>
        </w:rPr>
        <w:t>Продължителност на употреба</w:t>
      </w:r>
    </w:p>
    <w:p w14:paraId="2A3BABE3" w14:textId="77777777" w:rsidR="00497C72" w:rsidRPr="00497C72" w:rsidRDefault="00497C72" w:rsidP="00497C72">
      <w:pPr>
        <w:spacing w:line="240" w:lineRule="auto"/>
        <w:rPr>
          <w:rFonts w:eastAsia="Times New Roman" w:cs="Arial"/>
          <w:sz w:val="24"/>
          <w:szCs w:val="24"/>
        </w:rPr>
      </w:pPr>
      <w:r w:rsidRPr="00497C72">
        <w:rPr>
          <w:rFonts w:eastAsia="Times New Roman" w:cs="Arial"/>
          <w:color w:val="000000"/>
          <w:lang w:eastAsia="bg-BG"/>
        </w:rPr>
        <w:t xml:space="preserve">АЦЦ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Директ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не трябва да се приема повече от 14 дни без консултация с лекар.</w:t>
      </w:r>
    </w:p>
    <w:p w14:paraId="5CFD9A3C" w14:textId="77777777" w:rsidR="00497C72" w:rsidRPr="00497C72" w:rsidRDefault="00497C72" w:rsidP="00497C7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E3DF91B" w14:textId="2335AB69" w:rsidR="00497C72" w:rsidRPr="00497C72" w:rsidRDefault="00497C72" w:rsidP="00497C72">
      <w:pPr>
        <w:spacing w:line="240" w:lineRule="auto"/>
        <w:rPr>
          <w:rFonts w:eastAsia="Times New Roman" w:cs="Arial"/>
          <w:sz w:val="24"/>
          <w:szCs w:val="24"/>
        </w:rPr>
      </w:pPr>
      <w:r w:rsidRPr="00497C72">
        <w:rPr>
          <w:rFonts w:eastAsia="Times New Roman" w:cs="Arial"/>
          <w:color w:val="000000"/>
          <w:lang w:eastAsia="bg-BG"/>
        </w:rPr>
        <w:t>Пациентът трябва да се консултира с лекар в случай, че симптомите не се подобрят или се влошат в рамките на 4-5 дни.</w:t>
      </w:r>
    </w:p>
    <w:p w14:paraId="02AC3338" w14:textId="77777777" w:rsidR="00497C72" w:rsidRPr="00497C72" w:rsidRDefault="00497C72" w:rsidP="00497C7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A8A7240" w14:textId="756A1B74" w:rsidR="00497C72" w:rsidRPr="00497C72" w:rsidRDefault="00497C72" w:rsidP="00497C72">
      <w:pPr>
        <w:spacing w:line="240" w:lineRule="auto"/>
        <w:rPr>
          <w:rFonts w:eastAsia="Times New Roman" w:cs="Arial"/>
          <w:sz w:val="24"/>
          <w:szCs w:val="24"/>
        </w:rPr>
      </w:pPr>
      <w:r w:rsidRPr="00497C72">
        <w:rPr>
          <w:rFonts w:eastAsia="Times New Roman" w:cs="Arial"/>
          <w:color w:val="000000"/>
          <w:lang w:eastAsia="bg-BG"/>
        </w:rPr>
        <w:t>Бележка:</w:t>
      </w:r>
    </w:p>
    <w:p w14:paraId="2F917ECC" w14:textId="40B48B0F" w:rsidR="00497C72" w:rsidRPr="00497C72" w:rsidRDefault="00497C72" w:rsidP="00497C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C72">
        <w:rPr>
          <w:rFonts w:eastAsia="Times New Roman" w:cs="Arial"/>
          <w:color w:val="000000"/>
          <w:lang w:eastAsia="bg-BG"/>
        </w:rPr>
        <w:t>Възможно е присъствие на миризма на сяра, която не е показател за разваляне на продукта, а се дължи на активното вещество в състава му.</w:t>
      </w:r>
    </w:p>
    <w:p w14:paraId="13902CBD" w14:textId="77777777" w:rsidR="00497C72" w:rsidRPr="00497C72" w:rsidRDefault="00497C72" w:rsidP="00497C72"/>
    <w:p w14:paraId="1A261012" w14:textId="694799DC" w:rsidR="003765DC" w:rsidRDefault="002C50EE" w:rsidP="002B3C38">
      <w:pPr>
        <w:pStyle w:val="Heading2"/>
      </w:pPr>
      <w:r>
        <w:t>4.3. Противопоказания</w:t>
      </w:r>
    </w:p>
    <w:p w14:paraId="597F503F" w14:textId="77777777" w:rsidR="00497C72" w:rsidRDefault="00497C72" w:rsidP="00497C72">
      <w:pPr>
        <w:rPr>
          <w:lang w:eastAsia="bg-BG"/>
        </w:rPr>
      </w:pPr>
    </w:p>
    <w:p w14:paraId="731D01F9" w14:textId="00394715" w:rsidR="00497C72" w:rsidRPr="00497C72" w:rsidRDefault="00497C72" w:rsidP="00497C72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497C72">
        <w:rPr>
          <w:lang w:eastAsia="bg-BG"/>
        </w:rPr>
        <w:t>Свръхчувствителност към активното вещество или към някое от помощните вещества, изброени в точка 6.1.</w:t>
      </w:r>
    </w:p>
    <w:p w14:paraId="6185092C" w14:textId="77777777" w:rsidR="00497C72" w:rsidRDefault="00497C72" w:rsidP="00497C72">
      <w:pPr>
        <w:rPr>
          <w:lang w:eastAsia="bg-BG"/>
        </w:rPr>
      </w:pPr>
    </w:p>
    <w:p w14:paraId="3AE19948" w14:textId="7B73000B" w:rsidR="00497C72" w:rsidRPr="00497C72" w:rsidRDefault="00497C72" w:rsidP="00497C72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497C72">
        <w:rPr>
          <w:lang w:eastAsia="bg-BG"/>
        </w:rPr>
        <w:t>Деца на възраст под 2 години</w:t>
      </w:r>
    </w:p>
    <w:p w14:paraId="7AE67DD6" w14:textId="77777777" w:rsidR="00497C72" w:rsidRPr="00497C72" w:rsidRDefault="00497C72" w:rsidP="00497C72"/>
    <w:p w14:paraId="5EF6E7D6" w14:textId="56E27154" w:rsidR="003765DC" w:rsidRDefault="002C50EE" w:rsidP="002B3C38">
      <w:pPr>
        <w:pStyle w:val="Heading2"/>
      </w:pPr>
      <w:r>
        <w:t>4.4. Специални предупреждения и предпазни мерки при употреба</w:t>
      </w:r>
    </w:p>
    <w:p w14:paraId="08526435" w14:textId="77777777" w:rsidR="00497C72" w:rsidRDefault="00497C72" w:rsidP="00497C72">
      <w:pPr>
        <w:spacing w:line="240" w:lineRule="auto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4B1C31D5" w14:textId="073B4854" w:rsidR="00497C72" w:rsidRPr="00497C72" w:rsidRDefault="00497C72" w:rsidP="00497C72">
      <w:pPr>
        <w:spacing w:line="240" w:lineRule="auto"/>
        <w:rPr>
          <w:rFonts w:eastAsia="Times New Roman" w:cs="Arial"/>
          <w:sz w:val="24"/>
          <w:szCs w:val="24"/>
        </w:rPr>
      </w:pPr>
      <w:r w:rsidRPr="00497C72">
        <w:rPr>
          <w:rFonts w:eastAsia="Times New Roman" w:cs="Arial"/>
          <w:color w:val="000000"/>
          <w:lang w:eastAsia="bg-BG"/>
        </w:rPr>
        <w:t xml:space="preserve">Много рядко е съобщавано за тежки кожни реакции, като синдром на </w:t>
      </w:r>
      <w:r w:rsidRPr="00497C72">
        <w:rPr>
          <w:rFonts w:eastAsia="Times New Roman" w:cs="Arial"/>
          <w:color w:val="000000"/>
          <w:lang w:val="en-US"/>
        </w:rPr>
        <w:t xml:space="preserve">Stevens-Johnson </w:t>
      </w:r>
      <w:r w:rsidRPr="00497C72">
        <w:rPr>
          <w:rFonts w:eastAsia="Times New Roman" w:cs="Arial"/>
          <w:color w:val="000000"/>
          <w:lang w:eastAsia="bg-BG"/>
        </w:rPr>
        <w:t xml:space="preserve">и синдром на </w:t>
      </w:r>
      <w:r w:rsidRPr="00497C72">
        <w:rPr>
          <w:rFonts w:eastAsia="Times New Roman" w:cs="Arial"/>
          <w:color w:val="000000"/>
          <w:lang w:val="en-US"/>
        </w:rPr>
        <w:t xml:space="preserve">Lyell, </w:t>
      </w:r>
      <w:r w:rsidRPr="00497C72">
        <w:rPr>
          <w:rFonts w:eastAsia="Times New Roman" w:cs="Arial"/>
          <w:color w:val="000000"/>
          <w:lang w:eastAsia="bg-BG"/>
        </w:rPr>
        <w:t xml:space="preserve">при които има времева връзка с употребата на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. В повечето случаи може да се идентифицира най-малко още един лекарствен продукт, който е по-вероятно да е причина за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мукокутанния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синдром. Ако бъдат установени нововъзникнали промени по кожата или лигавиците, трябва незабавно да се потърси консултация с лекар, а приемът на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да се преустанови (вж. също точка 4.8).</w:t>
      </w:r>
    </w:p>
    <w:p w14:paraId="7C9E776B" w14:textId="77777777" w:rsidR="00497C72" w:rsidRPr="00497C72" w:rsidRDefault="00497C72" w:rsidP="00497C7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3B09212" w14:textId="5BDB06BD" w:rsidR="00497C72" w:rsidRPr="00497C72" w:rsidRDefault="00497C72" w:rsidP="00497C72">
      <w:pPr>
        <w:spacing w:line="240" w:lineRule="auto"/>
        <w:rPr>
          <w:rFonts w:eastAsia="Times New Roman" w:cs="Arial"/>
          <w:sz w:val="24"/>
          <w:szCs w:val="24"/>
        </w:rPr>
      </w:pPr>
      <w:r w:rsidRPr="00497C72">
        <w:rPr>
          <w:rFonts w:eastAsia="Times New Roman" w:cs="Arial"/>
          <w:color w:val="000000"/>
          <w:lang w:eastAsia="bg-BG"/>
        </w:rPr>
        <w:t xml:space="preserve">При пациенти с бронхиална астма може да възникне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бронхоспазъм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. При възникване на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бронхоспазъм</w:t>
      </w:r>
      <w:proofErr w:type="spellEnd"/>
      <w:r w:rsidRPr="00497C72">
        <w:rPr>
          <w:rFonts w:eastAsia="Times New Roman" w:cs="Arial"/>
          <w:color w:val="000000"/>
          <w:lang w:eastAsia="bg-BG"/>
        </w:rPr>
        <w:t>, приемът на лекарствения продукт трябва да бъде прекратен незабавно.</w:t>
      </w:r>
    </w:p>
    <w:p w14:paraId="62A5C52B" w14:textId="77777777" w:rsidR="00497C72" w:rsidRPr="00497C72" w:rsidRDefault="00497C72" w:rsidP="00497C7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7E08045" w14:textId="66584040" w:rsidR="00497C72" w:rsidRPr="00497C72" w:rsidRDefault="00497C72" w:rsidP="00497C72">
      <w:pPr>
        <w:spacing w:line="240" w:lineRule="auto"/>
        <w:rPr>
          <w:rFonts w:eastAsia="Times New Roman" w:cs="Arial"/>
          <w:sz w:val="24"/>
          <w:szCs w:val="24"/>
        </w:rPr>
      </w:pPr>
      <w:r w:rsidRPr="00497C72">
        <w:rPr>
          <w:rFonts w:eastAsia="Times New Roman" w:cs="Arial"/>
          <w:color w:val="000000"/>
          <w:lang w:eastAsia="bg-BG"/>
        </w:rPr>
        <w:t xml:space="preserve">Препоръчва се повишено внимание при пациенти с анамнеза за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пептична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язва, особено когато се използва едновременно с други лекарствени продукти, за които е известно, че дразнят лигавицата на стомашно-чревния тракт.</w:t>
      </w:r>
    </w:p>
    <w:p w14:paraId="228A6DA2" w14:textId="77777777" w:rsidR="00497C72" w:rsidRPr="00497C72" w:rsidRDefault="00497C72" w:rsidP="00497C7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AA5DF0F" w14:textId="0C89EE5F" w:rsidR="00497C72" w:rsidRPr="00497C72" w:rsidRDefault="00497C72" w:rsidP="00497C72">
      <w:pPr>
        <w:spacing w:line="240" w:lineRule="auto"/>
        <w:rPr>
          <w:rFonts w:eastAsia="Times New Roman" w:cs="Arial"/>
          <w:sz w:val="24"/>
          <w:szCs w:val="24"/>
        </w:rPr>
      </w:pPr>
      <w:r w:rsidRPr="00497C72">
        <w:rPr>
          <w:rFonts w:eastAsia="Times New Roman" w:cs="Arial"/>
          <w:color w:val="000000"/>
          <w:lang w:eastAsia="bg-BG"/>
        </w:rPr>
        <w:t xml:space="preserve">Препоръчва се повишено внимание при пациенти с </w:t>
      </w:r>
      <w:proofErr w:type="spellStart"/>
      <w:r w:rsidRPr="00497C72">
        <w:rPr>
          <w:rFonts w:eastAsia="Times New Roman" w:cs="Arial"/>
          <w:color w:val="000000"/>
          <w:lang w:eastAsia="bg-BG"/>
        </w:rPr>
        <w:t>хистаминова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непоносимост. При такива пациенти трябва да се избягва по-продължителна терапия, тъй като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повлиява </w:t>
      </w:r>
      <w:proofErr w:type="spellStart"/>
      <w:r w:rsidRPr="00497C72">
        <w:rPr>
          <w:rFonts w:eastAsia="Times New Roman" w:cs="Arial"/>
          <w:color w:val="000000"/>
          <w:lang w:eastAsia="bg-BG"/>
        </w:rPr>
        <w:t>хистаминовия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метаболизъм и може да предизвика симптоми на непоносимост (напр. главоболие, вазомоторен ринит, сърбеж).</w:t>
      </w:r>
    </w:p>
    <w:p w14:paraId="1A9B9A5E" w14:textId="77777777" w:rsidR="00497C72" w:rsidRPr="00497C72" w:rsidRDefault="00497C72" w:rsidP="00497C7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86B365D" w14:textId="339C9F64" w:rsidR="00497C72" w:rsidRPr="00497C72" w:rsidRDefault="00497C72" w:rsidP="00497C72">
      <w:pPr>
        <w:spacing w:line="240" w:lineRule="auto"/>
        <w:rPr>
          <w:rFonts w:eastAsia="Times New Roman" w:cs="Arial"/>
          <w:sz w:val="24"/>
          <w:szCs w:val="24"/>
        </w:rPr>
      </w:pPr>
      <w:r w:rsidRPr="00497C72">
        <w:rPr>
          <w:rFonts w:eastAsia="Times New Roman" w:cs="Arial"/>
          <w:color w:val="000000"/>
          <w:lang w:eastAsia="bg-BG"/>
        </w:rPr>
        <w:t xml:space="preserve">Употребата на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, особено в началото на лечението, може да втечни и да увеличи обема на бронхиална секреция. Ако пациентът не е в състояние да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отхрачи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достатъчно, трябва да се предприемат подходящи мерки (напр.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постурален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дренаж и аспирация).</w:t>
      </w:r>
    </w:p>
    <w:p w14:paraId="1C902CE3" w14:textId="77777777" w:rsidR="00497C72" w:rsidRPr="00497C72" w:rsidRDefault="00497C72" w:rsidP="00497C7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41167A0" w14:textId="5E7DD639" w:rsidR="00497C72" w:rsidRPr="00497C72" w:rsidRDefault="00497C72" w:rsidP="00497C72">
      <w:pPr>
        <w:spacing w:line="240" w:lineRule="auto"/>
        <w:rPr>
          <w:rFonts w:eastAsia="Times New Roman" w:cs="Arial"/>
          <w:sz w:val="24"/>
          <w:szCs w:val="24"/>
        </w:rPr>
      </w:pPr>
      <w:r w:rsidRPr="00497C72">
        <w:rPr>
          <w:rFonts w:eastAsia="Times New Roman" w:cs="Arial"/>
          <w:color w:val="000000"/>
          <w:u w:val="single"/>
          <w:lang w:eastAsia="bg-BG"/>
        </w:rPr>
        <w:t>Педиатрична популация</w:t>
      </w:r>
    </w:p>
    <w:p w14:paraId="3AC136CC" w14:textId="77777777" w:rsidR="00497C72" w:rsidRPr="00497C72" w:rsidRDefault="00497C72" w:rsidP="00497C72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497C72">
        <w:rPr>
          <w:rFonts w:eastAsia="Times New Roman" w:cs="Arial"/>
          <w:color w:val="000000"/>
          <w:lang w:eastAsia="bg-BG"/>
        </w:rPr>
        <w:t>Муколитиците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могат да предизвикат непроходимост на дихателните пътища при деца под 2-годишна възраст поради физиологичните характеристики на дихателните пътища при </w:t>
      </w:r>
      <w:r w:rsidRPr="00497C72">
        <w:rPr>
          <w:rFonts w:eastAsia="Times New Roman" w:cs="Arial"/>
          <w:color w:val="000000"/>
          <w:lang w:eastAsia="bg-BG"/>
        </w:rPr>
        <w:lastRenderedPageBreak/>
        <w:t xml:space="preserve">тази възрастова група и ограничена способност за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отхрачване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. Поради това,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муколитиците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не трябва да се използват</w:t>
      </w:r>
      <w:r w:rsidRPr="00497C72">
        <w:rPr>
          <w:rFonts w:eastAsia="Times New Roman" w:cs="Arial"/>
          <w:color w:val="000000"/>
          <w:u w:val="single"/>
          <w:lang w:eastAsia="bg-BG"/>
        </w:rPr>
        <w:t xml:space="preserve"> </w:t>
      </w:r>
      <w:r w:rsidRPr="00497C72">
        <w:rPr>
          <w:rFonts w:eastAsia="Times New Roman" w:cs="Arial"/>
          <w:color w:val="000000"/>
          <w:lang w:eastAsia="bg-BG"/>
        </w:rPr>
        <w:t>при деца на възраст под 2 години.</w:t>
      </w:r>
    </w:p>
    <w:p w14:paraId="20EA1DB6" w14:textId="77777777" w:rsidR="00497C72" w:rsidRPr="00497C72" w:rsidRDefault="00497C72" w:rsidP="00497C7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1600980" w14:textId="6216D4AF" w:rsidR="00497C72" w:rsidRPr="00497C72" w:rsidRDefault="00497C72" w:rsidP="00497C72">
      <w:pPr>
        <w:spacing w:line="240" w:lineRule="auto"/>
        <w:rPr>
          <w:rFonts w:eastAsia="Times New Roman" w:cs="Arial"/>
          <w:sz w:val="24"/>
          <w:szCs w:val="24"/>
        </w:rPr>
      </w:pPr>
      <w:r w:rsidRPr="00497C72">
        <w:rPr>
          <w:rFonts w:eastAsia="Times New Roman" w:cs="Arial"/>
          <w:color w:val="000000"/>
          <w:u w:val="single"/>
          <w:lang w:eastAsia="bg-BG"/>
        </w:rPr>
        <w:t xml:space="preserve">Този лекарствен продукт съдържа аспартам. </w:t>
      </w:r>
      <w:proofErr w:type="spellStart"/>
      <w:r w:rsidRPr="00497C72">
        <w:rPr>
          <w:rFonts w:eastAsia="Times New Roman" w:cs="Arial"/>
          <w:color w:val="000000"/>
          <w:u w:val="single"/>
          <w:lang w:eastAsia="bg-BG"/>
        </w:rPr>
        <w:t>сорбитол</w:t>
      </w:r>
      <w:proofErr w:type="spellEnd"/>
      <w:r w:rsidRPr="00497C72">
        <w:rPr>
          <w:rFonts w:eastAsia="Times New Roman" w:cs="Arial"/>
          <w:color w:val="000000"/>
          <w:u w:val="single"/>
          <w:lang w:eastAsia="bg-BG"/>
        </w:rPr>
        <w:t xml:space="preserve"> и натрий</w:t>
      </w:r>
    </w:p>
    <w:p w14:paraId="482283CC" w14:textId="54DF6E47" w:rsidR="00497C72" w:rsidRDefault="00497C72" w:rsidP="00497C72">
      <w:pPr>
        <w:rPr>
          <w:rFonts w:eastAsia="Times New Roman" w:cs="Arial"/>
          <w:color w:val="000000"/>
          <w:lang w:eastAsia="bg-BG"/>
        </w:rPr>
      </w:pPr>
      <w:r w:rsidRPr="00497C72">
        <w:rPr>
          <w:rFonts w:eastAsia="Times New Roman" w:cs="Arial"/>
          <w:color w:val="000000"/>
          <w:lang w:eastAsia="bg-BG"/>
        </w:rPr>
        <w:t xml:space="preserve">Този лекарствен продукт съдържа 0,5 </w:t>
      </w:r>
      <w:r w:rsidRPr="00497C72">
        <w:rPr>
          <w:rFonts w:eastAsia="Times New Roman" w:cs="Arial"/>
          <w:color w:val="000000"/>
          <w:lang w:val="en-US"/>
        </w:rPr>
        <w:t xml:space="preserve">mg </w:t>
      </w:r>
      <w:r w:rsidRPr="00497C72">
        <w:rPr>
          <w:rFonts w:eastAsia="Times New Roman" w:cs="Arial"/>
          <w:color w:val="000000"/>
          <w:lang w:eastAsia="bg-BG"/>
        </w:rPr>
        <w:t xml:space="preserve">аспартам във всяко саше. Аспартамът е източник на </w:t>
      </w:r>
      <w:proofErr w:type="spellStart"/>
      <w:r w:rsidRPr="00497C72">
        <w:rPr>
          <w:rFonts w:eastAsia="Times New Roman" w:cs="Arial"/>
          <w:color w:val="000000"/>
          <w:lang w:eastAsia="bg-BG"/>
        </w:rPr>
        <w:t>фенилаланин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. Той може да бъде вреден за пациенти с </w:t>
      </w:r>
      <w:proofErr w:type="spellStart"/>
      <w:r w:rsidRPr="00497C72">
        <w:rPr>
          <w:rFonts w:eastAsia="Times New Roman" w:cs="Arial"/>
          <w:color w:val="000000"/>
          <w:lang w:eastAsia="bg-BG"/>
        </w:rPr>
        <w:t>фенилкетонурия</w:t>
      </w:r>
      <w:proofErr w:type="spellEnd"/>
      <w:r w:rsidRPr="00497C72">
        <w:rPr>
          <w:rFonts w:eastAsia="Times New Roman" w:cs="Arial"/>
          <w:color w:val="000000"/>
          <w:lang w:eastAsia="bg-BG"/>
        </w:rPr>
        <w:t>.</w:t>
      </w:r>
    </w:p>
    <w:p w14:paraId="1A967EB9" w14:textId="1A884C63" w:rsidR="00497C72" w:rsidRDefault="00497C72" w:rsidP="00497C72">
      <w:pPr>
        <w:rPr>
          <w:rFonts w:eastAsia="Times New Roman" w:cs="Arial"/>
          <w:color w:val="000000"/>
          <w:lang w:eastAsia="bg-BG"/>
        </w:rPr>
      </w:pPr>
    </w:p>
    <w:p w14:paraId="186CF18E" w14:textId="77777777" w:rsidR="00497C72" w:rsidRPr="00497C72" w:rsidRDefault="00497C72" w:rsidP="00497C72">
      <w:pPr>
        <w:rPr>
          <w:sz w:val="24"/>
          <w:szCs w:val="24"/>
        </w:rPr>
      </w:pPr>
      <w:r w:rsidRPr="00497C72">
        <w:rPr>
          <w:lang w:eastAsia="bg-BG"/>
        </w:rPr>
        <w:t xml:space="preserve">Този лекарствен продукт съдържа до 527 </w:t>
      </w:r>
      <w:r w:rsidRPr="00497C72">
        <w:rPr>
          <w:lang w:val="en-US"/>
        </w:rPr>
        <w:t xml:space="preserve">mg </w:t>
      </w:r>
      <w:proofErr w:type="spellStart"/>
      <w:r w:rsidRPr="00497C72">
        <w:rPr>
          <w:lang w:eastAsia="bg-BG"/>
        </w:rPr>
        <w:t>сорбитол</w:t>
      </w:r>
      <w:proofErr w:type="spellEnd"/>
      <w:r w:rsidRPr="00497C72">
        <w:rPr>
          <w:lang w:eastAsia="bg-BG"/>
        </w:rPr>
        <w:t xml:space="preserve"> във всяко саше. Трябва да се има предвид адитивния му ефект към едновременно приемани лекарствени продукти, съдържащи </w:t>
      </w:r>
      <w:proofErr w:type="spellStart"/>
      <w:r w:rsidRPr="00497C72">
        <w:rPr>
          <w:lang w:eastAsia="bg-BG"/>
        </w:rPr>
        <w:t>сорбитол</w:t>
      </w:r>
      <w:proofErr w:type="spellEnd"/>
      <w:r w:rsidRPr="00497C72">
        <w:rPr>
          <w:lang w:eastAsia="bg-BG"/>
        </w:rPr>
        <w:t xml:space="preserve"> (или </w:t>
      </w:r>
      <w:proofErr w:type="spellStart"/>
      <w:r w:rsidRPr="00497C72">
        <w:rPr>
          <w:lang w:eastAsia="bg-BG"/>
        </w:rPr>
        <w:t>фрукгоза</w:t>
      </w:r>
      <w:proofErr w:type="spellEnd"/>
      <w:r w:rsidRPr="00497C72">
        <w:rPr>
          <w:lang w:eastAsia="bg-BG"/>
        </w:rPr>
        <w:t xml:space="preserve">) както и приемът на </w:t>
      </w:r>
      <w:proofErr w:type="spellStart"/>
      <w:r w:rsidRPr="00497C72">
        <w:rPr>
          <w:lang w:eastAsia="bg-BG"/>
        </w:rPr>
        <w:t>сорбитол</w:t>
      </w:r>
      <w:proofErr w:type="spellEnd"/>
      <w:r w:rsidRPr="00497C72">
        <w:rPr>
          <w:lang w:eastAsia="bg-BG"/>
        </w:rPr>
        <w:t xml:space="preserve"> (или фруктоза) като част от диетата. Съдържанието на </w:t>
      </w:r>
      <w:proofErr w:type="spellStart"/>
      <w:r w:rsidRPr="00497C72">
        <w:rPr>
          <w:lang w:eastAsia="bg-BG"/>
        </w:rPr>
        <w:t>сорбитол</w:t>
      </w:r>
      <w:proofErr w:type="spellEnd"/>
      <w:r w:rsidRPr="00497C72">
        <w:rPr>
          <w:lang w:eastAsia="bg-BG"/>
        </w:rPr>
        <w:t xml:space="preserve"> в лекарствените продукти за перорално приложение може да повлияе върху бионаличността на други перорални лекарствени продукти, приемани едновременно. Пациентите с редки наследствени заболявалия на непоносимост към фруктоза </w:t>
      </w:r>
      <w:r w:rsidRPr="00497C72">
        <w:rPr>
          <w:lang w:val="en-US"/>
        </w:rPr>
        <w:t xml:space="preserve">(HFI), </w:t>
      </w:r>
      <w:r w:rsidRPr="00497C72">
        <w:rPr>
          <w:lang w:eastAsia="bg-BG"/>
        </w:rPr>
        <w:t>не трябва да приемат този лекарствен продукт.</w:t>
      </w:r>
    </w:p>
    <w:p w14:paraId="339D5B51" w14:textId="77777777" w:rsidR="00497C72" w:rsidRDefault="00497C72" w:rsidP="00497C72">
      <w:pPr>
        <w:rPr>
          <w:lang w:eastAsia="bg-BG"/>
        </w:rPr>
      </w:pPr>
    </w:p>
    <w:p w14:paraId="267B8C42" w14:textId="6CC0983D" w:rsidR="00497C72" w:rsidRPr="00497C72" w:rsidRDefault="00497C72" w:rsidP="00497C72">
      <w:pPr>
        <w:rPr>
          <w:sz w:val="24"/>
          <w:szCs w:val="24"/>
        </w:rPr>
      </w:pPr>
      <w:r w:rsidRPr="00497C72">
        <w:rPr>
          <w:lang w:eastAsia="bg-BG"/>
        </w:rPr>
        <w:t xml:space="preserve">Това лекарство съдържа по-малко от 1 </w:t>
      </w:r>
      <w:r w:rsidRPr="00497C72">
        <w:rPr>
          <w:lang w:val="en-US"/>
        </w:rPr>
        <w:t xml:space="preserve">mmol </w:t>
      </w:r>
      <w:r w:rsidRPr="00497C72">
        <w:rPr>
          <w:lang w:eastAsia="bg-BG"/>
        </w:rPr>
        <w:t xml:space="preserve">(23 </w:t>
      </w:r>
      <w:r w:rsidRPr="00497C72">
        <w:rPr>
          <w:lang w:val="en-US"/>
        </w:rPr>
        <w:t xml:space="preserve">mg) </w:t>
      </w:r>
      <w:r w:rsidRPr="00497C72">
        <w:rPr>
          <w:lang w:eastAsia="bg-BG"/>
        </w:rPr>
        <w:t>натрий в едно саше, което означава, че практически не съдържа натрий.</w:t>
      </w:r>
    </w:p>
    <w:p w14:paraId="79E728E2" w14:textId="77777777" w:rsidR="00497C72" w:rsidRPr="00497C72" w:rsidRDefault="00497C72" w:rsidP="00497C72">
      <w:pPr>
        <w:rPr>
          <w:rFonts w:cs="Arial"/>
        </w:rPr>
      </w:pPr>
    </w:p>
    <w:p w14:paraId="297352C8" w14:textId="36C4EF58" w:rsidR="003765DC" w:rsidRDefault="002C50EE" w:rsidP="002B3C38">
      <w:pPr>
        <w:pStyle w:val="Heading2"/>
      </w:pPr>
      <w:r>
        <w:t>4.5. Взаимодействие с други лекарствени продукти и други форми на взаимодействие</w:t>
      </w:r>
    </w:p>
    <w:p w14:paraId="3C1ED04C" w14:textId="0529B879" w:rsidR="00497C72" w:rsidRDefault="00497C72" w:rsidP="00497C72"/>
    <w:p w14:paraId="020A4736" w14:textId="77777777" w:rsidR="00497C72" w:rsidRPr="00497C72" w:rsidRDefault="00497C72" w:rsidP="00497C72">
      <w:pPr>
        <w:spacing w:line="240" w:lineRule="auto"/>
        <w:rPr>
          <w:rFonts w:eastAsia="Times New Roman" w:cs="Arial"/>
          <w:sz w:val="24"/>
          <w:szCs w:val="24"/>
        </w:rPr>
      </w:pPr>
      <w:r w:rsidRPr="00497C72">
        <w:rPr>
          <w:rFonts w:eastAsia="Times New Roman" w:cs="Arial"/>
          <w:color w:val="000000"/>
          <w:lang w:eastAsia="bg-BG"/>
        </w:rPr>
        <w:t>Проучвания за взаимодействие са провеждани само при възрастни.</w:t>
      </w:r>
    </w:p>
    <w:p w14:paraId="3FAA0A6C" w14:textId="77777777" w:rsidR="00497C72" w:rsidRPr="00497C72" w:rsidRDefault="00497C72" w:rsidP="00497C72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F5A909F" w14:textId="55BFF1BF" w:rsidR="00497C72" w:rsidRPr="00497C72" w:rsidRDefault="00497C72" w:rsidP="00497C72">
      <w:pPr>
        <w:spacing w:line="240" w:lineRule="auto"/>
        <w:rPr>
          <w:rFonts w:eastAsia="Times New Roman" w:cs="Arial"/>
          <w:sz w:val="24"/>
          <w:szCs w:val="24"/>
        </w:rPr>
      </w:pPr>
      <w:r w:rsidRPr="00497C72">
        <w:rPr>
          <w:rFonts w:eastAsia="Times New Roman" w:cs="Arial"/>
          <w:i/>
          <w:iCs/>
          <w:color w:val="000000"/>
          <w:lang w:eastAsia="bg-BG"/>
        </w:rPr>
        <w:t xml:space="preserve">Комбинация с </w:t>
      </w:r>
      <w:proofErr w:type="spellStart"/>
      <w:r w:rsidRPr="00497C72">
        <w:rPr>
          <w:rFonts w:eastAsia="Times New Roman" w:cs="Arial"/>
          <w:i/>
          <w:iCs/>
          <w:color w:val="000000"/>
          <w:lang w:eastAsia="bg-BG"/>
        </w:rPr>
        <w:t>антитусиви</w:t>
      </w:r>
      <w:proofErr w:type="spellEnd"/>
    </w:p>
    <w:p w14:paraId="306B11D6" w14:textId="77777777" w:rsidR="00497C72" w:rsidRPr="00497C72" w:rsidRDefault="00497C72" w:rsidP="00497C72">
      <w:pPr>
        <w:spacing w:line="240" w:lineRule="auto"/>
        <w:rPr>
          <w:rFonts w:eastAsia="Times New Roman" w:cs="Arial"/>
          <w:sz w:val="24"/>
          <w:szCs w:val="24"/>
        </w:rPr>
      </w:pPr>
      <w:r w:rsidRPr="00497C72">
        <w:rPr>
          <w:rFonts w:eastAsia="Times New Roman" w:cs="Arial"/>
          <w:color w:val="000000"/>
          <w:lang w:eastAsia="bg-BG"/>
        </w:rPr>
        <w:t xml:space="preserve">Лекарствени продукти, които потискат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кашличния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рефлекс не трябва да се прилагат заедно с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ацетицистеин</w:t>
      </w:r>
      <w:proofErr w:type="spellEnd"/>
      <w:r w:rsidRPr="00497C72">
        <w:rPr>
          <w:rFonts w:eastAsia="Times New Roman" w:cs="Arial"/>
          <w:color w:val="000000"/>
          <w:lang w:eastAsia="bg-BG"/>
        </w:rPr>
        <w:t>.</w:t>
      </w:r>
    </w:p>
    <w:p w14:paraId="2DF97310" w14:textId="77777777" w:rsidR="00497C72" w:rsidRPr="00497C72" w:rsidRDefault="00497C72" w:rsidP="00497C72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69802B4" w14:textId="28F3D9DB" w:rsidR="00497C72" w:rsidRPr="00497C72" w:rsidRDefault="00497C72" w:rsidP="00497C72">
      <w:pPr>
        <w:spacing w:line="240" w:lineRule="auto"/>
        <w:rPr>
          <w:rFonts w:eastAsia="Times New Roman" w:cs="Arial"/>
          <w:sz w:val="24"/>
          <w:szCs w:val="24"/>
        </w:rPr>
      </w:pPr>
      <w:r w:rsidRPr="00497C72">
        <w:rPr>
          <w:rFonts w:eastAsia="Times New Roman" w:cs="Arial"/>
          <w:i/>
          <w:iCs/>
          <w:color w:val="000000"/>
          <w:lang w:eastAsia="bg-BG"/>
        </w:rPr>
        <w:t>Антибиотици</w:t>
      </w:r>
    </w:p>
    <w:p w14:paraId="60AC8390" w14:textId="77777777" w:rsidR="00497C72" w:rsidRPr="00497C72" w:rsidRDefault="00497C72" w:rsidP="00497C72">
      <w:pPr>
        <w:spacing w:line="240" w:lineRule="auto"/>
        <w:rPr>
          <w:rFonts w:eastAsia="Times New Roman" w:cs="Arial"/>
          <w:sz w:val="24"/>
          <w:szCs w:val="24"/>
        </w:rPr>
      </w:pPr>
      <w:r w:rsidRPr="00497C72">
        <w:rPr>
          <w:rFonts w:eastAsia="Times New Roman" w:cs="Arial"/>
          <w:color w:val="000000"/>
          <w:lang w:eastAsia="bg-BG"/>
        </w:rPr>
        <w:t>Съобщенията досега за инактивация на антибиотици (</w:t>
      </w:r>
      <w:proofErr w:type="spellStart"/>
      <w:r w:rsidRPr="00497C72">
        <w:rPr>
          <w:rFonts w:eastAsia="Times New Roman" w:cs="Arial"/>
          <w:color w:val="000000"/>
          <w:lang w:eastAsia="bg-BG"/>
        </w:rPr>
        <w:t>тетрациклини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(с изключение на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доксициклин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), </w:t>
      </w:r>
      <w:proofErr w:type="spellStart"/>
      <w:r w:rsidRPr="00497C72">
        <w:rPr>
          <w:rFonts w:eastAsia="Times New Roman" w:cs="Arial"/>
          <w:color w:val="000000"/>
          <w:lang w:eastAsia="bg-BG"/>
        </w:rPr>
        <w:t>цефалоспорин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аминогликозиди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, пеницилини) от страна на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се отнасят изключително до проучвания </w:t>
      </w:r>
      <w:r w:rsidRPr="00497C72">
        <w:rPr>
          <w:rFonts w:eastAsia="Times New Roman" w:cs="Arial"/>
          <w:i/>
          <w:iCs/>
          <w:color w:val="000000"/>
          <w:lang w:val="en-US"/>
        </w:rPr>
        <w:t>in vitro,</w:t>
      </w:r>
      <w:r w:rsidRPr="00497C72">
        <w:rPr>
          <w:rFonts w:eastAsia="Times New Roman" w:cs="Arial"/>
          <w:color w:val="000000"/>
          <w:lang w:val="en-US"/>
        </w:rPr>
        <w:t xml:space="preserve"> </w:t>
      </w:r>
      <w:r w:rsidRPr="00497C72">
        <w:rPr>
          <w:rFonts w:eastAsia="Times New Roman" w:cs="Arial"/>
          <w:color w:val="000000"/>
          <w:lang w:eastAsia="bg-BG"/>
        </w:rPr>
        <w:t xml:space="preserve">при които съответните субстанции са смесвани пряко. Независимо от това, от съображения за безопасност, пероралните антибиотици трябва да се прилагат отделно и в интервал от най-малко 2 часа. Това не се отнася за </w:t>
      </w:r>
      <w:proofErr w:type="spellStart"/>
      <w:r w:rsidRPr="00497C72">
        <w:rPr>
          <w:rFonts w:eastAsia="Times New Roman" w:cs="Arial"/>
          <w:color w:val="000000"/>
          <w:lang w:eastAsia="bg-BG"/>
        </w:rPr>
        <w:t>цефиксим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лоракарбеф</w:t>
      </w:r>
      <w:proofErr w:type="spellEnd"/>
      <w:r w:rsidRPr="00497C72">
        <w:rPr>
          <w:rFonts w:eastAsia="Times New Roman" w:cs="Arial"/>
          <w:color w:val="000000"/>
          <w:lang w:eastAsia="bg-BG"/>
        </w:rPr>
        <w:t>.</w:t>
      </w:r>
    </w:p>
    <w:p w14:paraId="0E4C876B" w14:textId="77777777" w:rsidR="00497C72" w:rsidRPr="00497C72" w:rsidRDefault="00497C72" w:rsidP="00497C72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54012CA" w14:textId="624F1103" w:rsidR="00497C72" w:rsidRPr="00497C72" w:rsidRDefault="00497C72" w:rsidP="00497C72">
      <w:pPr>
        <w:spacing w:line="240" w:lineRule="auto"/>
        <w:rPr>
          <w:rFonts w:eastAsia="Times New Roman" w:cs="Arial"/>
          <w:sz w:val="24"/>
          <w:szCs w:val="24"/>
        </w:rPr>
      </w:pPr>
      <w:r w:rsidRPr="00497C72">
        <w:rPr>
          <w:rFonts w:eastAsia="Times New Roman" w:cs="Arial"/>
          <w:i/>
          <w:iCs/>
          <w:color w:val="000000"/>
          <w:lang w:eastAsia="bg-BG"/>
        </w:rPr>
        <w:t>Активен въглен във високи дози</w:t>
      </w:r>
    </w:p>
    <w:p w14:paraId="161DA34E" w14:textId="77777777" w:rsidR="00497C72" w:rsidRPr="00497C72" w:rsidRDefault="00497C72" w:rsidP="00497C72">
      <w:pPr>
        <w:spacing w:line="240" w:lineRule="auto"/>
        <w:rPr>
          <w:rFonts w:eastAsia="Times New Roman" w:cs="Arial"/>
          <w:sz w:val="24"/>
          <w:szCs w:val="24"/>
        </w:rPr>
      </w:pPr>
      <w:r w:rsidRPr="00497C72">
        <w:rPr>
          <w:rFonts w:eastAsia="Times New Roman" w:cs="Arial"/>
          <w:color w:val="000000"/>
          <w:lang w:eastAsia="bg-BG"/>
        </w:rPr>
        <w:t xml:space="preserve">Употребата на активен въглен може да намали ефекта на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497C72">
        <w:rPr>
          <w:rFonts w:eastAsia="Times New Roman" w:cs="Arial"/>
          <w:color w:val="000000"/>
          <w:lang w:eastAsia="bg-BG"/>
        </w:rPr>
        <w:t>.</w:t>
      </w:r>
    </w:p>
    <w:p w14:paraId="628CD644" w14:textId="77777777" w:rsidR="00497C72" w:rsidRPr="00497C72" w:rsidRDefault="00497C72" w:rsidP="00497C72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A0EAB99" w14:textId="5004C6E5" w:rsidR="00497C72" w:rsidRPr="00497C72" w:rsidRDefault="00497C72" w:rsidP="00497C72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497C72">
        <w:rPr>
          <w:rFonts w:eastAsia="Times New Roman" w:cs="Arial"/>
          <w:i/>
          <w:iCs/>
          <w:color w:val="000000"/>
          <w:lang w:eastAsia="bg-BG"/>
        </w:rPr>
        <w:t>Ацетилцистеин</w:t>
      </w:r>
      <w:proofErr w:type="spellEnd"/>
      <w:r w:rsidRPr="00497C72">
        <w:rPr>
          <w:rFonts w:eastAsia="Times New Roman" w:cs="Arial"/>
          <w:i/>
          <w:iCs/>
          <w:color w:val="000000"/>
          <w:lang w:eastAsia="bg-BG"/>
        </w:rPr>
        <w:t>/ Нитроглицерин</w:t>
      </w:r>
    </w:p>
    <w:p w14:paraId="6FD9D243" w14:textId="77777777" w:rsidR="00497C72" w:rsidRPr="00497C72" w:rsidRDefault="00497C72" w:rsidP="00497C72">
      <w:pPr>
        <w:spacing w:line="240" w:lineRule="auto"/>
        <w:rPr>
          <w:rFonts w:eastAsia="Times New Roman" w:cs="Arial"/>
          <w:sz w:val="24"/>
          <w:szCs w:val="24"/>
        </w:rPr>
      </w:pPr>
      <w:r w:rsidRPr="00497C72">
        <w:rPr>
          <w:rFonts w:eastAsia="Times New Roman" w:cs="Arial"/>
          <w:color w:val="000000"/>
          <w:lang w:eastAsia="bg-BG"/>
        </w:rPr>
        <w:t xml:space="preserve">Едновременното приложение с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може да доведе до усилване на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вазодилататорните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антитромбоцитните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ефекти на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глицерилов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497C72">
        <w:rPr>
          <w:rFonts w:eastAsia="Times New Roman" w:cs="Arial"/>
          <w:color w:val="000000"/>
          <w:lang w:eastAsia="bg-BG"/>
        </w:rPr>
        <w:t>тринитрат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(нитроглицерин).</w:t>
      </w:r>
    </w:p>
    <w:p w14:paraId="126451B3" w14:textId="77777777" w:rsidR="00497C72" w:rsidRPr="00497C72" w:rsidRDefault="00497C72" w:rsidP="00497C72">
      <w:pPr>
        <w:spacing w:line="240" w:lineRule="auto"/>
        <w:rPr>
          <w:rFonts w:eastAsia="Times New Roman" w:cs="Arial"/>
          <w:sz w:val="24"/>
          <w:szCs w:val="24"/>
        </w:rPr>
      </w:pPr>
      <w:r w:rsidRPr="00497C72">
        <w:rPr>
          <w:rFonts w:eastAsia="Times New Roman" w:cs="Arial"/>
          <w:color w:val="000000"/>
          <w:lang w:eastAsia="bg-BG"/>
        </w:rPr>
        <w:t xml:space="preserve">Ако е необходимо лечение с нитроглицерин и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497C72">
        <w:rPr>
          <w:rFonts w:eastAsia="Times New Roman" w:cs="Arial"/>
          <w:color w:val="000000"/>
          <w:lang w:eastAsia="bg-BG"/>
        </w:rPr>
        <w:t>, пациентът трябва да бъде наблюдаван за потенциална хипотония, която може да бъде сериозна и да бъде манифестирана чрез главоболие.</w:t>
      </w:r>
    </w:p>
    <w:p w14:paraId="42A35EB1" w14:textId="77777777" w:rsidR="00497C72" w:rsidRPr="00497C72" w:rsidRDefault="00497C72" w:rsidP="00497C72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35DC41A" w14:textId="77777777" w:rsidR="00497C72" w:rsidRDefault="00497C72" w:rsidP="00497C72">
      <w:pPr>
        <w:spacing w:line="240" w:lineRule="auto"/>
        <w:rPr>
          <w:rFonts w:eastAsia="Times New Roman" w:cs="Arial"/>
          <w:sz w:val="24"/>
          <w:szCs w:val="24"/>
        </w:rPr>
      </w:pPr>
      <w:r w:rsidRPr="00497C72">
        <w:rPr>
          <w:rFonts w:eastAsia="Times New Roman" w:cs="Arial"/>
          <w:i/>
          <w:iCs/>
          <w:color w:val="000000"/>
          <w:lang w:eastAsia="bg-BG"/>
        </w:rPr>
        <w:t>Промени в определянето на лабораторните параметри</w:t>
      </w:r>
    </w:p>
    <w:p w14:paraId="37B07E48" w14:textId="4673CB1D" w:rsidR="00497C72" w:rsidRPr="00497C72" w:rsidRDefault="00497C72" w:rsidP="00497C72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497C72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може да повлияе на колориметричния анализ на </w:t>
      </w:r>
      <w:proofErr w:type="spellStart"/>
      <w:r w:rsidRPr="00497C72">
        <w:rPr>
          <w:rFonts w:eastAsia="Times New Roman" w:cs="Arial"/>
          <w:color w:val="000000"/>
          <w:lang w:eastAsia="bg-BG"/>
        </w:rPr>
        <w:t>салицилатите.</w:t>
      </w:r>
      <w:proofErr w:type="spellEnd"/>
    </w:p>
    <w:p w14:paraId="37B2FC80" w14:textId="46E488A1" w:rsidR="00497C72" w:rsidRPr="00497C72" w:rsidRDefault="00497C72" w:rsidP="00497C72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497C72">
        <w:rPr>
          <w:rFonts w:eastAsia="Times New Roman" w:cs="Arial"/>
          <w:color w:val="000000"/>
          <w:lang w:eastAsia="bg-BG"/>
        </w:rPr>
        <w:lastRenderedPageBreak/>
        <w:t xml:space="preserve">При изследвания на урина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може да повлияе резултатите за определяне на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кетонни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тела.</w:t>
      </w:r>
    </w:p>
    <w:p w14:paraId="34D8D4A4" w14:textId="77777777" w:rsidR="00497C72" w:rsidRPr="00497C72" w:rsidRDefault="00497C72" w:rsidP="00497C7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88D995B" w14:textId="0F6F1DD9" w:rsidR="00497C72" w:rsidRPr="00497C72" w:rsidRDefault="00497C72" w:rsidP="00497C72">
      <w:pPr>
        <w:spacing w:line="240" w:lineRule="auto"/>
        <w:rPr>
          <w:rFonts w:eastAsia="Times New Roman" w:cs="Arial"/>
          <w:sz w:val="24"/>
          <w:szCs w:val="24"/>
        </w:rPr>
      </w:pPr>
      <w:r w:rsidRPr="00497C72">
        <w:rPr>
          <w:rFonts w:eastAsia="Times New Roman" w:cs="Arial"/>
          <w:color w:val="000000"/>
          <w:lang w:eastAsia="bg-BG"/>
        </w:rPr>
        <w:t xml:space="preserve">Разтварянето на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ацетилцитеин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съдържащи продукти заедно с други лекарства не се препоръчва.</w:t>
      </w:r>
    </w:p>
    <w:p w14:paraId="2C96AAA9" w14:textId="77777777" w:rsidR="00497C72" w:rsidRPr="00497C72" w:rsidRDefault="00497C72" w:rsidP="00497C72"/>
    <w:p w14:paraId="20B09708" w14:textId="1FA0DE8E" w:rsidR="003765DC" w:rsidRDefault="002C50EE" w:rsidP="002B3C38">
      <w:pPr>
        <w:pStyle w:val="Heading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70B53378" w14:textId="77777777" w:rsidR="00497C72" w:rsidRDefault="00497C72" w:rsidP="00497C72">
      <w:pPr>
        <w:spacing w:line="240" w:lineRule="auto"/>
        <w:rPr>
          <w:rFonts w:ascii="Times New Roman" w:eastAsia="Times New Roman" w:hAnsi="Times New Roman" w:cs="Times New Roman"/>
          <w:color w:val="000000"/>
          <w:u w:val="single"/>
          <w:lang w:eastAsia="bg-BG"/>
        </w:rPr>
      </w:pPr>
    </w:p>
    <w:p w14:paraId="3F8C2D47" w14:textId="57D064BB" w:rsidR="00497C72" w:rsidRPr="00497C72" w:rsidRDefault="00497C72" w:rsidP="00497C72">
      <w:pPr>
        <w:pStyle w:val="Heading3"/>
        <w:rPr>
          <w:rFonts w:eastAsia="Times New Roman"/>
          <w:u w:val="single"/>
        </w:rPr>
      </w:pPr>
      <w:proofErr w:type="spellStart"/>
      <w:r w:rsidRPr="00497C72">
        <w:rPr>
          <w:rFonts w:eastAsia="Times New Roman"/>
          <w:u w:val="single"/>
          <w:lang w:eastAsia="bg-BG"/>
        </w:rPr>
        <w:t>Фертилитет</w:t>
      </w:r>
      <w:proofErr w:type="spellEnd"/>
    </w:p>
    <w:p w14:paraId="7FB1CA57" w14:textId="77777777" w:rsidR="00497C72" w:rsidRPr="00497C72" w:rsidRDefault="00497C72" w:rsidP="00497C72">
      <w:pPr>
        <w:rPr>
          <w:sz w:val="24"/>
          <w:szCs w:val="24"/>
        </w:rPr>
      </w:pPr>
      <w:r w:rsidRPr="00497C72">
        <w:rPr>
          <w:lang w:eastAsia="bg-BG"/>
        </w:rPr>
        <w:t xml:space="preserve">Не са забелязани ефекти върху </w:t>
      </w:r>
      <w:proofErr w:type="spellStart"/>
      <w:r w:rsidRPr="00497C72">
        <w:rPr>
          <w:lang w:eastAsia="bg-BG"/>
        </w:rPr>
        <w:t>фертилитета</w:t>
      </w:r>
      <w:proofErr w:type="spellEnd"/>
      <w:r w:rsidRPr="00497C72">
        <w:rPr>
          <w:lang w:eastAsia="bg-BG"/>
        </w:rPr>
        <w:t xml:space="preserve"> при проучвания при животни (вж. точка 5.3).</w:t>
      </w:r>
    </w:p>
    <w:p w14:paraId="60A29238" w14:textId="77777777" w:rsidR="00497C72" w:rsidRDefault="00497C72" w:rsidP="00497C72">
      <w:pPr>
        <w:rPr>
          <w:lang w:eastAsia="bg-BG"/>
        </w:rPr>
      </w:pPr>
    </w:p>
    <w:p w14:paraId="62AC6BBB" w14:textId="26FD5B41" w:rsidR="00497C72" w:rsidRPr="00497C72" w:rsidRDefault="00497C72" w:rsidP="00497C72">
      <w:pPr>
        <w:pStyle w:val="Heading3"/>
        <w:rPr>
          <w:rFonts w:eastAsia="Times New Roman"/>
          <w:u w:val="single"/>
        </w:rPr>
      </w:pPr>
      <w:r w:rsidRPr="00497C72">
        <w:rPr>
          <w:rFonts w:eastAsia="Times New Roman"/>
          <w:u w:val="single"/>
          <w:lang w:eastAsia="bg-BG"/>
        </w:rPr>
        <w:t>Бременност</w:t>
      </w:r>
    </w:p>
    <w:p w14:paraId="3EDAA93D" w14:textId="77777777" w:rsidR="00497C72" w:rsidRPr="00497C72" w:rsidRDefault="00497C72" w:rsidP="00497C72">
      <w:pPr>
        <w:rPr>
          <w:sz w:val="24"/>
          <w:szCs w:val="24"/>
        </w:rPr>
      </w:pPr>
      <w:r w:rsidRPr="00497C72">
        <w:rPr>
          <w:lang w:eastAsia="bg-BG"/>
        </w:rPr>
        <w:t xml:space="preserve">Няма достатъчно клинични данни за експонирани бременни жени на </w:t>
      </w:r>
      <w:proofErr w:type="spellStart"/>
      <w:r w:rsidRPr="00497C72">
        <w:rPr>
          <w:lang w:eastAsia="bg-BG"/>
        </w:rPr>
        <w:t>ацетилцистеин</w:t>
      </w:r>
      <w:proofErr w:type="spellEnd"/>
      <w:r w:rsidRPr="00497C72">
        <w:rPr>
          <w:lang w:eastAsia="bg-BG"/>
        </w:rPr>
        <w:t xml:space="preserve">. Експериментални проучвания при животни не са показали данни за пряко или непряко вредно въздействие върху бременността, ембрионалното/феталното развитие, раждането или </w:t>
      </w:r>
      <w:proofErr w:type="spellStart"/>
      <w:r w:rsidRPr="00497C72">
        <w:rPr>
          <w:lang w:eastAsia="bg-BG"/>
        </w:rPr>
        <w:t>послеродовото</w:t>
      </w:r>
      <w:proofErr w:type="spellEnd"/>
      <w:r w:rsidRPr="00497C72">
        <w:rPr>
          <w:lang w:eastAsia="bg-BG"/>
        </w:rPr>
        <w:t xml:space="preserve"> развитие (вж. също точка 5.3). </w:t>
      </w:r>
      <w:proofErr w:type="spellStart"/>
      <w:r w:rsidRPr="00497C72">
        <w:rPr>
          <w:lang w:eastAsia="bg-BG"/>
        </w:rPr>
        <w:t>Ацетилцистеин</w:t>
      </w:r>
      <w:proofErr w:type="spellEnd"/>
      <w:r w:rsidRPr="00497C72">
        <w:rPr>
          <w:lang w:eastAsia="bg-BG"/>
        </w:rPr>
        <w:t xml:space="preserve"> преминава през плацентата. Наличните данни не</w:t>
      </w:r>
      <w:r>
        <w:rPr>
          <w:lang w:eastAsia="bg-BG"/>
        </w:rPr>
        <w:t xml:space="preserve"> </w:t>
      </w:r>
      <w:r w:rsidRPr="00497C72">
        <w:rPr>
          <w:lang w:eastAsia="bg-BG"/>
        </w:rPr>
        <w:t xml:space="preserve">предполагат риск за плода. </w:t>
      </w:r>
      <w:proofErr w:type="spellStart"/>
      <w:r w:rsidRPr="00497C72">
        <w:rPr>
          <w:lang w:eastAsia="bg-BG"/>
        </w:rPr>
        <w:t>Ацетилцистеин</w:t>
      </w:r>
      <w:proofErr w:type="spellEnd"/>
      <w:r w:rsidRPr="00497C72">
        <w:rPr>
          <w:lang w:eastAsia="bg-BG"/>
        </w:rPr>
        <w:t xml:space="preserve"> трябва да се прилага по време на бременност само след внимателна оценка на съотношението полза-риск.</w:t>
      </w:r>
    </w:p>
    <w:p w14:paraId="21F89B19" w14:textId="77777777" w:rsidR="00497C72" w:rsidRDefault="00497C72" w:rsidP="00497C72">
      <w:pPr>
        <w:rPr>
          <w:lang w:eastAsia="bg-BG"/>
        </w:rPr>
      </w:pPr>
    </w:p>
    <w:p w14:paraId="659B5955" w14:textId="2719C072" w:rsidR="00497C72" w:rsidRPr="00497C72" w:rsidRDefault="00497C72" w:rsidP="00497C72">
      <w:pPr>
        <w:pStyle w:val="Heading3"/>
        <w:rPr>
          <w:rFonts w:eastAsia="Times New Roman"/>
          <w:u w:val="single"/>
        </w:rPr>
      </w:pPr>
      <w:r w:rsidRPr="00497C72">
        <w:rPr>
          <w:rFonts w:eastAsia="Times New Roman"/>
          <w:u w:val="single"/>
          <w:lang w:eastAsia="bg-BG"/>
        </w:rPr>
        <w:t>Кърмене</w:t>
      </w:r>
    </w:p>
    <w:p w14:paraId="13BEF95C" w14:textId="77777777" w:rsidR="00497C72" w:rsidRPr="00497C72" w:rsidRDefault="00497C72" w:rsidP="00497C72">
      <w:pPr>
        <w:rPr>
          <w:sz w:val="24"/>
          <w:szCs w:val="24"/>
        </w:rPr>
      </w:pPr>
      <w:r w:rsidRPr="00497C72">
        <w:rPr>
          <w:lang w:eastAsia="bg-BG"/>
        </w:rPr>
        <w:t xml:space="preserve">Няма информация относно екскрецията на </w:t>
      </w:r>
      <w:proofErr w:type="spellStart"/>
      <w:r w:rsidRPr="00497C72">
        <w:rPr>
          <w:lang w:eastAsia="bg-BG"/>
        </w:rPr>
        <w:t>ацетилцистеин</w:t>
      </w:r>
      <w:proofErr w:type="spellEnd"/>
      <w:r w:rsidRPr="00497C72">
        <w:rPr>
          <w:lang w:eastAsia="bg-BG"/>
        </w:rPr>
        <w:t xml:space="preserve"> в кърмата. </w:t>
      </w:r>
      <w:proofErr w:type="spellStart"/>
      <w:r w:rsidRPr="00497C72">
        <w:rPr>
          <w:lang w:eastAsia="bg-BG"/>
        </w:rPr>
        <w:t>Ацетилцистеин</w:t>
      </w:r>
      <w:proofErr w:type="spellEnd"/>
      <w:r w:rsidRPr="00497C72">
        <w:rPr>
          <w:lang w:eastAsia="bg-BG"/>
        </w:rPr>
        <w:t xml:space="preserve"> трябва да се използва в периода на кърмене само след внимателна оценка на съотношението полза/риск.</w:t>
      </w:r>
    </w:p>
    <w:p w14:paraId="7986C2C7" w14:textId="2070EBFB" w:rsidR="00497C72" w:rsidRPr="00497C72" w:rsidRDefault="00497C72" w:rsidP="00497C72"/>
    <w:p w14:paraId="13465597" w14:textId="5962E513" w:rsidR="003765DC" w:rsidRDefault="002C50EE" w:rsidP="002B3C38">
      <w:pPr>
        <w:pStyle w:val="Heading2"/>
      </w:pPr>
      <w:r>
        <w:t>4.7. Ефекти върху способността за шофиране и работа с машини</w:t>
      </w:r>
    </w:p>
    <w:p w14:paraId="1524BBEF" w14:textId="77777777" w:rsidR="00497C72" w:rsidRDefault="00497C72" w:rsidP="00497C72">
      <w:pPr>
        <w:rPr>
          <w:lang w:eastAsia="bg-BG"/>
        </w:rPr>
      </w:pPr>
    </w:p>
    <w:p w14:paraId="7188F03F" w14:textId="2D75A416" w:rsidR="00497C72" w:rsidRPr="00497C72" w:rsidRDefault="00497C72" w:rsidP="00497C72">
      <w:pPr>
        <w:rPr>
          <w:sz w:val="24"/>
          <w:szCs w:val="24"/>
        </w:rPr>
      </w:pPr>
      <w:r w:rsidRPr="00497C72">
        <w:rPr>
          <w:lang w:eastAsia="bg-BG"/>
        </w:rPr>
        <w:t xml:space="preserve">Не са известни ефекти върху способността за шофиране и работа с машини от страна на </w:t>
      </w:r>
      <w:proofErr w:type="spellStart"/>
      <w:r w:rsidRPr="00497C72">
        <w:rPr>
          <w:lang w:eastAsia="bg-BG"/>
        </w:rPr>
        <w:t>ацетилцистеин</w:t>
      </w:r>
      <w:proofErr w:type="spellEnd"/>
      <w:r w:rsidRPr="00497C72">
        <w:rPr>
          <w:lang w:eastAsia="bg-BG"/>
        </w:rPr>
        <w:t>.</w:t>
      </w:r>
    </w:p>
    <w:p w14:paraId="41FADF52" w14:textId="77777777" w:rsidR="00497C72" w:rsidRPr="00497C72" w:rsidRDefault="00497C72" w:rsidP="00497C72"/>
    <w:p w14:paraId="5D66F04B" w14:textId="3D4A6E6E" w:rsidR="003765DC" w:rsidRDefault="002C50EE" w:rsidP="002B3C38">
      <w:pPr>
        <w:pStyle w:val="Heading2"/>
      </w:pPr>
      <w:r>
        <w:t>4.8. Нежелани лекарствени реакции</w:t>
      </w:r>
    </w:p>
    <w:p w14:paraId="2F187D93" w14:textId="77777777" w:rsidR="00497C72" w:rsidRPr="00497C72" w:rsidRDefault="00497C72" w:rsidP="00497C72">
      <w:pPr>
        <w:rPr>
          <w:sz w:val="24"/>
          <w:szCs w:val="24"/>
        </w:rPr>
      </w:pPr>
      <w:r w:rsidRPr="00497C72">
        <w:rPr>
          <w:lang w:eastAsia="bg-BG"/>
        </w:rPr>
        <w:t>Оценката на нежеланите реакции се базира на следната класификация на честотата им:</w:t>
      </w:r>
    </w:p>
    <w:p w14:paraId="627337E8" w14:textId="77777777" w:rsidR="00497C72" w:rsidRDefault="00497C72" w:rsidP="00497C72">
      <w:pPr>
        <w:rPr>
          <w:lang w:eastAsia="bg-BG"/>
        </w:rPr>
      </w:pPr>
    </w:p>
    <w:p w14:paraId="5996448C" w14:textId="697256A7" w:rsidR="00497C72" w:rsidRPr="00497C72" w:rsidRDefault="00497C72" w:rsidP="00497C72">
      <w:pPr>
        <w:rPr>
          <w:sz w:val="24"/>
          <w:szCs w:val="24"/>
        </w:rPr>
      </w:pPr>
      <w:r w:rsidRPr="00497C72">
        <w:rPr>
          <w:lang w:eastAsia="bg-BG"/>
        </w:rPr>
        <w:t xml:space="preserve">Много чести </w:t>
      </w:r>
      <w:r w:rsidRPr="00497C72">
        <w:rPr>
          <w:i/>
          <w:iCs/>
          <w:lang w:eastAsia="bg-BG"/>
        </w:rPr>
        <w:t>(</w:t>
      </w:r>
      <w:r w:rsidRPr="00497C72">
        <w:rPr>
          <w:i/>
          <w:iCs/>
          <w:lang w:val="en-US"/>
        </w:rPr>
        <w:t>≥</w:t>
      </w:r>
      <w:r w:rsidRPr="00497C72">
        <w:rPr>
          <w:i/>
          <w:iCs/>
          <w:lang w:eastAsia="bg-BG"/>
        </w:rPr>
        <w:t xml:space="preserve"> 1/10)</w:t>
      </w:r>
    </w:p>
    <w:p w14:paraId="74D08805" w14:textId="77777777" w:rsidR="00497C72" w:rsidRPr="00497C72" w:rsidRDefault="00497C72" w:rsidP="00497C72">
      <w:pPr>
        <w:rPr>
          <w:sz w:val="24"/>
          <w:szCs w:val="24"/>
        </w:rPr>
      </w:pPr>
      <w:r w:rsidRPr="00497C72">
        <w:rPr>
          <w:lang w:eastAsia="bg-BG"/>
        </w:rPr>
        <w:t>Чести (</w:t>
      </w:r>
      <w:r w:rsidRPr="00497C72">
        <w:rPr>
          <w:lang w:val="en-US"/>
        </w:rPr>
        <w:t>≥</w:t>
      </w:r>
      <w:r w:rsidRPr="00497C72">
        <w:rPr>
          <w:lang w:eastAsia="bg-BG"/>
        </w:rPr>
        <w:t xml:space="preserve"> 1/100 до &lt; 1/10)</w:t>
      </w:r>
    </w:p>
    <w:p w14:paraId="7EFF2DDC" w14:textId="77777777" w:rsidR="00497C72" w:rsidRPr="00497C72" w:rsidRDefault="00497C72" w:rsidP="00497C72">
      <w:pPr>
        <w:rPr>
          <w:sz w:val="24"/>
          <w:szCs w:val="24"/>
        </w:rPr>
      </w:pPr>
      <w:r w:rsidRPr="00497C72">
        <w:rPr>
          <w:lang w:eastAsia="bg-BG"/>
        </w:rPr>
        <w:t>Нечести (</w:t>
      </w:r>
      <w:r w:rsidRPr="00497C72">
        <w:rPr>
          <w:lang w:val="en-US"/>
        </w:rPr>
        <w:t>≥</w:t>
      </w:r>
      <w:r w:rsidRPr="00497C72">
        <w:rPr>
          <w:lang w:eastAsia="bg-BG"/>
        </w:rPr>
        <w:t xml:space="preserve"> 1/1 000 до &lt; 1/100)</w:t>
      </w:r>
    </w:p>
    <w:p w14:paraId="1E8F4F7A" w14:textId="77777777" w:rsidR="00497C72" w:rsidRPr="00497C72" w:rsidRDefault="00497C72" w:rsidP="00497C72">
      <w:pPr>
        <w:rPr>
          <w:sz w:val="24"/>
          <w:szCs w:val="24"/>
        </w:rPr>
      </w:pPr>
      <w:r w:rsidRPr="00497C72">
        <w:rPr>
          <w:lang w:eastAsia="bg-BG"/>
        </w:rPr>
        <w:t>Редки (</w:t>
      </w:r>
      <w:r w:rsidRPr="00497C72">
        <w:rPr>
          <w:lang w:val="en-US"/>
        </w:rPr>
        <w:t>≥</w:t>
      </w:r>
      <w:r w:rsidRPr="00497C72">
        <w:rPr>
          <w:lang w:eastAsia="bg-BG"/>
        </w:rPr>
        <w:t xml:space="preserve"> 1/10 000 до &lt; 1/1 000)</w:t>
      </w:r>
    </w:p>
    <w:p w14:paraId="7AE8CD37" w14:textId="77777777" w:rsidR="00497C72" w:rsidRPr="00497C72" w:rsidRDefault="00497C72" w:rsidP="00497C72">
      <w:pPr>
        <w:rPr>
          <w:sz w:val="24"/>
          <w:szCs w:val="24"/>
        </w:rPr>
      </w:pPr>
      <w:r w:rsidRPr="00497C72">
        <w:rPr>
          <w:lang w:eastAsia="bg-BG"/>
        </w:rPr>
        <w:t>Много редки (&lt; 1/10 000)</w:t>
      </w:r>
    </w:p>
    <w:p w14:paraId="5015A546" w14:textId="77777777" w:rsidR="00497C72" w:rsidRPr="00497C72" w:rsidRDefault="00497C72" w:rsidP="00497C72">
      <w:pPr>
        <w:rPr>
          <w:sz w:val="24"/>
          <w:szCs w:val="24"/>
        </w:rPr>
      </w:pPr>
      <w:r w:rsidRPr="00497C72">
        <w:rPr>
          <w:lang w:eastAsia="bg-BG"/>
        </w:rPr>
        <w:t>С неизвестна честота (от наличните данни не може да бъде направена оценка)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4"/>
        <w:gridCol w:w="2497"/>
        <w:gridCol w:w="1682"/>
        <w:gridCol w:w="1952"/>
        <w:gridCol w:w="1631"/>
      </w:tblGrid>
      <w:tr w:rsidR="00497C72" w14:paraId="02123EBD" w14:textId="77777777" w:rsidTr="00497C72">
        <w:tc>
          <w:tcPr>
            <w:tcW w:w="1814" w:type="dxa"/>
            <w:vMerge w:val="restart"/>
          </w:tcPr>
          <w:p w14:paraId="70839ADE" w14:textId="6C77F8E3" w:rsidR="00497C72" w:rsidRDefault="00497C72" w:rsidP="00497C72">
            <w:r>
              <w:rPr>
                <w:b/>
                <w:bCs/>
              </w:rPr>
              <w:t>Системи- органен клас</w:t>
            </w:r>
          </w:p>
        </w:tc>
        <w:tc>
          <w:tcPr>
            <w:tcW w:w="7762" w:type="dxa"/>
            <w:gridSpan w:val="4"/>
          </w:tcPr>
          <w:p w14:paraId="7A008C45" w14:textId="3F2070C3" w:rsidR="00497C72" w:rsidRPr="00497C72" w:rsidRDefault="00497C72" w:rsidP="00497C72">
            <w:pPr>
              <w:jc w:val="center"/>
              <w:rPr>
                <w:b/>
                <w:bCs/>
                <w:sz w:val="24"/>
                <w:szCs w:val="24"/>
              </w:rPr>
            </w:pPr>
            <w:r w:rsidRPr="00497C72">
              <w:rPr>
                <w:b/>
                <w:bCs/>
                <w:lang w:eastAsia="bg-BG"/>
              </w:rPr>
              <w:t>Нежелани реакции</w:t>
            </w:r>
          </w:p>
        </w:tc>
      </w:tr>
      <w:tr w:rsidR="00497C72" w14:paraId="4C061FDD" w14:textId="77777777" w:rsidTr="00497C72">
        <w:tc>
          <w:tcPr>
            <w:tcW w:w="1814" w:type="dxa"/>
            <w:vMerge/>
          </w:tcPr>
          <w:p w14:paraId="10FD7BF4" w14:textId="77777777" w:rsidR="00497C72" w:rsidRDefault="00497C72" w:rsidP="00497C72"/>
        </w:tc>
        <w:tc>
          <w:tcPr>
            <w:tcW w:w="2497" w:type="dxa"/>
          </w:tcPr>
          <w:p w14:paraId="67890852" w14:textId="11E19F5F" w:rsidR="00497C72" w:rsidRDefault="00497C72" w:rsidP="00497C72">
            <w:pPr>
              <w:jc w:val="center"/>
            </w:pPr>
            <w:r>
              <w:rPr>
                <w:b/>
                <w:bCs/>
              </w:rPr>
              <w:t>Нечести</w:t>
            </w:r>
          </w:p>
        </w:tc>
        <w:tc>
          <w:tcPr>
            <w:tcW w:w="1682" w:type="dxa"/>
          </w:tcPr>
          <w:p w14:paraId="0F1129FA" w14:textId="17ABC99E" w:rsidR="00497C72" w:rsidRDefault="00497C72" w:rsidP="00497C72">
            <w:pPr>
              <w:jc w:val="center"/>
            </w:pPr>
            <w:r>
              <w:rPr>
                <w:b/>
                <w:bCs/>
              </w:rPr>
              <w:t>Редки</w:t>
            </w:r>
          </w:p>
        </w:tc>
        <w:tc>
          <w:tcPr>
            <w:tcW w:w="1952" w:type="dxa"/>
          </w:tcPr>
          <w:p w14:paraId="20841CC9" w14:textId="34627E87" w:rsidR="00497C72" w:rsidRDefault="00497C72" w:rsidP="00497C72">
            <w:pPr>
              <w:jc w:val="center"/>
            </w:pPr>
            <w:r>
              <w:rPr>
                <w:b/>
                <w:bCs/>
              </w:rPr>
              <w:t>Много редки</w:t>
            </w:r>
          </w:p>
        </w:tc>
        <w:tc>
          <w:tcPr>
            <w:tcW w:w="1631" w:type="dxa"/>
          </w:tcPr>
          <w:p w14:paraId="07511102" w14:textId="419CC980" w:rsidR="00497C72" w:rsidRDefault="00497C72" w:rsidP="00497C72">
            <w:pPr>
              <w:jc w:val="center"/>
            </w:pPr>
            <w:r>
              <w:rPr>
                <w:b/>
                <w:bCs/>
              </w:rPr>
              <w:t>с неизвестна честота</w:t>
            </w:r>
          </w:p>
        </w:tc>
      </w:tr>
      <w:tr w:rsidR="00497C72" w14:paraId="74BE16D4" w14:textId="77777777" w:rsidTr="00497C72">
        <w:tc>
          <w:tcPr>
            <w:tcW w:w="1814" w:type="dxa"/>
          </w:tcPr>
          <w:p w14:paraId="22014C96" w14:textId="6B401A49" w:rsidR="00497C72" w:rsidRDefault="00497C72" w:rsidP="00497C72">
            <w:r>
              <w:t>Нарушения на имунната система</w:t>
            </w:r>
          </w:p>
        </w:tc>
        <w:tc>
          <w:tcPr>
            <w:tcW w:w="2497" w:type="dxa"/>
          </w:tcPr>
          <w:p w14:paraId="153D4C2C" w14:textId="77777777" w:rsidR="00497C72" w:rsidRDefault="00497C72" w:rsidP="00497C72">
            <w:r>
              <w:t>Реакции на</w:t>
            </w:r>
          </w:p>
          <w:p w14:paraId="26E3CE2A" w14:textId="6B9FEBF4" w:rsidR="00497C72" w:rsidRDefault="00497C72" w:rsidP="00497C72">
            <w:r>
              <w:t>свръхчувствителност*</w:t>
            </w:r>
          </w:p>
        </w:tc>
        <w:tc>
          <w:tcPr>
            <w:tcW w:w="1682" w:type="dxa"/>
          </w:tcPr>
          <w:p w14:paraId="0C68F987" w14:textId="77777777" w:rsidR="00497C72" w:rsidRDefault="00497C72" w:rsidP="00497C72"/>
        </w:tc>
        <w:tc>
          <w:tcPr>
            <w:tcW w:w="1952" w:type="dxa"/>
          </w:tcPr>
          <w:p w14:paraId="32396279" w14:textId="712BE3C7" w:rsidR="00497C72" w:rsidRDefault="00497C72" w:rsidP="00497C72">
            <w:proofErr w:type="spellStart"/>
            <w:r>
              <w:t>Анафилактичен</w:t>
            </w:r>
            <w:proofErr w:type="spellEnd"/>
            <w:r>
              <w:t xml:space="preserve"> шок, </w:t>
            </w:r>
            <w:proofErr w:type="spellStart"/>
            <w:r>
              <w:t>анафилактични</w:t>
            </w:r>
            <w:proofErr w:type="spellEnd"/>
            <w:r>
              <w:t xml:space="preserve"> / </w:t>
            </w:r>
            <w:proofErr w:type="spellStart"/>
            <w:r>
              <w:lastRenderedPageBreak/>
              <w:t>анафилактоидни</w:t>
            </w:r>
            <w:proofErr w:type="spellEnd"/>
            <w:r>
              <w:t xml:space="preserve"> реакции</w:t>
            </w:r>
          </w:p>
        </w:tc>
        <w:tc>
          <w:tcPr>
            <w:tcW w:w="1631" w:type="dxa"/>
          </w:tcPr>
          <w:p w14:paraId="5E8378CC" w14:textId="77777777" w:rsidR="00497C72" w:rsidRDefault="00497C72" w:rsidP="00497C72"/>
        </w:tc>
      </w:tr>
      <w:tr w:rsidR="00497C72" w14:paraId="5C879082" w14:textId="77777777" w:rsidTr="00497C72">
        <w:tc>
          <w:tcPr>
            <w:tcW w:w="1814" w:type="dxa"/>
          </w:tcPr>
          <w:p w14:paraId="3B7EB25C" w14:textId="3BCE381D" w:rsidR="00497C72" w:rsidRDefault="00497C72" w:rsidP="00497C72">
            <w:r>
              <w:t>Нарушения на нервната система</w:t>
            </w:r>
          </w:p>
        </w:tc>
        <w:tc>
          <w:tcPr>
            <w:tcW w:w="2497" w:type="dxa"/>
          </w:tcPr>
          <w:p w14:paraId="068D4A45" w14:textId="714B7CE2" w:rsidR="00497C72" w:rsidRDefault="00497C72" w:rsidP="00497C72">
            <w:r>
              <w:t>Главоболие</w:t>
            </w:r>
          </w:p>
        </w:tc>
        <w:tc>
          <w:tcPr>
            <w:tcW w:w="1682" w:type="dxa"/>
          </w:tcPr>
          <w:p w14:paraId="7566DA2F" w14:textId="77777777" w:rsidR="00497C72" w:rsidRDefault="00497C72" w:rsidP="00497C72"/>
        </w:tc>
        <w:tc>
          <w:tcPr>
            <w:tcW w:w="1952" w:type="dxa"/>
          </w:tcPr>
          <w:p w14:paraId="05CD21DB" w14:textId="77777777" w:rsidR="00497C72" w:rsidRDefault="00497C72" w:rsidP="00497C72"/>
        </w:tc>
        <w:tc>
          <w:tcPr>
            <w:tcW w:w="1631" w:type="dxa"/>
          </w:tcPr>
          <w:p w14:paraId="29988DE0" w14:textId="77777777" w:rsidR="00497C72" w:rsidRDefault="00497C72" w:rsidP="00497C72"/>
        </w:tc>
      </w:tr>
      <w:tr w:rsidR="00497C72" w14:paraId="0B06C2E3" w14:textId="77777777" w:rsidTr="00497C72">
        <w:tc>
          <w:tcPr>
            <w:tcW w:w="1814" w:type="dxa"/>
          </w:tcPr>
          <w:p w14:paraId="57BFA5AA" w14:textId="7802EDD3" w:rsidR="00497C72" w:rsidRDefault="00497C72" w:rsidP="00497C72">
            <w:r>
              <w:t>Нарушения на ухото и лабиринта</w:t>
            </w:r>
          </w:p>
        </w:tc>
        <w:tc>
          <w:tcPr>
            <w:tcW w:w="2497" w:type="dxa"/>
          </w:tcPr>
          <w:p w14:paraId="6E434DCF" w14:textId="236A9E15" w:rsidR="00497C72" w:rsidRDefault="00497C72" w:rsidP="00497C72">
            <w:proofErr w:type="spellStart"/>
            <w:r>
              <w:t>Тинитус</w:t>
            </w:r>
            <w:proofErr w:type="spellEnd"/>
          </w:p>
        </w:tc>
        <w:tc>
          <w:tcPr>
            <w:tcW w:w="1682" w:type="dxa"/>
          </w:tcPr>
          <w:p w14:paraId="270D0359" w14:textId="77777777" w:rsidR="00497C72" w:rsidRDefault="00497C72" w:rsidP="00497C72"/>
        </w:tc>
        <w:tc>
          <w:tcPr>
            <w:tcW w:w="1952" w:type="dxa"/>
          </w:tcPr>
          <w:p w14:paraId="39463EA1" w14:textId="77777777" w:rsidR="00497C72" w:rsidRDefault="00497C72" w:rsidP="00497C72"/>
        </w:tc>
        <w:tc>
          <w:tcPr>
            <w:tcW w:w="1631" w:type="dxa"/>
          </w:tcPr>
          <w:p w14:paraId="56DD8366" w14:textId="77777777" w:rsidR="00497C72" w:rsidRDefault="00497C72" w:rsidP="00497C72"/>
        </w:tc>
      </w:tr>
      <w:tr w:rsidR="00497C72" w14:paraId="78385224" w14:textId="77777777" w:rsidTr="00497C72">
        <w:tc>
          <w:tcPr>
            <w:tcW w:w="1814" w:type="dxa"/>
          </w:tcPr>
          <w:p w14:paraId="1D6F4859" w14:textId="4C3F4ACB" w:rsidR="00497C72" w:rsidRDefault="00497C72" w:rsidP="00497C72">
            <w:r>
              <w:t>Сърдечни нарушения</w:t>
            </w:r>
          </w:p>
        </w:tc>
        <w:tc>
          <w:tcPr>
            <w:tcW w:w="2497" w:type="dxa"/>
          </w:tcPr>
          <w:p w14:paraId="5137358E" w14:textId="33252C4F" w:rsidR="00497C72" w:rsidRDefault="00497C72" w:rsidP="00497C72">
            <w:r>
              <w:t>Тахикардия</w:t>
            </w:r>
          </w:p>
        </w:tc>
        <w:tc>
          <w:tcPr>
            <w:tcW w:w="1682" w:type="dxa"/>
          </w:tcPr>
          <w:p w14:paraId="4E0E5D67" w14:textId="77777777" w:rsidR="00497C72" w:rsidRDefault="00497C72" w:rsidP="00497C72"/>
        </w:tc>
        <w:tc>
          <w:tcPr>
            <w:tcW w:w="1952" w:type="dxa"/>
          </w:tcPr>
          <w:p w14:paraId="182229F0" w14:textId="77777777" w:rsidR="00497C72" w:rsidRDefault="00497C72" w:rsidP="00497C72"/>
        </w:tc>
        <w:tc>
          <w:tcPr>
            <w:tcW w:w="1631" w:type="dxa"/>
          </w:tcPr>
          <w:p w14:paraId="71AF96C7" w14:textId="77777777" w:rsidR="00497C72" w:rsidRDefault="00497C72" w:rsidP="00497C72"/>
        </w:tc>
      </w:tr>
      <w:tr w:rsidR="00497C72" w14:paraId="1384B253" w14:textId="77777777" w:rsidTr="00497C72">
        <w:tc>
          <w:tcPr>
            <w:tcW w:w="1814" w:type="dxa"/>
          </w:tcPr>
          <w:p w14:paraId="23B4270A" w14:textId="34218F04" w:rsidR="00497C72" w:rsidRDefault="00497C72" w:rsidP="00497C72">
            <w:r>
              <w:t>Съдови нарушения</w:t>
            </w:r>
          </w:p>
        </w:tc>
        <w:tc>
          <w:tcPr>
            <w:tcW w:w="2497" w:type="dxa"/>
          </w:tcPr>
          <w:p w14:paraId="514A7D21" w14:textId="06786EC3" w:rsidR="00497C72" w:rsidRDefault="00497C72" w:rsidP="00497C72">
            <w:r>
              <w:t>Хипотония</w:t>
            </w:r>
          </w:p>
        </w:tc>
        <w:tc>
          <w:tcPr>
            <w:tcW w:w="1682" w:type="dxa"/>
          </w:tcPr>
          <w:p w14:paraId="31AF344E" w14:textId="77777777" w:rsidR="00497C72" w:rsidRDefault="00497C72" w:rsidP="00497C72"/>
        </w:tc>
        <w:tc>
          <w:tcPr>
            <w:tcW w:w="1952" w:type="dxa"/>
          </w:tcPr>
          <w:p w14:paraId="29765B98" w14:textId="553DEE4E" w:rsidR="00497C72" w:rsidRDefault="00497C72" w:rsidP="00497C72">
            <w:r>
              <w:t>Кръвоизлив</w:t>
            </w:r>
          </w:p>
        </w:tc>
        <w:tc>
          <w:tcPr>
            <w:tcW w:w="1631" w:type="dxa"/>
          </w:tcPr>
          <w:p w14:paraId="3CA4A618" w14:textId="77777777" w:rsidR="00497C72" w:rsidRDefault="00497C72" w:rsidP="00497C72"/>
        </w:tc>
      </w:tr>
      <w:tr w:rsidR="00497C72" w14:paraId="152268DE" w14:textId="77777777" w:rsidTr="00497C72">
        <w:tc>
          <w:tcPr>
            <w:tcW w:w="1814" w:type="dxa"/>
          </w:tcPr>
          <w:p w14:paraId="64B9D831" w14:textId="5B332560" w:rsidR="00497C72" w:rsidRDefault="00497C72" w:rsidP="00497C72">
            <w:r>
              <w:t xml:space="preserve">Респираторни, гръдни и </w:t>
            </w:r>
            <w:proofErr w:type="spellStart"/>
            <w:r>
              <w:t>медиастинални</w:t>
            </w:r>
            <w:proofErr w:type="spellEnd"/>
            <w:r>
              <w:t xml:space="preserve"> нарушения</w:t>
            </w:r>
          </w:p>
        </w:tc>
        <w:tc>
          <w:tcPr>
            <w:tcW w:w="2497" w:type="dxa"/>
          </w:tcPr>
          <w:p w14:paraId="48A7B8ED" w14:textId="77777777" w:rsidR="00497C72" w:rsidRDefault="00497C72" w:rsidP="00497C72"/>
        </w:tc>
        <w:tc>
          <w:tcPr>
            <w:tcW w:w="1682" w:type="dxa"/>
          </w:tcPr>
          <w:p w14:paraId="656E2FDE" w14:textId="542DC95D" w:rsidR="00497C72" w:rsidRDefault="00497C72" w:rsidP="00497C72">
            <w:proofErr w:type="spellStart"/>
            <w:r>
              <w:t>Диспнея</w:t>
            </w:r>
            <w:proofErr w:type="spellEnd"/>
            <w:r>
              <w:t xml:space="preserve">, </w:t>
            </w:r>
            <w:proofErr w:type="spellStart"/>
            <w:r>
              <w:t>бронхоспазъм</w:t>
            </w:r>
            <w:proofErr w:type="spellEnd"/>
          </w:p>
        </w:tc>
        <w:tc>
          <w:tcPr>
            <w:tcW w:w="1952" w:type="dxa"/>
          </w:tcPr>
          <w:p w14:paraId="4F2F3456" w14:textId="77777777" w:rsidR="00497C72" w:rsidRDefault="00497C72" w:rsidP="00497C72"/>
        </w:tc>
        <w:tc>
          <w:tcPr>
            <w:tcW w:w="1631" w:type="dxa"/>
          </w:tcPr>
          <w:p w14:paraId="60F7952A" w14:textId="77777777" w:rsidR="00497C72" w:rsidRDefault="00497C72" w:rsidP="00497C72"/>
        </w:tc>
      </w:tr>
      <w:tr w:rsidR="00497C72" w14:paraId="01BC583B" w14:textId="77777777" w:rsidTr="00497C72">
        <w:tc>
          <w:tcPr>
            <w:tcW w:w="1814" w:type="dxa"/>
          </w:tcPr>
          <w:p w14:paraId="641DC2BF" w14:textId="7B92C76E" w:rsidR="00497C72" w:rsidRDefault="00497C72" w:rsidP="00497C72">
            <w:r>
              <w:t>Стомашно- чревни нарушения</w:t>
            </w:r>
          </w:p>
        </w:tc>
        <w:tc>
          <w:tcPr>
            <w:tcW w:w="2497" w:type="dxa"/>
          </w:tcPr>
          <w:p w14:paraId="64C4F8C5" w14:textId="48F9AE36" w:rsidR="00497C72" w:rsidRDefault="00497C72" w:rsidP="00497C72">
            <w:r>
              <w:t>Повръщане, диария, стоматит, болка в корема, гадене</w:t>
            </w:r>
          </w:p>
        </w:tc>
        <w:tc>
          <w:tcPr>
            <w:tcW w:w="1682" w:type="dxa"/>
          </w:tcPr>
          <w:p w14:paraId="7388802B" w14:textId="2D9D3325" w:rsidR="00497C72" w:rsidRDefault="00497C72" w:rsidP="00497C72">
            <w:r>
              <w:t>Диспепсия</w:t>
            </w:r>
          </w:p>
        </w:tc>
        <w:tc>
          <w:tcPr>
            <w:tcW w:w="1952" w:type="dxa"/>
          </w:tcPr>
          <w:p w14:paraId="56A9F352" w14:textId="77777777" w:rsidR="00497C72" w:rsidRDefault="00497C72" w:rsidP="00497C72"/>
        </w:tc>
        <w:tc>
          <w:tcPr>
            <w:tcW w:w="1631" w:type="dxa"/>
          </w:tcPr>
          <w:p w14:paraId="50E87AD0" w14:textId="77777777" w:rsidR="00497C72" w:rsidRDefault="00497C72" w:rsidP="00497C72"/>
        </w:tc>
      </w:tr>
      <w:tr w:rsidR="00497C72" w14:paraId="1926B141" w14:textId="77777777" w:rsidTr="00497C72">
        <w:tc>
          <w:tcPr>
            <w:tcW w:w="1814" w:type="dxa"/>
          </w:tcPr>
          <w:p w14:paraId="31917AAB" w14:textId="02BFF101" w:rsidR="00497C72" w:rsidRDefault="00497C72" w:rsidP="00497C72">
            <w:r>
              <w:t>Нарушения на кожата и подкожната тъкан **</w:t>
            </w:r>
          </w:p>
        </w:tc>
        <w:tc>
          <w:tcPr>
            <w:tcW w:w="2497" w:type="dxa"/>
          </w:tcPr>
          <w:p w14:paraId="351BC48C" w14:textId="77777777" w:rsidR="00497C72" w:rsidRDefault="00497C72" w:rsidP="00497C72"/>
        </w:tc>
        <w:tc>
          <w:tcPr>
            <w:tcW w:w="1682" w:type="dxa"/>
          </w:tcPr>
          <w:p w14:paraId="054FF1D9" w14:textId="77777777" w:rsidR="00497C72" w:rsidRDefault="00497C72" w:rsidP="00497C72"/>
        </w:tc>
        <w:tc>
          <w:tcPr>
            <w:tcW w:w="1952" w:type="dxa"/>
          </w:tcPr>
          <w:p w14:paraId="66FDD424" w14:textId="188D6FAF" w:rsidR="00497C72" w:rsidRDefault="00497C72" w:rsidP="00497C72">
            <w:r>
              <w:t xml:space="preserve">Синдром на Стивънс- Джонсън и токсична епидермална </w:t>
            </w:r>
            <w:proofErr w:type="spellStart"/>
            <w:r>
              <w:t>некролиза</w:t>
            </w:r>
            <w:proofErr w:type="spellEnd"/>
          </w:p>
        </w:tc>
        <w:tc>
          <w:tcPr>
            <w:tcW w:w="1631" w:type="dxa"/>
          </w:tcPr>
          <w:p w14:paraId="32C05FC4" w14:textId="77777777" w:rsidR="00497C72" w:rsidRDefault="00497C72" w:rsidP="00497C72"/>
        </w:tc>
      </w:tr>
      <w:tr w:rsidR="00497C72" w14:paraId="56BB8F48" w14:textId="77777777" w:rsidTr="00497C72">
        <w:tc>
          <w:tcPr>
            <w:tcW w:w="1814" w:type="dxa"/>
          </w:tcPr>
          <w:p w14:paraId="05024886" w14:textId="77777777" w:rsidR="00497C72" w:rsidRDefault="00497C72" w:rsidP="00497C72">
            <w:r>
              <w:t xml:space="preserve">Общи нарушения и </w:t>
            </w:r>
          </w:p>
          <w:p w14:paraId="7C6AD64A" w14:textId="43A4ECC9" w:rsidR="00497C72" w:rsidRDefault="00497C72" w:rsidP="00497C72">
            <w:r>
              <w:t>ефекти на мястото на приложение</w:t>
            </w:r>
          </w:p>
        </w:tc>
        <w:tc>
          <w:tcPr>
            <w:tcW w:w="2497" w:type="dxa"/>
          </w:tcPr>
          <w:p w14:paraId="29ABC042" w14:textId="291CA606" w:rsidR="00497C72" w:rsidRDefault="00497C72" w:rsidP="00497C72">
            <w:r>
              <w:t>Треска</w:t>
            </w:r>
          </w:p>
        </w:tc>
        <w:tc>
          <w:tcPr>
            <w:tcW w:w="1682" w:type="dxa"/>
          </w:tcPr>
          <w:p w14:paraId="3CFB62B1" w14:textId="77777777" w:rsidR="00497C72" w:rsidRDefault="00497C72" w:rsidP="00497C72"/>
        </w:tc>
        <w:tc>
          <w:tcPr>
            <w:tcW w:w="1952" w:type="dxa"/>
          </w:tcPr>
          <w:p w14:paraId="1305FB6B" w14:textId="77777777" w:rsidR="00497C72" w:rsidRDefault="00497C72" w:rsidP="00497C72"/>
        </w:tc>
        <w:tc>
          <w:tcPr>
            <w:tcW w:w="1631" w:type="dxa"/>
          </w:tcPr>
          <w:p w14:paraId="4B1A0733" w14:textId="77777777" w:rsidR="00497C72" w:rsidRDefault="00497C72" w:rsidP="00497C72">
            <w:r>
              <w:t xml:space="preserve">Оток на </w:t>
            </w:r>
          </w:p>
          <w:p w14:paraId="678AE68D" w14:textId="40931342" w:rsidR="00497C72" w:rsidRDefault="00497C72" w:rsidP="00497C72">
            <w:r>
              <w:t>лицето</w:t>
            </w:r>
          </w:p>
        </w:tc>
      </w:tr>
    </w:tbl>
    <w:p w14:paraId="664FDDDD" w14:textId="7F8A6863" w:rsidR="00497C72" w:rsidRPr="00497C72" w:rsidRDefault="00497C72" w:rsidP="00497C72">
      <w:pPr>
        <w:spacing w:line="240" w:lineRule="auto"/>
        <w:rPr>
          <w:rFonts w:eastAsia="Times New Roman" w:cs="Arial"/>
        </w:rPr>
      </w:pPr>
      <w:r>
        <w:rPr>
          <w:rFonts w:eastAsia="Times New Roman" w:cs="Arial"/>
          <w:color w:val="000000"/>
          <w:lang w:eastAsia="bg-BG"/>
        </w:rPr>
        <w:t>*</w:t>
      </w:r>
      <w:r w:rsidRPr="00497C72">
        <w:rPr>
          <w:rFonts w:eastAsia="Times New Roman" w:cs="Arial"/>
          <w:color w:val="000000"/>
          <w:lang w:eastAsia="bg-BG"/>
        </w:rPr>
        <w:t xml:space="preserve">Реакциите на свръхчувствителност включват ангиоедем,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прурит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(сърбеж), уртикария и обрив (</w:t>
      </w:r>
      <w:proofErr w:type="spellStart"/>
      <w:r w:rsidRPr="00497C72">
        <w:rPr>
          <w:rFonts w:eastAsia="Times New Roman" w:cs="Arial"/>
          <w:color w:val="000000"/>
          <w:lang w:eastAsia="bg-BG"/>
        </w:rPr>
        <w:t>екзантем</w:t>
      </w:r>
      <w:proofErr w:type="spellEnd"/>
      <w:r w:rsidRPr="00497C72">
        <w:rPr>
          <w:rFonts w:eastAsia="Times New Roman" w:cs="Arial"/>
          <w:color w:val="000000"/>
          <w:lang w:eastAsia="bg-BG"/>
        </w:rPr>
        <w:t>).</w:t>
      </w:r>
    </w:p>
    <w:p w14:paraId="26B4A460" w14:textId="77777777" w:rsidR="00497C72" w:rsidRPr="00497C72" w:rsidRDefault="00497C72" w:rsidP="00497C7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0FF4579" w14:textId="69C82C21" w:rsidR="00497C72" w:rsidRPr="00497C72" w:rsidRDefault="00497C72" w:rsidP="00497C72">
      <w:pPr>
        <w:spacing w:line="240" w:lineRule="auto"/>
        <w:rPr>
          <w:rFonts w:eastAsia="Times New Roman" w:cs="Arial"/>
        </w:rPr>
      </w:pPr>
      <w:r>
        <w:rPr>
          <w:rFonts w:eastAsia="Times New Roman" w:cs="Arial"/>
          <w:color w:val="000000"/>
          <w:lang w:eastAsia="bg-BG"/>
        </w:rPr>
        <w:t>**</w:t>
      </w:r>
      <w:r w:rsidRPr="00497C72">
        <w:rPr>
          <w:rFonts w:eastAsia="Times New Roman" w:cs="Arial"/>
          <w:color w:val="000000"/>
          <w:lang w:eastAsia="bg-BG"/>
        </w:rPr>
        <w:t xml:space="preserve">Съобщени са много редки случаи на поява на тежки кожни реакции като синдром на </w:t>
      </w:r>
      <w:r w:rsidRPr="00497C72">
        <w:rPr>
          <w:rFonts w:eastAsia="Times New Roman" w:cs="Arial"/>
          <w:color w:val="000000"/>
          <w:lang w:val="en-US"/>
        </w:rPr>
        <w:t xml:space="preserve">Stevens- Johnson </w:t>
      </w:r>
      <w:r w:rsidRPr="00497C72">
        <w:rPr>
          <w:rFonts w:eastAsia="Times New Roman" w:cs="Arial"/>
          <w:color w:val="000000"/>
          <w:lang w:eastAsia="bg-BG"/>
        </w:rPr>
        <w:t xml:space="preserve">и токсична епидермална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некролиза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(синдром на </w:t>
      </w:r>
      <w:r w:rsidRPr="00497C72">
        <w:rPr>
          <w:rFonts w:eastAsia="Times New Roman" w:cs="Arial"/>
          <w:color w:val="000000"/>
          <w:lang w:val="en-US"/>
        </w:rPr>
        <w:t xml:space="preserve">Lyell) </w:t>
      </w:r>
      <w:r w:rsidRPr="00497C72">
        <w:rPr>
          <w:rFonts w:eastAsia="Times New Roman" w:cs="Arial"/>
          <w:color w:val="000000"/>
          <w:lang w:eastAsia="bg-BG"/>
        </w:rPr>
        <w:t xml:space="preserve">съвпадащи по време с приложението на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. В повечето от тези случаи е идентифициран най-малко още един подозиран лекарствен продукт, участващ в отключването на посочените по-горе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мукокутанни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синдроми (вж. точка 4.4).</w:t>
      </w:r>
    </w:p>
    <w:p w14:paraId="7C18F2CB" w14:textId="3BF9853B" w:rsidR="00497C72" w:rsidRPr="00497C72" w:rsidRDefault="00497C72" w:rsidP="00497C72">
      <w:pPr>
        <w:spacing w:line="240" w:lineRule="auto"/>
        <w:rPr>
          <w:rFonts w:eastAsia="Times New Roman" w:cs="Arial"/>
        </w:rPr>
      </w:pPr>
      <w:r w:rsidRPr="00497C72">
        <w:rPr>
          <w:rFonts w:eastAsia="Times New Roman" w:cs="Arial"/>
          <w:color w:val="000000"/>
          <w:lang w:eastAsia="bg-BG"/>
        </w:rPr>
        <w:t xml:space="preserve">В случай на повтарящи се нарушения на кожата и лигавиците трябва веднага да се потърси медицинска помощ и да се спре употребата на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незабавно.</w:t>
      </w:r>
    </w:p>
    <w:p w14:paraId="4D5E769F" w14:textId="77777777" w:rsidR="00497C72" w:rsidRPr="00497C72" w:rsidRDefault="00497C72" w:rsidP="00497C7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4274CA8" w14:textId="0C2A49D0" w:rsidR="00497C72" w:rsidRPr="00497C72" w:rsidRDefault="00497C72" w:rsidP="00497C72">
      <w:pPr>
        <w:spacing w:line="240" w:lineRule="auto"/>
        <w:rPr>
          <w:rFonts w:eastAsia="Times New Roman" w:cs="Arial"/>
        </w:rPr>
      </w:pPr>
      <w:r w:rsidRPr="00497C72">
        <w:rPr>
          <w:rFonts w:eastAsia="Times New Roman" w:cs="Arial"/>
          <w:color w:val="000000"/>
          <w:lang w:eastAsia="bg-BG"/>
        </w:rPr>
        <w:t xml:space="preserve">В допълнение, много рядко е съобщавано за кръвоизливи във връзка с приложението на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, отчасти в рамките на реакции на свръхчувствителност. При различни проучвания е установено понижаване на </w:t>
      </w:r>
      <w:proofErr w:type="spellStart"/>
      <w:r w:rsidRPr="00497C72">
        <w:rPr>
          <w:rFonts w:eastAsia="Times New Roman" w:cs="Arial"/>
          <w:color w:val="000000"/>
          <w:lang w:eastAsia="bg-BG"/>
        </w:rPr>
        <w:t>тромбоцитната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агрегация в присъствие на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497C72">
        <w:rPr>
          <w:rFonts w:eastAsia="Times New Roman" w:cs="Arial"/>
          <w:color w:val="000000"/>
          <w:lang w:eastAsia="bg-BG"/>
        </w:rPr>
        <w:t>. Досега не е изяснено клиничното значение.</w:t>
      </w:r>
    </w:p>
    <w:p w14:paraId="054A3D9C" w14:textId="77777777" w:rsidR="00497C72" w:rsidRPr="00497C72" w:rsidRDefault="00497C72" w:rsidP="00497C7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2B4AD0F" w14:textId="16B05219" w:rsidR="00497C72" w:rsidRPr="00497C72" w:rsidRDefault="00497C72" w:rsidP="00497C72">
      <w:pPr>
        <w:spacing w:line="240" w:lineRule="auto"/>
        <w:rPr>
          <w:rFonts w:eastAsia="Times New Roman" w:cs="Arial"/>
        </w:rPr>
      </w:pPr>
      <w:r w:rsidRPr="00497C72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78600518" w14:textId="77777777" w:rsidR="00497C72" w:rsidRPr="00497C72" w:rsidRDefault="00497C72" w:rsidP="00497C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C72">
        <w:rPr>
          <w:rFonts w:eastAsia="Times New Roman" w:cs="Arial"/>
          <w:color w:val="000000"/>
          <w:lang w:eastAsia="bg-BG"/>
        </w:rPr>
        <w:lastRenderedPageBreak/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Изпълнителна агенция по лекарствата ул. „Дамян Груев” № 8, 1303 София, тел.: +35 928903417, уебсайт: </w:t>
      </w:r>
      <w:hyperlink r:id="rId5" w:history="1">
        <w:r w:rsidRPr="00497C72">
          <w:rPr>
            <w:rFonts w:eastAsia="Times New Roman" w:cs="Arial"/>
            <w:color w:val="000000"/>
            <w:u w:val="single"/>
            <w:lang w:val="en-US"/>
          </w:rPr>
          <w:t>www.bda.bg</w:t>
        </w:r>
      </w:hyperlink>
      <w:r w:rsidRPr="00497C72">
        <w:rPr>
          <w:rFonts w:eastAsia="Times New Roman" w:cs="Arial"/>
          <w:color w:val="000000"/>
          <w:lang w:val="en-US"/>
        </w:rPr>
        <w:t>.</w:t>
      </w:r>
    </w:p>
    <w:p w14:paraId="6B7B4B0C" w14:textId="77777777" w:rsidR="00497C72" w:rsidRPr="00497C72" w:rsidRDefault="00497C72" w:rsidP="00497C72"/>
    <w:p w14:paraId="42DF9851" w14:textId="3F51D384" w:rsidR="003765DC" w:rsidRDefault="002C50EE" w:rsidP="002B3C38">
      <w:pPr>
        <w:pStyle w:val="Heading2"/>
      </w:pPr>
      <w:r>
        <w:t>4.9. Предозиране</w:t>
      </w:r>
    </w:p>
    <w:p w14:paraId="02E1D5C6" w14:textId="77777777" w:rsidR="00497C72" w:rsidRPr="00497C72" w:rsidRDefault="00497C72" w:rsidP="00497C72">
      <w:pPr>
        <w:spacing w:line="240" w:lineRule="auto"/>
        <w:rPr>
          <w:rFonts w:eastAsia="Times New Roman" w:cs="Arial"/>
          <w:sz w:val="24"/>
          <w:szCs w:val="24"/>
        </w:rPr>
      </w:pPr>
      <w:r w:rsidRPr="00497C72">
        <w:rPr>
          <w:rFonts w:eastAsia="Times New Roman" w:cs="Arial"/>
          <w:color w:val="000000"/>
          <w:lang w:eastAsia="bg-BG"/>
        </w:rPr>
        <w:t xml:space="preserve">Досега не са съобщавани случаи на токсично предозиране при пероралните лекарствени форми на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. Доброволци са третирани е доза 11,6 </w:t>
      </w:r>
      <w:r w:rsidRPr="00497C72">
        <w:rPr>
          <w:rFonts w:eastAsia="Times New Roman" w:cs="Arial"/>
          <w:color w:val="000000"/>
          <w:lang w:val="en-US"/>
        </w:rPr>
        <w:t xml:space="preserve">g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/дневно в продължение на повече от 3 месеца, без да са наблюдавани никакви тежки нежелани реакции. Перорални дози до 500 </w:t>
      </w:r>
      <w:r w:rsidRPr="00497C72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497C72">
        <w:rPr>
          <w:rFonts w:eastAsia="Times New Roman" w:cs="Arial"/>
          <w:color w:val="000000"/>
          <w:lang w:val="en-US"/>
        </w:rPr>
        <w:t xml:space="preserve">/kg </w:t>
      </w:r>
      <w:r w:rsidRPr="00497C72">
        <w:rPr>
          <w:rFonts w:eastAsia="Times New Roman" w:cs="Arial"/>
          <w:color w:val="000000"/>
          <w:lang w:eastAsia="bg-BG"/>
        </w:rPr>
        <w:t>телесно тегло са понесени без симптоми на интоксикация.</w:t>
      </w:r>
    </w:p>
    <w:p w14:paraId="2CD2C0DB" w14:textId="77777777" w:rsidR="00497C72" w:rsidRPr="00497C72" w:rsidRDefault="00497C72" w:rsidP="00497C72">
      <w:pPr>
        <w:spacing w:line="240" w:lineRule="auto"/>
        <w:rPr>
          <w:rFonts w:eastAsia="Times New Roman" w:cs="Arial"/>
          <w:sz w:val="24"/>
          <w:szCs w:val="24"/>
        </w:rPr>
      </w:pPr>
      <w:r w:rsidRPr="00497C72">
        <w:rPr>
          <w:rFonts w:eastAsia="Times New Roman" w:cs="Arial"/>
          <w:color w:val="000000"/>
          <w:lang w:eastAsia="bg-BG"/>
        </w:rPr>
        <w:t xml:space="preserve">Има данни за интравенозно приложение на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при хора в максимални дневни дози до 30 </w:t>
      </w:r>
      <w:r w:rsidRPr="00497C72">
        <w:rPr>
          <w:rFonts w:eastAsia="Times New Roman" w:cs="Arial"/>
          <w:color w:val="000000"/>
          <w:lang w:val="en-US"/>
        </w:rPr>
        <w:t xml:space="preserve">g </w:t>
      </w:r>
      <w:r w:rsidRPr="00497C72">
        <w:rPr>
          <w:rFonts w:eastAsia="Times New Roman" w:cs="Arial"/>
          <w:color w:val="000000"/>
          <w:lang w:eastAsia="bg-BG"/>
        </w:rPr>
        <w:t xml:space="preserve">при лечение на интоксикация с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парацетамол</w:t>
      </w:r>
      <w:proofErr w:type="spellEnd"/>
      <w:r w:rsidRPr="00497C72">
        <w:rPr>
          <w:rFonts w:eastAsia="Times New Roman" w:cs="Arial"/>
          <w:color w:val="000000"/>
          <w:lang w:eastAsia="bg-BG"/>
        </w:rPr>
        <w:t>.</w:t>
      </w:r>
    </w:p>
    <w:p w14:paraId="69F4AB6B" w14:textId="77777777" w:rsidR="00497C72" w:rsidRPr="00497C72" w:rsidRDefault="00497C72" w:rsidP="00497C7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C3D66AE" w14:textId="04D7E83A" w:rsidR="00497C72" w:rsidRPr="00497C72" w:rsidRDefault="00497C72" w:rsidP="00497C72">
      <w:pPr>
        <w:spacing w:line="240" w:lineRule="auto"/>
        <w:rPr>
          <w:rFonts w:eastAsia="Times New Roman" w:cs="Arial"/>
          <w:sz w:val="24"/>
          <w:szCs w:val="24"/>
        </w:rPr>
      </w:pPr>
      <w:r w:rsidRPr="00497C72">
        <w:rPr>
          <w:rFonts w:eastAsia="Times New Roman" w:cs="Arial"/>
          <w:color w:val="000000"/>
          <w:u w:val="single"/>
          <w:lang w:eastAsia="bg-BG"/>
        </w:rPr>
        <w:t>Симптоми на интоксикация</w:t>
      </w:r>
    </w:p>
    <w:p w14:paraId="4A98F8E0" w14:textId="5856670B" w:rsidR="00497C72" w:rsidRPr="00497C72" w:rsidRDefault="00497C72" w:rsidP="00497C72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497C72">
        <w:rPr>
          <w:rFonts w:eastAsia="Times New Roman" w:cs="Arial"/>
          <w:color w:val="000000"/>
          <w:lang w:eastAsia="bg-BG"/>
        </w:rPr>
        <w:t xml:space="preserve">Предозирането може да доведе до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гастроинтестипални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симптоми, като гадене, повръщане и диария.</w:t>
      </w:r>
    </w:p>
    <w:p w14:paraId="69909725" w14:textId="1945991F" w:rsidR="00497C72" w:rsidRPr="00497C72" w:rsidRDefault="00497C72" w:rsidP="00497C72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497C72">
        <w:rPr>
          <w:rFonts w:eastAsia="Times New Roman" w:cs="Arial"/>
          <w:color w:val="000000"/>
          <w:lang w:eastAsia="bg-BG"/>
        </w:rPr>
        <w:t>При кърмачетата съществува риск от хиперсекреция.</w:t>
      </w:r>
    </w:p>
    <w:p w14:paraId="5E47D58A" w14:textId="77777777" w:rsidR="00497C72" w:rsidRPr="00497C72" w:rsidRDefault="00497C72" w:rsidP="00497C7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B034440" w14:textId="7A1DA4CA" w:rsidR="00497C72" w:rsidRPr="00497C72" w:rsidRDefault="00497C72" w:rsidP="00497C72">
      <w:pPr>
        <w:spacing w:line="240" w:lineRule="auto"/>
        <w:rPr>
          <w:rFonts w:eastAsia="Times New Roman" w:cs="Arial"/>
          <w:sz w:val="24"/>
          <w:szCs w:val="24"/>
        </w:rPr>
      </w:pPr>
      <w:r w:rsidRPr="00497C72">
        <w:rPr>
          <w:rFonts w:eastAsia="Times New Roman" w:cs="Arial"/>
          <w:color w:val="000000"/>
          <w:u w:val="single"/>
          <w:lang w:eastAsia="bg-BG"/>
        </w:rPr>
        <w:t>Терапевтични мерки в случай на предозиране</w:t>
      </w:r>
    </w:p>
    <w:p w14:paraId="775E34F9" w14:textId="73E07575" w:rsidR="00497C72" w:rsidRPr="00497C72" w:rsidRDefault="00497C72" w:rsidP="00497C72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497C72">
        <w:rPr>
          <w:rFonts w:eastAsia="Times New Roman" w:cs="Arial"/>
          <w:color w:val="000000"/>
          <w:lang w:eastAsia="bg-BG"/>
        </w:rPr>
        <w:t>Ако е необходимо, според симптомите.</w:t>
      </w:r>
    </w:p>
    <w:p w14:paraId="412C4D83" w14:textId="77777777" w:rsidR="00497C72" w:rsidRPr="00497C72" w:rsidRDefault="00497C72" w:rsidP="00497C72"/>
    <w:p w14:paraId="18EF4AFE" w14:textId="77777777" w:rsidR="002C50EE" w:rsidRDefault="002C50EE" w:rsidP="002C50EE">
      <w:pPr>
        <w:pStyle w:val="Heading1"/>
      </w:pPr>
      <w:r>
        <w:t>5. ФАРМАКОЛОГИЧНИ СВОЙСТВА</w:t>
      </w:r>
    </w:p>
    <w:p w14:paraId="7635AD51" w14:textId="6955E92C" w:rsidR="003765DC" w:rsidRDefault="002C50EE" w:rsidP="002B3C38">
      <w:pPr>
        <w:pStyle w:val="Heading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7FA3FAE8" w14:textId="77777777" w:rsidR="00497C72" w:rsidRDefault="00497C72" w:rsidP="00497C7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4F9C9D5" w14:textId="2CACE398" w:rsidR="00497C72" w:rsidRPr="00497C72" w:rsidRDefault="00497C72" w:rsidP="00497C72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497C72">
        <w:rPr>
          <w:rFonts w:eastAsia="Times New Roman" w:cs="Arial"/>
          <w:color w:val="000000"/>
          <w:lang w:eastAsia="bg-BG"/>
        </w:rPr>
        <w:t>Фармакотерапевтична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група: Лекарства за лечение на кашлица и простудни заболявания;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Муколитици</w:t>
      </w:r>
      <w:proofErr w:type="spellEnd"/>
    </w:p>
    <w:p w14:paraId="6FD40B9A" w14:textId="77777777" w:rsidR="00497C72" w:rsidRPr="00497C72" w:rsidRDefault="00497C72" w:rsidP="00497C7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DC0AA38" w14:textId="34CE07FC" w:rsidR="00497C72" w:rsidRPr="00497C72" w:rsidRDefault="00497C72" w:rsidP="00497C72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497C72">
        <w:rPr>
          <w:rFonts w:eastAsia="Times New Roman" w:cs="Arial"/>
          <w:color w:val="000000"/>
          <w:lang w:eastAsia="bg-BG"/>
        </w:rPr>
        <w:t xml:space="preserve">АТС код: </w:t>
      </w:r>
      <w:r w:rsidRPr="00497C72">
        <w:rPr>
          <w:rFonts w:eastAsia="Times New Roman" w:cs="Arial"/>
          <w:color w:val="000000"/>
          <w:lang w:val="en-US"/>
        </w:rPr>
        <w:t xml:space="preserve">R05C </w:t>
      </w:r>
      <w:r w:rsidRPr="00497C72">
        <w:rPr>
          <w:rFonts w:eastAsia="Times New Roman" w:cs="Arial"/>
          <w:color w:val="000000"/>
          <w:lang w:eastAsia="bg-BG"/>
        </w:rPr>
        <w:t>В01</w:t>
      </w:r>
    </w:p>
    <w:p w14:paraId="012807ED" w14:textId="77777777" w:rsidR="00497C72" w:rsidRPr="00497C72" w:rsidRDefault="00497C72" w:rsidP="00497C72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497C72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е производно на аминокиселината </w:t>
      </w:r>
      <w:proofErr w:type="spellStart"/>
      <w:r w:rsidRPr="00497C72">
        <w:rPr>
          <w:rFonts w:eastAsia="Times New Roman" w:cs="Arial"/>
          <w:color w:val="000000"/>
          <w:lang w:eastAsia="bg-BG"/>
        </w:rPr>
        <w:t>цистеин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. Ефикасността на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е </w:t>
      </w:r>
      <w:proofErr w:type="spellStart"/>
      <w:r w:rsidRPr="00497C72">
        <w:rPr>
          <w:rFonts w:eastAsia="Times New Roman" w:cs="Arial"/>
          <w:color w:val="000000"/>
          <w:lang w:eastAsia="bg-BG"/>
        </w:rPr>
        <w:t>секретолитична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мукорегулираща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в областта на дихателните пътища. Счита се, че той разкъсва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дисулфидните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мостове между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мукополизахаридните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вериги и упражнява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деполимеризиращ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ефект върху ДНК-веригите (в гнойния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мукус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). Посредством този механизъм се намалява вискозитета на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мукуса</w:t>
      </w:r>
      <w:proofErr w:type="spellEnd"/>
      <w:r w:rsidRPr="00497C72">
        <w:rPr>
          <w:rFonts w:eastAsia="Times New Roman" w:cs="Arial"/>
          <w:color w:val="000000"/>
          <w:lang w:eastAsia="bg-BG"/>
        </w:rPr>
        <w:t>.</w:t>
      </w:r>
    </w:p>
    <w:p w14:paraId="1276AF45" w14:textId="77777777" w:rsidR="00497C72" w:rsidRPr="00497C72" w:rsidRDefault="00497C72" w:rsidP="00497C7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7C4B29C" w14:textId="36EF3951" w:rsidR="00497C72" w:rsidRPr="00497C72" w:rsidRDefault="00497C72" w:rsidP="00497C72">
      <w:pPr>
        <w:spacing w:line="240" w:lineRule="auto"/>
        <w:rPr>
          <w:rFonts w:eastAsia="Times New Roman" w:cs="Arial"/>
          <w:sz w:val="24"/>
          <w:szCs w:val="24"/>
        </w:rPr>
      </w:pPr>
      <w:r w:rsidRPr="00497C72">
        <w:rPr>
          <w:rFonts w:eastAsia="Times New Roman" w:cs="Arial"/>
          <w:color w:val="000000"/>
          <w:lang w:eastAsia="bg-BG"/>
        </w:rPr>
        <w:t xml:space="preserve">Алтернативен механизъм на действие на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се основава на способността на неговата реактивна </w:t>
      </w:r>
      <w:proofErr w:type="spellStart"/>
      <w:r w:rsidRPr="00497C72">
        <w:rPr>
          <w:rFonts w:eastAsia="Times New Roman" w:cs="Arial"/>
          <w:color w:val="000000"/>
          <w:lang w:eastAsia="bg-BG"/>
        </w:rPr>
        <w:t>сулфхидрилна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група да свързва химични радикали и по този начин да ги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детоксикира</w:t>
      </w:r>
      <w:proofErr w:type="spellEnd"/>
      <w:r w:rsidRPr="00497C72">
        <w:rPr>
          <w:rFonts w:eastAsia="Times New Roman" w:cs="Arial"/>
          <w:color w:val="000000"/>
          <w:lang w:eastAsia="bg-BG"/>
        </w:rPr>
        <w:t>.</w:t>
      </w:r>
    </w:p>
    <w:p w14:paraId="6B6FB13C" w14:textId="77777777" w:rsidR="00497C72" w:rsidRPr="00497C72" w:rsidRDefault="00497C72" w:rsidP="00497C7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0050E9F" w14:textId="6D0ECA31" w:rsidR="00497C72" w:rsidRPr="00497C72" w:rsidRDefault="00497C72" w:rsidP="00497C72">
      <w:pPr>
        <w:spacing w:line="240" w:lineRule="auto"/>
        <w:rPr>
          <w:rFonts w:eastAsia="Times New Roman" w:cs="Arial"/>
          <w:sz w:val="24"/>
          <w:szCs w:val="24"/>
        </w:rPr>
      </w:pPr>
      <w:r w:rsidRPr="00497C72">
        <w:rPr>
          <w:rFonts w:eastAsia="Times New Roman" w:cs="Arial"/>
          <w:color w:val="000000"/>
          <w:lang w:eastAsia="bg-BG"/>
        </w:rPr>
        <w:t xml:space="preserve">Освен това,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допринася за засилената синтеза на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глутатион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, което е важно за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детоксикацията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на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ноксите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. Това обяснява неговия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антидотен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ефект при интоксикация с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парацетамол</w:t>
      </w:r>
      <w:proofErr w:type="spellEnd"/>
      <w:r w:rsidRPr="00497C72">
        <w:rPr>
          <w:rFonts w:eastAsia="Times New Roman" w:cs="Arial"/>
          <w:color w:val="000000"/>
          <w:lang w:eastAsia="bg-BG"/>
        </w:rPr>
        <w:t>.</w:t>
      </w:r>
    </w:p>
    <w:p w14:paraId="5F151DE5" w14:textId="77777777" w:rsidR="00497C72" w:rsidRPr="00497C72" w:rsidRDefault="00497C72" w:rsidP="00497C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DF3625" w14:textId="77777777" w:rsidR="00497C72" w:rsidRPr="00497C72" w:rsidRDefault="00497C72" w:rsidP="00497C72"/>
    <w:p w14:paraId="4D7DA0E3" w14:textId="50DD9B6E" w:rsidR="004D4D6B" w:rsidRDefault="002C50EE" w:rsidP="002B3C38">
      <w:pPr>
        <w:pStyle w:val="Heading2"/>
      </w:pPr>
      <w:r>
        <w:lastRenderedPageBreak/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27EB618E" w14:textId="77777777" w:rsidR="00497C72" w:rsidRDefault="00497C72" w:rsidP="00497C72">
      <w:pPr>
        <w:spacing w:line="240" w:lineRule="auto"/>
        <w:rPr>
          <w:rFonts w:ascii="Times New Roman" w:eastAsia="Times New Roman" w:hAnsi="Times New Roman" w:cs="Times New Roman"/>
          <w:color w:val="000000"/>
          <w:u w:val="single"/>
          <w:lang w:eastAsia="bg-BG"/>
        </w:rPr>
      </w:pPr>
    </w:p>
    <w:p w14:paraId="471DD50A" w14:textId="61EBA37A" w:rsidR="00497C72" w:rsidRPr="00497C72" w:rsidRDefault="00497C72" w:rsidP="00497C72">
      <w:pPr>
        <w:pStyle w:val="Heading3"/>
        <w:rPr>
          <w:rFonts w:eastAsia="Times New Roman"/>
          <w:u w:val="single"/>
        </w:rPr>
      </w:pPr>
      <w:r w:rsidRPr="00497C72">
        <w:rPr>
          <w:rFonts w:eastAsia="Times New Roman"/>
          <w:u w:val="single"/>
          <w:lang w:eastAsia="bg-BG"/>
        </w:rPr>
        <w:t>Абсорбция</w:t>
      </w:r>
    </w:p>
    <w:p w14:paraId="5E82C57C" w14:textId="77777777" w:rsidR="00497C72" w:rsidRPr="00497C72" w:rsidRDefault="00497C72" w:rsidP="00497C72">
      <w:pPr>
        <w:spacing w:line="240" w:lineRule="auto"/>
        <w:rPr>
          <w:rFonts w:eastAsia="Times New Roman" w:cs="Arial"/>
          <w:sz w:val="24"/>
          <w:szCs w:val="24"/>
        </w:rPr>
      </w:pPr>
      <w:r w:rsidRPr="00497C72">
        <w:rPr>
          <w:rFonts w:eastAsia="Times New Roman" w:cs="Arial"/>
          <w:color w:val="000000"/>
          <w:lang w:eastAsia="bg-BG"/>
        </w:rPr>
        <w:t xml:space="preserve">След перорално приложение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се резорбира бързо и почти напълно.</w:t>
      </w:r>
    </w:p>
    <w:p w14:paraId="21A11E8D" w14:textId="77777777" w:rsidR="00497C72" w:rsidRPr="00497C72" w:rsidRDefault="00497C72" w:rsidP="00497C7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9DF129E" w14:textId="5752E17B" w:rsidR="00497C72" w:rsidRPr="00497C72" w:rsidRDefault="00497C72" w:rsidP="00497C72">
      <w:pPr>
        <w:spacing w:line="240" w:lineRule="auto"/>
        <w:rPr>
          <w:rFonts w:eastAsia="Times New Roman" w:cs="Arial"/>
          <w:sz w:val="24"/>
          <w:szCs w:val="24"/>
        </w:rPr>
      </w:pPr>
      <w:r w:rsidRPr="00497C72">
        <w:rPr>
          <w:rFonts w:eastAsia="Times New Roman" w:cs="Arial"/>
          <w:color w:val="000000"/>
          <w:lang w:eastAsia="bg-BG"/>
        </w:rPr>
        <w:t xml:space="preserve">Поради изявения ефект на първо преминаване, бионаличността на перорално приложения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е много ниска (приблизително 10%). При хора, максималните плазмени концентрации са измерени след 1-3 часа, при което пиковата плазмена концентрация на метаболита </w:t>
      </w:r>
      <w:proofErr w:type="spellStart"/>
      <w:r w:rsidRPr="00497C72">
        <w:rPr>
          <w:rFonts w:eastAsia="Times New Roman" w:cs="Arial"/>
          <w:color w:val="000000"/>
          <w:lang w:eastAsia="bg-BG"/>
        </w:rPr>
        <w:t>цистеин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е в порядъка на около 2 </w:t>
      </w:r>
      <w:proofErr w:type="spellStart"/>
      <w:r w:rsidRPr="00497C72">
        <w:rPr>
          <w:rFonts w:eastAsia="Times New Roman" w:cs="Arial"/>
          <w:color w:val="000000"/>
          <w:lang w:val="en-US"/>
        </w:rPr>
        <w:t>μmol</w:t>
      </w:r>
      <w:proofErr w:type="spellEnd"/>
      <w:r w:rsidRPr="00497C72">
        <w:rPr>
          <w:rFonts w:eastAsia="Times New Roman" w:cs="Arial"/>
          <w:color w:val="000000"/>
          <w:lang w:val="en-US"/>
        </w:rPr>
        <w:t>/1.</w:t>
      </w:r>
    </w:p>
    <w:p w14:paraId="7FD626D1" w14:textId="77777777" w:rsidR="00497C72" w:rsidRPr="00497C72" w:rsidRDefault="00497C72" w:rsidP="00497C7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DDA18CE" w14:textId="0C0A3D16" w:rsidR="00497C72" w:rsidRPr="00497C72" w:rsidRDefault="00497C72" w:rsidP="00497C72">
      <w:pPr>
        <w:pStyle w:val="Heading3"/>
        <w:rPr>
          <w:rFonts w:eastAsia="Times New Roman"/>
          <w:u w:val="single"/>
        </w:rPr>
      </w:pPr>
      <w:r w:rsidRPr="00497C72">
        <w:rPr>
          <w:rFonts w:eastAsia="Times New Roman"/>
          <w:u w:val="single"/>
          <w:lang w:eastAsia="bg-BG"/>
        </w:rPr>
        <w:t>Разпределение</w:t>
      </w:r>
    </w:p>
    <w:p w14:paraId="12F675C6" w14:textId="77777777" w:rsidR="00497C72" w:rsidRPr="00497C72" w:rsidRDefault="00497C72" w:rsidP="00497C72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497C72">
        <w:rPr>
          <w:rFonts w:eastAsia="Times New Roman" w:cs="Arial"/>
          <w:color w:val="000000"/>
          <w:lang w:eastAsia="bg-BG"/>
        </w:rPr>
        <w:t>Фармакокинетични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проучвания при интравенозно приложение на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показват обем на разпределение от 0,47 </w:t>
      </w:r>
      <w:r w:rsidRPr="00497C72">
        <w:rPr>
          <w:rFonts w:eastAsia="Times New Roman" w:cs="Arial"/>
          <w:color w:val="000000"/>
          <w:lang w:val="en-US"/>
        </w:rPr>
        <w:t xml:space="preserve">1/kg </w:t>
      </w:r>
      <w:r w:rsidRPr="00497C72">
        <w:rPr>
          <w:rFonts w:eastAsia="Times New Roman" w:cs="Arial"/>
          <w:color w:val="000000"/>
          <w:lang w:eastAsia="bg-BG"/>
        </w:rPr>
        <w:t xml:space="preserve">(общо) или 0,59 </w:t>
      </w:r>
      <w:r w:rsidRPr="00497C72">
        <w:rPr>
          <w:rFonts w:eastAsia="Times New Roman" w:cs="Arial"/>
          <w:color w:val="000000"/>
          <w:lang w:val="en-US"/>
        </w:rPr>
        <w:t xml:space="preserve">1/kg </w:t>
      </w:r>
      <w:r w:rsidRPr="00497C72">
        <w:rPr>
          <w:rFonts w:eastAsia="Times New Roman" w:cs="Arial"/>
          <w:color w:val="000000"/>
          <w:lang w:eastAsia="bg-BG"/>
        </w:rPr>
        <w:t xml:space="preserve">(редуциран).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се свързва около 50% с плазмените протеини.</w:t>
      </w:r>
    </w:p>
    <w:p w14:paraId="04BD05CB" w14:textId="77777777" w:rsidR="00497C72" w:rsidRPr="00497C72" w:rsidRDefault="00497C72" w:rsidP="00497C7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410E5BA" w14:textId="7BFBC4E2" w:rsidR="00497C72" w:rsidRPr="00497C72" w:rsidRDefault="00497C72" w:rsidP="00497C72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497C72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преминава през плацентата на плъхове и е открит в пъпната връв. Няма налична информация относно екскрецията в майчиното мляко.</w:t>
      </w:r>
    </w:p>
    <w:p w14:paraId="079BB858" w14:textId="77777777" w:rsidR="00497C72" w:rsidRPr="00497C72" w:rsidRDefault="00497C72" w:rsidP="00497C7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749DE45" w14:textId="6DA5AAF0" w:rsidR="00497C72" w:rsidRPr="00497C72" w:rsidRDefault="00497C72" w:rsidP="00497C72">
      <w:pPr>
        <w:spacing w:line="240" w:lineRule="auto"/>
        <w:rPr>
          <w:rFonts w:eastAsia="Times New Roman" w:cs="Arial"/>
          <w:sz w:val="24"/>
          <w:szCs w:val="24"/>
        </w:rPr>
      </w:pPr>
      <w:r w:rsidRPr="00497C72">
        <w:rPr>
          <w:rFonts w:eastAsia="Times New Roman" w:cs="Arial"/>
          <w:color w:val="000000"/>
          <w:lang w:eastAsia="bg-BG"/>
        </w:rPr>
        <w:t xml:space="preserve">Няма данни относно поведението на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спрямо кръвно-мозъчната бариера при хора.</w:t>
      </w:r>
    </w:p>
    <w:p w14:paraId="6055D17F" w14:textId="77777777" w:rsidR="00497C72" w:rsidRPr="00497C72" w:rsidRDefault="00497C72" w:rsidP="00497C7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7E0E4C5" w14:textId="559C181C" w:rsidR="00497C72" w:rsidRPr="00497C72" w:rsidRDefault="00497C72" w:rsidP="00497C72">
      <w:pPr>
        <w:spacing w:line="240" w:lineRule="auto"/>
        <w:rPr>
          <w:rFonts w:eastAsia="Times New Roman" w:cs="Arial"/>
          <w:sz w:val="24"/>
          <w:szCs w:val="24"/>
        </w:rPr>
      </w:pPr>
      <w:r w:rsidRPr="00497C72">
        <w:rPr>
          <w:rFonts w:eastAsia="Times New Roman" w:cs="Arial"/>
          <w:color w:val="000000"/>
          <w:u w:val="single"/>
          <w:lang w:eastAsia="bg-BG"/>
        </w:rPr>
        <w:t>Биотрансформация</w:t>
      </w:r>
    </w:p>
    <w:p w14:paraId="29B51C08" w14:textId="77777777" w:rsidR="00497C72" w:rsidRPr="00497C72" w:rsidRDefault="00497C72" w:rsidP="00497C72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497C72">
        <w:rPr>
          <w:rStyle w:val="Heading3Char"/>
          <w:u w:val="single"/>
          <w:lang w:eastAsia="bg-BG"/>
        </w:rPr>
        <w:t>Ацетилцистеин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се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метаболизира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бързо в черния дроб до фармакологично активния метаболит- </w:t>
      </w:r>
      <w:proofErr w:type="spellStart"/>
      <w:r w:rsidRPr="00497C72">
        <w:rPr>
          <w:rFonts w:eastAsia="Times New Roman" w:cs="Arial"/>
          <w:color w:val="000000"/>
          <w:lang w:eastAsia="bg-BG"/>
        </w:rPr>
        <w:t>цистеин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и до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диацетилцистин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497C72">
        <w:rPr>
          <w:rFonts w:eastAsia="Times New Roman" w:cs="Arial"/>
          <w:color w:val="000000"/>
          <w:lang w:eastAsia="bg-BG"/>
        </w:rPr>
        <w:t>цистин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и други смесени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дисулфиди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.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и неговите метаболити се срещат в организма в три различни форми: частично като свободна субстанция, частично като свързани с протеините посредством слаби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дисулфидни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мостове и частично като несвързана аминокиселина.</w:t>
      </w:r>
    </w:p>
    <w:p w14:paraId="3B2DF891" w14:textId="77777777" w:rsidR="00497C72" w:rsidRPr="00497C72" w:rsidRDefault="00497C72" w:rsidP="00497C7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40116CE" w14:textId="3D1DCC28" w:rsidR="00497C72" w:rsidRPr="00497C72" w:rsidRDefault="00497C72" w:rsidP="00497C72">
      <w:pPr>
        <w:pStyle w:val="Heading3"/>
        <w:rPr>
          <w:rFonts w:eastAsia="Times New Roman"/>
          <w:u w:val="single"/>
        </w:rPr>
      </w:pPr>
      <w:r w:rsidRPr="00497C72">
        <w:rPr>
          <w:rFonts w:eastAsia="Times New Roman"/>
          <w:u w:val="single"/>
          <w:lang w:eastAsia="bg-BG"/>
        </w:rPr>
        <w:t>Елиминиране</w:t>
      </w:r>
    </w:p>
    <w:p w14:paraId="58D4A3A4" w14:textId="77777777" w:rsidR="00497C72" w:rsidRPr="00497C72" w:rsidRDefault="00497C72" w:rsidP="00497C72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497C72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се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екскретира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почти изцяло под формата на неактивни метаболити (неорганични сулфати,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диацетилцистин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) чрез бъбреците. Установеният плазмен клирънс е съответно 0,11 </w:t>
      </w:r>
      <w:r w:rsidRPr="00497C72">
        <w:rPr>
          <w:rFonts w:eastAsia="Times New Roman" w:cs="Arial"/>
          <w:color w:val="000000"/>
          <w:lang w:val="en-US"/>
        </w:rPr>
        <w:t xml:space="preserve">l/h/kg </w:t>
      </w:r>
      <w:r w:rsidRPr="00497C72">
        <w:rPr>
          <w:rFonts w:eastAsia="Times New Roman" w:cs="Arial"/>
          <w:color w:val="000000"/>
          <w:lang w:eastAsia="bg-BG"/>
        </w:rPr>
        <w:t xml:space="preserve">(общо) и 0,84 </w:t>
      </w:r>
      <w:r w:rsidRPr="00497C72">
        <w:rPr>
          <w:rFonts w:eastAsia="Times New Roman" w:cs="Arial"/>
          <w:color w:val="000000"/>
          <w:lang w:val="en-US"/>
        </w:rPr>
        <w:t xml:space="preserve">l/h/kg </w:t>
      </w:r>
      <w:r w:rsidRPr="00497C72">
        <w:rPr>
          <w:rFonts w:eastAsia="Times New Roman" w:cs="Arial"/>
          <w:color w:val="000000"/>
          <w:lang w:eastAsia="bg-BG"/>
        </w:rPr>
        <w:t xml:space="preserve">(редуциран), според </w:t>
      </w:r>
      <w:proofErr w:type="spellStart"/>
      <w:r w:rsidRPr="00497C72">
        <w:rPr>
          <w:rFonts w:eastAsia="Times New Roman" w:cs="Arial"/>
          <w:color w:val="000000"/>
          <w:lang w:eastAsia="bg-BG"/>
        </w:rPr>
        <w:t>фармакокинетични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проучвания с интравенозна употреба на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497C72">
        <w:rPr>
          <w:rFonts w:eastAsia="Times New Roman" w:cs="Arial"/>
          <w:color w:val="000000"/>
          <w:lang w:eastAsia="bg-BG"/>
        </w:rPr>
        <w:t>. Елиминационният полуживот след интравенозно приложение е 30-40 минути, при което отделянето следва трифазна кинетика (алфа, бета и терминална гама-фаза).</w:t>
      </w:r>
    </w:p>
    <w:p w14:paraId="630E6E60" w14:textId="77777777" w:rsidR="00497C72" w:rsidRPr="00497C72" w:rsidRDefault="00497C72" w:rsidP="00497C72">
      <w:pPr>
        <w:rPr>
          <w:rFonts w:eastAsia="Times New Roman" w:cs="Arial"/>
          <w:color w:val="000000"/>
          <w:lang w:eastAsia="bg-BG"/>
        </w:rPr>
      </w:pPr>
    </w:p>
    <w:p w14:paraId="60A09C42" w14:textId="43E1D184" w:rsidR="00497C72" w:rsidRDefault="00497C72" w:rsidP="00497C72">
      <w:pPr>
        <w:rPr>
          <w:rFonts w:eastAsia="Times New Roman" w:cs="Arial"/>
          <w:color w:val="000000"/>
          <w:lang w:eastAsia="bg-BG"/>
        </w:rPr>
      </w:pPr>
      <w:r w:rsidRPr="00497C72">
        <w:rPr>
          <w:rFonts w:eastAsia="Times New Roman" w:cs="Arial"/>
          <w:color w:val="000000"/>
          <w:lang w:eastAsia="bg-BG"/>
        </w:rPr>
        <w:t xml:space="preserve">Плазменият полуживот на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е приблизително 1 час и се определя предимно от бързата чернодробна биотрансформация. При нарушена чернодробна функция плазменият полуживот се удължава до 8 часа.</w:t>
      </w:r>
    </w:p>
    <w:p w14:paraId="492F9922" w14:textId="77777777" w:rsidR="00497C72" w:rsidRPr="00497C72" w:rsidRDefault="00497C72" w:rsidP="00497C72">
      <w:pPr>
        <w:rPr>
          <w:rFonts w:cs="Arial"/>
        </w:rPr>
      </w:pPr>
    </w:p>
    <w:p w14:paraId="1BDBE06B" w14:textId="1E2589D8" w:rsidR="004D4D6B" w:rsidRDefault="002C50EE" w:rsidP="002B3C38">
      <w:pPr>
        <w:pStyle w:val="Heading2"/>
      </w:pPr>
      <w:r>
        <w:t>5.3. Предклинични данни за безопасност</w:t>
      </w:r>
    </w:p>
    <w:p w14:paraId="2937A07F" w14:textId="77777777" w:rsidR="00497C72" w:rsidRDefault="00497C72" w:rsidP="00497C72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lang w:eastAsia="bg-BG"/>
        </w:rPr>
      </w:pPr>
    </w:p>
    <w:p w14:paraId="4508A3E5" w14:textId="2D3018E4" w:rsidR="00497C72" w:rsidRPr="00497C72" w:rsidRDefault="00497C72" w:rsidP="00497C72">
      <w:pPr>
        <w:spacing w:line="240" w:lineRule="auto"/>
        <w:rPr>
          <w:rFonts w:eastAsia="Times New Roman" w:cs="Arial"/>
          <w:sz w:val="24"/>
          <w:szCs w:val="24"/>
        </w:rPr>
      </w:pPr>
      <w:r w:rsidRPr="00497C72">
        <w:rPr>
          <w:rFonts w:eastAsia="Times New Roman" w:cs="Arial"/>
          <w:i/>
          <w:iCs/>
          <w:color w:val="000000"/>
          <w:lang w:eastAsia="bg-BG"/>
        </w:rPr>
        <w:t>Остра токсичност</w:t>
      </w:r>
    </w:p>
    <w:p w14:paraId="77846553" w14:textId="5614EE6B" w:rsidR="00497C72" w:rsidRPr="00497C72" w:rsidRDefault="00497C72" w:rsidP="00497C72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497C72">
        <w:rPr>
          <w:rFonts w:eastAsia="Times New Roman" w:cs="Arial"/>
          <w:color w:val="000000"/>
          <w:lang w:eastAsia="bg-BG"/>
        </w:rPr>
        <w:t xml:space="preserve">Острата токсичност при опитите с животни е ниска. За лечение на предозиране,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вж.точка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4.9;</w:t>
      </w:r>
    </w:p>
    <w:p w14:paraId="7C0B673E" w14:textId="5C84B6B3" w:rsidR="00497C72" w:rsidRPr="00497C72" w:rsidRDefault="00497C72" w:rsidP="00497C7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DC16129" w14:textId="77777777" w:rsidR="00497C72" w:rsidRPr="00497C72" w:rsidRDefault="00497C72" w:rsidP="00497C72">
      <w:pPr>
        <w:spacing w:line="240" w:lineRule="auto"/>
        <w:rPr>
          <w:rFonts w:eastAsia="Times New Roman" w:cs="Arial"/>
          <w:sz w:val="24"/>
          <w:szCs w:val="24"/>
        </w:rPr>
      </w:pPr>
      <w:r w:rsidRPr="00497C72">
        <w:rPr>
          <w:rFonts w:eastAsia="Times New Roman" w:cs="Arial"/>
          <w:i/>
          <w:iCs/>
          <w:color w:val="000000"/>
          <w:lang w:eastAsia="bg-BG"/>
        </w:rPr>
        <w:t>Хронична токсичност</w:t>
      </w:r>
    </w:p>
    <w:p w14:paraId="4EB91B54" w14:textId="77777777" w:rsidR="00497C72" w:rsidRPr="00497C72" w:rsidRDefault="00497C72" w:rsidP="00497C72">
      <w:pPr>
        <w:spacing w:line="240" w:lineRule="auto"/>
        <w:rPr>
          <w:rFonts w:eastAsia="Times New Roman" w:cs="Arial"/>
          <w:sz w:val="24"/>
          <w:szCs w:val="24"/>
        </w:rPr>
      </w:pPr>
      <w:r w:rsidRPr="00497C72">
        <w:rPr>
          <w:rFonts w:eastAsia="Times New Roman" w:cs="Arial"/>
          <w:color w:val="000000"/>
          <w:lang w:eastAsia="bg-BG"/>
        </w:rPr>
        <w:t>Проучвания при различни животински видове (плъх, куче) с продължителност до 1 година не са показали патологични промени.</w:t>
      </w:r>
    </w:p>
    <w:p w14:paraId="1D09A59A" w14:textId="77777777" w:rsidR="00497C72" w:rsidRPr="00497C72" w:rsidRDefault="00497C72" w:rsidP="00497C72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E5A34E7" w14:textId="4B15C3E9" w:rsidR="00497C72" w:rsidRPr="00497C72" w:rsidRDefault="00497C72" w:rsidP="00497C72">
      <w:pPr>
        <w:spacing w:line="240" w:lineRule="auto"/>
        <w:rPr>
          <w:rFonts w:eastAsia="Times New Roman" w:cs="Arial"/>
          <w:sz w:val="24"/>
          <w:szCs w:val="24"/>
        </w:rPr>
      </w:pPr>
      <w:r w:rsidRPr="00497C72">
        <w:rPr>
          <w:rFonts w:eastAsia="Times New Roman" w:cs="Arial"/>
          <w:i/>
          <w:iCs/>
          <w:color w:val="000000"/>
          <w:lang w:eastAsia="bg-BG"/>
        </w:rPr>
        <w:t>Карциногенен и мутагенен потенциал</w:t>
      </w:r>
    </w:p>
    <w:p w14:paraId="55AC59BC" w14:textId="77777777" w:rsidR="00497C72" w:rsidRPr="00497C72" w:rsidRDefault="00497C72" w:rsidP="00497C72">
      <w:pPr>
        <w:spacing w:line="240" w:lineRule="auto"/>
        <w:rPr>
          <w:rFonts w:eastAsia="Times New Roman" w:cs="Arial"/>
          <w:sz w:val="24"/>
          <w:szCs w:val="24"/>
        </w:rPr>
      </w:pPr>
      <w:r w:rsidRPr="00497C72">
        <w:rPr>
          <w:rFonts w:eastAsia="Times New Roman" w:cs="Arial"/>
          <w:color w:val="000000"/>
          <w:lang w:eastAsia="bg-BG"/>
        </w:rPr>
        <w:t xml:space="preserve">Не се очакват мутагенни ефекти на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. Резултатите от </w:t>
      </w:r>
      <w:r w:rsidRPr="00497C72">
        <w:rPr>
          <w:rFonts w:eastAsia="Times New Roman" w:cs="Arial"/>
          <w:i/>
          <w:iCs/>
          <w:color w:val="000000"/>
          <w:lang w:val="en-US"/>
        </w:rPr>
        <w:t>in vitro</w:t>
      </w:r>
      <w:r w:rsidRPr="00497C72">
        <w:rPr>
          <w:rFonts w:eastAsia="Times New Roman" w:cs="Arial"/>
          <w:color w:val="000000"/>
          <w:lang w:val="en-US"/>
        </w:rPr>
        <w:t xml:space="preserve"> </w:t>
      </w:r>
      <w:r w:rsidRPr="00497C72">
        <w:rPr>
          <w:rFonts w:eastAsia="Times New Roman" w:cs="Arial"/>
          <w:color w:val="000000"/>
          <w:lang w:eastAsia="bg-BG"/>
        </w:rPr>
        <w:t>тест са отрицателни.</w:t>
      </w:r>
    </w:p>
    <w:p w14:paraId="4FFB56A4" w14:textId="77777777" w:rsidR="00497C72" w:rsidRPr="00497C72" w:rsidRDefault="00497C72" w:rsidP="00497C72">
      <w:pPr>
        <w:spacing w:line="240" w:lineRule="auto"/>
        <w:rPr>
          <w:rFonts w:eastAsia="Times New Roman" w:cs="Arial"/>
          <w:sz w:val="24"/>
          <w:szCs w:val="24"/>
        </w:rPr>
      </w:pPr>
      <w:r w:rsidRPr="00497C72">
        <w:rPr>
          <w:rFonts w:eastAsia="Times New Roman" w:cs="Arial"/>
          <w:color w:val="000000"/>
          <w:lang w:eastAsia="bg-BG"/>
        </w:rPr>
        <w:t xml:space="preserve">Не са правени проучвания на </w:t>
      </w:r>
      <w:proofErr w:type="spellStart"/>
      <w:r w:rsidRPr="00497C72">
        <w:rPr>
          <w:rFonts w:eastAsia="Times New Roman" w:cs="Arial"/>
          <w:color w:val="000000"/>
          <w:lang w:eastAsia="bg-BG"/>
        </w:rPr>
        <w:t>туморогенния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потенциал на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497C72">
        <w:rPr>
          <w:rFonts w:eastAsia="Times New Roman" w:cs="Arial"/>
          <w:color w:val="000000"/>
          <w:lang w:eastAsia="bg-BG"/>
        </w:rPr>
        <w:t>.</w:t>
      </w:r>
    </w:p>
    <w:p w14:paraId="4ED00479" w14:textId="77777777" w:rsidR="00497C72" w:rsidRPr="00497C72" w:rsidRDefault="00497C72" w:rsidP="00497C72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837A725" w14:textId="1622C443" w:rsidR="00497C72" w:rsidRPr="00497C72" w:rsidRDefault="00497C72" w:rsidP="00497C72">
      <w:pPr>
        <w:spacing w:line="240" w:lineRule="auto"/>
        <w:rPr>
          <w:rFonts w:eastAsia="Times New Roman" w:cs="Arial"/>
          <w:sz w:val="24"/>
          <w:szCs w:val="24"/>
        </w:rPr>
      </w:pPr>
      <w:r w:rsidRPr="00497C72">
        <w:rPr>
          <w:rFonts w:eastAsia="Times New Roman" w:cs="Arial"/>
          <w:i/>
          <w:iCs/>
          <w:color w:val="000000"/>
          <w:lang w:eastAsia="bg-BG"/>
        </w:rPr>
        <w:t>Репродуктивна токсикология</w:t>
      </w:r>
    </w:p>
    <w:p w14:paraId="0A1420EB" w14:textId="77777777" w:rsidR="00497C72" w:rsidRPr="00497C72" w:rsidRDefault="00497C72" w:rsidP="00497C72">
      <w:pPr>
        <w:spacing w:line="240" w:lineRule="auto"/>
        <w:rPr>
          <w:rFonts w:eastAsia="Times New Roman" w:cs="Arial"/>
          <w:sz w:val="24"/>
          <w:szCs w:val="24"/>
        </w:rPr>
      </w:pPr>
      <w:r w:rsidRPr="00497C72">
        <w:rPr>
          <w:rFonts w:eastAsia="Times New Roman" w:cs="Arial"/>
          <w:color w:val="000000"/>
          <w:lang w:eastAsia="bg-BG"/>
        </w:rPr>
        <w:t xml:space="preserve">В проучвания за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ембриотоксичност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при зайци и плъхове не са установени малформации.</w:t>
      </w:r>
    </w:p>
    <w:p w14:paraId="413F8F31" w14:textId="77777777" w:rsidR="00497C72" w:rsidRPr="00497C72" w:rsidRDefault="00497C72" w:rsidP="00497C72">
      <w:pPr>
        <w:spacing w:line="240" w:lineRule="auto"/>
        <w:rPr>
          <w:rFonts w:eastAsia="Times New Roman" w:cs="Arial"/>
          <w:sz w:val="24"/>
          <w:szCs w:val="24"/>
        </w:rPr>
      </w:pPr>
      <w:r w:rsidRPr="00497C72">
        <w:rPr>
          <w:rFonts w:eastAsia="Times New Roman" w:cs="Arial"/>
          <w:color w:val="000000"/>
          <w:lang w:eastAsia="bg-BG"/>
        </w:rPr>
        <w:t xml:space="preserve">Резултатите от проучвания за </w:t>
      </w:r>
      <w:proofErr w:type="spellStart"/>
      <w:r w:rsidRPr="00497C72">
        <w:rPr>
          <w:rFonts w:eastAsia="Times New Roman" w:cs="Arial"/>
          <w:color w:val="000000"/>
          <w:lang w:eastAsia="bg-BG"/>
        </w:rPr>
        <w:t>фертилитета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перинаталната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или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постнаталната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токсичност са отрицателни.</w:t>
      </w:r>
    </w:p>
    <w:p w14:paraId="3E653101" w14:textId="77777777" w:rsidR="00497C72" w:rsidRPr="00497C72" w:rsidRDefault="00497C72" w:rsidP="00497C72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497C72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преминава през плацентата при плъхове и е открит в </w:t>
      </w:r>
      <w:proofErr w:type="spellStart"/>
      <w:r w:rsidRPr="00497C72">
        <w:rPr>
          <w:rFonts w:eastAsia="Times New Roman" w:cs="Arial"/>
          <w:color w:val="000000"/>
          <w:lang w:eastAsia="bg-BG"/>
        </w:rPr>
        <w:t>амниотичната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течност. До 8 часа след перорално приложение, концентрацията на метаболита </w:t>
      </w:r>
      <w:r w:rsidRPr="00497C72">
        <w:rPr>
          <w:rFonts w:eastAsia="Times New Roman" w:cs="Arial"/>
          <w:color w:val="000000"/>
          <w:lang w:val="en-US"/>
        </w:rPr>
        <w:t>L</w:t>
      </w:r>
      <w:r w:rsidRPr="00497C72">
        <w:rPr>
          <w:rFonts w:eastAsia="Times New Roman" w:cs="Arial"/>
          <w:color w:val="000000"/>
          <w:lang w:eastAsia="bg-BG"/>
        </w:rPr>
        <w:t>-</w:t>
      </w:r>
      <w:proofErr w:type="spellStart"/>
      <w:r w:rsidRPr="00497C72">
        <w:rPr>
          <w:rFonts w:eastAsia="Times New Roman" w:cs="Arial"/>
          <w:color w:val="000000"/>
          <w:lang w:eastAsia="bg-BG"/>
        </w:rPr>
        <w:t>цистеин</w:t>
      </w:r>
      <w:proofErr w:type="spellEnd"/>
      <w:r w:rsidRPr="00497C72">
        <w:rPr>
          <w:rFonts w:eastAsia="Times New Roman" w:cs="Arial"/>
          <w:color w:val="000000"/>
          <w:lang w:eastAsia="bg-BG"/>
        </w:rPr>
        <w:t xml:space="preserve"> е по-висока в плацентата и плода, отколкото в плазмата на майката.</w:t>
      </w:r>
    </w:p>
    <w:p w14:paraId="6A61D08F" w14:textId="77777777" w:rsidR="00497C72" w:rsidRPr="00497C72" w:rsidRDefault="00497C72" w:rsidP="00497C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25D825" w14:textId="77777777" w:rsidR="00497C72" w:rsidRPr="00497C72" w:rsidRDefault="00497C72" w:rsidP="00497C72"/>
    <w:p w14:paraId="6940F72E" w14:textId="25A53F2C" w:rsidR="009B171C" w:rsidRDefault="002C50EE" w:rsidP="00CA1B57">
      <w:pPr>
        <w:pStyle w:val="Heading1"/>
      </w:pPr>
      <w:r>
        <w:t>7. ПРИТЕЖАТЕЛ НА РАЗРЕШЕНИЕТО ЗА УПОТРЕБА</w:t>
      </w:r>
    </w:p>
    <w:p w14:paraId="6C16094D" w14:textId="77777777" w:rsidR="00497C72" w:rsidRPr="00497C72" w:rsidRDefault="00497C72" w:rsidP="00497C72">
      <w:pPr>
        <w:rPr>
          <w:sz w:val="24"/>
          <w:szCs w:val="24"/>
          <w:lang w:val="en-US"/>
        </w:rPr>
      </w:pPr>
      <w:r w:rsidRPr="00497C72">
        <w:rPr>
          <w:lang w:val="en-US"/>
        </w:rPr>
        <w:t xml:space="preserve">Sandoz </w:t>
      </w:r>
      <w:proofErr w:type="spellStart"/>
      <w:r w:rsidRPr="00497C72">
        <w:rPr>
          <w:lang w:val="en-US"/>
        </w:rPr>
        <w:t>d.d.</w:t>
      </w:r>
      <w:proofErr w:type="spellEnd"/>
    </w:p>
    <w:p w14:paraId="22C8645D" w14:textId="77777777" w:rsidR="00497C72" w:rsidRDefault="00497C72" w:rsidP="00497C72">
      <w:pPr>
        <w:rPr>
          <w:lang w:val="en-US"/>
        </w:rPr>
      </w:pPr>
      <w:proofErr w:type="spellStart"/>
      <w:r w:rsidRPr="00497C72">
        <w:rPr>
          <w:lang w:val="en-US"/>
        </w:rPr>
        <w:t>Verov</w:t>
      </w:r>
      <w:proofErr w:type="spellEnd"/>
      <w:r w:rsidRPr="00497C72">
        <w:rPr>
          <w:lang w:val="en-US"/>
        </w:rPr>
        <w:t xml:space="preserve"> </w:t>
      </w:r>
      <w:proofErr w:type="spellStart"/>
      <w:r w:rsidRPr="00497C72">
        <w:rPr>
          <w:lang w:val="en-US"/>
        </w:rPr>
        <w:t>Skova</w:t>
      </w:r>
      <w:proofErr w:type="spellEnd"/>
      <w:r w:rsidRPr="00497C72">
        <w:rPr>
          <w:lang w:val="en-US"/>
        </w:rPr>
        <w:t xml:space="preserve"> 57, </w:t>
      </w:r>
    </w:p>
    <w:p w14:paraId="47E976F0" w14:textId="77777777" w:rsidR="00497C72" w:rsidRDefault="00497C72" w:rsidP="00497C72">
      <w:pPr>
        <w:rPr>
          <w:lang w:val="en-US"/>
        </w:rPr>
      </w:pPr>
      <w:r w:rsidRPr="00497C72">
        <w:rPr>
          <w:lang w:val="en-US"/>
        </w:rPr>
        <w:t xml:space="preserve">1000 Ljubljana </w:t>
      </w:r>
    </w:p>
    <w:p w14:paraId="4F754C48" w14:textId="7CBF09D7" w:rsidR="00497C72" w:rsidRPr="00497C72" w:rsidRDefault="00497C72" w:rsidP="00497C72">
      <w:r w:rsidRPr="00497C72">
        <w:rPr>
          <w:lang w:eastAsia="bg-BG"/>
        </w:rPr>
        <w:t>Словения</w:t>
      </w:r>
    </w:p>
    <w:p w14:paraId="04840D59" w14:textId="6284BC83" w:rsidR="002C50EE" w:rsidRDefault="002C50EE" w:rsidP="002C50EE">
      <w:pPr>
        <w:pStyle w:val="Heading1"/>
      </w:pPr>
      <w:r>
        <w:t>8. НОМЕР НА РАЗРЕШЕНИЕТО ЗА УПОТРЕБА</w:t>
      </w:r>
    </w:p>
    <w:p w14:paraId="1940D9F0" w14:textId="3151E271" w:rsidR="00497C72" w:rsidRPr="00497C72" w:rsidRDefault="00497C72" w:rsidP="00497C72">
      <w:proofErr w:type="spellStart"/>
      <w:r>
        <w:t>Per</w:t>
      </w:r>
      <w:proofErr w:type="spellEnd"/>
      <w:r>
        <w:t>. №: 20170222</w:t>
      </w:r>
    </w:p>
    <w:p w14:paraId="5900CBF3" w14:textId="2D68DC26" w:rsidR="002C50EE" w:rsidRDefault="002C50EE" w:rsidP="002C50EE">
      <w:pPr>
        <w:pStyle w:val="Heading1"/>
      </w:pPr>
      <w:r>
        <w:t>9. ДАТА НА ПЪРВО РАЗРЕШАВАНЕ/ПОДНОВЯВАНЕ НА РАЗРЕШЕНИЕТО ЗА УПОТРЕБА</w:t>
      </w:r>
    </w:p>
    <w:p w14:paraId="788AF7FC" w14:textId="77777777" w:rsidR="00497C72" w:rsidRPr="00497C72" w:rsidRDefault="00497C72" w:rsidP="00497C72">
      <w:pPr>
        <w:rPr>
          <w:sz w:val="24"/>
          <w:szCs w:val="24"/>
        </w:rPr>
      </w:pPr>
      <w:r w:rsidRPr="00497C72">
        <w:rPr>
          <w:lang w:eastAsia="bg-BG"/>
        </w:rPr>
        <w:t>Дата на първо разрешаване: 27.06.2017</w:t>
      </w:r>
    </w:p>
    <w:p w14:paraId="2AD27925" w14:textId="06588259" w:rsidR="00497C72" w:rsidRPr="00497C72" w:rsidRDefault="00497C72" w:rsidP="00497C72">
      <w:r w:rsidRPr="00497C72">
        <w:rPr>
          <w:lang w:eastAsia="bg-BG"/>
        </w:rPr>
        <w:t>Дата на последно подновяване:</w:t>
      </w:r>
    </w:p>
    <w:p w14:paraId="0E9D0119" w14:textId="0245C6D7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423F4C2A" w14:textId="0E8BCFC2" w:rsidR="00C87E90" w:rsidRPr="003E3126" w:rsidRDefault="00497C72" w:rsidP="00497C72">
      <w:r>
        <w:t>11/2020</w:t>
      </w:r>
    </w:p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8386C"/>
    <w:multiLevelType w:val="hybridMultilevel"/>
    <w:tmpl w:val="BFAE1CEA"/>
    <w:lvl w:ilvl="0" w:tplc="7F1A739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14"/>
  </w:num>
  <w:num w:numId="7">
    <w:abstractNumId w:val="8"/>
  </w:num>
  <w:num w:numId="8">
    <w:abstractNumId w:val="13"/>
  </w:num>
  <w:num w:numId="9">
    <w:abstractNumId w:val="2"/>
  </w:num>
  <w:num w:numId="10">
    <w:abstractNumId w:val="4"/>
  </w:num>
  <w:num w:numId="11">
    <w:abstractNumId w:val="25"/>
  </w:num>
  <w:num w:numId="12">
    <w:abstractNumId w:val="12"/>
  </w:num>
  <w:num w:numId="13">
    <w:abstractNumId w:val="17"/>
  </w:num>
  <w:num w:numId="14">
    <w:abstractNumId w:val="9"/>
  </w:num>
  <w:num w:numId="15">
    <w:abstractNumId w:val="24"/>
  </w:num>
  <w:num w:numId="16">
    <w:abstractNumId w:val="7"/>
  </w:num>
  <w:num w:numId="17">
    <w:abstractNumId w:val="20"/>
  </w:num>
  <w:num w:numId="18">
    <w:abstractNumId w:val="5"/>
  </w:num>
  <w:num w:numId="19">
    <w:abstractNumId w:val="22"/>
  </w:num>
  <w:num w:numId="20">
    <w:abstractNumId w:val="19"/>
  </w:num>
  <w:num w:numId="21">
    <w:abstractNumId w:val="15"/>
  </w:num>
  <w:num w:numId="22">
    <w:abstractNumId w:val="21"/>
  </w:num>
  <w:num w:numId="23">
    <w:abstractNumId w:val="16"/>
  </w:num>
  <w:num w:numId="24">
    <w:abstractNumId w:val="6"/>
  </w:num>
  <w:num w:numId="25">
    <w:abstractNumId w:val="1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E3126"/>
    <w:rsid w:val="00497C72"/>
    <w:rsid w:val="004D4D6B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814073"/>
    <w:rsid w:val="00826F0D"/>
    <w:rsid w:val="00893B92"/>
    <w:rsid w:val="008C70A2"/>
    <w:rsid w:val="009773E4"/>
    <w:rsid w:val="009B171C"/>
    <w:rsid w:val="00A20351"/>
    <w:rsid w:val="00AA23EC"/>
    <w:rsid w:val="00AC63CE"/>
    <w:rsid w:val="00AE2107"/>
    <w:rsid w:val="00B275A8"/>
    <w:rsid w:val="00BF2600"/>
    <w:rsid w:val="00C07B84"/>
    <w:rsid w:val="00C33464"/>
    <w:rsid w:val="00C809A7"/>
    <w:rsid w:val="00C83063"/>
    <w:rsid w:val="00C87E90"/>
    <w:rsid w:val="00CA1B57"/>
    <w:rsid w:val="00D86297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2021-09-13T18:13:00Z</dcterms:created>
  <dcterms:modified xsi:type="dcterms:W3CDTF">2021-09-13T18:13:00Z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