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2004BA2" w:rsidR="00AA23EC" w:rsidRDefault="00DD466D" w:rsidP="00DD466D">
      <w:pPr>
        <w:pStyle w:val="Heading1"/>
      </w:pPr>
      <w:r>
        <w:t>1.ИМЕ НА ЛЕКАРСТВЕНИЯ ПРОДУКТ</w:t>
      </w:r>
    </w:p>
    <w:p w14:paraId="10627B0B" w14:textId="2D170BC5" w:rsidR="00AB59B6" w:rsidRDefault="00AB59B6" w:rsidP="00AB59B6"/>
    <w:p w14:paraId="15E86C79" w14:textId="77777777" w:rsidR="00AB59B6" w:rsidRPr="00AB59B6" w:rsidRDefault="00AB59B6" w:rsidP="00AB59B6">
      <w:pPr>
        <w:rPr>
          <w:sz w:val="24"/>
          <w:szCs w:val="24"/>
        </w:rPr>
      </w:pPr>
      <w:r w:rsidRPr="00AB59B6">
        <w:rPr>
          <w:lang w:eastAsia="bg-BG"/>
        </w:rPr>
        <w:t xml:space="preserve">Ацетизал 500 </w:t>
      </w:r>
      <w:r w:rsidRPr="00AB59B6">
        <w:rPr>
          <w:lang w:val="en-US"/>
        </w:rPr>
        <w:t>mg</w:t>
      </w:r>
      <w:r w:rsidRPr="00AB59B6">
        <w:t xml:space="preserve"> </w:t>
      </w:r>
      <w:r w:rsidRPr="00AB59B6">
        <w:rPr>
          <w:lang w:eastAsia="bg-BG"/>
        </w:rPr>
        <w:t>таблетки</w:t>
      </w:r>
    </w:p>
    <w:p w14:paraId="682B55F0" w14:textId="10962D3C" w:rsidR="00AB59B6" w:rsidRPr="00AB59B6" w:rsidRDefault="00AB59B6" w:rsidP="00AB59B6">
      <w:proofErr w:type="spellStart"/>
      <w:r w:rsidRPr="00AB59B6">
        <w:rPr>
          <w:lang w:val="en-US"/>
        </w:rPr>
        <w:t>Acetysal</w:t>
      </w:r>
      <w:proofErr w:type="spellEnd"/>
      <w:r w:rsidRPr="00AB59B6">
        <w:t xml:space="preserve"> </w:t>
      </w:r>
      <w:r w:rsidRPr="00AB59B6">
        <w:rPr>
          <w:lang w:eastAsia="bg-BG"/>
        </w:rPr>
        <w:t xml:space="preserve">500 </w:t>
      </w:r>
      <w:r w:rsidRPr="00AB59B6">
        <w:rPr>
          <w:lang w:val="en-US"/>
        </w:rPr>
        <w:t>mg</w:t>
      </w:r>
      <w:r w:rsidRPr="00AB59B6">
        <w:t xml:space="preserve"> </w:t>
      </w:r>
      <w:r w:rsidRPr="00AB59B6">
        <w:rPr>
          <w:lang w:val="en-US"/>
        </w:rPr>
        <w:t>tablets</w:t>
      </w:r>
    </w:p>
    <w:p w14:paraId="0A368469" w14:textId="6C521104" w:rsidR="00C0049F" w:rsidRDefault="00DD466D" w:rsidP="009F1313">
      <w:pPr>
        <w:pStyle w:val="Heading1"/>
      </w:pPr>
      <w:r>
        <w:t>2. КАЧЕСТВЕН И КОЛИЧЕСТВЕН СЪСТАВ</w:t>
      </w:r>
    </w:p>
    <w:p w14:paraId="2363A577" w14:textId="40CF85FF" w:rsidR="00AB59B6" w:rsidRDefault="00AB59B6" w:rsidP="00AB59B6"/>
    <w:p w14:paraId="74545137" w14:textId="75525AE4" w:rsidR="00AB59B6" w:rsidRPr="00AB59B6" w:rsidRDefault="00AB59B6" w:rsidP="00AB59B6">
      <w:r>
        <w:t xml:space="preserve">Всяка таблетка съдържа 500 </w:t>
      </w:r>
      <w:r>
        <w:rPr>
          <w:lang w:val="en-US"/>
        </w:rPr>
        <w:t>mg</w:t>
      </w:r>
      <w:r w:rsidRPr="00AB59B6">
        <w:t xml:space="preserve"> </w:t>
      </w:r>
      <w:r>
        <w:t xml:space="preserve">ацетилсалицилова киселина </w:t>
      </w:r>
      <w:r w:rsidRPr="00AB59B6">
        <w:rPr>
          <w:i/>
          <w:iCs/>
        </w:rPr>
        <w:t>(</w:t>
      </w:r>
      <w:r>
        <w:rPr>
          <w:i/>
          <w:iCs/>
          <w:lang w:val="en-US"/>
        </w:rPr>
        <w:t>acetylsalicylic</w:t>
      </w:r>
      <w:r w:rsidRPr="00AB59B6">
        <w:rPr>
          <w:i/>
          <w:iCs/>
        </w:rPr>
        <w:t xml:space="preserve"> </w:t>
      </w:r>
      <w:r>
        <w:rPr>
          <w:i/>
          <w:iCs/>
          <w:lang w:val="en-US"/>
        </w:rPr>
        <w:t>acid</w:t>
      </w:r>
      <w:r w:rsidRPr="00AB59B6">
        <w:rPr>
          <w:i/>
          <w:iCs/>
        </w:rPr>
        <w:t>).</w:t>
      </w:r>
    </w:p>
    <w:p w14:paraId="614984C4" w14:textId="7375D589" w:rsidR="008A6AF2" w:rsidRDefault="00DD466D" w:rsidP="002C50EE">
      <w:pPr>
        <w:pStyle w:val="Heading1"/>
      </w:pPr>
      <w:r>
        <w:t>3. ЛЕКАРСТВЕНА ФОРМА</w:t>
      </w:r>
    </w:p>
    <w:p w14:paraId="0A8DDA97" w14:textId="7F078308" w:rsidR="00AB59B6" w:rsidRDefault="00AB59B6" w:rsidP="00AB59B6"/>
    <w:p w14:paraId="007FAB9B" w14:textId="77777777" w:rsidR="00AB59B6" w:rsidRPr="00AB59B6" w:rsidRDefault="00AB59B6" w:rsidP="00AB59B6">
      <w:pPr>
        <w:rPr>
          <w:sz w:val="24"/>
          <w:szCs w:val="24"/>
        </w:rPr>
      </w:pPr>
      <w:r w:rsidRPr="00AB59B6">
        <w:rPr>
          <w:lang w:eastAsia="bg-BG"/>
        </w:rPr>
        <w:t>Таблетка</w:t>
      </w:r>
    </w:p>
    <w:p w14:paraId="4683BB8B" w14:textId="77777777" w:rsidR="00AB59B6" w:rsidRDefault="00AB59B6" w:rsidP="00AB59B6">
      <w:pPr>
        <w:rPr>
          <w:lang w:eastAsia="bg-BG"/>
        </w:rPr>
      </w:pPr>
    </w:p>
    <w:p w14:paraId="3CE705AB" w14:textId="05D138FB" w:rsidR="00AB59B6" w:rsidRPr="00AB59B6" w:rsidRDefault="00AB59B6" w:rsidP="00AB59B6">
      <w:pPr>
        <w:rPr>
          <w:sz w:val="24"/>
          <w:szCs w:val="24"/>
        </w:rPr>
      </w:pPr>
      <w:r w:rsidRPr="00AB59B6">
        <w:rPr>
          <w:lang w:eastAsia="bg-BG"/>
        </w:rPr>
        <w:t xml:space="preserve">Кръгли, двойноизпъкнали таблетки, с бял или почти бял цвят, диаметър 12 </w:t>
      </w:r>
      <w:r w:rsidRPr="00AB59B6">
        <w:rPr>
          <w:lang w:val="en-US"/>
        </w:rPr>
        <w:t>mm</w:t>
      </w:r>
      <w:r w:rsidRPr="00AB59B6">
        <w:rPr>
          <w:lang w:val="ru-RU"/>
        </w:rPr>
        <w:t xml:space="preserve">, </w:t>
      </w:r>
      <w:r w:rsidRPr="00AB59B6">
        <w:rPr>
          <w:lang w:eastAsia="bg-BG"/>
        </w:rPr>
        <w:t xml:space="preserve">с надпис </w:t>
      </w:r>
      <w:r w:rsidRPr="00AB59B6">
        <w:rPr>
          <w:lang w:val="ru-RU"/>
        </w:rPr>
        <w:t>„</w:t>
      </w:r>
      <w:proofErr w:type="spellStart"/>
      <w:r w:rsidRPr="00AB59B6">
        <w:rPr>
          <w:lang w:val="en-US"/>
        </w:rPr>
        <w:t>Acetysal</w:t>
      </w:r>
      <w:proofErr w:type="spellEnd"/>
      <w:r w:rsidRPr="00AB59B6">
        <w:rPr>
          <w:lang w:val="ru-RU"/>
        </w:rPr>
        <w:t xml:space="preserve"> </w:t>
      </w:r>
      <w:r w:rsidRPr="00AB59B6">
        <w:rPr>
          <w:lang w:eastAsia="bg-BG"/>
        </w:rPr>
        <w:t>0,5” от едната страна.</w:t>
      </w:r>
    </w:p>
    <w:p w14:paraId="5E3AC23D" w14:textId="77777777" w:rsidR="00AB59B6" w:rsidRPr="00AB59B6" w:rsidRDefault="00AB59B6" w:rsidP="00AB59B6"/>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46BE8C7A" w:rsidR="00395555" w:rsidRDefault="00395555" w:rsidP="00395555"/>
    <w:p w14:paraId="34E96AE9"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притежава аналгетично, антипиретично и противовъзпалително действие. Прилага се за симптоматично лечение на възпалителни, простудни и други състояния, придружени с лек до умерен болков синдром и/или фебрилитет:</w:t>
      </w:r>
    </w:p>
    <w:p w14:paraId="41D85F04" w14:textId="77777777" w:rsidR="00AB59B6" w:rsidRDefault="00AB59B6" w:rsidP="00AB59B6">
      <w:pPr>
        <w:pStyle w:val="ListParagraph"/>
        <w:numPr>
          <w:ilvl w:val="0"/>
          <w:numId w:val="32"/>
        </w:numPr>
        <w:spacing w:line="240" w:lineRule="auto"/>
        <w:rPr>
          <w:rFonts w:eastAsia="Times New Roman" w:cs="Arial"/>
          <w:color w:val="000000"/>
          <w:lang w:eastAsia="bg-BG"/>
        </w:rPr>
      </w:pPr>
      <w:r w:rsidRPr="00AB59B6">
        <w:rPr>
          <w:rFonts w:eastAsia="Times New Roman" w:cs="Arial"/>
          <w:color w:val="000000"/>
          <w:lang w:eastAsia="bg-BG"/>
        </w:rPr>
        <w:t>простуда и грип;</w:t>
      </w:r>
    </w:p>
    <w:p w14:paraId="76CC9098" w14:textId="77777777" w:rsidR="00AB59B6" w:rsidRDefault="00AB59B6" w:rsidP="00AB59B6">
      <w:pPr>
        <w:pStyle w:val="ListParagraph"/>
        <w:numPr>
          <w:ilvl w:val="0"/>
          <w:numId w:val="32"/>
        </w:numPr>
        <w:spacing w:line="240" w:lineRule="auto"/>
        <w:rPr>
          <w:rFonts w:eastAsia="Times New Roman" w:cs="Arial"/>
          <w:color w:val="000000"/>
          <w:lang w:eastAsia="bg-BG"/>
        </w:rPr>
      </w:pPr>
      <w:r w:rsidRPr="00AB59B6">
        <w:rPr>
          <w:rFonts w:eastAsia="Times New Roman" w:cs="Arial"/>
          <w:color w:val="000000"/>
          <w:lang w:eastAsia="bg-BG"/>
        </w:rPr>
        <w:t>главоболие;</w:t>
      </w:r>
    </w:p>
    <w:p w14:paraId="317CFAD4" w14:textId="77777777" w:rsidR="00AB59B6" w:rsidRDefault="00AB59B6" w:rsidP="00AB59B6">
      <w:pPr>
        <w:pStyle w:val="ListParagraph"/>
        <w:numPr>
          <w:ilvl w:val="0"/>
          <w:numId w:val="32"/>
        </w:numPr>
        <w:spacing w:line="240" w:lineRule="auto"/>
        <w:rPr>
          <w:rFonts w:eastAsia="Times New Roman" w:cs="Arial"/>
          <w:color w:val="000000"/>
          <w:lang w:eastAsia="bg-BG"/>
        </w:rPr>
      </w:pPr>
      <w:r w:rsidRPr="00AB59B6">
        <w:rPr>
          <w:rFonts w:eastAsia="Times New Roman" w:cs="Arial"/>
          <w:color w:val="000000"/>
          <w:lang w:eastAsia="bg-BG"/>
        </w:rPr>
        <w:t>временно облекчаване на болки в мускулите и ставите, болки в гърба, лека артритна болка;</w:t>
      </w:r>
    </w:p>
    <w:p w14:paraId="616F860D" w14:textId="77777777" w:rsidR="00AB59B6" w:rsidRDefault="00AB59B6" w:rsidP="00AB59B6">
      <w:pPr>
        <w:pStyle w:val="ListParagraph"/>
        <w:numPr>
          <w:ilvl w:val="0"/>
          <w:numId w:val="32"/>
        </w:numPr>
        <w:spacing w:line="240" w:lineRule="auto"/>
        <w:rPr>
          <w:rFonts w:eastAsia="Times New Roman" w:cs="Arial"/>
          <w:color w:val="000000"/>
          <w:lang w:eastAsia="bg-BG"/>
        </w:rPr>
      </w:pPr>
      <w:r w:rsidRPr="00AB59B6">
        <w:rPr>
          <w:rFonts w:eastAsia="Times New Roman" w:cs="Arial"/>
          <w:color w:val="000000"/>
          <w:lang w:eastAsia="bg-BG"/>
        </w:rPr>
        <w:t>зъбобол;</w:t>
      </w:r>
    </w:p>
    <w:p w14:paraId="171FFB04" w14:textId="07CAE953" w:rsidR="00AB59B6" w:rsidRDefault="00AB59B6" w:rsidP="00AB59B6">
      <w:pPr>
        <w:pStyle w:val="ListParagraph"/>
        <w:numPr>
          <w:ilvl w:val="0"/>
          <w:numId w:val="32"/>
        </w:numPr>
        <w:spacing w:line="240" w:lineRule="auto"/>
        <w:rPr>
          <w:rFonts w:eastAsia="Times New Roman" w:cs="Arial"/>
          <w:color w:val="000000"/>
          <w:lang w:eastAsia="bg-BG"/>
        </w:rPr>
      </w:pPr>
      <w:r w:rsidRPr="00AB59B6">
        <w:rPr>
          <w:rFonts w:eastAsia="Times New Roman" w:cs="Arial"/>
          <w:color w:val="000000"/>
          <w:lang w:eastAsia="bg-BG"/>
        </w:rPr>
        <w:t>менструални болки.</w:t>
      </w:r>
    </w:p>
    <w:p w14:paraId="0E65D944" w14:textId="77777777" w:rsidR="00AB59B6" w:rsidRPr="00AB59B6" w:rsidRDefault="00AB59B6" w:rsidP="00AB59B6">
      <w:pPr>
        <w:spacing w:line="240" w:lineRule="auto"/>
        <w:rPr>
          <w:rFonts w:eastAsia="Times New Roman" w:cs="Arial"/>
          <w:color w:val="000000"/>
          <w:lang w:eastAsia="bg-BG"/>
        </w:rPr>
      </w:pPr>
    </w:p>
    <w:p w14:paraId="7C0CA5EB" w14:textId="0E768F8C" w:rsidR="00C0049F" w:rsidRDefault="002C50EE" w:rsidP="009F1313">
      <w:pPr>
        <w:pStyle w:val="Heading2"/>
      </w:pPr>
      <w:r>
        <w:t>4.2. Дозировка и начин на приложение</w:t>
      </w:r>
    </w:p>
    <w:p w14:paraId="756D93C5" w14:textId="0DB66277" w:rsidR="00AB59B6" w:rsidRDefault="00AB59B6" w:rsidP="00AB59B6"/>
    <w:p w14:paraId="696930F6" w14:textId="77777777" w:rsidR="00AB59B6" w:rsidRPr="00AB59B6" w:rsidRDefault="00AB59B6" w:rsidP="00AB59B6">
      <w:pPr>
        <w:pStyle w:val="Heading3"/>
        <w:rPr>
          <w:rFonts w:eastAsia="Times New Roman"/>
          <w:u w:val="single"/>
        </w:rPr>
      </w:pPr>
      <w:r w:rsidRPr="00AB59B6">
        <w:rPr>
          <w:rFonts w:eastAsia="Times New Roman"/>
          <w:u w:val="single"/>
          <w:lang w:eastAsia="bg-BG"/>
        </w:rPr>
        <w:t>Дозировка</w:t>
      </w:r>
    </w:p>
    <w:p w14:paraId="359F1930" w14:textId="77777777" w:rsidR="00AB59B6" w:rsidRPr="00AB59B6" w:rsidRDefault="00AB59B6" w:rsidP="00AB59B6">
      <w:pPr>
        <w:spacing w:line="240" w:lineRule="auto"/>
        <w:rPr>
          <w:rFonts w:eastAsia="Times New Roman" w:cs="Arial"/>
          <w:i/>
          <w:iCs/>
          <w:color w:val="000000"/>
          <w:lang w:eastAsia="bg-BG"/>
        </w:rPr>
      </w:pPr>
    </w:p>
    <w:p w14:paraId="038832D3" w14:textId="73419286"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Педиатрична популация:</w:t>
      </w:r>
    </w:p>
    <w:p w14:paraId="1B1279E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Ацетизал 500 </w:t>
      </w:r>
      <w:r w:rsidRPr="00AB59B6">
        <w:rPr>
          <w:rFonts w:eastAsia="Times New Roman" w:cs="Arial"/>
          <w:color w:val="000000"/>
          <w:lang w:val="en-US"/>
        </w:rPr>
        <w:t>mg</w:t>
      </w:r>
      <w:r w:rsidRPr="00AB59B6">
        <w:rPr>
          <w:rFonts w:eastAsia="Times New Roman" w:cs="Arial"/>
          <w:color w:val="000000"/>
          <w:lang w:val="ru-RU"/>
        </w:rPr>
        <w:t xml:space="preserve"> </w:t>
      </w:r>
      <w:r w:rsidRPr="00AB59B6">
        <w:rPr>
          <w:rFonts w:eastAsia="Times New Roman" w:cs="Arial"/>
          <w:color w:val="000000"/>
          <w:lang w:eastAsia="bg-BG"/>
        </w:rPr>
        <w:t>таблетки не трябва да се прилага при деца на възраст до 16 години, освен при специфични показания (напр. болест на Кавазаки).</w:t>
      </w:r>
    </w:p>
    <w:p w14:paraId="58FCBF3E" w14:textId="77777777" w:rsidR="00AB59B6" w:rsidRPr="00AB59B6" w:rsidRDefault="00AB59B6" w:rsidP="00AB59B6">
      <w:pPr>
        <w:spacing w:line="240" w:lineRule="auto"/>
        <w:rPr>
          <w:rFonts w:eastAsia="Times New Roman" w:cs="Arial"/>
          <w:i/>
          <w:iCs/>
          <w:color w:val="000000"/>
          <w:lang w:eastAsia="bg-BG"/>
        </w:rPr>
      </w:pPr>
    </w:p>
    <w:p w14:paraId="2EDA938B" w14:textId="546C476B"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Пациенти в старческа възраст</w:t>
      </w:r>
    </w:p>
    <w:p w14:paraId="125AF711"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При липса на тежка бъбречна или чернодробна недостатъчност се препоръчва обичайната доза за възрастни.</w:t>
      </w:r>
    </w:p>
    <w:p w14:paraId="323272D6" w14:textId="77777777" w:rsidR="00AB59B6" w:rsidRPr="00AB59B6" w:rsidRDefault="00AB59B6" w:rsidP="00AB59B6">
      <w:pPr>
        <w:spacing w:line="240" w:lineRule="auto"/>
        <w:rPr>
          <w:rFonts w:eastAsia="Times New Roman" w:cs="Arial"/>
          <w:i/>
          <w:iCs/>
          <w:color w:val="000000"/>
          <w:lang w:eastAsia="bg-BG"/>
        </w:rPr>
      </w:pPr>
    </w:p>
    <w:p w14:paraId="46C50A29" w14:textId="4413445D"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lastRenderedPageBreak/>
        <w:t>Възрастни, включително пациенти в старческа възраст и деца над 16 години:</w:t>
      </w:r>
    </w:p>
    <w:p w14:paraId="28EC1DEA" w14:textId="33961FAE" w:rsidR="00AB59B6" w:rsidRPr="00AB59B6" w:rsidRDefault="00AB59B6" w:rsidP="00AB59B6">
      <w:pPr>
        <w:rPr>
          <w:rFonts w:eastAsia="Times New Roman" w:cs="Arial"/>
          <w:color w:val="000000"/>
          <w:lang w:eastAsia="bg-BG"/>
        </w:rPr>
      </w:pPr>
      <w:r w:rsidRPr="00AB59B6">
        <w:rPr>
          <w:rFonts w:eastAsia="Times New Roman" w:cs="Arial"/>
          <w:color w:val="000000"/>
          <w:lang w:eastAsia="bg-BG"/>
        </w:rPr>
        <w:t xml:space="preserve">По 500 - 1000 </w:t>
      </w:r>
      <w:r w:rsidRPr="00AB59B6">
        <w:rPr>
          <w:rFonts w:eastAsia="Times New Roman" w:cs="Arial"/>
          <w:color w:val="000000"/>
          <w:lang w:val="en-US"/>
        </w:rPr>
        <w:t>mg</w:t>
      </w:r>
      <w:r w:rsidRPr="00AB59B6">
        <w:rPr>
          <w:rFonts w:eastAsia="Times New Roman" w:cs="Arial"/>
          <w:color w:val="000000"/>
          <w:lang w:val="ru-RU"/>
        </w:rPr>
        <w:t xml:space="preserve"> </w:t>
      </w:r>
      <w:r w:rsidRPr="00AB59B6">
        <w:rPr>
          <w:rFonts w:eastAsia="Times New Roman" w:cs="Arial"/>
          <w:color w:val="000000"/>
          <w:lang w:eastAsia="bg-BG"/>
        </w:rPr>
        <w:t xml:space="preserve">еднократно през 4-8 часа. Максималната дневна доза е 4 </w:t>
      </w:r>
      <w:r w:rsidRPr="00AB59B6">
        <w:rPr>
          <w:rFonts w:eastAsia="Times New Roman" w:cs="Arial"/>
          <w:color w:val="000000"/>
          <w:lang w:val="en-US"/>
        </w:rPr>
        <w:t>g</w:t>
      </w:r>
      <w:r w:rsidRPr="00AB59B6">
        <w:rPr>
          <w:rFonts w:eastAsia="Times New Roman" w:cs="Arial"/>
          <w:color w:val="000000"/>
          <w:lang w:val="ru-RU"/>
        </w:rPr>
        <w:t xml:space="preserve">, </w:t>
      </w:r>
      <w:r w:rsidRPr="00AB59B6">
        <w:rPr>
          <w:rFonts w:eastAsia="Times New Roman" w:cs="Arial"/>
          <w:color w:val="000000"/>
          <w:lang w:eastAsia="bg-BG"/>
        </w:rPr>
        <w:t>разделена в отделни приеми.</w:t>
      </w:r>
    </w:p>
    <w:p w14:paraId="214A1680" w14:textId="324E007F" w:rsidR="00AB59B6" w:rsidRPr="00AB59B6" w:rsidRDefault="00AB59B6" w:rsidP="00AB59B6">
      <w:pPr>
        <w:rPr>
          <w:rFonts w:eastAsia="Times New Roman" w:cs="Arial"/>
          <w:color w:val="000000"/>
          <w:lang w:eastAsia="bg-BG"/>
        </w:rPr>
      </w:pPr>
    </w:p>
    <w:p w14:paraId="43E8509E" w14:textId="77777777" w:rsidR="00AB59B6" w:rsidRPr="00AB59B6" w:rsidRDefault="00AB59B6" w:rsidP="00AB59B6">
      <w:pPr>
        <w:pStyle w:val="Heading3"/>
        <w:rPr>
          <w:rFonts w:eastAsia="Times New Roman"/>
          <w:u w:val="single"/>
        </w:rPr>
      </w:pPr>
      <w:r w:rsidRPr="00AB59B6">
        <w:rPr>
          <w:rFonts w:eastAsia="Times New Roman"/>
          <w:u w:val="single"/>
          <w:lang w:eastAsia="bg-BG"/>
        </w:rPr>
        <w:t>Начин на приложение</w:t>
      </w:r>
    </w:p>
    <w:p w14:paraId="4269A85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Перорално приложение</w:t>
      </w:r>
    </w:p>
    <w:p w14:paraId="6A6B3358" w14:textId="77777777" w:rsidR="00AB59B6" w:rsidRPr="00AB59B6" w:rsidRDefault="00AB59B6" w:rsidP="00AB59B6">
      <w:pPr>
        <w:spacing w:line="240" w:lineRule="auto"/>
        <w:rPr>
          <w:rFonts w:ascii="Times New Roman" w:eastAsia="Times New Roman" w:hAnsi="Times New Roman" w:cs="Times New Roman"/>
          <w:sz w:val="24"/>
          <w:szCs w:val="24"/>
        </w:rPr>
      </w:pPr>
      <w:r w:rsidRPr="00AB59B6">
        <w:rPr>
          <w:rFonts w:eastAsia="Times New Roman" w:cs="Arial"/>
          <w:color w:val="000000"/>
          <w:lang w:eastAsia="bg-BG"/>
        </w:rPr>
        <w:t>Таблетките се приемат през устата по време на хранене или непосредствено след това, с достатъчно количество течност.</w:t>
      </w:r>
    </w:p>
    <w:p w14:paraId="7575D35D" w14:textId="77777777" w:rsidR="00AB59B6" w:rsidRPr="00AB59B6" w:rsidRDefault="00AB59B6" w:rsidP="00AB59B6"/>
    <w:p w14:paraId="62B13D0B" w14:textId="40308092" w:rsidR="00395555" w:rsidRDefault="002C50EE" w:rsidP="008A6AF2">
      <w:pPr>
        <w:pStyle w:val="Heading2"/>
      </w:pPr>
      <w:r>
        <w:t>4.3. Противопоказания</w:t>
      </w:r>
    </w:p>
    <w:p w14:paraId="1FC12A9F" w14:textId="508CD779" w:rsidR="00AB59B6" w:rsidRDefault="00AB59B6" w:rsidP="00AB59B6"/>
    <w:p w14:paraId="0B528656" w14:textId="77777777" w:rsidR="00AB59B6" w:rsidRPr="00AB59B6" w:rsidRDefault="00AB59B6" w:rsidP="00AB59B6">
      <w:pPr>
        <w:pStyle w:val="ListParagraph"/>
        <w:numPr>
          <w:ilvl w:val="0"/>
          <w:numId w:val="33"/>
        </w:numPr>
        <w:rPr>
          <w:lang w:eastAsia="bg-BG"/>
        </w:rPr>
      </w:pPr>
      <w:r w:rsidRPr="00AB59B6">
        <w:rPr>
          <w:lang w:eastAsia="bg-BG"/>
        </w:rPr>
        <w:t>Свръхчувствителност към ацетилсалицилова киселина, към съединения на салициловата киселина или към инхибитори на простагландин синтетазата (напр. някои пациенти с астма могат да получат пристъпи или загуба на съзнание) или към някое от помощните вещества, изброени в точка 6.1;</w:t>
      </w:r>
    </w:p>
    <w:p w14:paraId="77F84863" w14:textId="77777777" w:rsidR="00AB59B6" w:rsidRPr="00AB59B6" w:rsidRDefault="00AB59B6" w:rsidP="00AB59B6">
      <w:pPr>
        <w:pStyle w:val="ListParagraph"/>
        <w:numPr>
          <w:ilvl w:val="0"/>
          <w:numId w:val="33"/>
        </w:numPr>
        <w:rPr>
          <w:lang w:eastAsia="bg-BG"/>
        </w:rPr>
      </w:pPr>
      <w:r w:rsidRPr="00AB59B6">
        <w:rPr>
          <w:lang w:eastAsia="bg-BG"/>
        </w:rPr>
        <w:t>Активна или анамнеза за рецидивираща пептична язва и/или язва на стомаха/кървене от гастроинтестиналния тракт или други видове кървене, като мозъчносъдови кръвоизливи</w:t>
      </w:r>
    </w:p>
    <w:p w14:paraId="0AFDF22F" w14:textId="77777777" w:rsidR="00AB59B6" w:rsidRPr="00AB59B6" w:rsidRDefault="00AB59B6" w:rsidP="00AB59B6">
      <w:pPr>
        <w:pStyle w:val="ListParagraph"/>
        <w:numPr>
          <w:ilvl w:val="0"/>
          <w:numId w:val="33"/>
        </w:numPr>
        <w:rPr>
          <w:lang w:eastAsia="bg-BG"/>
        </w:rPr>
      </w:pPr>
      <w:r w:rsidRPr="00AB59B6">
        <w:rPr>
          <w:lang w:eastAsia="bg-BG"/>
        </w:rPr>
        <w:t>Хеморагична диатеза; коагулационни нарушения, като хемофилия и тромбоцитопения;</w:t>
      </w:r>
    </w:p>
    <w:p w14:paraId="4B409E0F" w14:textId="77777777" w:rsidR="00AB59B6" w:rsidRPr="00AB59B6" w:rsidRDefault="00AB59B6" w:rsidP="00AB59B6">
      <w:pPr>
        <w:pStyle w:val="ListParagraph"/>
        <w:numPr>
          <w:ilvl w:val="0"/>
          <w:numId w:val="33"/>
        </w:numPr>
        <w:rPr>
          <w:lang w:eastAsia="bg-BG"/>
        </w:rPr>
      </w:pPr>
      <w:r w:rsidRPr="00AB59B6">
        <w:rPr>
          <w:lang w:eastAsia="bg-BG"/>
        </w:rPr>
        <w:t>Тежко чернодробно нарушение;</w:t>
      </w:r>
    </w:p>
    <w:p w14:paraId="08FC8D01" w14:textId="77777777" w:rsidR="00AB59B6" w:rsidRPr="00AB59B6" w:rsidRDefault="00AB59B6" w:rsidP="00AB59B6">
      <w:pPr>
        <w:pStyle w:val="ListParagraph"/>
        <w:numPr>
          <w:ilvl w:val="0"/>
          <w:numId w:val="33"/>
        </w:numPr>
        <w:rPr>
          <w:lang w:eastAsia="bg-BG"/>
        </w:rPr>
      </w:pPr>
      <w:r w:rsidRPr="00AB59B6">
        <w:rPr>
          <w:lang w:eastAsia="bg-BG"/>
        </w:rPr>
        <w:t>Тежко бъбречно нарушение;</w:t>
      </w:r>
    </w:p>
    <w:p w14:paraId="5BBA13E3" w14:textId="77777777" w:rsidR="00AB59B6" w:rsidRPr="00AB59B6" w:rsidRDefault="00AB59B6" w:rsidP="00AB59B6">
      <w:pPr>
        <w:pStyle w:val="ListParagraph"/>
        <w:numPr>
          <w:ilvl w:val="0"/>
          <w:numId w:val="33"/>
        </w:numPr>
        <w:rPr>
          <w:lang w:eastAsia="bg-BG"/>
        </w:rPr>
      </w:pPr>
      <w:r w:rsidRPr="00AB59B6">
        <w:rPr>
          <w:lang w:eastAsia="bg-BG"/>
        </w:rPr>
        <w:t xml:space="preserve">Дневни дози &gt; 100 </w:t>
      </w:r>
      <w:r w:rsidRPr="00AB59B6">
        <w:rPr>
          <w:lang w:val="en-US"/>
        </w:rPr>
        <w:t>mg</w:t>
      </w:r>
      <w:r w:rsidRPr="00AB59B6">
        <w:rPr>
          <w:lang w:val="ru-RU"/>
        </w:rPr>
        <w:t xml:space="preserve"> </w:t>
      </w:r>
      <w:r w:rsidRPr="00AB59B6">
        <w:rPr>
          <w:lang w:eastAsia="bg-BG"/>
        </w:rPr>
        <w:t>по време на третия триместър от бременността (вж. точка 4.6);</w:t>
      </w:r>
    </w:p>
    <w:p w14:paraId="0C99D1F8" w14:textId="77777777" w:rsidR="00AB59B6" w:rsidRPr="00AB59B6" w:rsidRDefault="00AB59B6" w:rsidP="00AB59B6">
      <w:pPr>
        <w:pStyle w:val="ListParagraph"/>
        <w:numPr>
          <w:ilvl w:val="0"/>
          <w:numId w:val="33"/>
        </w:numPr>
        <w:rPr>
          <w:lang w:eastAsia="bg-BG"/>
        </w:rPr>
      </w:pPr>
      <w:r w:rsidRPr="00AB59B6">
        <w:rPr>
          <w:lang w:eastAsia="bg-BG"/>
        </w:rPr>
        <w:t xml:space="preserve">Метотрексат, използван в дози &gt; 15 </w:t>
      </w:r>
      <w:r w:rsidRPr="00AB59B6">
        <w:rPr>
          <w:lang w:val="en-US"/>
        </w:rPr>
        <w:t>mg</w:t>
      </w:r>
      <w:r w:rsidRPr="00AB59B6">
        <w:rPr>
          <w:lang w:eastAsia="bg-BG"/>
        </w:rPr>
        <w:t>/седмично (вж. точка 4.5);</w:t>
      </w:r>
    </w:p>
    <w:p w14:paraId="46332243" w14:textId="77777777" w:rsidR="00AB59B6" w:rsidRPr="00AB59B6" w:rsidRDefault="00AB59B6" w:rsidP="00AB59B6"/>
    <w:p w14:paraId="5A4AC413" w14:textId="04547F3B" w:rsidR="00395555" w:rsidRDefault="002C50EE" w:rsidP="008A6AF2">
      <w:pPr>
        <w:pStyle w:val="Heading2"/>
      </w:pPr>
      <w:r>
        <w:t>4.4. Специални предупреждения и предпазни мерки при употреба</w:t>
      </w:r>
    </w:p>
    <w:p w14:paraId="38A1B1BB" w14:textId="2E2C2EB9" w:rsidR="00AB59B6" w:rsidRDefault="00AB59B6" w:rsidP="00AB59B6"/>
    <w:p w14:paraId="65DA2B77"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 киселина се препоръчва за употреба при възрастни и юноши на 16 години и повече. Този лекарствен продукт не се препоръчва за употреба при деца/юноши до 16-годишна възраст, освен ако очакваните ползи надвишават рисковете.</w:t>
      </w:r>
    </w:p>
    <w:p w14:paraId="7DC25290"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може да бъде отключващ фактор за развитие на синдрома на Рей при някои деца.</w:t>
      </w:r>
    </w:p>
    <w:p w14:paraId="6C380E91" w14:textId="77777777" w:rsidR="00AB59B6" w:rsidRPr="00AB59B6" w:rsidRDefault="00AB59B6" w:rsidP="00AB59B6">
      <w:pPr>
        <w:spacing w:line="240" w:lineRule="auto"/>
        <w:rPr>
          <w:rFonts w:eastAsia="Times New Roman" w:cs="Arial"/>
          <w:color w:val="000000"/>
          <w:lang w:eastAsia="bg-BG"/>
        </w:rPr>
      </w:pPr>
    </w:p>
    <w:p w14:paraId="22E65274" w14:textId="2F29A8A8"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Съществува повишен риск от кръвоизлив, особено по време на оперативни процедури или след това (дори и при незначителни процедури, като например екстракция на зъб). Да се използва с повишено внимание преди оперативна намеса, включително екстракция на зъб. Може да се наложи временно прекратяване на лечението.</w:t>
      </w:r>
    </w:p>
    <w:p w14:paraId="39AC774A" w14:textId="77777777" w:rsidR="00AB59B6" w:rsidRPr="00AB59B6" w:rsidRDefault="00AB59B6" w:rsidP="00AB59B6">
      <w:pPr>
        <w:spacing w:line="240" w:lineRule="auto"/>
        <w:rPr>
          <w:rFonts w:eastAsia="Times New Roman" w:cs="Arial"/>
          <w:color w:val="000000"/>
          <w:lang w:eastAsia="bg-BG"/>
        </w:rPr>
      </w:pPr>
    </w:p>
    <w:p w14:paraId="78F5F498" w14:textId="1F271710"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не се препоръчва по време на менорагия, тъй като може да усили менструалното кървене.</w:t>
      </w:r>
    </w:p>
    <w:p w14:paraId="019729B1" w14:textId="77777777" w:rsidR="00AB59B6" w:rsidRPr="00AB59B6" w:rsidRDefault="00AB59B6" w:rsidP="00AB59B6">
      <w:pPr>
        <w:spacing w:line="240" w:lineRule="auto"/>
        <w:rPr>
          <w:rFonts w:eastAsia="Times New Roman" w:cs="Arial"/>
          <w:color w:val="000000"/>
          <w:lang w:eastAsia="bg-BG"/>
        </w:rPr>
      </w:pPr>
    </w:p>
    <w:p w14:paraId="0EB55DDD" w14:textId="65016546"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трябва да се използва с повишено внимание при случаи на хипертония и когато пациентите са с анамнеза за стомашна или дуоденална язва или епизоди на кървене, или провеждат терапия с антикоагуланти.</w:t>
      </w:r>
    </w:p>
    <w:p w14:paraId="28E49A55" w14:textId="77777777" w:rsidR="00AB59B6" w:rsidRPr="00AB59B6" w:rsidRDefault="00AB59B6" w:rsidP="00AB59B6">
      <w:pPr>
        <w:spacing w:line="240" w:lineRule="auto"/>
        <w:rPr>
          <w:rFonts w:eastAsia="Times New Roman" w:cs="Arial"/>
          <w:color w:val="000000"/>
          <w:lang w:eastAsia="bg-BG"/>
        </w:rPr>
      </w:pPr>
    </w:p>
    <w:p w14:paraId="5EDE9776" w14:textId="09C36ACB"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lastRenderedPageBreak/>
        <w:t>Пациентите трябва да съобщават на лекуващия си лекар за всички необичайни симптоми на кървене. Ако се наблюдават гастроинтестинално кървене или улцерация, лечението трябва да се прекрати.</w:t>
      </w:r>
    </w:p>
    <w:p w14:paraId="710C8E7E" w14:textId="77777777" w:rsidR="00AB59B6" w:rsidRPr="00AB59B6" w:rsidRDefault="00AB59B6" w:rsidP="00AB59B6">
      <w:pPr>
        <w:spacing w:line="240" w:lineRule="auto"/>
        <w:rPr>
          <w:rFonts w:eastAsia="Times New Roman" w:cs="Arial"/>
          <w:color w:val="000000"/>
          <w:lang w:eastAsia="bg-BG"/>
        </w:rPr>
      </w:pPr>
    </w:p>
    <w:p w14:paraId="1C658234" w14:textId="6D0EEFA5"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трябва да се използва с повишено внимание при пациенти с умерено увредена бъбречна или чернодробна функция (противопоказано е ако е тежка), или при дехидратирани пациенти, тъй като употребата на НСПВС може да доведе до влошаване на бъбречната функция. При пациенти със слабо или умерено изразена чернодробна недостатъчност трябва да се провеждат редовно чернодробни функционални тестове.</w:t>
      </w:r>
    </w:p>
    <w:p w14:paraId="029018AA" w14:textId="77777777" w:rsidR="00AB59B6" w:rsidRPr="00AB59B6" w:rsidRDefault="00AB59B6" w:rsidP="00AB59B6">
      <w:pPr>
        <w:spacing w:line="240" w:lineRule="auto"/>
        <w:rPr>
          <w:rFonts w:eastAsia="Times New Roman" w:cs="Arial"/>
          <w:color w:val="000000"/>
          <w:lang w:eastAsia="bg-BG"/>
        </w:rPr>
      </w:pPr>
    </w:p>
    <w:p w14:paraId="7D40D3C9" w14:textId="3B09D07D"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може да провокира поява на бронхоспазъм и астматични пристъпи или други реакции на свръхчувствителност. Рискови фактори са съществуваща астма, сенна хрема, полипи в носа или хронични респираторни заболявания. Същото се отнася и за пациенти, при които се наблюдава алергична реакция към други вещества (напр. с кожни реакции, сърбеж или уртикария)</w:t>
      </w:r>
    </w:p>
    <w:p w14:paraId="7009363D" w14:textId="3D93D334" w:rsidR="00AB59B6" w:rsidRPr="00AB59B6" w:rsidRDefault="00AB59B6" w:rsidP="00AB59B6">
      <w:pPr>
        <w:rPr>
          <w:rFonts w:cs="Arial"/>
        </w:rPr>
      </w:pPr>
    </w:p>
    <w:p w14:paraId="35AE6BD5"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В редки случаи след употреба на ацетилсалицилова киселина са наблюдавани тежки кожни реакции, включително синдром на Стивънс-Джонсън (вж. точка 4.8). Употребата на салицилова киселина трябва да се преустанови при първа поява на кожен обрив, мукозни лезии или други признаци на свръхчувствителност.</w:t>
      </w:r>
    </w:p>
    <w:p w14:paraId="0A22A1A9" w14:textId="77777777" w:rsidR="00AB59B6" w:rsidRPr="00AB59B6" w:rsidRDefault="00AB59B6" w:rsidP="00AB59B6">
      <w:pPr>
        <w:spacing w:line="240" w:lineRule="auto"/>
        <w:rPr>
          <w:rFonts w:eastAsia="Times New Roman" w:cs="Arial"/>
          <w:color w:val="000000"/>
          <w:lang w:eastAsia="bg-BG"/>
        </w:rPr>
      </w:pPr>
    </w:p>
    <w:p w14:paraId="7F6B8EC9" w14:textId="3F7BC433"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Пациентите в старческа възраст са по-чувствителни към нежеланите лекарствени реакции на НСПВС, включително ацетилсалицилова киселина, особено към стомашно-чревното кървене и перфорация, които могат да бъдат фатални (вж. точка 4.2). При пациенти в старческа възраст не се препоръчва продължително приложение. Когато се изисква продължително лечение, пациентите трябва да се преглеждат редовно.</w:t>
      </w:r>
    </w:p>
    <w:p w14:paraId="44A66BA0" w14:textId="77777777" w:rsidR="00AB59B6" w:rsidRPr="00AB59B6" w:rsidRDefault="00AB59B6" w:rsidP="00AB59B6">
      <w:pPr>
        <w:spacing w:line="240" w:lineRule="auto"/>
        <w:rPr>
          <w:rFonts w:eastAsia="Times New Roman" w:cs="Arial"/>
          <w:color w:val="000000"/>
          <w:lang w:eastAsia="bg-BG"/>
        </w:rPr>
      </w:pPr>
    </w:p>
    <w:p w14:paraId="5C51AF00" w14:textId="400616D3"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Едновременното лечение с ацетилсалицилова киселина и други лекарства, които оказват влияние върху хемостазата (напр. антикоагуланти като варфарин, тромболитични и антиагреганти средства, противовъзпалителни лекарства и селективни инхибитори на обратното захващане на серотонина) не се препоръчва, освен при категорични показания, тъй като могат да повишат риска от кръвоизливи (вж. точка 4.5). Ако комбинацията не може да се избегне се препоръчва внимателно наблюдаване за признаци на кървене.</w:t>
      </w:r>
    </w:p>
    <w:p w14:paraId="67C30790" w14:textId="77777777" w:rsidR="00AB59B6" w:rsidRPr="00AB59B6" w:rsidRDefault="00AB59B6" w:rsidP="00AB59B6">
      <w:pPr>
        <w:spacing w:line="240" w:lineRule="auto"/>
        <w:rPr>
          <w:rFonts w:eastAsia="Times New Roman" w:cs="Arial"/>
          <w:color w:val="000000"/>
          <w:lang w:eastAsia="bg-BG"/>
        </w:rPr>
      </w:pPr>
    </w:p>
    <w:p w14:paraId="44B3881D" w14:textId="71D3DC9B"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Препоръчва се повишено внимание при пациенти, които едновременно приемат лекарства, които могат да повишат риска от улцерация, като перорални кортикостероиди, селективни инхибитори на обратното захващане на серотонина и деферазирокс (вж. точка 4.5).</w:t>
      </w:r>
    </w:p>
    <w:p w14:paraId="3AE4AD29" w14:textId="77777777" w:rsidR="00AB59B6" w:rsidRPr="00AB59B6" w:rsidRDefault="00AB59B6" w:rsidP="00AB59B6">
      <w:pPr>
        <w:spacing w:line="240" w:lineRule="auto"/>
        <w:rPr>
          <w:rFonts w:eastAsia="Times New Roman" w:cs="Arial"/>
          <w:color w:val="000000"/>
          <w:lang w:eastAsia="bg-BG"/>
        </w:rPr>
      </w:pPr>
    </w:p>
    <w:p w14:paraId="367996B4" w14:textId="028EC9E9"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Приложена в ниски дози, ацетилсалициловата киселина намалява екскрецията на пикочната киселина. Поради този факт, при пациенти с понижена екскреция на пикочна киселина може да се наблюдават пристъпи на подагра (вж. точка 4.5).</w:t>
      </w:r>
    </w:p>
    <w:p w14:paraId="7B302F2D" w14:textId="77777777" w:rsidR="00AB59B6" w:rsidRPr="00AB59B6" w:rsidRDefault="00AB59B6" w:rsidP="00AB59B6">
      <w:pPr>
        <w:spacing w:line="240" w:lineRule="auto"/>
        <w:rPr>
          <w:rFonts w:eastAsia="Times New Roman" w:cs="Arial"/>
          <w:color w:val="000000"/>
          <w:lang w:eastAsia="bg-BG"/>
        </w:rPr>
      </w:pPr>
    </w:p>
    <w:p w14:paraId="71974CE2" w14:textId="2F195DCC"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При предозиране с ацетилсалицилова киселина и употреба на сулфанилурейни продукти и инсулин може да се повиши рискът от хипогликемия (вж. точка 4.5).</w:t>
      </w:r>
    </w:p>
    <w:p w14:paraId="4C77E858" w14:textId="77777777" w:rsidR="00AB59B6" w:rsidRPr="00AB59B6" w:rsidRDefault="00AB59B6" w:rsidP="00AB59B6">
      <w:pPr>
        <w:spacing w:line="240" w:lineRule="auto"/>
        <w:rPr>
          <w:rFonts w:eastAsia="Times New Roman" w:cs="Arial"/>
          <w:color w:val="000000"/>
          <w:lang w:eastAsia="bg-BG"/>
        </w:rPr>
      </w:pPr>
    </w:p>
    <w:p w14:paraId="546D5D9B" w14:textId="761987B4"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Продължителната употреба на аналгетици (&gt; 3 месеца), с приложение на всеки два дни или по- често може да доведе до главоболие или до влошаването му, ако вече съществува. Главоболие от свръхупотреба на аналгетици не трябва да се лекува с </w:t>
      </w:r>
      <w:r w:rsidRPr="00AB59B6">
        <w:rPr>
          <w:rFonts w:eastAsia="Times New Roman" w:cs="Arial"/>
          <w:color w:val="000000"/>
          <w:lang w:eastAsia="bg-BG"/>
        </w:rPr>
        <w:lastRenderedPageBreak/>
        <w:t>повишаване на дозата. В такива случаи употребата на аналгетици трябва да се прекрати след консултация с лекар.</w:t>
      </w:r>
    </w:p>
    <w:p w14:paraId="0F70D149" w14:textId="77777777" w:rsidR="00AB59B6" w:rsidRPr="00AB59B6" w:rsidRDefault="00AB59B6" w:rsidP="00AB59B6">
      <w:pPr>
        <w:spacing w:line="240" w:lineRule="auto"/>
        <w:rPr>
          <w:rFonts w:eastAsia="Times New Roman" w:cs="Arial"/>
          <w:color w:val="000000"/>
          <w:lang w:eastAsia="bg-BG"/>
        </w:rPr>
      </w:pPr>
    </w:p>
    <w:p w14:paraId="02ACE58B" w14:textId="77D05C46"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При пациенти, страдащи от дефицит на глюкозо-6-фосфат дехидрогеназа </w:t>
      </w:r>
      <w:r w:rsidRPr="00AB59B6">
        <w:rPr>
          <w:rFonts w:eastAsia="Times New Roman" w:cs="Arial"/>
          <w:color w:val="000000"/>
          <w:lang w:val="ru-RU"/>
        </w:rPr>
        <w:t>(</w:t>
      </w:r>
      <w:r w:rsidRPr="00AB59B6">
        <w:rPr>
          <w:rFonts w:eastAsia="Times New Roman" w:cs="Arial"/>
          <w:color w:val="000000"/>
          <w:lang w:val="en-US"/>
        </w:rPr>
        <w:t>G</w:t>
      </w:r>
      <w:r w:rsidRPr="00AB59B6">
        <w:rPr>
          <w:rFonts w:eastAsia="Times New Roman" w:cs="Arial"/>
          <w:color w:val="000000"/>
          <w:lang w:val="ru-RU"/>
        </w:rPr>
        <w:t>6</w:t>
      </w:r>
      <w:r w:rsidRPr="00AB59B6">
        <w:rPr>
          <w:rFonts w:eastAsia="Times New Roman" w:cs="Arial"/>
          <w:color w:val="000000"/>
          <w:lang w:val="en-US"/>
        </w:rPr>
        <w:t>PD</w:t>
      </w:r>
      <w:r w:rsidRPr="00AB59B6">
        <w:rPr>
          <w:rFonts w:eastAsia="Times New Roman" w:cs="Arial"/>
          <w:color w:val="000000"/>
          <w:lang w:val="ru-RU"/>
        </w:rPr>
        <w:t xml:space="preserve">) </w:t>
      </w:r>
      <w:r w:rsidRPr="00AB59B6">
        <w:rPr>
          <w:rFonts w:eastAsia="Times New Roman" w:cs="Arial"/>
          <w:color w:val="000000"/>
          <w:lang w:eastAsia="bg-BG"/>
        </w:rPr>
        <w:t>в тежка форма, ацетилсалициловата киселина може да предизвика хемолиза или хемолитична анемия. Факторите, които повишават риска от хемолиза са например: високи дози, треска или остри инфекции.</w:t>
      </w:r>
    </w:p>
    <w:p w14:paraId="57C33B8C" w14:textId="77777777" w:rsidR="00AB59B6" w:rsidRPr="00AB59B6" w:rsidRDefault="00AB59B6" w:rsidP="00AB59B6">
      <w:pPr>
        <w:spacing w:line="240" w:lineRule="auto"/>
        <w:rPr>
          <w:rFonts w:eastAsia="Times New Roman" w:cs="Arial"/>
          <w:color w:val="000000"/>
          <w:lang w:eastAsia="bg-BG"/>
        </w:rPr>
      </w:pPr>
    </w:p>
    <w:p w14:paraId="3DEEBDFE" w14:textId="7F681A3B"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Съществуват някои доказателства, че лекарства, които потискат циклооксигеназо- простагландиновата синтеза могат да увредят женския фертилитет, като окажат влияние върху овулацията. Това е обратимо при прекратяване на лечението.</w:t>
      </w:r>
    </w:p>
    <w:p w14:paraId="4FBF77EA" w14:textId="77777777" w:rsidR="00AB59B6" w:rsidRPr="00AB59B6" w:rsidRDefault="00AB59B6" w:rsidP="00AB59B6">
      <w:pPr>
        <w:spacing w:line="240" w:lineRule="auto"/>
        <w:rPr>
          <w:rFonts w:eastAsia="Times New Roman" w:cs="Arial"/>
          <w:color w:val="000000"/>
          <w:lang w:eastAsia="bg-BG"/>
        </w:rPr>
      </w:pPr>
    </w:p>
    <w:p w14:paraId="0AFB9178" w14:textId="6791643D"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Продължителната употреба, освен под лекарски контрол, може да бъде вредна.</w:t>
      </w:r>
    </w:p>
    <w:p w14:paraId="55BA4FBA" w14:textId="77777777" w:rsidR="00AB59B6" w:rsidRPr="00AB59B6" w:rsidRDefault="00AB59B6" w:rsidP="00AB59B6">
      <w:pPr>
        <w:spacing w:line="240" w:lineRule="auto"/>
        <w:rPr>
          <w:rFonts w:eastAsia="Times New Roman" w:cs="Arial"/>
          <w:color w:val="000000"/>
          <w:lang w:eastAsia="bg-BG"/>
        </w:rPr>
      </w:pPr>
    </w:p>
    <w:p w14:paraId="70086B0D" w14:textId="1C49C940"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При персистиране на симптомите е необходима консултация с лекар.</w:t>
      </w:r>
    </w:p>
    <w:p w14:paraId="65417C48" w14:textId="77777777" w:rsidR="00AB59B6" w:rsidRPr="00AB59B6" w:rsidRDefault="00AB59B6" w:rsidP="00AB59B6">
      <w:pPr>
        <w:spacing w:line="240" w:lineRule="auto"/>
        <w:rPr>
          <w:rFonts w:eastAsia="Times New Roman" w:cs="Arial"/>
          <w:color w:val="000000"/>
          <w:lang w:eastAsia="bg-BG"/>
        </w:rPr>
      </w:pPr>
    </w:p>
    <w:p w14:paraId="0DFFD659" w14:textId="1FFDC37E"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Употребата на ацетилсалицилова киселина не се препоръчва на пациенти, ваксинирани наскоро срещу варицела поради повишен риск от развитие на синдрома на Рей.</w:t>
      </w:r>
    </w:p>
    <w:p w14:paraId="3F14E764" w14:textId="77777777" w:rsidR="00AB59B6" w:rsidRPr="00AB59B6" w:rsidRDefault="00AB59B6" w:rsidP="00AB59B6">
      <w:pPr>
        <w:spacing w:line="240" w:lineRule="auto"/>
        <w:rPr>
          <w:rFonts w:eastAsia="Times New Roman" w:cs="Arial"/>
          <w:color w:val="000000"/>
          <w:lang w:eastAsia="bg-BG"/>
        </w:rPr>
      </w:pPr>
    </w:p>
    <w:p w14:paraId="2ACEDB4A" w14:textId="4A4473A2"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Ползите и рисковете от приложението на ацетилсалицилова киселина трябва да се обсъждат и при пациенти, склонни към диспепсия или със заболявания, засягащи гастроинтестиналната лигавица.</w:t>
      </w:r>
    </w:p>
    <w:p w14:paraId="756F4F5C" w14:textId="77777777" w:rsidR="00AB59B6" w:rsidRPr="00AB59B6" w:rsidRDefault="00AB59B6" w:rsidP="00AB59B6">
      <w:pPr>
        <w:spacing w:line="240" w:lineRule="auto"/>
        <w:rPr>
          <w:rFonts w:eastAsia="Times New Roman" w:cs="Arial"/>
          <w:color w:val="000000"/>
          <w:lang w:eastAsia="bg-BG"/>
        </w:rPr>
      </w:pPr>
    </w:p>
    <w:p w14:paraId="5CBF803F" w14:textId="39A7CCF9"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Особено внимание при употребата на лекарството изискват случаите с лека до средно тежка сърдечна недостатъчност.</w:t>
      </w:r>
    </w:p>
    <w:p w14:paraId="6B1A358C" w14:textId="6DA08EA8" w:rsidR="00AB59B6" w:rsidRPr="00AB59B6" w:rsidRDefault="00AB59B6" w:rsidP="00AB59B6">
      <w:pPr>
        <w:rPr>
          <w:rFonts w:cs="Arial"/>
        </w:rPr>
      </w:pPr>
    </w:p>
    <w:p w14:paraId="662F9417"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Този лекарствен продукт съдържа по-малко от 1 </w:t>
      </w:r>
      <w:proofErr w:type="spellStart"/>
      <w:r w:rsidRPr="00AB59B6">
        <w:rPr>
          <w:rFonts w:eastAsia="Times New Roman" w:cs="Arial"/>
          <w:color w:val="000000"/>
          <w:lang w:val="en-US"/>
        </w:rPr>
        <w:t>mmol</w:t>
      </w:r>
      <w:proofErr w:type="spellEnd"/>
      <w:r w:rsidRPr="00AB59B6">
        <w:rPr>
          <w:rFonts w:eastAsia="Times New Roman" w:cs="Arial"/>
          <w:color w:val="000000"/>
          <w:lang w:val="ru-RU"/>
        </w:rPr>
        <w:t xml:space="preserve"> </w:t>
      </w:r>
      <w:r w:rsidRPr="00AB59B6">
        <w:rPr>
          <w:rFonts w:eastAsia="Times New Roman" w:cs="Arial"/>
          <w:color w:val="000000"/>
          <w:lang w:eastAsia="bg-BG"/>
        </w:rPr>
        <w:t xml:space="preserve">натрий (23 </w:t>
      </w:r>
      <w:r w:rsidRPr="00AB59B6">
        <w:rPr>
          <w:rFonts w:eastAsia="Times New Roman" w:cs="Arial"/>
          <w:color w:val="000000"/>
          <w:lang w:val="en-US"/>
        </w:rPr>
        <w:t>mg</w:t>
      </w:r>
      <w:r w:rsidRPr="00AB59B6">
        <w:rPr>
          <w:rFonts w:eastAsia="Times New Roman" w:cs="Arial"/>
          <w:color w:val="000000"/>
          <w:lang w:val="ru-RU"/>
        </w:rPr>
        <w:t xml:space="preserve">) </w:t>
      </w:r>
      <w:r w:rsidRPr="00AB59B6">
        <w:rPr>
          <w:rFonts w:eastAsia="Times New Roman" w:cs="Arial"/>
          <w:color w:val="000000"/>
          <w:lang w:eastAsia="bg-BG"/>
        </w:rPr>
        <w:t>на таблетка, т.е. може да се каже, че практически не съдържа натрий.</w:t>
      </w:r>
    </w:p>
    <w:p w14:paraId="438DC110" w14:textId="77777777" w:rsidR="00AB59B6" w:rsidRPr="00AB59B6" w:rsidRDefault="00AB59B6" w:rsidP="00AB59B6"/>
    <w:p w14:paraId="1244F76A" w14:textId="4E2EB773" w:rsidR="00395555" w:rsidRDefault="002C50EE" w:rsidP="008A6AF2">
      <w:pPr>
        <w:pStyle w:val="Heading2"/>
      </w:pPr>
      <w:r>
        <w:t>4.5. Взаимодействие с други лекарствени продукти и други форми на взаимодействие</w:t>
      </w:r>
    </w:p>
    <w:p w14:paraId="7140873F" w14:textId="53917F3C" w:rsidR="00AB59B6" w:rsidRDefault="00AB59B6" w:rsidP="00AB59B6"/>
    <w:p w14:paraId="0561FA2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u w:val="single"/>
          <w:lang w:eastAsia="bg-BG"/>
        </w:rPr>
        <w:t>Противопоказани комбинации</w:t>
      </w:r>
    </w:p>
    <w:p w14:paraId="1AC592F7" w14:textId="7D9A70C2"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 xml:space="preserve">Метотрексат (използван в дози &gt;15 </w:t>
      </w:r>
      <w:r w:rsidRPr="00AB59B6">
        <w:rPr>
          <w:rFonts w:eastAsia="Times New Roman" w:cs="Arial"/>
          <w:i/>
          <w:iCs/>
          <w:color w:val="000000"/>
          <w:lang w:val="en-US"/>
        </w:rPr>
        <w:t>mg</w:t>
      </w:r>
      <w:r w:rsidRPr="00AB59B6">
        <w:rPr>
          <w:rFonts w:eastAsia="Times New Roman" w:cs="Arial"/>
          <w:i/>
          <w:iCs/>
          <w:color w:val="000000"/>
          <w:lang w:val="ru-RU"/>
        </w:rPr>
        <w:t xml:space="preserve"> </w:t>
      </w:r>
      <w:r w:rsidRPr="00AB59B6">
        <w:rPr>
          <w:rFonts w:eastAsia="Times New Roman" w:cs="Arial"/>
          <w:i/>
          <w:iCs/>
          <w:color w:val="000000"/>
          <w:lang w:eastAsia="bg-BG"/>
        </w:rPr>
        <w:t>седмично):</w:t>
      </w:r>
    </w:p>
    <w:p w14:paraId="28A3D271"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При комбиниране на метотрексат и ацетилсалицилова киселина се засилва хематологична токсичност на метотрексат, поради намаляване на бъбречния клирънс на метотрексат от ацетилсалициловата киселина. Ето защо, едновременната употреба на метотрексат (в дози &gt; 15 </w:t>
      </w:r>
      <w:r w:rsidRPr="00AB59B6">
        <w:rPr>
          <w:rFonts w:eastAsia="Times New Roman" w:cs="Arial"/>
          <w:color w:val="000000"/>
          <w:lang w:val="en-US"/>
        </w:rPr>
        <w:t>mg</w:t>
      </w:r>
      <w:r w:rsidRPr="00AB59B6">
        <w:rPr>
          <w:rFonts w:eastAsia="Times New Roman" w:cs="Arial"/>
          <w:color w:val="000000"/>
          <w:lang w:eastAsia="bg-BG"/>
        </w:rPr>
        <w:t>/седмица) с ацетилсалицилова киселина е противопоказана (вж. точка 4.3).</w:t>
      </w:r>
    </w:p>
    <w:p w14:paraId="6E6B6AF5" w14:textId="77777777" w:rsidR="00AB59B6" w:rsidRPr="00AB59B6" w:rsidRDefault="00AB59B6" w:rsidP="00AB59B6">
      <w:pPr>
        <w:spacing w:line="240" w:lineRule="auto"/>
        <w:rPr>
          <w:rFonts w:eastAsia="Times New Roman" w:cs="Arial"/>
          <w:color w:val="000000"/>
          <w:u w:val="single"/>
          <w:lang w:eastAsia="bg-BG"/>
        </w:rPr>
      </w:pPr>
    </w:p>
    <w:p w14:paraId="2FCD022F" w14:textId="1028204A" w:rsidR="00AB59B6" w:rsidRPr="00AB59B6" w:rsidRDefault="00AB59B6" w:rsidP="00AB59B6">
      <w:pPr>
        <w:spacing w:line="240" w:lineRule="auto"/>
        <w:rPr>
          <w:rFonts w:eastAsia="Times New Roman" w:cs="Arial"/>
          <w:sz w:val="24"/>
          <w:szCs w:val="24"/>
        </w:rPr>
      </w:pPr>
      <w:r w:rsidRPr="00AB59B6">
        <w:rPr>
          <w:rFonts w:eastAsia="Times New Roman" w:cs="Arial"/>
          <w:color w:val="000000"/>
          <w:u w:val="single"/>
          <w:lang w:eastAsia="bg-BG"/>
        </w:rPr>
        <w:t>Комбинации, които не се препоръчват</w:t>
      </w:r>
    </w:p>
    <w:p w14:paraId="66D98356" w14:textId="77777777"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Урикозурични средства, напр. пробенецид</w:t>
      </w:r>
    </w:p>
    <w:p w14:paraId="41907846"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Салицилатите антагонизират ефекта на пробенецид. Комбинацията трябва да се избягва.</w:t>
      </w:r>
    </w:p>
    <w:p w14:paraId="3C728AE9" w14:textId="77777777" w:rsidR="00AB59B6" w:rsidRPr="00AB59B6" w:rsidRDefault="00AB59B6" w:rsidP="00AB59B6">
      <w:pPr>
        <w:spacing w:line="240" w:lineRule="auto"/>
        <w:rPr>
          <w:rFonts w:eastAsia="Times New Roman" w:cs="Arial"/>
          <w:color w:val="000000"/>
          <w:u w:val="single"/>
          <w:lang w:eastAsia="bg-BG"/>
        </w:rPr>
      </w:pPr>
    </w:p>
    <w:p w14:paraId="5E62DCD6" w14:textId="63BF4979" w:rsidR="00AB59B6" w:rsidRPr="00AB59B6" w:rsidRDefault="00AB59B6" w:rsidP="00AB59B6">
      <w:pPr>
        <w:spacing w:line="240" w:lineRule="auto"/>
        <w:rPr>
          <w:rFonts w:eastAsia="Times New Roman" w:cs="Arial"/>
          <w:sz w:val="24"/>
          <w:szCs w:val="24"/>
        </w:rPr>
      </w:pPr>
      <w:r w:rsidRPr="00AB59B6">
        <w:rPr>
          <w:rFonts w:eastAsia="Times New Roman" w:cs="Arial"/>
          <w:color w:val="000000"/>
          <w:u w:val="single"/>
          <w:lang w:eastAsia="bg-BG"/>
        </w:rPr>
        <w:t>Комбинации, при чиято употреба се изисква повишено внимание</w:t>
      </w:r>
    </w:p>
    <w:p w14:paraId="11BEDB8E" w14:textId="1147F253"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Атикоагуланти, например кумарин, хепарин, варфарин</w:t>
      </w:r>
    </w:p>
    <w:p w14:paraId="61F999F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Повишен риск от кървене поради инхибиране на тромбоцитната функция, увреждане на лигавицата на дванадесетопръстника и изместване на пероралните антикоагуланти от местата им за свързване с плазмените протеини. Трябва да се проследява времето на кървене (вж. точка 4.4).</w:t>
      </w:r>
    </w:p>
    <w:p w14:paraId="3DA6553A" w14:textId="77777777" w:rsidR="00AB59B6" w:rsidRPr="00AB59B6" w:rsidRDefault="00AB59B6" w:rsidP="00AB59B6">
      <w:pPr>
        <w:spacing w:line="240" w:lineRule="auto"/>
        <w:rPr>
          <w:rFonts w:eastAsia="Times New Roman" w:cs="Arial"/>
          <w:i/>
          <w:iCs/>
          <w:color w:val="000000"/>
          <w:lang w:eastAsia="bg-BG"/>
        </w:rPr>
      </w:pPr>
    </w:p>
    <w:p w14:paraId="3F93BE11" w14:textId="17C6B8A5"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 xml:space="preserve">Тромбоцитни антиагреганти (например клопидогрел и дипиридамол) и селективни инхибитори на обратното захващане на серотонина </w:t>
      </w:r>
      <w:r w:rsidRPr="00AB59B6">
        <w:rPr>
          <w:rFonts w:eastAsia="Times New Roman" w:cs="Arial"/>
          <w:i/>
          <w:iCs/>
          <w:color w:val="000000"/>
          <w:lang w:val="ru-RU"/>
        </w:rPr>
        <w:t>(</w:t>
      </w:r>
      <w:r w:rsidRPr="00AB59B6">
        <w:rPr>
          <w:rFonts w:eastAsia="Times New Roman" w:cs="Arial"/>
          <w:i/>
          <w:iCs/>
          <w:color w:val="000000"/>
          <w:lang w:val="en-US"/>
        </w:rPr>
        <w:t>SSRIs</w:t>
      </w:r>
      <w:r w:rsidRPr="00AB59B6">
        <w:rPr>
          <w:rFonts w:eastAsia="Times New Roman" w:cs="Arial"/>
          <w:i/>
          <w:iCs/>
          <w:color w:val="000000"/>
          <w:lang w:val="ru-RU"/>
        </w:rPr>
        <w:t xml:space="preserve">, </w:t>
      </w:r>
      <w:r w:rsidRPr="00AB59B6">
        <w:rPr>
          <w:rFonts w:eastAsia="Times New Roman" w:cs="Arial"/>
          <w:i/>
          <w:iCs/>
          <w:color w:val="000000"/>
          <w:lang w:eastAsia="bg-BG"/>
        </w:rPr>
        <w:t>като сертралин или пароксетин)</w:t>
      </w:r>
    </w:p>
    <w:p w14:paraId="21EF744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Повишен риск от стомашно-чревно кървене (вж. точка 4.4).</w:t>
      </w:r>
    </w:p>
    <w:p w14:paraId="10D35DEB" w14:textId="77777777" w:rsidR="00AB59B6" w:rsidRPr="00AB59B6" w:rsidRDefault="00AB59B6" w:rsidP="00AB59B6">
      <w:pPr>
        <w:spacing w:line="240" w:lineRule="auto"/>
        <w:rPr>
          <w:rFonts w:eastAsia="Times New Roman" w:cs="Arial"/>
          <w:i/>
          <w:iCs/>
          <w:color w:val="000000"/>
          <w:lang w:eastAsia="bg-BG"/>
        </w:rPr>
      </w:pPr>
    </w:p>
    <w:p w14:paraId="7A4BD8E5" w14:textId="74E1ADBF"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Антидиабетни средства, напр. сулфанилурейни продукти</w:t>
      </w:r>
    </w:p>
    <w:p w14:paraId="4ACCCFFD"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Салицилатите могат да усилят хипогликемичния ефект на сулфанилурейните продукти, хипогликемичен ефект.</w:t>
      </w:r>
    </w:p>
    <w:p w14:paraId="10F07C6A" w14:textId="77777777" w:rsidR="00AB59B6" w:rsidRPr="00AB59B6" w:rsidRDefault="00AB59B6" w:rsidP="00AB59B6">
      <w:pPr>
        <w:spacing w:line="240" w:lineRule="auto"/>
        <w:rPr>
          <w:rFonts w:eastAsia="Times New Roman" w:cs="Arial"/>
          <w:i/>
          <w:iCs/>
          <w:color w:val="000000"/>
          <w:lang w:eastAsia="bg-BG"/>
        </w:rPr>
      </w:pPr>
    </w:p>
    <w:p w14:paraId="2E53EE0F" w14:textId="1818F80B"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Дигоксин и литий</w:t>
      </w:r>
    </w:p>
    <w:p w14:paraId="64E0846C"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нарушава бъбречната екскреция на дигоксин и литий, което води до повишени плазмени концентрации. При започване и прекратяване на лечение с ацетилсалицилова киселина се препоръчва мониторинг на плазмените концентрации на дигоксин и литий. Може да се наложи корекция на дозата.</w:t>
      </w:r>
    </w:p>
    <w:p w14:paraId="3D44EBDB" w14:textId="77777777" w:rsidR="00AB59B6" w:rsidRPr="00AB59B6" w:rsidRDefault="00AB59B6" w:rsidP="00AB59B6">
      <w:pPr>
        <w:spacing w:line="240" w:lineRule="auto"/>
        <w:rPr>
          <w:rFonts w:eastAsia="Times New Roman" w:cs="Arial"/>
          <w:i/>
          <w:iCs/>
          <w:color w:val="000000"/>
          <w:lang w:eastAsia="bg-BG"/>
        </w:rPr>
      </w:pPr>
    </w:p>
    <w:p w14:paraId="14450E4F" w14:textId="1A72B2E0"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Диуретици и антихипертензивни продукти</w:t>
      </w:r>
    </w:p>
    <w:p w14:paraId="3842B5D4"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НСПВС могат да намалят антихипертензивния ефект на диуретиците и други антихипертензивни средства. Както и при другите нестероидни противовъзпалителни средства едновременното приложение с АСЕ-инхибитори повишава риска от остра бъбречна недостатъчност.</w:t>
      </w:r>
    </w:p>
    <w:p w14:paraId="72466AA4"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Диуретици: Риск от остра бъбречна недостатъчност, поради намалената гломерулна филтрация вследствие на понижена бъбречна простагландинова синтеза. В началото на лечението се препоръчва хидратация на пациента и проследяване на бъбречната функция.</w:t>
      </w:r>
    </w:p>
    <w:p w14:paraId="2B2A8D12" w14:textId="77777777" w:rsidR="00AB59B6" w:rsidRPr="00AB59B6" w:rsidRDefault="00AB59B6" w:rsidP="00AB59B6">
      <w:pPr>
        <w:spacing w:line="240" w:lineRule="auto"/>
        <w:rPr>
          <w:rFonts w:eastAsia="Times New Roman" w:cs="Arial"/>
          <w:i/>
          <w:iCs/>
          <w:color w:val="000000"/>
          <w:lang w:eastAsia="bg-BG"/>
        </w:rPr>
      </w:pPr>
    </w:p>
    <w:p w14:paraId="1276139C" w14:textId="436595A4"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Карбоанхидразни инхибитори (ацетазоламид)</w:t>
      </w:r>
    </w:p>
    <w:p w14:paraId="56DB0F3A"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Може да доведе до тежка ацидоза и повишена токсичност върху централната нервна система.</w:t>
      </w:r>
    </w:p>
    <w:p w14:paraId="3D215924" w14:textId="77777777" w:rsidR="00AB59B6" w:rsidRPr="00AB59B6" w:rsidRDefault="00AB59B6" w:rsidP="00AB59B6">
      <w:pPr>
        <w:spacing w:line="240" w:lineRule="auto"/>
        <w:rPr>
          <w:rFonts w:eastAsia="Times New Roman" w:cs="Arial"/>
          <w:i/>
          <w:iCs/>
          <w:color w:val="000000"/>
          <w:lang w:eastAsia="bg-BG"/>
        </w:rPr>
      </w:pPr>
    </w:p>
    <w:p w14:paraId="2CE40FD2" w14:textId="4AD088EA"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Кортикостероиди за системно приложение</w:t>
      </w:r>
    </w:p>
    <w:p w14:paraId="443FA668"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При едновременно приложение на ацетилсалицилова киселина и кортикостероиди може да се повиши рискът от гастроинтестинална улцерация и кървене (вж. точка 4.4).</w:t>
      </w:r>
    </w:p>
    <w:p w14:paraId="2FBB985A" w14:textId="77777777" w:rsidR="00AB59B6" w:rsidRPr="00AB59B6" w:rsidRDefault="00AB59B6" w:rsidP="00AB59B6">
      <w:pPr>
        <w:spacing w:line="240" w:lineRule="auto"/>
        <w:rPr>
          <w:rFonts w:eastAsia="Times New Roman" w:cs="Arial"/>
          <w:i/>
          <w:iCs/>
          <w:color w:val="000000"/>
          <w:lang w:eastAsia="bg-BG"/>
        </w:rPr>
      </w:pPr>
    </w:p>
    <w:p w14:paraId="58DFC9AF" w14:textId="3B686A1C"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 xml:space="preserve">Метотрексат (използван в дози &lt;15 </w:t>
      </w:r>
      <w:r w:rsidRPr="00AB59B6">
        <w:rPr>
          <w:rFonts w:eastAsia="Times New Roman" w:cs="Arial"/>
          <w:i/>
          <w:iCs/>
          <w:color w:val="000000"/>
          <w:lang w:val="en-US"/>
        </w:rPr>
        <w:t>mg</w:t>
      </w:r>
      <w:r w:rsidRPr="00AB59B6">
        <w:rPr>
          <w:rFonts w:eastAsia="Times New Roman" w:cs="Arial"/>
          <w:i/>
          <w:iCs/>
          <w:color w:val="000000"/>
          <w:lang w:eastAsia="bg-BG"/>
        </w:rPr>
        <w:t>/седмица):</w:t>
      </w:r>
    </w:p>
    <w:p w14:paraId="63CD2F1E" w14:textId="77777777" w:rsidR="00AB59B6" w:rsidRPr="00AB59B6" w:rsidRDefault="00AB59B6" w:rsidP="00AB59B6">
      <w:pPr>
        <w:rPr>
          <w:rFonts w:eastAsia="Times New Roman" w:cs="Arial"/>
          <w:sz w:val="24"/>
          <w:szCs w:val="24"/>
        </w:rPr>
      </w:pPr>
      <w:r w:rsidRPr="00AB59B6">
        <w:rPr>
          <w:rFonts w:eastAsia="Times New Roman" w:cs="Arial"/>
          <w:color w:val="000000"/>
          <w:lang w:eastAsia="bg-BG"/>
        </w:rPr>
        <w:t>При комбинирането на метотрексат и ацетилсалицилова киселина може да се увеличи хематологична токсичност на метотрексат, поради намаляване на бъбречния клирънс на метотрексат от ацетилсалициловата киселина. По време на първите седмици от лечението с</w:t>
      </w:r>
      <w:r w:rsidRPr="00AB59B6">
        <w:rPr>
          <w:rFonts w:eastAsia="Times New Roman" w:cs="Arial"/>
          <w:color w:val="000000"/>
          <w:lang w:val="ru-RU" w:eastAsia="bg-BG"/>
        </w:rPr>
        <w:t xml:space="preserve"> </w:t>
      </w:r>
      <w:r w:rsidRPr="00AB59B6">
        <w:rPr>
          <w:rFonts w:eastAsia="Times New Roman" w:cs="Arial"/>
          <w:color w:val="000000"/>
          <w:lang w:eastAsia="bg-BG"/>
        </w:rPr>
        <w:t>комбинацията трябва да се провеждат ежеседмични проверки на кръвната картина. При наличието на дори слабо нарушена бъбречна функция, както и при пациенти в старческа възраст трябва да се проведе засилено наблюдение.</w:t>
      </w:r>
    </w:p>
    <w:p w14:paraId="7A0A2A88" w14:textId="77777777" w:rsidR="00AB59B6" w:rsidRPr="00AB59B6" w:rsidRDefault="00AB59B6" w:rsidP="00AB59B6">
      <w:pPr>
        <w:spacing w:line="240" w:lineRule="auto"/>
        <w:rPr>
          <w:rFonts w:eastAsia="Times New Roman" w:cs="Arial"/>
          <w:i/>
          <w:iCs/>
          <w:color w:val="000000"/>
          <w:lang w:eastAsia="bg-BG"/>
        </w:rPr>
      </w:pPr>
    </w:p>
    <w:p w14:paraId="51957CE5" w14:textId="217E0172"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Други НСПВС</w:t>
      </w:r>
    </w:p>
    <w:p w14:paraId="6EE545B7"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Повишен риск от гастроинтестинални улцерации и кървене поради синергични ефекти.</w:t>
      </w:r>
    </w:p>
    <w:p w14:paraId="12D8C804" w14:textId="77777777" w:rsidR="00AB59B6" w:rsidRPr="00AB59B6" w:rsidRDefault="00AB59B6" w:rsidP="00AB59B6">
      <w:pPr>
        <w:spacing w:line="240" w:lineRule="auto"/>
        <w:rPr>
          <w:rFonts w:eastAsia="Times New Roman" w:cs="Arial"/>
          <w:i/>
          <w:iCs/>
          <w:color w:val="000000"/>
          <w:lang w:eastAsia="bg-BG"/>
        </w:rPr>
      </w:pPr>
    </w:p>
    <w:p w14:paraId="6CB0663A" w14:textId="34AAADC2"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Циклоспорин, такролимус</w:t>
      </w:r>
    </w:p>
    <w:p w14:paraId="464EBCE0"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Едновременната употреба на НСПВС и циклоспорин или такролимус може да увеличи нефротоксичния ефект на циклоспорин и такролимус. В случай на едновременна употреба на тези средства и ацетилсалицилова киселина бъбречната функция трябва да се наблюдава.</w:t>
      </w:r>
    </w:p>
    <w:p w14:paraId="214A2643" w14:textId="77777777" w:rsidR="00AB59B6" w:rsidRPr="00AB59B6" w:rsidRDefault="00AB59B6" w:rsidP="00AB59B6">
      <w:pPr>
        <w:spacing w:line="240" w:lineRule="auto"/>
        <w:rPr>
          <w:rFonts w:eastAsia="Times New Roman" w:cs="Arial"/>
          <w:i/>
          <w:iCs/>
          <w:color w:val="000000"/>
          <w:lang w:eastAsia="bg-BG"/>
        </w:rPr>
      </w:pPr>
    </w:p>
    <w:p w14:paraId="55B0B650" w14:textId="45747F73"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Валпроат</w:t>
      </w:r>
    </w:p>
    <w:p w14:paraId="774F0C33"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може да намали свързването на валпроат със серумния албумин, и по този начин да увеличи свободните му плазмени концентрации в равновесно състояние.</w:t>
      </w:r>
    </w:p>
    <w:p w14:paraId="02FD2B58" w14:textId="77777777" w:rsidR="00AB59B6" w:rsidRPr="00AB59B6" w:rsidRDefault="00AB59B6" w:rsidP="00AB59B6">
      <w:pPr>
        <w:spacing w:line="240" w:lineRule="auto"/>
        <w:rPr>
          <w:rFonts w:eastAsia="Times New Roman" w:cs="Arial"/>
          <w:i/>
          <w:iCs/>
          <w:color w:val="000000"/>
          <w:lang w:eastAsia="bg-BG"/>
        </w:rPr>
      </w:pPr>
    </w:p>
    <w:p w14:paraId="2E940B5F" w14:textId="0B276FEA"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Фенитоин</w:t>
      </w:r>
    </w:p>
    <w:p w14:paraId="0085055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Салицилатите намаляват свързването на фенитоин с плазмения албумин. Това може да доведе до понижаване на общите плазмени концентрации на фенитоин, но се увеличава свободната фракция на фенитоин. Несвързаната концентрация, следователно и терапевтичният ефект изглежда не са значително променени.</w:t>
      </w:r>
    </w:p>
    <w:p w14:paraId="5817265C" w14:textId="77777777" w:rsidR="00AB59B6" w:rsidRPr="00AB59B6" w:rsidRDefault="00AB59B6" w:rsidP="00AB59B6">
      <w:pPr>
        <w:spacing w:line="240" w:lineRule="auto"/>
        <w:rPr>
          <w:rFonts w:eastAsia="Times New Roman" w:cs="Arial"/>
          <w:i/>
          <w:iCs/>
          <w:color w:val="000000"/>
          <w:lang w:eastAsia="bg-BG"/>
        </w:rPr>
      </w:pPr>
    </w:p>
    <w:p w14:paraId="0A29CB0C" w14:textId="60D7F677"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Алкохол</w:t>
      </w:r>
    </w:p>
    <w:p w14:paraId="005F3DF1"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Едновременното приложение на алкохол и ацетилсалицилова киселина увеличава риска от стомашно-чревно кървене.</w:t>
      </w:r>
    </w:p>
    <w:p w14:paraId="0FCB0AAC" w14:textId="28E4B6B1" w:rsidR="00AB59B6" w:rsidRPr="00AB59B6" w:rsidRDefault="00AB59B6" w:rsidP="00AB59B6"/>
    <w:p w14:paraId="6EADE4D6" w14:textId="6897172C" w:rsidR="00395555" w:rsidRDefault="002C50EE" w:rsidP="008A6AF2">
      <w:pPr>
        <w:pStyle w:val="Heading2"/>
      </w:pPr>
      <w:r>
        <w:t>4.6. Фертилитет, бременност и кърмене</w:t>
      </w:r>
    </w:p>
    <w:p w14:paraId="0760D54C" w14:textId="28E3692D" w:rsidR="00AB59B6" w:rsidRDefault="00AB59B6" w:rsidP="00AB59B6"/>
    <w:p w14:paraId="7B1250DD" w14:textId="77777777" w:rsidR="00AB59B6" w:rsidRPr="00AB59B6" w:rsidRDefault="00AB59B6" w:rsidP="00AB59B6">
      <w:pPr>
        <w:pStyle w:val="Heading3"/>
        <w:rPr>
          <w:rFonts w:eastAsia="Times New Roman"/>
          <w:u w:val="single"/>
        </w:rPr>
      </w:pPr>
      <w:r w:rsidRPr="00AB59B6">
        <w:rPr>
          <w:rFonts w:eastAsia="Times New Roman"/>
          <w:u w:val="single"/>
          <w:lang w:eastAsia="bg-BG"/>
        </w:rPr>
        <w:t>Бременност</w:t>
      </w:r>
    </w:p>
    <w:p w14:paraId="6FA921F6" w14:textId="77777777" w:rsidR="00AB59B6" w:rsidRPr="00AB59B6" w:rsidRDefault="00AB59B6" w:rsidP="00AB59B6">
      <w:pPr>
        <w:spacing w:line="240" w:lineRule="auto"/>
        <w:rPr>
          <w:rFonts w:eastAsia="Times New Roman" w:cs="Arial"/>
          <w:i/>
          <w:iCs/>
          <w:color w:val="000000"/>
          <w:lang w:eastAsia="bg-BG"/>
        </w:rPr>
      </w:pPr>
    </w:p>
    <w:p w14:paraId="08B534B6" w14:textId="4AEFE175" w:rsidR="00AB59B6" w:rsidRPr="00AB59B6" w:rsidRDefault="00AB59B6" w:rsidP="00AB59B6">
      <w:pPr>
        <w:spacing w:line="240" w:lineRule="auto"/>
        <w:rPr>
          <w:rFonts w:eastAsia="Times New Roman" w:cs="Arial"/>
          <w:sz w:val="24"/>
          <w:szCs w:val="24"/>
        </w:rPr>
      </w:pPr>
      <w:r w:rsidRPr="00AB59B6">
        <w:rPr>
          <w:rFonts w:eastAsia="Times New Roman" w:cs="Arial"/>
          <w:i/>
          <w:iCs/>
          <w:color w:val="000000"/>
          <w:lang w:eastAsia="bg-BG"/>
        </w:rPr>
        <w:t xml:space="preserve">Дози от 500 </w:t>
      </w:r>
      <w:r w:rsidRPr="00AB59B6">
        <w:rPr>
          <w:rFonts w:eastAsia="Times New Roman" w:cs="Arial"/>
          <w:i/>
          <w:iCs/>
          <w:color w:val="000000"/>
          <w:lang w:val="en-US"/>
        </w:rPr>
        <w:t>mg</w:t>
      </w:r>
      <w:r w:rsidRPr="00AB59B6">
        <w:rPr>
          <w:rFonts w:eastAsia="Times New Roman" w:cs="Arial"/>
          <w:i/>
          <w:iCs/>
          <w:color w:val="000000"/>
          <w:lang w:val="ru-RU"/>
        </w:rPr>
        <w:t xml:space="preserve"> </w:t>
      </w:r>
      <w:r w:rsidRPr="00AB59B6">
        <w:rPr>
          <w:rFonts w:eastAsia="Times New Roman" w:cs="Arial"/>
          <w:i/>
          <w:iCs/>
          <w:color w:val="000000"/>
          <w:lang w:eastAsia="bg-BG"/>
        </w:rPr>
        <w:t>дневно и по-високи</w:t>
      </w:r>
    </w:p>
    <w:p w14:paraId="2AB3D880"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Инхибирането на простагландиновата синтеза може да има неблагоприятно влияние върху бременността и/или ембриофеталното развитие. Данни от епидемиологични проучвания показват повишен риск от спонтанен аборт и развитие на сърдечни малформации след употреба на инхибитори на простагландиновата синтеза в ранните месеци на бременността. Абсолютният риск за развитие на сърдечносъдови малформации нараства от по-малко от 1% до около 1,5%. Счита се, че рискът се увеличава с повишаване на дозата и продължителността на лечение. При животни, прилагането на инхибитори на простагландиновата синтеза може да доведе до пре- и пост-имплантационни загуби и до ембриофетален леталитет. В допълнение при животни, получили инхибитори на простагландиновата синтеза в периода на органогенеза, се наблюдават по-често случаи на различни малформации, включително сърдечносъдови. Ацетилсалицилова киселина не трябва да се прилага по време на първия и втория триместър на бременността, освен в случай на категорична необходимост.</w:t>
      </w:r>
    </w:p>
    <w:p w14:paraId="50856AAF"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Ако ацетилсалициловата киселина се прилага при жени, които се опитват да забременеят, или по време на първия и втория триместър от бременността, дозите трябва да са възможно най- ниски и продължителността на употреба възможно най-кратка.</w:t>
      </w:r>
    </w:p>
    <w:p w14:paraId="054F36A4" w14:textId="77777777" w:rsidR="00AB59B6" w:rsidRPr="00AB59B6" w:rsidRDefault="00AB59B6" w:rsidP="00AB59B6">
      <w:pPr>
        <w:spacing w:line="240" w:lineRule="auto"/>
        <w:rPr>
          <w:rFonts w:eastAsia="Times New Roman" w:cs="Arial"/>
          <w:color w:val="000000"/>
          <w:lang w:eastAsia="bg-BG"/>
        </w:rPr>
      </w:pPr>
    </w:p>
    <w:p w14:paraId="295AA0A7" w14:textId="0FE9542F"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По време на третия триместър на бременността, всички инхибитори на простагландиновата синтеза могат да изложат фетуса на:</w:t>
      </w:r>
    </w:p>
    <w:p w14:paraId="76DC75EA" w14:textId="77777777" w:rsidR="00AB59B6" w:rsidRDefault="00AB59B6" w:rsidP="00AB59B6">
      <w:pPr>
        <w:pStyle w:val="ListParagraph"/>
        <w:numPr>
          <w:ilvl w:val="0"/>
          <w:numId w:val="34"/>
        </w:numPr>
        <w:spacing w:line="240" w:lineRule="auto"/>
        <w:rPr>
          <w:rFonts w:eastAsia="Times New Roman" w:cs="Arial"/>
          <w:color w:val="000000"/>
          <w:lang w:eastAsia="bg-BG"/>
        </w:rPr>
      </w:pPr>
      <w:r w:rsidRPr="00AB59B6">
        <w:rPr>
          <w:rFonts w:eastAsia="Times New Roman" w:cs="Arial"/>
          <w:color w:val="000000"/>
          <w:lang w:eastAsia="bg-BG"/>
        </w:rPr>
        <w:t xml:space="preserve">кардиопулмонална токсичност (с преждевременно затваряне на </w:t>
      </w:r>
      <w:r w:rsidRPr="00AB59B6">
        <w:rPr>
          <w:rFonts w:eastAsia="Times New Roman" w:cs="Arial"/>
          <w:color w:val="000000"/>
          <w:lang w:val="en-US"/>
        </w:rPr>
        <w:t>ductus</w:t>
      </w:r>
      <w:r w:rsidRPr="00AB59B6">
        <w:rPr>
          <w:rFonts w:eastAsia="Times New Roman" w:cs="Arial"/>
          <w:color w:val="000000"/>
          <w:lang w:val="ru-RU"/>
        </w:rPr>
        <w:t xml:space="preserve"> </w:t>
      </w:r>
      <w:r w:rsidRPr="00AB59B6">
        <w:rPr>
          <w:rFonts w:eastAsia="Times New Roman" w:cs="Arial"/>
          <w:color w:val="000000"/>
          <w:lang w:val="en-US"/>
        </w:rPr>
        <w:t>arteriosus</w:t>
      </w:r>
      <w:r w:rsidRPr="00AB59B6">
        <w:rPr>
          <w:rFonts w:eastAsia="Times New Roman" w:cs="Arial"/>
          <w:color w:val="000000"/>
          <w:lang w:val="ru-RU"/>
        </w:rPr>
        <w:t xml:space="preserve"> </w:t>
      </w:r>
      <w:r w:rsidRPr="00AB59B6">
        <w:rPr>
          <w:rFonts w:eastAsia="Times New Roman" w:cs="Arial"/>
          <w:color w:val="000000"/>
          <w:lang w:eastAsia="bg-BG"/>
        </w:rPr>
        <w:t>и развитие на белодробна хипертензия);</w:t>
      </w:r>
    </w:p>
    <w:p w14:paraId="579B2AB3" w14:textId="46CB0DC7" w:rsidR="00AB59B6" w:rsidRPr="00AB59B6" w:rsidRDefault="00AB59B6" w:rsidP="00AB59B6">
      <w:pPr>
        <w:pStyle w:val="ListParagraph"/>
        <w:numPr>
          <w:ilvl w:val="0"/>
          <w:numId w:val="34"/>
        </w:numPr>
        <w:spacing w:line="240" w:lineRule="auto"/>
        <w:rPr>
          <w:rFonts w:eastAsia="Times New Roman" w:cs="Arial"/>
          <w:color w:val="000000"/>
          <w:lang w:eastAsia="bg-BG"/>
        </w:rPr>
      </w:pPr>
      <w:r w:rsidRPr="00AB59B6">
        <w:rPr>
          <w:rFonts w:eastAsia="Times New Roman" w:cs="Arial"/>
          <w:color w:val="000000"/>
          <w:lang w:eastAsia="bg-BG"/>
        </w:rPr>
        <w:t>бъбречна дисфункция, която може да прогресира до бъбречна недостатъчност с олигохидрамниоза.</w:t>
      </w:r>
    </w:p>
    <w:p w14:paraId="76C1F515" w14:textId="77777777" w:rsidR="00AB59B6" w:rsidRPr="00AB59B6" w:rsidRDefault="00AB59B6" w:rsidP="00AB59B6">
      <w:pPr>
        <w:spacing w:line="240" w:lineRule="auto"/>
        <w:rPr>
          <w:rFonts w:eastAsia="Times New Roman" w:cs="Arial"/>
          <w:sz w:val="24"/>
          <w:szCs w:val="24"/>
        </w:rPr>
      </w:pPr>
    </w:p>
    <w:p w14:paraId="09E42197"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майката и новороденото, в края на бременността на:</w:t>
      </w:r>
    </w:p>
    <w:p w14:paraId="649184A0" w14:textId="77777777" w:rsidR="00AB59B6" w:rsidRPr="00AB59B6" w:rsidRDefault="00AB59B6" w:rsidP="00AB59B6">
      <w:pPr>
        <w:pStyle w:val="ListParagraph"/>
        <w:numPr>
          <w:ilvl w:val="0"/>
          <w:numId w:val="35"/>
        </w:numPr>
        <w:spacing w:line="240" w:lineRule="auto"/>
        <w:rPr>
          <w:rFonts w:eastAsia="Times New Roman" w:cs="Arial"/>
          <w:color w:val="000000"/>
          <w:lang w:eastAsia="bg-BG"/>
        </w:rPr>
      </w:pPr>
      <w:r w:rsidRPr="00AB59B6">
        <w:rPr>
          <w:rFonts w:eastAsia="Times New Roman" w:cs="Arial"/>
          <w:color w:val="000000"/>
          <w:lang w:eastAsia="bg-BG"/>
        </w:rPr>
        <w:t>възможно удължаване на времето на кървене, антиагрегантен ефект, който може да се прояви дори при много ниски дози;</w:t>
      </w:r>
    </w:p>
    <w:p w14:paraId="3D99D0F5" w14:textId="77777777" w:rsidR="00AB59B6" w:rsidRPr="00AB59B6" w:rsidRDefault="00AB59B6" w:rsidP="00AB59B6">
      <w:pPr>
        <w:pStyle w:val="ListParagraph"/>
        <w:numPr>
          <w:ilvl w:val="0"/>
          <w:numId w:val="35"/>
        </w:numPr>
        <w:spacing w:line="240" w:lineRule="auto"/>
        <w:rPr>
          <w:rFonts w:eastAsia="Times New Roman" w:cs="Arial"/>
          <w:color w:val="000000"/>
          <w:lang w:eastAsia="bg-BG"/>
        </w:rPr>
      </w:pPr>
      <w:r w:rsidRPr="00AB59B6">
        <w:rPr>
          <w:rFonts w:eastAsia="Times New Roman" w:cs="Arial"/>
          <w:color w:val="000000"/>
          <w:lang w:eastAsia="bg-BG"/>
        </w:rPr>
        <w:lastRenderedPageBreak/>
        <w:t>потискане на маточните контракции, което може да забави или удължи процеса на раждане.</w:t>
      </w:r>
    </w:p>
    <w:p w14:paraId="453F7CE2" w14:textId="77777777" w:rsidR="00AB59B6" w:rsidRPr="00AB59B6" w:rsidRDefault="00AB59B6" w:rsidP="00AB59B6">
      <w:pPr>
        <w:spacing w:line="240" w:lineRule="auto"/>
        <w:rPr>
          <w:rFonts w:eastAsia="Times New Roman" w:cs="Arial"/>
          <w:color w:val="000000"/>
          <w:lang w:eastAsia="bg-BG"/>
        </w:rPr>
      </w:pPr>
    </w:p>
    <w:p w14:paraId="50F210E2" w14:textId="6FD47954"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Следователно употребата на ацетилсалицилова киселина в дневни дози от 100 </w:t>
      </w:r>
      <w:r w:rsidRPr="00AB59B6">
        <w:rPr>
          <w:rFonts w:eastAsia="Times New Roman" w:cs="Arial"/>
          <w:color w:val="000000"/>
          <w:lang w:val="en-US"/>
        </w:rPr>
        <w:t>mg</w:t>
      </w:r>
      <w:r w:rsidRPr="00AB59B6">
        <w:rPr>
          <w:rFonts w:eastAsia="Times New Roman" w:cs="Arial"/>
          <w:color w:val="000000"/>
          <w:lang w:val="ru-RU"/>
        </w:rPr>
        <w:t xml:space="preserve"> </w:t>
      </w:r>
      <w:r w:rsidRPr="00AB59B6">
        <w:rPr>
          <w:rFonts w:eastAsia="Times New Roman" w:cs="Arial"/>
          <w:color w:val="000000"/>
          <w:lang w:eastAsia="bg-BG"/>
        </w:rPr>
        <w:t>и по-високи по време на третия триместър на бременността е противопоказана.</w:t>
      </w:r>
    </w:p>
    <w:p w14:paraId="45E4A681" w14:textId="77777777" w:rsidR="00AB59B6" w:rsidRPr="00AB59B6" w:rsidRDefault="00AB59B6" w:rsidP="00AB59B6">
      <w:pPr>
        <w:spacing w:line="240" w:lineRule="auto"/>
        <w:rPr>
          <w:rFonts w:eastAsia="Times New Roman" w:cs="Arial"/>
          <w:color w:val="000000"/>
          <w:u w:val="single"/>
          <w:lang w:eastAsia="bg-BG"/>
        </w:rPr>
      </w:pPr>
    </w:p>
    <w:p w14:paraId="717E8BAF" w14:textId="161BDC71" w:rsidR="00AB59B6" w:rsidRPr="00AB59B6" w:rsidRDefault="00AB59B6" w:rsidP="00AB59B6">
      <w:pPr>
        <w:pStyle w:val="Heading3"/>
        <w:rPr>
          <w:rFonts w:eastAsia="Times New Roman"/>
          <w:u w:val="single"/>
        </w:rPr>
      </w:pPr>
      <w:r w:rsidRPr="00AB59B6">
        <w:rPr>
          <w:rFonts w:eastAsia="Times New Roman"/>
          <w:u w:val="single"/>
          <w:lang w:eastAsia="bg-BG"/>
        </w:rPr>
        <w:t>Кърмене</w:t>
      </w:r>
    </w:p>
    <w:p w14:paraId="3746AF67" w14:textId="1D48C597" w:rsidR="00AB59B6" w:rsidRDefault="00AB59B6" w:rsidP="00AB59B6">
      <w:pPr>
        <w:rPr>
          <w:rFonts w:eastAsia="Times New Roman" w:cs="Arial"/>
          <w:color w:val="000000"/>
          <w:lang w:eastAsia="bg-BG"/>
        </w:rPr>
      </w:pPr>
      <w:r w:rsidRPr="00AB59B6">
        <w:rPr>
          <w:rFonts w:eastAsia="Times New Roman" w:cs="Arial"/>
          <w:color w:val="000000"/>
          <w:lang w:eastAsia="bg-BG"/>
        </w:rPr>
        <w:t>Салицилатите и техните метаболити се екскретират в кърмата в малки количества. Тъй като до сега не са наблюдавани нежелани лекарствени реакции у новороденото краткосрочната употреба в препоръчваните дози не изисква прекратяване на кърменето. При продължителна употреба и/или прилагане на по-високи дози кърменето трябва да се преустанови.</w:t>
      </w:r>
    </w:p>
    <w:p w14:paraId="0BD0F31F" w14:textId="77777777" w:rsidR="00AB59B6" w:rsidRPr="00AB59B6" w:rsidRDefault="00AB59B6" w:rsidP="00AB59B6">
      <w:pPr>
        <w:rPr>
          <w:rFonts w:cs="Arial"/>
        </w:rPr>
      </w:pPr>
    </w:p>
    <w:p w14:paraId="5766770B" w14:textId="6A0BA7C1" w:rsidR="00395555" w:rsidRDefault="002C50EE" w:rsidP="008A6AF2">
      <w:pPr>
        <w:pStyle w:val="Heading2"/>
      </w:pPr>
      <w:r>
        <w:t>4.7. Ефекти върху способността за шофиране и работа с машини</w:t>
      </w:r>
    </w:p>
    <w:p w14:paraId="5C2F797E" w14:textId="2454C392" w:rsidR="00AB59B6" w:rsidRDefault="00AB59B6" w:rsidP="00AB59B6"/>
    <w:p w14:paraId="4494A317" w14:textId="77777777" w:rsidR="00AB59B6" w:rsidRPr="00AB59B6" w:rsidRDefault="00AB59B6" w:rsidP="00AB59B6">
      <w:pPr>
        <w:rPr>
          <w:sz w:val="24"/>
          <w:szCs w:val="24"/>
        </w:rPr>
      </w:pPr>
      <w:r w:rsidRPr="00AB59B6">
        <w:rPr>
          <w:lang w:eastAsia="bg-BG"/>
        </w:rPr>
        <w:t>Не са проведени проучвания за ефектите на ацетилсалициловата киселина върху способността за шофиране и работа с машини.</w:t>
      </w:r>
    </w:p>
    <w:p w14:paraId="15418B71" w14:textId="77777777" w:rsidR="00AB59B6" w:rsidRPr="00AB59B6" w:rsidRDefault="00AB59B6" w:rsidP="00AB59B6">
      <w:pPr>
        <w:rPr>
          <w:sz w:val="24"/>
          <w:szCs w:val="24"/>
        </w:rPr>
      </w:pPr>
      <w:r w:rsidRPr="00AB59B6">
        <w:rPr>
          <w:lang w:eastAsia="bg-BG"/>
        </w:rPr>
        <w:t>Като се имат предвид фармакодинамичните свойства и нежеланите лекарствени реакции на ацетилсалициловата киселина не се очаква влияние върху реактивността и способността за шофиране и работа с машини.</w:t>
      </w:r>
    </w:p>
    <w:p w14:paraId="62DF87FC" w14:textId="77777777" w:rsidR="00AB59B6" w:rsidRPr="00AB59B6" w:rsidRDefault="00AB59B6" w:rsidP="00AB59B6"/>
    <w:p w14:paraId="4FE16E21" w14:textId="0E8F189D" w:rsidR="00395555" w:rsidRDefault="002C50EE" w:rsidP="008A6AF2">
      <w:pPr>
        <w:pStyle w:val="Heading2"/>
      </w:pPr>
      <w:r>
        <w:t>4.8. Нежелани лекарствени реакции</w:t>
      </w:r>
    </w:p>
    <w:p w14:paraId="22AFF91B" w14:textId="53F451E1" w:rsidR="00AB59B6" w:rsidRDefault="00AB59B6" w:rsidP="00AB59B6"/>
    <w:p w14:paraId="364ED6CE" w14:textId="77777777" w:rsidR="00AB59B6" w:rsidRPr="00AB59B6" w:rsidRDefault="00AB59B6" w:rsidP="00AB59B6">
      <w:pPr>
        <w:spacing w:line="240" w:lineRule="auto"/>
        <w:rPr>
          <w:rFonts w:ascii="Times New Roman" w:eastAsia="Times New Roman" w:hAnsi="Times New Roman" w:cs="Times New Roman"/>
          <w:sz w:val="24"/>
          <w:szCs w:val="24"/>
        </w:rPr>
      </w:pPr>
      <w:r w:rsidRPr="00AB59B6">
        <w:rPr>
          <w:rFonts w:ascii="Times New Roman" w:eastAsia="Times New Roman" w:hAnsi="Times New Roman" w:cs="Times New Roman"/>
          <w:color w:val="000000"/>
          <w:lang w:eastAsia="bg-BG"/>
        </w:rPr>
        <w:t>Нежеланите лекарствени реакции са групирани по системо-органни класове. В рамките на системо-органните класове честотата е определена като: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5EF6131B" w14:textId="09937149" w:rsidR="00AB59B6" w:rsidRDefault="00AB59B6" w:rsidP="00AB59B6"/>
    <w:tbl>
      <w:tblPr>
        <w:tblStyle w:val="TableGrid"/>
        <w:tblW w:w="0" w:type="auto"/>
        <w:tblLook w:val="04A0" w:firstRow="1" w:lastRow="0" w:firstColumn="1" w:lastColumn="0" w:noHBand="0" w:noVBand="1"/>
      </w:tblPr>
      <w:tblGrid>
        <w:gridCol w:w="4679"/>
        <w:gridCol w:w="4671"/>
      </w:tblGrid>
      <w:tr w:rsidR="00AB59B6" w14:paraId="381DE27E" w14:textId="77777777" w:rsidTr="00871D64">
        <w:tc>
          <w:tcPr>
            <w:tcW w:w="4788" w:type="dxa"/>
          </w:tcPr>
          <w:p w14:paraId="64DB4524" w14:textId="4A5E7C20" w:rsidR="00AB59B6" w:rsidRDefault="00AB59B6" w:rsidP="00AB59B6">
            <w:r>
              <w:rPr>
                <w:b/>
                <w:bCs/>
              </w:rPr>
              <w:t>Нарушения на кръвта и лимфната система</w:t>
            </w:r>
          </w:p>
        </w:tc>
        <w:tc>
          <w:tcPr>
            <w:tcW w:w="4788" w:type="dxa"/>
            <w:vAlign w:val="bottom"/>
          </w:tcPr>
          <w:p w14:paraId="3825BAE3" w14:textId="4A3AFADC" w:rsidR="00AB59B6" w:rsidRDefault="00AB59B6" w:rsidP="00AB59B6">
            <w:r>
              <w:rPr>
                <w:i/>
                <w:iCs/>
              </w:rPr>
              <w:t>Чести:</w:t>
            </w:r>
            <w:r w:rsidRPr="00AB59B6">
              <w:rPr>
                <w:lang w:val="ru-RU"/>
              </w:rPr>
              <w:t xml:space="preserve"> </w:t>
            </w:r>
            <w:r>
              <w:t>Повишена склонност към кървене.</w:t>
            </w:r>
          </w:p>
          <w:p w14:paraId="24CDBFFA" w14:textId="32854B1B" w:rsidR="00AB59B6" w:rsidRDefault="00AB59B6" w:rsidP="00AB59B6">
            <w:r>
              <w:rPr>
                <w:i/>
                <w:iCs/>
              </w:rPr>
              <w:t>Редки:</w:t>
            </w:r>
            <w:r w:rsidRPr="00AB59B6">
              <w:rPr>
                <w:lang w:val="ru-RU"/>
              </w:rPr>
              <w:t xml:space="preserve"> </w:t>
            </w:r>
            <w:r>
              <w:t>Тромбоцитопения, агранулоцитоза, апластична анемия.</w:t>
            </w:r>
          </w:p>
          <w:p w14:paraId="044AA3EE" w14:textId="77777777" w:rsidR="00AB59B6" w:rsidRDefault="00AB59B6" w:rsidP="00AB59B6">
            <w:r>
              <w:t xml:space="preserve">С </w:t>
            </w:r>
            <w:r>
              <w:rPr>
                <w:i/>
                <w:iCs/>
              </w:rPr>
              <w:t>неизвестна честота:</w:t>
            </w:r>
          </w:p>
          <w:p w14:paraId="3E7F873A" w14:textId="77777777" w:rsidR="00AB59B6" w:rsidRDefault="00AB59B6" w:rsidP="00AB59B6">
            <w:r>
              <w:t>Случаи на кървене с удължено време на кървене като епистаксис, кървене от венците. Симптомите могат да персистират за период от 4-8 дни след прекратяване на лечението с ацетилсалицилова киселина. В следствие на това може да има повишен риск от кървене по време на хирургични процедури.</w:t>
            </w:r>
          </w:p>
          <w:p w14:paraId="4AF87143" w14:textId="3D738487" w:rsidR="00AB59B6" w:rsidRDefault="00AB59B6" w:rsidP="00AB59B6">
            <w:r>
              <w:t>Съществуващо (хематемеза, мелена) или окултно стомашно-чревно кървене могат да доведат до желязодефицитна анемия (по-често при по-високи дози).</w:t>
            </w:r>
          </w:p>
        </w:tc>
      </w:tr>
      <w:tr w:rsidR="00AB59B6" w14:paraId="3DAB79D5" w14:textId="77777777" w:rsidTr="00871D64">
        <w:tc>
          <w:tcPr>
            <w:tcW w:w="4788" w:type="dxa"/>
          </w:tcPr>
          <w:p w14:paraId="6D86DCBA" w14:textId="13AFFB53" w:rsidR="00AB59B6" w:rsidRDefault="00AB59B6" w:rsidP="00AB59B6">
            <w:r>
              <w:rPr>
                <w:b/>
                <w:bCs/>
              </w:rPr>
              <w:t>Нарушения на имунната система</w:t>
            </w:r>
          </w:p>
        </w:tc>
        <w:tc>
          <w:tcPr>
            <w:tcW w:w="4788" w:type="dxa"/>
            <w:vAlign w:val="bottom"/>
          </w:tcPr>
          <w:p w14:paraId="69CECD6B" w14:textId="339D751A" w:rsidR="00AB59B6" w:rsidRDefault="00AB59B6" w:rsidP="00AB59B6">
            <w:r>
              <w:rPr>
                <w:i/>
                <w:iCs/>
              </w:rPr>
              <w:t>Редки:</w:t>
            </w:r>
            <w:r w:rsidRPr="00AB59B6">
              <w:rPr>
                <w:lang w:val="ru-RU"/>
              </w:rPr>
              <w:t xml:space="preserve"> </w:t>
            </w:r>
            <w:r>
              <w:t xml:space="preserve">Реакции на свръхчувствителност, ангиоедем, алергичен оток, </w:t>
            </w:r>
            <w:r>
              <w:lastRenderedPageBreak/>
              <w:t>анафилактични реакции, включително шок.</w:t>
            </w:r>
          </w:p>
        </w:tc>
      </w:tr>
      <w:tr w:rsidR="00AB59B6" w14:paraId="370427BE" w14:textId="77777777" w:rsidTr="00871D64">
        <w:tc>
          <w:tcPr>
            <w:tcW w:w="4788" w:type="dxa"/>
            <w:vAlign w:val="bottom"/>
          </w:tcPr>
          <w:p w14:paraId="766DB2CC" w14:textId="54DF4350" w:rsidR="00AB59B6" w:rsidRDefault="00AB59B6" w:rsidP="00AB59B6">
            <w:r>
              <w:rPr>
                <w:b/>
                <w:bCs/>
              </w:rPr>
              <w:lastRenderedPageBreak/>
              <w:t>Нарушения на метаболизма и храненето</w:t>
            </w:r>
          </w:p>
        </w:tc>
        <w:tc>
          <w:tcPr>
            <w:tcW w:w="4788" w:type="dxa"/>
          </w:tcPr>
          <w:p w14:paraId="697134D1" w14:textId="1426376C" w:rsidR="00AB59B6" w:rsidRDefault="00AB59B6" w:rsidP="00AB59B6">
            <w:r>
              <w:t xml:space="preserve">С </w:t>
            </w:r>
            <w:r>
              <w:rPr>
                <w:i/>
                <w:iCs/>
              </w:rPr>
              <w:t xml:space="preserve">неизвестна честота: </w:t>
            </w:r>
            <w:r>
              <w:t>Хиперурикемия.</w:t>
            </w:r>
          </w:p>
        </w:tc>
      </w:tr>
      <w:tr w:rsidR="00AB59B6" w14:paraId="6382EB50" w14:textId="77777777" w:rsidTr="00871D64">
        <w:tc>
          <w:tcPr>
            <w:tcW w:w="4788" w:type="dxa"/>
          </w:tcPr>
          <w:p w14:paraId="35757A7E" w14:textId="1928D82B" w:rsidR="00AB59B6" w:rsidRDefault="00AB59B6" w:rsidP="00AB59B6">
            <w:r>
              <w:rPr>
                <w:b/>
                <w:bCs/>
              </w:rPr>
              <w:t>Нарушения на нервната система</w:t>
            </w:r>
          </w:p>
        </w:tc>
        <w:tc>
          <w:tcPr>
            <w:tcW w:w="4788" w:type="dxa"/>
            <w:vAlign w:val="bottom"/>
          </w:tcPr>
          <w:p w14:paraId="5B0962DD" w14:textId="78830396" w:rsidR="00AB59B6" w:rsidRDefault="00AB59B6" w:rsidP="00AB59B6">
            <w:r>
              <w:rPr>
                <w:i/>
                <w:iCs/>
              </w:rPr>
              <w:t>Редки:</w:t>
            </w:r>
            <w:r>
              <w:rPr>
                <w:lang w:val="en-US"/>
              </w:rPr>
              <w:t xml:space="preserve"> </w:t>
            </w:r>
            <w:r>
              <w:t>Интракраниална хеморагия</w:t>
            </w:r>
          </w:p>
          <w:p w14:paraId="76E8FEC6" w14:textId="12229127" w:rsidR="00AB59B6" w:rsidRDefault="00AB59B6" w:rsidP="00AB59B6">
            <w:r>
              <w:t xml:space="preserve">С </w:t>
            </w:r>
            <w:r>
              <w:rPr>
                <w:i/>
                <w:iCs/>
              </w:rPr>
              <w:t xml:space="preserve">неизвестна честота: </w:t>
            </w:r>
            <w:r>
              <w:t>Главоболие, вертиго.</w:t>
            </w:r>
          </w:p>
        </w:tc>
      </w:tr>
      <w:tr w:rsidR="00AB59B6" w14:paraId="12CC03D1" w14:textId="77777777" w:rsidTr="00AB59B6">
        <w:tc>
          <w:tcPr>
            <w:tcW w:w="4788" w:type="dxa"/>
          </w:tcPr>
          <w:p w14:paraId="308A3FCB" w14:textId="2BBFCD59" w:rsidR="00AB59B6" w:rsidRDefault="00AB59B6" w:rsidP="00AB59B6">
            <w:r>
              <w:rPr>
                <w:b/>
                <w:bCs/>
              </w:rPr>
              <w:t>Нарушения на ухото и лабиринта</w:t>
            </w:r>
          </w:p>
        </w:tc>
        <w:tc>
          <w:tcPr>
            <w:tcW w:w="4788" w:type="dxa"/>
          </w:tcPr>
          <w:p w14:paraId="42BE1F85" w14:textId="5A4438DC" w:rsidR="00AB59B6" w:rsidRDefault="00AB59B6" w:rsidP="00AB59B6">
            <w:r>
              <w:t xml:space="preserve">С </w:t>
            </w:r>
            <w:r>
              <w:rPr>
                <w:i/>
                <w:iCs/>
              </w:rPr>
              <w:t>неизвестна честота:</w:t>
            </w:r>
            <w:r w:rsidRPr="00AB59B6">
              <w:rPr>
                <w:lang w:val="ru-RU"/>
              </w:rPr>
              <w:t xml:space="preserve"> </w:t>
            </w:r>
            <w:r>
              <w:t>Отслабване на слуха, тинитус.</w:t>
            </w:r>
          </w:p>
        </w:tc>
      </w:tr>
      <w:tr w:rsidR="00AB59B6" w14:paraId="6BA1FF82" w14:textId="77777777" w:rsidTr="00AB59B6">
        <w:tc>
          <w:tcPr>
            <w:tcW w:w="4788" w:type="dxa"/>
          </w:tcPr>
          <w:p w14:paraId="37BB1BE1" w14:textId="40880403" w:rsidR="00AB59B6" w:rsidRDefault="00AB59B6" w:rsidP="00AB59B6">
            <w:r>
              <w:rPr>
                <w:b/>
                <w:bCs/>
              </w:rPr>
              <w:t>Съдови нарушения</w:t>
            </w:r>
          </w:p>
        </w:tc>
        <w:tc>
          <w:tcPr>
            <w:tcW w:w="4788" w:type="dxa"/>
          </w:tcPr>
          <w:p w14:paraId="20294DFF" w14:textId="5AD586DE" w:rsidR="00AB59B6" w:rsidRDefault="00AB59B6" w:rsidP="00AB59B6">
            <w:r>
              <w:rPr>
                <w:i/>
                <w:iCs/>
              </w:rPr>
              <w:t>Редки:</w:t>
            </w:r>
            <w:r>
              <w:t>Хеморагичен васкулит.</w:t>
            </w:r>
          </w:p>
        </w:tc>
      </w:tr>
      <w:tr w:rsidR="00AB59B6" w14:paraId="58A9EFE2" w14:textId="77777777" w:rsidTr="00AB59B6">
        <w:tc>
          <w:tcPr>
            <w:tcW w:w="4788" w:type="dxa"/>
          </w:tcPr>
          <w:p w14:paraId="40D41031" w14:textId="3CD62EA8" w:rsidR="00AB59B6" w:rsidRDefault="00AB59B6" w:rsidP="00AB59B6">
            <w:r>
              <w:rPr>
                <w:b/>
                <w:bCs/>
              </w:rPr>
              <w:t>Респираторни,гръдни и медиастинални нарушения</w:t>
            </w:r>
          </w:p>
        </w:tc>
        <w:tc>
          <w:tcPr>
            <w:tcW w:w="4788" w:type="dxa"/>
          </w:tcPr>
          <w:p w14:paraId="530E082A" w14:textId="229C827C" w:rsidR="00AB59B6" w:rsidRDefault="00AB59B6" w:rsidP="00AB59B6">
            <w:r>
              <w:rPr>
                <w:i/>
                <w:iCs/>
              </w:rPr>
              <w:t>Нечести:</w:t>
            </w:r>
            <w:r w:rsidRPr="00AB59B6">
              <w:rPr>
                <w:lang w:val="ru-RU"/>
              </w:rPr>
              <w:t xml:space="preserve"> </w:t>
            </w:r>
            <w:r>
              <w:t>Ринит, диспнея.</w:t>
            </w:r>
          </w:p>
          <w:p w14:paraId="227E0C48" w14:textId="1E0351FC" w:rsidR="00AB59B6" w:rsidRDefault="00AB59B6" w:rsidP="00AB59B6">
            <w:r>
              <w:rPr>
                <w:i/>
                <w:iCs/>
              </w:rPr>
              <w:t>Редки:</w:t>
            </w:r>
            <w:r w:rsidRPr="00AB59B6">
              <w:rPr>
                <w:lang w:val="ru-RU"/>
              </w:rPr>
              <w:t xml:space="preserve"> </w:t>
            </w:r>
            <w:r>
              <w:t>Бронхоспазъм, астматични пристъпи.</w:t>
            </w:r>
          </w:p>
        </w:tc>
      </w:tr>
      <w:tr w:rsidR="00AB59B6" w14:paraId="0F9417FD" w14:textId="77777777" w:rsidTr="00AB59B6">
        <w:tc>
          <w:tcPr>
            <w:tcW w:w="4788" w:type="dxa"/>
          </w:tcPr>
          <w:p w14:paraId="0A64A71E" w14:textId="21A46B04" w:rsidR="00AB59B6" w:rsidRDefault="00AB59B6" w:rsidP="00AB59B6">
            <w:r>
              <w:rPr>
                <w:b/>
                <w:bCs/>
              </w:rPr>
              <w:t>Нарушения на репродуктивната система и гърдата</w:t>
            </w:r>
          </w:p>
        </w:tc>
        <w:tc>
          <w:tcPr>
            <w:tcW w:w="4788" w:type="dxa"/>
          </w:tcPr>
          <w:p w14:paraId="3BAA3F7C" w14:textId="77777777" w:rsidR="00AB59B6" w:rsidRDefault="00AB59B6" w:rsidP="00AB59B6">
            <w:r>
              <w:rPr>
                <w:i/>
                <w:iCs/>
              </w:rPr>
              <w:t>Редки:</w:t>
            </w:r>
          </w:p>
          <w:p w14:paraId="526BE098" w14:textId="0D525962" w:rsidR="00AB59B6" w:rsidRDefault="00AB59B6" w:rsidP="00AB59B6">
            <w:r>
              <w:t>Менорагия</w:t>
            </w:r>
          </w:p>
        </w:tc>
      </w:tr>
      <w:tr w:rsidR="00AB59B6" w14:paraId="4979D6F0" w14:textId="77777777" w:rsidTr="00AB59B6">
        <w:tc>
          <w:tcPr>
            <w:tcW w:w="4788" w:type="dxa"/>
          </w:tcPr>
          <w:p w14:paraId="3F69068C" w14:textId="2B3BB635" w:rsidR="00AB59B6" w:rsidRDefault="00AB59B6" w:rsidP="00AB59B6">
            <w:r>
              <w:rPr>
                <w:b/>
                <w:bCs/>
              </w:rPr>
              <w:t>Стомашно-чревни нарушения</w:t>
            </w:r>
          </w:p>
        </w:tc>
        <w:tc>
          <w:tcPr>
            <w:tcW w:w="4788" w:type="dxa"/>
          </w:tcPr>
          <w:p w14:paraId="54AA814F" w14:textId="2AFAFE6E" w:rsidR="00AB59B6" w:rsidRDefault="00AB59B6" w:rsidP="00AB59B6">
            <w:r>
              <w:rPr>
                <w:i/>
                <w:iCs/>
              </w:rPr>
              <w:t>Чести:</w:t>
            </w:r>
            <w:r w:rsidRPr="00AB59B6">
              <w:rPr>
                <w:lang w:val="ru-RU"/>
              </w:rPr>
              <w:t xml:space="preserve"> </w:t>
            </w:r>
            <w:r>
              <w:t>Диспепсия.</w:t>
            </w:r>
          </w:p>
          <w:p w14:paraId="39F09ACD" w14:textId="79A086B8" w:rsidR="00AB59B6" w:rsidRDefault="00AB59B6" w:rsidP="00AB59B6">
            <w:r>
              <w:rPr>
                <w:i/>
                <w:iCs/>
              </w:rPr>
              <w:t>Редки:</w:t>
            </w:r>
            <w:r w:rsidRPr="00AB59B6">
              <w:rPr>
                <w:lang w:val="ru-RU"/>
              </w:rPr>
              <w:t xml:space="preserve"> </w:t>
            </w:r>
            <w:r>
              <w:t>Тежък стомашно-чревен кръвоизлив, гадене, повръщане.</w:t>
            </w:r>
          </w:p>
          <w:p w14:paraId="3B2D0732" w14:textId="325FBE86" w:rsidR="00AB59B6" w:rsidRDefault="00AB59B6" w:rsidP="00AB59B6">
            <w:r>
              <w:rPr>
                <w:i/>
                <w:iCs/>
              </w:rPr>
              <w:t>С неизвестна честота:</w:t>
            </w:r>
            <w:r w:rsidRPr="00AB59B6">
              <w:rPr>
                <w:lang w:val="ru-RU"/>
              </w:rPr>
              <w:t xml:space="preserve"> </w:t>
            </w:r>
            <w:r>
              <w:t>Стомашна или дуоденална язва и перфорация.</w:t>
            </w:r>
          </w:p>
        </w:tc>
      </w:tr>
      <w:tr w:rsidR="00AB59B6" w14:paraId="11BC01FA" w14:textId="77777777" w:rsidTr="00AB59B6">
        <w:tc>
          <w:tcPr>
            <w:tcW w:w="4788" w:type="dxa"/>
          </w:tcPr>
          <w:p w14:paraId="6237A3DB" w14:textId="5F1DD8FC" w:rsidR="00AB59B6" w:rsidRDefault="00AB59B6" w:rsidP="00AB59B6">
            <w:r>
              <w:rPr>
                <w:b/>
                <w:bCs/>
              </w:rPr>
              <w:t>Хепатобилиарни нарушения</w:t>
            </w:r>
          </w:p>
        </w:tc>
        <w:tc>
          <w:tcPr>
            <w:tcW w:w="4788" w:type="dxa"/>
          </w:tcPr>
          <w:p w14:paraId="0B95ED44" w14:textId="29ABDF75" w:rsidR="00AB59B6" w:rsidRDefault="00AB59B6" w:rsidP="00AB59B6">
            <w:r>
              <w:t xml:space="preserve">С </w:t>
            </w:r>
            <w:r>
              <w:rPr>
                <w:i/>
                <w:iCs/>
              </w:rPr>
              <w:t>неизвестна честота:</w:t>
            </w:r>
            <w:r w:rsidRPr="00AB59B6">
              <w:rPr>
                <w:lang w:val="ru-RU"/>
              </w:rPr>
              <w:t xml:space="preserve"> </w:t>
            </w:r>
            <w:r>
              <w:t>Чернодробна недостатъчност</w:t>
            </w:r>
          </w:p>
        </w:tc>
      </w:tr>
      <w:tr w:rsidR="00AB59B6" w14:paraId="34A32A8D" w14:textId="77777777" w:rsidTr="00AB59B6">
        <w:tc>
          <w:tcPr>
            <w:tcW w:w="4788" w:type="dxa"/>
          </w:tcPr>
          <w:p w14:paraId="74A4971A" w14:textId="1B09895F" w:rsidR="00AB59B6" w:rsidRDefault="00AB59B6" w:rsidP="00AB59B6">
            <w:r>
              <w:rPr>
                <w:b/>
                <w:bCs/>
              </w:rPr>
              <w:t>Нарушения на кожата и подкожната тъкан</w:t>
            </w:r>
          </w:p>
        </w:tc>
        <w:tc>
          <w:tcPr>
            <w:tcW w:w="4788" w:type="dxa"/>
          </w:tcPr>
          <w:p w14:paraId="72B4B5F0" w14:textId="7B5AF113" w:rsidR="00AB59B6" w:rsidRDefault="00AB59B6" w:rsidP="00AB59B6">
            <w:r>
              <w:rPr>
                <w:i/>
                <w:iCs/>
              </w:rPr>
              <w:t>Нечести:</w:t>
            </w:r>
            <w:r>
              <w:rPr>
                <w:lang w:val="en-US"/>
              </w:rPr>
              <w:t xml:space="preserve"> </w:t>
            </w:r>
            <w:r>
              <w:t>Уртикария.</w:t>
            </w:r>
          </w:p>
          <w:p w14:paraId="6945C4FE" w14:textId="33AD5D6C" w:rsidR="00AB59B6" w:rsidRDefault="00AB59B6" w:rsidP="00AB59B6">
            <w:r>
              <w:rPr>
                <w:i/>
                <w:iCs/>
              </w:rPr>
              <w:t>Редки:</w:t>
            </w:r>
            <w:r w:rsidRPr="00AB59B6">
              <w:rPr>
                <w:lang w:val="ru-RU"/>
              </w:rPr>
              <w:t xml:space="preserve"> </w:t>
            </w:r>
            <w:r>
              <w:t>Синдром на Стивънс-Джонсън, синдром на Лайъл, пурпура, еритема нодозум, еритема мултиформе.</w:t>
            </w:r>
          </w:p>
        </w:tc>
      </w:tr>
      <w:tr w:rsidR="00AB59B6" w14:paraId="1E467BE7" w14:textId="77777777" w:rsidTr="00AB59B6">
        <w:tc>
          <w:tcPr>
            <w:tcW w:w="4788" w:type="dxa"/>
          </w:tcPr>
          <w:p w14:paraId="72A43ABC" w14:textId="4AC2A0EF" w:rsidR="00AB59B6" w:rsidRDefault="00AB59B6" w:rsidP="00AB59B6">
            <w:r>
              <w:rPr>
                <w:b/>
                <w:bCs/>
              </w:rPr>
              <w:t>Нарушения на бъбреците и пикочните пътища</w:t>
            </w:r>
          </w:p>
        </w:tc>
        <w:tc>
          <w:tcPr>
            <w:tcW w:w="4788" w:type="dxa"/>
          </w:tcPr>
          <w:p w14:paraId="216E447F" w14:textId="27A4E0FE" w:rsidR="00AB59B6" w:rsidRDefault="00AB59B6" w:rsidP="00AB59B6">
            <w:r>
              <w:t xml:space="preserve">С </w:t>
            </w:r>
            <w:r>
              <w:rPr>
                <w:i/>
                <w:iCs/>
              </w:rPr>
              <w:t xml:space="preserve">неизвестна честота: </w:t>
            </w:r>
            <w:r>
              <w:t>Нарушена бъбречна функция</w:t>
            </w:r>
          </w:p>
        </w:tc>
      </w:tr>
    </w:tbl>
    <w:p w14:paraId="029BE8C8" w14:textId="77777777" w:rsidR="00AB59B6" w:rsidRDefault="00AB59B6" w:rsidP="00AB59B6">
      <w:pPr>
        <w:spacing w:line="240" w:lineRule="auto"/>
        <w:rPr>
          <w:rFonts w:eastAsia="Times New Roman" w:cs="Arial"/>
          <w:color w:val="000000"/>
          <w:u w:val="single"/>
          <w:lang w:eastAsia="bg-BG"/>
        </w:rPr>
      </w:pPr>
    </w:p>
    <w:p w14:paraId="1DC3A621" w14:textId="466A99D2" w:rsidR="00AB59B6" w:rsidRPr="00AB59B6" w:rsidRDefault="00AB59B6" w:rsidP="00AB59B6">
      <w:pPr>
        <w:spacing w:line="240" w:lineRule="auto"/>
        <w:rPr>
          <w:rFonts w:eastAsia="Times New Roman" w:cs="Arial"/>
        </w:rPr>
      </w:pPr>
      <w:r w:rsidRPr="00AB59B6">
        <w:rPr>
          <w:rFonts w:eastAsia="Times New Roman" w:cs="Arial"/>
          <w:color w:val="000000"/>
          <w:u w:val="single"/>
          <w:lang w:eastAsia="bg-BG"/>
        </w:rPr>
        <w:t>Съобщаване на подозирани нежелани реакции</w:t>
      </w:r>
    </w:p>
    <w:p w14:paraId="75C90212" w14:textId="77777777" w:rsidR="00AB59B6" w:rsidRPr="00AB59B6" w:rsidRDefault="00AB59B6" w:rsidP="00AB59B6">
      <w:pPr>
        <w:spacing w:line="240" w:lineRule="auto"/>
        <w:rPr>
          <w:rFonts w:eastAsia="Times New Roman" w:cs="Arial"/>
        </w:rPr>
      </w:pPr>
      <w:r w:rsidRPr="00AB59B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AB59B6">
        <w:rPr>
          <w:rFonts w:eastAsia="Times New Roman" w:cs="Arial"/>
        </w:rPr>
        <w:fldChar w:fldCharType="begin"/>
      </w:r>
      <w:r w:rsidRPr="00AB59B6">
        <w:rPr>
          <w:rFonts w:eastAsia="Times New Roman" w:cs="Arial"/>
        </w:rPr>
        <w:instrText xml:space="preserve"> HYPERLINK "http://www.bda.bg" </w:instrText>
      </w:r>
      <w:r w:rsidRPr="00AB59B6">
        <w:rPr>
          <w:rFonts w:eastAsia="Times New Roman" w:cs="Arial"/>
        </w:rPr>
      </w:r>
      <w:r w:rsidRPr="00AB59B6">
        <w:rPr>
          <w:rFonts w:eastAsia="Times New Roman" w:cs="Arial"/>
        </w:rPr>
        <w:fldChar w:fldCharType="separate"/>
      </w:r>
      <w:r w:rsidRPr="00AB59B6">
        <w:rPr>
          <w:rFonts w:eastAsia="Times New Roman" w:cs="Arial"/>
          <w:color w:val="000000"/>
          <w:lang w:val="en-US"/>
        </w:rPr>
        <w:t>www.bda.bg</w:t>
      </w:r>
      <w:r w:rsidRPr="00AB59B6">
        <w:rPr>
          <w:rFonts w:eastAsia="Times New Roman" w:cs="Arial"/>
        </w:rPr>
        <w:fldChar w:fldCharType="end"/>
      </w:r>
      <w:r w:rsidRPr="00AB59B6">
        <w:rPr>
          <w:rFonts w:eastAsia="Times New Roman" w:cs="Arial"/>
          <w:color w:val="000000"/>
          <w:lang w:val="en-US"/>
        </w:rPr>
        <w:t>.</w:t>
      </w:r>
    </w:p>
    <w:p w14:paraId="786DA5D4" w14:textId="77777777" w:rsidR="00AB59B6" w:rsidRPr="00AB59B6" w:rsidRDefault="00AB59B6" w:rsidP="00AB59B6"/>
    <w:p w14:paraId="4ED30546" w14:textId="323DEBD1" w:rsidR="007C605B" w:rsidRDefault="002C50EE" w:rsidP="009F1313">
      <w:pPr>
        <w:pStyle w:val="Heading2"/>
      </w:pPr>
      <w:r>
        <w:t>4.9. Предозиране</w:t>
      </w:r>
    </w:p>
    <w:p w14:paraId="468111D9" w14:textId="77777777" w:rsidR="00AB59B6" w:rsidRDefault="00AB59B6" w:rsidP="00AB59B6">
      <w:pPr>
        <w:spacing w:line="240" w:lineRule="auto"/>
        <w:rPr>
          <w:rFonts w:eastAsia="Times New Roman" w:cs="Arial"/>
          <w:color w:val="000000"/>
          <w:lang w:eastAsia="bg-BG"/>
        </w:rPr>
      </w:pPr>
    </w:p>
    <w:p w14:paraId="1CBA6B30" w14:textId="3105CC72"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Въпреки че съществуват значителни интериндивидуални вариации, може да се приеме, че токсичната доза е около 200 </w:t>
      </w:r>
      <w:r w:rsidRPr="00AB59B6">
        <w:rPr>
          <w:rFonts w:eastAsia="Times New Roman" w:cs="Arial"/>
          <w:color w:val="000000"/>
          <w:lang w:val="en-US"/>
        </w:rPr>
        <w:t>mg</w:t>
      </w:r>
      <w:r w:rsidRPr="00AB59B6">
        <w:rPr>
          <w:rFonts w:eastAsia="Times New Roman" w:cs="Arial"/>
          <w:color w:val="000000"/>
          <w:lang w:val="ru-RU"/>
        </w:rPr>
        <w:t>/</w:t>
      </w:r>
      <w:r w:rsidRPr="00AB59B6">
        <w:rPr>
          <w:rFonts w:eastAsia="Times New Roman" w:cs="Arial"/>
          <w:color w:val="000000"/>
          <w:lang w:val="en-US"/>
        </w:rPr>
        <w:t>kg</w:t>
      </w:r>
      <w:r w:rsidRPr="00AB59B6">
        <w:rPr>
          <w:rFonts w:eastAsia="Times New Roman" w:cs="Arial"/>
          <w:color w:val="000000"/>
          <w:lang w:val="ru-RU"/>
        </w:rPr>
        <w:t xml:space="preserve"> </w:t>
      </w:r>
      <w:r w:rsidRPr="00AB59B6">
        <w:rPr>
          <w:rFonts w:eastAsia="Times New Roman" w:cs="Arial"/>
          <w:color w:val="000000"/>
          <w:lang w:eastAsia="bg-BG"/>
        </w:rPr>
        <w:t xml:space="preserve">при възрастни и 100 </w:t>
      </w:r>
      <w:r w:rsidRPr="00AB59B6">
        <w:rPr>
          <w:rFonts w:eastAsia="Times New Roman" w:cs="Arial"/>
          <w:color w:val="000000"/>
          <w:lang w:val="en-US"/>
        </w:rPr>
        <w:t>mg</w:t>
      </w:r>
      <w:r w:rsidRPr="00AB59B6">
        <w:rPr>
          <w:rFonts w:eastAsia="Times New Roman" w:cs="Arial"/>
          <w:color w:val="000000"/>
          <w:lang w:val="ru-RU"/>
        </w:rPr>
        <w:t>/</w:t>
      </w:r>
      <w:r w:rsidRPr="00AB59B6">
        <w:rPr>
          <w:rFonts w:eastAsia="Times New Roman" w:cs="Arial"/>
          <w:color w:val="000000"/>
          <w:lang w:val="en-US"/>
        </w:rPr>
        <w:t>kg</w:t>
      </w:r>
      <w:r w:rsidRPr="00AB59B6">
        <w:rPr>
          <w:rFonts w:eastAsia="Times New Roman" w:cs="Arial"/>
          <w:color w:val="000000"/>
          <w:lang w:val="ru-RU"/>
        </w:rPr>
        <w:t xml:space="preserve"> </w:t>
      </w:r>
      <w:r w:rsidRPr="00AB59B6">
        <w:rPr>
          <w:rFonts w:eastAsia="Times New Roman" w:cs="Arial"/>
          <w:color w:val="000000"/>
          <w:lang w:eastAsia="bg-BG"/>
        </w:rPr>
        <w:t xml:space="preserve">при деца. Леталната доза ацетилсалицилова киселина е 25-30 </w:t>
      </w:r>
      <w:r w:rsidRPr="00AB59B6">
        <w:rPr>
          <w:rFonts w:eastAsia="Times New Roman" w:cs="Arial"/>
          <w:color w:val="000000"/>
          <w:lang w:val="en-US"/>
        </w:rPr>
        <w:t>g</w:t>
      </w:r>
      <w:r w:rsidRPr="00AB59B6">
        <w:rPr>
          <w:rFonts w:eastAsia="Times New Roman" w:cs="Arial"/>
          <w:color w:val="000000"/>
          <w:lang w:val="ru-RU"/>
        </w:rPr>
        <w:t xml:space="preserve">. </w:t>
      </w:r>
      <w:r w:rsidRPr="00AB59B6">
        <w:rPr>
          <w:rFonts w:eastAsia="Times New Roman" w:cs="Arial"/>
          <w:color w:val="000000"/>
          <w:lang w:eastAsia="bg-BG"/>
        </w:rPr>
        <w:t xml:space="preserve">Плазмени салицилатни концентрации над 300 </w:t>
      </w:r>
      <w:r w:rsidRPr="00AB59B6">
        <w:rPr>
          <w:rFonts w:eastAsia="Times New Roman" w:cs="Arial"/>
          <w:color w:val="000000"/>
          <w:lang w:val="en-US"/>
        </w:rPr>
        <w:t>mg</w:t>
      </w:r>
      <w:r w:rsidRPr="00AB59B6">
        <w:rPr>
          <w:rFonts w:eastAsia="Times New Roman" w:cs="Arial"/>
          <w:color w:val="000000"/>
          <w:lang w:val="ru-RU"/>
        </w:rPr>
        <w:t xml:space="preserve">/1 </w:t>
      </w:r>
      <w:r w:rsidRPr="00AB59B6">
        <w:rPr>
          <w:rFonts w:eastAsia="Times New Roman" w:cs="Arial"/>
          <w:color w:val="000000"/>
          <w:lang w:eastAsia="bg-BG"/>
        </w:rPr>
        <w:t xml:space="preserve">показват наличие на интоксикация. Плазмени концентрации над 500 </w:t>
      </w:r>
      <w:r w:rsidRPr="00AB59B6">
        <w:rPr>
          <w:rFonts w:eastAsia="Times New Roman" w:cs="Arial"/>
          <w:color w:val="000000"/>
          <w:lang w:val="en-US"/>
        </w:rPr>
        <w:t>mg</w:t>
      </w:r>
      <w:r w:rsidRPr="00AB59B6">
        <w:rPr>
          <w:rFonts w:eastAsia="Times New Roman" w:cs="Arial"/>
          <w:color w:val="000000"/>
          <w:lang w:val="ru-RU"/>
        </w:rPr>
        <w:t xml:space="preserve">/1 </w:t>
      </w:r>
      <w:r w:rsidRPr="00AB59B6">
        <w:rPr>
          <w:rFonts w:eastAsia="Times New Roman" w:cs="Arial"/>
          <w:color w:val="000000"/>
          <w:lang w:eastAsia="bg-BG"/>
        </w:rPr>
        <w:t xml:space="preserve">при възрастни и 300 </w:t>
      </w:r>
      <w:r w:rsidRPr="00AB59B6">
        <w:rPr>
          <w:rFonts w:eastAsia="Times New Roman" w:cs="Arial"/>
          <w:color w:val="000000"/>
          <w:lang w:val="en-US"/>
        </w:rPr>
        <w:t>mg</w:t>
      </w:r>
      <w:r w:rsidRPr="00AB59B6">
        <w:rPr>
          <w:rFonts w:eastAsia="Times New Roman" w:cs="Arial"/>
          <w:color w:val="000000"/>
          <w:lang w:val="ru-RU"/>
        </w:rPr>
        <w:t xml:space="preserve">/1 </w:t>
      </w:r>
      <w:r w:rsidRPr="00AB59B6">
        <w:rPr>
          <w:rFonts w:eastAsia="Times New Roman" w:cs="Arial"/>
          <w:color w:val="000000"/>
          <w:lang w:eastAsia="bg-BG"/>
        </w:rPr>
        <w:t>при деца обикновено водят до тежка токсичност.</w:t>
      </w:r>
    </w:p>
    <w:p w14:paraId="36AEC90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Предозирането може да бъде вредно за пациенти в старческа възраст и особено за малки деца (терапевтично предозиране или чести случайни интоксикации могат да бъдат фатални).</w:t>
      </w:r>
    </w:p>
    <w:p w14:paraId="3ACE9BD4" w14:textId="77777777" w:rsidR="00AB59B6" w:rsidRPr="00AB59B6" w:rsidRDefault="00AB59B6" w:rsidP="00AB59B6">
      <w:pPr>
        <w:spacing w:line="240" w:lineRule="auto"/>
        <w:rPr>
          <w:rFonts w:eastAsia="Times New Roman" w:cs="Arial"/>
          <w:color w:val="000000"/>
          <w:u w:val="single"/>
          <w:lang w:eastAsia="bg-BG"/>
        </w:rPr>
      </w:pPr>
    </w:p>
    <w:p w14:paraId="6A6230E2" w14:textId="42C92CF5" w:rsidR="00AB59B6" w:rsidRPr="00AB59B6" w:rsidRDefault="00AB59B6" w:rsidP="00AB59B6">
      <w:pPr>
        <w:spacing w:line="240" w:lineRule="auto"/>
        <w:rPr>
          <w:rFonts w:eastAsia="Times New Roman" w:cs="Arial"/>
          <w:sz w:val="24"/>
          <w:szCs w:val="24"/>
        </w:rPr>
      </w:pPr>
      <w:r w:rsidRPr="00AB59B6">
        <w:rPr>
          <w:rFonts w:eastAsia="Times New Roman" w:cs="Arial"/>
          <w:color w:val="000000"/>
          <w:u w:val="single"/>
          <w:lang w:eastAsia="bg-BG"/>
        </w:rPr>
        <w:t>Симптоми при умерени интоксикации</w:t>
      </w:r>
    </w:p>
    <w:p w14:paraId="53FA422A"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lastRenderedPageBreak/>
        <w:t>Тинитус, слухови нарушения, главоболие, вертиго, обърканост и стомашно-чревни симптоми (гадене, повръщане и болка в областта на корема).</w:t>
      </w:r>
    </w:p>
    <w:p w14:paraId="0C8C7C62" w14:textId="233CF247" w:rsidR="00AB59B6" w:rsidRPr="00AB59B6" w:rsidRDefault="00AB59B6" w:rsidP="00AB59B6">
      <w:pPr>
        <w:rPr>
          <w:rFonts w:cs="Arial"/>
        </w:rPr>
      </w:pPr>
    </w:p>
    <w:p w14:paraId="4C340B23"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u w:val="single"/>
          <w:lang w:eastAsia="bg-BG"/>
        </w:rPr>
        <w:t>Симптоми при тежки интоксикации</w:t>
      </w:r>
    </w:p>
    <w:p w14:paraId="039C1456"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Симптомите са свързани със сериозно нарушаване на киселинно-алкалния баланс.</w:t>
      </w:r>
    </w:p>
    <w:p w14:paraId="15C4D9D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Първоначално се наблюдава хипервентилация, което води до респираторна алкалоза. Поради потискане на дихателния център се развива респираторна ацидоза. В допълнение възниква метаболитна ацидоза вследствие наличието на салицилати.</w:t>
      </w:r>
    </w:p>
    <w:p w14:paraId="3BE51811"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Тъй като интоксикацията при малките деца често се открива на по-късен етап те обикновено са в състояние на ацидоза.</w:t>
      </w:r>
    </w:p>
    <w:p w14:paraId="5ED928A7"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Освен това могат да се появят следните симптоми: хипертермия и повишено изпотяване, което води до обезводняване: чувство на безпокойство, конвулсии, халюцинации и хипогликемия. Потискането на нервната система може да доведе до кома, сърдечносъдов колапс или респираторен арест.</w:t>
      </w:r>
    </w:p>
    <w:p w14:paraId="7D0BC822" w14:textId="77777777" w:rsidR="00AB59B6" w:rsidRPr="00AB59B6" w:rsidRDefault="00AB59B6" w:rsidP="00AB59B6">
      <w:pPr>
        <w:spacing w:line="240" w:lineRule="auto"/>
        <w:rPr>
          <w:rFonts w:eastAsia="Times New Roman" w:cs="Arial"/>
          <w:color w:val="000000"/>
          <w:u w:val="single"/>
          <w:lang w:eastAsia="bg-BG"/>
        </w:rPr>
      </w:pPr>
    </w:p>
    <w:p w14:paraId="4BF97EC3" w14:textId="34D57C3C" w:rsidR="00AB59B6" w:rsidRPr="00AB59B6" w:rsidRDefault="00AB59B6" w:rsidP="00AB59B6">
      <w:pPr>
        <w:spacing w:line="240" w:lineRule="auto"/>
        <w:rPr>
          <w:rFonts w:eastAsia="Times New Roman" w:cs="Arial"/>
          <w:sz w:val="24"/>
          <w:szCs w:val="24"/>
        </w:rPr>
      </w:pPr>
      <w:r w:rsidRPr="00AB59B6">
        <w:rPr>
          <w:rFonts w:eastAsia="Times New Roman" w:cs="Arial"/>
          <w:color w:val="000000"/>
          <w:u w:val="single"/>
          <w:lang w:eastAsia="bg-BG"/>
        </w:rPr>
        <w:t>Лечение на предозирането</w:t>
      </w:r>
    </w:p>
    <w:p w14:paraId="3D80CE7D"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Ако е приета токсична доза се изисква хоспитализация. В случай на умерена интоксикация трябва да се предизвика повръщане у пациента.</w:t>
      </w:r>
    </w:p>
    <w:p w14:paraId="117E6E79"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Ако това не е ефективно през първия час след поглъщане на значително количество от лекарството може да се направи стомашна промивка след което да се приложи активен въглен (адсорбент) и натриев сулфат (лаксатив).</w:t>
      </w:r>
    </w:p>
    <w:p w14:paraId="3A60E25D"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Активният въглен може да се прилага като еднократна доза (50 </w:t>
      </w:r>
      <w:r w:rsidRPr="00AB59B6">
        <w:rPr>
          <w:rFonts w:eastAsia="Times New Roman" w:cs="Arial"/>
          <w:color w:val="000000"/>
          <w:lang w:val="en-US"/>
        </w:rPr>
        <w:t>g</w:t>
      </w:r>
      <w:r w:rsidRPr="00AB59B6">
        <w:rPr>
          <w:rFonts w:eastAsia="Times New Roman" w:cs="Arial"/>
          <w:color w:val="000000"/>
          <w:lang w:val="ru-RU"/>
        </w:rPr>
        <w:t xml:space="preserve"> </w:t>
      </w:r>
      <w:r w:rsidRPr="00AB59B6">
        <w:rPr>
          <w:rFonts w:eastAsia="Times New Roman" w:cs="Arial"/>
          <w:color w:val="000000"/>
          <w:lang w:eastAsia="bg-BG"/>
        </w:rPr>
        <w:t xml:space="preserve">за възрастен, 1 </w:t>
      </w:r>
      <w:r w:rsidRPr="00AB59B6">
        <w:rPr>
          <w:rFonts w:eastAsia="Times New Roman" w:cs="Arial"/>
          <w:color w:val="000000"/>
          <w:lang w:val="en-US"/>
        </w:rPr>
        <w:t>g</w:t>
      </w:r>
      <w:r w:rsidRPr="00AB59B6">
        <w:rPr>
          <w:rFonts w:eastAsia="Times New Roman" w:cs="Arial"/>
          <w:color w:val="000000"/>
          <w:lang w:val="ru-RU"/>
        </w:rPr>
        <w:t>/</w:t>
      </w:r>
      <w:r w:rsidRPr="00AB59B6">
        <w:rPr>
          <w:rFonts w:eastAsia="Times New Roman" w:cs="Arial"/>
          <w:color w:val="000000"/>
          <w:lang w:val="en-US"/>
        </w:rPr>
        <w:t>kg</w:t>
      </w:r>
      <w:r w:rsidRPr="00AB59B6">
        <w:rPr>
          <w:rFonts w:eastAsia="Times New Roman" w:cs="Arial"/>
          <w:color w:val="000000"/>
          <w:lang w:val="ru-RU"/>
        </w:rPr>
        <w:t xml:space="preserve"> </w:t>
      </w:r>
      <w:r w:rsidRPr="00AB59B6">
        <w:rPr>
          <w:rFonts w:eastAsia="Times New Roman" w:cs="Arial"/>
          <w:color w:val="000000"/>
          <w:lang w:eastAsia="bg-BG"/>
        </w:rPr>
        <w:t>телесно тегло за дете до 12 години).</w:t>
      </w:r>
    </w:p>
    <w:p w14:paraId="31D8CB6C"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Алкализира се урината (250 </w:t>
      </w:r>
      <w:proofErr w:type="spellStart"/>
      <w:r w:rsidRPr="00AB59B6">
        <w:rPr>
          <w:rFonts w:eastAsia="Times New Roman" w:cs="Arial"/>
          <w:color w:val="000000"/>
          <w:lang w:val="en-US"/>
        </w:rPr>
        <w:t>mmol</w:t>
      </w:r>
      <w:proofErr w:type="spellEnd"/>
      <w:r w:rsidRPr="00AB59B6">
        <w:rPr>
          <w:rFonts w:eastAsia="Times New Roman" w:cs="Arial"/>
          <w:color w:val="000000"/>
          <w:lang w:val="ru-RU"/>
        </w:rPr>
        <w:t xml:space="preserve"> </w:t>
      </w:r>
      <w:proofErr w:type="spellStart"/>
      <w:r w:rsidRPr="00AB59B6">
        <w:rPr>
          <w:rFonts w:eastAsia="Times New Roman" w:cs="Arial"/>
          <w:color w:val="000000"/>
          <w:lang w:val="en-US"/>
        </w:rPr>
        <w:t>NaHCO</w:t>
      </w:r>
      <w:proofErr w:type="spellEnd"/>
      <w:r w:rsidRPr="00AB59B6">
        <w:rPr>
          <w:rFonts w:eastAsia="Times New Roman" w:cs="Arial"/>
          <w:color w:val="000000"/>
          <w:lang w:val="ru-RU"/>
        </w:rPr>
        <w:t xml:space="preserve">3, </w:t>
      </w:r>
      <w:r w:rsidRPr="00AB59B6">
        <w:rPr>
          <w:rFonts w:eastAsia="Times New Roman" w:cs="Arial"/>
          <w:color w:val="000000"/>
          <w:lang w:eastAsia="bg-BG"/>
        </w:rPr>
        <w:t xml:space="preserve">в продължение на три часа), като се проверяват стойностите на </w:t>
      </w:r>
      <w:r w:rsidRPr="00AB59B6">
        <w:rPr>
          <w:rFonts w:eastAsia="Times New Roman" w:cs="Arial"/>
          <w:color w:val="000000"/>
          <w:lang w:val="en-US"/>
        </w:rPr>
        <w:t>pH</w:t>
      </w:r>
      <w:r w:rsidRPr="00AB59B6">
        <w:rPr>
          <w:rFonts w:eastAsia="Times New Roman" w:cs="Arial"/>
          <w:color w:val="000000"/>
          <w:lang w:val="ru-RU"/>
        </w:rPr>
        <w:t xml:space="preserve"> </w:t>
      </w:r>
      <w:r w:rsidRPr="00AB59B6">
        <w:rPr>
          <w:rFonts w:eastAsia="Times New Roman" w:cs="Arial"/>
          <w:color w:val="000000"/>
          <w:lang w:eastAsia="bg-BG"/>
        </w:rPr>
        <w:t>в урината.</w:t>
      </w:r>
    </w:p>
    <w:p w14:paraId="6500CC91"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В случай на тежка интоксикация се предпочита хемодиализа.</w:t>
      </w:r>
    </w:p>
    <w:p w14:paraId="6AB4CAD0"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Прилага се симптоматично лечение.</w:t>
      </w:r>
    </w:p>
    <w:p w14:paraId="74275499" w14:textId="77777777" w:rsidR="00AB59B6" w:rsidRPr="00AB59B6" w:rsidRDefault="00AB59B6" w:rsidP="00AB59B6"/>
    <w:p w14:paraId="02081B24" w14:textId="1F46E296" w:rsidR="00395555" w:rsidRPr="00395555" w:rsidRDefault="002C50EE" w:rsidP="008A6AF2">
      <w:pPr>
        <w:pStyle w:val="Heading1"/>
      </w:pPr>
      <w:r>
        <w:t>5. ФАРМАКОЛОГИЧНИ СВОЙСТВА</w:t>
      </w:r>
    </w:p>
    <w:p w14:paraId="5350637D" w14:textId="609682E7" w:rsidR="00395555" w:rsidRDefault="002C50EE" w:rsidP="008A6AF2">
      <w:pPr>
        <w:pStyle w:val="Heading2"/>
      </w:pPr>
      <w:r>
        <w:t>5.1. Фармакодинамични свойства</w:t>
      </w:r>
    </w:p>
    <w:p w14:paraId="0928C64A" w14:textId="7C4BCDB6" w:rsidR="00AB59B6" w:rsidRDefault="00AB59B6" w:rsidP="00AB59B6"/>
    <w:p w14:paraId="1827D934"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Фармакотерапевтична група: Други аналгетици и антипиретици, салицилова киселина и проиводни, АТС код </w:t>
      </w:r>
      <w:r w:rsidRPr="00AB59B6">
        <w:rPr>
          <w:rFonts w:eastAsia="Times New Roman" w:cs="Arial"/>
          <w:color w:val="000000"/>
          <w:lang w:val="en-US"/>
        </w:rPr>
        <w:t>N</w:t>
      </w:r>
      <w:r w:rsidRPr="00AB59B6">
        <w:rPr>
          <w:rFonts w:eastAsia="Times New Roman" w:cs="Arial"/>
          <w:color w:val="000000"/>
          <w:lang w:val="ru-RU"/>
        </w:rPr>
        <w:t>02</w:t>
      </w:r>
      <w:r w:rsidRPr="00AB59B6">
        <w:rPr>
          <w:rFonts w:eastAsia="Times New Roman" w:cs="Arial"/>
          <w:color w:val="000000"/>
          <w:lang w:val="en-US"/>
        </w:rPr>
        <w:t>BA</w:t>
      </w:r>
      <w:r w:rsidRPr="00AB59B6">
        <w:rPr>
          <w:rFonts w:eastAsia="Times New Roman" w:cs="Arial"/>
          <w:color w:val="000000"/>
          <w:lang w:val="ru-RU"/>
        </w:rPr>
        <w:t>01.</w:t>
      </w:r>
    </w:p>
    <w:p w14:paraId="1B627B66" w14:textId="77777777" w:rsidR="00AB59B6" w:rsidRPr="00AB59B6" w:rsidRDefault="00AB59B6" w:rsidP="00AB59B6">
      <w:pPr>
        <w:spacing w:line="240" w:lineRule="auto"/>
        <w:rPr>
          <w:rFonts w:eastAsia="Times New Roman" w:cs="Arial"/>
          <w:color w:val="000000"/>
          <w:lang w:eastAsia="bg-BG"/>
        </w:rPr>
      </w:pPr>
    </w:p>
    <w:p w14:paraId="4BC45F0E" w14:textId="5806E3EA"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Антитромботични средства. Инхибитори на тромбоцитната агрегация с изкл. на хепарин, АТС код В01АС06.</w:t>
      </w:r>
    </w:p>
    <w:p w14:paraId="096A8F44" w14:textId="77777777" w:rsidR="00AB59B6" w:rsidRPr="00AB59B6" w:rsidRDefault="00AB59B6" w:rsidP="00AB59B6">
      <w:pPr>
        <w:spacing w:line="240" w:lineRule="auto"/>
        <w:rPr>
          <w:rFonts w:eastAsia="Times New Roman" w:cs="Arial"/>
          <w:color w:val="000000"/>
          <w:u w:val="single"/>
          <w:lang w:eastAsia="bg-BG"/>
        </w:rPr>
      </w:pPr>
    </w:p>
    <w:p w14:paraId="477F7AA5" w14:textId="4FEE70CF" w:rsidR="00AB59B6" w:rsidRPr="00AB59B6" w:rsidRDefault="00AB59B6" w:rsidP="00AB59B6">
      <w:pPr>
        <w:spacing w:line="240" w:lineRule="auto"/>
        <w:rPr>
          <w:rFonts w:eastAsia="Times New Roman" w:cs="Arial"/>
          <w:sz w:val="24"/>
          <w:szCs w:val="24"/>
        </w:rPr>
      </w:pPr>
      <w:r w:rsidRPr="00AB59B6">
        <w:rPr>
          <w:rFonts w:eastAsia="Times New Roman" w:cs="Arial"/>
          <w:color w:val="000000"/>
          <w:u w:val="single"/>
          <w:lang w:eastAsia="bg-BG"/>
        </w:rPr>
        <w:t>Механизъм на действие</w:t>
      </w:r>
    </w:p>
    <w:p w14:paraId="0090EEA0"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принадлежи към групата на нестероидните противовъзпалителни средства (НСПВС). Притежава аналгетично, антипиретично и противовъзпалително действие. Ацетилсалициловата киселина има потискащо действие чрез ацетилация на ензима циклооксигеназа, като по този начин инхибира синтезата на простагландин Е</w:t>
      </w:r>
      <w:r w:rsidRPr="00AB59B6">
        <w:rPr>
          <w:rFonts w:eastAsia="Times New Roman" w:cs="Arial"/>
          <w:color w:val="000000"/>
          <w:vertAlign w:val="subscript"/>
          <w:lang w:eastAsia="bg-BG"/>
        </w:rPr>
        <w:t>2</w:t>
      </w:r>
      <w:r w:rsidRPr="00AB59B6">
        <w:rPr>
          <w:rFonts w:eastAsia="Times New Roman" w:cs="Arial"/>
          <w:color w:val="000000"/>
          <w:lang w:eastAsia="bg-BG"/>
        </w:rPr>
        <w:t xml:space="preserve">, простагландин </w:t>
      </w:r>
      <w:r w:rsidRPr="00AB59B6">
        <w:rPr>
          <w:rFonts w:eastAsia="Times New Roman" w:cs="Arial"/>
          <w:color w:val="000000"/>
          <w:lang w:val="en-US"/>
        </w:rPr>
        <w:t>I</w:t>
      </w:r>
      <w:r w:rsidRPr="00AB59B6">
        <w:rPr>
          <w:rFonts w:eastAsia="Times New Roman" w:cs="Arial"/>
          <w:color w:val="000000"/>
          <w:vertAlign w:val="subscript"/>
          <w:lang w:eastAsia="bg-BG"/>
        </w:rPr>
        <w:t>2</w:t>
      </w:r>
      <w:r w:rsidRPr="00AB59B6">
        <w:rPr>
          <w:rFonts w:eastAsia="Times New Roman" w:cs="Arial"/>
          <w:color w:val="000000"/>
          <w:lang w:eastAsia="bg-BG"/>
        </w:rPr>
        <w:t xml:space="preserve"> и тромбоксан А</w:t>
      </w:r>
      <w:r w:rsidRPr="00AB59B6">
        <w:rPr>
          <w:rFonts w:eastAsia="Times New Roman" w:cs="Arial"/>
          <w:color w:val="000000"/>
          <w:vertAlign w:val="subscript"/>
          <w:lang w:eastAsia="bg-BG"/>
        </w:rPr>
        <w:t>2</w:t>
      </w:r>
      <w:r w:rsidRPr="00AB59B6">
        <w:rPr>
          <w:rFonts w:eastAsia="Times New Roman" w:cs="Arial"/>
          <w:color w:val="000000"/>
          <w:lang w:eastAsia="bg-BG"/>
        </w:rPr>
        <w:t>.</w:t>
      </w:r>
    </w:p>
    <w:p w14:paraId="531F2C11"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инхибира активирането на тромбоцитите: като блокира тромбоцитната циклооксигеназа посредством ацетилиране, тя инхибира синтеза на тромбоксан А</w:t>
      </w:r>
      <w:r w:rsidRPr="00AB59B6">
        <w:rPr>
          <w:rFonts w:eastAsia="Times New Roman" w:cs="Arial"/>
          <w:color w:val="000000"/>
          <w:vertAlign w:val="subscript"/>
          <w:lang w:eastAsia="bg-BG"/>
        </w:rPr>
        <w:t>2</w:t>
      </w:r>
      <w:r w:rsidRPr="00AB59B6">
        <w:rPr>
          <w:rFonts w:eastAsia="Times New Roman" w:cs="Arial"/>
          <w:color w:val="000000"/>
          <w:lang w:eastAsia="bg-BG"/>
        </w:rPr>
        <w:t xml:space="preserve"> - физиологично активиращо вещество, което се освобождава от тромбоцитите и което играе роля при усложненията на атероматозните лезии.</w:t>
      </w:r>
    </w:p>
    <w:p w14:paraId="6DEA6E01"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lastRenderedPageBreak/>
        <w:t>Инхибирането на синтеза на ТХА-2 е необратимо, тъй като тромбоцитите, които нямат ядро, нямат способността (поради липса на способност за протеинов синтез) да синтезират нова циклооксигеназа, която е ацетилирана от ацетилсалициловата киселина.</w:t>
      </w:r>
    </w:p>
    <w:p w14:paraId="1A02A1F9" w14:textId="77777777" w:rsidR="00AB59B6" w:rsidRPr="00AB59B6" w:rsidRDefault="00AB59B6" w:rsidP="00AB59B6">
      <w:pPr>
        <w:spacing w:line="240" w:lineRule="auto"/>
        <w:rPr>
          <w:rFonts w:eastAsia="Times New Roman" w:cs="Arial"/>
          <w:color w:val="000000"/>
          <w:lang w:eastAsia="bg-BG"/>
        </w:rPr>
      </w:pPr>
    </w:p>
    <w:p w14:paraId="1E9581FD" w14:textId="77777777" w:rsidR="00AB59B6" w:rsidRPr="00AB59B6" w:rsidRDefault="00AB59B6" w:rsidP="00AB59B6">
      <w:pPr>
        <w:spacing w:line="240" w:lineRule="auto"/>
        <w:rPr>
          <w:rFonts w:eastAsia="Times New Roman" w:cs="Arial"/>
          <w:color w:val="000000"/>
          <w:lang w:eastAsia="bg-BG"/>
        </w:rPr>
      </w:pPr>
    </w:p>
    <w:p w14:paraId="558AFBE5" w14:textId="24B82D46" w:rsidR="00AB59B6" w:rsidRPr="00AB59B6" w:rsidRDefault="00AB59B6" w:rsidP="00AB59B6">
      <w:pPr>
        <w:spacing w:line="240" w:lineRule="auto"/>
        <w:rPr>
          <w:rFonts w:eastAsia="Times New Roman" w:cs="Arial"/>
          <w:sz w:val="24"/>
          <w:szCs w:val="24"/>
          <w:lang w:val="ru-RU"/>
        </w:rPr>
      </w:pPr>
      <w:r w:rsidRPr="00AB59B6">
        <w:rPr>
          <w:rFonts w:eastAsia="Times New Roman" w:cs="Arial"/>
          <w:color w:val="000000"/>
          <w:lang w:eastAsia="bg-BG"/>
        </w:rPr>
        <w:t xml:space="preserve">Прилагането на многократни дози от 20 до 325 </w:t>
      </w:r>
      <w:r w:rsidRPr="00AB59B6">
        <w:rPr>
          <w:rFonts w:eastAsia="Times New Roman" w:cs="Arial"/>
          <w:color w:val="000000"/>
          <w:lang w:val="en-US"/>
        </w:rPr>
        <w:t>mg</w:t>
      </w:r>
      <w:r w:rsidRPr="00AB59B6">
        <w:rPr>
          <w:rFonts w:eastAsia="Times New Roman" w:cs="Arial"/>
          <w:color w:val="000000"/>
          <w:lang w:val="ru-RU"/>
        </w:rPr>
        <w:t xml:space="preserve"> </w:t>
      </w:r>
      <w:r w:rsidRPr="00AB59B6">
        <w:rPr>
          <w:rFonts w:eastAsia="Times New Roman" w:cs="Arial"/>
          <w:color w:val="000000"/>
          <w:lang w:eastAsia="bg-BG"/>
        </w:rPr>
        <w:t>води до инхибиране на ензимната активност от 30 до 95%. Поради необратимото естество на свързването, ефектът персистира в продължение на жизнения цикъл на тромбоцита (7-10 дни). Инхибиращият ефект не се изчерпва при продължително лечение и ензимната активност постепенно започво отново след обновяване на тромбоцитите 24 до 48 часа след прекъсване на лечението. Ацетилсалициловата</w:t>
      </w:r>
      <w:r w:rsidRPr="00AB59B6">
        <w:rPr>
          <w:rFonts w:eastAsia="Times New Roman" w:cs="Arial"/>
          <w:color w:val="000000"/>
          <w:lang w:val="ru-RU" w:eastAsia="bg-BG"/>
        </w:rPr>
        <w:t xml:space="preserve"> </w:t>
      </w:r>
      <w:r w:rsidRPr="00AB59B6">
        <w:rPr>
          <w:rFonts w:cs="Arial"/>
        </w:rPr>
        <w:t>киселина удължава времето на кървене средно с около 50 до 100%, но могат да се наблюдават различия между отделните индивиди.</w:t>
      </w:r>
    </w:p>
    <w:p w14:paraId="031FAE3D" w14:textId="77777777" w:rsidR="00AB59B6" w:rsidRPr="00AB59B6" w:rsidRDefault="00AB59B6" w:rsidP="00AB59B6"/>
    <w:p w14:paraId="26535098" w14:textId="63316B27" w:rsidR="00395555" w:rsidRDefault="002C50EE" w:rsidP="008A6AF2">
      <w:pPr>
        <w:pStyle w:val="Heading2"/>
      </w:pPr>
      <w:r>
        <w:t>5.2. Фармакокинетични свойства</w:t>
      </w:r>
    </w:p>
    <w:p w14:paraId="79E8AEC0" w14:textId="6E84F80E" w:rsidR="00AB59B6" w:rsidRDefault="00AB59B6" w:rsidP="00AB59B6"/>
    <w:p w14:paraId="3D2AC480" w14:textId="77777777" w:rsidR="00AB59B6" w:rsidRPr="00AB59B6" w:rsidRDefault="00AB59B6" w:rsidP="00AB59B6">
      <w:pPr>
        <w:pStyle w:val="Heading3"/>
        <w:rPr>
          <w:rFonts w:eastAsia="Times New Roman"/>
          <w:u w:val="single"/>
        </w:rPr>
      </w:pPr>
      <w:r w:rsidRPr="00AB59B6">
        <w:rPr>
          <w:rFonts w:eastAsia="Times New Roman"/>
          <w:u w:val="single"/>
          <w:lang w:eastAsia="bg-BG"/>
        </w:rPr>
        <w:t>Абсорбция</w:t>
      </w:r>
    </w:p>
    <w:p w14:paraId="2CC1475B"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След перорално приложение, ацетилсалициловата киселина бързо и изцяло се абсорбира от стомашночревния тракт. Основно мястото на абсорбция са проксималните отдели на тънките черва. Значителна част от дозата, обаче, вече е хидролизирана до салицилова киселина в чревната стена по време на процеса на абсорбиране. Степента на хидролиза зависи от степента на абсорбция.</w:t>
      </w:r>
    </w:p>
    <w:p w14:paraId="0DDB3445"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След прием на гладно на ацетилсалицилова киселина гастро-резистентни таблетки, максимални плазмени концентрации на ацетилсалицилова киселина и салицилова киселина се достигат съответно след 5 часа и 6 часа. Ако таблетките се приемат с храна, максимални плазмени концентрации се достигат приблизително 3 часа по-късно, отколкото при прием на гладно.</w:t>
      </w:r>
    </w:p>
    <w:p w14:paraId="098EC85D" w14:textId="77777777" w:rsidR="00AB59B6" w:rsidRPr="00AB59B6" w:rsidRDefault="00AB59B6" w:rsidP="00AB59B6">
      <w:pPr>
        <w:spacing w:line="240" w:lineRule="auto"/>
        <w:rPr>
          <w:rFonts w:eastAsia="Times New Roman" w:cs="Arial"/>
          <w:color w:val="000000"/>
          <w:u w:val="single"/>
          <w:lang w:eastAsia="bg-BG"/>
        </w:rPr>
      </w:pPr>
    </w:p>
    <w:p w14:paraId="2D70F61D" w14:textId="45A9437C" w:rsidR="00AB59B6" w:rsidRPr="00AB59B6" w:rsidRDefault="00AB59B6" w:rsidP="00AB59B6">
      <w:pPr>
        <w:pStyle w:val="Heading3"/>
        <w:rPr>
          <w:rFonts w:eastAsia="Times New Roman"/>
          <w:u w:val="single"/>
        </w:rPr>
      </w:pPr>
      <w:r w:rsidRPr="00AB59B6">
        <w:rPr>
          <w:rFonts w:eastAsia="Times New Roman"/>
          <w:u w:val="single"/>
          <w:lang w:eastAsia="bg-BG"/>
        </w:rPr>
        <w:t>Разпределение</w:t>
      </w:r>
    </w:p>
    <w:p w14:paraId="619E6F1B"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 xml:space="preserve">Ацетилсалициловата киселина, както и главният метаболит салицилова киселина, се свързва в голяма степен с плазмените протеини, главно албумин, и бързо се разпределя във всички части на тялото. Степента на протеинното свързване на салициловата киселина е в строга зависимост от концентрациите на салицилова киселина и албумин. Обемът на разпределение на ацетилсалициловата киселина е около 0,16 </w:t>
      </w:r>
      <w:r w:rsidRPr="00AB59B6">
        <w:rPr>
          <w:rFonts w:eastAsia="Times New Roman" w:cs="Arial"/>
          <w:color w:val="000000"/>
          <w:lang w:val="ru-RU"/>
        </w:rPr>
        <w:t>1/</w:t>
      </w:r>
      <w:r w:rsidRPr="00AB59B6">
        <w:rPr>
          <w:rFonts w:eastAsia="Times New Roman" w:cs="Arial"/>
          <w:color w:val="000000"/>
          <w:lang w:val="en-US"/>
        </w:rPr>
        <w:t>kg</w:t>
      </w:r>
      <w:r w:rsidRPr="00AB59B6">
        <w:rPr>
          <w:rFonts w:eastAsia="Times New Roman" w:cs="Arial"/>
          <w:color w:val="000000"/>
          <w:lang w:val="ru-RU"/>
        </w:rPr>
        <w:t xml:space="preserve"> </w:t>
      </w:r>
      <w:r w:rsidRPr="00AB59B6">
        <w:rPr>
          <w:rFonts w:eastAsia="Times New Roman" w:cs="Arial"/>
          <w:color w:val="000000"/>
          <w:lang w:eastAsia="bg-BG"/>
        </w:rPr>
        <w:t>телесно тегло. Салициловата киселина бавно дифузира в синовиалната течност, преминава плацентната бариера и се екскретира в кърмата.</w:t>
      </w:r>
    </w:p>
    <w:p w14:paraId="292D3078" w14:textId="77777777" w:rsidR="00AB59B6" w:rsidRPr="00AB59B6" w:rsidRDefault="00AB59B6" w:rsidP="00AB59B6">
      <w:pPr>
        <w:spacing w:line="240" w:lineRule="auto"/>
        <w:rPr>
          <w:rFonts w:eastAsia="Times New Roman" w:cs="Arial"/>
          <w:color w:val="000000"/>
          <w:u w:val="single"/>
          <w:lang w:eastAsia="bg-BG"/>
        </w:rPr>
      </w:pPr>
    </w:p>
    <w:p w14:paraId="16193DF8" w14:textId="2CD60291" w:rsidR="00AB59B6" w:rsidRPr="00AB59B6" w:rsidRDefault="00AB59B6" w:rsidP="00AB59B6">
      <w:pPr>
        <w:pStyle w:val="Heading3"/>
        <w:rPr>
          <w:rFonts w:eastAsia="Times New Roman"/>
          <w:u w:val="single"/>
        </w:rPr>
      </w:pPr>
      <w:r w:rsidRPr="00AB59B6">
        <w:rPr>
          <w:rFonts w:eastAsia="Times New Roman"/>
          <w:u w:val="single"/>
          <w:lang w:eastAsia="bg-BG"/>
        </w:rPr>
        <w:t>Биотрансформация</w:t>
      </w:r>
    </w:p>
    <w:p w14:paraId="616B20CB"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Ацетилсалициловата киселина бързо се метаболизира до салицилова киселина с полуживот 15- 30 минути. Салициловата киселина впоследствие се превръща основно в глицин и конюгати на глюкуроновата киселина, със следи от гентизинова киселина.</w:t>
      </w:r>
    </w:p>
    <w:p w14:paraId="65D5F372" w14:textId="77777777" w:rsidR="00AB59B6" w:rsidRPr="00AB59B6" w:rsidRDefault="00AB59B6" w:rsidP="00AB59B6">
      <w:pPr>
        <w:spacing w:line="240" w:lineRule="auto"/>
        <w:rPr>
          <w:rFonts w:eastAsia="Times New Roman" w:cs="Arial"/>
          <w:sz w:val="24"/>
          <w:szCs w:val="24"/>
        </w:rPr>
      </w:pPr>
      <w:r w:rsidRPr="00AB59B6">
        <w:rPr>
          <w:rFonts w:eastAsia="Times New Roman" w:cs="Arial"/>
          <w:color w:val="000000"/>
          <w:lang w:eastAsia="bg-BG"/>
        </w:rPr>
        <w:t>Елиминационната кинетика на салициловата киселина е дозозависима, тъй като метаболизмът е ограничен от капацитета на чернодробните ензими. Поради това, елиминационният полуживот варира и е 2-3 часа след прием на ниски дози, 12 часа след прилагане на обичайните аналгетични дози и 15-30 часа след високи терапевтични дози или интоксикация.</w:t>
      </w:r>
    </w:p>
    <w:p w14:paraId="2B4FBB6D" w14:textId="77777777" w:rsidR="00AB59B6" w:rsidRPr="00AB59B6" w:rsidRDefault="00AB59B6" w:rsidP="00AB59B6">
      <w:pPr>
        <w:spacing w:line="240" w:lineRule="auto"/>
        <w:rPr>
          <w:rFonts w:eastAsia="Times New Roman" w:cs="Arial"/>
          <w:color w:val="000000"/>
          <w:u w:val="single"/>
          <w:lang w:eastAsia="bg-BG"/>
        </w:rPr>
      </w:pPr>
    </w:p>
    <w:p w14:paraId="5BE9453D" w14:textId="137FDD0B" w:rsidR="00AB59B6" w:rsidRPr="00AB59B6" w:rsidRDefault="00AB59B6" w:rsidP="00AB59B6">
      <w:pPr>
        <w:pStyle w:val="Heading3"/>
        <w:rPr>
          <w:rFonts w:eastAsia="Times New Roman"/>
          <w:u w:val="single"/>
        </w:rPr>
      </w:pPr>
      <w:r w:rsidRPr="00AB59B6">
        <w:rPr>
          <w:rFonts w:eastAsia="Times New Roman"/>
          <w:u w:val="single"/>
          <w:lang w:eastAsia="bg-BG"/>
        </w:rPr>
        <w:t>Елиминиране</w:t>
      </w:r>
    </w:p>
    <w:p w14:paraId="7E2D181C" w14:textId="33AA1835" w:rsidR="00AB59B6" w:rsidRDefault="00AB59B6" w:rsidP="00AB59B6">
      <w:pPr>
        <w:rPr>
          <w:rFonts w:eastAsia="Times New Roman" w:cs="Arial"/>
          <w:color w:val="000000"/>
          <w:lang w:eastAsia="bg-BG"/>
        </w:rPr>
      </w:pPr>
      <w:r w:rsidRPr="00AB59B6">
        <w:rPr>
          <w:rFonts w:eastAsia="Times New Roman" w:cs="Arial"/>
          <w:color w:val="000000"/>
          <w:lang w:eastAsia="bg-BG"/>
        </w:rPr>
        <w:t>Салициловата киселина и нейните метаболити се екскретират предимно чрез бъбреците.</w:t>
      </w:r>
    </w:p>
    <w:p w14:paraId="1F6F6726" w14:textId="77777777" w:rsidR="00AB59B6" w:rsidRPr="00AB59B6" w:rsidRDefault="00AB59B6" w:rsidP="00AB59B6">
      <w:pPr>
        <w:rPr>
          <w:rFonts w:cs="Arial"/>
        </w:rPr>
      </w:pPr>
    </w:p>
    <w:p w14:paraId="028E658A" w14:textId="08547C13" w:rsidR="00395555" w:rsidRDefault="002C50EE" w:rsidP="008A6AF2">
      <w:pPr>
        <w:pStyle w:val="Heading2"/>
      </w:pPr>
      <w:r>
        <w:lastRenderedPageBreak/>
        <w:t>5.3. Предклинични данни за безопасност</w:t>
      </w:r>
    </w:p>
    <w:p w14:paraId="2C289083" w14:textId="2B3CC07E" w:rsidR="00AB59B6" w:rsidRDefault="00AB59B6" w:rsidP="00AB59B6"/>
    <w:p w14:paraId="48130AB7" w14:textId="77777777" w:rsidR="00AB59B6" w:rsidRPr="00AB59B6" w:rsidRDefault="00AB59B6" w:rsidP="00AB59B6">
      <w:pPr>
        <w:rPr>
          <w:sz w:val="24"/>
          <w:szCs w:val="24"/>
        </w:rPr>
      </w:pPr>
      <w:r w:rsidRPr="00AB59B6">
        <w:rPr>
          <w:lang w:eastAsia="bg-BG"/>
        </w:rPr>
        <w:t>Предклиничният профил на безопасност на ацетилсалициловата киселина е добре документиран.</w:t>
      </w:r>
    </w:p>
    <w:p w14:paraId="1D8EDA03" w14:textId="77777777" w:rsidR="00AB59B6" w:rsidRPr="00AB59B6" w:rsidRDefault="00AB59B6" w:rsidP="00AB59B6">
      <w:pPr>
        <w:rPr>
          <w:sz w:val="24"/>
          <w:szCs w:val="24"/>
        </w:rPr>
      </w:pPr>
      <w:r w:rsidRPr="00AB59B6">
        <w:rPr>
          <w:lang w:eastAsia="bg-BG"/>
        </w:rPr>
        <w:t>Проучвания с животни показват, чс салицилатитс нс увреждат друг орган освен бъбреците. При проучвания с плъхове са наблюдавани фетотоксичност и тератогенност след прилагане на ацетилсалицилоната киселина в дози, токсични за майката. Клиничната значимост е неизвестна, тъй като дозите, използвани в предклиничните проучвания, са много по-високи (най-малко 7 пъти) от максималните препоръчителни дози за основните сърдечносъдови индикации. Ацетилсалициловата киселина е предмет на широки проучвания по отношение на мутагенните и карциногенни ефекти. Разултатите като цяло сочат, че няма значими признаци на мутагенни или карциногенни ефекти при проучвания с мишки и плъхове.</w:t>
      </w:r>
    </w:p>
    <w:p w14:paraId="54B15F83" w14:textId="77777777" w:rsidR="00AB59B6" w:rsidRPr="00AB59B6" w:rsidRDefault="00AB59B6" w:rsidP="00AB59B6"/>
    <w:p w14:paraId="6A7820AB" w14:textId="0C4E5C2A" w:rsidR="008A6AF2" w:rsidRDefault="002C50EE" w:rsidP="00395555">
      <w:pPr>
        <w:pStyle w:val="Heading1"/>
      </w:pPr>
      <w:r>
        <w:t>7. ПРИТЕЖАТЕЛ НА РАЗРЕШЕНИЕТО ЗА УПОТРЕБА</w:t>
      </w:r>
    </w:p>
    <w:p w14:paraId="35327E24" w14:textId="6D1DFE79" w:rsidR="00AB59B6" w:rsidRDefault="00AB59B6" w:rsidP="00AB59B6"/>
    <w:p w14:paraId="3F6891EE" w14:textId="77777777" w:rsidR="00AB59B6" w:rsidRPr="00AB59B6" w:rsidRDefault="00AB59B6" w:rsidP="00AB59B6">
      <w:pPr>
        <w:rPr>
          <w:sz w:val="24"/>
          <w:szCs w:val="24"/>
        </w:rPr>
      </w:pPr>
      <w:r w:rsidRPr="00AB59B6">
        <w:rPr>
          <w:lang w:eastAsia="bg-BG"/>
        </w:rPr>
        <w:t>Тева Фарма ЕАД</w:t>
      </w:r>
    </w:p>
    <w:p w14:paraId="29B33C8A" w14:textId="77777777" w:rsidR="00AB59B6" w:rsidRPr="00AB59B6" w:rsidRDefault="00AB59B6" w:rsidP="00AB59B6">
      <w:pPr>
        <w:rPr>
          <w:sz w:val="24"/>
          <w:szCs w:val="24"/>
        </w:rPr>
      </w:pPr>
      <w:r w:rsidRPr="00AB59B6">
        <w:rPr>
          <w:lang w:eastAsia="bg-BG"/>
        </w:rPr>
        <w:t>ул. „Люба Величкова“ № 9, 1407 София</w:t>
      </w:r>
    </w:p>
    <w:p w14:paraId="32B8482B" w14:textId="5C26553F" w:rsidR="00AB59B6" w:rsidRPr="00AB59B6" w:rsidRDefault="00AB59B6" w:rsidP="00AB59B6">
      <w:r w:rsidRPr="00AB59B6">
        <w:rPr>
          <w:lang w:eastAsia="bg-BG"/>
        </w:rPr>
        <w:t>България</w:t>
      </w:r>
    </w:p>
    <w:p w14:paraId="04840D59" w14:textId="45A126EE" w:rsidR="002C50EE" w:rsidRDefault="002C50EE" w:rsidP="00395555">
      <w:pPr>
        <w:pStyle w:val="Heading1"/>
      </w:pPr>
      <w:r>
        <w:t>8. НОМЕР НА РАЗРЕШЕНИЕТО ЗА УПОТРЕБА</w:t>
      </w:r>
    </w:p>
    <w:p w14:paraId="525F5885" w14:textId="2ED3BAE9" w:rsidR="00AB59B6" w:rsidRDefault="00AB59B6" w:rsidP="00AB59B6"/>
    <w:p w14:paraId="0BB65942" w14:textId="262D5B27" w:rsidR="00AB59B6" w:rsidRPr="00AB59B6" w:rsidRDefault="00AB59B6" w:rsidP="00AB59B6">
      <w:r>
        <w:rPr>
          <w:lang w:val="en-US"/>
        </w:rPr>
        <w:t>Per</w:t>
      </w:r>
      <w:r w:rsidRPr="00AB59B6">
        <w:rPr>
          <w:lang w:val="ru-RU"/>
        </w:rPr>
        <w:t xml:space="preserve">. </w:t>
      </w:r>
      <w:r>
        <w:t>№ 20000692</w:t>
      </w:r>
    </w:p>
    <w:p w14:paraId="2CCB5832" w14:textId="350EAB6E" w:rsidR="007C605B" w:rsidRDefault="002C50EE" w:rsidP="007C605B">
      <w:pPr>
        <w:pStyle w:val="Heading1"/>
      </w:pPr>
      <w:r>
        <w:t>9. ДАТА НА ПЪРВО РАЗРЕШАВАНЕ/ПОДНОВЯВАНЕ НА РАЗРЕШЕНИЕТО ЗА УПОТРЕБА</w:t>
      </w:r>
    </w:p>
    <w:p w14:paraId="0ED360A6" w14:textId="5E2F70EE" w:rsidR="00AB59B6" w:rsidRDefault="00AB59B6" w:rsidP="00AB59B6"/>
    <w:p w14:paraId="1E9BE59D" w14:textId="77777777" w:rsidR="00AB59B6" w:rsidRPr="00AB59B6" w:rsidRDefault="00AB59B6" w:rsidP="00AB59B6">
      <w:pPr>
        <w:rPr>
          <w:sz w:val="24"/>
          <w:szCs w:val="24"/>
        </w:rPr>
      </w:pPr>
      <w:r w:rsidRPr="00AB59B6">
        <w:rPr>
          <w:lang w:eastAsia="bg-BG"/>
        </w:rPr>
        <w:t>Дата на първо разрешаване: 01.05.1984 г.</w:t>
      </w:r>
    </w:p>
    <w:p w14:paraId="5D0C563E" w14:textId="5DC48762" w:rsidR="00AB59B6" w:rsidRPr="00AB59B6" w:rsidRDefault="00AB59B6" w:rsidP="00AB59B6">
      <w:r w:rsidRPr="00AB59B6">
        <w:rPr>
          <w:lang w:eastAsia="bg-BG"/>
        </w:rPr>
        <w:t>Дата на последно подновяване: 29.04.2011 г.</w:t>
      </w:r>
    </w:p>
    <w:p w14:paraId="0E9D0119" w14:textId="0245C6D7" w:rsidR="002C50EE" w:rsidRDefault="002C50EE" w:rsidP="002C50EE">
      <w:pPr>
        <w:pStyle w:val="Heading1"/>
      </w:pPr>
      <w:r>
        <w:t>10. ДАТА НА АКТУАЛИЗИРАНЕ НА ТЕКСТА</w:t>
      </w:r>
    </w:p>
    <w:bookmarkEnd w:id="0"/>
    <w:p w14:paraId="43FB38A2" w14:textId="5506C5AD" w:rsidR="007C605B" w:rsidRPr="003E3126" w:rsidRDefault="00AB59B6" w:rsidP="00AB59B6">
      <w:r>
        <w:t>05.01.2021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A47B83"/>
    <w:multiLevelType w:val="hybridMultilevel"/>
    <w:tmpl w:val="7BAC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E7638"/>
    <w:multiLevelType w:val="hybridMultilevel"/>
    <w:tmpl w:val="46A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8075F"/>
    <w:multiLevelType w:val="hybridMultilevel"/>
    <w:tmpl w:val="ED52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0873BCC"/>
    <w:multiLevelType w:val="hybridMultilevel"/>
    <w:tmpl w:val="8272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5"/>
  </w:num>
  <w:num w:numId="11">
    <w:abstractNumId w:val="32"/>
  </w:num>
  <w:num w:numId="12">
    <w:abstractNumId w:val="16"/>
  </w:num>
  <w:num w:numId="13">
    <w:abstractNumId w:val="22"/>
  </w:num>
  <w:num w:numId="14">
    <w:abstractNumId w:val="13"/>
  </w:num>
  <w:num w:numId="15">
    <w:abstractNumId w:val="31"/>
  </w:num>
  <w:num w:numId="16">
    <w:abstractNumId w:val="11"/>
  </w:num>
  <w:num w:numId="17">
    <w:abstractNumId w:val="27"/>
  </w:num>
  <w:num w:numId="18">
    <w:abstractNumId w:val="9"/>
  </w:num>
  <w:num w:numId="19">
    <w:abstractNumId w:val="29"/>
  </w:num>
  <w:num w:numId="20">
    <w:abstractNumId w:val="26"/>
  </w:num>
  <w:num w:numId="21">
    <w:abstractNumId w:val="20"/>
  </w:num>
  <w:num w:numId="22">
    <w:abstractNumId w:val="28"/>
  </w:num>
  <w:num w:numId="23">
    <w:abstractNumId w:val="21"/>
  </w:num>
  <w:num w:numId="24">
    <w:abstractNumId w:val="10"/>
  </w:num>
  <w:num w:numId="25">
    <w:abstractNumId w:val="25"/>
  </w:num>
  <w:num w:numId="26">
    <w:abstractNumId w:val="24"/>
  </w:num>
  <w:num w:numId="27">
    <w:abstractNumId w:val="33"/>
  </w:num>
  <w:num w:numId="28">
    <w:abstractNumId w:val="8"/>
  </w:num>
  <w:num w:numId="29">
    <w:abstractNumId w:val="23"/>
  </w:num>
  <w:num w:numId="30">
    <w:abstractNumId w:val="34"/>
  </w:num>
  <w:num w:numId="31">
    <w:abstractNumId w:val="6"/>
  </w:num>
  <w:num w:numId="32">
    <w:abstractNumId w:val="7"/>
  </w:num>
  <w:num w:numId="33">
    <w:abstractNumId w:val="15"/>
  </w:num>
  <w:num w:numId="34">
    <w:abstractNumId w:val="1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B59B6"/>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3623</Words>
  <Characters>20654</Characters>
  <Application>Microsoft Office Word</Application>
  <DocSecurity>0</DocSecurity>
  <Lines>172</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2022-01-10T17:45:00Z</dcterms:created>
  <dcterms:modified xsi:type="dcterms:W3CDTF">2022-01-10T17:45:00Z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