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45BF44BA" w:rsidR="00AA23EC" w:rsidRDefault="00DD466D" w:rsidP="00DD466D">
      <w:pPr>
        <w:pStyle w:val="Heading1"/>
      </w:pPr>
      <w:r>
        <w:t>1.ИМЕ НА ЛЕКАРСТВЕНИЯ ПРОДУКТ</w:t>
      </w:r>
    </w:p>
    <w:p w14:paraId="55BC6085" w14:textId="36CFBD10" w:rsidR="00EB5B12" w:rsidRDefault="00EB5B12" w:rsidP="00EB5B12"/>
    <w:p w14:paraId="674ED20F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 xml:space="preserve">Ацикловир АЛ 200 </w:t>
      </w:r>
      <w:r w:rsidRPr="00EB5B12">
        <w:rPr>
          <w:lang w:val="en-US"/>
        </w:rPr>
        <w:t xml:space="preserve">mg </w:t>
      </w:r>
      <w:r w:rsidRPr="00EB5B12">
        <w:rPr>
          <w:lang w:eastAsia="bg-BG"/>
        </w:rPr>
        <w:t>таблетки</w:t>
      </w:r>
    </w:p>
    <w:p w14:paraId="5A94D41F" w14:textId="55DD8694" w:rsidR="00EB5B12" w:rsidRPr="00EB5B12" w:rsidRDefault="00EB5B12" w:rsidP="00EB5B12">
      <w:proofErr w:type="spellStart"/>
      <w:r w:rsidRPr="00EB5B12">
        <w:rPr>
          <w:lang w:val="en-US"/>
        </w:rPr>
        <w:t>Aciclovir</w:t>
      </w:r>
      <w:proofErr w:type="spellEnd"/>
      <w:r w:rsidRPr="00EB5B12">
        <w:rPr>
          <w:lang w:val="en-US"/>
        </w:rPr>
        <w:t xml:space="preserve"> AL </w:t>
      </w:r>
      <w:r w:rsidRPr="00EB5B12">
        <w:rPr>
          <w:lang w:eastAsia="bg-BG"/>
        </w:rPr>
        <w:t xml:space="preserve">200 </w:t>
      </w:r>
      <w:r w:rsidRPr="00EB5B12">
        <w:rPr>
          <w:lang w:val="en-US"/>
        </w:rPr>
        <w:t>mg tablets</w:t>
      </w:r>
    </w:p>
    <w:p w14:paraId="0A368469" w14:textId="2E80C2A5" w:rsidR="00C0049F" w:rsidRDefault="00DD466D" w:rsidP="009F1313">
      <w:pPr>
        <w:pStyle w:val="Heading1"/>
      </w:pPr>
      <w:r>
        <w:t>2. КАЧЕСТВЕН И КОЛИЧЕСТВЕН СЪСТАВ</w:t>
      </w:r>
    </w:p>
    <w:p w14:paraId="1CB7F67B" w14:textId="58778B8C" w:rsidR="00EB5B12" w:rsidRDefault="00EB5B12" w:rsidP="00EB5B12"/>
    <w:p w14:paraId="6B7FF667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 xml:space="preserve">Активно вещество: Ацикловир </w:t>
      </w:r>
      <w:r w:rsidRPr="00EB5B12">
        <w:rPr>
          <w:i/>
          <w:iCs/>
          <w:lang w:val="ru-RU"/>
        </w:rPr>
        <w:t>(</w:t>
      </w:r>
      <w:proofErr w:type="spellStart"/>
      <w:r w:rsidRPr="00EB5B12">
        <w:rPr>
          <w:i/>
          <w:iCs/>
          <w:lang w:val="en-US"/>
        </w:rPr>
        <w:t>aciclovir</w:t>
      </w:r>
      <w:proofErr w:type="spellEnd"/>
      <w:r w:rsidRPr="00EB5B12">
        <w:rPr>
          <w:i/>
          <w:iCs/>
          <w:lang w:val="ru-RU"/>
        </w:rPr>
        <w:t>).</w:t>
      </w:r>
    </w:p>
    <w:p w14:paraId="271CD0D8" w14:textId="5C12DEE5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 xml:space="preserve">Всяка таблетка съдържа 200 </w:t>
      </w:r>
      <w:r w:rsidRPr="00EB5B12">
        <w:rPr>
          <w:lang w:val="en-US"/>
        </w:rPr>
        <w:t>mg</w:t>
      </w:r>
      <w:r w:rsidRPr="00EB5B12">
        <w:t xml:space="preserve"> </w:t>
      </w:r>
      <w:r w:rsidRPr="00EB5B12">
        <w:rPr>
          <w:lang w:eastAsia="bg-BG"/>
        </w:rPr>
        <w:t>ацикловир(</w:t>
      </w:r>
      <w:proofErr w:type="spellStart"/>
      <w:r>
        <w:rPr>
          <w:lang w:val="en-US" w:eastAsia="bg-BG"/>
        </w:rPr>
        <w:t>aciclovir</w:t>
      </w:r>
      <w:proofErr w:type="spellEnd"/>
      <w:r w:rsidRPr="00EB5B12">
        <w:rPr>
          <w:lang w:eastAsia="bg-BG"/>
        </w:rPr>
        <w:t>)</w:t>
      </w:r>
    </w:p>
    <w:p w14:paraId="55FDFEC9" w14:textId="77777777" w:rsidR="00EB5B12" w:rsidRDefault="00EB5B12" w:rsidP="00EB5B12">
      <w:pPr>
        <w:rPr>
          <w:lang w:eastAsia="bg-BG"/>
        </w:rPr>
      </w:pPr>
    </w:p>
    <w:p w14:paraId="1784B906" w14:textId="4092ACDA" w:rsidR="00EB5B12" w:rsidRPr="00EB5B12" w:rsidRDefault="00EB5B12" w:rsidP="00EB5B12">
      <w:pPr>
        <w:rPr>
          <w:lang w:eastAsia="bg-BG"/>
        </w:rPr>
      </w:pPr>
      <w:r w:rsidRPr="00EB5B12">
        <w:rPr>
          <w:lang w:eastAsia="bg-BG"/>
        </w:rPr>
        <w:t>Помощно вещество с известно действие:</w:t>
      </w:r>
    </w:p>
    <w:p w14:paraId="7D3162E8" w14:textId="59BAEAC1" w:rsidR="00EB5B12" w:rsidRPr="00EB5B12" w:rsidRDefault="00EB5B12" w:rsidP="00EB5B12">
      <w:r w:rsidRPr="00EB5B12">
        <w:rPr>
          <w:lang w:eastAsia="bg-BG"/>
        </w:rPr>
        <w:t xml:space="preserve">Всяка таблетка съдържа 0.683 </w:t>
      </w:r>
      <w:r w:rsidRPr="00EB5B12">
        <w:rPr>
          <w:lang w:val="en-US"/>
        </w:rPr>
        <w:t>mg</w:t>
      </w:r>
      <w:r w:rsidRPr="00EB5B12">
        <w:rPr>
          <w:lang w:val="ru-RU"/>
        </w:rPr>
        <w:t xml:space="preserve"> </w:t>
      </w:r>
      <w:r w:rsidRPr="00EB5B12">
        <w:rPr>
          <w:lang w:eastAsia="bg-BG"/>
        </w:rPr>
        <w:t>натрий.</w:t>
      </w:r>
    </w:p>
    <w:p w14:paraId="614984C4" w14:textId="0C244BD3" w:rsidR="008A6AF2" w:rsidRDefault="00DD466D" w:rsidP="002C50EE">
      <w:pPr>
        <w:pStyle w:val="Heading1"/>
      </w:pPr>
      <w:r>
        <w:t>3. ЛЕКАРСТВЕНА ФОРМА</w:t>
      </w:r>
    </w:p>
    <w:p w14:paraId="677D9938" w14:textId="586BE2B1" w:rsidR="00EB5B12" w:rsidRDefault="00EB5B12" w:rsidP="00EB5B12"/>
    <w:p w14:paraId="0BBA3E94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Таблетка.</w:t>
      </w:r>
    </w:p>
    <w:p w14:paraId="02FF6659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Бели, кръгли, двойноизпъкнали таблетки.</w:t>
      </w:r>
    </w:p>
    <w:p w14:paraId="3DE488FA" w14:textId="77777777" w:rsidR="00EB5B12" w:rsidRPr="00EB5B12" w:rsidRDefault="00EB5B12" w:rsidP="00EB5B12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6009EA2F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7769EAF5" w:rsidR="00395555" w:rsidRDefault="00395555" w:rsidP="00395555"/>
    <w:p w14:paraId="234F08D2" w14:textId="6A5C9001" w:rsidR="00EB5B12" w:rsidRPr="00EB5B12" w:rsidRDefault="00EB5B12" w:rsidP="00EB5B1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B5B12">
        <w:rPr>
          <w:lang w:eastAsia="bg-BG"/>
        </w:rPr>
        <w:t xml:space="preserve">Вирусни инфекции на кожата и лигавиците, причинени от </w:t>
      </w:r>
      <w:r w:rsidRPr="00EB5B12">
        <w:rPr>
          <w:lang w:val="en-US"/>
        </w:rPr>
        <w:t>Herpes</w:t>
      </w:r>
      <w:r w:rsidRPr="00EB5B12">
        <w:rPr>
          <w:lang w:val="ru-RU"/>
        </w:rPr>
        <w:t xml:space="preserve"> </w:t>
      </w:r>
      <w:r w:rsidRPr="00EB5B12">
        <w:rPr>
          <w:lang w:val="en-US"/>
        </w:rPr>
        <w:t>Simplex</w:t>
      </w:r>
      <w:r w:rsidRPr="00EB5B12">
        <w:rPr>
          <w:lang w:val="ru-RU"/>
        </w:rPr>
        <w:t xml:space="preserve"> </w:t>
      </w:r>
      <w:r w:rsidRPr="00EB5B12">
        <w:rPr>
          <w:lang w:val="en-US"/>
        </w:rPr>
        <w:t>Virus</w:t>
      </w:r>
      <w:r w:rsidRPr="00EB5B12">
        <w:rPr>
          <w:lang w:val="ru-RU"/>
        </w:rPr>
        <w:t xml:space="preserve"> (</w:t>
      </w:r>
      <w:r w:rsidRPr="00EB5B12">
        <w:rPr>
          <w:lang w:val="en-US"/>
        </w:rPr>
        <w:t>HSV</w:t>
      </w:r>
      <w:r w:rsidRPr="00EB5B12">
        <w:rPr>
          <w:lang w:val="ru-RU"/>
        </w:rPr>
        <w:t xml:space="preserve">), </w:t>
      </w:r>
      <w:r w:rsidRPr="00EB5B12">
        <w:rPr>
          <w:lang w:eastAsia="bg-BG"/>
        </w:rPr>
        <w:t>включително първичен и рецидивиращ генитален херпес.</w:t>
      </w:r>
    </w:p>
    <w:p w14:paraId="2A122C31" w14:textId="3419F6DB" w:rsidR="00EB5B12" w:rsidRPr="00EB5B12" w:rsidRDefault="00EB5B12" w:rsidP="00EB5B1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B5B12">
        <w:rPr>
          <w:lang w:eastAsia="bg-BG"/>
        </w:rPr>
        <w:t xml:space="preserve">За профилактика на тежки форми на вирусни рецидивиращи инфекции с генитален </w:t>
      </w:r>
      <w:r w:rsidRPr="00EB5B12">
        <w:rPr>
          <w:lang w:val="en-US"/>
        </w:rPr>
        <w:t>Herpes</w:t>
      </w:r>
      <w:r w:rsidRPr="00EB5B12">
        <w:rPr>
          <w:lang w:val="ru-RU"/>
        </w:rPr>
        <w:t xml:space="preserve"> </w:t>
      </w:r>
      <w:r w:rsidRPr="00EB5B12">
        <w:rPr>
          <w:lang w:val="en-US"/>
        </w:rPr>
        <w:t>Simplex</w:t>
      </w:r>
      <w:r w:rsidRPr="00EB5B12">
        <w:rPr>
          <w:lang w:val="ru-RU"/>
        </w:rPr>
        <w:t xml:space="preserve"> </w:t>
      </w:r>
      <w:r w:rsidRPr="00EB5B12">
        <w:rPr>
          <w:lang w:val="en-US"/>
        </w:rPr>
        <w:t>Virus</w:t>
      </w:r>
      <w:r w:rsidRPr="00EB5B12">
        <w:rPr>
          <w:lang w:val="ru-RU"/>
        </w:rPr>
        <w:t xml:space="preserve"> </w:t>
      </w:r>
      <w:r w:rsidRPr="00EB5B12">
        <w:rPr>
          <w:lang w:eastAsia="bg-BG"/>
        </w:rPr>
        <w:t>при възрастни пациенти.</w:t>
      </w:r>
    </w:p>
    <w:p w14:paraId="16362DB8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Ацикловир не е показан за лечение на херпес симплекс вирусни инфекции при новородени и деца под 3-месечна възраст, както и при имунокомпрометирани деца с тежки херпес-симплекс вирусни инфекции.</w:t>
      </w:r>
    </w:p>
    <w:p w14:paraId="3567A9B2" w14:textId="77777777" w:rsidR="00EB5B12" w:rsidRPr="00395555" w:rsidRDefault="00EB5B12" w:rsidP="00395555"/>
    <w:p w14:paraId="7C0CA5EB" w14:textId="33CD900A" w:rsidR="00C0049F" w:rsidRDefault="002C50EE" w:rsidP="009F1313">
      <w:pPr>
        <w:pStyle w:val="Heading2"/>
      </w:pPr>
      <w:r>
        <w:t>4.2. Дозировка и начин на приложение</w:t>
      </w:r>
    </w:p>
    <w:p w14:paraId="701BAC64" w14:textId="70B17395" w:rsidR="00EB5B12" w:rsidRDefault="00EB5B12" w:rsidP="00EB5B12"/>
    <w:p w14:paraId="1815AF65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ВЪЗРАСТНИ:</w:t>
      </w:r>
    </w:p>
    <w:p w14:paraId="12F67BAD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 xml:space="preserve">При инфекции с </w:t>
      </w:r>
      <w:r w:rsidRPr="00EB5B12">
        <w:rPr>
          <w:rFonts w:eastAsia="Times New Roman" w:cs="Arial"/>
          <w:color w:val="000000"/>
          <w:szCs w:val="44"/>
          <w:u w:val="single"/>
          <w:lang w:val="en-US"/>
        </w:rPr>
        <w:t>Herpes</w:t>
      </w:r>
      <w:r w:rsidRPr="00EB5B12">
        <w:rPr>
          <w:rFonts w:eastAsia="Times New Roman" w:cs="Arial"/>
          <w:color w:val="000000"/>
          <w:szCs w:val="44"/>
          <w:u w:val="single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u w:val="single"/>
          <w:lang w:val="en-US"/>
        </w:rPr>
        <w:t>simplex</w:t>
      </w:r>
      <w:r w:rsidRPr="00EB5B12">
        <w:rPr>
          <w:rFonts w:eastAsia="Times New Roman" w:cs="Arial"/>
          <w:color w:val="000000"/>
          <w:szCs w:val="44"/>
          <w:u w:val="single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>вирус:</w:t>
      </w:r>
    </w:p>
    <w:p w14:paraId="14F3685A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ацикловир 5 пъти дневно на всеки 4 часа през деня.</w:t>
      </w:r>
    </w:p>
    <w:p w14:paraId="7C00BCED" w14:textId="77777777" w:rsidR="00EB5B12" w:rsidRP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58F709A1" w14:textId="7307E258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  <w:u w:val="single"/>
        </w:rPr>
      </w:pP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>За профилактика на тежки Форми и често повтарящи се инфекции с генитален херпес симплекс вирус:</w:t>
      </w:r>
    </w:p>
    <w:p w14:paraId="13CB22EF" w14:textId="77777777" w:rsidR="00EB5B12" w:rsidRDefault="00EB5B12" w:rsidP="00EB5B12">
      <w:pPr>
        <w:spacing w:line="240" w:lineRule="auto"/>
        <w:rPr>
          <w:rFonts w:eastAsia="Times New Roman" w:cs="Arial"/>
          <w:i/>
          <w:iCs/>
          <w:color w:val="000000"/>
          <w:szCs w:val="44"/>
          <w:lang w:eastAsia="bg-BG"/>
        </w:rPr>
      </w:pPr>
    </w:p>
    <w:p w14:paraId="18394387" w14:textId="6920362C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Пациенти с нормален имунитет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 приемат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4 пъти дневно на всеки 6 часа</w:t>
      </w:r>
    </w:p>
    <w:p w14:paraId="67E043F1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Като алтернатива: 400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Ацикловир АЛ на всеки 12 часа. Някои пациенти могат да достигнат ефективна профилактика с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ацикловир 3 пъти дневно на всеки 8 часа или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</w:p>
    <w:p w14:paraId="573AEAF0" w14:textId="77777777" w:rsidR="00EB5B12" w:rsidRP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lastRenderedPageBreak/>
        <w:t xml:space="preserve">ацикловир 2 пъти дневно на всеки 12 часа. </w:t>
      </w:r>
    </w:p>
    <w:p w14:paraId="500C8019" w14:textId="77777777" w:rsidR="00EB5B12" w:rsidRP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</w:p>
    <w:p w14:paraId="62AC13B0" w14:textId="10833AAA" w:rsid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Пациенти, страдащи от повтарящи се инфекции, независимо от профилактичното приемане на 800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ацикловир дневно, би трябвало до приемат дозата, указана по-горе за лечение на инфекции, причинени от херпес симплекс вирус: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5 пъти дневно на всеки 4 часа за 5 дни. След това пациентите трябва да приемат отново профилактичната дозировка.</w:t>
      </w:r>
    </w:p>
    <w:p w14:paraId="156E466E" w14:textId="4290A60E" w:rsid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</w:p>
    <w:p w14:paraId="5A3EADBE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Имунокомпрометирани пациенти (пациенти с потисната имунна защита)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 трябва да приемат профилактична доза от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ацикловир 4 пъти дневно на всеки 6 часа.</w:t>
      </w:r>
    </w:p>
    <w:p w14:paraId="4A5C0272" w14:textId="77777777" w:rsidR="00EB5B12" w:rsidRDefault="00EB5B12" w:rsidP="00EB5B12">
      <w:pPr>
        <w:spacing w:line="240" w:lineRule="auto"/>
        <w:rPr>
          <w:rFonts w:eastAsia="Times New Roman" w:cs="Arial"/>
          <w:i/>
          <w:iCs/>
          <w:color w:val="000000"/>
          <w:szCs w:val="44"/>
          <w:lang w:eastAsia="bg-BG"/>
        </w:rPr>
      </w:pPr>
    </w:p>
    <w:p w14:paraId="319C3AED" w14:textId="44E96F34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Пациенти с тежък имунен дефицит (силно потисната имунна защита), например след трансплантация на органи</w:t>
      </w:r>
    </w:p>
    <w:p w14:paraId="518D54F6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Дозата може да се удвои на 400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ацикловир 4 пъти дневно, на всеки 6 часа.</w:t>
      </w:r>
    </w:p>
    <w:p w14:paraId="36014A6B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Като алтернатива, особено при пациенти с нарушена чревна резорбция, може да се предпише интравенозна инфузия (суха субстанция ацикловир).</w:t>
      </w:r>
    </w:p>
    <w:p w14:paraId="08126641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6A90B7AC" w14:textId="6DEF1556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>Предупреждение:</w:t>
      </w:r>
    </w:p>
    <w:p w14:paraId="4CE3224B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Описано е възможно развитие на резистентност при имунокомпрометирани (с потисната имунна система) пациенти. Това трябва да се има предвид при определяне на дозата при такива пациенти (вижте точка 5,1).</w:t>
      </w:r>
    </w:p>
    <w:p w14:paraId="0935BF0D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i/>
          <w:iCs/>
          <w:color w:val="000000"/>
          <w:szCs w:val="44"/>
          <w:lang w:eastAsia="bg-BG"/>
        </w:rPr>
      </w:pPr>
    </w:p>
    <w:p w14:paraId="40A764CC" w14:textId="16FD29B5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i/>
          <w:iCs/>
          <w:color w:val="000000"/>
          <w:szCs w:val="44"/>
          <w:lang w:eastAsia="bg-BG"/>
        </w:rPr>
        <w:t>Педиатрична популация:</w:t>
      </w:r>
    </w:p>
    <w:p w14:paraId="70D2BFDF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При деца над 2 годишна възраст за лечение на херпес симплекс вирусни инфекции се прилага доза за възрастни. При деца под 2-годишна възраст таблетките Ацикловир АЛ не са подходящи. За тази възрастова група има по-подходяща лекарствена форма.</w:t>
      </w:r>
    </w:p>
    <w:p w14:paraId="62EF7234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  <w:bookmarkStart w:id="1" w:name="bookmark0"/>
    </w:p>
    <w:p w14:paraId="6017BF14" w14:textId="65F77FD1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color w:val="000000"/>
          <w:szCs w:val="44"/>
          <w:lang w:eastAsia="bg-BG"/>
        </w:rPr>
        <w:t>Пациенти в старческа възраст</w:t>
      </w:r>
      <w:bookmarkEnd w:id="1"/>
    </w:p>
    <w:p w14:paraId="0A0A3FDB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При пациенти в старческа възраст е по-вероятно да настъпи отклонение в бъбречната функция и дозата съответно трябва да бъде адаптирана (вижте по-долу „Дозировка при бъбречно увреждане). Трябва да се осигури достатъчен прием на течности при пациенти в старческа възраст, които приемат високи дози ацикловир.</w:t>
      </w:r>
    </w:p>
    <w:p w14:paraId="23ED6990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i/>
          <w:iCs/>
          <w:color w:val="000000"/>
          <w:szCs w:val="44"/>
          <w:lang w:eastAsia="bg-BG"/>
        </w:rPr>
      </w:pPr>
    </w:p>
    <w:p w14:paraId="46406304" w14:textId="302C05F6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i/>
          <w:iCs/>
          <w:color w:val="000000"/>
          <w:szCs w:val="44"/>
          <w:lang w:eastAsia="bg-BG"/>
        </w:rPr>
        <w:t>Пациенти с бъбречно увреждане</w:t>
      </w:r>
    </w:p>
    <w:p w14:paraId="2F235B9C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При пациенти с бъбречно увреждане предписването на ацикловир трябва да става с повишено внимание и да се осигури необходим прием на течности. При пациенти с отклонения в бъбречната функция, се препоръчват следните дозови режими:</w:t>
      </w:r>
    </w:p>
    <w:p w14:paraId="3F04A49E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14E7D89A" w14:textId="46D6A01D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>Дозировка при бъбречно увреждане: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93"/>
        <w:gridCol w:w="1849"/>
        <w:gridCol w:w="1850"/>
        <w:gridCol w:w="1880"/>
      </w:tblGrid>
      <w:tr w:rsidR="00EB5B12" w14:paraId="1C22E42C" w14:textId="77777777" w:rsidTr="004550DC">
        <w:tc>
          <w:tcPr>
            <w:tcW w:w="1915" w:type="dxa"/>
          </w:tcPr>
          <w:p w14:paraId="01AD32D0" w14:textId="0660936F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Показание</w:t>
            </w:r>
          </w:p>
        </w:tc>
        <w:tc>
          <w:tcPr>
            <w:tcW w:w="1915" w:type="dxa"/>
          </w:tcPr>
          <w:p w14:paraId="6C83170C" w14:textId="4204CD96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 xml:space="preserve">Креатининов клирънс </w:t>
            </w:r>
            <w:r w:rsidRPr="00EB5B12">
              <w:rPr>
                <w:szCs w:val="44"/>
                <w:lang w:val="ru-RU"/>
              </w:rPr>
              <w:t>(</w:t>
            </w:r>
            <w:r w:rsidRPr="00EB5B12">
              <w:rPr>
                <w:szCs w:val="44"/>
                <w:lang w:val="en-US"/>
              </w:rPr>
              <w:t>ml</w:t>
            </w:r>
            <w:r w:rsidRPr="00EB5B12">
              <w:rPr>
                <w:szCs w:val="44"/>
                <w:lang w:val="ru-RU"/>
              </w:rPr>
              <w:t>/</w:t>
            </w:r>
            <w:r w:rsidRPr="00EB5B12">
              <w:rPr>
                <w:szCs w:val="44"/>
                <w:lang w:val="en-US"/>
              </w:rPr>
              <w:t>min</w:t>
            </w:r>
            <w:r w:rsidRPr="00EB5B12">
              <w:rPr>
                <w:szCs w:val="44"/>
                <w:lang w:val="ru-RU"/>
              </w:rPr>
              <w:t>/1</w:t>
            </w:r>
            <w:r w:rsidRPr="00EB5B12">
              <w:rPr>
                <w:szCs w:val="44"/>
              </w:rPr>
              <w:t xml:space="preserve">.73 </w:t>
            </w:r>
            <w:r w:rsidRPr="00EB5B12">
              <w:rPr>
                <w:szCs w:val="44"/>
                <w:lang w:val="en-US"/>
              </w:rPr>
              <w:t>m</w:t>
            </w:r>
            <w:r w:rsidRPr="00EB5B12">
              <w:rPr>
                <w:szCs w:val="44"/>
                <w:vertAlign w:val="superscript"/>
                <w:lang w:val="ru-RU"/>
              </w:rPr>
              <w:t>2</w:t>
            </w:r>
            <w:r w:rsidRPr="00EB5B12">
              <w:rPr>
                <w:szCs w:val="44"/>
                <w:lang w:val="ru-RU"/>
              </w:rPr>
              <w:t>)</w:t>
            </w:r>
          </w:p>
        </w:tc>
        <w:tc>
          <w:tcPr>
            <w:tcW w:w="3830" w:type="dxa"/>
            <w:gridSpan w:val="2"/>
          </w:tcPr>
          <w:p w14:paraId="44487848" w14:textId="3EF14BEE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Серумен креатинин (</w:t>
            </w:r>
            <w:proofErr w:type="spellStart"/>
            <w:r w:rsidRPr="00EB5B12">
              <w:rPr>
                <w:szCs w:val="44"/>
                <w:lang w:val="en-US"/>
              </w:rPr>
              <w:t>μmol</w:t>
            </w:r>
            <w:proofErr w:type="spellEnd"/>
            <w:r w:rsidRPr="00EB5B12">
              <w:rPr>
                <w:szCs w:val="44"/>
              </w:rPr>
              <w:t>/</w:t>
            </w:r>
            <w:r w:rsidRPr="00EB5B12">
              <w:rPr>
                <w:szCs w:val="44"/>
                <w:lang w:val="en-US"/>
              </w:rPr>
              <w:t>L</w:t>
            </w:r>
            <w:r w:rsidRPr="00EB5B12">
              <w:rPr>
                <w:szCs w:val="44"/>
              </w:rPr>
              <w:t xml:space="preserve"> </w:t>
            </w:r>
            <w:r w:rsidRPr="00EB5B12">
              <w:rPr>
                <w:szCs w:val="44"/>
                <w:lang w:val="en-US"/>
              </w:rPr>
              <w:t>or</w:t>
            </w:r>
            <w:r w:rsidRPr="00EB5B12">
              <w:rPr>
                <w:szCs w:val="44"/>
              </w:rPr>
              <w:t xml:space="preserve"> </w:t>
            </w:r>
            <w:r w:rsidRPr="00EB5B12">
              <w:rPr>
                <w:szCs w:val="44"/>
                <w:lang w:val="en-US"/>
              </w:rPr>
              <w:t>mg</w:t>
            </w:r>
            <w:r w:rsidRPr="00EB5B12">
              <w:rPr>
                <w:szCs w:val="44"/>
              </w:rPr>
              <w:t>/</w:t>
            </w:r>
            <w:r w:rsidRPr="00EB5B12">
              <w:rPr>
                <w:szCs w:val="44"/>
                <w:lang w:val="en-US"/>
              </w:rPr>
              <w:t>dl</w:t>
            </w:r>
            <w:r w:rsidRPr="00EB5B12">
              <w:rPr>
                <w:szCs w:val="44"/>
              </w:rPr>
              <w:t>)</w:t>
            </w:r>
          </w:p>
        </w:tc>
        <w:tc>
          <w:tcPr>
            <w:tcW w:w="1916" w:type="dxa"/>
          </w:tcPr>
          <w:p w14:paraId="2B3B4716" w14:textId="49FACD0A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Доза ацикловир</w:t>
            </w:r>
          </w:p>
        </w:tc>
      </w:tr>
      <w:tr w:rsidR="00EB5B12" w14:paraId="50F7EC16" w14:textId="77777777" w:rsidTr="00EB5B12">
        <w:tc>
          <w:tcPr>
            <w:tcW w:w="1915" w:type="dxa"/>
          </w:tcPr>
          <w:p w14:paraId="019822E9" w14:textId="77777777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14:paraId="447FFD97" w14:textId="77777777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14:paraId="7D30657E" w14:textId="45774E84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  <w:u w:val="single"/>
              </w:rPr>
              <w:t>Жени</w:t>
            </w:r>
          </w:p>
        </w:tc>
        <w:tc>
          <w:tcPr>
            <w:tcW w:w="1915" w:type="dxa"/>
          </w:tcPr>
          <w:p w14:paraId="44B27DB2" w14:textId="0D0C0223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  <w:u w:val="single"/>
              </w:rPr>
              <w:t>Мъже</w:t>
            </w:r>
          </w:p>
        </w:tc>
        <w:tc>
          <w:tcPr>
            <w:tcW w:w="1916" w:type="dxa"/>
          </w:tcPr>
          <w:p w14:paraId="0E8CF74D" w14:textId="77777777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B5B12" w14:paraId="7146E1FD" w14:textId="77777777" w:rsidTr="00EB5B12">
        <w:tc>
          <w:tcPr>
            <w:tcW w:w="1915" w:type="dxa"/>
          </w:tcPr>
          <w:p w14:paraId="5228DACA" w14:textId="6FD848C0" w:rsidR="00EB5B12" w:rsidRPr="00EB5B12" w:rsidRDefault="00EB5B12" w:rsidP="00EB5B12">
            <w:r>
              <w:rPr>
                <w:szCs w:val="44"/>
              </w:rPr>
              <w:t xml:space="preserve">Инфекции </w:t>
            </w:r>
            <w:r w:rsidRPr="00EB5B12">
              <w:rPr>
                <w:szCs w:val="44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szCs w:val="44"/>
              </w:rPr>
              <w:t xml:space="preserve">херпес </w:t>
            </w:r>
            <w:r w:rsidRPr="00EB5B12">
              <w:rPr>
                <w:szCs w:val="44"/>
              </w:rPr>
              <w:t>симплекс</w:t>
            </w:r>
          </w:p>
        </w:tc>
        <w:tc>
          <w:tcPr>
            <w:tcW w:w="1915" w:type="dxa"/>
          </w:tcPr>
          <w:p w14:paraId="045E4636" w14:textId="6F824105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&lt;10</w:t>
            </w:r>
          </w:p>
        </w:tc>
        <w:tc>
          <w:tcPr>
            <w:tcW w:w="1915" w:type="dxa"/>
          </w:tcPr>
          <w:p w14:paraId="20BAA693" w14:textId="77777777" w:rsidR="00EB5B12" w:rsidRPr="00EB5B12" w:rsidRDefault="00EB5B12" w:rsidP="00EB5B12">
            <w:r w:rsidRPr="00EB5B12">
              <w:rPr>
                <w:szCs w:val="44"/>
              </w:rPr>
              <w:t>&gt; 550 или</w:t>
            </w:r>
          </w:p>
          <w:p w14:paraId="2FB83C64" w14:textId="33950F2C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&gt;6.22</w:t>
            </w:r>
          </w:p>
        </w:tc>
        <w:tc>
          <w:tcPr>
            <w:tcW w:w="1915" w:type="dxa"/>
          </w:tcPr>
          <w:p w14:paraId="7873E68B" w14:textId="77777777" w:rsidR="00EB5B12" w:rsidRPr="00EB5B12" w:rsidRDefault="00EB5B12" w:rsidP="00EB5B12">
            <w:r w:rsidRPr="00EB5B12">
              <w:rPr>
                <w:szCs w:val="44"/>
              </w:rPr>
              <w:t>&gt; 750 или</w:t>
            </w:r>
          </w:p>
          <w:p w14:paraId="49F199B3" w14:textId="1160615A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>&gt;8.45</w:t>
            </w:r>
          </w:p>
        </w:tc>
        <w:tc>
          <w:tcPr>
            <w:tcW w:w="1916" w:type="dxa"/>
          </w:tcPr>
          <w:p w14:paraId="54A24BE8" w14:textId="3983811A" w:rsidR="00EB5B12" w:rsidRPr="00EB5B12" w:rsidRDefault="00EB5B12" w:rsidP="00EB5B1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B5B12">
              <w:rPr>
                <w:szCs w:val="44"/>
              </w:rPr>
              <w:t xml:space="preserve">200 </w:t>
            </w:r>
            <w:r w:rsidRPr="00EB5B12">
              <w:rPr>
                <w:szCs w:val="44"/>
                <w:lang w:val="en-US"/>
              </w:rPr>
              <w:t>mg</w:t>
            </w:r>
            <w:r w:rsidRPr="00EB5B12">
              <w:rPr>
                <w:szCs w:val="44"/>
                <w:lang w:val="ru-RU"/>
              </w:rPr>
              <w:t xml:space="preserve"> </w:t>
            </w:r>
            <w:r w:rsidRPr="00EB5B12">
              <w:rPr>
                <w:szCs w:val="44"/>
              </w:rPr>
              <w:t>2 пъти дневно на всеки 12часа</w:t>
            </w:r>
          </w:p>
        </w:tc>
      </w:tr>
    </w:tbl>
    <w:p w14:paraId="7CAC7D0E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44AFB8AE" w14:textId="231F23C8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u w:val="single"/>
          <w:lang w:eastAsia="bg-BG"/>
        </w:rPr>
        <w:t>Начин на приложение и продължителност на лечението</w:t>
      </w:r>
    </w:p>
    <w:p w14:paraId="244CC876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Таблетките трябва да се приемат с достатъчно количество течности, ако е възможно след хранене.</w:t>
      </w:r>
    </w:p>
    <w:p w14:paraId="32C94410" w14:textId="73A832C5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lastRenderedPageBreak/>
        <w:t>За да се получи адекватен клиничен отговор, Ацикловир АЛ трябва да започне да се приема</w:t>
      </w:r>
      <w:r w:rsidRPr="00EB5B12">
        <w:rPr>
          <w:rFonts w:eastAsia="Times New Roman" w:cs="Arial"/>
          <w:sz w:val="12"/>
          <w:szCs w:val="2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веднага след поява на първите кожни признаци. Особено при рецидивиращи херпес симплекс</w:t>
      </w:r>
      <w:r w:rsidRPr="00EB5B12">
        <w:rPr>
          <w:rFonts w:eastAsia="Times New Roman" w:cs="Arial"/>
          <w:sz w:val="12"/>
          <w:szCs w:val="2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вирусни инфекции. пациентите трябва да започнат прием на ацикловир при поява на първи</w:t>
      </w:r>
      <w:r w:rsidRPr="00EB5B12">
        <w:rPr>
          <w:rFonts w:eastAsia="Times New Roman" w:cs="Arial"/>
          <w:sz w:val="12"/>
          <w:szCs w:val="2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признаци на рецидив (например сърбеж, напрегнатост, поява на мехури по кожата).</w:t>
      </w:r>
      <w:r w:rsidRPr="00EB5B12">
        <w:rPr>
          <w:rFonts w:eastAsia="Times New Roman" w:cs="Arial"/>
          <w:sz w:val="12"/>
          <w:szCs w:val="2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Ако пациент е забравил да вземе една доза, лечението трябва да продължи, както е предписано.</w:t>
      </w:r>
      <w:r w:rsidRPr="00EB5B12">
        <w:rPr>
          <w:rFonts w:eastAsia="Times New Roman" w:cs="Arial"/>
          <w:sz w:val="12"/>
          <w:szCs w:val="2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>Ако се пропуснат повече дози, трябва да се направи консултация с лекар.</w:t>
      </w:r>
    </w:p>
    <w:p w14:paraId="16B0A069" w14:textId="1106A4E7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3236C726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color w:val="000000"/>
          <w:szCs w:val="44"/>
          <w:lang w:eastAsia="bg-BG"/>
        </w:rPr>
        <w:t>Продължителност на лечението</w:t>
      </w:r>
    </w:p>
    <w:p w14:paraId="7A82BC44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Инфекции, причинени от херпес симплекс вирус</w:t>
      </w:r>
    </w:p>
    <w:p w14:paraId="047D7724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Продължителността на лечението обикновено е 5 дни, но клиничното състояние при някои пациенти може да наложи по-дълго лечение.</w:t>
      </w:r>
    </w:p>
    <w:p w14:paraId="703981AA" w14:textId="77777777" w:rsidR="00EB5B12" w:rsidRPr="00EB5B12" w:rsidRDefault="00EB5B12" w:rsidP="00EB5B12">
      <w:pPr>
        <w:spacing w:line="240" w:lineRule="auto"/>
        <w:rPr>
          <w:rFonts w:eastAsia="Times New Roman" w:cs="Arial"/>
          <w:i/>
          <w:iCs/>
          <w:color w:val="000000"/>
          <w:szCs w:val="44"/>
          <w:lang w:eastAsia="bg-BG"/>
        </w:rPr>
      </w:pPr>
    </w:p>
    <w:p w14:paraId="5C504C0F" w14:textId="61A774D2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 xml:space="preserve">Предпазване от инфекции с херпес симплекс вирус при пациенти с нормална имунна защита </w:t>
      </w:r>
      <w:r w:rsidRPr="00EB5B12">
        <w:rPr>
          <w:rFonts w:eastAsia="Times New Roman" w:cs="Arial"/>
          <w:color w:val="000000"/>
          <w:szCs w:val="44"/>
          <w:lang w:eastAsia="bg-BG"/>
        </w:rPr>
        <w:t>Продължителността на лечението зависи от тежестта и честотата на рецидивиране на заболяването. Профилактиката не трябва да продължава повече от 6-12 месеца.</w:t>
      </w:r>
    </w:p>
    <w:p w14:paraId="417286BA" w14:textId="77777777" w:rsidR="00EB5B12" w:rsidRPr="00EB5B12" w:rsidRDefault="00EB5B12" w:rsidP="00EB5B12">
      <w:pPr>
        <w:spacing w:line="240" w:lineRule="auto"/>
        <w:rPr>
          <w:rFonts w:eastAsia="Times New Roman" w:cs="Arial"/>
          <w:i/>
          <w:iCs/>
          <w:color w:val="000000"/>
          <w:szCs w:val="44"/>
          <w:lang w:eastAsia="bg-BG"/>
        </w:rPr>
      </w:pPr>
    </w:p>
    <w:p w14:paraId="0F82CD32" w14:textId="21407919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i/>
          <w:iCs/>
          <w:color w:val="000000"/>
          <w:szCs w:val="44"/>
          <w:lang w:eastAsia="bg-BG"/>
        </w:rPr>
        <w:t>Профилактиката при инфекции от херпес симплекс вирус при имунокомпроментирани пациенти</w:t>
      </w:r>
    </w:p>
    <w:p w14:paraId="46F0F3B4" w14:textId="10B97705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Продължителността на лечението зависи от степента на потиснатост на имунната защита и от увеличения риск от инфекция и се определя индивидуално от лекар.</w:t>
      </w:r>
    </w:p>
    <w:p w14:paraId="5AE176CE" w14:textId="1697A391" w:rsidR="00EB5B12" w:rsidRP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62B13D0B" w14:textId="6397CD09" w:rsidR="00395555" w:rsidRDefault="002C50EE" w:rsidP="008A6AF2">
      <w:pPr>
        <w:pStyle w:val="Heading2"/>
      </w:pPr>
      <w:r>
        <w:t>4.3. Противопоказания</w:t>
      </w:r>
    </w:p>
    <w:p w14:paraId="51A1B3AD" w14:textId="4376D2C8" w:rsidR="00EB5B12" w:rsidRDefault="00EB5B12" w:rsidP="00EB5B12"/>
    <w:p w14:paraId="62985CC7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Свръхчувствителност към активното вещество, валацикловир или към някое от помощните вещества, изброени в точка 6.1.</w:t>
      </w:r>
    </w:p>
    <w:p w14:paraId="6079B8E6" w14:textId="15A47313" w:rsidR="00EB5B12" w:rsidRPr="00EB5B12" w:rsidRDefault="00EB5B12" w:rsidP="00EB5B12"/>
    <w:p w14:paraId="5A4AC413" w14:textId="38B737DB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67E6A067" w14:textId="60DF69B4" w:rsidR="00EB5B12" w:rsidRDefault="00EB5B12" w:rsidP="00EB5B12"/>
    <w:p w14:paraId="5B4BB01B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Трябва да се осигури достатъчен прием на течности при пациенти, които приемат високи дози ацикловир или на които ацикловир е прилаган интравенозно.</w:t>
      </w:r>
    </w:p>
    <w:p w14:paraId="01AFF2CD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Рискът от бъбречно увреждане е по-голям, ако ацикловир се приема едновременно с други нефротоксични лекарства.</w:t>
      </w:r>
    </w:p>
    <w:p w14:paraId="0033E8DF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</w:p>
    <w:p w14:paraId="56024C22" w14:textId="220A4CE0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color w:val="000000"/>
          <w:szCs w:val="44"/>
          <w:lang w:eastAsia="bg-BG"/>
        </w:rPr>
        <w:t>Употреба при пациенти с бъбречно увреждане и при пациенти в старческа възраст</w:t>
      </w:r>
    </w:p>
    <w:p w14:paraId="312F8DE5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Ацикловир се елиминира чрез бъбречен клирънс, затова дозата трябва да бъде намалена при пациенти с бъбречно увреждане (вижте точка 4.2). При пациенти в старческа възраст е по- вероятно да развият отклонение в бъбречната функция и затова при тях трябва да се вземе под внимание необходимостта от намаляване на дозата. И при двете групи пациенти - тези в старческа възраст и такива с бъбречно увреждане има по-голям риск от поява на неврологични нежелани реакции и затова трябва да бъдат внимателно проследявани. При докладваните случаи тези реакции са били преходни и изчезват след прекратяване на лечението.</w:t>
      </w:r>
    </w:p>
    <w:p w14:paraId="69C88253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086356FF" w14:textId="4B6E83F1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Тъй като липсват данни за превантивна употреба на ацикловир таблетки при пациенти с бъбречна недостатъчност или анурия, таблетките ацикловир не трябва да се използват при тези пациенти.</w:t>
      </w:r>
    </w:p>
    <w:p w14:paraId="67A54C57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  <w:bookmarkStart w:id="2" w:name="bookmark2"/>
    </w:p>
    <w:p w14:paraId="660D2F14" w14:textId="62796F0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color w:val="000000"/>
          <w:szCs w:val="44"/>
          <w:lang w:eastAsia="bg-BG"/>
        </w:rPr>
        <w:t>Продължителни или повтарящи се терапевтични курсове</w:t>
      </w:r>
      <w:bookmarkEnd w:id="2"/>
    </w:p>
    <w:p w14:paraId="22D4062F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lastRenderedPageBreak/>
        <w:t>Продължителни или повтарящи се терапевтични курсове с ацикловир при имунокомпрометирани пациенти може да доведат до развитие на резистентни вирусни типове, при които да няма отговор при продължително лечение с ацикловир.</w:t>
      </w:r>
    </w:p>
    <w:p w14:paraId="4BBF94FE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  <w:bookmarkStart w:id="3" w:name="bookmark4"/>
    </w:p>
    <w:p w14:paraId="3AFDEC7A" w14:textId="4C3C98D2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b/>
          <w:bCs/>
          <w:color w:val="000000"/>
          <w:szCs w:val="44"/>
          <w:lang w:eastAsia="bg-BG"/>
        </w:rPr>
        <w:t>Помощни вещества</w:t>
      </w:r>
      <w:bookmarkEnd w:id="3"/>
    </w:p>
    <w:p w14:paraId="75E71B5E" w14:textId="0FC3B2E9" w:rsid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Този лекарствен продукт съдържа по-малко от 1 </w:t>
      </w:r>
      <w:proofErr w:type="spellStart"/>
      <w:r w:rsidRPr="00EB5B12">
        <w:rPr>
          <w:rFonts w:eastAsia="Times New Roman" w:cs="Arial"/>
          <w:color w:val="000000"/>
          <w:szCs w:val="44"/>
          <w:lang w:val="en-US"/>
        </w:rPr>
        <w:t>mmol</w:t>
      </w:r>
      <w:proofErr w:type="spellEnd"/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натрий (23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) </w:t>
      </w:r>
      <w:r w:rsidRPr="00EB5B12">
        <w:rPr>
          <w:rFonts w:eastAsia="Times New Roman" w:cs="Arial"/>
          <w:color w:val="000000"/>
          <w:szCs w:val="44"/>
          <w:lang w:eastAsia="bg-BG"/>
        </w:rPr>
        <w:t>на таблетка т.е. може да се каже, че практически не съдържа натрий.</w:t>
      </w:r>
    </w:p>
    <w:p w14:paraId="61B357EE" w14:textId="77777777" w:rsidR="00EB5B12" w:rsidRPr="00EB5B12" w:rsidRDefault="00EB5B12" w:rsidP="00EB5B12">
      <w:pPr>
        <w:rPr>
          <w:rFonts w:cs="Arial"/>
          <w:sz w:val="10"/>
        </w:rPr>
      </w:pPr>
    </w:p>
    <w:p w14:paraId="1244F76A" w14:textId="09A7A31E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F2963AD" w14:textId="71E1E35F" w:rsidR="00EB5B12" w:rsidRDefault="00EB5B12" w:rsidP="00EB5B12"/>
    <w:p w14:paraId="1DE20C2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Ацикловирът се елиминира основно непроменен с урината посредством активна бъбречна тубуларна секреция. Всички перорално приложени лекарства, използващи същия механизъм за елиминиране могат да повишат плазмените концентрации на ацикловир.</w:t>
      </w:r>
    </w:p>
    <w:p w14:paraId="03F95A5D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Пробеницид и циметидин повишават плазмената концентрация на ацикловир и понижават бъбречната му екскреция посредством този механизъм.</w:t>
      </w:r>
    </w:p>
    <w:p w14:paraId="732FBD5C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A938EB" w14:textId="2CF94DF0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 xml:space="preserve">Наблюдавани са по-високи нива на плазмени концентрации на ацикловир, когато </w:t>
      </w:r>
    </w:p>
    <w:p w14:paraId="100C509E" w14:textId="48884418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микофенолат мофетил (имуносупресант) е прилаган с ацикловир, отколкото при самостоятелно приложение на ацикловир. Не е необходимо адаптиране на дозировката поради широкия терапевтичен индекс на ацикловир.</w:t>
      </w:r>
    </w:p>
    <w:p w14:paraId="27F6F7AC" w14:textId="77777777" w:rsidR="00EB5B12" w:rsidRDefault="00EB5B12" w:rsidP="00EB5B12">
      <w:pPr>
        <w:rPr>
          <w:rFonts w:eastAsia="Times New Roman" w:cs="Arial"/>
          <w:color w:val="000000"/>
          <w:lang w:eastAsia="bg-BG"/>
        </w:rPr>
      </w:pPr>
    </w:p>
    <w:p w14:paraId="01DCB9B6" w14:textId="23164237" w:rsidR="00EB5B12" w:rsidRDefault="00EB5B12" w:rsidP="00EB5B12">
      <w:pPr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Експериментално проучване при пет мъже показва, че при едновременно приемане на ацикловир и теофилин, плазмените концентрации (площта под кривата</w:t>
      </w:r>
      <w:r w:rsidRPr="00EB5B12">
        <w:rPr>
          <w:rFonts w:eastAsia="Times New Roman" w:cs="Arial"/>
          <w:color w:val="000000"/>
          <w:lang w:val="ru-RU"/>
        </w:rPr>
        <w:t>-</w:t>
      </w:r>
      <w:r w:rsidRPr="00EB5B12">
        <w:rPr>
          <w:rFonts w:eastAsia="Times New Roman" w:cs="Arial"/>
          <w:color w:val="000000"/>
          <w:lang w:val="en-US"/>
        </w:rPr>
        <w:t>AUC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>на теофилин се повишават с приблизително 50%. Препоръчва се да се проверяват плазмените му концентрации по време на едновременния прием с ацикловир.</w:t>
      </w:r>
    </w:p>
    <w:p w14:paraId="3529E3D5" w14:textId="77777777" w:rsidR="00EB5B12" w:rsidRPr="00EB5B12" w:rsidRDefault="00EB5B12" w:rsidP="00EB5B12">
      <w:pPr>
        <w:rPr>
          <w:rFonts w:cs="Arial"/>
        </w:rPr>
      </w:pPr>
    </w:p>
    <w:p w14:paraId="6EADE4D6" w14:textId="09807613" w:rsidR="00395555" w:rsidRDefault="002C50EE" w:rsidP="008A6AF2">
      <w:pPr>
        <w:pStyle w:val="Heading2"/>
      </w:pPr>
      <w:r>
        <w:t>4.6. Фертилитет, бременност и кърмене</w:t>
      </w:r>
    </w:p>
    <w:p w14:paraId="203E6FED" w14:textId="16589358" w:rsidR="00EB5B12" w:rsidRDefault="00EB5B12" w:rsidP="00EB5B12"/>
    <w:p w14:paraId="447DC0AA" w14:textId="77777777" w:rsidR="00EB5B12" w:rsidRPr="00EB5B12" w:rsidRDefault="00EB5B12" w:rsidP="00EB5B12">
      <w:pPr>
        <w:pStyle w:val="Heading3"/>
        <w:rPr>
          <w:rFonts w:eastAsia="Times New Roman"/>
          <w:b/>
        </w:rPr>
      </w:pPr>
      <w:r w:rsidRPr="00EB5B12">
        <w:rPr>
          <w:rFonts w:eastAsia="Times New Roman"/>
          <w:b/>
          <w:lang w:eastAsia="bg-BG"/>
        </w:rPr>
        <w:t>Бременност</w:t>
      </w:r>
    </w:p>
    <w:p w14:paraId="275500F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Внимателно трябва да се прецени съотношението между очакваната полза и потенциалния риск при бременни жени, при които лечението с ацикловир е необходимо.</w:t>
      </w:r>
    </w:p>
    <w:p w14:paraId="0311E676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Постмаркетингови записи от проучвания при бременни жени, при които е прилаган ацикловир (всички лекарствени форми) не показват по-голяма тенденция за поява на вродени дефекти, в сравнение с общата популация, а и всички вродени дефекти не показват уникалност или последователен модел да се предположи една обща първопричина.</w:t>
      </w:r>
    </w:p>
    <w:p w14:paraId="4B48C6E2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C2E63A" w14:textId="3A07760E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Проучвания при животни не доказват директно или индиректно влияние върху репродуктивността.</w:t>
      </w:r>
    </w:p>
    <w:p w14:paraId="74AD7AEE" w14:textId="77777777" w:rsidR="00EB5B12" w:rsidRP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</w:p>
    <w:p w14:paraId="3007231A" w14:textId="3AEB6C7B" w:rsidR="00EB5B12" w:rsidRPr="00EB5B12" w:rsidRDefault="00EB5B12" w:rsidP="00EB5B12">
      <w:pPr>
        <w:pStyle w:val="Heading3"/>
        <w:rPr>
          <w:rFonts w:eastAsia="Times New Roman"/>
          <w:b/>
          <w:sz w:val="12"/>
        </w:rPr>
      </w:pPr>
      <w:r w:rsidRPr="00EB5B12">
        <w:rPr>
          <w:rFonts w:eastAsia="Times New Roman"/>
          <w:b/>
          <w:lang w:eastAsia="bg-BG"/>
        </w:rPr>
        <w:t>Кърмене</w:t>
      </w:r>
    </w:p>
    <w:p w14:paraId="1CDA79BC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 xml:space="preserve">След перорален прием на 200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EB5B12">
        <w:rPr>
          <w:rFonts w:eastAsia="Times New Roman" w:cs="Arial"/>
          <w:color w:val="000000"/>
          <w:szCs w:val="44"/>
          <w:lang w:eastAsia="bg-BG"/>
        </w:rPr>
        <w:t xml:space="preserve">пет пъти дневно, ацикловир се открива в майчината кърма в концентрации от 0,6 до 4,1 пъти от тези, измерени в плазмата. Тези стойности биха могли да доведат до поглъщане на дози ацикловир до 0.3 </w:t>
      </w:r>
      <w:r w:rsidRPr="00EB5B12">
        <w:rPr>
          <w:rFonts w:eastAsia="Times New Roman" w:cs="Arial"/>
          <w:color w:val="000000"/>
          <w:szCs w:val="44"/>
          <w:lang w:val="en-US"/>
        </w:rPr>
        <w:t>mg</w:t>
      </w:r>
      <w:r w:rsidRPr="00EB5B12">
        <w:rPr>
          <w:rFonts w:eastAsia="Times New Roman" w:cs="Arial"/>
          <w:color w:val="000000"/>
          <w:szCs w:val="44"/>
          <w:lang w:val="ru-RU"/>
        </w:rPr>
        <w:t>/</w:t>
      </w:r>
      <w:r w:rsidRPr="00EB5B12">
        <w:rPr>
          <w:rFonts w:eastAsia="Times New Roman" w:cs="Arial"/>
          <w:color w:val="000000"/>
          <w:szCs w:val="44"/>
          <w:lang w:val="en-US"/>
        </w:rPr>
        <w:t>kg</w:t>
      </w:r>
      <w:r w:rsidRPr="00EB5B12">
        <w:rPr>
          <w:rFonts w:eastAsia="Times New Roman" w:cs="Arial"/>
          <w:color w:val="000000"/>
          <w:szCs w:val="44"/>
          <w:lang w:eastAsia="bg-BG"/>
        </w:rPr>
        <w:t>/дневно от кърмачето. По тази причина ацикловир трябва да се прилага с повишено внимание по време на кърмене и само, когато е клинично показано.</w:t>
      </w:r>
    </w:p>
    <w:p w14:paraId="73771848" w14:textId="77777777" w:rsidR="00EB5B12" w:rsidRP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szCs w:val="44"/>
          <w:lang w:eastAsia="bg-BG"/>
        </w:rPr>
      </w:pPr>
    </w:p>
    <w:p w14:paraId="047CDA3F" w14:textId="0ACCF246" w:rsidR="00EB5B12" w:rsidRPr="00EB5B12" w:rsidRDefault="00EB5B12" w:rsidP="00EB5B12">
      <w:pPr>
        <w:pStyle w:val="Heading3"/>
        <w:rPr>
          <w:rFonts w:eastAsia="Times New Roman"/>
          <w:b/>
          <w:sz w:val="12"/>
        </w:rPr>
      </w:pPr>
      <w:r w:rsidRPr="00EB5B12">
        <w:rPr>
          <w:rFonts w:eastAsia="Times New Roman"/>
          <w:b/>
          <w:lang w:eastAsia="bg-BG"/>
        </w:rPr>
        <w:lastRenderedPageBreak/>
        <w:t>Фертилитет</w:t>
      </w:r>
    </w:p>
    <w:p w14:paraId="44CD5829" w14:textId="77777777" w:rsidR="00EB5B12" w:rsidRPr="00EB5B12" w:rsidRDefault="00EB5B12" w:rsidP="00EB5B12">
      <w:pPr>
        <w:spacing w:line="240" w:lineRule="auto"/>
        <w:rPr>
          <w:rFonts w:eastAsia="Times New Roman" w:cs="Arial"/>
          <w:sz w:val="12"/>
          <w:szCs w:val="24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Няма данни за влияние на перорално приеман ацикловир върху фертилитета при жени.</w:t>
      </w:r>
    </w:p>
    <w:p w14:paraId="5F194BF1" w14:textId="4202B719" w:rsidR="00EB5B12" w:rsidRDefault="00EB5B12" w:rsidP="00EB5B12">
      <w:pPr>
        <w:rPr>
          <w:rFonts w:eastAsia="Times New Roman" w:cs="Arial"/>
          <w:color w:val="000000"/>
          <w:szCs w:val="44"/>
          <w:lang w:eastAsia="bg-BG"/>
        </w:rPr>
      </w:pPr>
      <w:r w:rsidRPr="00EB5B12">
        <w:rPr>
          <w:rFonts w:eastAsia="Times New Roman" w:cs="Arial"/>
          <w:color w:val="000000"/>
          <w:szCs w:val="44"/>
          <w:lang w:eastAsia="bg-BG"/>
        </w:rPr>
        <w:t>При мъже с нормален брой клетки в спермата, ацикловир няма значително влияние върху броя на клетките, подвижността и морфологията им.</w:t>
      </w:r>
    </w:p>
    <w:p w14:paraId="7D37229B" w14:textId="77777777" w:rsidR="00EB5B12" w:rsidRPr="00EB5B12" w:rsidRDefault="00EB5B12" w:rsidP="00EB5B12"/>
    <w:p w14:paraId="5766770B" w14:textId="47377D0F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36C57FE4" w14:textId="51C826B1" w:rsidR="00EB5B12" w:rsidRDefault="00EB5B12" w:rsidP="00EB5B12"/>
    <w:p w14:paraId="6BB39E59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Клиничното състояние на пациента и профилът на ацикловир по отношение на нежеланите реакции, трябва да се има в предвид, когато се преценява способността на пациентите за шофиране или работа с машини.</w:t>
      </w:r>
    </w:p>
    <w:p w14:paraId="64CEA5E7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Не са провеждани проучвания за изследване на ефектите върху способността за шофиране или способността да работят с машини.</w:t>
      </w:r>
    </w:p>
    <w:p w14:paraId="06813E7A" w14:textId="5D80AE54" w:rsidR="00EB5B12" w:rsidRDefault="00EB5B12" w:rsidP="00EB5B12">
      <w:pPr>
        <w:rPr>
          <w:lang w:eastAsia="bg-BG"/>
        </w:rPr>
      </w:pPr>
      <w:r w:rsidRPr="00EB5B12">
        <w:rPr>
          <w:lang w:eastAsia="bg-BG"/>
        </w:rPr>
        <w:t>Освен това ефектът върху тези дейности не може да се прогнозира от фармакологичните свойства на активното вещество.</w:t>
      </w:r>
    </w:p>
    <w:p w14:paraId="2CACBEEF" w14:textId="77777777" w:rsidR="00EB5B12" w:rsidRPr="00EB5B12" w:rsidRDefault="00EB5B12" w:rsidP="00EB5B12"/>
    <w:p w14:paraId="4FE16E21" w14:textId="7A25984F" w:rsidR="00395555" w:rsidRDefault="002C50EE" w:rsidP="008A6AF2">
      <w:pPr>
        <w:pStyle w:val="Heading2"/>
      </w:pPr>
      <w:r>
        <w:t>4.8. Нежелани лекарствени реакции</w:t>
      </w:r>
    </w:p>
    <w:p w14:paraId="0F510577" w14:textId="324B55F6" w:rsidR="00EB5B12" w:rsidRDefault="00EB5B12" w:rsidP="00EB5B12"/>
    <w:p w14:paraId="148C7EF6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Честота на поява на страничните ефекти изброени по-долу е дефинирана като се използва следната класификация:</w:t>
      </w:r>
    </w:p>
    <w:p w14:paraId="6CEF64C7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Много чести (</w:t>
      </w:r>
      <w:r w:rsidRPr="00EB5B12">
        <w:rPr>
          <w:rFonts w:eastAsia="Times New Roman" w:cs="Arial"/>
          <w:color w:val="000000"/>
          <w:lang w:val="ru-RU"/>
        </w:rPr>
        <w:t>≥</w:t>
      </w:r>
      <w:r w:rsidRPr="00EB5B12">
        <w:rPr>
          <w:rFonts w:eastAsia="Times New Roman" w:cs="Arial"/>
          <w:color w:val="000000"/>
          <w:lang w:eastAsia="bg-BG"/>
        </w:rPr>
        <w:t>1/10); чести (</w:t>
      </w:r>
      <w:r w:rsidRPr="00EB5B12">
        <w:rPr>
          <w:rFonts w:eastAsia="Times New Roman" w:cs="Arial"/>
          <w:color w:val="000000"/>
          <w:lang w:val="ru-RU"/>
        </w:rPr>
        <w:t>≥</w:t>
      </w:r>
      <w:r w:rsidRPr="00EB5B12">
        <w:rPr>
          <w:rFonts w:eastAsia="Times New Roman" w:cs="Arial"/>
          <w:color w:val="000000"/>
          <w:lang w:eastAsia="bg-BG"/>
        </w:rPr>
        <w:t>1/100, &lt;1/10); нечести (</w:t>
      </w:r>
      <w:r w:rsidRPr="00EB5B12">
        <w:rPr>
          <w:rFonts w:eastAsia="Times New Roman" w:cs="Arial"/>
          <w:color w:val="000000"/>
          <w:lang w:val="ru-RU"/>
        </w:rPr>
        <w:t>≥</w:t>
      </w:r>
      <w:r w:rsidRPr="00EB5B12">
        <w:rPr>
          <w:rFonts w:eastAsia="Times New Roman" w:cs="Arial"/>
          <w:color w:val="000000"/>
          <w:lang w:eastAsia="bg-BG"/>
        </w:rPr>
        <w:t>1/1,000, &lt; 1/100); редки (</w:t>
      </w:r>
      <w:r w:rsidRPr="00EB5B12">
        <w:rPr>
          <w:rFonts w:eastAsia="Times New Roman" w:cs="Arial"/>
          <w:color w:val="000000"/>
          <w:lang w:val="ru-RU"/>
        </w:rPr>
        <w:t>≥</w:t>
      </w:r>
      <w:r w:rsidRPr="00EB5B12">
        <w:rPr>
          <w:rFonts w:eastAsia="Times New Roman" w:cs="Arial"/>
          <w:color w:val="000000"/>
          <w:lang w:eastAsia="bg-BG"/>
        </w:rPr>
        <w:t>1/10,000, &lt; 1/1,000); много редки (&lt; 1/10,000), с неизвестна честота (от наличните данни не може да бъде направена оценка).</w:t>
      </w:r>
    </w:p>
    <w:p w14:paraId="3597B94D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6FA1616" w14:textId="78502491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Нарушения на кръвта и лимфната система:</w:t>
      </w:r>
    </w:p>
    <w:p w14:paraId="332E2422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Много редки: Анемия, левкопения, тромбоцитопения.</w:t>
      </w:r>
    </w:p>
    <w:p w14:paraId="2D6CD7E5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C2CF389" w14:textId="18AC84BC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Нарушения на имунната система:</w:t>
      </w:r>
    </w:p>
    <w:p w14:paraId="338797AD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Редки: Анафилаксия.</w:t>
      </w:r>
    </w:p>
    <w:p w14:paraId="687AC152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3D29792" w14:textId="43A33D7D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i/>
          <w:iCs/>
          <w:color w:val="000000"/>
          <w:lang w:eastAsia="bg-BG"/>
        </w:rPr>
        <w:t>Психични</w:t>
      </w:r>
      <w:r w:rsidRPr="00EB5B12">
        <w:rPr>
          <w:rFonts w:eastAsia="Times New Roman" w:cs="Arial"/>
          <w:b/>
          <w:bCs/>
          <w:color w:val="000000"/>
          <w:lang w:eastAsia="bg-BG"/>
        </w:rPr>
        <w:t xml:space="preserve"> нарушения и нарушения на нервната система:</w:t>
      </w:r>
    </w:p>
    <w:p w14:paraId="710DA01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Чести: Главоболие, замаяност</w:t>
      </w:r>
    </w:p>
    <w:p w14:paraId="32C298E6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Много редки: Възбуда, обърканост, тремор, атаксия, дизартрия, халюцинации, психотични симптоми, конвулсии, сънливост, енцефалопатия, кома.</w:t>
      </w:r>
    </w:p>
    <w:p w14:paraId="6E70789B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Посочените по-горе нежелани реакции са обикновено обратими и се съобщават основно при пациенти с бъбречни нарушения или при които са налице други предразполагащи фактори (вижте точка 4.4).</w:t>
      </w:r>
    </w:p>
    <w:p w14:paraId="57B022A4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6BCFD654" w14:textId="4857499F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Респираторни, гръдни и медиастиналнн нарушения:</w:t>
      </w:r>
      <w:bookmarkEnd w:id="4"/>
    </w:p>
    <w:p w14:paraId="1F5E56D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Редки: Диспнея.</w:t>
      </w:r>
    </w:p>
    <w:p w14:paraId="46D7DF14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013564F9" w14:textId="1B2DCB2B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Стомашно-чревни нарушения:</w:t>
      </w:r>
      <w:bookmarkEnd w:id="5"/>
    </w:p>
    <w:p w14:paraId="786F5E26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Чести: Гадене, повръщане, диария, коремна болка.</w:t>
      </w:r>
    </w:p>
    <w:p w14:paraId="27F662D5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637BD2C3" w14:textId="6295CD6B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Хепато-билиарни нарушения:</w:t>
      </w:r>
      <w:bookmarkEnd w:id="6"/>
    </w:p>
    <w:p w14:paraId="20516B1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Редки: Обратимо покачване на стойностите на билирубина и чернодробните ензими</w:t>
      </w:r>
    </w:p>
    <w:p w14:paraId="6E85380D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Много редки: Хепатит.</w:t>
      </w:r>
    </w:p>
    <w:p w14:paraId="7EE33862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7" w:name="bookmark12"/>
    </w:p>
    <w:p w14:paraId="07C43281" w14:textId="323A3A81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тъкан:</w:t>
      </w:r>
      <w:bookmarkEnd w:id="7"/>
    </w:p>
    <w:p w14:paraId="0CD22202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Чести: Реакции на свръхчувствителност като пруритус, обрив (вкл, фоточувствителност).</w:t>
      </w:r>
    </w:p>
    <w:p w14:paraId="746F6178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lastRenderedPageBreak/>
        <w:t>Нечести: Уртикария. Засилен дифузен косопад. Този процес се свързва с множество заболявания и лекарства, като взаимовръзката с употребата на ацикловир не е сигурно установена.</w:t>
      </w:r>
    </w:p>
    <w:p w14:paraId="6FFB2204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Редки: Ангиоедем.</w:t>
      </w:r>
    </w:p>
    <w:p w14:paraId="6E087040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8" w:name="bookmark14"/>
    </w:p>
    <w:p w14:paraId="1054E32D" w14:textId="74D6C31F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Нарушения на бъбреците и пикочните пътища:</w:t>
      </w:r>
      <w:bookmarkEnd w:id="8"/>
    </w:p>
    <w:p w14:paraId="239BE23B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Редки: Увеличаване на стойностите на кръвната урея и креатинин.</w:t>
      </w:r>
    </w:p>
    <w:p w14:paraId="2E42C3B5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Много редки: Остра бъбречна недостатъчност.</w:t>
      </w:r>
    </w:p>
    <w:p w14:paraId="36CB546A" w14:textId="77777777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9" w:name="bookmark16"/>
    </w:p>
    <w:p w14:paraId="525ABB2A" w14:textId="6DF6F96A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на приложение:</w:t>
      </w:r>
      <w:bookmarkEnd w:id="9"/>
    </w:p>
    <w:p w14:paraId="7DCB0DE0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Чести: изтощение, треска.</w:t>
      </w:r>
    </w:p>
    <w:p w14:paraId="05F07575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E03F7C" w14:textId="3172388E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6E3AEF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67BC6E0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42D51D9D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ул. „Дамян Груев” № 8</w:t>
      </w:r>
    </w:p>
    <w:p w14:paraId="04DDF68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1303 София</w:t>
      </w:r>
    </w:p>
    <w:p w14:paraId="5247D23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Тел.:+359 2 8903417</w:t>
      </w:r>
    </w:p>
    <w:p w14:paraId="28577546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уебсайт: </w:t>
      </w:r>
      <w:r w:rsidRPr="00EB5B12">
        <w:rPr>
          <w:rFonts w:eastAsia="Times New Roman" w:cs="Arial"/>
        </w:rPr>
        <w:fldChar w:fldCharType="begin"/>
      </w:r>
      <w:r w:rsidRPr="00EB5B12">
        <w:rPr>
          <w:rFonts w:eastAsia="Times New Roman" w:cs="Arial"/>
        </w:rPr>
        <w:instrText xml:space="preserve"> HYPERLINK "http://www.bda.bg" </w:instrText>
      </w:r>
      <w:r w:rsidRPr="00EB5B12">
        <w:rPr>
          <w:rFonts w:eastAsia="Times New Roman" w:cs="Arial"/>
        </w:rPr>
      </w:r>
      <w:r w:rsidRPr="00EB5B12">
        <w:rPr>
          <w:rFonts w:eastAsia="Times New Roman" w:cs="Arial"/>
        </w:rPr>
        <w:fldChar w:fldCharType="separate"/>
      </w:r>
      <w:r w:rsidRPr="00EB5B12">
        <w:rPr>
          <w:rFonts w:eastAsia="Times New Roman" w:cs="Arial"/>
          <w:color w:val="000000"/>
          <w:u w:val="single"/>
          <w:lang w:val="en-US"/>
        </w:rPr>
        <w:t>www</w:t>
      </w:r>
      <w:r w:rsidRPr="00EB5B12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EB5B12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EB5B12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EB5B12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EB5B12">
        <w:rPr>
          <w:rFonts w:eastAsia="Times New Roman" w:cs="Arial"/>
        </w:rPr>
        <w:fldChar w:fldCharType="end"/>
      </w:r>
    </w:p>
    <w:p w14:paraId="0F2D8CE5" w14:textId="77777777" w:rsidR="00EB5B12" w:rsidRPr="00EB5B12" w:rsidRDefault="00EB5B12" w:rsidP="00EB5B12"/>
    <w:p w14:paraId="4ED30546" w14:textId="54C727FB" w:rsidR="007C605B" w:rsidRDefault="002C50EE" w:rsidP="009F1313">
      <w:pPr>
        <w:pStyle w:val="Heading2"/>
      </w:pPr>
      <w:r>
        <w:t>4.9. Предозиране</w:t>
      </w:r>
    </w:p>
    <w:p w14:paraId="7755B534" w14:textId="2E1570BF" w:rsidR="00EB5B12" w:rsidRDefault="00EB5B12" w:rsidP="00EB5B12"/>
    <w:p w14:paraId="0EF4DDD5" w14:textId="072477DD" w:rsidR="00EB5B12" w:rsidRPr="00EB5B12" w:rsidRDefault="00EB5B12" w:rsidP="00EB5B12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EB5B12">
        <w:rPr>
          <w:rFonts w:eastAsia="Times New Roman" w:cs="Arial"/>
          <w:i/>
          <w:iCs/>
          <w:color w:val="000000"/>
          <w:lang w:eastAsia="bg-BG"/>
        </w:rPr>
        <w:t>Симптоми на предозиране</w:t>
      </w:r>
    </w:p>
    <w:p w14:paraId="62EEE89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Само част от перорално приетия ацикловир се абсорбира от стомашно-чревния тракт (виж точка 5.2). Опитът до момента показва, че еднократни перорални дози до 20 </w:t>
      </w:r>
      <w:r w:rsidRPr="00EB5B12">
        <w:rPr>
          <w:rFonts w:eastAsia="Times New Roman" w:cs="Arial"/>
          <w:color w:val="000000"/>
          <w:lang w:val="en-US"/>
        </w:rPr>
        <w:t>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ацикловир обикновено не предизвикват белези или симптоми на интоксикация. Тъй като липсват данни за приемане на по-високи перорални дози, пациенти, приели дози по-високи ацикловир, трябва внимателно да бъдат наблюдавани за наличие на белези и симптоми на интоксикация, свързана със стомашно-чревни прояви (като гадене и повръщане) и неврологични ефекти като главоболие и объркване.</w:t>
      </w:r>
    </w:p>
    <w:p w14:paraId="58720B50" w14:textId="77777777" w:rsid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Предозиране с интравенозно приложен ацикловир води до повишени стойности на серумния креатинин, урея в кръвта, азот и последваща бъбречна недостатъчност. Реакции от страна на нервната система включват объркване, халюцинации, ажитираност, припадъци и кома са описани във връзка с предозиране.</w:t>
      </w:r>
    </w:p>
    <w:p w14:paraId="7CC243A7" w14:textId="77777777" w:rsidR="00EB5B12" w:rsidRDefault="00EB5B12" w:rsidP="00EB5B12">
      <w:pPr>
        <w:spacing w:line="240" w:lineRule="auto"/>
        <w:rPr>
          <w:rFonts w:eastAsia="Times New Roman" w:cs="Arial"/>
        </w:rPr>
      </w:pPr>
    </w:p>
    <w:p w14:paraId="76BA69BA" w14:textId="227A2C66" w:rsidR="00EB5B12" w:rsidRPr="00EB5B12" w:rsidRDefault="00EB5B12" w:rsidP="00EB5B12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i/>
          <w:iCs/>
          <w:color w:val="000000"/>
          <w:lang w:eastAsia="bg-BG"/>
        </w:rPr>
        <w:t>Терапевтични мерки при предозиране</w:t>
      </w:r>
    </w:p>
    <w:p w14:paraId="6876FCE8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Пациентите трябва внимателно да се проследяват за признаци на интоксикация. Хемодиализата значително ускорява отстраняването на ацикловир от кръвта, и затова се счита за добра мярка при симптоматично предозиране.</w:t>
      </w:r>
    </w:p>
    <w:p w14:paraId="079315C0" w14:textId="77777777" w:rsidR="00EB5B12" w:rsidRPr="00EB5B12" w:rsidRDefault="00EB5B12" w:rsidP="00EB5B12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356B1C43" w:rsidR="00395555" w:rsidRDefault="002C50EE" w:rsidP="008A6AF2">
      <w:pPr>
        <w:pStyle w:val="Heading2"/>
      </w:pPr>
      <w:r>
        <w:t>5.1. Фармакодинамични свойства</w:t>
      </w:r>
    </w:p>
    <w:p w14:paraId="6928138C" w14:textId="4182E090" w:rsidR="00EB5B12" w:rsidRDefault="00EB5B12" w:rsidP="00EB5B12"/>
    <w:p w14:paraId="5098ADE7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</w:t>
      </w:r>
      <w:r w:rsidRPr="00EB5B12">
        <w:rPr>
          <w:rFonts w:eastAsia="Times New Roman" w:cs="Arial"/>
          <w:color w:val="000000"/>
          <w:lang w:eastAsia="bg-BG"/>
        </w:rPr>
        <w:t>Антивирусни средства за системна употреба</w:t>
      </w:r>
    </w:p>
    <w:p w14:paraId="0C544A18" w14:textId="26334169" w:rsidR="00EB5B12" w:rsidRDefault="00EB5B12" w:rsidP="00EB5B12">
      <w:pPr>
        <w:spacing w:line="240" w:lineRule="auto"/>
        <w:rPr>
          <w:rFonts w:eastAsia="Times New Roman" w:cs="Arial"/>
          <w:b/>
          <w:bCs/>
          <w:color w:val="000000"/>
          <w:lang w:val="ru-RU"/>
        </w:rPr>
      </w:pPr>
      <w:r w:rsidRPr="00EB5B12">
        <w:rPr>
          <w:rFonts w:eastAsia="Times New Roman" w:cs="Arial"/>
          <w:b/>
          <w:bCs/>
          <w:color w:val="000000"/>
          <w:lang w:eastAsia="bg-BG"/>
        </w:rPr>
        <w:t xml:space="preserve">АТС код: </w:t>
      </w:r>
      <w:r w:rsidRPr="00EB5B12">
        <w:rPr>
          <w:rFonts w:eastAsia="Times New Roman" w:cs="Arial"/>
          <w:b/>
          <w:bCs/>
          <w:color w:val="000000"/>
          <w:lang w:val="en-US"/>
        </w:rPr>
        <w:t>J</w:t>
      </w:r>
      <w:r w:rsidRPr="00EB5B12">
        <w:rPr>
          <w:rFonts w:eastAsia="Times New Roman" w:cs="Arial"/>
          <w:b/>
          <w:bCs/>
          <w:color w:val="000000"/>
          <w:lang w:val="ru-RU"/>
        </w:rPr>
        <w:t>05</w:t>
      </w:r>
      <w:r w:rsidRPr="00EB5B12">
        <w:rPr>
          <w:rFonts w:eastAsia="Times New Roman" w:cs="Arial"/>
          <w:b/>
          <w:bCs/>
          <w:color w:val="000000"/>
          <w:lang w:val="en-US"/>
        </w:rPr>
        <w:t>AB</w:t>
      </w:r>
      <w:r w:rsidRPr="00EB5B12">
        <w:rPr>
          <w:rFonts w:eastAsia="Times New Roman" w:cs="Arial"/>
          <w:b/>
          <w:bCs/>
          <w:color w:val="000000"/>
          <w:lang w:val="ru-RU"/>
        </w:rPr>
        <w:t>01</w:t>
      </w:r>
    </w:p>
    <w:p w14:paraId="176115C4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</w:p>
    <w:p w14:paraId="18AB1FA9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Механизъм на действие</w:t>
      </w:r>
    </w:p>
    <w:p w14:paraId="77EA5EEC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Ацикловир има </w:t>
      </w:r>
      <w:r w:rsidRPr="00EB5B12">
        <w:rPr>
          <w:rFonts w:eastAsia="Times New Roman" w:cs="Arial"/>
          <w:i/>
          <w:iCs/>
          <w:color w:val="000000"/>
          <w:lang w:val="en-US"/>
        </w:rPr>
        <w:t>in</w:t>
      </w:r>
      <w:r w:rsidRPr="00EB5B12">
        <w:rPr>
          <w:rFonts w:eastAsia="Times New Roman" w:cs="Arial"/>
          <w:i/>
          <w:iCs/>
          <w:color w:val="000000"/>
        </w:rPr>
        <w:t xml:space="preserve"> </w:t>
      </w:r>
      <w:r w:rsidRPr="00EB5B12">
        <w:rPr>
          <w:rFonts w:eastAsia="Times New Roman" w:cs="Arial"/>
          <w:i/>
          <w:iCs/>
          <w:color w:val="000000"/>
          <w:lang w:val="en-US"/>
        </w:rPr>
        <w:t>vitro</w:t>
      </w:r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и </w:t>
      </w:r>
      <w:r w:rsidRPr="00EB5B12">
        <w:rPr>
          <w:rFonts w:eastAsia="Times New Roman" w:cs="Arial"/>
          <w:i/>
          <w:iCs/>
          <w:color w:val="000000"/>
          <w:lang w:val="en-US"/>
        </w:rPr>
        <w:t>in</w:t>
      </w:r>
      <w:r w:rsidRPr="00EB5B12">
        <w:rPr>
          <w:rFonts w:eastAsia="Times New Roman" w:cs="Arial"/>
          <w:i/>
          <w:iCs/>
          <w:color w:val="000000"/>
        </w:rPr>
        <w:t xml:space="preserve"> </w:t>
      </w:r>
      <w:r w:rsidRPr="00EB5B12">
        <w:rPr>
          <w:rFonts w:eastAsia="Times New Roman" w:cs="Arial"/>
          <w:i/>
          <w:iCs/>
          <w:color w:val="000000"/>
          <w:lang w:val="en-US"/>
        </w:rPr>
        <w:t>vivo</w:t>
      </w:r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инхибиторна активност срещу човешки херпес вируси, включително херпес симплекс вирус тип I и </w:t>
      </w:r>
      <w:r w:rsidRPr="00EB5B12">
        <w:rPr>
          <w:rFonts w:eastAsia="Times New Roman" w:cs="Arial"/>
          <w:color w:val="000000"/>
          <w:lang w:val="en-US"/>
        </w:rPr>
        <w:t>II</w:t>
      </w:r>
      <w:r w:rsidRPr="00EB5B12">
        <w:rPr>
          <w:rFonts w:eastAsia="Times New Roman" w:cs="Arial"/>
          <w:color w:val="000000"/>
          <w:lang w:eastAsia="bg-BG"/>
        </w:rPr>
        <w:t xml:space="preserve"> и варицела зостер вирус.</w:t>
      </w:r>
    </w:p>
    <w:p w14:paraId="75487D57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Ацикловирът представлява фармакологично неактивно вещество, което едва след пенетриране в клетката, която е заразена с </w:t>
      </w:r>
      <w:r w:rsidRPr="00EB5B12">
        <w:rPr>
          <w:rFonts w:eastAsia="Times New Roman" w:cs="Arial"/>
          <w:color w:val="000000"/>
          <w:lang w:val="en-US"/>
        </w:rPr>
        <w:t>Herpes</w:t>
      </w:r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val="en-US"/>
        </w:rPr>
        <w:t>simplex</w:t>
      </w:r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val="en-US"/>
        </w:rPr>
        <w:t>Virus</w:t>
      </w:r>
      <w:r w:rsidRPr="00EB5B12">
        <w:rPr>
          <w:rFonts w:eastAsia="Times New Roman" w:cs="Arial"/>
          <w:color w:val="000000"/>
        </w:rPr>
        <w:t xml:space="preserve"> (</w:t>
      </w:r>
      <w:r w:rsidRPr="00EB5B12">
        <w:rPr>
          <w:rFonts w:eastAsia="Times New Roman" w:cs="Arial"/>
          <w:color w:val="000000"/>
          <w:lang w:val="en-US"/>
        </w:rPr>
        <w:t>HSV</w:t>
      </w:r>
      <w:r w:rsidRPr="00EB5B12">
        <w:rPr>
          <w:rFonts w:eastAsia="Times New Roman" w:cs="Arial"/>
          <w:color w:val="000000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или </w:t>
      </w:r>
      <w:r w:rsidRPr="00EB5B12">
        <w:rPr>
          <w:rFonts w:eastAsia="Times New Roman" w:cs="Arial"/>
          <w:color w:val="000000"/>
          <w:lang w:val="en-US"/>
        </w:rPr>
        <w:t>Varicella</w:t>
      </w:r>
      <w:r w:rsidRPr="00EB5B12">
        <w:rPr>
          <w:rFonts w:eastAsia="Times New Roman" w:cs="Arial"/>
          <w:color w:val="000000"/>
        </w:rPr>
        <w:t>-</w:t>
      </w:r>
      <w:r w:rsidRPr="00EB5B12">
        <w:rPr>
          <w:rFonts w:eastAsia="Times New Roman" w:cs="Arial"/>
          <w:color w:val="000000"/>
          <w:lang w:val="en-US"/>
        </w:rPr>
        <w:t>zoster</w:t>
      </w:r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val="en-US"/>
        </w:rPr>
        <w:t>Virus</w:t>
      </w:r>
      <w:r w:rsidRPr="00EB5B12">
        <w:rPr>
          <w:rFonts w:eastAsia="Times New Roman" w:cs="Arial"/>
          <w:color w:val="000000"/>
        </w:rPr>
        <w:t xml:space="preserve"> (</w:t>
      </w:r>
      <w:r w:rsidRPr="00EB5B12">
        <w:rPr>
          <w:rFonts w:eastAsia="Times New Roman" w:cs="Arial"/>
          <w:color w:val="000000"/>
          <w:lang w:val="en-US"/>
        </w:rPr>
        <w:t>VZV</w:t>
      </w:r>
      <w:r w:rsidRPr="00EB5B12">
        <w:rPr>
          <w:rFonts w:eastAsia="Times New Roman" w:cs="Arial"/>
          <w:color w:val="000000"/>
        </w:rPr>
        <w:t xml:space="preserve">), </w:t>
      </w:r>
      <w:proofErr w:type="spellStart"/>
      <w:r w:rsidRPr="00EB5B12">
        <w:rPr>
          <w:rFonts w:eastAsia="Times New Roman" w:cs="Arial"/>
          <w:color w:val="000000"/>
          <w:lang w:val="en-US"/>
        </w:rPr>
        <w:t>ce</w:t>
      </w:r>
      <w:proofErr w:type="spellEnd"/>
      <w:r w:rsidRPr="00EB5B12">
        <w:rPr>
          <w:rFonts w:eastAsia="Times New Roman" w:cs="Arial"/>
          <w:color w:val="000000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превръща в активно противовирусно вещество (вирустатик). Това активиране на ацикловира се катализира от </w:t>
      </w:r>
      <w:r w:rsidRPr="00EB5B12">
        <w:rPr>
          <w:rFonts w:eastAsia="Times New Roman" w:cs="Arial"/>
          <w:color w:val="000000"/>
          <w:lang w:val="en-US"/>
        </w:rPr>
        <w:t>HSV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или </w:t>
      </w:r>
      <w:r w:rsidRPr="00EB5B12">
        <w:rPr>
          <w:rFonts w:eastAsia="Times New Roman" w:cs="Arial"/>
          <w:color w:val="000000"/>
          <w:lang w:val="en-US"/>
        </w:rPr>
        <w:t>VZV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тимидин киназата - есенциален ензим за репликацията на вирусите. С други думи вирусите </w:t>
      </w:r>
      <w:r w:rsidRPr="00EB5B12">
        <w:rPr>
          <w:rFonts w:eastAsia="Times New Roman" w:cs="Arial"/>
          <w:color w:val="000000"/>
          <w:lang w:val="en-US"/>
        </w:rPr>
        <w:t>HSV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и </w:t>
      </w:r>
      <w:r w:rsidRPr="00EB5B12">
        <w:rPr>
          <w:rFonts w:eastAsia="Times New Roman" w:cs="Arial"/>
          <w:color w:val="000000"/>
          <w:lang w:val="en-US"/>
        </w:rPr>
        <w:t>VZV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синтезират собствения си вирустатик. Този процес преминава през следните етапи:</w:t>
      </w:r>
    </w:p>
    <w:p w14:paraId="4077B84D" w14:textId="77777777" w:rsidR="00EB5B12" w:rsidRDefault="00EB5B12" w:rsidP="00EB5B1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Ацикловир пенетрира избирателно в инфектираните с херпес клетки.</w:t>
      </w:r>
    </w:p>
    <w:p w14:paraId="2D19A031" w14:textId="77777777" w:rsidR="00EB5B12" w:rsidRDefault="00EB5B12" w:rsidP="00EB5B1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Наличната в тези клетки вирусна тимидин киназа фосфорилира Ацикловир до Ацикловир монофосфат .</w:t>
      </w:r>
    </w:p>
    <w:p w14:paraId="6BA394A6" w14:textId="77777777" w:rsidR="00EB5B12" w:rsidRDefault="00EB5B12" w:rsidP="00EB5B1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Клетъчните ензими превръщат ацикловир монофосфат до противовирусно активния Ацикловир трифосфат</w:t>
      </w:r>
    </w:p>
    <w:p w14:paraId="097EE5C1" w14:textId="77777777" w:rsidR="00EB5B12" w:rsidRDefault="00EB5B12" w:rsidP="00EB5B1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Афинитетът на Ацикловир трифосфат към вирусната ДНК полимераза е 10 до 30 пъти по- висок в сравнение с афинитета му към клетъчната ДНК полимераза. Ето защо Ацикловир трифосфат селективно инхибира вирусната ензимна активност.</w:t>
      </w:r>
    </w:p>
    <w:p w14:paraId="7B6AD51F" w14:textId="2CEC8A35" w:rsidR="00EB5B12" w:rsidRPr="00EB5B12" w:rsidRDefault="00EB5B12" w:rsidP="00EB5B1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В допълнение вирусната ДНК полимераза инкорпорира /вмъква/ ацикловир във вирусната ДНК, причинявайки по този начин прекъсване на веригата в синтеза на вирусната ДНК.</w:t>
      </w:r>
    </w:p>
    <w:p w14:paraId="4C7F008C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Комбинацията на тези отделни стъпки води много ефективно до намаляване на вирусната репликация (възпроизвеждане).</w:t>
      </w:r>
    </w:p>
    <w:p w14:paraId="3F44CAA9" w14:textId="77777777" w:rsidR="00EB5B12" w:rsidRPr="00EB5B12" w:rsidRDefault="00EB5B12" w:rsidP="00EB5B12">
      <w:pPr>
        <w:spacing w:line="240" w:lineRule="auto"/>
        <w:rPr>
          <w:rFonts w:eastAsia="Times New Roman" w:cs="Arial"/>
          <w:lang w:val="en-US"/>
        </w:rPr>
      </w:pPr>
      <w:r w:rsidRPr="00EB5B12">
        <w:rPr>
          <w:rFonts w:eastAsia="Times New Roman" w:cs="Arial"/>
          <w:color w:val="000000"/>
          <w:lang w:eastAsia="bg-BG"/>
        </w:rPr>
        <w:t>Продължителното или повторно лечение с ацикловир при тежко имунокомпрометирани лица може да доведе до избора на вирусни типове с намалена чувствителност, които не могат да отговорят на продължителното лечение с ацикловир.</w:t>
      </w:r>
    </w:p>
    <w:p w14:paraId="648EEBE3" w14:textId="77777777" w:rsidR="00EB5B12" w:rsidRPr="00EB5B12" w:rsidRDefault="00EB5B12" w:rsidP="00EB5B12"/>
    <w:p w14:paraId="26535098" w14:textId="6440D010" w:rsidR="00395555" w:rsidRDefault="002C50EE" w:rsidP="008A6AF2">
      <w:pPr>
        <w:pStyle w:val="Heading2"/>
      </w:pPr>
      <w:r>
        <w:t>5.2. Фармакокинетични свойства</w:t>
      </w:r>
    </w:p>
    <w:p w14:paraId="257AE36F" w14:textId="7673E932" w:rsidR="00EB5B12" w:rsidRDefault="00EB5B12" w:rsidP="00EB5B12"/>
    <w:p w14:paraId="4A010E64" w14:textId="77777777" w:rsidR="00EB5B12" w:rsidRPr="00EB5B12" w:rsidRDefault="00EB5B12" w:rsidP="00EB5B12">
      <w:pPr>
        <w:pStyle w:val="Heading3"/>
        <w:rPr>
          <w:rFonts w:eastAsia="Times New Roman"/>
          <w:u w:val="single"/>
        </w:rPr>
      </w:pPr>
      <w:r w:rsidRPr="00EB5B12">
        <w:rPr>
          <w:rFonts w:eastAsia="Times New Roman"/>
          <w:u w:val="single"/>
          <w:lang w:eastAsia="bg-BG"/>
        </w:rPr>
        <w:t>Абсорбция</w:t>
      </w:r>
    </w:p>
    <w:p w14:paraId="2591F04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Само част от перорално приетия ацикловир се абсорбира от стомашно-чревния тракт.</w:t>
      </w:r>
    </w:p>
    <w:p w14:paraId="04A7E0CF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BC182D" w14:textId="6EE5E5A5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Средният плазмен пик при стационарно състояние след повтарящо се перорално приложение съответно на 200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, </w:t>
      </w:r>
      <w:r w:rsidRPr="00EB5B12">
        <w:rPr>
          <w:rFonts w:eastAsia="Times New Roman" w:cs="Arial"/>
          <w:color w:val="000000"/>
          <w:lang w:eastAsia="bg-BG"/>
        </w:rPr>
        <w:t xml:space="preserve">400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, </w:t>
      </w:r>
      <w:r w:rsidRPr="00EB5B12">
        <w:rPr>
          <w:rFonts w:eastAsia="Times New Roman" w:cs="Arial"/>
          <w:color w:val="000000"/>
          <w:lang w:eastAsia="bg-BG"/>
        </w:rPr>
        <w:t xml:space="preserve">800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пет пъти дневно на всеки 4 часа е 3.02 ± 0.5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l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(200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), </w:t>
      </w:r>
      <w:r w:rsidRPr="00EB5B12">
        <w:rPr>
          <w:rFonts w:eastAsia="Times New Roman" w:cs="Arial"/>
          <w:color w:val="000000"/>
          <w:lang w:eastAsia="bg-BG"/>
        </w:rPr>
        <w:t xml:space="preserve">5.21 + 1.32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l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(400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или </w:t>
      </w:r>
      <w:r w:rsidRPr="00EB5B12">
        <w:rPr>
          <w:rFonts w:eastAsia="Times New Roman" w:cs="Arial"/>
          <w:color w:val="000000"/>
          <w:lang w:val="ru-RU"/>
        </w:rPr>
        <w:t xml:space="preserve">8.16 ± 1.98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/1 (800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). </w:t>
      </w:r>
      <w:r w:rsidRPr="00EB5B12">
        <w:rPr>
          <w:rFonts w:eastAsia="Times New Roman" w:cs="Arial"/>
          <w:color w:val="000000"/>
          <w:lang w:eastAsia="bg-BG"/>
        </w:rPr>
        <w:t xml:space="preserve">Тези стойности се достигат след около 1.5 + 0.6 часа. Най-ниските плазмени нива, определени след около 4 часа след последната, перорално приета доза ацикловир, са 1.61 ± 0.3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l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(200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), </w:t>
      </w:r>
      <w:r w:rsidRPr="00EB5B12">
        <w:rPr>
          <w:rFonts w:eastAsia="Times New Roman" w:cs="Arial"/>
          <w:color w:val="000000"/>
          <w:lang w:eastAsia="bg-BG"/>
        </w:rPr>
        <w:t xml:space="preserve">2.59 ± 0.53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eastAsia="bg-BG"/>
        </w:rPr>
        <w:t xml:space="preserve">/1 (400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или 4.0 ± 0.72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eastAsia="bg-BG"/>
        </w:rPr>
        <w:t xml:space="preserve">/1 (800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>).</w:t>
      </w:r>
    </w:p>
    <w:p w14:paraId="2018B509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F8799F" w14:textId="63C1E26F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След 24 часа от спирането на приема на таблетките лекарството не се открива в тялото.</w:t>
      </w:r>
    </w:p>
    <w:p w14:paraId="7D4BE5F5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5EAB97" w14:textId="61FE8BF3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Биекспоненциалната кинетика на ацикловир показва, че лекарството достига високи концентрации в тъканите и органите и се елиминира от тях бавно.</w:t>
      </w:r>
    </w:p>
    <w:p w14:paraId="02B7D8A3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E9B01A" w14:textId="3507AE56" w:rsidR="00EB5B12" w:rsidRPr="00EB5B12" w:rsidRDefault="00EB5B12" w:rsidP="00EB5B12">
      <w:pPr>
        <w:pStyle w:val="Heading3"/>
        <w:rPr>
          <w:rFonts w:eastAsia="Times New Roman"/>
          <w:u w:val="single"/>
        </w:rPr>
      </w:pPr>
      <w:r w:rsidRPr="00EB5B12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4D158CD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Обемът на разпределение при стационарно състояние е 50 ±8.7 1/1.73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eastAsia="bg-BG"/>
        </w:rPr>
        <w:t>2</w:t>
      </w:r>
      <w:r w:rsidRPr="00EB5B12">
        <w:rPr>
          <w:rFonts w:eastAsia="Times New Roman" w:cs="Arial"/>
          <w:color w:val="000000"/>
          <w:lang w:eastAsia="bg-BG"/>
        </w:rPr>
        <w:t xml:space="preserve"> при възрастни и 28 ± 9.3 1/1.73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eastAsia="bg-BG"/>
        </w:rPr>
        <w:t>2</w:t>
      </w:r>
      <w:r w:rsidRPr="00EB5B12">
        <w:rPr>
          <w:rFonts w:eastAsia="Times New Roman" w:cs="Arial"/>
          <w:color w:val="000000"/>
          <w:lang w:eastAsia="bg-BG"/>
        </w:rPr>
        <w:t xml:space="preserve"> при новородени и бебета до 3 месеца. Протеиновото свързване варира от 9 до 33%.</w:t>
      </w:r>
    </w:p>
    <w:p w14:paraId="53245CC4" w14:textId="77777777" w:rsidR="00EB5B12" w:rsidRDefault="00EB5B12" w:rsidP="00EB5B1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C810AE" w14:textId="65002F53" w:rsidR="00EB5B12" w:rsidRPr="00EB5B12" w:rsidRDefault="00EB5B12" w:rsidP="00EB5B12">
      <w:pPr>
        <w:pStyle w:val="Heading3"/>
        <w:rPr>
          <w:rFonts w:eastAsia="Times New Roman"/>
          <w:u w:val="single"/>
        </w:rPr>
      </w:pPr>
      <w:r w:rsidRPr="00EB5B12">
        <w:rPr>
          <w:rFonts w:eastAsia="Times New Roman"/>
          <w:u w:val="single"/>
          <w:lang w:eastAsia="bg-BG"/>
        </w:rPr>
        <w:t>Биотрансформация и елиминиране</w:t>
      </w:r>
    </w:p>
    <w:p w14:paraId="6C34CC7C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При пациенти с нормална бъбречна функция 62-91 % от количеството ацикловир се елиминира в непроменен вид и 10-15% като 9-карбоксиметилгуанин през бъбреците. Времето на плазмен полуживот след интравенозно приложение, е 2.87 ±0.76 часа при възрастни и 4.1 ± 1.2 часа при новородени и бебета до 3 месеца. Ацикловир е подложен на гломерулна филтрация и тубуларна секреция. Когато е приложен един час след приемане на 1 </w:t>
      </w:r>
      <w:r w:rsidRPr="00EB5B12">
        <w:rPr>
          <w:rFonts w:eastAsia="Times New Roman" w:cs="Arial"/>
          <w:color w:val="000000"/>
          <w:lang w:val="en-US"/>
        </w:rPr>
        <w:t>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пробеницид, времето на плазмен полуживот се увеличава с 18% и площта под кривата плазмена концентрация/време </w:t>
      </w:r>
      <w:r w:rsidRPr="00EB5B12">
        <w:rPr>
          <w:rFonts w:eastAsia="Times New Roman" w:cs="Arial"/>
          <w:color w:val="000000"/>
          <w:lang w:val="ru-RU"/>
        </w:rPr>
        <w:t>(</w:t>
      </w:r>
      <w:r w:rsidRPr="00EB5B12">
        <w:rPr>
          <w:rFonts w:eastAsia="Times New Roman" w:cs="Arial"/>
          <w:color w:val="000000"/>
          <w:lang w:val="en-US"/>
        </w:rPr>
        <w:t>AUC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>се увеличава с 40%. Когато бионаличността на ацикловир е около 20%, около 80% от цялото количество се елиминира чрез фекалиите.</w:t>
      </w:r>
    </w:p>
    <w:p w14:paraId="57C61521" w14:textId="37680E09" w:rsidR="00EB5B12" w:rsidRDefault="00EB5B12" w:rsidP="00EB5B12">
      <w:pPr>
        <w:rPr>
          <w:rFonts w:eastAsia="Times New Roman" w:cs="Arial"/>
          <w:color w:val="000000"/>
          <w:lang w:eastAsia="bg-BG"/>
        </w:rPr>
      </w:pPr>
      <w:r w:rsidRPr="00EB5B12">
        <w:rPr>
          <w:rFonts w:eastAsia="Times New Roman" w:cs="Arial"/>
          <w:color w:val="000000"/>
          <w:lang w:eastAsia="bg-BG"/>
        </w:rPr>
        <w:t>Средното време на полуживот при пациенти с хронична бъбречна недостатъчност е около 19.5 часа, а по време на хемодиализа е 5.7 часа. Нивото на ацикловир в плазмата спада на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около 60% по време на хемодиализа. При пациенти с нарушена бъбречна функция и креатинов клирънс от 10 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min</w:t>
      </w:r>
      <w:r w:rsidRPr="00EB5B12">
        <w:rPr>
          <w:rFonts w:eastAsia="Times New Roman" w:cs="Arial"/>
          <w:color w:val="000000"/>
          <w:lang w:val="ru-RU"/>
        </w:rPr>
        <w:t>/1.73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val="ru-RU"/>
        </w:rPr>
        <w:t>2</w:t>
      </w:r>
      <w:r w:rsidRPr="00EB5B12">
        <w:rPr>
          <w:rFonts w:eastAsia="Times New Roman" w:cs="Arial"/>
          <w:color w:val="000000"/>
          <w:lang w:val="ru-RU"/>
        </w:rPr>
        <w:t xml:space="preserve">, </w:t>
      </w:r>
      <w:r w:rsidRPr="00EB5B12">
        <w:rPr>
          <w:rFonts w:eastAsia="Times New Roman" w:cs="Arial"/>
          <w:color w:val="000000"/>
          <w:lang w:eastAsia="bg-BG"/>
        </w:rPr>
        <w:t xml:space="preserve">доза от 200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ацикловир пет пъти дневно е свързана с риск от акумулиране. По тази причина е необходимо намаляване на дозата при пациенти с креатининов клирънс </w:t>
      </w:r>
      <w:r w:rsidRPr="00EB5B12">
        <w:rPr>
          <w:rFonts w:eastAsia="Times New Roman" w:cs="Arial"/>
          <w:color w:val="000000"/>
          <w:lang w:val="ru-RU"/>
        </w:rPr>
        <w:t>≤</w:t>
      </w:r>
      <w:r w:rsidRPr="00EB5B12">
        <w:rPr>
          <w:rFonts w:eastAsia="Times New Roman" w:cs="Arial"/>
          <w:color w:val="000000"/>
          <w:lang w:eastAsia="bg-BG"/>
        </w:rPr>
        <w:t xml:space="preserve">10 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min</w:t>
      </w:r>
      <w:r w:rsidRPr="00EB5B12">
        <w:rPr>
          <w:rFonts w:eastAsia="Times New Roman" w:cs="Arial"/>
          <w:color w:val="000000"/>
          <w:lang w:val="ru-RU"/>
        </w:rPr>
        <w:t>/1</w:t>
      </w:r>
      <w:r w:rsidRPr="00EB5B12">
        <w:rPr>
          <w:rFonts w:eastAsia="Times New Roman" w:cs="Arial"/>
          <w:color w:val="000000"/>
          <w:lang w:eastAsia="bg-BG"/>
        </w:rPr>
        <w:t xml:space="preserve">.73 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val="ru-RU"/>
        </w:rPr>
        <w:t>2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(вижте точка 4.2).</w:t>
      </w:r>
    </w:p>
    <w:p w14:paraId="2DEF48E3" w14:textId="4FCBE93B" w:rsidR="00EB5B12" w:rsidRDefault="00EB5B12" w:rsidP="00EB5B12">
      <w:pPr>
        <w:rPr>
          <w:rFonts w:eastAsia="Times New Roman" w:cs="Arial"/>
          <w:color w:val="000000"/>
          <w:lang w:eastAsia="bg-BG"/>
        </w:rPr>
      </w:pPr>
    </w:p>
    <w:p w14:paraId="7514B91C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370E67C0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При новородени и малки деца (0 до 3-месечна възраст), лекувани с дози от 10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kg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се прилагани чрез инфузия в продължение на един час период на всеки 8 часа С</w:t>
      </w:r>
      <w:r w:rsidRPr="00EB5B12">
        <w:rPr>
          <w:rFonts w:eastAsia="Times New Roman" w:cs="Arial"/>
          <w:color w:val="000000"/>
          <w:lang w:val="en-US"/>
        </w:rPr>
        <w:t>max</w:t>
      </w:r>
      <w:r w:rsidRPr="00EB5B12">
        <w:rPr>
          <w:rFonts w:eastAsia="Times New Roman" w:cs="Arial"/>
          <w:color w:val="000000"/>
          <w:lang w:eastAsia="bg-BG"/>
        </w:rPr>
        <w:t xml:space="preserve"> е 61.2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/1 (13.8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EB5B12">
        <w:rPr>
          <w:rFonts w:eastAsia="Times New Roman" w:cs="Arial"/>
          <w:color w:val="000000"/>
          <w:lang w:val="en-US"/>
        </w:rPr>
        <w:t>Cmin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се 10.1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/1(23 </w:t>
      </w:r>
      <w:proofErr w:type="spellStart"/>
      <w:r w:rsidRPr="00EB5B12">
        <w:rPr>
          <w:rFonts w:eastAsia="Times New Roman" w:cs="Arial"/>
          <w:color w:val="000000"/>
          <w:lang w:val="en-US"/>
        </w:rPr>
        <w:t>μg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 xml:space="preserve">). </w:t>
      </w:r>
      <w:r w:rsidRPr="00EB5B12">
        <w:rPr>
          <w:rFonts w:eastAsia="Times New Roman" w:cs="Arial"/>
          <w:color w:val="000000"/>
          <w:lang w:eastAsia="bg-BG"/>
        </w:rPr>
        <w:t xml:space="preserve">Терминалният плазмен полуживот при тези пациенти е 3.8 часа. Отделна група от новородени се обработва с 15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kg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на всеки 8 часа показват приблизително пропорционална на дозата се увеличава, с С</w:t>
      </w:r>
      <w:r w:rsidRPr="00EB5B12">
        <w:rPr>
          <w:rFonts w:eastAsia="Times New Roman" w:cs="Arial"/>
          <w:color w:val="000000"/>
          <w:lang w:val="en-US"/>
        </w:rPr>
        <w:t>max</w:t>
      </w:r>
      <w:r w:rsidRPr="00EB5B12">
        <w:rPr>
          <w:rFonts w:eastAsia="Times New Roman" w:cs="Arial"/>
          <w:color w:val="000000"/>
          <w:lang w:eastAsia="bg-BG"/>
        </w:rPr>
        <w:t xml:space="preserve"> 83.5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eastAsia="bg-BG"/>
        </w:rPr>
        <w:t xml:space="preserve">/1 (18.8 </w:t>
      </w:r>
      <w:proofErr w:type="spellStart"/>
      <w:r w:rsidRPr="00EB5B12">
        <w:rPr>
          <w:rFonts w:eastAsia="Times New Roman" w:cs="Arial"/>
          <w:color w:val="000000"/>
          <w:lang w:val="en-US"/>
        </w:rPr>
        <w:t>μg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EB5B12">
        <w:rPr>
          <w:rFonts w:eastAsia="Times New Roman" w:cs="Arial"/>
          <w:color w:val="000000"/>
          <w:lang w:val="en-US"/>
        </w:rPr>
        <w:t>Cmin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на 14.1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/1 (3.2 </w:t>
      </w:r>
      <w:proofErr w:type="spellStart"/>
      <w:r w:rsidRPr="00EB5B12">
        <w:rPr>
          <w:rFonts w:eastAsia="Times New Roman" w:cs="Arial"/>
          <w:color w:val="000000"/>
          <w:lang w:val="en-US"/>
        </w:rPr>
        <w:t>μg</w:t>
      </w:r>
      <w:proofErr w:type="spellEnd"/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ml</w:t>
      </w:r>
      <w:r w:rsidRPr="00EB5B12">
        <w:rPr>
          <w:rFonts w:eastAsia="Times New Roman" w:cs="Arial"/>
          <w:color w:val="000000"/>
          <w:lang w:val="ru-RU"/>
        </w:rPr>
        <w:t>).</w:t>
      </w:r>
    </w:p>
    <w:p w14:paraId="1BD288EC" w14:textId="77777777" w:rsidR="00EB5B12" w:rsidRPr="00EB5B12" w:rsidRDefault="00EB5B12" w:rsidP="00EB5B1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AEFEE7" w14:textId="6ED5D17D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Това е възможно да се определи средните пикови плазмени стойности на 5.7 до 15.1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eastAsia="bg-BG"/>
        </w:rPr>
        <w:t xml:space="preserve">1 при имунокомпрометирани деца на възраст между 3-11 години, които са дадени орално ацикловир в дози от 400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(еквивалентно на 300-650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ацикловир / m2 </w:t>
      </w:r>
      <w:r w:rsidRPr="00EB5B12">
        <w:rPr>
          <w:rFonts w:eastAsia="Times New Roman" w:cs="Arial"/>
          <w:color w:val="000000"/>
          <w:lang w:val="en-US"/>
        </w:rPr>
        <w:t>BSA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5 пъти дневно. При кърмачета на възраст от 1 до 6 седмици, в пиковите плазмени стойности от 17.3 и 8.6 </w:t>
      </w:r>
      <w:proofErr w:type="spellStart"/>
      <w:r w:rsidRPr="00EB5B12">
        <w:rPr>
          <w:rFonts w:eastAsia="Times New Roman" w:cs="Arial"/>
          <w:color w:val="000000"/>
          <w:lang w:val="en-US"/>
        </w:rPr>
        <w:t>jimol</w:t>
      </w:r>
      <w:proofErr w:type="spellEnd"/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/ </w:t>
      </w:r>
      <w:r w:rsidRPr="00EB5B12">
        <w:rPr>
          <w:rFonts w:eastAsia="Times New Roman" w:cs="Arial"/>
          <w:color w:val="000000"/>
          <w:lang w:val="en-US"/>
        </w:rPr>
        <w:t>L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респективно-телно са измерени след перорален прием на 600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ацикловир / 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val="ru-RU"/>
        </w:rPr>
        <w:t>2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val="en-US"/>
        </w:rPr>
        <w:t>BSA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на всеки 6 часа.</w:t>
      </w:r>
    </w:p>
    <w:p w14:paraId="5A75A8B3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При деца с потисната имунна защита от 3 до 11 години, приемали перорално по 400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ацикловир (еквивалентни на 300-650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val="ru-RU"/>
        </w:rPr>
        <w:t>2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val="en-US"/>
        </w:rPr>
        <w:t>acyclovir</w:t>
      </w:r>
      <w:r w:rsidRPr="00EB5B12">
        <w:rPr>
          <w:rFonts w:eastAsia="Times New Roman" w:cs="Arial"/>
          <w:color w:val="000000"/>
          <w:lang w:val="ru-RU"/>
        </w:rPr>
        <w:t xml:space="preserve">) </w:t>
      </w:r>
      <w:r w:rsidRPr="00EB5B12">
        <w:rPr>
          <w:rFonts w:eastAsia="Times New Roman" w:cs="Arial"/>
          <w:color w:val="000000"/>
          <w:lang w:eastAsia="bg-BG"/>
        </w:rPr>
        <w:t xml:space="preserve">5 пъти дневно, са установени средни плазмени концентрации 5.7-15.1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eastAsia="bg-BG"/>
        </w:rPr>
        <w:t xml:space="preserve">/1. Бебета (1-6 седмици), приемали перорално по 600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m</w:t>
      </w:r>
      <w:r w:rsidRPr="00EB5B12">
        <w:rPr>
          <w:rFonts w:eastAsia="Times New Roman" w:cs="Arial"/>
          <w:color w:val="000000"/>
          <w:vertAlign w:val="superscript"/>
          <w:lang w:val="ru-RU"/>
        </w:rPr>
        <w:t>2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ацикловир на всеки 6 часа, са имали най-високи плазмени концентрации 17.3 или 8.6 </w:t>
      </w:r>
      <w:proofErr w:type="spellStart"/>
      <w:r w:rsidRPr="00EB5B12">
        <w:rPr>
          <w:rFonts w:eastAsia="Times New Roman" w:cs="Arial"/>
          <w:color w:val="000000"/>
          <w:lang w:val="en-US"/>
        </w:rPr>
        <w:t>μmol</w:t>
      </w:r>
      <w:proofErr w:type="spellEnd"/>
      <w:r w:rsidRPr="00EB5B12">
        <w:rPr>
          <w:rFonts w:eastAsia="Times New Roman" w:cs="Arial"/>
          <w:color w:val="000000"/>
          <w:lang w:eastAsia="bg-BG"/>
        </w:rPr>
        <w:t>/1.</w:t>
      </w:r>
    </w:p>
    <w:p w14:paraId="5CBF622F" w14:textId="77777777" w:rsidR="00EB5B12" w:rsidRPr="00EB5B12" w:rsidRDefault="00EB5B12" w:rsidP="00EB5B12">
      <w:pPr>
        <w:rPr>
          <w:rFonts w:cs="Arial"/>
        </w:rPr>
      </w:pPr>
    </w:p>
    <w:p w14:paraId="028E658A" w14:textId="5753A90C" w:rsidR="00395555" w:rsidRDefault="002C50EE" w:rsidP="008A6AF2">
      <w:pPr>
        <w:pStyle w:val="Heading2"/>
      </w:pPr>
      <w:r>
        <w:t>5.3. Предклинични данни за безопасност</w:t>
      </w:r>
    </w:p>
    <w:p w14:paraId="3F890488" w14:textId="067FA0B7" w:rsidR="00EB5B12" w:rsidRDefault="00EB5B12" w:rsidP="00EB5B12"/>
    <w:p w14:paraId="724E64DE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Пероралната </w:t>
      </w:r>
      <w:r w:rsidRPr="00EB5B12">
        <w:rPr>
          <w:rFonts w:eastAsia="Times New Roman" w:cs="Arial"/>
          <w:color w:val="000000"/>
          <w:lang w:val="en-US"/>
        </w:rPr>
        <w:t>LD</w:t>
      </w:r>
      <w:r w:rsidRPr="00EB5B12">
        <w:rPr>
          <w:rFonts w:eastAsia="Times New Roman" w:cs="Arial"/>
          <w:color w:val="000000"/>
          <w:vertAlign w:val="subscript"/>
          <w:lang w:val="ru-RU"/>
        </w:rPr>
        <w:t>50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на ацикловир при мишки и плъхове не може да се определи, тъй като дози, по-високи от 10</w:t>
      </w:r>
      <w:r w:rsidRPr="00EB5B12">
        <w:rPr>
          <w:rFonts w:eastAsia="Times New Roman" w:cs="Arial"/>
          <w:color w:val="000000"/>
          <w:lang w:val="en-US"/>
        </w:rPr>
        <w:t>g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kg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 xml:space="preserve">(мишки) или </w:t>
      </w:r>
      <w:r w:rsidRPr="00EB5B12">
        <w:rPr>
          <w:rFonts w:eastAsia="Times New Roman" w:cs="Arial"/>
          <w:color w:val="000000"/>
          <w:lang w:val="ru-RU"/>
        </w:rPr>
        <w:t>20</w:t>
      </w:r>
      <w:r w:rsidRPr="00EB5B12">
        <w:rPr>
          <w:rFonts w:eastAsia="Times New Roman" w:cs="Arial"/>
          <w:color w:val="000000"/>
          <w:lang w:val="en-US"/>
        </w:rPr>
        <w:t>g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kg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(плъхове), не могат да се превишават по физиологични причини и животните преживяват при това дозиране.</w:t>
      </w:r>
    </w:p>
    <w:p w14:paraId="44808A2A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Проучванията при хронична токсичност не показват възможност за възникване на нежелани ефекти при хора.</w:t>
      </w:r>
    </w:p>
    <w:p w14:paraId="12414E4B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lastRenderedPageBreak/>
        <w:t>Ацикловир не предизвиква никакви мутагенни, тератогенни ефекти или канцерогенен потенциал при ин виво и ин витро проучвания.</w:t>
      </w:r>
    </w:p>
    <w:p w14:paraId="749EA40E" w14:textId="77777777" w:rsidR="00EB5B12" w:rsidRPr="00EB5B12" w:rsidRDefault="00EB5B12" w:rsidP="00EB5B1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E654F56" w14:textId="0F2E0C68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i/>
          <w:iCs/>
          <w:color w:val="000000"/>
          <w:lang w:eastAsia="bg-BG"/>
        </w:rPr>
        <w:t>Фертилитет</w:t>
      </w:r>
    </w:p>
    <w:p w14:paraId="3FA18A02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>Странични въздействия върху сперматогенезата при плъхове и кучета от породата бийгъл в по- голямата си част са обратими и са наблюдавани само при дози, значително надвишаващи нормалното терапевтично ниво.</w:t>
      </w:r>
    </w:p>
    <w:p w14:paraId="33383AA1" w14:textId="77777777" w:rsidR="00EB5B12" w:rsidRPr="00EB5B12" w:rsidRDefault="00EB5B12" w:rsidP="00EB5B12">
      <w:pPr>
        <w:spacing w:line="240" w:lineRule="auto"/>
        <w:rPr>
          <w:rFonts w:eastAsia="Times New Roman" w:cs="Arial"/>
        </w:rPr>
      </w:pPr>
      <w:r w:rsidRPr="00EB5B12">
        <w:rPr>
          <w:rFonts w:eastAsia="Times New Roman" w:cs="Arial"/>
          <w:color w:val="000000"/>
          <w:lang w:eastAsia="bg-BG"/>
        </w:rPr>
        <w:t xml:space="preserve">Проучвания върху две поколения мишки след перорално приемане на ацикловир (до 450 </w:t>
      </w:r>
      <w:r w:rsidRPr="00EB5B12">
        <w:rPr>
          <w:rFonts w:eastAsia="Times New Roman" w:cs="Arial"/>
          <w:color w:val="000000"/>
          <w:lang w:val="en-US"/>
        </w:rPr>
        <w:t>mg</w:t>
      </w:r>
      <w:r w:rsidRPr="00EB5B12">
        <w:rPr>
          <w:rFonts w:eastAsia="Times New Roman" w:cs="Arial"/>
          <w:color w:val="000000"/>
          <w:lang w:val="ru-RU"/>
        </w:rPr>
        <w:t>/</w:t>
      </w:r>
      <w:r w:rsidRPr="00EB5B12">
        <w:rPr>
          <w:rFonts w:eastAsia="Times New Roman" w:cs="Arial"/>
          <w:color w:val="000000"/>
          <w:lang w:val="en-US"/>
        </w:rPr>
        <w:t>kg</w:t>
      </w:r>
      <w:r w:rsidRPr="00EB5B12">
        <w:rPr>
          <w:rFonts w:eastAsia="Times New Roman" w:cs="Arial"/>
          <w:color w:val="000000"/>
          <w:lang w:val="ru-RU"/>
        </w:rPr>
        <w:t xml:space="preserve"> </w:t>
      </w:r>
      <w:r w:rsidRPr="00EB5B12">
        <w:rPr>
          <w:rFonts w:eastAsia="Times New Roman" w:cs="Arial"/>
          <w:color w:val="000000"/>
          <w:lang w:eastAsia="bg-BG"/>
        </w:rPr>
        <w:t>ацикловир на ден) не показват въздействие върху фертилитета.</w:t>
      </w:r>
    </w:p>
    <w:p w14:paraId="69452EA5" w14:textId="77777777" w:rsidR="00EB5B12" w:rsidRPr="00EB5B12" w:rsidRDefault="00EB5B12" w:rsidP="00EB5B12"/>
    <w:p w14:paraId="6A7820AB" w14:textId="6AA7DD0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44D677F5" w14:textId="3E22B60A" w:rsidR="00EB5B12" w:rsidRDefault="00EB5B12" w:rsidP="00EB5B12"/>
    <w:p w14:paraId="32AD4704" w14:textId="77777777" w:rsidR="00EB5B12" w:rsidRDefault="00EB5B12" w:rsidP="00EB5B12">
      <w:pPr>
        <w:rPr>
          <w:lang w:val="en-US"/>
        </w:rPr>
      </w:pPr>
      <w:r w:rsidRPr="00EB5B12">
        <w:rPr>
          <w:lang w:val="en-US"/>
        </w:rPr>
        <w:t xml:space="preserve">ALIUD® PHARMA GmbH </w:t>
      </w:r>
    </w:p>
    <w:p w14:paraId="1EDAD10A" w14:textId="77777777" w:rsidR="00EB5B12" w:rsidRDefault="00EB5B12" w:rsidP="00EB5B12">
      <w:pPr>
        <w:rPr>
          <w:lang w:val="en-US"/>
        </w:rPr>
      </w:pPr>
      <w:r w:rsidRPr="00EB5B12">
        <w:rPr>
          <w:lang w:val="en-US"/>
        </w:rPr>
        <w:t>Gottlieb-Daimler-</w:t>
      </w:r>
      <w:proofErr w:type="spellStart"/>
      <w:r w:rsidRPr="00EB5B12">
        <w:rPr>
          <w:lang w:val="en-US"/>
        </w:rPr>
        <w:t>Strasse</w:t>
      </w:r>
      <w:proofErr w:type="spellEnd"/>
      <w:r w:rsidRPr="00EB5B12">
        <w:rPr>
          <w:lang w:val="en-US"/>
        </w:rPr>
        <w:t xml:space="preserve"> 19 </w:t>
      </w:r>
    </w:p>
    <w:p w14:paraId="444D7126" w14:textId="77777777" w:rsidR="00EB5B12" w:rsidRDefault="00EB5B12" w:rsidP="00EB5B12">
      <w:pPr>
        <w:rPr>
          <w:lang w:val="en-US"/>
        </w:rPr>
      </w:pPr>
      <w:proofErr w:type="gramStart"/>
      <w:r w:rsidRPr="00EB5B12">
        <w:rPr>
          <w:lang w:val="en-US"/>
        </w:rPr>
        <w:t>89150</w:t>
      </w:r>
      <w:proofErr w:type="gramEnd"/>
      <w:r w:rsidRPr="00EB5B12">
        <w:rPr>
          <w:lang w:val="en-US"/>
        </w:rPr>
        <w:t xml:space="preserve"> </w:t>
      </w:r>
      <w:proofErr w:type="spellStart"/>
      <w:r w:rsidRPr="00EB5B12">
        <w:rPr>
          <w:lang w:val="en-US"/>
        </w:rPr>
        <w:t>Laichingen</w:t>
      </w:r>
      <w:proofErr w:type="spellEnd"/>
      <w:r w:rsidRPr="00EB5B12">
        <w:rPr>
          <w:lang w:val="en-US"/>
        </w:rPr>
        <w:t xml:space="preserve"> </w:t>
      </w:r>
    </w:p>
    <w:p w14:paraId="55F84CAD" w14:textId="4B923D7B" w:rsidR="00EB5B12" w:rsidRPr="00EB5B12" w:rsidRDefault="00EB5B12" w:rsidP="00EB5B12">
      <w:pPr>
        <w:rPr>
          <w:sz w:val="24"/>
          <w:szCs w:val="24"/>
          <w:lang w:val="en-US"/>
        </w:rPr>
      </w:pPr>
      <w:r w:rsidRPr="00EB5B12">
        <w:rPr>
          <w:lang w:eastAsia="bg-BG"/>
        </w:rPr>
        <w:t>Германия</w:t>
      </w:r>
    </w:p>
    <w:p w14:paraId="54AE602B" w14:textId="31A26576" w:rsidR="00EB5B12" w:rsidRPr="00EB5B12" w:rsidRDefault="00EB5B12" w:rsidP="00EB5B12">
      <w:r w:rsidRPr="00EB5B12">
        <w:rPr>
          <w:lang w:val="en-US"/>
        </w:rPr>
        <w:t>E</w:t>
      </w:r>
      <w:r w:rsidRPr="00EB5B12">
        <w:rPr>
          <w:lang w:val="ru-RU"/>
        </w:rPr>
        <w:t>-</w:t>
      </w:r>
      <w:r w:rsidRPr="00EB5B12">
        <w:rPr>
          <w:lang w:val="en-US"/>
        </w:rPr>
        <w:t>mail</w:t>
      </w:r>
      <w:r w:rsidRPr="00EB5B12">
        <w:rPr>
          <w:lang w:val="ru-RU"/>
        </w:rPr>
        <w:t xml:space="preserve">: </w:t>
      </w:r>
      <w:hyperlink r:id="rId5" w:history="1">
        <w:r w:rsidRPr="00EB5B12">
          <w:rPr>
            <w:lang w:val="en-US"/>
          </w:rPr>
          <w:t>info</w:t>
        </w:r>
        <w:r w:rsidRPr="00EB5B12">
          <w:rPr>
            <w:lang w:val="ru-RU"/>
          </w:rPr>
          <w:t>@</w:t>
        </w:r>
        <w:proofErr w:type="spellStart"/>
        <w:r w:rsidRPr="00EB5B12">
          <w:rPr>
            <w:lang w:val="en-US"/>
          </w:rPr>
          <w:t>aliud</w:t>
        </w:r>
        <w:proofErr w:type="spellEnd"/>
        <w:r w:rsidRPr="00EB5B12">
          <w:rPr>
            <w:lang w:val="ru-RU"/>
          </w:rPr>
          <w:t>.</w:t>
        </w:r>
        <w:r w:rsidRPr="00EB5B12">
          <w:rPr>
            <w:lang w:val="en-US"/>
          </w:rPr>
          <w:t>de</w:t>
        </w:r>
      </w:hyperlink>
    </w:p>
    <w:p w14:paraId="04840D59" w14:textId="69FA93FF" w:rsidR="002C50EE" w:rsidRDefault="002C50EE" w:rsidP="00395555">
      <w:pPr>
        <w:pStyle w:val="Heading1"/>
      </w:pPr>
      <w:r>
        <w:t>8. НОМЕР НА РАЗРЕШЕНИЕТО ЗА УПОТРЕБА</w:t>
      </w:r>
    </w:p>
    <w:p w14:paraId="4D0C8BA2" w14:textId="75559233" w:rsidR="00EB5B12" w:rsidRDefault="00EB5B12" w:rsidP="00EB5B12"/>
    <w:p w14:paraId="6ED6B240" w14:textId="63E4EC8F" w:rsidR="00EB5B12" w:rsidRPr="00EB5B12" w:rsidRDefault="00EB5B12" w:rsidP="00EB5B12">
      <w:r>
        <w:t>Регистрационен номер: 9700251</w:t>
      </w:r>
    </w:p>
    <w:p w14:paraId="2CCB5832" w14:textId="60540AC1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267DC663" w14:textId="77777777" w:rsidR="00EB5B12" w:rsidRPr="00EB5B12" w:rsidRDefault="00EB5B12" w:rsidP="00EB5B12">
      <w:pPr>
        <w:rPr>
          <w:sz w:val="24"/>
          <w:szCs w:val="24"/>
        </w:rPr>
      </w:pPr>
      <w:r w:rsidRPr="00EB5B12">
        <w:rPr>
          <w:lang w:eastAsia="bg-BG"/>
        </w:rPr>
        <w:t>Дата на първо разрешаване: 20.04.1997</w:t>
      </w:r>
    </w:p>
    <w:p w14:paraId="132D8208" w14:textId="423092F1" w:rsidR="00EB5B12" w:rsidRPr="00EB5B12" w:rsidRDefault="00EB5B12" w:rsidP="00EB5B12">
      <w:r w:rsidRPr="00EB5B12">
        <w:rPr>
          <w:lang w:eastAsia="bg-BG"/>
        </w:rPr>
        <w:t>Дата на последно подновяване: 05.08.2008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21C5F062" w:rsidR="007C605B" w:rsidRPr="003E3126" w:rsidRDefault="00EB5B12" w:rsidP="00EB5B12">
      <w:r>
        <w:t>Юни 2020</w:t>
      </w:r>
      <w:bookmarkStart w:id="10" w:name="_GoBack"/>
      <w:bookmarkEnd w:id="10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72EEF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A03"/>
    <w:multiLevelType w:val="hybridMultilevel"/>
    <w:tmpl w:val="A20C3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C28E9"/>
    <w:multiLevelType w:val="hybridMultilevel"/>
    <w:tmpl w:val="BBAC279A"/>
    <w:lvl w:ilvl="0" w:tplc="EB40A5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29"/>
  </w:num>
  <w:num w:numId="12">
    <w:abstractNumId w:val="14"/>
  </w:num>
  <w:num w:numId="13">
    <w:abstractNumId w:val="19"/>
  </w:num>
  <w:num w:numId="14">
    <w:abstractNumId w:val="12"/>
  </w:num>
  <w:num w:numId="15">
    <w:abstractNumId w:val="28"/>
  </w:num>
  <w:num w:numId="16">
    <w:abstractNumId w:val="10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0"/>
  </w:num>
  <w:num w:numId="28">
    <w:abstractNumId w:val="6"/>
  </w:num>
  <w:num w:numId="29">
    <w:abstractNumId w:val="20"/>
  </w:num>
  <w:num w:numId="30">
    <w:abstractNumId w:val="32"/>
  </w:num>
  <w:num w:numId="31">
    <w:abstractNumId w:val="5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5B12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iu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2021-12-02T14:50:00Z</dcterms:created>
  <dcterms:modified xsi:type="dcterms:W3CDTF">2021-12-02T14:50:00Z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