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0CD51931" w:rsidR="00AA23EC" w:rsidRDefault="00DD466D" w:rsidP="00DD466D">
      <w:pPr>
        <w:pStyle w:val="Heading1"/>
      </w:pPr>
      <w:r>
        <w:t>1.ИМЕ НА ЛЕКАРСТВЕНИЯ ПРОДУКТ</w:t>
      </w:r>
    </w:p>
    <w:p w14:paraId="663428AB" w14:textId="7A0906FA" w:rsidR="00450837" w:rsidRDefault="00450837" w:rsidP="00450837"/>
    <w:p w14:paraId="72BAFD73" w14:textId="77777777" w:rsidR="00450837" w:rsidRPr="00450837" w:rsidRDefault="00450837" w:rsidP="00450837">
      <w:pPr>
        <w:rPr>
          <w:sz w:val="24"/>
          <w:szCs w:val="24"/>
        </w:rPr>
      </w:pPr>
      <w:r w:rsidRPr="00450837">
        <w:rPr>
          <w:lang w:eastAsia="bg-BG"/>
        </w:rPr>
        <w:t xml:space="preserve">Ацикловир АЛ 400 </w:t>
      </w:r>
      <w:r w:rsidRPr="00450837">
        <w:rPr>
          <w:lang w:val="en-US"/>
        </w:rPr>
        <w:t>mg</w:t>
      </w:r>
      <w:r w:rsidRPr="00450837">
        <w:t xml:space="preserve"> </w:t>
      </w:r>
      <w:r w:rsidRPr="00450837">
        <w:rPr>
          <w:lang w:eastAsia="bg-BG"/>
        </w:rPr>
        <w:t>таблетки</w:t>
      </w:r>
    </w:p>
    <w:p w14:paraId="475DA360" w14:textId="0A9A1AB8" w:rsidR="00450837" w:rsidRPr="00450837" w:rsidRDefault="00450837" w:rsidP="00450837">
      <w:proofErr w:type="spellStart"/>
      <w:r w:rsidRPr="00450837">
        <w:rPr>
          <w:lang w:val="en-US"/>
        </w:rPr>
        <w:t>Aciclovir</w:t>
      </w:r>
      <w:proofErr w:type="spellEnd"/>
      <w:r w:rsidRPr="00450837">
        <w:t xml:space="preserve"> </w:t>
      </w:r>
      <w:r w:rsidRPr="00450837">
        <w:rPr>
          <w:lang w:val="en-US"/>
        </w:rPr>
        <w:t>AL</w:t>
      </w:r>
      <w:r w:rsidRPr="00450837">
        <w:t xml:space="preserve"> </w:t>
      </w:r>
      <w:r w:rsidRPr="00450837">
        <w:rPr>
          <w:lang w:eastAsia="bg-BG"/>
        </w:rPr>
        <w:t xml:space="preserve">400 </w:t>
      </w:r>
      <w:r w:rsidRPr="00450837">
        <w:rPr>
          <w:lang w:val="en-US"/>
        </w:rPr>
        <w:t>mg</w:t>
      </w:r>
      <w:r w:rsidRPr="00450837">
        <w:t xml:space="preserve"> </w:t>
      </w:r>
      <w:r w:rsidRPr="00450837">
        <w:rPr>
          <w:lang w:val="en-US"/>
        </w:rPr>
        <w:t>tablets</w:t>
      </w:r>
    </w:p>
    <w:p w14:paraId="0A368469" w14:textId="54FFB4B9" w:rsidR="00C0049F" w:rsidRDefault="00DD466D" w:rsidP="009F1313">
      <w:pPr>
        <w:pStyle w:val="Heading1"/>
      </w:pPr>
      <w:r>
        <w:t>2. КАЧЕСТВЕН И КОЛИЧЕСТВЕН СЪСТАВ</w:t>
      </w:r>
    </w:p>
    <w:p w14:paraId="70C4F9AA" w14:textId="4FAAF481" w:rsidR="00450837" w:rsidRDefault="00450837" w:rsidP="00450837"/>
    <w:p w14:paraId="422A9002"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Активно вещество: </w:t>
      </w:r>
      <w:r w:rsidRPr="00450837">
        <w:rPr>
          <w:rFonts w:eastAsia="Times New Roman" w:cs="Arial"/>
          <w:b/>
          <w:bCs/>
          <w:color w:val="000000"/>
          <w:szCs w:val="44"/>
          <w:lang w:eastAsia="bg-BG"/>
        </w:rPr>
        <w:t>Ацикловир (</w:t>
      </w:r>
      <w:proofErr w:type="spellStart"/>
      <w:r w:rsidRPr="00450837">
        <w:rPr>
          <w:rFonts w:eastAsia="Times New Roman" w:cs="Arial"/>
          <w:i/>
          <w:iCs/>
          <w:color w:val="000000"/>
          <w:szCs w:val="44"/>
          <w:lang w:val="en-US"/>
        </w:rPr>
        <w:t>aciclovir</w:t>
      </w:r>
      <w:proofErr w:type="spellEnd"/>
      <w:r w:rsidRPr="00450837">
        <w:rPr>
          <w:rFonts w:eastAsia="Times New Roman" w:cs="Arial"/>
          <w:i/>
          <w:iCs/>
          <w:color w:val="000000"/>
          <w:szCs w:val="44"/>
        </w:rPr>
        <w:t>).</w:t>
      </w:r>
    </w:p>
    <w:p w14:paraId="75E36747"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Всяка таблетка съдържа: 400 </w:t>
      </w:r>
      <w:r w:rsidRPr="00450837">
        <w:rPr>
          <w:rFonts w:eastAsia="Times New Roman" w:cs="Arial"/>
          <w:color w:val="000000"/>
          <w:szCs w:val="44"/>
          <w:lang w:val="en-US"/>
        </w:rPr>
        <w:t>mg</w:t>
      </w:r>
      <w:r w:rsidRPr="00450837">
        <w:rPr>
          <w:rFonts w:eastAsia="Times New Roman" w:cs="Arial"/>
          <w:color w:val="000000"/>
          <w:szCs w:val="44"/>
        </w:rPr>
        <w:t xml:space="preserve"> </w:t>
      </w:r>
      <w:r w:rsidRPr="00450837">
        <w:rPr>
          <w:rFonts w:eastAsia="Times New Roman" w:cs="Arial"/>
          <w:color w:val="000000"/>
          <w:szCs w:val="44"/>
          <w:lang w:eastAsia="bg-BG"/>
        </w:rPr>
        <w:t>ацикловир (</w:t>
      </w:r>
      <w:proofErr w:type="spellStart"/>
      <w:r w:rsidRPr="00450837">
        <w:rPr>
          <w:rFonts w:eastAsia="Times New Roman" w:cs="Arial"/>
          <w:i/>
          <w:iCs/>
          <w:color w:val="000000"/>
          <w:szCs w:val="44"/>
          <w:lang w:val="en-US"/>
        </w:rPr>
        <w:t>aciclovir</w:t>
      </w:r>
      <w:proofErr w:type="spellEnd"/>
      <w:r w:rsidRPr="00450837">
        <w:rPr>
          <w:rFonts w:eastAsia="Times New Roman" w:cs="Arial"/>
          <w:i/>
          <w:iCs/>
          <w:color w:val="000000"/>
          <w:szCs w:val="44"/>
        </w:rPr>
        <w:t>).</w:t>
      </w:r>
    </w:p>
    <w:p w14:paraId="1D88BA6B" w14:textId="77777777" w:rsidR="00450837" w:rsidRDefault="00450837" w:rsidP="00450837">
      <w:pPr>
        <w:spacing w:line="240" w:lineRule="auto"/>
        <w:rPr>
          <w:rFonts w:eastAsia="Times New Roman" w:cs="Arial"/>
          <w:color w:val="000000"/>
          <w:szCs w:val="44"/>
          <w:lang w:eastAsia="bg-BG"/>
        </w:rPr>
      </w:pPr>
    </w:p>
    <w:p w14:paraId="2FFE04BB" w14:textId="51AE0F2B"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Помощно вещество с известно действие:</w:t>
      </w:r>
    </w:p>
    <w:p w14:paraId="6C72DB8B" w14:textId="3F08502D" w:rsidR="00450837" w:rsidRPr="00450837" w:rsidRDefault="00450837" w:rsidP="00450837">
      <w:pPr>
        <w:rPr>
          <w:rFonts w:cs="Arial"/>
          <w:sz w:val="10"/>
        </w:rPr>
      </w:pPr>
      <w:r w:rsidRPr="00450837">
        <w:rPr>
          <w:rFonts w:eastAsia="Times New Roman" w:cs="Arial"/>
          <w:color w:val="000000"/>
          <w:szCs w:val="44"/>
          <w:lang w:eastAsia="bg-BG"/>
        </w:rPr>
        <w:t xml:space="preserve">Всяка таблетка съдържа </w:t>
      </w:r>
      <w:r w:rsidRPr="00450837">
        <w:rPr>
          <w:rFonts w:eastAsia="Times New Roman" w:cs="Arial"/>
          <w:color w:val="000000"/>
          <w:szCs w:val="44"/>
          <w:lang w:val="en-US"/>
        </w:rPr>
        <w:t>L</w:t>
      </w:r>
      <w:r w:rsidRPr="00450837">
        <w:rPr>
          <w:rFonts w:eastAsia="Times New Roman" w:cs="Arial"/>
          <w:color w:val="000000"/>
          <w:szCs w:val="44"/>
          <w:lang w:val="ru-RU"/>
        </w:rPr>
        <w:t xml:space="preserve">365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натрий.</w:t>
      </w:r>
    </w:p>
    <w:p w14:paraId="614984C4" w14:textId="21644D86" w:rsidR="008A6AF2" w:rsidRDefault="00DD466D" w:rsidP="002C50EE">
      <w:pPr>
        <w:pStyle w:val="Heading1"/>
      </w:pPr>
      <w:r>
        <w:t>3. ЛЕКАРСТВЕНА ФОРМА</w:t>
      </w:r>
    </w:p>
    <w:p w14:paraId="1FFEDF6E" w14:textId="0FCE38F5" w:rsidR="00450837" w:rsidRDefault="00450837" w:rsidP="00450837"/>
    <w:p w14:paraId="40356D69" w14:textId="77777777" w:rsidR="00450837" w:rsidRPr="00450837" w:rsidRDefault="00450837" w:rsidP="00450837">
      <w:pPr>
        <w:rPr>
          <w:sz w:val="24"/>
          <w:szCs w:val="24"/>
        </w:rPr>
      </w:pPr>
      <w:r w:rsidRPr="00450837">
        <w:rPr>
          <w:lang w:eastAsia="bg-BG"/>
        </w:rPr>
        <w:t>Таблетка.</w:t>
      </w:r>
    </w:p>
    <w:p w14:paraId="756BD91B" w14:textId="5CB331C1" w:rsidR="00450837" w:rsidRPr="00450837" w:rsidRDefault="00450837" w:rsidP="00450837">
      <w:r w:rsidRPr="00450837">
        <w:rPr>
          <w:lang w:eastAsia="bg-BG"/>
        </w:rPr>
        <w:t>Бели, кръгли, двой но изпъкнал и таблетки.</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188A66F" w:rsidR="00395555" w:rsidRDefault="00395555" w:rsidP="00395555"/>
    <w:p w14:paraId="69E1AA78" w14:textId="77777777" w:rsidR="00450837" w:rsidRPr="00450837" w:rsidRDefault="00450837" w:rsidP="00450837">
      <w:pPr>
        <w:pStyle w:val="ListParagraph"/>
        <w:numPr>
          <w:ilvl w:val="0"/>
          <w:numId w:val="32"/>
        </w:numPr>
        <w:rPr>
          <w:sz w:val="24"/>
          <w:szCs w:val="24"/>
        </w:rPr>
      </w:pPr>
      <w:r w:rsidRPr="00450837">
        <w:rPr>
          <w:lang w:eastAsia="bg-BG"/>
        </w:rPr>
        <w:t>Херпес зостер</w:t>
      </w:r>
    </w:p>
    <w:p w14:paraId="1155B435" w14:textId="77777777" w:rsidR="00450837" w:rsidRPr="00450837" w:rsidRDefault="00450837" w:rsidP="00450837">
      <w:pPr>
        <w:pStyle w:val="ListParagraph"/>
        <w:numPr>
          <w:ilvl w:val="0"/>
          <w:numId w:val="32"/>
        </w:numPr>
        <w:rPr>
          <w:sz w:val="24"/>
          <w:szCs w:val="24"/>
        </w:rPr>
      </w:pPr>
      <w:r w:rsidRPr="00450837">
        <w:rPr>
          <w:lang w:eastAsia="bg-BG"/>
        </w:rPr>
        <w:t>За предпазване от тежки случаи на херпес симплекс вирусни инфекции при имунокомпрометирани възрастни пациенти, изложени на увеличен риск от инфекции, напр. след трансплантация на органи.</w:t>
      </w:r>
    </w:p>
    <w:p w14:paraId="1FEF1D56" w14:textId="77777777" w:rsidR="00450837" w:rsidRPr="00450837" w:rsidRDefault="00450837" w:rsidP="00450837">
      <w:pPr>
        <w:pStyle w:val="ListParagraph"/>
        <w:numPr>
          <w:ilvl w:val="0"/>
          <w:numId w:val="32"/>
        </w:numPr>
        <w:rPr>
          <w:sz w:val="24"/>
          <w:szCs w:val="24"/>
        </w:rPr>
      </w:pPr>
      <w:r w:rsidRPr="00450837">
        <w:rPr>
          <w:lang w:eastAsia="bg-BG"/>
        </w:rPr>
        <w:t>Ацикловир не е показан за лечение на херпес симплекс вирусни инфекции при новородени и деца под 3-месечна възраст, както и при имунокомпрометирани деца с тежки херпес-симплекс вирусни инфекции.</w:t>
      </w:r>
    </w:p>
    <w:p w14:paraId="5265CAB0" w14:textId="77777777" w:rsidR="00450837" w:rsidRPr="00395555" w:rsidRDefault="00450837" w:rsidP="00395555"/>
    <w:p w14:paraId="7C0CA5EB" w14:textId="367164F5" w:rsidR="00C0049F" w:rsidRDefault="002C50EE" w:rsidP="009F1313">
      <w:pPr>
        <w:pStyle w:val="Heading2"/>
      </w:pPr>
      <w:r>
        <w:t>4.2. Дозировка и начин на приложение</w:t>
      </w:r>
    </w:p>
    <w:p w14:paraId="373ACE71" w14:textId="660E8ACF" w:rsidR="00450837" w:rsidRDefault="00450837" w:rsidP="00450837"/>
    <w:p w14:paraId="02301788" w14:textId="77777777" w:rsidR="00450837" w:rsidRPr="00450837" w:rsidRDefault="00450837" w:rsidP="00450837">
      <w:pPr>
        <w:spacing w:line="240" w:lineRule="auto"/>
        <w:rPr>
          <w:rFonts w:eastAsia="Times New Roman" w:cs="Arial"/>
          <w:sz w:val="12"/>
          <w:szCs w:val="24"/>
        </w:rPr>
      </w:pPr>
      <w:r w:rsidRPr="00450837">
        <w:rPr>
          <w:rFonts w:eastAsia="Times New Roman" w:cs="Arial"/>
          <w:i/>
          <w:iCs/>
          <w:color w:val="000000"/>
          <w:szCs w:val="44"/>
          <w:lang w:eastAsia="bg-BG"/>
        </w:rPr>
        <w:t>ВЪЗРАСТНИ:</w:t>
      </w:r>
    </w:p>
    <w:p w14:paraId="0A037C53"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u w:val="single"/>
          <w:lang w:eastAsia="bg-BG"/>
        </w:rPr>
        <w:t>За профилактика на инфекции, причинени от херпес симплекс-вирус:</w:t>
      </w:r>
    </w:p>
    <w:p w14:paraId="42C52D4F"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За профилактика на тежко протичащи инфекции, причинени от херпес симплекс-вирус, при пациенти с потисната имунна система, изложени на увеличен риск от инфекции, напр. след трансплантация на органи:</w:t>
      </w:r>
    </w:p>
    <w:p w14:paraId="2168002A"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400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ацикловир 4 пъти дневно на всеки 6 часа</w:t>
      </w:r>
    </w:p>
    <w:p w14:paraId="4DD4B298" w14:textId="77777777" w:rsidR="00450837" w:rsidRPr="00450837" w:rsidRDefault="00450837" w:rsidP="00450837">
      <w:pPr>
        <w:spacing w:line="240" w:lineRule="auto"/>
        <w:rPr>
          <w:rFonts w:eastAsia="Times New Roman" w:cs="Arial"/>
          <w:color w:val="000000"/>
          <w:szCs w:val="44"/>
          <w:u w:val="single"/>
          <w:lang w:eastAsia="bg-BG"/>
        </w:rPr>
      </w:pPr>
    </w:p>
    <w:p w14:paraId="2DDB18F6" w14:textId="692865C2"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u w:val="single"/>
          <w:lang w:eastAsia="bg-BG"/>
        </w:rPr>
        <w:t>Херпес зостер</w:t>
      </w:r>
    </w:p>
    <w:p w14:paraId="495956B4"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800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ацикловир 5 пъти дневно на всеки 4 часа за 5-7 дни.</w:t>
      </w:r>
    </w:p>
    <w:p w14:paraId="03602038" w14:textId="77777777" w:rsidR="00450837" w:rsidRPr="00450837" w:rsidRDefault="00450837" w:rsidP="00450837">
      <w:pPr>
        <w:spacing w:line="240" w:lineRule="auto"/>
        <w:rPr>
          <w:rFonts w:eastAsia="Times New Roman" w:cs="Arial"/>
          <w:sz w:val="12"/>
          <w:szCs w:val="24"/>
        </w:rPr>
      </w:pPr>
    </w:p>
    <w:p w14:paraId="19C0BC3E" w14:textId="77777777" w:rsidR="00450837" w:rsidRPr="00450837" w:rsidRDefault="00450837" w:rsidP="00450837">
      <w:pPr>
        <w:spacing w:line="240" w:lineRule="auto"/>
        <w:rPr>
          <w:rFonts w:eastAsia="Times New Roman" w:cs="Arial"/>
          <w:sz w:val="12"/>
          <w:szCs w:val="24"/>
        </w:rPr>
      </w:pPr>
      <w:bookmarkStart w:id="1" w:name="bookmark0"/>
      <w:r w:rsidRPr="00450837">
        <w:rPr>
          <w:rFonts w:eastAsia="Times New Roman" w:cs="Arial"/>
          <w:b/>
          <w:bCs/>
          <w:color w:val="000000"/>
          <w:szCs w:val="44"/>
          <w:lang w:eastAsia="bg-BG"/>
        </w:rPr>
        <w:t>Пациенти в старческа възраст</w:t>
      </w:r>
      <w:bookmarkEnd w:id="1"/>
    </w:p>
    <w:p w14:paraId="56F00529" w14:textId="73D4595E" w:rsidR="00450837" w:rsidRPr="00450837" w:rsidRDefault="00450837" w:rsidP="00450837">
      <w:pPr>
        <w:rPr>
          <w:rFonts w:eastAsia="Times New Roman" w:cs="Arial"/>
          <w:color w:val="000000"/>
          <w:szCs w:val="44"/>
          <w:lang w:eastAsia="bg-BG"/>
        </w:rPr>
      </w:pPr>
      <w:r w:rsidRPr="00450837">
        <w:rPr>
          <w:rFonts w:eastAsia="Times New Roman" w:cs="Arial"/>
          <w:color w:val="000000"/>
          <w:szCs w:val="44"/>
          <w:lang w:eastAsia="bg-BG"/>
        </w:rPr>
        <w:lastRenderedPageBreak/>
        <w:t>При пациенти в старческа възраст е по-вероятно да настъпи отклонение в бъбречната функция и дозата съответно трябва да бъде адаптирана (вижте по-долу „Дозировка при бъбречно увреждане). Трябва да се осигури достатъчен прием на течности при пациенти в старческа възраст, които приемат високи дози ацикловир.</w:t>
      </w:r>
    </w:p>
    <w:p w14:paraId="3475576C" w14:textId="14A78FD9" w:rsidR="00450837" w:rsidRPr="00450837" w:rsidRDefault="00450837" w:rsidP="00450837">
      <w:pPr>
        <w:rPr>
          <w:rFonts w:eastAsia="Times New Roman" w:cs="Arial"/>
          <w:color w:val="000000"/>
          <w:szCs w:val="44"/>
          <w:lang w:eastAsia="bg-BG"/>
        </w:rPr>
      </w:pPr>
    </w:p>
    <w:p w14:paraId="40647A51" w14:textId="77777777" w:rsidR="00450837" w:rsidRPr="00450837" w:rsidRDefault="00450837" w:rsidP="00450837">
      <w:pPr>
        <w:spacing w:line="240" w:lineRule="auto"/>
        <w:rPr>
          <w:rFonts w:eastAsia="Times New Roman" w:cs="Arial"/>
          <w:sz w:val="12"/>
          <w:szCs w:val="24"/>
        </w:rPr>
      </w:pPr>
      <w:r w:rsidRPr="00450837">
        <w:rPr>
          <w:rFonts w:eastAsia="Times New Roman" w:cs="Arial"/>
          <w:i/>
          <w:iCs/>
          <w:color w:val="000000"/>
          <w:szCs w:val="44"/>
          <w:lang w:eastAsia="bg-BG"/>
        </w:rPr>
        <w:t>Пациенти с бъбречно увреждане:</w:t>
      </w:r>
    </w:p>
    <w:p w14:paraId="69B54778"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При пациенти с бъбречно увреждане предписването на ацикловир трябва да става с повишено внимание и да се осигури необходим прием на течности. При пациенти с отклонения в бъбречната функция, се препоръчват следните дозови режими:</w:t>
      </w:r>
    </w:p>
    <w:p w14:paraId="3AB052D7" w14:textId="77777777" w:rsidR="00450837" w:rsidRPr="00450837" w:rsidRDefault="00450837" w:rsidP="00450837">
      <w:pPr>
        <w:spacing w:line="240" w:lineRule="auto"/>
        <w:rPr>
          <w:rFonts w:eastAsia="Times New Roman" w:cs="Arial"/>
          <w:color w:val="000000"/>
          <w:szCs w:val="44"/>
          <w:lang w:eastAsia="bg-BG"/>
        </w:rPr>
      </w:pPr>
    </w:p>
    <w:p w14:paraId="6A83C2D3" w14:textId="5BD5F8A2"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Дозировка при бъбречно увреждане:</w:t>
      </w:r>
    </w:p>
    <w:tbl>
      <w:tblPr>
        <w:tblStyle w:val="TableGrid"/>
        <w:tblW w:w="0" w:type="auto"/>
        <w:tblLook w:val="04A0" w:firstRow="1" w:lastRow="0" w:firstColumn="1" w:lastColumn="0" w:noHBand="0" w:noVBand="1"/>
      </w:tblPr>
      <w:tblGrid>
        <w:gridCol w:w="1878"/>
        <w:gridCol w:w="1893"/>
        <w:gridCol w:w="1849"/>
        <w:gridCol w:w="1850"/>
        <w:gridCol w:w="1880"/>
      </w:tblGrid>
      <w:tr w:rsidR="00450837" w14:paraId="240E48CE" w14:textId="77777777" w:rsidTr="00F931FC">
        <w:tc>
          <w:tcPr>
            <w:tcW w:w="1915" w:type="dxa"/>
          </w:tcPr>
          <w:p w14:paraId="4378B6EA" w14:textId="0147B0B6" w:rsidR="00450837" w:rsidRPr="00450837" w:rsidRDefault="00450837" w:rsidP="00450837">
            <w:r w:rsidRPr="00450837">
              <w:rPr>
                <w:szCs w:val="44"/>
              </w:rPr>
              <w:t>Показание</w:t>
            </w:r>
          </w:p>
        </w:tc>
        <w:tc>
          <w:tcPr>
            <w:tcW w:w="1915" w:type="dxa"/>
          </w:tcPr>
          <w:p w14:paraId="090E04CE" w14:textId="3652E4F3" w:rsidR="00450837" w:rsidRPr="00450837" w:rsidRDefault="00450837" w:rsidP="00450837">
            <w:r w:rsidRPr="00450837">
              <w:rPr>
                <w:szCs w:val="44"/>
              </w:rPr>
              <w:t xml:space="preserve">Креатининов клирънс </w:t>
            </w:r>
            <w:r w:rsidRPr="00450837">
              <w:rPr>
                <w:szCs w:val="44"/>
                <w:lang w:val="ru-RU"/>
              </w:rPr>
              <w:t>(</w:t>
            </w:r>
            <w:r w:rsidRPr="00450837">
              <w:rPr>
                <w:szCs w:val="44"/>
                <w:lang w:val="en-US"/>
              </w:rPr>
              <w:t>ml</w:t>
            </w:r>
            <w:r w:rsidRPr="00450837">
              <w:rPr>
                <w:szCs w:val="44"/>
                <w:lang w:val="ru-RU"/>
              </w:rPr>
              <w:t>/</w:t>
            </w:r>
            <w:r w:rsidRPr="00450837">
              <w:rPr>
                <w:szCs w:val="44"/>
                <w:lang w:val="en-US"/>
              </w:rPr>
              <w:t>min</w:t>
            </w:r>
            <w:r w:rsidRPr="00450837">
              <w:rPr>
                <w:szCs w:val="44"/>
                <w:lang w:val="ru-RU"/>
              </w:rPr>
              <w:t>/1</w:t>
            </w:r>
            <w:r w:rsidRPr="00450837">
              <w:rPr>
                <w:szCs w:val="44"/>
              </w:rPr>
              <w:t xml:space="preserve">.73 </w:t>
            </w:r>
            <w:r w:rsidRPr="00450837">
              <w:rPr>
                <w:szCs w:val="44"/>
                <w:lang w:val="en-US"/>
              </w:rPr>
              <w:t>m</w:t>
            </w:r>
            <w:r w:rsidRPr="00450837">
              <w:rPr>
                <w:szCs w:val="44"/>
                <w:vertAlign w:val="superscript"/>
                <w:lang w:val="ru-RU"/>
              </w:rPr>
              <w:t>2</w:t>
            </w:r>
            <w:r w:rsidRPr="00450837">
              <w:rPr>
                <w:szCs w:val="44"/>
                <w:lang w:val="ru-RU"/>
              </w:rPr>
              <w:t>)</w:t>
            </w:r>
          </w:p>
        </w:tc>
        <w:tc>
          <w:tcPr>
            <w:tcW w:w="3830" w:type="dxa"/>
            <w:gridSpan w:val="2"/>
          </w:tcPr>
          <w:p w14:paraId="626E5E28" w14:textId="375BDDC7" w:rsidR="00450837" w:rsidRPr="00450837" w:rsidRDefault="00450837" w:rsidP="00450837">
            <w:r w:rsidRPr="00450837">
              <w:rPr>
                <w:szCs w:val="44"/>
              </w:rPr>
              <w:t>Серумен креатинин (</w:t>
            </w:r>
            <w:proofErr w:type="spellStart"/>
            <w:r w:rsidRPr="00450837">
              <w:rPr>
                <w:szCs w:val="44"/>
                <w:lang w:val="en-US"/>
              </w:rPr>
              <w:t>μmol</w:t>
            </w:r>
            <w:proofErr w:type="spellEnd"/>
            <w:r w:rsidRPr="00450837">
              <w:rPr>
                <w:szCs w:val="44"/>
              </w:rPr>
              <w:t>/</w:t>
            </w:r>
            <w:r w:rsidRPr="00450837">
              <w:rPr>
                <w:szCs w:val="44"/>
                <w:lang w:val="en-US"/>
              </w:rPr>
              <w:t>L</w:t>
            </w:r>
            <w:r w:rsidRPr="00450837">
              <w:rPr>
                <w:szCs w:val="44"/>
              </w:rPr>
              <w:t xml:space="preserve"> </w:t>
            </w:r>
            <w:r w:rsidRPr="00450837">
              <w:rPr>
                <w:szCs w:val="44"/>
                <w:lang w:val="en-US"/>
              </w:rPr>
              <w:t>or</w:t>
            </w:r>
            <w:r w:rsidRPr="00450837">
              <w:rPr>
                <w:szCs w:val="44"/>
              </w:rPr>
              <w:t xml:space="preserve"> </w:t>
            </w:r>
            <w:r w:rsidRPr="00450837">
              <w:rPr>
                <w:szCs w:val="44"/>
                <w:lang w:val="en-US"/>
              </w:rPr>
              <w:t>mg</w:t>
            </w:r>
            <w:r w:rsidRPr="00450837">
              <w:rPr>
                <w:szCs w:val="44"/>
              </w:rPr>
              <w:t>/</w:t>
            </w:r>
            <w:r w:rsidRPr="00450837">
              <w:rPr>
                <w:szCs w:val="44"/>
                <w:lang w:val="en-US"/>
              </w:rPr>
              <w:t>dl</w:t>
            </w:r>
            <w:r w:rsidRPr="00450837">
              <w:rPr>
                <w:szCs w:val="44"/>
              </w:rPr>
              <w:t>)</w:t>
            </w:r>
          </w:p>
        </w:tc>
        <w:tc>
          <w:tcPr>
            <w:tcW w:w="1916" w:type="dxa"/>
          </w:tcPr>
          <w:p w14:paraId="3F1F04F7" w14:textId="5A57ECBD" w:rsidR="00450837" w:rsidRPr="00450837" w:rsidRDefault="00450837" w:rsidP="00450837">
            <w:r w:rsidRPr="00450837">
              <w:rPr>
                <w:szCs w:val="44"/>
              </w:rPr>
              <w:t>Доза ацикловир</w:t>
            </w:r>
          </w:p>
        </w:tc>
      </w:tr>
      <w:tr w:rsidR="00450837" w14:paraId="4BDDCD82" w14:textId="77777777" w:rsidTr="00450837">
        <w:tc>
          <w:tcPr>
            <w:tcW w:w="1915" w:type="dxa"/>
          </w:tcPr>
          <w:p w14:paraId="530BCED7" w14:textId="77777777" w:rsidR="00450837" w:rsidRPr="00450837" w:rsidRDefault="00450837" w:rsidP="00450837"/>
        </w:tc>
        <w:tc>
          <w:tcPr>
            <w:tcW w:w="1915" w:type="dxa"/>
          </w:tcPr>
          <w:p w14:paraId="070AFD4E" w14:textId="77777777" w:rsidR="00450837" w:rsidRPr="00450837" w:rsidRDefault="00450837" w:rsidP="00450837"/>
        </w:tc>
        <w:tc>
          <w:tcPr>
            <w:tcW w:w="1915" w:type="dxa"/>
          </w:tcPr>
          <w:p w14:paraId="4BA43BBA" w14:textId="7140DCEE" w:rsidR="00450837" w:rsidRPr="00450837" w:rsidRDefault="00450837" w:rsidP="00450837">
            <w:r w:rsidRPr="00450837">
              <w:rPr>
                <w:szCs w:val="44"/>
                <w:u w:val="single"/>
              </w:rPr>
              <w:t>Жени</w:t>
            </w:r>
          </w:p>
        </w:tc>
        <w:tc>
          <w:tcPr>
            <w:tcW w:w="1915" w:type="dxa"/>
          </w:tcPr>
          <w:p w14:paraId="769436B8" w14:textId="6068904B" w:rsidR="00450837" w:rsidRPr="00450837" w:rsidRDefault="00450837" w:rsidP="00450837">
            <w:r w:rsidRPr="00450837">
              <w:rPr>
                <w:szCs w:val="44"/>
                <w:u w:val="single"/>
              </w:rPr>
              <w:t>Мъже</w:t>
            </w:r>
          </w:p>
        </w:tc>
        <w:tc>
          <w:tcPr>
            <w:tcW w:w="1916" w:type="dxa"/>
          </w:tcPr>
          <w:p w14:paraId="2F041D1E" w14:textId="77777777" w:rsidR="00450837" w:rsidRPr="00450837" w:rsidRDefault="00450837" w:rsidP="00450837"/>
        </w:tc>
      </w:tr>
      <w:tr w:rsidR="00450837" w14:paraId="6F35F9FF" w14:textId="77777777" w:rsidTr="00450837">
        <w:tc>
          <w:tcPr>
            <w:tcW w:w="1915" w:type="dxa"/>
          </w:tcPr>
          <w:p w14:paraId="1721C441" w14:textId="252605E9" w:rsidR="00450837" w:rsidRPr="00450837" w:rsidRDefault="00450837" w:rsidP="00450837">
            <w:r w:rsidRPr="00450837">
              <w:rPr>
                <w:szCs w:val="44"/>
              </w:rPr>
              <w:t>Инфекция херпес симплекс</w:t>
            </w:r>
          </w:p>
        </w:tc>
        <w:tc>
          <w:tcPr>
            <w:tcW w:w="1915" w:type="dxa"/>
          </w:tcPr>
          <w:p w14:paraId="0572A4CB" w14:textId="3EBD9376" w:rsidR="00450837" w:rsidRPr="00450837" w:rsidRDefault="00450837" w:rsidP="00450837">
            <w:r w:rsidRPr="00450837">
              <w:rPr>
                <w:szCs w:val="44"/>
              </w:rPr>
              <w:t>&lt; 10</w:t>
            </w:r>
          </w:p>
        </w:tc>
        <w:tc>
          <w:tcPr>
            <w:tcW w:w="1915" w:type="dxa"/>
          </w:tcPr>
          <w:p w14:paraId="26747493" w14:textId="77777777" w:rsidR="00450837" w:rsidRPr="00450837" w:rsidRDefault="00450837" w:rsidP="00450837">
            <w:r w:rsidRPr="00450837">
              <w:rPr>
                <w:szCs w:val="44"/>
              </w:rPr>
              <w:t>&gt; 550 или</w:t>
            </w:r>
          </w:p>
          <w:p w14:paraId="1A28B58C" w14:textId="5CA8F162" w:rsidR="00450837" w:rsidRPr="00450837" w:rsidRDefault="00450837" w:rsidP="00450837">
            <w:r w:rsidRPr="00450837">
              <w:rPr>
                <w:szCs w:val="44"/>
              </w:rPr>
              <w:t>&gt;6.22</w:t>
            </w:r>
          </w:p>
        </w:tc>
        <w:tc>
          <w:tcPr>
            <w:tcW w:w="1915" w:type="dxa"/>
          </w:tcPr>
          <w:p w14:paraId="58412F77" w14:textId="77777777" w:rsidR="00450837" w:rsidRPr="00450837" w:rsidRDefault="00450837" w:rsidP="00450837">
            <w:r w:rsidRPr="00450837">
              <w:rPr>
                <w:szCs w:val="44"/>
              </w:rPr>
              <w:t>&gt; 750 или</w:t>
            </w:r>
          </w:p>
          <w:p w14:paraId="26C97F5F" w14:textId="57C6D387" w:rsidR="00450837" w:rsidRPr="00450837" w:rsidRDefault="00450837" w:rsidP="00450837">
            <w:r w:rsidRPr="00450837">
              <w:rPr>
                <w:szCs w:val="44"/>
              </w:rPr>
              <w:t>&gt;8.45</w:t>
            </w:r>
          </w:p>
        </w:tc>
        <w:tc>
          <w:tcPr>
            <w:tcW w:w="1916" w:type="dxa"/>
          </w:tcPr>
          <w:p w14:paraId="1B282C3E" w14:textId="01ADC015" w:rsidR="00450837" w:rsidRPr="00450837" w:rsidRDefault="00450837" w:rsidP="00450837">
            <w:r w:rsidRPr="00450837">
              <w:rPr>
                <w:szCs w:val="44"/>
              </w:rPr>
              <w:t xml:space="preserve">200 </w:t>
            </w:r>
            <w:r w:rsidRPr="00450837">
              <w:rPr>
                <w:szCs w:val="44"/>
                <w:lang w:val="en-US"/>
              </w:rPr>
              <w:t>mg</w:t>
            </w:r>
            <w:r w:rsidRPr="00450837">
              <w:rPr>
                <w:szCs w:val="44"/>
                <w:lang w:val="ru-RU"/>
              </w:rPr>
              <w:t xml:space="preserve"> </w:t>
            </w:r>
            <w:r w:rsidRPr="00450837">
              <w:rPr>
                <w:szCs w:val="44"/>
              </w:rPr>
              <w:t>2 пъти дневно на всеки 12часа</w:t>
            </w:r>
          </w:p>
        </w:tc>
      </w:tr>
      <w:tr w:rsidR="00450837" w14:paraId="527A20FC" w14:textId="77777777" w:rsidTr="00450837">
        <w:tc>
          <w:tcPr>
            <w:tcW w:w="1915" w:type="dxa"/>
          </w:tcPr>
          <w:p w14:paraId="04C4A3AD" w14:textId="09CEEB37" w:rsidR="00450837" w:rsidRPr="00450837" w:rsidRDefault="00450837" w:rsidP="00450837">
            <w:r w:rsidRPr="00450837">
              <w:rPr>
                <w:szCs w:val="44"/>
              </w:rPr>
              <w:t>Инфекция херпес зостер</w:t>
            </w:r>
          </w:p>
        </w:tc>
        <w:tc>
          <w:tcPr>
            <w:tcW w:w="1915" w:type="dxa"/>
          </w:tcPr>
          <w:p w14:paraId="06C7D707" w14:textId="62224C2F" w:rsidR="00450837" w:rsidRPr="00450837" w:rsidRDefault="00450837" w:rsidP="00450837">
            <w:r w:rsidRPr="00450837">
              <w:rPr>
                <w:szCs w:val="44"/>
              </w:rPr>
              <w:t>25-10</w:t>
            </w:r>
          </w:p>
        </w:tc>
        <w:tc>
          <w:tcPr>
            <w:tcW w:w="1915" w:type="dxa"/>
          </w:tcPr>
          <w:p w14:paraId="01AE9789" w14:textId="77777777" w:rsidR="00450837" w:rsidRPr="00450837" w:rsidRDefault="00450837" w:rsidP="00450837">
            <w:r w:rsidRPr="00450837">
              <w:rPr>
                <w:szCs w:val="44"/>
              </w:rPr>
              <w:t>280-550 или</w:t>
            </w:r>
          </w:p>
          <w:p w14:paraId="3B90DD58" w14:textId="21F81533" w:rsidR="00450837" w:rsidRPr="00450837" w:rsidRDefault="00450837" w:rsidP="00450837">
            <w:r w:rsidRPr="00450837">
              <w:rPr>
                <w:szCs w:val="44"/>
              </w:rPr>
              <w:t>3.17-6.22</w:t>
            </w:r>
          </w:p>
        </w:tc>
        <w:tc>
          <w:tcPr>
            <w:tcW w:w="1915" w:type="dxa"/>
          </w:tcPr>
          <w:p w14:paraId="3F883C7B" w14:textId="4552195E" w:rsidR="00450837" w:rsidRPr="00450837" w:rsidRDefault="00450837" w:rsidP="00450837">
            <w:r w:rsidRPr="00450837">
              <w:rPr>
                <w:szCs w:val="44"/>
              </w:rPr>
              <w:t>370-750 или 4.18-8.45</w:t>
            </w:r>
          </w:p>
        </w:tc>
        <w:tc>
          <w:tcPr>
            <w:tcW w:w="1916" w:type="dxa"/>
          </w:tcPr>
          <w:p w14:paraId="79A40728" w14:textId="77777777" w:rsidR="00450837" w:rsidRPr="00450837" w:rsidRDefault="00450837" w:rsidP="00450837">
            <w:r w:rsidRPr="00450837">
              <w:rPr>
                <w:szCs w:val="44"/>
              </w:rPr>
              <w:t xml:space="preserve">800 </w:t>
            </w:r>
            <w:r w:rsidRPr="00450837">
              <w:rPr>
                <w:szCs w:val="44"/>
                <w:lang w:val="en-US"/>
              </w:rPr>
              <w:t>mg</w:t>
            </w:r>
            <w:r w:rsidRPr="00450837">
              <w:rPr>
                <w:szCs w:val="44"/>
                <w:lang w:val="ru-RU"/>
              </w:rPr>
              <w:t xml:space="preserve"> </w:t>
            </w:r>
            <w:r w:rsidRPr="00450837">
              <w:rPr>
                <w:szCs w:val="44"/>
              </w:rPr>
              <w:t>3 пъти дневно на всеки</w:t>
            </w:r>
          </w:p>
          <w:p w14:paraId="68850768" w14:textId="24B38BD5" w:rsidR="00450837" w:rsidRPr="00450837" w:rsidRDefault="00450837" w:rsidP="00450837">
            <w:r w:rsidRPr="00450837">
              <w:rPr>
                <w:szCs w:val="44"/>
              </w:rPr>
              <w:t>8 часа</w:t>
            </w:r>
          </w:p>
        </w:tc>
      </w:tr>
      <w:tr w:rsidR="00450837" w14:paraId="677900DA" w14:textId="77777777" w:rsidTr="00450837">
        <w:tc>
          <w:tcPr>
            <w:tcW w:w="1915" w:type="dxa"/>
          </w:tcPr>
          <w:p w14:paraId="32503538" w14:textId="58D1918C" w:rsidR="00450837" w:rsidRPr="00450837" w:rsidRDefault="00450837" w:rsidP="00450837">
            <w:r w:rsidRPr="00450837">
              <w:rPr>
                <w:szCs w:val="44"/>
              </w:rPr>
              <w:t>Инфекция херпес зостер</w:t>
            </w:r>
          </w:p>
        </w:tc>
        <w:tc>
          <w:tcPr>
            <w:tcW w:w="1915" w:type="dxa"/>
          </w:tcPr>
          <w:p w14:paraId="4A167EBC" w14:textId="7AC985F7" w:rsidR="00450837" w:rsidRPr="00450837" w:rsidRDefault="00450837" w:rsidP="00450837">
            <w:r w:rsidRPr="00450837">
              <w:rPr>
                <w:szCs w:val="44"/>
              </w:rPr>
              <w:t>&lt;10</w:t>
            </w:r>
          </w:p>
        </w:tc>
        <w:tc>
          <w:tcPr>
            <w:tcW w:w="1915" w:type="dxa"/>
          </w:tcPr>
          <w:p w14:paraId="17083F6D" w14:textId="77777777" w:rsidR="00450837" w:rsidRPr="00450837" w:rsidRDefault="00450837" w:rsidP="00450837">
            <w:r w:rsidRPr="00450837">
              <w:rPr>
                <w:szCs w:val="44"/>
              </w:rPr>
              <w:t>&gt; 550 или</w:t>
            </w:r>
          </w:p>
          <w:p w14:paraId="5C08C085" w14:textId="3275F24B" w:rsidR="00450837" w:rsidRPr="00450837" w:rsidRDefault="00450837" w:rsidP="00450837">
            <w:r w:rsidRPr="00450837">
              <w:rPr>
                <w:szCs w:val="44"/>
              </w:rPr>
              <w:t>&gt;6.22</w:t>
            </w:r>
          </w:p>
        </w:tc>
        <w:tc>
          <w:tcPr>
            <w:tcW w:w="1915" w:type="dxa"/>
          </w:tcPr>
          <w:p w14:paraId="71DCFBD6" w14:textId="77777777" w:rsidR="00450837" w:rsidRPr="00450837" w:rsidRDefault="00450837" w:rsidP="00450837">
            <w:r w:rsidRPr="00450837">
              <w:rPr>
                <w:szCs w:val="44"/>
              </w:rPr>
              <w:t>&gt; 750 или</w:t>
            </w:r>
          </w:p>
          <w:p w14:paraId="56CEA06E" w14:textId="45B643B8" w:rsidR="00450837" w:rsidRPr="00450837" w:rsidRDefault="00450837" w:rsidP="00450837">
            <w:r w:rsidRPr="00450837">
              <w:rPr>
                <w:szCs w:val="44"/>
              </w:rPr>
              <w:t>&gt;8.45</w:t>
            </w:r>
          </w:p>
        </w:tc>
        <w:tc>
          <w:tcPr>
            <w:tcW w:w="1916" w:type="dxa"/>
          </w:tcPr>
          <w:p w14:paraId="4FED8E4D" w14:textId="7C50B0CC" w:rsidR="00450837" w:rsidRPr="00450837" w:rsidRDefault="00450837" w:rsidP="00450837">
            <w:r w:rsidRPr="00450837">
              <w:rPr>
                <w:szCs w:val="44"/>
              </w:rPr>
              <w:t xml:space="preserve">800 </w:t>
            </w:r>
            <w:r w:rsidRPr="00450837">
              <w:rPr>
                <w:szCs w:val="44"/>
                <w:lang w:val="en-US"/>
              </w:rPr>
              <w:t>mg</w:t>
            </w:r>
            <w:r w:rsidRPr="00450837">
              <w:rPr>
                <w:szCs w:val="44"/>
                <w:lang w:val="ru-RU"/>
              </w:rPr>
              <w:t xml:space="preserve"> </w:t>
            </w:r>
            <w:r w:rsidRPr="00450837">
              <w:rPr>
                <w:szCs w:val="44"/>
              </w:rPr>
              <w:t>2 пъти дневно на всеки 12 часа</w:t>
            </w:r>
          </w:p>
        </w:tc>
      </w:tr>
    </w:tbl>
    <w:p w14:paraId="7B46217D" w14:textId="3E9B82D6" w:rsidR="00450837" w:rsidRDefault="00450837" w:rsidP="00450837"/>
    <w:p w14:paraId="58639DB7" w14:textId="77777777" w:rsidR="00450837" w:rsidRPr="00450837" w:rsidRDefault="00450837" w:rsidP="00450837">
      <w:pPr>
        <w:pStyle w:val="Heading3"/>
        <w:rPr>
          <w:rFonts w:eastAsia="Times New Roman"/>
          <w:sz w:val="12"/>
          <w:u w:val="single"/>
        </w:rPr>
      </w:pPr>
      <w:r w:rsidRPr="00450837">
        <w:rPr>
          <w:rFonts w:eastAsia="Times New Roman"/>
          <w:u w:val="single"/>
          <w:lang w:eastAsia="bg-BG"/>
        </w:rPr>
        <w:t>Начин на приложение</w:t>
      </w:r>
    </w:p>
    <w:p w14:paraId="00A664D4"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Таблетките трябва да се приемат с достатъчно количество течности, ако е възможно след хранене.</w:t>
      </w:r>
    </w:p>
    <w:p w14:paraId="0A76C959"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За да се получи адекватен клиничен отговор, Ацикловир АЛ трябва да започне да се приема веднага след поява на първите кожни признаци. Особено при рецидивиращи херпес симплекс вирусни инфекции, пациентите трябва да за започнат прием на ацикловир при поява на първи признаци на рецидив (например сърбеж, напрегнатост, поява на мехури по кожата).</w:t>
      </w:r>
    </w:p>
    <w:p w14:paraId="0A1714E2"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Ако пациент е забравил да вземе една доза, лечението трябва да продължи, както е предписано.</w:t>
      </w:r>
    </w:p>
    <w:p w14:paraId="3288CDE6"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Ако се пропуснат повече дози, трябва да се направи консултация с лекар.</w:t>
      </w:r>
    </w:p>
    <w:p w14:paraId="48D9F3BE" w14:textId="77777777" w:rsidR="00450837" w:rsidRPr="00450837" w:rsidRDefault="00450837" w:rsidP="00450837">
      <w:pPr>
        <w:spacing w:line="240" w:lineRule="auto"/>
        <w:rPr>
          <w:rFonts w:eastAsia="Times New Roman" w:cs="Arial"/>
          <w:b/>
          <w:bCs/>
          <w:color w:val="000000"/>
          <w:szCs w:val="44"/>
          <w:lang w:eastAsia="bg-BG"/>
        </w:rPr>
      </w:pPr>
    </w:p>
    <w:p w14:paraId="454FBDB2" w14:textId="0C237F5E" w:rsidR="00450837" w:rsidRPr="00450837" w:rsidRDefault="00450837" w:rsidP="00450837">
      <w:pPr>
        <w:spacing w:line="240" w:lineRule="auto"/>
        <w:rPr>
          <w:rFonts w:eastAsia="Times New Roman" w:cs="Arial"/>
          <w:sz w:val="12"/>
          <w:szCs w:val="24"/>
        </w:rPr>
      </w:pPr>
      <w:r w:rsidRPr="00450837">
        <w:rPr>
          <w:rFonts w:eastAsia="Times New Roman" w:cs="Arial"/>
          <w:b/>
          <w:bCs/>
          <w:color w:val="000000"/>
          <w:szCs w:val="44"/>
          <w:lang w:eastAsia="bg-BG"/>
        </w:rPr>
        <w:t>Продължителност на лечението</w:t>
      </w:r>
    </w:p>
    <w:p w14:paraId="1F2D1C49" w14:textId="77777777" w:rsidR="00450837" w:rsidRPr="00450837" w:rsidRDefault="00450837" w:rsidP="00450837">
      <w:pPr>
        <w:spacing w:line="240" w:lineRule="auto"/>
        <w:rPr>
          <w:rFonts w:eastAsia="Times New Roman" w:cs="Arial"/>
          <w:sz w:val="12"/>
          <w:szCs w:val="24"/>
        </w:rPr>
      </w:pPr>
      <w:r w:rsidRPr="00450837">
        <w:rPr>
          <w:rFonts w:eastAsia="Times New Roman" w:cs="Arial"/>
          <w:i/>
          <w:iCs/>
          <w:color w:val="000000"/>
          <w:szCs w:val="44"/>
          <w:lang w:eastAsia="bg-BG"/>
        </w:rPr>
        <w:t>Инфекции, причинени от варицела зостер вирус</w:t>
      </w:r>
    </w:p>
    <w:p w14:paraId="20A2EABF"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Продължителността на лечението обикновено е 7-10 дни.</w:t>
      </w:r>
    </w:p>
    <w:p w14:paraId="25146D24"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Продължителността на лечението се определя от лекуващия лекар в зависимост от клиничното състояние на пациента и терапевтичния отговор.</w:t>
      </w:r>
    </w:p>
    <w:p w14:paraId="39C315AE" w14:textId="77777777" w:rsidR="00450837" w:rsidRPr="00450837" w:rsidRDefault="00450837" w:rsidP="00450837">
      <w:pPr>
        <w:spacing w:line="240" w:lineRule="auto"/>
        <w:rPr>
          <w:rFonts w:eastAsia="Times New Roman" w:cs="Arial"/>
          <w:i/>
          <w:iCs/>
          <w:color w:val="000000"/>
          <w:szCs w:val="44"/>
          <w:lang w:eastAsia="bg-BG"/>
        </w:rPr>
      </w:pPr>
    </w:p>
    <w:p w14:paraId="1BABCA0F" w14:textId="6C9C0D9C" w:rsidR="00450837" w:rsidRPr="00450837" w:rsidRDefault="00450837" w:rsidP="00450837">
      <w:pPr>
        <w:spacing w:line="240" w:lineRule="auto"/>
        <w:rPr>
          <w:rFonts w:eastAsia="Times New Roman" w:cs="Arial"/>
          <w:sz w:val="12"/>
          <w:szCs w:val="24"/>
        </w:rPr>
      </w:pPr>
      <w:r w:rsidRPr="00450837">
        <w:rPr>
          <w:rFonts w:eastAsia="Times New Roman" w:cs="Arial"/>
          <w:i/>
          <w:iCs/>
          <w:color w:val="000000"/>
          <w:szCs w:val="44"/>
          <w:lang w:eastAsia="bg-BG"/>
        </w:rPr>
        <w:t xml:space="preserve">Предпазване от инфекции с херпес симплекс вирус при пациенти с потисната имунна защита </w:t>
      </w:r>
      <w:r w:rsidRPr="00450837">
        <w:rPr>
          <w:rFonts w:eastAsia="Times New Roman" w:cs="Arial"/>
          <w:color w:val="000000"/>
          <w:szCs w:val="44"/>
          <w:lang w:eastAsia="bg-BG"/>
        </w:rPr>
        <w:t>Профилактиката при инфекции от херпес симплекс вирус при имунокомпроментирани пациенти</w:t>
      </w:r>
    </w:p>
    <w:p w14:paraId="28735BF8"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Продължителността на лечението зависи от степента на потиснатост на имунната защита и от увеличения риск от инфекция и се определя индивидуално от лекар.</w:t>
      </w:r>
    </w:p>
    <w:p w14:paraId="6EF727FA" w14:textId="77777777" w:rsidR="00450837" w:rsidRPr="00450837" w:rsidRDefault="00450837" w:rsidP="00450837"/>
    <w:p w14:paraId="62B13D0B" w14:textId="447D9DFD" w:rsidR="00395555" w:rsidRDefault="002C50EE" w:rsidP="008A6AF2">
      <w:pPr>
        <w:pStyle w:val="Heading2"/>
      </w:pPr>
      <w:r>
        <w:t>4.3. Противопоказания</w:t>
      </w:r>
    </w:p>
    <w:p w14:paraId="2222C961" w14:textId="2B94593E" w:rsidR="00450837" w:rsidRDefault="00450837" w:rsidP="00450837"/>
    <w:p w14:paraId="34DE92CA" w14:textId="77777777" w:rsidR="00450837" w:rsidRPr="00450837" w:rsidRDefault="00450837" w:rsidP="00450837">
      <w:pPr>
        <w:rPr>
          <w:sz w:val="24"/>
          <w:szCs w:val="24"/>
        </w:rPr>
      </w:pPr>
      <w:r w:rsidRPr="00450837">
        <w:rPr>
          <w:lang w:eastAsia="bg-BG"/>
        </w:rPr>
        <w:t>Свръхчувствителност към активното вещество, валацикловир или към някое от помощните вещества, изброени в точка 6.1.</w:t>
      </w:r>
    </w:p>
    <w:p w14:paraId="7530728B" w14:textId="77777777" w:rsidR="00450837" w:rsidRPr="00450837" w:rsidRDefault="00450837" w:rsidP="00450837"/>
    <w:p w14:paraId="5A4AC413" w14:textId="59B21DAE" w:rsidR="00395555" w:rsidRDefault="002C50EE" w:rsidP="008A6AF2">
      <w:pPr>
        <w:pStyle w:val="Heading2"/>
      </w:pPr>
      <w:r>
        <w:t>4.4. Специални предупреждения и предпазни мерки при употреба</w:t>
      </w:r>
    </w:p>
    <w:p w14:paraId="2129954C" w14:textId="53514C77" w:rsidR="00450837" w:rsidRDefault="00450837" w:rsidP="00450837"/>
    <w:p w14:paraId="41CF88AC"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Трябва да се осигури достатъчен прием на течности при пациенти, които приемат високи дози ацикловир или на които ацикловир е прилаган интравенозно.</w:t>
      </w:r>
    </w:p>
    <w:p w14:paraId="51BB0733"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Рискът от бъбречно увреждане е по-голям, ако ацикловир се приема едновременно с други нефротоксични лекарства.</w:t>
      </w:r>
    </w:p>
    <w:p w14:paraId="7F3C0850" w14:textId="77777777" w:rsidR="00450837" w:rsidRPr="00450837" w:rsidRDefault="00450837" w:rsidP="00450837">
      <w:pPr>
        <w:spacing w:line="240" w:lineRule="auto"/>
        <w:rPr>
          <w:rFonts w:eastAsia="Times New Roman" w:cs="Arial"/>
          <w:b/>
          <w:bCs/>
          <w:color w:val="000000"/>
          <w:szCs w:val="44"/>
          <w:lang w:eastAsia="bg-BG"/>
        </w:rPr>
      </w:pPr>
    </w:p>
    <w:p w14:paraId="0F100BC4" w14:textId="2960BCE9" w:rsidR="00450837" w:rsidRPr="00450837" w:rsidRDefault="00450837" w:rsidP="00450837">
      <w:pPr>
        <w:spacing w:line="240" w:lineRule="auto"/>
        <w:rPr>
          <w:rFonts w:eastAsia="Times New Roman" w:cs="Arial"/>
          <w:sz w:val="12"/>
          <w:szCs w:val="24"/>
        </w:rPr>
      </w:pPr>
      <w:r w:rsidRPr="00450837">
        <w:rPr>
          <w:rFonts w:eastAsia="Times New Roman" w:cs="Arial"/>
          <w:b/>
          <w:bCs/>
          <w:color w:val="000000"/>
          <w:szCs w:val="44"/>
          <w:lang w:eastAsia="bg-BG"/>
        </w:rPr>
        <w:t>Употреба при пациенти с бъбречно увреждане и при пациенти в старческа възраст</w:t>
      </w:r>
    </w:p>
    <w:p w14:paraId="75A028AE"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Ацикловир се елиминира чрез бъбречен клирънс, затова дозата трябва да бъде намалена при пациенти с бъбречно увреждане (вижте точка 4.2). При пациенти в старческа възраст е по- вероятно да развият отклонение в бъбречната функция и затова при тях трябва да се вземе под внимание необходимостта от намаляване на дозата. И при двети групи пациенти - тези в старческа възраст и такива с бъбречно увреждане има по-голям риск от поява на неврологични нежелани реакции и затова трябва да бъдат внимателно проследявани. При докладваните случаи тези реакции са били преходни и изчезват след прекратяване на лечението (вижте точка 4.8).</w:t>
      </w:r>
    </w:p>
    <w:p w14:paraId="0A20DA3B" w14:textId="77777777" w:rsidR="00450837" w:rsidRPr="00450837" w:rsidRDefault="00450837" w:rsidP="00450837">
      <w:pPr>
        <w:spacing w:line="240" w:lineRule="auto"/>
        <w:rPr>
          <w:rFonts w:eastAsia="Times New Roman" w:cs="Arial"/>
          <w:color w:val="000000"/>
          <w:szCs w:val="44"/>
          <w:lang w:eastAsia="bg-BG"/>
        </w:rPr>
      </w:pPr>
    </w:p>
    <w:p w14:paraId="1C458A2F" w14:textId="7B586B7F"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Тъй като липсват данни за превантивна употреба на ацикловир таблетки при пациенти с бъбречна недостатъчност или анурия, таблетките ацикловир не трябва да се използват при тези пациенти.</w:t>
      </w:r>
    </w:p>
    <w:p w14:paraId="24CA2E21" w14:textId="77777777" w:rsidR="00450837" w:rsidRPr="00450837" w:rsidRDefault="00450837" w:rsidP="00450837">
      <w:pPr>
        <w:spacing w:line="240" w:lineRule="auto"/>
        <w:rPr>
          <w:rFonts w:eastAsia="Times New Roman" w:cs="Arial"/>
          <w:b/>
          <w:bCs/>
          <w:color w:val="000000"/>
          <w:szCs w:val="44"/>
          <w:lang w:eastAsia="bg-BG"/>
        </w:rPr>
      </w:pPr>
      <w:bookmarkStart w:id="2" w:name="bookmark2"/>
    </w:p>
    <w:p w14:paraId="32D2E100" w14:textId="6108AC63" w:rsidR="00450837" w:rsidRPr="00450837" w:rsidRDefault="00450837" w:rsidP="00450837">
      <w:pPr>
        <w:spacing w:line="240" w:lineRule="auto"/>
        <w:rPr>
          <w:rFonts w:eastAsia="Times New Roman" w:cs="Arial"/>
          <w:sz w:val="12"/>
          <w:szCs w:val="24"/>
        </w:rPr>
      </w:pPr>
      <w:r w:rsidRPr="00450837">
        <w:rPr>
          <w:rFonts w:eastAsia="Times New Roman" w:cs="Arial"/>
          <w:b/>
          <w:bCs/>
          <w:color w:val="000000"/>
          <w:szCs w:val="44"/>
          <w:lang w:eastAsia="bg-BG"/>
        </w:rPr>
        <w:t>Продължителни или повтарящи се терапевтични курсове</w:t>
      </w:r>
      <w:bookmarkEnd w:id="2"/>
    </w:p>
    <w:p w14:paraId="5F0E921E"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Продължителни или повтарящи се терапевтични курсове с ацикловир при имунокомпрометирани пациенти може да доведат до развитие на резистентни вирусни типове, при които да няма отговор при продължително лечение с ацикловир.</w:t>
      </w:r>
    </w:p>
    <w:p w14:paraId="0ABF1EAE" w14:textId="77777777" w:rsidR="00450837" w:rsidRPr="00450837" w:rsidRDefault="00450837" w:rsidP="00450837">
      <w:pPr>
        <w:spacing w:line="240" w:lineRule="auto"/>
        <w:rPr>
          <w:rFonts w:eastAsia="Times New Roman" w:cs="Arial"/>
          <w:b/>
          <w:bCs/>
          <w:color w:val="000000"/>
          <w:szCs w:val="44"/>
          <w:lang w:eastAsia="bg-BG"/>
        </w:rPr>
      </w:pPr>
      <w:bookmarkStart w:id="3" w:name="bookmark4"/>
    </w:p>
    <w:p w14:paraId="4D086FED" w14:textId="195270D3" w:rsidR="00450837" w:rsidRPr="00450837" w:rsidRDefault="00450837" w:rsidP="00450837">
      <w:pPr>
        <w:spacing w:line="240" w:lineRule="auto"/>
        <w:rPr>
          <w:rFonts w:eastAsia="Times New Roman" w:cs="Arial"/>
          <w:sz w:val="12"/>
          <w:szCs w:val="24"/>
        </w:rPr>
      </w:pPr>
      <w:r w:rsidRPr="00450837">
        <w:rPr>
          <w:rFonts w:eastAsia="Times New Roman" w:cs="Arial"/>
          <w:b/>
          <w:bCs/>
          <w:color w:val="000000"/>
          <w:szCs w:val="44"/>
          <w:lang w:eastAsia="bg-BG"/>
        </w:rPr>
        <w:t>Помощни вещества</w:t>
      </w:r>
      <w:bookmarkEnd w:id="3"/>
    </w:p>
    <w:p w14:paraId="57BAA792"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Този лекарствен продукт съдържа по-малко от 1 </w:t>
      </w:r>
      <w:proofErr w:type="spellStart"/>
      <w:r w:rsidRPr="00450837">
        <w:rPr>
          <w:rFonts w:eastAsia="Times New Roman" w:cs="Arial"/>
          <w:color w:val="000000"/>
          <w:szCs w:val="44"/>
          <w:lang w:val="en-US"/>
        </w:rPr>
        <w:t>mmol</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натрий (23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на таблетка, т.е. може да се каже, че практически не съдържа натрий.</w:t>
      </w:r>
    </w:p>
    <w:p w14:paraId="70EF527C" w14:textId="77777777" w:rsidR="00450837" w:rsidRPr="00450837" w:rsidRDefault="00450837" w:rsidP="00450837"/>
    <w:p w14:paraId="1244F76A" w14:textId="30F54FA5" w:rsidR="00395555" w:rsidRDefault="002C50EE" w:rsidP="008A6AF2">
      <w:pPr>
        <w:pStyle w:val="Heading2"/>
      </w:pPr>
      <w:r>
        <w:t>4.5. Взаимодействие с други лекарствени продукти и други форми на взаимодействие</w:t>
      </w:r>
    </w:p>
    <w:p w14:paraId="4DFD473B" w14:textId="08A2778E" w:rsidR="00450837" w:rsidRDefault="00450837" w:rsidP="00450837"/>
    <w:p w14:paraId="37A3B1ED"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Ацикловирът се елиминира основно непроменен с урината посредством активна бъбречна тубуларна секреция. Всички перорално приложени лекарства, използващи същия механизъм за елиминиране могат да повишат плазмените концентрации на ацикловир.</w:t>
      </w:r>
    </w:p>
    <w:p w14:paraId="1DED9D14"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Пробеницид и циметидин повишават плазмената концентрация на ацикловир и понижават бъбречната му екскреция посредством този механизъм.</w:t>
      </w:r>
    </w:p>
    <w:p w14:paraId="4F9CDD1C" w14:textId="77777777" w:rsidR="00450837" w:rsidRPr="00450837" w:rsidRDefault="00450837" w:rsidP="00450837">
      <w:pPr>
        <w:spacing w:line="240" w:lineRule="auto"/>
        <w:rPr>
          <w:rFonts w:eastAsia="Times New Roman" w:cs="Arial"/>
          <w:color w:val="000000"/>
          <w:szCs w:val="44"/>
          <w:lang w:eastAsia="bg-BG"/>
        </w:rPr>
      </w:pPr>
    </w:p>
    <w:p w14:paraId="3FAFC2C9" w14:textId="69251B80"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Наблюдавани са по-високи нива на плазмени концентрации на ацикловир, когато микофенолат мофетил (имуносупресант) е прилаган с ацикловир, отколкото при </w:t>
      </w:r>
      <w:r w:rsidRPr="00450837">
        <w:rPr>
          <w:rFonts w:eastAsia="Times New Roman" w:cs="Arial"/>
          <w:color w:val="000000"/>
          <w:szCs w:val="44"/>
          <w:lang w:eastAsia="bg-BG"/>
        </w:rPr>
        <w:lastRenderedPageBreak/>
        <w:t>самостоятелно приложение на ацикловир. Не е необходимо адаптиране на дозировката поради широкия терапевтичен индекс на ацикловир.</w:t>
      </w:r>
    </w:p>
    <w:p w14:paraId="3AE7C95F" w14:textId="77777777" w:rsidR="00450837" w:rsidRPr="00450837" w:rsidRDefault="00450837" w:rsidP="00450837">
      <w:pPr>
        <w:spacing w:line="240" w:lineRule="auto"/>
        <w:rPr>
          <w:rFonts w:eastAsia="Times New Roman" w:cs="Arial"/>
          <w:color w:val="000000"/>
          <w:szCs w:val="44"/>
          <w:lang w:eastAsia="bg-BG"/>
        </w:rPr>
      </w:pPr>
    </w:p>
    <w:p w14:paraId="54D06D8A" w14:textId="5B071CC6"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Експериментално проучване при пет мъже показва, че при едновременно приемане на ацикловир и теофилин, плазмените концентрации (площта под кривата</w:t>
      </w:r>
      <w:r w:rsidRPr="00450837">
        <w:rPr>
          <w:rFonts w:eastAsia="Times New Roman" w:cs="Arial"/>
          <w:color w:val="000000"/>
          <w:szCs w:val="44"/>
          <w:lang w:val="ru-RU"/>
        </w:rPr>
        <w:t>-</w:t>
      </w:r>
      <w:r w:rsidRPr="00450837">
        <w:rPr>
          <w:rFonts w:eastAsia="Times New Roman" w:cs="Arial"/>
          <w:color w:val="000000"/>
          <w:szCs w:val="44"/>
          <w:lang w:val="en-US"/>
        </w:rPr>
        <w:t>AUC</w:t>
      </w:r>
      <w:r w:rsidRPr="00450837">
        <w:rPr>
          <w:rFonts w:eastAsia="Times New Roman" w:cs="Arial"/>
          <w:color w:val="000000"/>
          <w:szCs w:val="44"/>
          <w:lang w:val="ru-RU"/>
        </w:rPr>
        <w:t xml:space="preserve">) </w:t>
      </w:r>
      <w:r w:rsidRPr="00450837">
        <w:rPr>
          <w:rFonts w:eastAsia="Times New Roman" w:cs="Arial"/>
          <w:color w:val="000000"/>
          <w:szCs w:val="44"/>
          <w:lang w:eastAsia="bg-BG"/>
        </w:rPr>
        <w:t>на теофилин се повишават с приблизително 50%. Препоръчва се да се проверяват плазмените му концентрации по време на едновременния прием с ацикловир.</w:t>
      </w:r>
    </w:p>
    <w:p w14:paraId="5BD1433F" w14:textId="77777777" w:rsidR="00450837" w:rsidRPr="00450837" w:rsidRDefault="00450837" w:rsidP="00450837"/>
    <w:p w14:paraId="6EADE4D6" w14:textId="7B2287E9" w:rsidR="00395555" w:rsidRDefault="002C50EE" w:rsidP="008A6AF2">
      <w:pPr>
        <w:pStyle w:val="Heading2"/>
      </w:pPr>
      <w:r>
        <w:t>4.6. Фертилитет, бременност и кърмене</w:t>
      </w:r>
    </w:p>
    <w:p w14:paraId="76C4E523" w14:textId="7A975457" w:rsidR="00450837" w:rsidRDefault="00450837" w:rsidP="00450837"/>
    <w:p w14:paraId="1A8B8BB6" w14:textId="06EF9E65" w:rsidR="00450837" w:rsidRPr="00450837" w:rsidRDefault="00450837" w:rsidP="00450837">
      <w:pPr>
        <w:pStyle w:val="Heading3"/>
        <w:rPr>
          <w:b/>
        </w:rPr>
      </w:pPr>
      <w:r w:rsidRPr="00450837">
        <w:rPr>
          <w:b/>
        </w:rPr>
        <w:t>Бременност</w:t>
      </w:r>
    </w:p>
    <w:p w14:paraId="6676AEF9"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Внимателно трябва да се прецени съотношението между очакваната полза и потенциалния риск при бременни жени, при които лечението с ацикловир е необходимо.</w:t>
      </w:r>
    </w:p>
    <w:p w14:paraId="722373C6"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Постмаркетингови записи от проучвания при бременни жени, при които е прилаган ацикловир (всички лекарствени форми) не показват по-голяма тенденция за поява на вродени дефекти, в сравнение с общата популация, а и всички вродени дефекти не показват уникалност или последователен модел да се предположи една обща първопричина.</w:t>
      </w:r>
    </w:p>
    <w:p w14:paraId="551D73A8"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Проучвания при животни не доказват директно или индиректно влияние върху репродуктивността.</w:t>
      </w:r>
    </w:p>
    <w:p w14:paraId="1295397B" w14:textId="77777777" w:rsidR="00450837" w:rsidRPr="00450837" w:rsidRDefault="00450837" w:rsidP="00450837">
      <w:pPr>
        <w:pStyle w:val="Heading3"/>
        <w:rPr>
          <w:rFonts w:eastAsia="Times New Roman"/>
          <w:b/>
          <w:lang w:eastAsia="bg-BG"/>
        </w:rPr>
      </w:pPr>
    </w:p>
    <w:p w14:paraId="65EAD044" w14:textId="3E1DA6CF" w:rsidR="00450837" w:rsidRPr="00450837" w:rsidRDefault="00450837" w:rsidP="00450837">
      <w:pPr>
        <w:pStyle w:val="Heading3"/>
        <w:rPr>
          <w:rFonts w:eastAsia="Times New Roman"/>
          <w:b/>
          <w:sz w:val="12"/>
        </w:rPr>
      </w:pPr>
      <w:r w:rsidRPr="00450837">
        <w:rPr>
          <w:rFonts w:eastAsia="Times New Roman"/>
          <w:b/>
          <w:lang w:eastAsia="bg-BG"/>
        </w:rPr>
        <w:t>Кърмене</w:t>
      </w:r>
    </w:p>
    <w:p w14:paraId="7C44B18B"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След перорален прием на 200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пет пъти дневно, ацикловир се открива в майчината кърма в концентрации от 0,6 до 4,1 пъти от тези, измерени в плазмата. Тези стойности биха могли да доведат до поглъщане на дози </w:t>
      </w:r>
      <w:r w:rsidRPr="00450837">
        <w:rPr>
          <w:rFonts w:eastAsia="Times New Roman" w:cs="Arial"/>
          <w:i/>
          <w:iCs/>
          <w:color w:val="000000"/>
          <w:szCs w:val="44"/>
          <w:lang w:eastAsia="bg-BG"/>
        </w:rPr>
        <w:t>ацикловир до</w:t>
      </w:r>
      <w:r w:rsidRPr="00450837">
        <w:rPr>
          <w:rFonts w:eastAsia="Times New Roman" w:cs="Arial"/>
          <w:color w:val="000000"/>
          <w:szCs w:val="44"/>
          <w:lang w:eastAsia="bg-BG"/>
        </w:rPr>
        <w:t xml:space="preserve"> 0.3 </w:t>
      </w:r>
      <w:r w:rsidRPr="00450837">
        <w:rPr>
          <w:rFonts w:eastAsia="Times New Roman" w:cs="Arial"/>
          <w:color w:val="000000"/>
          <w:szCs w:val="44"/>
          <w:lang w:val="en-US"/>
        </w:rPr>
        <w:t>mg</w:t>
      </w:r>
      <w:r w:rsidRPr="00450837">
        <w:rPr>
          <w:rFonts w:eastAsia="Times New Roman" w:cs="Arial"/>
          <w:color w:val="000000"/>
          <w:szCs w:val="44"/>
          <w:lang w:val="ru-RU"/>
        </w:rPr>
        <w:t>/</w:t>
      </w:r>
      <w:r w:rsidRPr="00450837">
        <w:rPr>
          <w:rFonts w:eastAsia="Times New Roman" w:cs="Arial"/>
          <w:color w:val="000000"/>
          <w:szCs w:val="44"/>
          <w:lang w:val="en-US"/>
        </w:rPr>
        <w:t>kg</w:t>
      </w:r>
      <w:r w:rsidRPr="00450837">
        <w:rPr>
          <w:rFonts w:eastAsia="Times New Roman" w:cs="Arial"/>
          <w:color w:val="000000"/>
          <w:szCs w:val="44"/>
          <w:lang w:eastAsia="bg-BG"/>
        </w:rPr>
        <w:t>/дневно от кърмачето .По тази причина ацикловир трябва да се прилага с повишено внимание по време на кърмене и само, когато е клинично показано.</w:t>
      </w:r>
    </w:p>
    <w:p w14:paraId="640C120F" w14:textId="77777777" w:rsidR="00450837" w:rsidRPr="00450837" w:rsidRDefault="00450837" w:rsidP="00450837">
      <w:pPr>
        <w:spacing w:line="240" w:lineRule="auto"/>
        <w:rPr>
          <w:rFonts w:eastAsia="Times New Roman" w:cs="Arial"/>
          <w:b/>
          <w:bCs/>
          <w:color w:val="000000"/>
          <w:szCs w:val="44"/>
          <w:lang w:eastAsia="bg-BG"/>
        </w:rPr>
      </w:pPr>
    </w:p>
    <w:p w14:paraId="725C1076" w14:textId="2E8FF739" w:rsidR="00450837" w:rsidRPr="00450837" w:rsidRDefault="00450837" w:rsidP="00450837">
      <w:pPr>
        <w:pStyle w:val="Heading3"/>
        <w:rPr>
          <w:rFonts w:eastAsia="Times New Roman"/>
          <w:b/>
          <w:sz w:val="12"/>
        </w:rPr>
      </w:pPr>
      <w:r w:rsidRPr="00450837">
        <w:rPr>
          <w:rFonts w:eastAsia="Times New Roman"/>
          <w:b/>
          <w:lang w:eastAsia="bg-BG"/>
        </w:rPr>
        <w:t>Фертнлитет</w:t>
      </w:r>
    </w:p>
    <w:p w14:paraId="50F07F85"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Няма данни за влияние на перорално приеман ацикловир върху фертилитета при жени.</w:t>
      </w:r>
    </w:p>
    <w:p w14:paraId="319C31E7" w14:textId="0B5ABA1C" w:rsidR="00450837" w:rsidRDefault="00450837" w:rsidP="00450837">
      <w:pPr>
        <w:rPr>
          <w:rFonts w:eastAsia="Times New Roman" w:cs="Arial"/>
          <w:color w:val="000000"/>
          <w:szCs w:val="44"/>
          <w:lang w:eastAsia="bg-BG"/>
        </w:rPr>
      </w:pPr>
      <w:r w:rsidRPr="00450837">
        <w:rPr>
          <w:rFonts w:eastAsia="Times New Roman" w:cs="Arial"/>
          <w:color w:val="000000"/>
          <w:szCs w:val="44"/>
          <w:lang w:eastAsia="bg-BG"/>
        </w:rPr>
        <w:t>При мъже с нормален брой клетки в спермата, ацикловир няма значително влияние върху броя на клетките, подвижността и морфологията им.</w:t>
      </w:r>
    </w:p>
    <w:p w14:paraId="45313F58" w14:textId="0D57F760" w:rsidR="00450837" w:rsidRPr="00450837" w:rsidRDefault="00450837" w:rsidP="00450837">
      <w:pPr>
        <w:rPr>
          <w:rFonts w:eastAsia="Times New Roman" w:cs="Arial"/>
          <w:color w:val="000000"/>
          <w:szCs w:val="44"/>
          <w:lang w:eastAsia="bg-BG"/>
        </w:rPr>
      </w:pPr>
    </w:p>
    <w:p w14:paraId="5766770B" w14:textId="75D87057" w:rsidR="00395555" w:rsidRDefault="002C50EE" w:rsidP="008A6AF2">
      <w:pPr>
        <w:pStyle w:val="Heading2"/>
      </w:pPr>
      <w:r>
        <w:t>4.7. Ефекти върху способността за шофиране и работа с машини</w:t>
      </w:r>
    </w:p>
    <w:p w14:paraId="1D14244C" w14:textId="28C144B6" w:rsidR="00450837" w:rsidRDefault="00450837" w:rsidP="00450837"/>
    <w:p w14:paraId="6C276D03" w14:textId="77777777" w:rsidR="00450837" w:rsidRPr="00450837" w:rsidRDefault="00450837" w:rsidP="00450837">
      <w:pPr>
        <w:rPr>
          <w:sz w:val="24"/>
          <w:szCs w:val="24"/>
        </w:rPr>
      </w:pPr>
      <w:r w:rsidRPr="00450837">
        <w:rPr>
          <w:lang w:eastAsia="bg-BG"/>
        </w:rPr>
        <w:t>Клиничното състояние на пациента и профилът на ацикловир по отношение на нежеланите реакции, трябва да се има в предвид, когато се преценява способността на пациентите за шофиране или работа с машини.</w:t>
      </w:r>
    </w:p>
    <w:p w14:paraId="3F8E0027" w14:textId="77777777" w:rsidR="00450837" w:rsidRPr="00450837" w:rsidRDefault="00450837" w:rsidP="00450837">
      <w:pPr>
        <w:rPr>
          <w:sz w:val="24"/>
          <w:szCs w:val="24"/>
        </w:rPr>
      </w:pPr>
      <w:r w:rsidRPr="00450837">
        <w:rPr>
          <w:lang w:eastAsia="bg-BG"/>
        </w:rPr>
        <w:t>Не са провеждани проучвания за изследване на ефектите върху способността за шофиране или способността да работят с машини.</w:t>
      </w:r>
    </w:p>
    <w:p w14:paraId="45A8BFF2" w14:textId="77777777" w:rsidR="00450837" w:rsidRPr="00450837" w:rsidRDefault="00450837" w:rsidP="00450837">
      <w:pPr>
        <w:rPr>
          <w:sz w:val="24"/>
          <w:szCs w:val="24"/>
        </w:rPr>
      </w:pPr>
      <w:r w:rsidRPr="00450837">
        <w:rPr>
          <w:lang w:eastAsia="bg-BG"/>
        </w:rPr>
        <w:t>Освен това ефектът върху тези дейности не може да се прогнозира от фармакологичните свойства на активното вещество.</w:t>
      </w:r>
    </w:p>
    <w:p w14:paraId="1975D070" w14:textId="77777777" w:rsidR="00450837" w:rsidRPr="00450837" w:rsidRDefault="00450837" w:rsidP="00450837"/>
    <w:p w14:paraId="4FE16E21" w14:textId="02B9E0A4" w:rsidR="00395555" w:rsidRDefault="002C50EE" w:rsidP="008A6AF2">
      <w:pPr>
        <w:pStyle w:val="Heading2"/>
      </w:pPr>
      <w:r>
        <w:t>4.8. Нежелани лекарствени реакции</w:t>
      </w:r>
    </w:p>
    <w:p w14:paraId="2FEBA0FC" w14:textId="7D8BC03B" w:rsidR="00450837" w:rsidRDefault="00450837" w:rsidP="00450837"/>
    <w:p w14:paraId="1E15B58D"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Честота на поява на страничните ефекти изброени по-долу е дефинирана като се използва следната класификация:</w:t>
      </w:r>
    </w:p>
    <w:p w14:paraId="41E29433"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lastRenderedPageBreak/>
        <w:t>Много чести (</w:t>
      </w:r>
      <w:r w:rsidRPr="00450837">
        <w:rPr>
          <w:rFonts w:eastAsia="Times New Roman" w:cs="Arial"/>
          <w:color w:val="000000"/>
          <w:lang w:val="ru-RU"/>
        </w:rPr>
        <w:t>≥</w:t>
      </w:r>
      <w:r w:rsidRPr="00450837">
        <w:rPr>
          <w:rFonts w:eastAsia="Times New Roman" w:cs="Arial"/>
          <w:color w:val="000000"/>
          <w:lang w:eastAsia="bg-BG"/>
        </w:rPr>
        <w:t>1/10); чести (</w:t>
      </w:r>
      <w:r w:rsidRPr="00450837">
        <w:rPr>
          <w:rFonts w:eastAsia="Times New Roman" w:cs="Arial"/>
          <w:color w:val="000000"/>
          <w:lang w:val="ru-RU"/>
        </w:rPr>
        <w:t>≥</w:t>
      </w:r>
      <w:r w:rsidRPr="00450837">
        <w:rPr>
          <w:rFonts w:eastAsia="Times New Roman" w:cs="Arial"/>
          <w:color w:val="000000"/>
          <w:lang w:eastAsia="bg-BG"/>
        </w:rPr>
        <w:t xml:space="preserve"> 1/100, &lt; 1/10); нечести (</w:t>
      </w:r>
      <w:r w:rsidRPr="00450837">
        <w:rPr>
          <w:rFonts w:eastAsia="Times New Roman" w:cs="Arial"/>
          <w:color w:val="000000"/>
          <w:lang w:val="ru-RU"/>
        </w:rPr>
        <w:t>≥</w:t>
      </w:r>
      <w:r w:rsidRPr="00450837">
        <w:rPr>
          <w:rFonts w:eastAsia="Times New Roman" w:cs="Arial"/>
          <w:color w:val="000000"/>
          <w:lang w:eastAsia="bg-BG"/>
        </w:rPr>
        <w:t xml:space="preserve"> 1/1,000, &lt; 1/100); редки (</w:t>
      </w:r>
      <w:r w:rsidRPr="00450837">
        <w:rPr>
          <w:rFonts w:eastAsia="Times New Roman" w:cs="Arial"/>
          <w:color w:val="000000"/>
          <w:lang w:val="ru-RU"/>
        </w:rPr>
        <w:t>≥</w:t>
      </w:r>
      <w:r w:rsidRPr="00450837">
        <w:rPr>
          <w:rFonts w:eastAsia="Times New Roman" w:cs="Arial"/>
          <w:color w:val="000000"/>
          <w:lang w:eastAsia="bg-BG"/>
        </w:rPr>
        <w:t xml:space="preserve"> 1/10,000, &lt; 1/1,000); много редки (&lt; 1/10,000), с неизвестна честота (от наличните данни не може да бъде направена оценка).</w:t>
      </w:r>
    </w:p>
    <w:p w14:paraId="755AA2B9" w14:textId="2C5C484A" w:rsidR="00450837" w:rsidRPr="00450837" w:rsidRDefault="00450837" w:rsidP="00450837">
      <w:pPr>
        <w:rPr>
          <w:rFonts w:cs="Arial"/>
        </w:rPr>
      </w:pPr>
    </w:p>
    <w:p w14:paraId="06B5A7AA" w14:textId="77777777"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Нарушения на кръвта и лимфната система:</w:t>
      </w:r>
    </w:p>
    <w:p w14:paraId="01EDC7FA"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Много редки: Анемия, левкопения, тромбоцитопения.</w:t>
      </w:r>
    </w:p>
    <w:p w14:paraId="77380368" w14:textId="77777777" w:rsidR="00450837" w:rsidRPr="00450837" w:rsidRDefault="00450837" w:rsidP="00450837">
      <w:pPr>
        <w:spacing w:line="240" w:lineRule="auto"/>
        <w:rPr>
          <w:rFonts w:eastAsia="Times New Roman" w:cs="Arial"/>
          <w:b/>
          <w:bCs/>
          <w:color w:val="000000"/>
          <w:lang w:eastAsia="bg-BG"/>
        </w:rPr>
      </w:pPr>
    </w:p>
    <w:p w14:paraId="1A1D8389" w14:textId="005FD341"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Нарушения на имунната система:</w:t>
      </w:r>
    </w:p>
    <w:p w14:paraId="794BDDB5"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Редки: Анафилаксия.</w:t>
      </w:r>
    </w:p>
    <w:p w14:paraId="69A52A97" w14:textId="77777777" w:rsidR="00450837" w:rsidRPr="00450837" w:rsidRDefault="00450837" w:rsidP="00450837">
      <w:pPr>
        <w:spacing w:line="240" w:lineRule="auto"/>
        <w:rPr>
          <w:rFonts w:eastAsia="Times New Roman" w:cs="Arial"/>
          <w:b/>
          <w:bCs/>
          <w:color w:val="000000"/>
          <w:lang w:eastAsia="bg-BG"/>
        </w:rPr>
      </w:pPr>
    </w:p>
    <w:p w14:paraId="6E856FC6" w14:textId="3F66E67D"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Психични нарушения и нарушения на нервната система:</w:t>
      </w:r>
    </w:p>
    <w:p w14:paraId="101DE50F"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Чести: Главоболие, замаяност</w:t>
      </w:r>
    </w:p>
    <w:p w14:paraId="65E93A1A" w14:textId="3AE79FB9" w:rsidR="00450837" w:rsidRPr="00450837" w:rsidRDefault="00450837" w:rsidP="00450837">
      <w:pPr>
        <w:spacing w:line="240" w:lineRule="auto"/>
        <w:rPr>
          <w:rFonts w:eastAsia="Times New Roman" w:cs="Arial"/>
          <w:color w:val="000000"/>
          <w:lang w:eastAsia="bg-BG"/>
        </w:rPr>
      </w:pPr>
      <w:r w:rsidRPr="00450837">
        <w:rPr>
          <w:rFonts w:eastAsia="Times New Roman" w:cs="Arial"/>
          <w:color w:val="000000"/>
          <w:lang w:eastAsia="bg-BG"/>
        </w:rPr>
        <w:t>Много редки: Възбуда, обърканост, тремор, атаксия, дизартрия, халюцинирани психотични симптоми, конвулсии, сънливост, енцефалопатия, кома.</w:t>
      </w:r>
    </w:p>
    <w:p w14:paraId="1200E6A9"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Посочените по-горе нежелани реакции са обикновено обратими и се съобщават основно при пациенти с бъбречни нарушения или при които са налице други предразполагащи фактори (вижте точка 4.4).</w:t>
      </w:r>
    </w:p>
    <w:p w14:paraId="5EA2A478" w14:textId="77777777" w:rsidR="00450837" w:rsidRPr="00450837" w:rsidRDefault="00450837" w:rsidP="00450837">
      <w:pPr>
        <w:spacing w:line="240" w:lineRule="auto"/>
        <w:rPr>
          <w:rFonts w:eastAsia="Times New Roman" w:cs="Arial"/>
          <w:b/>
          <w:bCs/>
          <w:color w:val="000000"/>
          <w:lang w:eastAsia="bg-BG"/>
        </w:rPr>
      </w:pPr>
    </w:p>
    <w:p w14:paraId="479D9ED6" w14:textId="510241C9"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Респираторни, гръдни и меднастннални нарушения:</w:t>
      </w:r>
    </w:p>
    <w:p w14:paraId="04E34F7D"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Редки: Диспнея.</w:t>
      </w:r>
    </w:p>
    <w:p w14:paraId="12188064" w14:textId="77777777" w:rsidR="00450837" w:rsidRPr="00450837" w:rsidRDefault="00450837" w:rsidP="00450837">
      <w:pPr>
        <w:spacing w:line="240" w:lineRule="auto"/>
        <w:rPr>
          <w:rFonts w:eastAsia="Times New Roman" w:cs="Arial"/>
          <w:b/>
          <w:bCs/>
          <w:color w:val="000000"/>
          <w:lang w:eastAsia="bg-BG"/>
        </w:rPr>
      </w:pPr>
    </w:p>
    <w:p w14:paraId="1F6D166D" w14:textId="6BD2D3E9"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Стомашно-чревни нарушения:</w:t>
      </w:r>
    </w:p>
    <w:p w14:paraId="370206ED"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Чести: Гадене, повръщане, диария, коремна болка.</w:t>
      </w:r>
    </w:p>
    <w:p w14:paraId="21BD076E" w14:textId="77777777" w:rsidR="00450837" w:rsidRPr="00450837" w:rsidRDefault="00450837" w:rsidP="00450837">
      <w:pPr>
        <w:spacing w:line="240" w:lineRule="auto"/>
        <w:rPr>
          <w:rFonts w:eastAsia="Times New Roman" w:cs="Arial"/>
          <w:b/>
          <w:bCs/>
          <w:color w:val="000000"/>
          <w:lang w:eastAsia="bg-BG"/>
        </w:rPr>
      </w:pPr>
    </w:p>
    <w:p w14:paraId="63D075D5" w14:textId="5D5BB1B3"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Хепато-билиарни нарушения:</w:t>
      </w:r>
    </w:p>
    <w:p w14:paraId="4F454E03"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Редки: Обратимо покачване на стойностите на билирубина и чернодробните ензими</w:t>
      </w:r>
    </w:p>
    <w:p w14:paraId="30CE9691"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Много редки: Хепатит.</w:t>
      </w:r>
    </w:p>
    <w:p w14:paraId="67AC7043" w14:textId="77777777" w:rsidR="00450837" w:rsidRPr="00450837" w:rsidRDefault="00450837" w:rsidP="00450837">
      <w:pPr>
        <w:spacing w:line="240" w:lineRule="auto"/>
        <w:rPr>
          <w:rFonts w:eastAsia="Times New Roman" w:cs="Arial"/>
          <w:b/>
          <w:bCs/>
          <w:color w:val="000000"/>
          <w:lang w:eastAsia="bg-BG"/>
        </w:rPr>
      </w:pPr>
      <w:bookmarkStart w:id="4" w:name="bookmark6"/>
    </w:p>
    <w:p w14:paraId="00730B7A" w14:textId="69EA96EA"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Нарушения на кожата и подкожната тъкан:</w:t>
      </w:r>
      <w:bookmarkEnd w:id="4"/>
    </w:p>
    <w:p w14:paraId="588BEFC8"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Чести: Реакции на свръхчувствителност като пруритус, обрив (вкл. фоточувствителност).</w:t>
      </w:r>
    </w:p>
    <w:p w14:paraId="0B7AA8CC"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Нечести: Уртикария. Засилен дифузен косопад. Този процес се свързва с множество заболявания и лекарства, като взаимовръзката с употребата на ацикловир не е сигурно установена.</w:t>
      </w:r>
    </w:p>
    <w:p w14:paraId="7BAA5094"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Редки: Ангиоедем.</w:t>
      </w:r>
    </w:p>
    <w:p w14:paraId="4F361C5A" w14:textId="77777777" w:rsidR="00450837" w:rsidRPr="00450837" w:rsidRDefault="00450837" w:rsidP="00450837">
      <w:pPr>
        <w:spacing w:line="240" w:lineRule="auto"/>
        <w:rPr>
          <w:rFonts w:eastAsia="Times New Roman" w:cs="Arial"/>
          <w:b/>
          <w:bCs/>
          <w:color w:val="000000"/>
          <w:lang w:eastAsia="bg-BG"/>
        </w:rPr>
      </w:pPr>
      <w:bookmarkStart w:id="5" w:name="bookmark8"/>
    </w:p>
    <w:p w14:paraId="4FE23FFE" w14:textId="4D76520A"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Нарушения на бъбреците и пикочните пътища:</w:t>
      </w:r>
      <w:bookmarkEnd w:id="5"/>
    </w:p>
    <w:p w14:paraId="35BDC16D"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Редки: Увеличаване на стойностите на кръвната урея и креатинин.</w:t>
      </w:r>
    </w:p>
    <w:p w14:paraId="4BB23762"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Много редки: Остра бъбречна недостатъчност.</w:t>
      </w:r>
    </w:p>
    <w:p w14:paraId="65D23CE0" w14:textId="77777777" w:rsidR="00450837" w:rsidRPr="00450837" w:rsidRDefault="00450837" w:rsidP="00450837">
      <w:pPr>
        <w:spacing w:line="240" w:lineRule="auto"/>
        <w:rPr>
          <w:rFonts w:eastAsia="Times New Roman" w:cs="Arial"/>
          <w:b/>
          <w:bCs/>
          <w:color w:val="000000"/>
          <w:lang w:eastAsia="bg-BG"/>
        </w:rPr>
      </w:pPr>
      <w:bookmarkStart w:id="6" w:name="bookmark10"/>
    </w:p>
    <w:p w14:paraId="0F037AB4" w14:textId="6DA81FA0"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Общи нарушения и ефекти на мястото на приложение:</w:t>
      </w:r>
      <w:bookmarkEnd w:id="6"/>
    </w:p>
    <w:p w14:paraId="1387058A"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Чести: изтощение, треска.</w:t>
      </w:r>
    </w:p>
    <w:p w14:paraId="272D0E78" w14:textId="77777777" w:rsidR="00450837" w:rsidRPr="00450837" w:rsidRDefault="00450837" w:rsidP="00450837">
      <w:pPr>
        <w:spacing w:line="240" w:lineRule="auto"/>
        <w:rPr>
          <w:rFonts w:eastAsia="Times New Roman" w:cs="Arial"/>
          <w:color w:val="000000"/>
          <w:u w:val="single"/>
          <w:lang w:eastAsia="bg-BG"/>
        </w:rPr>
      </w:pPr>
    </w:p>
    <w:p w14:paraId="3DEC30D0" w14:textId="0E4C7B90" w:rsidR="00450837" w:rsidRPr="00450837" w:rsidRDefault="00450837" w:rsidP="00450837">
      <w:pPr>
        <w:spacing w:line="240" w:lineRule="auto"/>
        <w:rPr>
          <w:rFonts w:eastAsia="Times New Roman" w:cs="Arial"/>
        </w:rPr>
      </w:pPr>
      <w:r w:rsidRPr="00450837">
        <w:rPr>
          <w:rFonts w:eastAsia="Times New Roman" w:cs="Arial"/>
          <w:color w:val="000000"/>
          <w:u w:val="single"/>
          <w:lang w:eastAsia="bg-BG"/>
        </w:rPr>
        <w:t>Съобщаване на подозирани нежелани реакции</w:t>
      </w:r>
    </w:p>
    <w:p w14:paraId="29195F73"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4D6F87FB"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Изпълнителна агенция по лекарствата</w:t>
      </w:r>
    </w:p>
    <w:p w14:paraId="4AC093C8"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ул. „Дамян Груев” № 8</w:t>
      </w:r>
    </w:p>
    <w:p w14:paraId="58F23333"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1303 София</w:t>
      </w:r>
    </w:p>
    <w:p w14:paraId="5EA319AC"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Тел.:+359 2 8903417</w:t>
      </w:r>
    </w:p>
    <w:p w14:paraId="321CB5C6"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lastRenderedPageBreak/>
        <w:t xml:space="preserve">уебсайт: </w:t>
      </w:r>
      <w:r w:rsidRPr="00450837">
        <w:rPr>
          <w:rFonts w:eastAsia="Times New Roman" w:cs="Arial"/>
        </w:rPr>
        <w:fldChar w:fldCharType="begin"/>
      </w:r>
      <w:r w:rsidRPr="00450837">
        <w:rPr>
          <w:rFonts w:eastAsia="Times New Roman" w:cs="Arial"/>
        </w:rPr>
        <w:instrText xml:space="preserve"> HYPERLINK "http://www.bda.bg" </w:instrText>
      </w:r>
      <w:r w:rsidRPr="00450837">
        <w:rPr>
          <w:rFonts w:eastAsia="Times New Roman" w:cs="Arial"/>
        </w:rPr>
      </w:r>
      <w:r w:rsidRPr="00450837">
        <w:rPr>
          <w:rFonts w:eastAsia="Times New Roman" w:cs="Arial"/>
        </w:rPr>
        <w:fldChar w:fldCharType="separate"/>
      </w:r>
      <w:r w:rsidRPr="00450837">
        <w:rPr>
          <w:rFonts w:eastAsia="Times New Roman" w:cs="Arial"/>
          <w:color w:val="000000"/>
          <w:u w:val="single"/>
          <w:lang w:val="en-US"/>
        </w:rPr>
        <w:t>www</w:t>
      </w:r>
      <w:r w:rsidRPr="00450837">
        <w:rPr>
          <w:rFonts w:eastAsia="Times New Roman" w:cs="Arial"/>
          <w:color w:val="000000"/>
          <w:u w:val="single"/>
          <w:lang w:val="ru-RU"/>
        </w:rPr>
        <w:t>.</w:t>
      </w:r>
      <w:proofErr w:type="spellStart"/>
      <w:r w:rsidRPr="00450837">
        <w:rPr>
          <w:rFonts w:eastAsia="Times New Roman" w:cs="Arial"/>
          <w:color w:val="000000"/>
          <w:u w:val="single"/>
          <w:lang w:val="en-US"/>
        </w:rPr>
        <w:t>bda</w:t>
      </w:r>
      <w:proofErr w:type="spellEnd"/>
      <w:r w:rsidRPr="00450837">
        <w:rPr>
          <w:rFonts w:eastAsia="Times New Roman" w:cs="Arial"/>
          <w:color w:val="000000"/>
          <w:u w:val="single"/>
          <w:lang w:val="ru-RU"/>
        </w:rPr>
        <w:t>.</w:t>
      </w:r>
      <w:proofErr w:type="spellStart"/>
      <w:r w:rsidRPr="00450837">
        <w:rPr>
          <w:rFonts w:eastAsia="Times New Roman" w:cs="Arial"/>
          <w:color w:val="000000"/>
          <w:u w:val="single"/>
          <w:lang w:val="en-US"/>
        </w:rPr>
        <w:t>bg</w:t>
      </w:r>
      <w:proofErr w:type="spellEnd"/>
      <w:r w:rsidRPr="00450837">
        <w:rPr>
          <w:rFonts w:eastAsia="Times New Roman" w:cs="Arial"/>
        </w:rPr>
        <w:fldChar w:fldCharType="end"/>
      </w:r>
    </w:p>
    <w:p w14:paraId="6B4DF79A" w14:textId="71EC3230" w:rsidR="00450837" w:rsidRPr="00450837" w:rsidRDefault="00450837" w:rsidP="00450837"/>
    <w:p w14:paraId="4ED30546" w14:textId="0D4E4C95" w:rsidR="007C605B" w:rsidRDefault="002C50EE" w:rsidP="009F1313">
      <w:pPr>
        <w:pStyle w:val="Heading2"/>
      </w:pPr>
      <w:r>
        <w:t>4.9. Предозиране</w:t>
      </w:r>
    </w:p>
    <w:p w14:paraId="0FDCAE66" w14:textId="201B305C" w:rsidR="00450837" w:rsidRDefault="00450837" w:rsidP="00450837"/>
    <w:p w14:paraId="0746FC46" w14:textId="14D9CE56" w:rsidR="00450837" w:rsidRPr="00450837" w:rsidRDefault="00450837" w:rsidP="00450837">
      <w:pPr>
        <w:spacing w:line="240" w:lineRule="auto"/>
        <w:rPr>
          <w:rFonts w:eastAsia="Times New Roman" w:cs="Arial"/>
        </w:rPr>
      </w:pPr>
      <w:r>
        <w:rPr>
          <w:rFonts w:eastAsia="Times New Roman" w:cs="Arial"/>
          <w:i/>
          <w:iCs/>
          <w:color w:val="000000"/>
          <w:lang w:eastAsia="bg-BG"/>
        </w:rPr>
        <w:t xml:space="preserve">А) </w:t>
      </w:r>
      <w:r w:rsidRPr="00450837">
        <w:rPr>
          <w:rFonts w:eastAsia="Times New Roman" w:cs="Arial"/>
          <w:i/>
          <w:iCs/>
          <w:color w:val="000000"/>
          <w:lang w:eastAsia="bg-BG"/>
        </w:rPr>
        <w:t>Симптоми на предозиране</w:t>
      </w:r>
    </w:p>
    <w:p w14:paraId="4E1B00D4" w14:textId="07F0F188" w:rsidR="00450837" w:rsidRPr="00450837" w:rsidRDefault="00450837" w:rsidP="00450837">
      <w:pPr>
        <w:rPr>
          <w:rFonts w:eastAsia="Times New Roman" w:cs="Arial"/>
          <w:color w:val="000000"/>
          <w:lang w:eastAsia="bg-BG"/>
        </w:rPr>
      </w:pPr>
      <w:r w:rsidRPr="00450837">
        <w:rPr>
          <w:rFonts w:eastAsia="Times New Roman" w:cs="Arial"/>
          <w:color w:val="000000"/>
          <w:lang w:eastAsia="bg-BG"/>
        </w:rPr>
        <w:t xml:space="preserve">Само част от перорално приетия ацикловир се абсорбира от стомашно-чревния тракт (виж точка 5.2). Опитът до момента показва, че еднократни перорални дози до 20 </w:t>
      </w:r>
      <w:r w:rsidRPr="00450837">
        <w:rPr>
          <w:rFonts w:eastAsia="Times New Roman" w:cs="Arial"/>
          <w:color w:val="000000"/>
          <w:lang w:val="en-US"/>
        </w:rPr>
        <w:t>g</w:t>
      </w:r>
      <w:r w:rsidRPr="00450837">
        <w:rPr>
          <w:rFonts w:eastAsia="Times New Roman" w:cs="Arial"/>
          <w:color w:val="000000"/>
          <w:lang w:val="ru-RU"/>
        </w:rPr>
        <w:t xml:space="preserve"> </w:t>
      </w:r>
      <w:r w:rsidRPr="00450837">
        <w:rPr>
          <w:rFonts w:eastAsia="Times New Roman" w:cs="Arial"/>
          <w:color w:val="000000"/>
          <w:lang w:eastAsia="bg-BG"/>
        </w:rPr>
        <w:t>ацикловир обикновено не предизвикват белези или симптоми на интоксикация. Тъй като липсват данни за приемане на по-високи перорални дози, пациенти, приели дози по-високи ацикловир, трябва внимателно да бъдат наблюдавани за наличие на белези и симптоми на интоксикация, свързана със стомашно-чревни прояви (като гадене и повръщане) и неврологичния ефекти като главоболие и объркване.</w:t>
      </w:r>
    </w:p>
    <w:p w14:paraId="5382B7F7" w14:textId="013D4E86" w:rsidR="00450837" w:rsidRPr="00450837" w:rsidRDefault="00450837" w:rsidP="00450837">
      <w:pPr>
        <w:rPr>
          <w:rFonts w:eastAsia="Times New Roman" w:cs="Arial"/>
          <w:color w:val="000000"/>
          <w:lang w:eastAsia="bg-BG"/>
        </w:rPr>
      </w:pPr>
    </w:p>
    <w:p w14:paraId="0B555137" w14:textId="77777777" w:rsidR="00450837" w:rsidRPr="00450837" w:rsidRDefault="00450837" w:rsidP="00450837">
      <w:pPr>
        <w:spacing w:line="240" w:lineRule="auto"/>
        <w:rPr>
          <w:rFonts w:eastAsia="Times New Roman" w:cs="Arial"/>
        </w:rPr>
      </w:pPr>
      <w:r w:rsidRPr="00450837">
        <w:rPr>
          <w:rFonts w:eastAsia="Times New Roman" w:cs="Arial"/>
          <w:color w:val="000000"/>
          <w:lang w:eastAsia="bg-BG"/>
        </w:rPr>
        <w:t>Предозиране с интравенозно приложен ацикловир води до повишени стойности на серумния креатинин, урея в кръвта, азот и последваща бъбречна недостатъчност. Реакции от страна на нервната система включват объркване, халюцинации, ажитираност, припадъци и кома са описани във връзка с предозиране.</w:t>
      </w:r>
    </w:p>
    <w:p w14:paraId="6319608D" w14:textId="7EEC119A" w:rsidR="00450837" w:rsidRPr="00450837" w:rsidRDefault="00450837" w:rsidP="00450837">
      <w:pPr>
        <w:spacing w:line="240" w:lineRule="auto"/>
        <w:rPr>
          <w:rFonts w:eastAsia="Times New Roman" w:cs="Arial"/>
          <w:i/>
          <w:iCs/>
          <w:color w:val="000000"/>
          <w:lang w:eastAsia="bg-BG"/>
        </w:rPr>
      </w:pPr>
      <w:r>
        <w:rPr>
          <w:rFonts w:eastAsia="Times New Roman" w:cs="Arial"/>
          <w:i/>
          <w:iCs/>
          <w:color w:val="000000"/>
          <w:lang w:eastAsia="bg-BG"/>
        </w:rPr>
        <w:t xml:space="preserve">Б) </w:t>
      </w:r>
      <w:r w:rsidRPr="00450837">
        <w:rPr>
          <w:rFonts w:eastAsia="Times New Roman" w:cs="Arial"/>
          <w:i/>
          <w:iCs/>
          <w:color w:val="000000"/>
          <w:lang w:eastAsia="bg-BG"/>
        </w:rPr>
        <w:t>Терапевтични мерки при предозиране</w:t>
      </w:r>
    </w:p>
    <w:p w14:paraId="5F99FC8E" w14:textId="77777777" w:rsidR="00450837" w:rsidRPr="00450837" w:rsidRDefault="00450837" w:rsidP="00450837">
      <w:pPr>
        <w:spacing w:line="240" w:lineRule="auto"/>
        <w:rPr>
          <w:rFonts w:eastAsia="Times New Roman" w:cs="Arial"/>
        </w:rPr>
      </w:pPr>
      <w:r w:rsidRPr="00450837">
        <w:rPr>
          <w:rFonts w:eastAsia="Times New Roman" w:cs="Arial"/>
          <w:b/>
          <w:bCs/>
          <w:color w:val="000000"/>
          <w:lang w:eastAsia="bg-BG"/>
        </w:rPr>
        <w:t>Пациентите трябва внимателно да се проследяват за признаци на интоксикация. Хемодиализата значително ускорява отстраняването на ацикловир от кръвта, и затова се счита за добра мярка при симптоматично предозиране.</w:t>
      </w:r>
    </w:p>
    <w:p w14:paraId="27FA0DAC" w14:textId="77777777" w:rsidR="00450837" w:rsidRPr="00450837" w:rsidRDefault="00450837" w:rsidP="00450837"/>
    <w:p w14:paraId="02081B24" w14:textId="1F46E296" w:rsidR="00395555" w:rsidRPr="00395555" w:rsidRDefault="002C50EE" w:rsidP="008A6AF2">
      <w:pPr>
        <w:pStyle w:val="Heading1"/>
      </w:pPr>
      <w:r>
        <w:t>5. ФАРМАКОЛОГИЧНИ СВОЙСТВА</w:t>
      </w:r>
    </w:p>
    <w:p w14:paraId="5350637D" w14:textId="02CD7CC2" w:rsidR="00395555" w:rsidRDefault="002C50EE" w:rsidP="008A6AF2">
      <w:pPr>
        <w:pStyle w:val="Heading2"/>
      </w:pPr>
      <w:r>
        <w:t>5.1. Фармакодинамични свойства</w:t>
      </w:r>
    </w:p>
    <w:p w14:paraId="2037C4D8" w14:textId="168745F3" w:rsidR="00450837" w:rsidRDefault="00450837" w:rsidP="00450837"/>
    <w:p w14:paraId="03E4B9D8" w14:textId="77777777" w:rsidR="00450837" w:rsidRPr="00450837" w:rsidRDefault="00450837" w:rsidP="00450837">
      <w:pPr>
        <w:spacing w:line="240" w:lineRule="auto"/>
        <w:rPr>
          <w:rFonts w:eastAsia="Times New Roman" w:cs="Arial"/>
          <w:sz w:val="12"/>
          <w:szCs w:val="24"/>
        </w:rPr>
      </w:pPr>
      <w:r w:rsidRPr="00450837">
        <w:rPr>
          <w:rFonts w:eastAsia="Times New Roman" w:cs="Arial"/>
          <w:b/>
          <w:bCs/>
          <w:color w:val="000000"/>
          <w:szCs w:val="44"/>
          <w:lang w:eastAsia="bg-BG"/>
        </w:rPr>
        <w:t xml:space="preserve">Фармакотерапевтична група: </w:t>
      </w:r>
      <w:r w:rsidRPr="00450837">
        <w:rPr>
          <w:rFonts w:eastAsia="Times New Roman" w:cs="Arial"/>
          <w:color w:val="000000"/>
          <w:szCs w:val="44"/>
          <w:lang w:eastAsia="bg-BG"/>
        </w:rPr>
        <w:t xml:space="preserve">Антивирусни средства за системна употреба </w:t>
      </w:r>
      <w:r w:rsidRPr="00450837">
        <w:rPr>
          <w:rFonts w:eastAsia="Times New Roman" w:cs="Arial"/>
          <w:b/>
          <w:bCs/>
          <w:color w:val="000000"/>
          <w:szCs w:val="44"/>
          <w:lang w:eastAsia="bg-BG"/>
        </w:rPr>
        <w:t xml:space="preserve">АТС код: </w:t>
      </w:r>
      <w:r w:rsidRPr="00450837">
        <w:rPr>
          <w:rFonts w:eastAsia="Times New Roman" w:cs="Arial"/>
          <w:b/>
          <w:bCs/>
          <w:color w:val="000000"/>
          <w:szCs w:val="44"/>
          <w:lang w:val="en-US"/>
        </w:rPr>
        <w:t>J</w:t>
      </w:r>
      <w:r w:rsidRPr="00450837">
        <w:rPr>
          <w:rFonts w:eastAsia="Times New Roman" w:cs="Arial"/>
          <w:b/>
          <w:bCs/>
          <w:color w:val="000000"/>
          <w:szCs w:val="44"/>
          <w:lang w:val="ru-RU"/>
        </w:rPr>
        <w:t>05</w:t>
      </w:r>
      <w:r w:rsidRPr="00450837">
        <w:rPr>
          <w:rFonts w:eastAsia="Times New Roman" w:cs="Arial"/>
          <w:b/>
          <w:bCs/>
          <w:color w:val="000000"/>
          <w:szCs w:val="44"/>
          <w:lang w:val="en-US"/>
        </w:rPr>
        <w:t>AB</w:t>
      </w:r>
      <w:r w:rsidRPr="00450837">
        <w:rPr>
          <w:rFonts w:eastAsia="Times New Roman" w:cs="Arial"/>
          <w:b/>
          <w:bCs/>
          <w:color w:val="000000"/>
          <w:szCs w:val="44"/>
          <w:lang w:val="ru-RU"/>
        </w:rPr>
        <w:t>01</w:t>
      </w:r>
    </w:p>
    <w:p w14:paraId="78BA363B"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Механизъм на действие</w:t>
      </w:r>
    </w:p>
    <w:p w14:paraId="1ABF806E"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Ацикловир има </w:t>
      </w:r>
      <w:r w:rsidRPr="00450837">
        <w:rPr>
          <w:rFonts w:eastAsia="Times New Roman" w:cs="Arial"/>
          <w:i/>
          <w:iCs/>
          <w:color w:val="000000"/>
          <w:szCs w:val="44"/>
          <w:lang w:val="en-US"/>
        </w:rPr>
        <w:t>in</w:t>
      </w:r>
      <w:r w:rsidRPr="00450837">
        <w:rPr>
          <w:rFonts w:eastAsia="Times New Roman" w:cs="Arial"/>
          <w:i/>
          <w:iCs/>
          <w:color w:val="000000"/>
          <w:szCs w:val="44"/>
        </w:rPr>
        <w:t xml:space="preserve"> </w:t>
      </w:r>
      <w:r w:rsidRPr="00450837">
        <w:rPr>
          <w:rFonts w:eastAsia="Times New Roman" w:cs="Arial"/>
          <w:i/>
          <w:iCs/>
          <w:color w:val="000000"/>
          <w:szCs w:val="44"/>
          <w:lang w:val="en-US"/>
        </w:rPr>
        <w:t>vitro</w:t>
      </w:r>
      <w:r w:rsidRPr="00450837">
        <w:rPr>
          <w:rFonts w:eastAsia="Times New Roman" w:cs="Arial"/>
          <w:color w:val="000000"/>
          <w:szCs w:val="44"/>
        </w:rPr>
        <w:t xml:space="preserve"> </w:t>
      </w:r>
      <w:r w:rsidRPr="00450837">
        <w:rPr>
          <w:rFonts w:eastAsia="Times New Roman" w:cs="Arial"/>
          <w:color w:val="000000"/>
          <w:szCs w:val="44"/>
          <w:lang w:eastAsia="bg-BG"/>
        </w:rPr>
        <w:t xml:space="preserve">и </w:t>
      </w:r>
      <w:r w:rsidRPr="00450837">
        <w:rPr>
          <w:rFonts w:eastAsia="Times New Roman" w:cs="Arial"/>
          <w:i/>
          <w:iCs/>
          <w:color w:val="000000"/>
          <w:szCs w:val="44"/>
          <w:lang w:val="en-US"/>
        </w:rPr>
        <w:t>in</w:t>
      </w:r>
      <w:r w:rsidRPr="00450837">
        <w:rPr>
          <w:rFonts w:eastAsia="Times New Roman" w:cs="Arial"/>
          <w:i/>
          <w:iCs/>
          <w:color w:val="000000"/>
          <w:szCs w:val="44"/>
        </w:rPr>
        <w:t xml:space="preserve"> </w:t>
      </w:r>
      <w:r w:rsidRPr="00450837">
        <w:rPr>
          <w:rFonts w:eastAsia="Times New Roman" w:cs="Arial"/>
          <w:i/>
          <w:iCs/>
          <w:color w:val="000000"/>
          <w:szCs w:val="44"/>
          <w:lang w:val="en-US"/>
        </w:rPr>
        <w:t>vivo</w:t>
      </w:r>
      <w:r w:rsidRPr="00450837">
        <w:rPr>
          <w:rFonts w:eastAsia="Times New Roman" w:cs="Arial"/>
          <w:color w:val="000000"/>
          <w:szCs w:val="44"/>
        </w:rPr>
        <w:t xml:space="preserve"> </w:t>
      </w:r>
      <w:r w:rsidRPr="00450837">
        <w:rPr>
          <w:rFonts w:eastAsia="Times New Roman" w:cs="Arial"/>
          <w:color w:val="000000"/>
          <w:szCs w:val="44"/>
          <w:lang w:eastAsia="bg-BG"/>
        </w:rPr>
        <w:t xml:space="preserve">инхибиторна активност срещу човешки херпес вируси, включително херпес симплекс вирус тип I и </w:t>
      </w:r>
      <w:r w:rsidRPr="00450837">
        <w:rPr>
          <w:rFonts w:eastAsia="Times New Roman" w:cs="Arial"/>
          <w:color w:val="000000"/>
          <w:szCs w:val="44"/>
          <w:lang w:val="en-US"/>
        </w:rPr>
        <w:t>II</w:t>
      </w:r>
      <w:r w:rsidRPr="00450837">
        <w:rPr>
          <w:rFonts w:eastAsia="Times New Roman" w:cs="Arial"/>
          <w:color w:val="000000"/>
          <w:szCs w:val="44"/>
          <w:lang w:eastAsia="bg-BG"/>
        </w:rPr>
        <w:t xml:space="preserve"> и варицела зостер вирус.</w:t>
      </w:r>
    </w:p>
    <w:p w14:paraId="3FAEAD57"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Ацикловирът представлява фармакологично неактивно вещество, което едва след пенетриране в клетката, която е заразена с </w:t>
      </w:r>
      <w:r w:rsidRPr="00450837">
        <w:rPr>
          <w:rFonts w:eastAsia="Times New Roman" w:cs="Arial"/>
          <w:color w:val="000000"/>
          <w:szCs w:val="44"/>
          <w:lang w:val="en-US"/>
        </w:rPr>
        <w:t>Herpes</w:t>
      </w:r>
      <w:r w:rsidRPr="00450837">
        <w:rPr>
          <w:rFonts w:eastAsia="Times New Roman" w:cs="Arial"/>
          <w:color w:val="000000"/>
          <w:szCs w:val="44"/>
        </w:rPr>
        <w:t xml:space="preserve"> </w:t>
      </w:r>
      <w:r w:rsidRPr="00450837">
        <w:rPr>
          <w:rFonts w:eastAsia="Times New Roman" w:cs="Arial"/>
          <w:color w:val="000000"/>
          <w:szCs w:val="44"/>
          <w:lang w:val="en-US"/>
        </w:rPr>
        <w:t>simplex</w:t>
      </w:r>
      <w:r w:rsidRPr="00450837">
        <w:rPr>
          <w:rFonts w:eastAsia="Times New Roman" w:cs="Arial"/>
          <w:color w:val="000000"/>
          <w:szCs w:val="44"/>
        </w:rPr>
        <w:t xml:space="preserve"> </w:t>
      </w:r>
      <w:r w:rsidRPr="00450837">
        <w:rPr>
          <w:rFonts w:eastAsia="Times New Roman" w:cs="Arial"/>
          <w:color w:val="000000"/>
          <w:szCs w:val="44"/>
          <w:lang w:val="en-US"/>
        </w:rPr>
        <w:t>Virus</w:t>
      </w:r>
      <w:r w:rsidRPr="00450837">
        <w:rPr>
          <w:rFonts w:eastAsia="Times New Roman" w:cs="Arial"/>
          <w:color w:val="000000"/>
          <w:szCs w:val="44"/>
        </w:rPr>
        <w:t xml:space="preserve"> (</w:t>
      </w:r>
      <w:r w:rsidRPr="00450837">
        <w:rPr>
          <w:rFonts w:eastAsia="Times New Roman" w:cs="Arial"/>
          <w:color w:val="000000"/>
          <w:szCs w:val="44"/>
          <w:lang w:val="en-US"/>
        </w:rPr>
        <w:t>HSV</w:t>
      </w:r>
      <w:r w:rsidRPr="00450837">
        <w:rPr>
          <w:rFonts w:eastAsia="Times New Roman" w:cs="Arial"/>
          <w:color w:val="000000"/>
          <w:szCs w:val="44"/>
        </w:rPr>
        <w:t xml:space="preserve">) </w:t>
      </w:r>
      <w:r w:rsidRPr="00450837">
        <w:rPr>
          <w:rFonts w:eastAsia="Times New Roman" w:cs="Arial"/>
          <w:color w:val="000000"/>
          <w:szCs w:val="44"/>
          <w:lang w:eastAsia="bg-BG"/>
        </w:rPr>
        <w:t xml:space="preserve">или </w:t>
      </w:r>
      <w:r w:rsidRPr="00450837">
        <w:rPr>
          <w:rFonts w:eastAsia="Times New Roman" w:cs="Arial"/>
          <w:color w:val="000000"/>
          <w:szCs w:val="44"/>
          <w:lang w:val="en-US"/>
        </w:rPr>
        <w:t>Varicella</w:t>
      </w:r>
      <w:r w:rsidRPr="00450837">
        <w:rPr>
          <w:rFonts w:eastAsia="Times New Roman" w:cs="Arial"/>
          <w:color w:val="000000"/>
          <w:szCs w:val="44"/>
        </w:rPr>
        <w:t>-</w:t>
      </w:r>
      <w:r w:rsidRPr="00450837">
        <w:rPr>
          <w:rFonts w:eastAsia="Times New Roman" w:cs="Arial"/>
          <w:color w:val="000000"/>
          <w:szCs w:val="44"/>
          <w:lang w:val="en-US"/>
        </w:rPr>
        <w:t>zoster</w:t>
      </w:r>
      <w:r w:rsidRPr="00450837">
        <w:rPr>
          <w:rFonts w:eastAsia="Times New Roman" w:cs="Arial"/>
          <w:color w:val="000000"/>
          <w:szCs w:val="44"/>
        </w:rPr>
        <w:t xml:space="preserve"> </w:t>
      </w:r>
      <w:r w:rsidRPr="00450837">
        <w:rPr>
          <w:rFonts w:eastAsia="Times New Roman" w:cs="Arial"/>
          <w:color w:val="000000"/>
          <w:szCs w:val="44"/>
          <w:lang w:val="en-US"/>
        </w:rPr>
        <w:t>Virus</w:t>
      </w:r>
      <w:r w:rsidRPr="00450837">
        <w:rPr>
          <w:rFonts w:eastAsia="Times New Roman" w:cs="Arial"/>
          <w:color w:val="000000"/>
          <w:szCs w:val="44"/>
        </w:rPr>
        <w:t xml:space="preserve"> (</w:t>
      </w:r>
      <w:r w:rsidRPr="00450837">
        <w:rPr>
          <w:rFonts w:eastAsia="Times New Roman" w:cs="Arial"/>
          <w:color w:val="000000"/>
          <w:szCs w:val="44"/>
          <w:lang w:val="en-US"/>
        </w:rPr>
        <w:t>VZV</w:t>
      </w:r>
      <w:r w:rsidRPr="00450837">
        <w:rPr>
          <w:rFonts w:eastAsia="Times New Roman" w:cs="Arial"/>
          <w:color w:val="000000"/>
          <w:szCs w:val="44"/>
        </w:rPr>
        <w:t xml:space="preserve">), </w:t>
      </w:r>
      <w:proofErr w:type="spellStart"/>
      <w:r w:rsidRPr="00450837">
        <w:rPr>
          <w:rFonts w:eastAsia="Times New Roman" w:cs="Arial"/>
          <w:color w:val="000000"/>
          <w:szCs w:val="44"/>
          <w:lang w:val="en-US"/>
        </w:rPr>
        <w:t>ce</w:t>
      </w:r>
      <w:proofErr w:type="spellEnd"/>
      <w:r w:rsidRPr="00450837">
        <w:rPr>
          <w:rFonts w:eastAsia="Times New Roman" w:cs="Arial"/>
          <w:color w:val="000000"/>
          <w:szCs w:val="44"/>
        </w:rPr>
        <w:t xml:space="preserve"> </w:t>
      </w:r>
      <w:r w:rsidRPr="00450837">
        <w:rPr>
          <w:rFonts w:eastAsia="Times New Roman" w:cs="Arial"/>
          <w:color w:val="000000"/>
          <w:szCs w:val="44"/>
          <w:lang w:eastAsia="bg-BG"/>
        </w:rPr>
        <w:t xml:space="preserve">превръща в активно противовирусно вещество (вирустатик). Това активиране на ацикловира се катализира от </w:t>
      </w:r>
      <w:r w:rsidRPr="00450837">
        <w:rPr>
          <w:rFonts w:eastAsia="Times New Roman" w:cs="Arial"/>
          <w:color w:val="000000"/>
          <w:szCs w:val="44"/>
          <w:lang w:val="en-US"/>
        </w:rPr>
        <w:t>HSV</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или </w:t>
      </w:r>
      <w:r w:rsidRPr="00450837">
        <w:rPr>
          <w:rFonts w:eastAsia="Times New Roman" w:cs="Arial"/>
          <w:color w:val="000000"/>
          <w:szCs w:val="44"/>
          <w:lang w:val="en-US"/>
        </w:rPr>
        <w:t>VZV</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тимидин киназата - есенциален ензим за репликацията на вирусите. С други думи вирусите </w:t>
      </w:r>
      <w:r w:rsidRPr="00450837">
        <w:rPr>
          <w:rFonts w:eastAsia="Times New Roman" w:cs="Arial"/>
          <w:color w:val="000000"/>
          <w:szCs w:val="44"/>
          <w:lang w:val="en-US"/>
        </w:rPr>
        <w:t>HSV</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и </w:t>
      </w:r>
      <w:r w:rsidRPr="00450837">
        <w:rPr>
          <w:rFonts w:eastAsia="Times New Roman" w:cs="Arial"/>
          <w:color w:val="000000"/>
          <w:szCs w:val="44"/>
          <w:lang w:val="en-US"/>
        </w:rPr>
        <w:t>VZV</w:t>
      </w:r>
      <w:r w:rsidRPr="00450837">
        <w:rPr>
          <w:rFonts w:eastAsia="Times New Roman" w:cs="Arial"/>
          <w:color w:val="000000"/>
          <w:szCs w:val="44"/>
          <w:lang w:val="ru-RU"/>
        </w:rPr>
        <w:t xml:space="preserve"> </w:t>
      </w:r>
      <w:r w:rsidRPr="00450837">
        <w:rPr>
          <w:rFonts w:eastAsia="Times New Roman" w:cs="Arial"/>
          <w:color w:val="000000"/>
          <w:szCs w:val="44"/>
          <w:lang w:eastAsia="bg-BG"/>
        </w:rPr>
        <w:t>синтезират собствения си вирустатик. Този процес преминава през следните етапи:</w:t>
      </w:r>
    </w:p>
    <w:p w14:paraId="23BAB80F" w14:textId="77777777" w:rsidR="00450837" w:rsidRDefault="00450837" w:rsidP="00450837">
      <w:pPr>
        <w:pStyle w:val="ListParagraph"/>
        <w:numPr>
          <w:ilvl w:val="0"/>
          <w:numId w:val="2"/>
        </w:numPr>
        <w:spacing w:line="240" w:lineRule="auto"/>
        <w:rPr>
          <w:rFonts w:eastAsia="Times New Roman" w:cs="Arial"/>
          <w:color w:val="000000"/>
          <w:szCs w:val="44"/>
          <w:lang w:eastAsia="bg-BG"/>
        </w:rPr>
      </w:pPr>
      <w:r w:rsidRPr="00450837">
        <w:rPr>
          <w:rFonts w:eastAsia="Times New Roman" w:cs="Arial"/>
          <w:color w:val="000000"/>
          <w:szCs w:val="44"/>
          <w:lang w:eastAsia="bg-BG"/>
        </w:rPr>
        <w:t>Ацикловир пенетрира избирателно в инфектираните с херпес клетки.</w:t>
      </w:r>
    </w:p>
    <w:p w14:paraId="1942E977" w14:textId="77777777" w:rsidR="00450837" w:rsidRDefault="00450837" w:rsidP="00450837">
      <w:pPr>
        <w:pStyle w:val="ListParagraph"/>
        <w:numPr>
          <w:ilvl w:val="0"/>
          <w:numId w:val="2"/>
        </w:numPr>
        <w:spacing w:line="240" w:lineRule="auto"/>
        <w:rPr>
          <w:rFonts w:eastAsia="Times New Roman" w:cs="Arial"/>
          <w:color w:val="000000"/>
          <w:szCs w:val="44"/>
          <w:lang w:eastAsia="bg-BG"/>
        </w:rPr>
      </w:pPr>
      <w:r w:rsidRPr="00450837">
        <w:rPr>
          <w:rFonts w:eastAsia="Times New Roman" w:cs="Arial"/>
          <w:color w:val="000000"/>
          <w:szCs w:val="44"/>
          <w:lang w:eastAsia="bg-BG"/>
        </w:rPr>
        <w:t>Наличната в тези клетки вирусна тимидин киназа фосфорилира Ацикловир до Ацикловир монофосфат.</w:t>
      </w:r>
    </w:p>
    <w:p w14:paraId="3FBB4DA5" w14:textId="77777777" w:rsidR="00450837" w:rsidRDefault="00450837" w:rsidP="00450837">
      <w:pPr>
        <w:pStyle w:val="ListParagraph"/>
        <w:numPr>
          <w:ilvl w:val="0"/>
          <w:numId w:val="2"/>
        </w:numPr>
        <w:spacing w:line="240" w:lineRule="auto"/>
        <w:rPr>
          <w:rFonts w:eastAsia="Times New Roman" w:cs="Arial"/>
          <w:color w:val="000000"/>
          <w:szCs w:val="44"/>
          <w:lang w:eastAsia="bg-BG"/>
        </w:rPr>
      </w:pPr>
      <w:r w:rsidRPr="00450837">
        <w:rPr>
          <w:rFonts w:eastAsia="Times New Roman" w:cs="Arial"/>
          <w:color w:val="000000"/>
          <w:szCs w:val="44"/>
          <w:lang w:eastAsia="bg-BG"/>
        </w:rPr>
        <w:t>Клетъчните ензими превръщат ацикловир монофосфат до противовирусно-активния Ацикловир трифосфат</w:t>
      </w:r>
    </w:p>
    <w:p w14:paraId="283A7F7A" w14:textId="77777777" w:rsidR="00450837" w:rsidRDefault="00450837" w:rsidP="00450837">
      <w:pPr>
        <w:pStyle w:val="ListParagraph"/>
        <w:numPr>
          <w:ilvl w:val="0"/>
          <w:numId w:val="2"/>
        </w:numPr>
        <w:spacing w:line="240" w:lineRule="auto"/>
        <w:rPr>
          <w:rFonts w:eastAsia="Times New Roman" w:cs="Arial"/>
          <w:color w:val="000000"/>
          <w:szCs w:val="44"/>
          <w:lang w:eastAsia="bg-BG"/>
        </w:rPr>
      </w:pPr>
      <w:r w:rsidRPr="00450837">
        <w:rPr>
          <w:rFonts w:eastAsia="Times New Roman" w:cs="Arial"/>
          <w:color w:val="000000"/>
          <w:szCs w:val="44"/>
          <w:lang w:eastAsia="bg-BG"/>
        </w:rPr>
        <w:t>Афинитетът на Ацикловир трифосфат към вирусната ДНК полимераза е 10 до 30 пъти по- висок в сравнение с афинитета му към клетъчната ДНК полимераза. Ето защо Ацикловир трифосфат селективно инхибира вирусната ензимна активност.</w:t>
      </w:r>
    </w:p>
    <w:p w14:paraId="5DDB4E4F" w14:textId="0CB21E21" w:rsidR="00450837" w:rsidRPr="00450837" w:rsidRDefault="00450837" w:rsidP="00450837">
      <w:pPr>
        <w:pStyle w:val="ListParagraph"/>
        <w:numPr>
          <w:ilvl w:val="0"/>
          <w:numId w:val="2"/>
        </w:numPr>
        <w:spacing w:line="240" w:lineRule="auto"/>
        <w:rPr>
          <w:rFonts w:eastAsia="Times New Roman" w:cs="Arial"/>
          <w:color w:val="000000"/>
          <w:szCs w:val="44"/>
          <w:lang w:eastAsia="bg-BG"/>
        </w:rPr>
      </w:pPr>
      <w:r w:rsidRPr="00450837">
        <w:rPr>
          <w:rFonts w:eastAsia="Times New Roman" w:cs="Arial"/>
          <w:color w:val="000000"/>
          <w:szCs w:val="44"/>
          <w:lang w:eastAsia="bg-BG"/>
        </w:rPr>
        <w:lastRenderedPageBreak/>
        <w:t>В допълнение вирусната ДНК полимераза инкорпорира /вмъква/ ацикловир във вирусната ДНК, причинявайки по този начин прекъсване на веригата в синтеза на вирусната ДНК.</w:t>
      </w:r>
    </w:p>
    <w:p w14:paraId="415825DC"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Комбинацията на тези отделни стъпки води много ефективно до намаляване на вирусната репликация (възпроизвеждане).</w:t>
      </w:r>
    </w:p>
    <w:p w14:paraId="5E933D96" w14:textId="67393A98" w:rsidR="00450837" w:rsidRDefault="00450837" w:rsidP="00450837">
      <w:pPr>
        <w:rPr>
          <w:rFonts w:eastAsia="Times New Roman" w:cs="Arial"/>
          <w:color w:val="000000"/>
          <w:szCs w:val="44"/>
          <w:lang w:eastAsia="bg-BG"/>
        </w:rPr>
      </w:pPr>
      <w:r w:rsidRPr="00450837">
        <w:rPr>
          <w:rFonts w:eastAsia="Times New Roman" w:cs="Arial"/>
          <w:color w:val="000000"/>
          <w:szCs w:val="44"/>
          <w:lang w:eastAsia="bg-BG"/>
        </w:rPr>
        <w:t>Продължителното или повторно лечение с ацикловир при тежко имунокомпрометирани лица може да доведе до избора на вирусни типове с намалена чувствителност, които не могат да отговорят на продължителното лечение с ацикловир.</w:t>
      </w:r>
    </w:p>
    <w:p w14:paraId="1989B9CE" w14:textId="77777777" w:rsidR="00450837" w:rsidRPr="00450837" w:rsidRDefault="00450837" w:rsidP="00450837">
      <w:pPr>
        <w:rPr>
          <w:rFonts w:cs="Arial"/>
          <w:sz w:val="10"/>
        </w:rPr>
      </w:pPr>
    </w:p>
    <w:p w14:paraId="26535098" w14:textId="53A9CC7B" w:rsidR="00395555" w:rsidRDefault="002C50EE" w:rsidP="008A6AF2">
      <w:pPr>
        <w:pStyle w:val="Heading2"/>
      </w:pPr>
      <w:r>
        <w:t>5.2. Фармакокинетични свойства</w:t>
      </w:r>
    </w:p>
    <w:p w14:paraId="341670D0" w14:textId="5BF2A524" w:rsidR="00450837" w:rsidRDefault="00450837" w:rsidP="00450837"/>
    <w:p w14:paraId="6AD5CB67" w14:textId="77777777" w:rsidR="00450837" w:rsidRPr="00C23AA2" w:rsidRDefault="00450837" w:rsidP="00C23AA2">
      <w:pPr>
        <w:pStyle w:val="Heading3"/>
        <w:rPr>
          <w:rFonts w:eastAsia="Times New Roman"/>
          <w:sz w:val="12"/>
          <w:u w:val="single"/>
        </w:rPr>
      </w:pPr>
      <w:r w:rsidRPr="00C23AA2">
        <w:rPr>
          <w:rFonts w:eastAsia="Times New Roman"/>
          <w:u w:val="single"/>
          <w:lang w:eastAsia="bg-BG"/>
        </w:rPr>
        <w:t>Абсорбция</w:t>
      </w:r>
    </w:p>
    <w:p w14:paraId="26E91C0A"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Само част от перорално приетия ацикловир се абсорбира от стомашно-чревния тракт.</w:t>
      </w:r>
    </w:p>
    <w:p w14:paraId="628D144F" w14:textId="77777777" w:rsidR="00450837" w:rsidRPr="00C23AA2" w:rsidRDefault="00450837" w:rsidP="00450837">
      <w:pPr>
        <w:rPr>
          <w:rFonts w:eastAsia="Times New Roman" w:cs="Arial"/>
          <w:color w:val="000000"/>
          <w:szCs w:val="44"/>
          <w:lang w:eastAsia="bg-BG"/>
        </w:rPr>
      </w:pPr>
    </w:p>
    <w:p w14:paraId="65BF1598" w14:textId="77777777" w:rsidR="00450837" w:rsidRPr="00C23AA2" w:rsidRDefault="00450837" w:rsidP="00450837">
      <w:pPr>
        <w:rPr>
          <w:rFonts w:eastAsia="Times New Roman" w:cs="Arial"/>
          <w:sz w:val="12"/>
          <w:szCs w:val="24"/>
        </w:rPr>
      </w:pPr>
      <w:r w:rsidRPr="00C23AA2">
        <w:rPr>
          <w:rFonts w:eastAsia="Times New Roman" w:cs="Arial"/>
          <w:color w:val="000000"/>
          <w:szCs w:val="44"/>
          <w:lang w:eastAsia="bg-BG"/>
        </w:rPr>
        <w:t>Средният плазмен пик при стационарно състояние след повтарящо се перорално приложение</w:t>
      </w:r>
      <w:r w:rsidRPr="00C23AA2">
        <w:rPr>
          <w:rFonts w:eastAsia="Times New Roman" w:cs="Arial"/>
          <w:color w:val="000000"/>
          <w:szCs w:val="44"/>
          <w:vertAlign w:val="subscript"/>
          <w:lang w:eastAsia="bg-BG"/>
        </w:rPr>
        <w:t xml:space="preserve"> </w:t>
      </w:r>
      <w:r w:rsidRPr="00C23AA2">
        <w:rPr>
          <w:rFonts w:eastAsia="Times New Roman" w:cs="Arial"/>
          <w:color w:val="000000"/>
          <w:szCs w:val="44"/>
          <w:lang w:eastAsia="bg-BG"/>
        </w:rPr>
        <w:t xml:space="preserve">съответно на 200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400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800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пет пъти дневно на всеки 4 часа е 3.02 </w:t>
      </w:r>
      <w:r w:rsidRPr="00C23AA2">
        <w:rPr>
          <w:rFonts w:eastAsia="Times New Roman" w:cs="Arial"/>
          <w:color w:val="000000"/>
          <w:szCs w:val="44"/>
          <w:lang w:val="ru-RU"/>
        </w:rPr>
        <w:t>±</w:t>
      </w:r>
      <w:r w:rsidRPr="00C23AA2">
        <w:rPr>
          <w:rFonts w:eastAsia="Times New Roman" w:cs="Arial"/>
          <w:color w:val="000000"/>
          <w:szCs w:val="44"/>
          <w:lang w:eastAsia="bg-BG"/>
        </w:rPr>
        <w:t xml:space="preserve"> 0.5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val="ru-RU"/>
        </w:rPr>
        <w:t>/</w:t>
      </w:r>
      <w:r w:rsidRPr="00C23AA2">
        <w:rPr>
          <w:rFonts w:eastAsia="Times New Roman" w:cs="Arial"/>
          <w:color w:val="000000"/>
          <w:szCs w:val="44"/>
          <w:lang w:val="en-US"/>
        </w:rPr>
        <w:t>l</w:t>
      </w:r>
      <w:r w:rsidRPr="00C23AA2">
        <w:rPr>
          <w:rFonts w:eastAsia="Times New Roman" w:cs="Arial"/>
          <w:color w:val="000000"/>
          <w:szCs w:val="44"/>
          <w:lang w:val="ru-RU"/>
        </w:rPr>
        <w:t xml:space="preserve"> (200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5.21 + 1.32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eastAsia="bg-BG"/>
        </w:rPr>
        <w:t xml:space="preserve">/1 (400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или 8.16 ± 1.98 </w:t>
      </w:r>
      <w:proofErr w:type="spellStart"/>
      <w:r w:rsidRPr="00C23AA2">
        <w:rPr>
          <w:rFonts w:eastAsia="Times New Roman" w:cs="Arial"/>
          <w:color w:val="000000"/>
          <w:szCs w:val="44"/>
          <w:lang w:val="en-US"/>
        </w:rPr>
        <w:t>μmo</w:t>
      </w:r>
      <w:proofErr w:type="spellEnd"/>
      <w:r w:rsidRPr="00C23AA2">
        <w:rPr>
          <w:rFonts w:eastAsia="Times New Roman" w:cs="Arial"/>
          <w:color w:val="000000"/>
          <w:szCs w:val="44"/>
          <w:lang w:eastAsia="bg-BG"/>
        </w:rPr>
        <w:t xml:space="preserve">1/1 (800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Тези стойности се достигат след около 1.5 + 0.6 часа. Най-ниските плазмени нива, определени след около 4 часа след последната, перорално приета доза ацикловир, са 1.61 ± 0.3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val="ru-RU"/>
        </w:rPr>
        <w:t xml:space="preserve">/1 </w:t>
      </w:r>
      <w:r w:rsidRPr="00C23AA2">
        <w:rPr>
          <w:rFonts w:eastAsia="Times New Roman" w:cs="Arial"/>
          <w:color w:val="000000"/>
          <w:szCs w:val="44"/>
          <w:lang w:eastAsia="bg-BG"/>
        </w:rPr>
        <w:t xml:space="preserve">(200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2.59 ± 0.53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val="ru-RU"/>
        </w:rPr>
        <w:t xml:space="preserve">/1 </w:t>
      </w:r>
      <w:r w:rsidRPr="00C23AA2">
        <w:rPr>
          <w:rFonts w:eastAsia="Times New Roman" w:cs="Arial"/>
          <w:color w:val="000000"/>
          <w:szCs w:val="44"/>
          <w:lang w:eastAsia="bg-BG"/>
        </w:rPr>
        <w:t xml:space="preserve">(400 </w:t>
      </w:r>
      <w:r w:rsidRPr="00C23AA2">
        <w:rPr>
          <w:rFonts w:eastAsia="Times New Roman" w:cs="Arial"/>
          <w:color w:val="000000"/>
          <w:szCs w:val="44"/>
          <w:lang w:val="en-US"/>
        </w:rPr>
        <w:t>mg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или 4.0 ± 0.72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val="ru-RU"/>
        </w:rPr>
        <w:t xml:space="preserve">/1 </w:t>
      </w:r>
      <w:r w:rsidRPr="00C23AA2">
        <w:rPr>
          <w:rFonts w:eastAsia="Times New Roman" w:cs="Arial"/>
          <w:color w:val="000000"/>
          <w:szCs w:val="44"/>
          <w:lang w:eastAsia="bg-BG"/>
        </w:rPr>
        <w:t xml:space="preserve">(800 </w:t>
      </w:r>
      <w:r w:rsidRPr="00C23AA2">
        <w:rPr>
          <w:rFonts w:eastAsia="Times New Roman" w:cs="Arial"/>
          <w:color w:val="000000"/>
          <w:szCs w:val="44"/>
          <w:lang w:val="en-US"/>
        </w:rPr>
        <w:t>mg</w:t>
      </w:r>
      <w:r w:rsidRPr="00C23AA2">
        <w:rPr>
          <w:rFonts w:eastAsia="Times New Roman" w:cs="Arial"/>
          <w:color w:val="000000"/>
          <w:szCs w:val="44"/>
          <w:lang w:val="ru-RU"/>
        </w:rPr>
        <w:t>).</w:t>
      </w:r>
    </w:p>
    <w:p w14:paraId="30829802" w14:textId="77777777" w:rsidR="00C23AA2" w:rsidRPr="00C23AA2" w:rsidRDefault="00C23AA2" w:rsidP="00450837">
      <w:pPr>
        <w:spacing w:line="240" w:lineRule="auto"/>
        <w:rPr>
          <w:rFonts w:eastAsia="Times New Roman" w:cs="Arial"/>
          <w:color w:val="000000"/>
          <w:szCs w:val="44"/>
          <w:lang w:eastAsia="bg-BG"/>
        </w:rPr>
      </w:pPr>
    </w:p>
    <w:p w14:paraId="6EAC47AD" w14:textId="128FC4EE"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След 24 часа от спирането на приема на таблетките лекарството не се открива в тялото.</w:t>
      </w:r>
    </w:p>
    <w:p w14:paraId="271D6ED2" w14:textId="77777777" w:rsidR="00450837" w:rsidRPr="00C23AA2" w:rsidRDefault="00450837" w:rsidP="00450837">
      <w:pPr>
        <w:spacing w:line="240" w:lineRule="auto"/>
        <w:rPr>
          <w:rFonts w:eastAsia="Times New Roman" w:cs="Arial"/>
          <w:color w:val="000000"/>
          <w:szCs w:val="44"/>
          <w:lang w:eastAsia="bg-BG"/>
        </w:rPr>
      </w:pPr>
    </w:p>
    <w:p w14:paraId="6246A16B" w14:textId="5F71AD9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Биекспоненциалната кинетика на ацикловир показва, че лекарството достига високи концентрации в тъканите и органите и се елиминира от тях бавно.</w:t>
      </w:r>
    </w:p>
    <w:p w14:paraId="0D35AE70" w14:textId="77777777" w:rsidR="00450837" w:rsidRPr="00C23AA2" w:rsidRDefault="00450837" w:rsidP="00450837">
      <w:pPr>
        <w:spacing w:line="240" w:lineRule="auto"/>
        <w:rPr>
          <w:rFonts w:eastAsia="Times New Roman" w:cs="Arial"/>
          <w:color w:val="000000"/>
          <w:szCs w:val="44"/>
          <w:u w:val="single"/>
          <w:lang w:eastAsia="bg-BG"/>
        </w:rPr>
      </w:pPr>
    </w:p>
    <w:p w14:paraId="4AAB8387" w14:textId="3A0FDA47" w:rsidR="00450837" w:rsidRPr="00C23AA2" w:rsidRDefault="00450837" w:rsidP="00C23AA2">
      <w:pPr>
        <w:pStyle w:val="Heading3"/>
        <w:rPr>
          <w:rFonts w:eastAsia="Times New Roman"/>
          <w:sz w:val="12"/>
          <w:u w:val="single"/>
        </w:rPr>
      </w:pPr>
      <w:r w:rsidRPr="00C23AA2">
        <w:rPr>
          <w:rFonts w:eastAsia="Times New Roman"/>
          <w:u w:val="single"/>
          <w:lang w:eastAsia="bg-BG"/>
        </w:rPr>
        <w:t>Разпределение</w:t>
      </w:r>
    </w:p>
    <w:p w14:paraId="30E19CF9"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Обемът на разпределение при стационарно състояние е 50 </w:t>
      </w:r>
      <w:r w:rsidRPr="00450837">
        <w:rPr>
          <w:rFonts w:eastAsia="Times New Roman" w:cs="Arial"/>
          <w:color w:val="000000"/>
          <w:szCs w:val="44"/>
          <w:lang w:val="ru-RU"/>
        </w:rPr>
        <w:t>±</w:t>
      </w:r>
      <w:r w:rsidRPr="00450837">
        <w:rPr>
          <w:rFonts w:eastAsia="Times New Roman" w:cs="Arial"/>
          <w:color w:val="000000"/>
          <w:szCs w:val="44"/>
          <w:lang w:eastAsia="bg-BG"/>
        </w:rPr>
        <w:t>8.7 1/1.73</w:t>
      </w:r>
      <w:r w:rsidRPr="00450837">
        <w:rPr>
          <w:rFonts w:eastAsia="Times New Roman" w:cs="Arial"/>
          <w:color w:val="000000"/>
          <w:szCs w:val="44"/>
          <w:lang w:val="en-US"/>
        </w:rPr>
        <w:t>m</w:t>
      </w:r>
      <w:r w:rsidRPr="00450837">
        <w:rPr>
          <w:rFonts w:eastAsia="Times New Roman" w:cs="Arial"/>
          <w:color w:val="000000"/>
          <w:szCs w:val="44"/>
          <w:vertAlign w:val="superscript"/>
          <w:lang w:val="ru-RU"/>
        </w:rPr>
        <w:t>2</w:t>
      </w:r>
      <w:r w:rsidRPr="00450837">
        <w:rPr>
          <w:rFonts w:eastAsia="Times New Roman" w:cs="Arial"/>
          <w:color w:val="000000"/>
          <w:szCs w:val="44"/>
          <w:lang w:eastAsia="bg-BG"/>
        </w:rPr>
        <w:t xml:space="preserve"> при възрастни и 28 ± 9.3 1/1.73</w:t>
      </w:r>
      <w:r w:rsidRPr="00450837">
        <w:rPr>
          <w:rFonts w:eastAsia="Times New Roman" w:cs="Arial"/>
          <w:color w:val="000000"/>
          <w:szCs w:val="44"/>
          <w:lang w:val="en-US"/>
        </w:rPr>
        <w:t>m</w:t>
      </w:r>
      <w:r w:rsidRPr="00450837">
        <w:rPr>
          <w:rFonts w:eastAsia="Times New Roman" w:cs="Arial"/>
          <w:color w:val="000000"/>
          <w:szCs w:val="44"/>
          <w:vertAlign w:val="superscript"/>
          <w:lang w:val="ru-RU"/>
        </w:rPr>
        <w:t>2</w:t>
      </w:r>
      <w:r w:rsidRPr="00450837">
        <w:rPr>
          <w:rFonts w:eastAsia="Times New Roman" w:cs="Arial"/>
          <w:color w:val="000000"/>
          <w:szCs w:val="44"/>
          <w:lang w:eastAsia="bg-BG"/>
        </w:rPr>
        <w:t xml:space="preserve"> при новородени и бебета до 3 месеца. Протеиновото свързване варира от 9 до 33%.</w:t>
      </w:r>
    </w:p>
    <w:p w14:paraId="7798C022" w14:textId="77777777" w:rsidR="00450837" w:rsidRPr="00C23AA2" w:rsidRDefault="00450837" w:rsidP="00450837">
      <w:pPr>
        <w:spacing w:line="240" w:lineRule="auto"/>
        <w:rPr>
          <w:rFonts w:eastAsia="Times New Roman" w:cs="Arial"/>
          <w:color w:val="000000"/>
          <w:szCs w:val="44"/>
          <w:u w:val="single"/>
          <w:lang w:eastAsia="bg-BG"/>
        </w:rPr>
      </w:pPr>
    </w:p>
    <w:p w14:paraId="5A4FC882" w14:textId="061F3DF6" w:rsidR="00450837" w:rsidRPr="00C23AA2" w:rsidRDefault="00450837" w:rsidP="00C23AA2">
      <w:pPr>
        <w:pStyle w:val="Heading3"/>
        <w:rPr>
          <w:rFonts w:eastAsia="Times New Roman"/>
          <w:sz w:val="12"/>
          <w:u w:val="single"/>
        </w:rPr>
      </w:pPr>
      <w:r w:rsidRPr="00C23AA2">
        <w:rPr>
          <w:rFonts w:eastAsia="Times New Roman"/>
          <w:u w:val="single"/>
          <w:lang w:eastAsia="bg-BG"/>
        </w:rPr>
        <w:t>Биотрансформация и елиминиране</w:t>
      </w:r>
    </w:p>
    <w:p w14:paraId="41CC0B14"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При пациенти с нормална бъбречна функция 62-91% от количеството ацикловир се елиминира в непроменен вид и 10-15% като 9-карбоксиметилгуанин през бъбреците. Времето на плазмен полуживот след интравенозно приложение, е 2.87 ± 0.76 часа при възрастни и 4.1 ±1.2 часа при новородени и бебета до 3 месеца. Ацикловир е подложен на гломерулна филтрация и тубуларна секреция. Когато е приложен един час след приемане на 1 </w:t>
      </w:r>
      <w:r w:rsidRPr="00450837">
        <w:rPr>
          <w:rFonts w:eastAsia="Times New Roman" w:cs="Arial"/>
          <w:color w:val="000000"/>
          <w:szCs w:val="44"/>
          <w:lang w:val="en-US"/>
        </w:rPr>
        <w:t>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пробеницид, времето на плазмен полуживот се увеличава с 18% и площта под кривата плазмена концентрация/време </w:t>
      </w:r>
      <w:r w:rsidRPr="00450837">
        <w:rPr>
          <w:rFonts w:eastAsia="Times New Roman" w:cs="Arial"/>
          <w:color w:val="000000"/>
          <w:szCs w:val="44"/>
          <w:lang w:val="ru-RU"/>
        </w:rPr>
        <w:t>(</w:t>
      </w:r>
      <w:r w:rsidRPr="00450837">
        <w:rPr>
          <w:rFonts w:eastAsia="Times New Roman" w:cs="Arial"/>
          <w:color w:val="000000"/>
          <w:szCs w:val="44"/>
          <w:lang w:val="en-US"/>
        </w:rPr>
        <w:t>AUC</w:t>
      </w:r>
      <w:r w:rsidRPr="00450837">
        <w:rPr>
          <w:rFonts w:eastAsia="Times New Roman" w:cs="Arial"/>
          <w:color w:val="000000"/>
          <w:szCs w:val="44"/>
          <w:lang w:val="ru-RU"/>
        </w:rPr>
        <w:t xml:space="preserve">) </w:t>
      </w:r>
      <w:r w:rsidRPr="00450837">
        <w:rPr>
          <w:rFonts w:eastAsia="Times New Roman" w:cs="Arial"/>
          <w:color w:val="000000"/>
          <w:szCs w:val="44"/>
          <w:lang w:eastAsia="bg-BG"/>
        </w:rPr>
        <w:t>се увеличава с 40%. Когато бионаличността на ацикловир е около 20%, около 80% от цялото количество се елиминира чрез фекалиите.</w:t>
      </w:r>
    </w:p>
    <w:p w14:paraId="4BD1CEAA"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Средното време на полуживот при пациенти с хронична бъбречна недостатъчност е около 19.5 часа, а по време на хемодиализа е 5.7 часа. Нивото на ацикловир в плазмата спада на около 60% по време на хемодиализа. При пациенти с нарушена бъбречна функция и креатининов клирънс от 10 </w:t>
      </w:r>
      <w:r w:rsidRPr="00450837">
        <w:rPr>
          <w:rFonts w:eastAsia="Times New Roman" w:cs="Arial"/>
          <w:color w:val="000000"/>
          <w:szCs w:val="44"/>
          <w:lang w:val="en-US"/>
        </w:rPr>
        <w:t>ml</w:t>
      </w:r>
      <w:r w:rsidRPr="00450837">
        <w:rPr>
          <w:rFonts w:eastAsia="Times New Roman" w:cs="Arial"/>
          <w:color w:val="000000"/>
          <w:szCs w:val="44"/>
          <w:lang w:val="ru-RU"/>
        </w:rPr>
        <w:t>/</w:t>
      </w:r>
      <w:r w:rsidRPr="00450837">
        <w:rPr>
          <w:rFonts w:eastAsia="Times New Roman" w:cs="Arial"/>
          <w:color w:val="000000"/>
          <w:szCs w:val="44"/>
          <w:lang w:val="en-US"/>
        </w:rPr>
        <w:t>min</w:t>
      </w:r>
      <w:r w:rsidRPr="00450837">
        <w:rPr>
          <w:rFonts w:eastAsia="Times New Roman" w:cs="Arial"/>
          <w:color w:val="000000"/>
          <w:szCs w:val="44"/>
          <w:lang w:val="ru-RU"/>
        </w:rPr>
        <w:t xml:space="preserve">/1.73 </w:t>
      </w:r>
      <w:r w:rsidRPr="00450837">
        <w:rPr>
          <w:rFonts w:eastAsia="Times New Roman" w:cs="Arial"/>
          <w:color w:val="000000"/>
          <w:szCs w:val="44"/>
          <w:lang w:val="en-US"/>
        </w:rPr>
        <w:t>m</w:t>
      </w:r>
      <w:r w:rsidRPr="00450837">
        <w:rPr>
          <w:rFonts w:eastAsia="Times New Roman" w:cs="Arial"/>
          <w:color w:val="000000"/>
          <w:szCs w:val="44"/>
          <w:vertAlign w:val="superscript"/>
          <w:lang w:val="ru-RU"/>
        </w:rPr>
        <w:t>2</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доза от 200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ацикловир пет пъти дневно е свързана с риск от акумулиране. По тази причина е необходимо намаляване на дозата при пациенти с креатининов клирънс </w:t>
      </w:r>
      <w:r w:rsidRPr="00450837">
        <w:rPr>
          <w:rFonts w:eastAsia="Times New Roman" w:cs="Arial"/>
          <w:color w:val="000000"/>
          <w:szCs w:val="44"/>
          <w:lang w:val="ru-RU"/>
        </w:rPr>
        <w:t>≤</w:t>
      </w:r>
      <w:r w:rsidRPr="00450837">
        <w:rPr>
          <w:rFonts w:eastAsia="Times New Roman" w:cs="Arial"/>
          <w:color w:val="000000"/>
          <w:szCs w:val="44"/>
          <w:lang w:eastAsia="bg-BG"/>
        </w:rPr>
        <w:t xml:space="preserve">10 </w:t>
      </w:r>
      <w:r w:rsidRPr="00450837">
        <w:rPr>
          <w:rFonts w:eastAsia="Times New Roman" w:cs="Arial"/>
          <w:color w:val="000000"/>
          <w:szCs w:val="44"/>
          <w:lang w:val="en-US"/>
        </w:rPr>
        <w:t>ml</w:t>
      </w:r>
      <w:r w:rsidRPr="00450837">
        <w:rPr>
          <w:rFonts w:eastAsia="Times New Roman" w:cs="Arial"/>
          <w:color w:val="000000"/>
          <w:szCs w:val="44"/>
          <w:lang w:val="ru-RU"/>
        </w:rPr>
        <w:t>/</w:t>
      </w:r>
      <w:r w:rsidRPr="00450837">
        <w:rPr>
          <w:rFonts w:eastAsia="Times New Roman" w:cs="Arial"/>
          <w:color w:val="000000"/>
          <w:szCs w:val="44"/>
          <w:lang w:val="en-US"/>
        </w:rPr>
        <w:t>min</w:t>
      </w:r>
      <w:r w:rsidRPr="00450837">
        <w:rPr>
          <w:rFonts w:eastAsia="Times New Roman" w:cs="Arial"/>
          <w:color w:val="000000"/>
          <w:szCs w:val="44"/>
          <w:lang w:val="ru-RU"/>
        </w:rPr>
        <w:t>/1</w:t>
      </w:r>
      <w:r w:rsidRPr="00450837">
        <w:rPr>
          <w:rFonts w:eastAsia="Times New Roman" w:cs="Arial"/>
          <w:color w:val="000000"/>
          <w:szCs w:val="44"/>
          <w:lang w:eastAsia="bg-BG"/>
        </w:rPr>
        <w:t>.73</w:t>
      </w:r>
      <w:r w:rsidRPr="00450837">
        <w:rPr>
          <w:rFonts w:eastAsia="Times New Roman" w:cs="Arial"/>
          <w:color w:val="000000"/>
          <w:szCs w:val="44"/>
          <w:lang w:val="en-US"/>
        </w:rPr>
        <w:t>m</w:t>
      </w:r>
      <w:r w:rsidRPr="00450837">
        <w:rPr>
          <w:rFonts w:eastAsia="Times New Roman" w:cs="Arial"/>
          <w:color w:val="000000"/>
          <w:szCs w:val="44"/>
          <w:vertAlign w:val="superscript"/>
          <w:lang w:val="ru-RU"/>
        </w:rPr>
        <w:t>2</w:t>
      </w:r>
      <w:r w:rsidRPr="00450837">
        <w:rPr>
          <w:rFonts w:eastAsia="Times New Roman" w:cs="Arial"/>
          <w:color w:val="000000"/>
          <w:szCs w:val="44"/>
          <w:lang w:eastAsia="bg-BG"/>
        </w:rPr>
        <w:t xml:space="preserve"> (вижте точка 4.2).</w:t>
      </w:r>
    </w:p>
    <w:p w14:paraId="14045AE2" w14:textId="77777777" w:rsidR="00450837" w:rsidRPr="00C23AA2" w:rsidRDefault="00450837" w:rsidP="00450837">
      <w:pPr>
        <w:spacing w:line="240" w:lineRule="auto"/>
        <w:rPr>
          <w:rFonts w:eastAsia="Times New Roman" w:cs="Arial"/>
          <w:color w:val="000000"/>
          <w:szCs w:val="44"/>
          <w:u w:val="single"/>
          <w:lang w:eastAsia="bg-BG"/>
        </w:rPr>
      </w:pPr>
    </w:p>
    <w:p w14:paraId="4AF225C6" w14:textId="42A0204F" w:rsidR="00450837" w:rsidRPr="00C23AA2" w:rsidRDefault="00450837" w:rsidP="00C23AA2">
      <w:pPr>
        <w:pStyle w:val="Heading3"/>
        <w:rPr>
          <w:rFonts w:eastAsia="Times New Roman"/>
          <w:sz w:val="12"/>
          <w:u w:val="single"/>
        </w:rPr>
      </w:pPr>
      <w:r w:rsidRPr="00C23AA2">
        <w:rPr>
          <w:rFonts w:eastAsia="Times New Roman"/>
          <w:u w:val="single"/>
          <w:lang w:eastAsia="bg-BG"/>
        </w:rPr>
        <w:lastRenderedPageBreak/>
        <w:t>Педиатрична популация</w:t>
      </w:r>
    </w:p>
    <w:p w14:paraId="46A00AD9" w14:textId="77777777"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При новородени и малки деца (0 до 3-месечна възраст), лекувани с дози от 10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 </w:t>
      </w:r>
      <w:r w:rsidRPr="00450837">
        <w:rPr>
          <w:rFonts w:eastAsia="Times New Roman" w:cs="Arial"/>
          <w:color w:val="000000"/>
          <w:szCs w:val="44"/>
          <w:lang w:val="en-US"/>
        </w:rPr>
        <w:t>kg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се прилагани чрез инфузия в продължение на един час период на всеки 8 часа Стах е 61.2 </w:t>
      </w:r>
      <w:proofErr w:type="spellStart"/>
      <w:r w:rsidRPr="00450837">
        <w:rPr>
          <w:rFonts w:eastAsia="Times New Roman" w:cs="Arial"/>
          <w:color w:val="000000"/>
          <w:szCs w:val="44"/>
          <w:lang w:val="en-US"/>
        </w:rPr>
        <w:t>μmol</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/1 (13.8 </w:t>
      </w:r>
      <w:proofErr w:type="spellStart"/>
      <w:r w:rsidRPr="00450837">
        <w:rPr>
          <w:rFonts w:eastAsia="Times New Roman" w:cs="Arial"/>
          <w:color w:val="000000"/>
          <w:szCs w:val="44"/>
          <w:lang w:val="en-US"/>
        </w:rPr>
        <w:t>μmol</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 </w:t>
      </w:r>
      <w:r w:rsidRPr="00450837">
        <w:rPr>
          <w:rFonts w:eastAsia="Times New Roman" w:cs="Arial"/>
          <w:color w:val="000000"/>
          <w:szCs w:val="44"/>
          <w:lang w:val="en-US"/>
        </w:rPr>
        <w:t>ml</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и </w:t>
      </w:r>
      <w:proofErr w:type="spellStart"/>
      <w:r w:rsidRPr="00450837">
        <w:rPr>
          <w:rFonts w:eastAsia="Times New Roman" w:cs="Arial"/>
          <w:color w:val="000000"/>
          <w:szCs w:val="44"/>
          <w:lang w:val="en-US"/>
        </w:rPr>
        <w:t>Cmin</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се 10.1 </w:t>
      </w:r>
      <w:proofErr w:type="spellStart"/>
      <w:r w:rsidRPr="00450837">
        <w:rPr>
          <w:rFonts w:eastAsia="Times New Roman" w:cs="Arial"/>
          <w:color w:val="000000"/>
          <w:szCs w:val="44"/>
          <w:lang w:val="en-US"/>
        </w:rPr>
        <w:t>μmol</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/1(2.3 </w:t>
      </w:r>
      <w:proofErr w:type="spellStart"/>
      <w:r w:rsidRPr="00450837">
        <w:rPr>
          <w:rFonts w:eastAsia="Times New Roman" w:cs="Arial"/>
          <w:color w:val="000000"/>
          <w:szCs w:val="44"/>
          <w:lang w:val="en-US"/>
        </w:rPr>
        <w:t>μg</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 </w:t>
      </w:r>
      <w:r w:rsidRPr="00450837">
        <w:rPr>
          <w:rFonts w:eastAsia="Times New Roman" w:cs="Arial"/>
          <w:color w:val="000000"/>
          <w:szCs w:val="44"/>
          <w:lang w:val="en-US"/>
        </w:rPr>
        <w:t>ml</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Терминалният плазмен полуживот при тези пациенти е 3.8 часа. Отделна група от новородени се обработва с 15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 </w:t>
      </w:r>
      <w:r w:rsidRPr="00450837">
        <w:rPr>
          <w:rFonts w:eastAsia="Times New Roman" w:cs="Arial"/>
          <w:color w:val="000000"/>
          <w:szCs w:val="44"/>
          <w:lang w:val="en-US"/>
        </w:rPr>
        <w:t>kg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на всеки 8 часа показват приблизително пропорционална на дозата се увеличава, с Стах 83.5 </w:t>
      </w:r>
      <w:proofErr w:type="spellStart"/>
      <w:r w:rsidRPr="00450837">
        <w:rPr>
          <w:rFonts w:eastAsia="Times New Roman" w:cs="Arial"/>
          <w:color w:val="000000"/>
          <w:szCs w:val="44"/>
          <w:lang w:val="en-US"/>
        </w:rPr>
        <w:t>μmol</w:t>
      </w:r>
      <w:proofErr w:type="spellEnd"/>
      <w:r w:rsidRPr="00450837">
        <w:rPr>
          <w:rFonts w:eastAsia="Times New Roman" w:cs="Arial"/>
          <w:color w:val="000000"/>
          <w:szCs w:val="44"/>
          <w:lang w:eastAsia="bg-BG"/>
        </w:rPr>
        <w:t xml:space="preserve"> /1 (18.8 </w:t>
      </w:r>
      <w:proofErr w:type="spellStart"/>
      <w:r w:rsidRPr="00450837">
        <w:rPr>
          <w:rFonts w:eastAsia="Times New Roman" w:cs="Arial"/>
          <w:color w:val="000000"/>
          <w:szCs w:val="44"/>
          <w:lang w:val="en-US"/>
        </w:rPr>
        <w:t>μg</w:t>
      </w:r>
      <w:proofErr w:type="spellEnd"/>
      <w:r w:rsidRPr="00450837">
        <w:rPr>
          <w:rFonts w:eastAsia="Times New Roman" w:cs="Arial"/>
          <w:color w:val="000000"/>
          <w:szCs w:val="44"/>
          <w:lang w:val="ru-RU"/>
        </w:rPr>
        <w:t xml:space="preserve">/ </w:t>
      </w:r>
      <w:r w:rsidRPr="00450837">
        <w:rPr>
          <w:rFonts w:eastAsia="Times New Roman" w:cs="Arial"/>
          <w:color w:val="000000"/>
          <w:szCs w:val="44"/>
          <w:lang w:val="en-US"/>
        </w:rPr>
        <w:t>ml</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и </w:t>
      </w:r>
      <w:proofErr w:type="spellStart"/>
      <w:r w:rsidRPr="00450837">
        <w:rPr>
          <w:rFonts w:eastAsia="Times New Roman" w:cs="Arial"/>
          <w:color w:val="000000"/>
          <w:szCs w:val="44"/>
          <w:lang w:val="en-US"/>
        </w:rPr>
        <w:t>Cmin</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на 14.1 </w:t>
      </w:r>
      <w:proofErr w:type="spellStart"/>
      <w:r w:rsidRPr="00450837">
        <w:rPr>
          <w:rFonts w:eastAsia="Times New Roman" w:cs="Arial"/>
          <w:color w:val="000000"/>
          <w:szCs w:val="44"/>
          <w:lang w:val="en-US"/>
        </w:rPr>
        <w:t>pmol</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/1 (3.2 </w:t>
      </w:r>
      <w:proofErr w:type="spellStart"/>
      <w:r w:rsidRPr="00450837">
        <w:rPr>
          <w:rFonts w:eastAsia="Times New Roman" w:cs="Arial"/>
          <w:color w:val="000000"/>
          <w:szCs w:val="44"/>
          <w:lang w:val="en-US"/>
        </w:rPr>
        <w:t>μg</w:t>
      </w:r>
      <w:proofErr w:type="spellEnd"/>
      <w:r w:rsidRPr="00450837">
        <w:rPr>
          <w:rFonts w:eastAsia="Times New Roman" w:cs="Arial"/>
          <w:color w:val="000000"/>
          <w:szCs w:val="44"/>
          <w:lang w:val="ru-RU"/>
        </w:rPr>
        <w:t>/</w:t>
      </w:r>
      <w:r w:rsidRPr="00450837">
        <w:rPr>
          <w:rFonts w:eastAsia="Times New Roman" w:cs="Arial"/>
          <w:color w:val="000000"/>
          <w:szCs w:val="44"/>
          <w:lang w:val="en-US"/>
        </w:rPr>
        <w:t>ml</w:t>
      </w:r>
      <w:r w:rsidRPr="00450837">
        <w:rPr>
          <w:rFonts w:eastAsia="Times New Roman" w:cs="Arial"/>
          <w:color w:val="000000"/>
          <w:szCs w:val="44"/>
          <w:lang w:val="ru-RU"/>
        </w:rPr>
        <w:t>).</w:t>
      </w:r>
    </w:p>
    <w:p w14:paraId="48B77F6C" w14:textId="77777777" w:rsidR="00450837" w:rsidRPr="00C23AA2" w:rsidRDefault="00450837" w:rsidP="00450837">
      <w:pPr>
        <w:spacing w:line="240" w:lineRule="auto"/>
        <w:rPr>
          <w:rFonts w:eastAsia="Times New Roman" w:cs="Arial"/>
          <w:color w:val="000000"/>
          <w:szCs w:val="44"/>
          <w:lang w:eastAsia="bg-BG"/>
        </w:rPr>
      </w:pPr>
    </w:p>
    <w:p w14:paraId="04CD1295" w14:textId="4459EBCA" w:rsidR="00450837" w:rsidRPr="00450837" w:rsidRDefault="00450837" w:rsidP="00450837">
      <w:pPr>
        <w:spacing w:line="240" w:lineRule="auto"/>
        <w:rPr>
          <w:rFonts w:eastAsia="Times New Roman" w:cs="Arial"/>
          <w:sz w:val="12"/>
          <w:szCs w:val="24"/>
        </w:rPr>
      </w:pPr>
      <w:r w:rsidRPr="00450837">
        <w:rPr>
          <w:rFonts w:eastAsia="Times New Roman" w:cs="Arial"/>
          <w:color w:val="000000"/>
          <w:szCs w:val="44"/>
          <w:lang w:eastAsia="bg-BG"/>
        </w:rPr>
        <w:t xml:space="preserve">Това е възможно да се определи средните пикови плазмени стойности на 5.7 до </w:t>
      </w:r>
      <w:r w:rsidRPr="00450837">
        <w:rPr>
          <w:rFonts w:eastAsia="Times New Roman" w:cs="Arial"/>
          <w:color w:val="000000"/>
          <w:szCs w:val="44"/>
          <w:lang w:val="ru-RU"/>
        </w:rPr>
        <w:t>15.1</w:t>
      </w:r>
      <w:proofErr w:type="spellStart"/>
      <w:r w:rsidRPr="00450837">
        <w:rPr>
          <w:rFonts w:eastAsia="Times New Roman" w:cs="Arial"/>
          <w:color w:val="000000"/>
          <w:szCs w:val="44"/>
          <w:lang w:val="en-US"/>
        </w:rPr>
        <w:t>μmol</w:t>
      </w:r>
      <w:proofErr w:type="spellEnd"/>
      <w:r w:rsidRPr="00450837">
        <w:rPr>
          <w:rFonts w:eastAsia="Times New Roman" w:cs="Arial"/>
          <w:color w:val="000000"/>
          <w:szCs w:val="44"/>
          <w:lang w:val="ru-RU"/>
        </w:rPr>
        <w:t>/</w:t>
      </w:r>
      <w:r w:rsidRPr="00450837">
        <w:rPr>
          <w:rFonts w:eastAsia="Times New Roman" w:cs="Arial"/>
          <w:color w:val="000000"/>
          <w:szCs w:val="44"/>
          <w:lang w:eastAsia="bg-BG"/>
        </w:rPr>
        <w:t xml:space="preserve">1 при имунокомпрометирани деца на възраст между 3-11 години, които са дадени орално ацикловир в дози от 400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(еквивалентно на 300-650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ацикловир / m2 </w:t>
      </w:r>
      <w:r w:rsidRPr="00450837">
        <w:rPr>
          <w:rFonts w:eastAsia="Times New Roman" w:cs="Arial"/>
          <w:color w:val="000000"/>
          <w:szCs w:val="44"/>
          <w:lang w:val="en-US"/>
        </w:rPr>
        <w:t>BSA</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5 пъти дневно. При кърмачета на възраст от 1 до 6 седмици, в пиковите плазмени стойности от 17.3 и 8.6 </w:t>
      </w:r>
      <w:proofErr w:type="spellStart"/>
      <w:r w:rsidRPr="00450837">
        <w:rPr>
          <w:rFonts w:eastAsia="Times New Roman" w:cs="Arial"/>
          <w:color w:val="000000"/>
          <w:szCs w:val="44"/>
          <w:lang w:val="en-US"/>
        </w:rPr>
        <w:t>μmol</w:t>
      </w:r>
      <w:proofErr w:type="spellEnd"/>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 </w:t>
      </w:r>
      <w:r w:rsidRPr="00450837">
        <w:rPr>
          <w:rFonts w:eastAsia="Times New Roman" w:cs="Arial"/>
          <w:color w:val="000000"/>
          <w:szCs w:val="44"/>
          <w:lang w:val="en-US"/>
        </w:rPr>
        <w:t>L</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респекгивно-телно са измерени след перорален прием на 600 </w:t>
      </w:r>
      <w:r w:rsidRPr="00450837">
        <w:rPr>
          <w:rFonts w:eastAsia="Times New Roman" w:cs="Arial"/>
          <w:color w:val="000000"/>
          <w:szCs w:val="44"/>
          <w:lang w:val="en-US"/>
        </w:rPr>
        <w:t>mg</w:t>
      </w:r>
      <w:r w:rsidRPr="00450837">
        <w:rPr>
          <w:rFonts w:eastAsia="Times New Roman" w:cs="Arial"/>
          <w:color w:val="000000"/>
          <w:szCs w:val="44"/>
          <w:lang w:val="ru-RU"/>
        </w:rPr>
        <w:t xml:space="preserve"> </w:t>
      </w:r>
      <w:r w:rsidRPr="00450837">
        <w:rPr>
          <w:rFonts w:eastAsia="Times New Roman" w:cs="Arial"/>
          <w:color w:val="000000"/>
          <w:szCs w:val="44"/>
          <w:lang w:eastAsia="bg-BG"/>
        </w:rPr>
        <w:t xml:space="preserve">ацикловир / </w:t>
      </w:r>
      <w:r w:rsidRPr="00450837">
        <w:rPr>
          <w:rFonts w:eastAsia="Times New Roman" w:cs="Arial"/>
          <w:color w:val="000000"/>
          <w:szCs w:val="44"/>
          <w:lang w:val="en-US"/>
        </w:rPr>
        <w:t>m</w:t>
      </w:r>
      <w:r w:rsidRPr="00450837">
        <w:rPr>
          <w:rFonts w:eastAsia="Times New Roman" w:cs="Arial"/>
          <w:color w:val="000000"/>
          <w:szCs w:val="44"/>
          <w:vertAlign w:val="superscript"/>
          <w:lang w:val="ru-RU"/>
        </w:rPr>
        <w:t>2</w:t>
      </w:r>
      <w:r w:rsidRPr="00450837">
        <w:rPr>
          <w:rFonts w:eastAsia="Times New Roman" w:cs="Arial"/>
          <w:color w:val="000000"/>
          <w:szCs w:val="44"/>
          <w:lang w:val="ru-RU"/>
        </w:rPr>
        <w:t xml:space="preserve"> </w:t>
      </w:r>
      <w:r w:rsidRPr="00450837">
        <w:rPr>
          <w:rFonts w:eastAsia="Times New Roman" w:cs="Arial"/>
          <w:color w:val="000000"/>
          <w:szCs w:val="44"/>
          <w:lang w:val="en-US"/>
        </w:rPr>
        <w:t>BSA</w:t>
      </w:r>
      <w:r w:rsidRPr="00450837">
        <w:rPr>
          <w:rFonts w:eastAsia="Times New Roman" w:cs="Arial"/>
          <w:color w:val="000000"/>
          <w:szCs w:val="44"/>
          <w:lang w:val="ru-RU"/>
        </w:rPr>
        <w:t xml:space="preserve"> </w:t>
      </w:r>
      <w:r w:rsidRPr="00450837">
        <w:rPr>
          <w:rFonts w:eastAsia="Times New Roman" w:cs="Arial"/>
          <w:color w:val="000000"/>
          <w:szCs w:val="44"/>
          <w:lang w:eastAsia="bg-BG"/>
        </w:rPr>
        <w:t>на всеки 6 часа.</w:t>
      </w:r>
      <w:r w:rsidRPr="00450837">
        <w:rPr>
          <w:rFonts w:eastAsia="Times New Roman" w:cs="Arial"/>
          <w:color w:val="000000"/>
          <w:szCs w:val="44"/>
          <w:lang w:eastAsia="bg-BG"/>
        </w:rPr>
        <w:tab/>
      </w:r>
      <w:r w:rsidRPr="00450837">
        <w:rPr>
          <w:rFonts w:eastAsia="Times New Roman" w:cs="Arial"/>
          <w:color w:val="000000"/>
          <w:szCs w:val="44"/>
          <w:lang w:eastAsia="bg-BG"/>
        </w:rPr>
        <w:tab/>
      </w:r>
    </w:p>
    <w:p w14:paraId="06B63E28" w14:textId="32E47B9D" w:rsidR="00450837" w:rsidRDefault="00450837" w:rsidP="00450837">
      <w:pPr>
        <w:rPr>
          <w:rFonts w:eastAsia="Times New Roman" w:cs="Arial"/>
          <w:color w:val="000000"/>
          <w:szCs w:val="44"/>
          <w:lang w:val="ru-RU"/>
        </w:rPr>
      </w:pPr>
      <w:r w:rsidRPr="00C23AA2">
        <w:rPr>
          <w:rFonts w:eastAsia="Times New Roman" w:cs="Arial"/>
          <w:color w:val="000000"/>
          <w:szCs w:val="44"/>
          <w:lang w:eastAsia="bg-BG"/>
        </w:rPr>
        <w:t>При деца с потисната имунна защита от 3 до 11 години, приемали перорално по</w:t>
      </w:r>
      <w:r w:rsidRPr="00C23AA2">
        <w:rPr>
          <w:rFonts w:eastAsia="Times New Roman" w:cs="Arial"/>
          <w:color w:val="000000"/>
          <w:szCs w:val="44"/>
          <w:lang w:val="ru-RU"/>
        </w:rPr>
        <w:t xml:space="preserve"> 400</w:t>
      </w:r>
      <w:r w:rsidRPr="00C23AA2">
        <w:rPr>
          <w:rFonts w:eastAsia="Times New Roman" w:cs="Arial"/>
          <w:color w:val="000000"/>
          <w:szCs w:val="44"/>
          <w:lang w:val="en-US"/>
        </w:rPr>
        <w:t>mg</w:t>
      </w:r>
      <w:r w:rsidRPr="00C23AA2">
        <w:rPr>
          <w:rFonts w:eastAsia="Times New Roman" w:cs="Arial"/>
          <w:color w:val="000000"/>
          <w:szCs w:val="44"/>
          <w:lang w:eastAsia="bg-BG"/>
        </w:rPr>
        <w:t xml:space="preserve"> ацикловир (еквивалентни на 300-650 </w:t>
      </w:r>
      <w:r w:rsidRPr="00C23AA2">
        <w:rPr>
          <w:rFonts w:eastAsia="Times New Roman" w:cs="Arial"/>
          <w:color w:val="000000"/>
          <w:szCs w:val="44"/>
          <w:lang w:val="en-US"/>
        </w:rPr>
        <w:t>mg</w:t>
      </w:r>
      <w:r w:rsidRPr="00C23AA2">
        <w:rPr>
          <w:rFonts w:eastAsia="Times New Roman" w:cs="Arial"/>
          <w:color w:val="000000"/>
          <w:szCs w:val="44"/>
          <w:lang w:val="ru-RU"/>
        </w:rPr>
        <w:t>/</w:t>
      </w:r>
      <w:r w:rsidRPr="00C23AA2">
        <w:rPr>
          <w:rFonts w:eastAsia="Times New Roman" w:cs="Arial"/>
          <w:color w:val="000000"/>
          <w:szCs w:val="44"/>
          <w:lang w:val="en-US"/>
        </w:rPr>
        <w:t>m</w:t>
      </w:r>
      <w:r w:rsidRPr="00C23AA2">
        <w:rPr>
          <w:rFonts w:eastAsia="Times New Roman" w:cs="Arial"/>
          <w:color w:val="000000"/>
          <w:szCs w:val="44"/>
          <w:vertAlign w:val="superscript"/>
          <w:lang w:val="ru-RU"/>
        </w:rPr>
        <w:t>2</w:t>
      </w:r>
      <w:r w:rsidRPr="00C23AA2">
        <w:rPr>
          <w:rFonts w:eastAsia="Times New Roman" w:cs="Arial"/>
          <w:color w:val="000000"/>
          <w:szCs w:val="44"/>
          <w:lang w:val="ru-RU"/>
        </w:rPr>
        <w:t xml:space="preserve"> </w:t>
      </w:r>
      <w:r w:rsidRPr="00C23AA2">
        <w:rPr>
          <w:rFonts w:eastAsia="Times New Roman" w:cs="Arial"/>
          <w:color w:val="000000"/>
          <w:szCs w:val="44"/>
          <w:lang w:val="en-US"/>
        </w:rPr>
        <w:t>acyclovir</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5 пъти дневно, са установени средни плазмени концентрации 5.7 -15.1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val="ru-RU"/>
        </w:rPr>
        <w:t xml:space="preserve">/1. </w:t>
      </w:r>
      <w:r w:rsidRPr="00C23AA2">
        <w:rPr>
          <w:rFonts w:eastAsia="Times New Roman" w:cs="Arial"/>
          <w:color w:val="000000"/>
          <w:szCs w:val="44"/>
          <w:lang w:eastAsia="bg-BG"/>
        </w:rPr>
        <w:t xml:space="preserve">Бебета (1-6 седмици), приемали перорално по 600 </w:t>
      </w:r>
      <w:r w:rsidRPr="00C23AA2">
        <w:rPr>
          <w:rFonts w:eastAsia="Times New Roman" w:cs="Arial"/>
          <w:color w:val="000000"/>
          <w:szCs w:val="44"/>
          <w:lang w:val="en-US"/>
        </w:rPr>
        <w:t>mg</w:t>
      </w:r>
      <w:r w:rsidRPr="00C23AA2">
        <w:rPr>
          <w:rFonts w:eastAsia="Times New Roman" w:cs="Arial"/>
          <w:color w:val="000000"/>
          <w:szCs w:val="44"/>
          <w:lang w:val="ru-RU"/>
        </w:rPr>
        <w:t>/</w:t>
      </w:r>
      <w:r w:rsidRPr="00C23AA2">
        <w:rPr>
          <w:rFonts w:eastAsia="Times New Roman" w:cs="Arial"/>
          <w:color w:val="000000"/>
          <w:szCs w:val="44"/>
          <w:lang w:val="en-US"/>
        </w:rPr>
        <w:t>m</w:t>
      </w:r>
      <w:r w:rsidRPr="00C23AA2">
        <w:rPr>
          <w:rFonts w:eastAsia="Times New Roman" w:cs="Arial"/>
          <w:color w:val="000000"/>
          <w:szCs w:val="44"/>
          <w:vertAlign w:val="superscript"/>
          <w:lang w:val="ru-RU"/>
        </w:rPr>
        <w:t>2</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ацикловир на всеки 6 часа, са имали най-високи плазмени концентрации 17.3 или 8.6 </w:t>
      </w:r>
      <w:proofErr w:type="spellStart"/>
      <w:r w:rsidRPr="00C23AA2">
        <w:rPr>
          <w:rFonts w:eastAsia="Times New Roman" w:cs="Arial"/>
          <w:color w:val="000000"/>
          <w:szCs w:val="44"/>
          <w:lang w:val="en-US"/>
        </w:rPr>
        <w:t>μmol</w:t>
      </w:r>
      <w:proofErr w:type="spellEnd"/>
      <w:r w:rsidRPr="00C23AA2">
        <w:rPr>
          <w:rFonts w:eastAsia="Times New Roman" w:cs="Arial"/>
          <w:color w:val="000000"/>
          <w:szCs w:val="44"/>
          <w:lang w:val="ru-RU"/>
        </w:rPr>
        <w:t>/1.</w:t>
      </w:r>
    </w:p>
    <w:p w14:paraId="1D1FC1FE" w14:textId="6F872273" w:rsidR="00C23AA2" w:rsidRDefault="00C23AA2" w:rsidP="00450837">
      <w:pPr>
        <w:rPr>
          <w:rFonts w:cs="Arial"/>
          <w:sz w:val="10"/>
          <w:lang w:val="ru-RU"/>
        </w:rPr>
      </w:pPr>
    </w:p>
    <w:p w14:paraId="2E418E57" w14:textId="77777777" w:rsidR="00C23AA2" w:rsidRPr="00C23AA2" w:rsidRDefault="00C23AA2" w:rsidP="00450837">
      <w:pPr>
        <w:rPr>
          <w:rFonts w:cs="Arial"/>
          <w:sz w:val="10"/>
        </w:rPr>
      </w:pPr>
    </w:p>
    <w:p w14:paraId="028E658A" w14:textId="23FE5D20" w:rsidR="00395555" w:rsidRDefault="002C50EE" w:rsidP="008A6AF2">
      <w:pPr>
        <w:pStyle w:val="Heading2"/>
      </w:pPr>
      <w:r>
        <w:t>5.3. Предклинични данни за безопасност</w:t>
      </w:r>
    </w:p>
    <w:p w14:paraId="70474CF8" w14:textId="7A60B6B5" w:rsidR="00C23AA2" w:rsidRDefault="00C23AA2" w:rsidP="00C23AA2"/>
    <w:p w14:paraId="33B7313C" w14:textId="77777777" w:rsidR="00C23AA2" w:rsidRPr="00C23AA2" w:rsidRDefault="00C23AA2" w:rsidP="00C23AA2">
      <w:pPr>
        <w:spacing w:line="240" w:lineRule="auto"/>
        <w:rPr>
          <w:rFonts w:eastAsia="Times New Roman" w:cs="Arial"/>
          <w:sz w:val="12"/>
          <w:szCs w:val="24"/>
        </w:rPr>
      </w:pPr>
      <w:r w:rsidRPr="00C23AA2">
        <w:rPr>
          <w:rFonts w:eastAsia="Times New Roman" w:cs="Arial"/>
          <w:color w:val="000000"/>
          <w:szCs w:val="44"/>
          <w:lang w:eastAsia="bg-BG"/>
        </w:rPr>
        <w:t xml:space="preserve">Пероралната </w:t>
      </w:r>
      <w:r w:rsidRPr="00C23AA2">
        <w:rPr>
          <w:rFonts w:eastAsia="Times New Roman" w:cs="Arial"/>
          <w:color w:val="000000"/>
          <w:szCs w:val="44"/>
          <w:lang w:val="en-US"/>
        </w:rPr>
        <w:t>LD</w:t>
      </w:r>
      <w:r w:rsidRPr="00C23AA2">
        <w:rPr>
          <w:rFonts w:eastAsia="Times New Roman" w:cs="Arial"/>
          <w:color w:val="000000"/>
          <w:szCs w:val="44"/>
          <w:vertAlign w:val="subscript"/>
          <w:lang w:val="ru-RU"/>
        </w:rPr>
        <w:t>50</w:t>
      </w:r>
      <w:r w:rsidRPr="00C23AA2">
        <w:rPr>
          <w:rFonts w:eastAsia="Times New Roman" w:cs="Arial"/>
          <w:color w:val="000000"/>
          <w:szCs w:val="44"/>
          <w:lang w:val="ru-RU"/>
        </w:rPr>
        <w:t xml:space="preserve"> </w:t>
      </w:r>
      <w:r w:rsidRPr="00C23AA2">
        <w:rPr>
          <w:rFonts w:eastAsia="Times New Roman" w:cs="Arial"/>
          <w:color w:val="000000"/>
          <w:szCs w:val="44"/>
          <w:lang w:eastAsia="bg-BG"/>
        </w:rPr>
        <w:t>на ацикловир при мишки и плъхове не може да се определи, тъй като дози, по-високи от 10</w:t>
      </w:r>
      <w:r w:rsidRPr="00C23AA2">
        <w:rPr>
          <w:rFonts w:eastAsia="Times New Roman" w:cs="Arial"/>
          <w:color w:val="000000"/>
          <w:szCs w:val="44"/>
          <w:lang w:val="en-US"/>
        </w:rPr>
        <w:t>g</w:t>
      </w:r>
      <w:r w:rsidRPr="00C23AA2">
        <w:rPr>
          <w:rFonts w:eastAsia="Times New Roman" w:cs="Arial"/>
          <w:color w:val="000000"/>
          <w:szCs w:val="44"/>
          <w:lang w:val="ru-RU"/>
        </w:rPr>
        <w:t>/</w:t>
      </w:r>
      <w:r w:rsidRPr="00C23AA2">
        <w:rPr>
          <w:rFonts w:eastAsia="Times New Roman" w:cs="Arial"/>
          <w:color w:val="000000"/>
          <w:szCs w:val="44"/>
          <w:lang w:val="en-US"/>
        </w:rPr>
        <w:t>kg</w:t>
      </w:r>
      <w:r w:rsidRPr="00C23AA2">
        <w:rPr>
          <w:rFonts w:eastAsia="Times New Roman" w:cs="Arial"/>
          <w:color w:val="000000"/>
          <w:szCs w:val="44"/>
          <w:lang w:val="ru-RU"/>
        </w:rPr>
        <w:t xml:space="preserve"> </w:t>
      </w:r>
      <w:r w:rsidRPr="00C23AA2">
        <w:rPr>
          <w:rFonts w:eastAsia="Times New Roman" w:cs="Arial"/>
          <w:color w:val="000000"/>
          <w:szCs w:val="44"/>
          <w:lang w:eastAsia="bg-BG"/>
        </w:rPr>
        <w:t xml:space="preserve">(мишки) или </w:t>
      </w:r>
      <w:r w:rsidRPr="00C23AA2">
        <w:rPr>
          <w:rFonts w:eastAsia="Times New Roman" w:cs="Arial"/>
          <w:color w:val="000000"/>
          <w:szCs w:val="44"/>
          <w:lang w:val="ru-RU"/>
        </w:rPr>
        <w:t>20</w:t>
      </w:r>
      <w:r w:rsidRPr="00C23AA2">
        <w:rPr>
          <w:rFonts w:eastAsia="Times New Roman" w:cs="Arial"/>
          <w:color w:val="000000"/>
          <w:szCs w:val="44"/>
          <w:lang w:val="en-US"/>
        </w:rPr>
        <w:t>g</w:t>
      </w:r>
      <w:r w:rsidRPr="00C23AA2">
        <w:rPr>
          <w:rFonts w:eastAsia="Times New Roman" w:cs="Arial"/>
          <w:color w:val="000000"/>
          <w:szCs w:val="44"/>
          <w:lang w:val="ru-RU"/>
        </w:rPr>
        <w:t>/</w:t>
      </w:r>
      <w:r w:rsidRPr="00C23AA2">
        <w:rPr>
          <w:rFonts w:eastAsia="Times New Roman" w:cs="Arial"/>
          <w:color w:val="000000"/>
          <w:szCs w:val="44"/>
          <w:lang w:val="en-US"/>
        </w:rPr>
        <w:t>kg</w:t>
      </w:r>
      <w:r w:rsidRPr="00C23AA2">
        <w:rPr>
          <w:rFonts w:eastAsia="Times New Roman" w:cs="Arial"/>
          <w:color w:val="000000"/>
          <w:szCs w:val="44"/>
          <w:lang w:val="ru-RU"/>
        </w:rPr>
        <w:t xml:space="preserve"> </w:t>
      </w:r>
      <w:r w:rsidRPr="00C23AA2">
        <w:rPr>
          <w:rFonts w:eastAsia="Times New Roman" w:cs="Arial"/>
          <w:color w:val="000000"/>
          <w:szCs w:val="44"/>
          <w:lang w:eastAsia="bg-BG"/>
        </w:rPr>
        <w:t>(плъхове), не могат да се превишават по физиологични причини и животните преживяват при това дозиране.</w:t>
      </w:r>
    </w:p>
    <w:p w14:paraId="15E89AC0" w14:textId="77777777" w:rsidR="00C23AA2" w:rsidRPr="00C23AA2" w:rsidRDefault="00C23AA2" w:rsidP="00C23AA2">
      <w:pPr>
        <w:spacing w:line="240" w:lineRule="auto"/>
        <w:rPr>
          <w:rFonts w:eastAsia="Times New Roman" w:cs="Arial"/>
          <w:sz w:val="12"/>
          <w:szCs w:val="24"/>
        </w:rPr>
      </w:pPr>
      <w:r w:rsidRPr="00C23AA2">
        <w:rPr>
          <w:rFonts w:eastAsia="Times New Roman" w:cs="Arial"/>
          <w:color w:val="000000"/>
          <w:szCs w:val="44"/>
          <w:lang w:eastAsia="bg-BG"/>
        </w:rPr>
        <w:t>Проучванията при хронична токсичност не показват възможност за възникване на нежелани ефекти при хора.</w:t>
      </w:r>
    </w:p>
    <w:p w14:paraId="178563F6" w14:textId="77777777" w:rsidR="00C23AA2" w:rsidRPr="00C23AA2" w:rsidRDefault="00C23AA2" w:rsidP="00C23AA2">
      <w:pPr>
        <w:spacing w:line="240" w:lineRule="auto"/>
        <w:rPr>
          <w:rFonts w:eastAsia="Times New Roman" w:cs="Arial"/>
          <w:color w:val="000000"/>
          <w:szCs w:val="44"/>
          <w:lang w:eastAsia="bg-BG"/>
        </w:rPr>
      </w:pPr>
    </w:p>
    <w:p w14:paraId="73588E49" w14:textId="77777777" w:rsidR="00C23AA2" w:rsidRPr="00C23AA2" w:rsidRDefault="00C23AA2" w:rsidP="00C23AA2">
      <w:pPr>
        <w:spacing w:line="240" w:lineRule="auto"/>
        <w:rPr>
          <w:rFonts w:eastAsia="Times New Roman" w:cs="Arial"/>
          <w:sz w:val="12"/>
          <w:szCs w:val="24"/>
        </w:rPr>
      </w:pPr>
      <w:r w:rsidRPr="00C23AA2">
        <w:rPr>
          <w:rFonts w:eastAsia="Times New Roman" w:cs="Arial"/>
          <w:color w:val="000000"/>
          <w:szCs w:val="44"/>
          <w:lang w:eastAsia="bg-BG"/>
        </w:rPr>
        <w:t>Ацикловир не предизвиква никакви мутагенни, тератогенни ефекти или канцерогенен потенциал при ин виво и ин витро проучвания.</w:t>
      </w:r>
    </w:p>
    <w:p w14:paraId="27577005" w14:textId="77777777" w:rsidR="00C23AA2" w:rsidRPr="00C23AA2" w:rsidRDefault="00C23AA2" w:rsidP="00C23AA2">
      <w:pPr>
        <w:spacing w:line="240" w:lineRule="auto"/>
        <w:rPr>
          <w:rFonts w:eastAsia="Times New Roman" w:cs="Arial"/>
          <w:i/>
          <w:iCs/>
          <w:color w:val="000000"/>
          <w:szCs w:val="44"/>
          <w:lang w:eastAsia="bg-BG"/>
        </w:rPr>
      </w:pPr>
    </w:p>
    <w:p w14:paraId="60714010" w14:textId="77777777" w:rsidR="00C23AA2" w:rsidRPr="00C23AA2" w:rsidRDefault="00C23AA2" w:rsidP="00C23AA2">
      <w:pPr>
        <w:spacing w:line="240" w:lineRule="auto"/>
        <w:rPr>
          <w:rFonts w:eastAsia="Times New Roman" w:cs="Arial"/>
          <w:sz w:val="12"/>
          <w:szCs w:val="24"/>
        </w:rPr>
      </w:pPr>
      <w:r w:rsidRPr="00C23AA2">
        <w:rPr>
          <w:rFonts w:eastAsia="Times New Roman" w:cs="Arial"/>
          <w:i/>
          <w:iCs/>
          <w:color w:val="000000"/>
          <w:szCs w:val="44"/>
          <w:lang w:eastAsia="bg-BG"/>
        </w:rPr>
        <w:t>Фертилипгет</w:t>
      </w:r>
    </w:p>
    <w:p w14:paraId="73B39441" w14:textId="77777777" w:rsidR="00C23AA2" w:rsidRPr="00C23AA2" w:rsidRDefault="00C23AA2" w:rsidP="00C23AA2">
      <w:pPr>
        <w:spacing w:line="240" w:lineRule="auto"/>
        <w:rPr>
          <w:rFonts w:eastAsia="Times New Roman" w:cs="Arial"/>
          <w:sz w:val="12"/>
          <w:szCs w:val="24"/>
        </w:rPr>
      </w:pPr>
      <w:r w:rsidRPr="00C23AA2">
        <w:rPr>
          <w:rFonts w:eastAsia="Times New Roman" w:cs="Arial"/>
          <w:color w:val="000000"/>
          <w:szCs w:val="44"/>
          <w:lang w:eastAsia="bg-BG"/>
        </w:rPr>
        <w:t>Странични въздействия върху сперматогенезата при плъхове и кучета от породата бийгъл в по- голямата си част са обратими и са наблюдавани само при дози, значително надвишаващи нормалното терапевтично ниво.</w:t>
      </w:r>
    </w:p>
    <w:p w14:paraId="4B4B77C6" w14:textId="77777777" w:rsidR="00C23AA2" w:rsidRPr="00C23AA2" w:rsidRDefault="00C23AA2" w:rsidP="00C23AA2">
      <w:pPr>
        <w:spacing w:line="240" w:lineRule="auto"/>
        <w:rPr>
          <w:rFonts w:eastAsia="Times New Roman" w:cs="Arial"/>
          <w:sz w:val="12"/>
          <w:szCs w:val="24"/>
        </w:rPr>
      </w:pPr>
      <w:r w:rsidRPr="00C23AA2">
        <w:rPr>
          <w:rFonts w:eastAsia="Times New Roman" w:cs="Arial"/>
          <w:color w:val="000000"/>
          <w:szCs w:val="44"/>
          <w:lang w:eastAsia="bg-BG"/>
        </w:rPr>
        <w:t xml:space="preserve">Проучвания върху две поколения мишки след перорално приемане на ацикловир (до 450 </w:t>
      </w:r>
      <w:r w:rsidRPr="00C23AA2">
        <w:rPr>
          <w:rFonts w:eastAsia="Times New Roman" w:cs="Arial"/>
          <w:color w:val="000000"/>
          <w:szCs w:val="44"/>
          <w:lang w:val="en-US"/>
        </w:rPr>
        <w:t>mg</w:t>
      </w:r>
      <w:r w:rsidRPr="00C23AA2">
        <w:rPr>
          <w:rFonts w:eastAsia="Times New Roman" w:cs="Arial"/>
          <w:color w:val="000000"/>
          <w:szCs w:val="44"/>
          <w:lang w:val="ru-RU"/>
        </w:rPr>
        <w:t>/</w:t>
      </w:r>
      <w:r w:rsidRPr="00C23AA2">
        <w:rPr>
          <w:rFonts w:eastAsia="Times New Roman" w:cs="Arial"/>
          <w:color w:val="000000"/>
          <w:szCs w:val="44"/>
          <w:lang w:val="en-US"/>
        </w:rPr>
        <w:t>kg</w:t>
      </w:r>
      <w:r w:rsidRPr="00C23AA2">
        <w:rPr>
          <w:rFonts w:eastAsia="Times New Roman" w:cs="Arial"/>
          <w:color w:val="000000"/>
          <w:szCs w:val="44"/>
          <w:lang w:val="ru-RU"/>
        </w:rPr>
        <w:t xml:space="preserve"> </w:t>
      </w:r>
      <w:r w:rsidRPr="00C23AA2">
        <w:rPr>
          <w:rFonts w:eastAsia="Times New Roman" w:cs="Arial"/>
          <w:color w:val="000000"/>
          <w:szCs w:val="44"/>
          <w:lang w:eastAsia="bg-BG"/>
        </w:rPr>
        <w:t>ацикловир на ден) не показват въздействие върху фертилитета.</w:t>
      </w:r>
    </w:p>
    <w:p w14:paraId="6B4E3E41" w14:textId="77777777" w:rsidR="00C23AA2" w:rsidRPr="00C23AA2" w:rsidRDefault="00C23AA2" w:rsidP="00C23AA2"/>
    <w:p w14:paraId="6A7820AB" w14:textId="636DE351" w:rsidR="008A6AF2" w:rsidRDefault="002C50EE" w:rsidP="00395555">
      <w:pPr>
        <w:pStyle w:val="Heading1"/>
      </w:pPr>
      <w:r>
        <w:t>7. ПРИТЕЖАТЕЛ НА РАЗРЕШЕНИЕТО ЗА УПОТРЕБА</w:t>
      </w:r>
    </w:p>
    <w:p w14:paraId="09B6861A" w14:textId="3A434799" w:rsidR="00C23AA2" w:rsidRDefault="00C23AA2" w:rsidP="00C23AA2"/>
    <w:p w14:paraId="75260A2D" w14:textId="77777777" w:rsidR="00C23AA2" w:rsidRPr="00C23AA2" w:rsidRDefault="00C23AA2" w:rsidP="00C23AA2">
      <w:pPr>
        <w:rPr>
          <w:sz w:val="24"/>
          <w:szCs w:val="24"/>
          <w:lang w:val="en-US"/>
        </w:rPr>
      </w:pPr>
      <w:r w:rsidRPr="00C23AA2">
        <w:rPr>
          <w:lang w:val="en-US"/>
        </w:rPr>
        <w:t>ALIUD® PHARMA GmbH</w:t>
      </w:r>
    </w:p>
    <w:p w14:paraId="4F615C6E" w14:textId="77777777" w:rsidR="00C23AA2" w:rsidRPr="00C23AA2" w:rsidRDefault="00C23AA2" w:rsidP="00C23AA2">
      <w:pPr>
        <w:rPr>
          <w:sz w:val="24"/>
          <w:szCs w:val="24"/>
          <w:lang w:val="en-US"/>
        </w:rPr>
      </w:pPr>
      <w:r w:rsidRPr="00C23AA2">
        <w:rPr>
          <w:lang w:val="en-US"/>
        </w:rPr>
        <w:t>Gottlieb-Daimler-</w:t>
      </w:r>
      <w:proofErr w:type="spellStart"/>
      <w:r w:rsidRPr="00C23AA2">
        <w:rPr>
          <w:lang w:val="en-US"/>
        </w:rPr>
        <w:t>StraBe</w:t>
      </w:r>
      <w:proofErr w:type="spellEnd"/>
      <w:r w:rsidRPr="00C23AA2">
        <w:rPr>
          <w:lang w:val="en-US"/>
        </w:rPr>
        <w:t xml:space="preserve"> </w:t>
      </w:r>
      <w:r w:rsidRPr="00C23AA2">
        <w:rPr>
          <w:lang w:eastAsia="bg-BG"/>
        </w:rPr>
        <w:t>19</w:t>
      </w:r>
    </w:p>
    <w:p w14:paraId="6523BA01" w14:textId="77777777" w:rsidR="00C23AA2" w:rsidRPr="00C23AA2" w:rsidRDefault="00C23AA2" w:rsidP="00C23AA2">
      <w:pPr>
        <w:rPr>
          <w:sz w:val="24"/>
          <w:szCs w:val="24"/>
          <w:lang w:val="ru-RU"/>
        </w:rPr>
      </w:pPr>
      <w:r w:rsidRPr="00C23AA2">
        <w:rPr>
          <w:lang w:eastAsia="bg-BG"/>
        </w:rPr>
        <w:t xml:space="preserve">89150 </w:t>
      </w:r>
      <w:proofErr w:type="spellStart"/>
      <w:r w:rsidRPr="00C23AA2">
        <w:rPr>
          <w:lang w:val="en-US"/>
        </w:rPr>
        <w:t>Laichingen</w:t>
      </w:r>
      <w:proofErr w:type="spellEnd"/>
    </w:p>
    <w:p w14:paraId="26A3B499" w14:textId="3C4783B0" w:rsidR="00C23AA2" w:rsidRPr="00C23AA2" w:rsidRDefault="00C23AA2" w:rsidP="00C23AA2">
      <w:pPr>
        <w:rPr>
          <w:sz w:val="24"/>
          <w:szCs w:val="24"/>
          <w:lang w:val="ru-RU"/>
        </w:rPr>
      </w:pPr>
      <w:r>
        <w:rPr>
          <w:lang w:eastAsia="bg-BG"/>
        </w:rPr>
        <w:t>Г</w:t>
      </w:r>
      <w:r w:rsidRPr="00C23AA2">
        <w:rPr>
          <w:lang w:eastAsia="bg-BG"/>
        </w:rPr>
        <w:t>ермания</w:t>
      </w:r>
    </w:p>
    <w:p w14:paraId="421E7C3E" w14:textId="71540B33" w:rsidR="00C23AA2" w:rsidRPr="00C23AA2" w:rsidRDefault="00C23AA2" w:rsidP="00C23AA2">
      <w:r w:rsidRPr="00C23AA2">
        <w:rPr>
          <w:lang w:val="en-US"/>
        </w:rPr>
        <w:t>E</w:t>
      </w:r>
      <w:r w:rsidRPr="00C23AA2">
        <w:rPr>
          <w:lang w:val="ru-RU"/>
        </w:rPr>
        <w:t>-</w:t>
      </w:r>
      <w:r w:rsidRPr="00C23AA2">
        <w:rPr>
          <w:lang w:val="en-US"/>
        </w:rPr>
        <w:t>mail</w:t>
      </w:r>
      <w:r w:rsidRPr="00C23AA2">
        <w:rPr>
          <w:lang w:val="ru-RU"/>
        </w:rPr>
        <w:t xml:space="preserve">: </w:t>
      </w:r>
      <w:hyperlink r:id="rId5" w:history="1">
        <w:r w:rsidRPr="00C23AA2">
          <w:rPr>
            <w:lang w:val="en-US"/>
          </w:rPr>
          <w:t>info</w:t>
        </w:r>
        <w:r w:rsidRPr="00C23AA2">
          <w:rPr>
            <w:lang w:val="ru-RU"/>
          </w:rPr>
          <w:t>@</w:t>
        </w:r>
        <w:proofErr w:type="spellStart"/>
        <w:r w:rsidRPr="00C23AA2">
          <w:rPr>
            <w:lang w:val="en-US"/>
          </w:rPr>
          <w:t>aliud</w:t>
        </w:r>
        <w:proofErr w:type="spellEnd"/>
        <w:r w:rsidRPr="00C23AA2">
          <w:rPr>
            <w:lang w:val="ru-RU"/>
          </w:rPr>
          <w:t>.</w:t>
        </w:r>
        <w:r w:rsidRPr="00C23AA2">
          <w:rPr>
            <w:lang w:val="en-US"/>
          </w:rPr>
          <w:t>de</w:t>
        </w:r>
      </w:hyperlink>
    </w:p>
    <w:p w14:paraId="04840D59" w14:textId="1E93BD86" w:rsidR="002C50EE" w:rsidRDefault="002C50EE" w:rsidP="00395555">
      <w:pPr>
        <w:pStyle w:val="Heading1"/>
      </w:pPr>
      <w:r>
        <w:lastRenderedPageBreak/>
        <w:t>8. НОМЕР НА РАЗРЕШЕНИЕТО ЗА УПОТРЕБА</w:t>
      </w:r>
    </w:p>
    <w:p w14:paraId="24DA7534" w14:textId="6BCF1638" w:rsidR="00C23AA2" w:rsidRDefault="00C23AA2" w:rsidP="00C23AA2"/>
    <w:p w14:paraId="02944361" w14:textId="4C50581A" w:rsidR="00C23AA2" w:rsidRPr="00C23AA2" w:rsidRDefault="00C23AA2" w:rsidP="00C23AA2">
      <w:r>
        <w:t>Регистрационен номер: 9700252</w:t>
      </w:r>
    </w:p>
    <w:p w14:paraId="2CCB5832" w14:textId="4150C539" w:rsidR="007C605B" w:rsidRDefault="002C50EE" w:rsidP="007C605B">
      <w:pPr>
        <w:pStyle w:val="Heading1"/>
      </w:pPr>
      <w:r>
        <w:t>9. ДАТА НА ПЪРВО РАЗРЕШАВАНЕ/ПОДНОВЯВАНЕ НА РАЗРЕШЕНИЕТО ЗА УПОТРЕБА</w:t>
      </w:r>
    </w:p>
    <w:p w14:paraId="52AAE523" w14:textId="012549DC" w:rsidR="00C23AA2" w:rsidRDefault="00C23AA2" w:rsidP="00C23AA2"/>
    <w:p w14:paraId="0A59E51C" w14:textId="77777777" w:rsidR="00C23AA2" w:rsidRPr="00C23AA2" w:rsidRDefault="00C23AA2" w:rsidP="00C23AA2">
      <w:pPr>
        <w:rPr>
          <w:sz w:val="24"/>
          <w:szCs w:val="24"/>
        </w:rPr>
      </w:pPr>
      <w:r w:rsidRPr="00C23AA2">
        <w:rPr>
          <w:lang w:eastAsia="bg-BG"/>
        </w:rPr>
        <w:t>Дата на първо разрешаване: 22.04.1997</w:t>
      </w:r>
    </w:p>
    <w:p w14:paraId="0E8F1DBE" w14:textId="35B71DEB" w:rsidR="00C23AA2" w:rsidRPr="00C23AA2" w:rsidRDefault="00C23AA2" w:rsidP="00C23AA2">
      <w:r w:rsidRPr="00C23AA2">
        <w:rPr>
          <w:lang w:eastAsia="bg-BG"/>
        </w:rPr>
        <w:t>Дата на последно подновяване: 05.08.2008</w:t>
      </w:r>
    </w:p>
    <w:p w14:paraId="0E9D0119" w14:textId="0245C6D7" w:rsidR="002C50EE" w:rsidRDefault="002C50EE" w:rsidP="002C50EE">
      <w:pPr>
        <w:pStyle w:val="Heading1"/>
      </w:pPr>
      <w:r>
        <w:t>10. ДАТА НА АКТУАЛИЗИРАНЕ НА ТЕКСТА</w:t>
      </w:r>
    </w:p>
    <w:bookmarkEnd w:id="0"/>
    <w:p w14:paraId="43FB38A2" w14:textId="58CEEAEF" w:rsidR="007C605B" w:rsidRPr="003E3126" w:rsidRDefault="00C23AA2" w:rsidP="00C23AA2">
      <w:r>
        <w:t>Юни 2020</w:t>
      </w:r>
      <w:bookmarkStart w:id="7" w:name="_GoBack"/>
      <w:bookmarkEnd w:id="7"/>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FF496C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6BF4237"/>
    <w:multiLevelType w:val="hybridMultilevel"/>
    <w:tmpl w:val="E89E745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0"/>
  </w:num>
  <w:num w:numId="28">
    <w:abstractNumId w:val="6"/>
  </w:num>
  <w:num w:numId="29">
    <w:abstractNumId w:val="20"/>
  </w:num>
  <w:num w:numId="30">
    <w:abstractNumId w:val="31"/>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50837"/>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23AA2"/>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iud.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15396</Characters>
  <Application>Microsoft Office Word</Application>
  <DocSecurity>0</DocSecurity>
  <Lines>128</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2021-12-02T11:42:00Z</dcterms:created>
  <dcterms:modified xsi:type="dcterms:W3CDTF">2021-12-02T11:42:00Z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