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185E7F54" w:rsidR="00F53FB7" w:rsidRDefault="00DD466D" w:rsidP="00A93499">
      <w:pPr>
        <w:pStyle w:val="Heading1"/>
      </w:pPr>
      <w:r>
        <w:t>1.ИМЕ НА ЛЕКАРСТВЕНИЯ ПРОДУКТ</w:t>
      </w:r>
    </w:p>
    <w:p w14:paraId="7C478916" w14:textId="5F630D72" w:rsidR="00D500B2" w:rsidRDefault="00D500B2" w:rsidP="00D500B2"/>
    <w:p w14:paraId="4D1A2374" w14:textId="77777777" w:rsidR="00D500B2" w:rsidRPr="00D500B2" w:rsidRDefault="00D500B2" w:rsidP="00D500B2">
      <w:pPr>
        <w:rPr>
          <w:sz w:val="24"/>
          <w:szCs w:val="24"/>
          <w:lang w:eastAsia="bg-BG"/>
        </w:rPr>
      </w:pPr>
      <w:r w:rsidRPr="00D500B2">
        <w:rPr>
          <w:lang w:eastAsia="bg-BG"/>
        </w:rPr>
        <w:t xml:space="preserve">Ацикловир АЛ 800 </w:t>
      </w:r>
      <w:r w:rsidRPr="00D500B2">
        <w:rPr>
          <w:lang w:val="en-US"/>
        </w:rPr>
        <w:t xml:space="preserve">mg </w:t>
      </w:r>
      <w:r w:rsidRPr="00D500B2">
        <w:rPr>
          <w:lang w:eastAsia="bg-BG"/>
        </w:rPr>
        <w:t>таблетки</w:t>
      </w:r>
    </w:p>
    <w:p w14:paraId="7ECEF66C" w14:textId="77777777" w:rsidR="00D500B2" w:rsidRPr="00D500B2" w:rsidRDefault="00D500B2" w:rsidP="00D500B2">
      <w:pPr>
        <w:rPr>
          <w:sz w:val="24"/>
          <w:szCs w:val="24"/>
          <w:lang w:eastAsia="bg-BG"/>
        </w:rPr>
      </w:pPr>
      <w:proofErr w:type="spellStart"/>
      <w:r w:rsidRPr="00D500B2">
        <w:rPr>
          <w:lang w:val="en-US"/>
        </w:rPr>
        <w:t>Aciclovir</w:t>
      </w:r>
      <w:proofErr w:type="spellEnd"/>
      <w:r w:rsidRPr="00D500B2">
        <w:rPr>
          <w:lang w:val="en-US"/>
        </w:rPr>
        <w:t xml:space="preserve"> AL </w:t>
      </w:r>
      <w:r w:rsidRPr="00D500B2">
        <w:rPr>
          <w:lang w:eastAsia="bg-BG"/>
        </w:rPr>
        <w:t xml:space="preserve">800 </w:t>
      </w:r>
      <w:r w:rsidRPr="00D500B2">
        <w:rPr>
          <w:lang w:val="en-US"/>
        </w:rPr>
        <w:t>mg tablets</w:t>
      </w:r>
    </w:p>
    <w:p w14:paraId="7607C360" w14:textId="77777777" w:rsidR="00D500B2" w:rsidRPr="00D500B2" w:rsidRDefault="00D500B2" w:rsidP="00D500B2"/>
    <w:p w14:paraId="0DF202EC" w14:textId="24A286BC" w:rsidR="00F53FB7" w:rsidRDefault="00DD466D" w:rsidP="00A93499">
      <w:pPr>
        <w:pStyle w:val="Heading1"/>
      </w:pPr>
      <w:r>
        <w:t>2. КАЧЕСТВЕН И КОЛИЧЕСТВЕН СЪСТАВ</w:t>
      </w:r>
    </w:p>
    <w:p w14:paraId="0A17A2D5" w14:textId="47CE7243" w:rsidR="00D500B2" w:rsidRDefault="00D500B2" w:rsidP="00D500B2"/>
    <w:p w14:paraId="03FCC3F6" w14:textId="77777777" w:rsidR="00D500B2" w:rsidRPr="00D500B2" w:rsidRDefault="00D500B2" w:rsidP="00D500B2">
      <w:pPr>
        <w:rPr>
          <w:sz w:val="24"/>
          <w:szCs w:val="24"/>
          <w:lang w:eastAsia="bg-BG"/>
        </w:rPr>
      </w:pPr>
      <w:r w:rsidRPr="00D500B2">
        <w:rPr>
          <w:lang w:eastAsia="bg-BG"/>
        </w:rPr>
        <w:t xml:space="preserve">Активно вещество: </w:t>
      </w:r>
      <w:r w:rsidRPr="00D500B2">
        <w:rPr>
          <w:b/>
          <w:bCs/>
          <w:lang w:eastAsia="bg-BG"/>
        </w:rPr>
        <w:t xml:space="preserve">Ацикловир </w:t>
      </w:r>
      <w:r w:rsidRPr="00D500B2">
        <w:rPr>
          <w:i/>
          <w:iCs/>
          <w:lang w:val="en-US"/>
        </w:rPr>
        <w:t>(</w:t>
      </w:r>
      <w:proofErr w:type="spellStart"/>
      <w:r w:rsidRPr="00D500B2">
        <w:rPr>
          <w:i/>
          <w:iCs/>
          <w:lang w:val="en-US"/>
        </w:rPr>
        <w:t>aciclovir</w:t>
      </w:r>
      <w:proofErr w:type="spellEnd"/>
      <w:r w:rsidRPr="00D500B2">
        <w:rPr>
          <w:i/>
          <w:iCs/>
          <w:lang w:val="en-US"/>
        </w:rPr>
        <w:t>).</w:t>
      </w:r>
    </w:p>
    <w:p w14:paraId="12F6648D" w14:textId="77777777" w:rsidR="00D500B2" w:rsidRPr="00D500B2" w:rsidRDefault="00D500B2" w:rsidP="00D500B2">
      <w:pPr>
        <w:rPr>
          <w:sz w:val="24"/>
          <w:szCs w:val="24"/>
          <w:lang w:eastAsia="bg-BG"/>
        </w:rPr>
      </w:pPr>
      <w:r w:rsidRPr="00D500B2">
        <w:rPr>
          <w:lang w:eastAsia="bg-BG"/>
        </w:rPr>
        <w:t xml:space="preserve">Всяка таблетка съдържа: 800 </w:t>
      </w:r>
      <w:r w:rsidRPr="00D500B2">
        <w:rPr>
          <w:lang w:val="en-US"/>
        </w:rPr>
        <w:t xml:space="preserve">mg </w:t>
      </w:r>
      <w:r w:rsidRPr="00D500B2">
        <w:rPr>
          <w:lang w:eastAsia="bg-BG"/>
        </w:rPr>
        <w:t xml:space="preserve">ацикловир </w:t>
      </w:r>
      <w:r w:rsidRPr="00D500B2">
        <w:rPr>
          <w:i/>
          <w:iCs/>
          <w:lang w:val="en-US"/>
        </w:rPr>
        <w:t>(</w:t>
      </w:r>
      <w:proofErr w:type="spellStart"/>
      <w:r w:rsidRPr="00D500B2">
        <w:rPr>
          <w:i/>
          <w:iCs/>
          <w:lang w:val="en-US"/>
        </w:rPr>
        <w:t>aciclovir</w:t>
      </w:r>
      <w:proofErr w:type="spellEnd"/>
      <w:r w:rsidRPr="00D500B2">
        <w:rPr>
          <w:i/>
          <w:iCs/>
          <w:lang w:val="en-US"/>
        </w:rPr>
        <w:t>).</w:t>
      </w:r>
    </w:p>
    <w:p w14:paraId="2FA34BD1" w14:textId="77777777" w:rsidR="00D500B2" w:rsidRDefault="00D500B2" w:rsidP="00D500B2">
      <w:pPr>
        <w:rPr>
          <w:lang w:eastAsia="bg-BG"/>
        </w:rPr>
      </w:pPr>
    </w:p>
    <w:p w14:paraId="117C20D6" w14:textId="3FEAD968" w:rsidR="00D500B2" w:rsidRPr="00D500B2" w:rsidRDefault="00D500B2" w:rsidP="00D500B2">
      <w:pPr>
        <w:rPr>
          <w:sz w:val="24"/>
          <w:szCs w:val="24"/>
          <w:lang w:eastAsia="bg-BG"/>
        </w:rPr>
      </w:pPr>
      <w:r w:rsidRPr="00D500B2">
        <w:rPr>
          <w:lang w:eastAsia="bg-BG"/>
        </w:rPr>
        <w:t>Помощно вещество с известно действие:</w:t>
      </w:r>
    </w:p>
    <w:p w14:paraId="62045A47" w14:textId="2AAB69DB" w:rsidR="00D500B2" w:rsidRPr="00D500B2" w:rsidRDefault="00D500B2" w:rsidP="00D500B2">
      <w:pPr>
        <w:rPr>
          <w:sz w:val="24"/>
          <w:szCs w:val="24"/>
          <w:lang w:eastAsia="bg-BG"/>
        </w:rPr>
      </w:pPr>
      <w:r w:rsidRPr="00D500B2">
        <w:rPr>
          <w:lang w:eastAsia="bg-BG"/>
        </w:rPr>
        <w:t xml:space="preserve">Всяка таблетка съдържа 2,73 </w:t>
      </w:r>
      <w:r w:rsidRPr="00D500B2">
        <w:rPr>
          <w:lang w:val="en-US"/>
        </w:rPr>
        <w:t xml:space="preserve">mg </w:t>
      </w:r>
      <w:r w:rsidRPr="00D500B2">
        <w:rPr>
          <w:lang w:eastAsia="bg-BG"/>
        </w:rPr>
        <w:t>натрий.</w:t>
      </w:r>
    </w:p>
    <w:p w14:paraId="5602469C" w14:textId="77777777" w:rsidR="00D500B2" w:rsidRPr="00D500B2" w:rsidRDefault="00D500B2" w:rsidP="00D500B2"/>
    <w:p w14:paraId="4CABB9ED" w14:textId="7E3DBBAC" w:rsidR="00F53FB7" w:rsidRDefault="00DD466D" w:rsidP="00A93499">
      <w:pPr>
        <w:pStyle w:val="Heading1"/>
      </w:pPr>
      <w:r>
        <w:t>3. ЛЕКАРСТВЕНА ФОРМА</w:t>
      </w:r>
    </w:p>
    <w:p w14:paraId="2155AF3F" w14:textId="6F30BDCE" w:rsidR="00D500B2" w:rsidRDefault="00D500B2" w:rsidP="00D500B2"/>
    <w:p w14:paraId="6DA6A201" w14:textId="77777777" w:rsidR="00D500B2" w:rsidRPr="00D500B2" w:rsidRDefault="00D500B2" w:rsidP="00D500B2">
      <w:pPr>
        <w:rPr>
          <w:sz w:val="24"/>
          <w:szCs w:val="24"/>
          <w:lang w:eastAsia="bg-BG"/>
        </w:rPr>
      </w:pPr>
      <w:r w:rsidRPr="00D500B2">
        <w:rPr>
          <w:lang w:eastAsia="bg-BG"/>
        </w:rPr>
        <w:t>Таблетка.</w:t>
      </w:r>
    </w:p>
    <w:p w14:paraId="24AE7C0F" w14:textId="2CA1F8A0" w:rsidR="00D500B2" w:rsidRPr="00D500B2" w:rsidRDefault="00D500B2" w:rsidP="00D500B2">
      <w:r w:rsidRPr="00D500B2">
        <w:rPr>
          <w:lang w:eastAsia="bg-BG"/>
        </w:rPr>
        <w:t>Бели, кръгли, таблетки с делителна черта от двете страни. Делителната черта е само за улесняване на счупването с цел по-лесно поглъщане, а не за разделяне на равни дози.</w:t>
      </w:r>
    </w:p>
    <w:p w14:paraId="490FC2C4" w14:textId="6899DE43" w:rsidR="002C50EE" w:rsidRDefault="002C50EE" w:rsidP="002C50EE">
      <w:pPr>
        <w:pStyle w:val="Heading1"/>
      </w:pPr>
      <w:r>
        <w:t>4. КЛИНИЧНИ ДАННИ</w:t>
      </w:r>
    </w:p>
    <w:p w14:paraId="1AEF7FB6" w14:textId="7D9B70D2" w:rsidR="00A428B7" w:rsidRDefault="002C50EE" w:rsidP="00340E8D">
      <w:pPr>
        <w:pStyle w:val="Heading2"/>
      </w:pPr>
      <w:r>
        <w:t>4.1. Терапевтични показания</w:t>
      </w:r>
    </w:p>
    <w:p w14:paraId="4F441815" w14:textId="025CB7C6" w:rsidR="00D500B2" w:rsidRDefault="00D500B2" w:rsidP="00D500B2"/>
    <w:p w14:paraId="7ABF0875" w14:textId="602D7160" w:rsidR="00D500B2" w:rsidRPr="00D500B2" w:rsidRDefault="00D500B2" w:rsidP="00D500B2">
      <w:pPr>
        <w:pStyle w:val="ListParagraph"/>
        <w:numPr>
          <w:ilvl w:val="0"/>
          <w:numId w:val="40"/>
        </w:numPr>
        <w:spacing w:line="240" w:lineRule="auto"/>
        <w:rPr>
          <w:rFonts w:eastAsia="Times New Roman" w:cs="Arial"/>
          <w:lang w:eastAsia="bg-BG"/>
        </w:rPr>
      </w:pPr>
      <w:r w:rsidRPr="00D500B2">
        <w:rPr>
          <w:rFonts w:eastAsia="Times New Roman" w:cs="Arial"/>
          <w:color w:val="000000"/>
          <w:lang w:eastAsia="bg-BG"/>
        </w:rPr>
        <w:t>Херпес зостер</w:t>
      </w:r>
    </w:p>
    <w:p w14:paraId="0DB45CC7"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Ацикловир не е показан за лечение на херпес симплекс вирусни инфекции при новородени и деца под 3-месечна възраст, както и при имунокомпрометирани деца с тежки херпес-симплекс вирусни инфекции.</w:t>
      </w:r>
    </w:p>
    <w:p w14:paraId="3A02C7C0" w14:textId="77777777" w:rsidR="00D500B2" w:rsidRPr="00D500B2" w:rsidRDefault="00D500B2" w:rsidP="00D500B2"/>
    <w:p w14:paraId="4EC58B12" w14:textId="152D88B8" w:rsidR="00A428B7" w:rsidRDefault="002C50EE" w:rsidP="00340E8D">
      <w:pPr>
        <w:pStyle w:val="Heading2"/>
      </w:pPr>
      <w:r>
        <w:t>4.2. Дозировка и начин на приложение</w:t>
      </w:r>
    </w:p>
    <w:p w14:paraId="0EE2B823" w14:textId="2ABEE085" w:rsidR="00D500B2" w:rsidRDefault="00D500B2" w:rsidP="00D500B2"/>
    <w:p w14:paraId="2FA66D63"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u w:val="single"/>
          <w:lang w:eastAsia="bg-BG"/>
        </w:rPr>
        <w:t>Възрастни</w:t>
      </w:r>
    </w:p>
    <w:p w14:paraId="1EBF2B96"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u w:val="single"/>
          <w:lang w:eastAsia="bg-BG"/>
        </w:rPr>
        <w:t>Херпес зостер</w:t>
      </w:r>
    </w:p>
    <w:p w14:paraId="26F7CAF2"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800 </w:t>
      </w:r>
      <w:r w:rsidRPr="00D500B2">
        <w:rPr>
          <w:rFonts w:eastAsia="Times New Roman" w:cs="Arial"/>
          <w:color w:val="000000"/>
          <w:lang w:val="en-US"/>
        </w:rPr>
        <w:t xml:space="preserve">mg </w:t>
      </w:r>
      <w:r w:rsidRPr="00D500B2">
        <w:rPr>
          <w:rFonts w:eastAsia="Times New Roman" w:cs="Arial"/>
          <w:color w:val="000000"/>
          <w:lang w:eastAsia="bg-BG"/>
        </w:rPr>
        <w:t>ацикловир 5 пъти дневно на всеки 4 часа</w:t>
      </w:r>
    </w:p>
    <w:p w14:paraId="3063852D" w14:textId="77777777" w:rsidR="00D500B2" w:rsidRDefault="00D500B2" w:rsidP="00D500B2">
      <w:pPr>
        <w:spacing w:line="240" w:lineRule="auto"/>
        <w:rPr>
          <w:rFonts w:eastAsia="Times New Roman" w:cs="Arial"/>
          <w:b/>
          <w:bCs/>
          <w:color w:val="000000"/>
          <w:lang w:eastAsia="bg-BG"/>
        </w:rPr>
      </w:pPr>
      <w:bookmarkStart w:id="1" w:name="bookmark0"/>
    </w:p>
    <w:p w14:paraId="0B317B43" w14:textId="7034B07C"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Пациенти в старческа възраст</w:t>
      </w:r>
      <w:bookmarkEnd w:id="1"/>
    </w:p>
    <w:p w14:paraId="0452688C"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При пациенти в старческа възраст е по-вероятно да настъпи отклонение в бъбречната функция и дозата съответно трябва да бъде адаптирана (вижте по-долу „Дозировка при бъбречно увреждане). Трябва да се осигури достатъчен прием на течности при пациенти в старческа възраст, които приемат високи дози ацикловир.</w:t>
      </w:r>
    </w:p>
    <w:p w14:paraId="09D7C1FA" w14:textId="77777777" w:rsidR="00D500B2" w:rsidRDefault="00D500B2" w:rsidP="00D500B2">
      <w:pPr>
        <w:spacing w:line="240" w:lineRule="auto"/>
        <w:rPr>
          <w:rFonts w:eastAsia="Times New Roman" w:cs="Arial"/>
          <w:b/>
          <w:bCs/>
          <w:i/>
          <w:iCs/>
          <w:color w:val="000000"/>
          <w:lang w:eastAsia="bg-BG"/>
        </w:rPr>
      </w:pPr>
    </w:p>
    <w:p w14:paraId="688186F8" w14:textId="74F8DA33" w:rsidR="00D500B2" w:rsidRPr="00D500B2" w:rsidRDefault="00D500B2" w:rsidP="00D500B2">
      <w:pPr>
        <w:spacing w:line="240" w:lineRule="auto"/>
        <w:rPr>
          <w:rFonts w:eastAsia="Times New Roman" w:cs="Arial"/>
          <w:lang w:eastAsia="bg-BG"/>
        </w:rPr>
      </w:pPr>
      <w:r w:rsidRPr="00D500B2">
        <w:rPr>
          <w:rFonts w:eastAsia="Times New Roman" w:cs="Arial"/>
          <w:b/>
          <w:bCs/>
          <w:i/>
          <w:iCs/>
          <w:color w:val="000000"/>
          <w:lang w:eastAsia="bg-BG"/>
        </w:rPr>
        <w:t>Пациенти с бъбречно увреждане</w:t>
      </w:r>
    </w:p>
    <w:p w14:paraId="77B824EE" w14:textId="35395994" w:rsidR="00D500B2" w:rsidRDefault="00D500B2" w:rsidP="00D500B2">
      <w:pPr>
        <w:rPr>
          <w:rFonts w:eastAsia="Times New Roman" w:cs="Arial"/>
          <w:color w:val="000000"/>
          <w:lang w:eastAsia="bg-BG"/>
        </w:rPr>
      </w:pPr>
      <w:r w:rsidRPr="00D500B2">
        <w:rPr>
          <w:rFonts w:eastAsia="Times New Roman" w:cs="Arial"/>
          <w:color w:val="000000"/>
          <w:lang w:eastAsia="bg-BG"/>
        </w:rPr>
        <w:lastRenderedPageBreak/>
        <w:t>При пациенти с бъбречно увреждане предписването на ацикловир трябва да</w:t>
      </w:r>
      <w:r w:rsidRPr="00D500B2">
        <w:rPr>
          <w:rFonts w:eastAsia="Times New Roman" w:cs="Arial"/>
          <w:color w:val="000000"/>
          <w:lang w:val="en-US"/>
        </w:rPr>
        <w:t xml:space="preserve"> </w:t>
      </w:r>
      <w:r w:rsidRPr="00D500B2">
        <w:rPr>
          <w:rFonts w:eastAsia="Times New Roman" w:cs="Arial"/>
          <w:color w:val="000000"/>
          <w:lang w:eastAsia="bg-BG"/>
        </w:rPr>
        <w:t>става с повишено внимание и да се осигури необходим прием на течности. При пациенти с отклонения в бъбречната функция, се препоръчват следните дозови режими:</w:t>
      </w:r>
    </w:p>
    <w:p w14:paraId="742E60B9" w14:textId="324190DE" w:rsidR="00D500B2" w:rsidRDefault="00D500B2" w:rsidP="00D500B2">
      <w:pPr>
        <w:rPr>
          <w:rFonts w:eastAsia="Times New Roman" w:cs="Arial"/>
          <w:color w:val="000000"/>
          <w:lang w:eastAsia="bg-BG"/>
        </w:rPr>
      </w:pPr>
    </w:p>
    <w:p w14:paraId="731CEF95" w14:textId="3D35C17C" w:rsidR="00D500B2" w:rsidRDefault="00D500B2" w:rsidP="00D500B2">
      <w:pPr>
        <w:rPr>
          <w:u w:val="single"/>
          <w:lang w:eastAsia="bg-BG"/>
        </w:rPr>
      </w:pPr>
      <w:r w:rsidRPr="00D500B2">
        <w:rPr>
          <w:u w:val="single"/>
          <w:lang w:eastAsia="bg-BG"/>
        </w:rPr>
        <w:t>Дозировка при бъбречно увреждане:</w:t>
      </w:r>
    </w:p>
    <w:tbl>
      <w:tblPr>
        <w:tblStyle w:val="TableGrid"/>
        <w:tblW w:w="0" w:type="auto"/>
        <w:tblLook w:val="04A0" w:firstRow="1" w:lastRow="0" w:firstColumn="1" w:lastColumn="0" w:noHBand="0" w:noVBand="1"/>
      </w:tblPr>
      <w:tblGrid>
        <w:gridCol w:w="1876"/>
        <w:gridCol w:w="1886"/>
        <w:gridCol w:w="1856"/>
        <w:gridCol w:w="1856"/>
        <w:gridCol w:w="1876"/>
      </w:tblGrid>
      <w:tr w:rsidR="00D500B2" w14:paraId="28B7E4D4" w14:textId="77777777" w:rsidTr="00760B71">
        <w:tc>
          <w:tcPr>
            <w:tcW w:w="1900" w:type="dxa"/>
          </w:tcPr>
          <w:p w14:paraId="0C5A31A7" w14:textId="647DE5E8" w:rsidR="00D500B2" w:rsidRPr="00D500B2" w:rsidRDefault="00D500B2" w:rsidP="00D500B2">
            <w:pPr>
              <w:rPr>
                <w:u w:val="single"/>
                <w:lang w:eastAsia="bg-BG"/>
              </w:rPr>
            </w:pPr>
            <w:r w:rsidRPr="00D500B2">
              <w:rPr>
                <w:u w:val="single"/>
              </w:rPr>
              <w:t>Показание</w:t>
            </w:r>
          </w:p>
        </w:tc>
        <w:tc>
          <w:tcPr>
            <w:tcW w:w="1900" w:type="dxa"/>
          </w:tcPr>
          <w:p w14:paraId="7B2F8B69" w14:textId="4CE9D929" w:rsidR="00D500B2" w:rsidRPr="00D500B2" w:rsidRDefault="00D500B2" w:rsidP="00D500B2">
            <w:pPr>
              <w:rPr>
                <w:u w:val="single"/>
                <w:lang w:eastAsia="bg-BG"/>
              </w:rPr>
            </w:pPr>
            <w:r w:rsidRPr="00D500B2">
              <w:rPr>
                <w:u w:val="single"/>
              </w:rPr>
              <w:t xml:space="preserve">Креатининов клирънс </w:t>
            </w:r>
            <w:r w:rsidRPr="00D500B2">
              <w:rPr>
                <w:lang w:val="en-US"/>
              </w:rPr>
              <w:t>(ml/min/1</w:t>
            </w:r>
            <w:r w:rsidRPr="00D500B2">
              <w:t xml:space="preserve">.73 </w:t>
            </w:r>
            <w:r w:rsidRPr="00D500B2">
              <w:rPr>
                <w:lang w:val="en-US"/>
              </w:rPr>
              <w:t>m</w:t>
            </w:r>
            <w:r w:rsidRPr="00D500B2">
              <w:rPr>
                <w:vertAlign w:val="superscript"/>
              </w:rPr>
              <w:t>2</w:t>
            </w:r>
            <w:r w:rsidRPr="00D500B2">
              <w:t>)</w:t>
            </w:r>
          </w:p>
        </w:tc>
        <w:tc>
          <w:tcPr>
            <w:tcW w:w="3800" w:type="dxa"/>
            <w:gridSpan w:val="2"/>
          </w:tcPr>
          <w:p w14:paraId="40348DC5" w14:textId="423CD89B" w:rsidR="00D500B2" w:rsidRPr="00D500B2" w:rsidRDefault="00D500B2" w:rsidP="00D500B2">
            <w:pPr>
              <w:rPr>
                <w:u w:val="single"/>
                <w:lang w:eastAsia="bg-BG"/>
              </w:rPr>
            </w:pPr>
            <w:r w:rsidRPr="00D500B2">
              <w:rPr>
                <w:u w:val="single"/>
              </w:rPr>
              <w:t>Серумен креатинин</w:t>
            </w:r>
            <w:r w:rsidRPr="00D500B2">
              <w:t xml:space="preserve"> (</w:t>
            </w:r>
            <w:proofErr w:type="spellStart"/>
            <w:r w:rsidRPr="00D500B2">
              <w:rPr>
                <w:lang w:val="en-US"/>
              </w:rPr>
              <w:t>umol</w:t>
            </w:r>
            <w:proofErr w:type="spellEnd"/>
            <w:r w:rsidRPr="00D500B2">
              <w:rPr>
                <w:lang w:val="en-US"/>
              </w:rPr>
              <w:t xml:space="preserve">/L </w:t>
            </w:r>
            <w:r w:rsidRPr="00D500B2">
              <w:t xml:space="preserve">или </w:t>
            </w:r>
            <w:r w:rsidRPr="00D500B2">
              <w:rPr>
                <w:lang w:val="en-US"/>
              </w:rPr>
              <w:t>mg/dl)</w:t>
            </w:r>
          </w:p>
        </w:tc>
        <w:tc>
          <w:tcPr>
            <w:tcW w:w="1900" w:type="dxa"/>
          </w:tcPr>
          <w:p w14:paraId="3B2F82C0" w14:textId="334E7C90" w:rsidR="00D500B2" w:rsidRPr="00D500B2" w:rsidRDefault="00D500B2" w:rsidP="00D500B2">
            <w:pPr>
              <w:rPr>
                <w:u w:val="single"/>
                <w:lang w:eastAsia="bg-BG"/>
              </w:rPr>
            </w:pPr>
            <w:r w:rsidRPr="00D500B2">
              <w:rPr>
                <w:u w:val="single"/>
              </w:rPr>
              <w:t>Доза ацикловир</w:t>
            </w:r>
          </w:p>
        </w:tc>
      </w:tr>
      <w:tr w:rsidR="00D500B2" w14:paraId="60BA62F1" w14:textId="77777777" w:rsidTr="00D500B2">
        <w:tc>
          <w:tcPr>
            <w:tcW w:w="1900" w:type="dxa"/>
          </w:tcPr>
          <w:p w14:paraId="31D27421" w14:textId="77777777" w:rsidR="00D500B2" w:rsidRPr="00D500B2" w:rsidRDefault="00D500B2" w:rsidP="00D500B2">
            <w:pPr>
              <w:rPr>
                <w:u w:val="single"/>
                <w:lang w:eastAsia="bg-BG"/>
              </w:rPr>
            </w:pPr>
          </w:p>
        </w:tc>
        <w:tc>
          <w:tcPr>
            <w:tcW w:w="1900" w:type="dxa"/>
          </w:tcPr>
          <w:p w14:paraId="71BDEB07" w14:textId="77777777" w:rsidR="00D500B2" w:rsidRPr="00D500B2" w:rsidRDefault="00D500B2" w:rsidP="00D500B2">
            <w:pPr>
              <w:rPr>
                <w:u w:val="single"/>
                <w:lang w:eastAsia="bg-BG"/>
              </w:rPr>
            </w:pPr>
          </w:p>
        </w:tc>
        <w:tc>
          <w:tcPr>
            <w:tcW w:w="1900" w:type="dxa"/>
          </w:tcPr>
          <w:p w14:paraId="1DEE71F7" w14:textId="5484224A" w:rsidR="00D500B2" w:rsidRPr="00D500B2" w:rsidRDefault="00D500B2" w:rsidP="00D500B2">
            <w:pPr>
              <w:rPr>
                <w:u w:val="single"/>
                <w:lang w:eastAsia="bg-BG"/>
              </w:rPr>
            </w:pPr>
            <w:r w:rsidRPr="00D500B2">
              <w:rPr>
                <w:u w:val="single"/>
              </w:rPr>
              <w:t>Жени</w:t>
            </w:r>
          </w:p>
        </w:tc>
        <w:tc>
          <w:tcPr>
            <w:tcW w:w="1900" w:type="dxa"/>
          </w:tcPr>
          <w:p w14:paraId="5F96E579" w14:textId="6C245941" w:rsidR="00D500B2" w:rsidRPr="00D500B2" w:rsidRDefault="00D500B2" w:rsidP="00D500B2">
            <w:pPr>
              <w:rPr>
                <w:u w:val="single"/>
                <w:lang w:eastAsia="bg-BG"/>
              </w:rPr>
            </w:pPr>
            <w:r w:rsidRPr="00D500B2">
              <w:rPr>
                <w:u w:val="single"/>
              </w:rPr>
              <w:t>Мъже</w:t>
            </w:r>
          </w:p>
        </w:tc>
        <w:tc>
          <w:tcPr>
            <w:tcW w:w="1900" w:type="dxa"/>
          </w:tcPr>
          <w:p w14:paraId="3AEE3D81" w14:textId="77777777" w:rsidR="00D500B2" w:rsidRPr="00D500B2" w:rsidRDefault="00D500B2" w:rsidP="00D500B2">
            <w:pPr>
              <w:rPr>
                <w:u w:val="single"/>
                <w:lang w:eastAsia="bg-BG"/>
              </w:rPr>
            </w:pPr>
          </w:p>
        </w:tc>
      </w:tr>
      <w:tr w:rsidR="00D500B2" w14:paraId="008423A6" w14:textId="77777777" w:rsidTr="00D500B2">
        <w:tc>
          <w:tcPr>
            <w:tcW w:w="1900" w:type="dxa"/>
          </w:tcPr>
          <w:p w14:paraId="498113CA" w14:textId="740E5658" w:rsidR="00D500B2" w:rsidRPr="00D500B2" w:rsidRDefault="00D500B2" w:rsidP="00D500B2">
            <w:r w:rsidRPr="00D500B2">
              <w:rPr>
                <w:u w:val="single"/>
              </w:rPr>
              <w:t>Инфекции</w:t>
            </w:r>
            <w:r>
              <w:rPr>
                <w:u w:val="single"/>
              </w:rPr>
              <w:t xml:space="preserve"> </w:t>
            </w:r>
            <w:r w:rsidRPr="00D500B2">
              <w:t>с</w:t>
            </w:r>
          </w:p>
          <w:p w14:paraId="697292A9" w14:textId="77E10BEA" w:rsidR="00D500B2" w:rsidRPr="00D500B2" w:rsidRDefault="00D500B2" w:rsidP="00D500B2">
            <w:pPr>
              <w:rPr>
                <w:u w:val="single"/>
                <w:lang w:eastAsia="bg-BG"/>
              </w:rPr>
            </w:pPr>
            <w:r w:rsidRPr="00D500B2">
              <w:rPr>
                <w:u w:val="single"/>
              </w:rPr>
              <w:t>херпес симплекс</w:t>
            </w:r>
          </w:p>
        </w:tc>
        <w:tc>
          <w:tcPr>
            <w:tcW w:w="1900" w:type="dxa"/>
          </w:tcPr>
          <w:p w14:paraId="6B7158CD" w14:textId="0F93008E" w:rsidR="00D500B2" w:rsidRPr="00D500B2" w:rsidRDefault="00D500B2" w:rsidP="00D500B2">
            <w:pPr>
              <w:rPr>
                <w:u w:val="single"/>
                <w:lang w:eastAsia="bg-BG"/>
              </w:rPr>
            </w:pPr>
            <w:r w:rsidRPr="00D500B2">
              <w:t>&lt;10</w:t>
            </w:r>
          </w:p>
        </w:tc>
        <w:tc>
          <w:tcPr>
            <w:tcW w:w="1900" w:type="dxa"/>
          </w:tcPr>
          <w:p w14:paraId="1588F479" w14:textId="77777777" w:rsidR="00D500B2" w:rsidRPr="00D500B2" w:rsidRDefault="00D500B2" w:rsidP="00D500B2">
            <w:r w:rsidRPr="00D500B2">
              <w:t>&gt; 550 или</w:t>
            </w:r>
          </w:p>
          <w:p w14:paraId="76689087" w14:textId="421771DD" w:rsidR="00D500B2" w:rsidRPr="00D500B2" w:rsidRDefault="00D500B2" w:rsidP="00D500B2">
            <w:pPr>
              <w:rPr>
                <w:u w:val="single"/>
                <w:lang w:eastAsia="bg-BG"/>
              </w:rPr>
            </w:pPr>
            <w:r w:rsidRPr="00D500B2">
              <w:t>&gt;6.22</w:t>
            </w:r>
          </w:p>
        </w:tc>
        <w:tc>
          <w:tcPr>
            <w:tcW w:w="1900" w:type="dxa"/>
          </w:tcPr>
          <w:p w14:paraId="18781610" w14:textId="77777777" w:rsidR="00D500B2" w:rsidRPr="00D500B2" w:rsidRDefault="00D500B2" w:rsidP="00D500B2">
            <w:r w:rsidRPr="00D500B2">
              <w:t>&gt; 750 или</w:t>
            </w:r>
          </w:p>
          <w:p w14:paraId="247D8627" w14:textId="51F31112" w:rsidR="00D500B2" w:rsidRPr="00D500B2" w:rsidRDefault="00D500B2" w:rsidP="00D500B2">
            <w:pPr>
              <w:rPr>
                <w:u w:val="single"/>
                <w:lang w:eastAsia="bg-BG"/>
              </w:rPr>
            </w:pPr>
            <w:r w:rsidRPr="00D500B2">
              <w:t>&gt;8.45</w:t>
            </w:r>
          </w:p>
        </w:tc>
        <w:tc>
          <w:tcPr>
            <w:tcW w:w="1900" w:type="dxa"/>
          </w:tcPr>
          <w:p w14:paraId="7E904A6D" w14:textId="74E2AE49" w:rsidR="00D500B2" w:rsidRPr="00D500B2" w:rsidRDefault="00D500B2" w:rsidP="00D500B2">
            <w:pPr>
              <w:rPr>
                <w:u w:val="single"/>
                <w:lang w:eastAsia="bg-BG"/>
              </w:rPr>
            </w:pPr>
            <w:r w:rsidRPr="00D500B2">
              <w:t xml:space="preserve">200 </w:t>
            </w:r>
            <w:r w:rsidRPr="00D500B2">
              <w:rPr>
                <w:lang w:val="en-US"/>
              </w:rPr>
              <w:t xml:space="preserve">mg </w:t>
            </w:r>
            <w:r w:rsidRPr="00D500B2">
              <w:t>2 пъти дневно на всеки 12 часа</w:t>
            </w:r>
          </w:p>
        </w:tc>
      </w:tr>
      <w:tr w:rsidR="00D500B2" w14:paraId="342E968E" w14:textId="77777777" w:rsidTr="00D500B2">
        <w:tc>
          <w:tcPr>
            <w:tcW w:w="1900" w:type="dxa"/>
          </w:tcPr>
          <w:p w14:paraId="68584815" w14:textId="3745230D" w:rsidR="00D500B2" w:rsidRPr="00D500B2" w:rsidRDefault="00D500B2" w:rsidP="00D500B2">
            <w:pPr>
              <w:rPr>
                <w:u w:val="single"/>
                <w:lang w:eastAsia="bg-BG"/>
              </w:rPr>
            </w:pPr>
            <w:r w:rsidRPr="00D500B2">
              <w:rPr>
                <w:u w:val="single"/>
              </w:rPr>
              <w:t>Инфекция херпес зостер</w:t>
            </w:r>
          </w:p>
        </w:tc>
        <w:tc>
          <w:tcPr>
            <w:tcW w:w="1900" w:type="dxa"/>
          </w:tcPr>
          <w:p w14:paraId="1DD230FD" w14:textId="725E7F5D" w:rsidR="00D500B2" w:rsidRPr="00D500B2" w:rsidRDefault="00D500B2" w:rsidP="00D500B2">
            <w:pPr>
              <w:rPr>
                <w:u w:val="single"/>
                <w:lang w:eastAsia="bg-BG"/>
              </w:rPr>
            </w:pPr>
            <w:r w:rsidRPr="00D500B2">
              <w:t>25-10</w:t>
            </w:r>
          </w:p>
        </w:tc>
        <w:tc>
          <w:tcPr>
            <w:tcW w:w="1900" w:type="dxa"/>
          </w:tcPr>
          <w:p w14:paraId="2E49043A" w14:textId="77777777" w:rsidR="00D500B2" w:rsidRPr="00D500B2" w:rsidRDefault="00D500B2" w:rsidP="00D500B2">
            <w:r w:rsidRPr="00D500B2">
              <w:t>280-550 или</w:t>
            </w:r>
          </w:p>
          <w:p w14:paraId="23AE134F" w14:textId="4233FF36" w:rsidR="00D500B2" w:rsidRPr="00D500B2" w:rsidRDefault="00D500B2" w:rsidP="00D500B2">
            <w:pPr>
              <w:rPr>
                <w:u w:val="single"/>
                <w:lang w:eastAsia="bg-BG"/>
              </w:rPr>
            </w:pPr>
            <w:r w:rsidRPr="00D500B2">
              <w:t>3.17-6.22</w:t>
            </w:r>
          </w:p>
        </w:tc>
        <w:tc>
          <w:tcPr>
            <w:tcW w:w="1900" w:type="dxa"/>
          </w:tcPr>
          <w:p w14:paraId="6827766B" w14:textId="5FD281CC" w:rsidR="00D500B2" w:rsidRPr="00D500B2" w:rsidRDefault="00D500B2" w:rsidP="00D500B2">
            <w:pPr>
              <w:rPr>
                <w:u w:val="single"/>
                <w:lang w:eastAsia="bg-BG"/>
              </w:rPr>
            </w:pPr>
            <w:r w:rsidRPr="00D500B2">
              <w:t>370-750 или 4.18-8.45</w:t>
            </w:r>
          </w:p>
        </w:tc>
        <w:tc>
          <w:tcPr>
            <w:tcW w:w="1900" w:type="dxa"/>
          </w:tcPr>
          <w:p w14:paraId="4CF6D3F7" w14:textId="29CA5E61" w:rsidR="00D500B2" w:rsidRPr="00D500B2" w:rsidRDefault="00D500B2" w:rsidP="00D500B2">
            <w:pPr>
              <w:rPr>
                <w:u w:val="single"/>
                <w:lang w:eastAsia="bg-BG"/>
              </w:rPr>
            </w:pPr>
            <w:r w:rsidRPr="00D500B2">
              <w:t xml:space="preserve">800 </w:t>
            </w:r>
            <w:r w:rsidRPr="00D500B2">
              <w:rPr>
                <w:lang w:val="en-US"/>
              </w:rPr>
              <w:t xml:space="preserve">mg </w:t>
            </w:r>
            <w:r w:rsidRPr="00D500B2">
              <w:t>3 пъти дневно на всеки 8 часа</w:t>
            </w:r>
          </w:p>
        </w:tc>
      </w:tr>
      <w:tr w:rsidR="00D500B2" w14:paraId="2EAF0FC7" w14:textId="77777777" w:rsidTr="00D500B2">
        <w:tc>
          <w:tcPr>
            <w:tcW w:w="1900" w:type="dxa"/>
          </w:tcPr>
          <w:p w14:paraId="7A5287AB" w14:textId="53937EF6" w:rsidR="00D500B2" w:rsidRPr="00D500B2" w:rsidRDefault="00D500B2" w:rsidP="00D500B2">
            <w:pPr>
              <w:rPr>
                <w:u w:val="single"/>
                <w:lang w:eastAsia="bg-BG"/>
              </w:rPr>
            </w:pPr>
            <w:r w:rsidRPr="00D500B2">
              <w:rPr>
                <w:u w:val="single"/>
              </w:rPr>
              <w:t>Инфекция херпес зостер</w:t>
            </w:r>
          </w:p>
        </w:tc>
        <w:tc>
          <w:tcPr>
            <w:tcW w:w="1900" w:type="dxa"/>
          </w:tcPr>
          <w:p w14:paraId="4B2BB344" w14:textId="5C7A8765" w:rsidR="00D500B2" w:rsidRPr="00D500B2" w:rsidRDefault="00D500B2" w:rsidP="00D500B2">
            <w:pPr>
              <w:rPr>
                <w:u w:val="single"/>
                <w:lang w:eastAsia="bg-BG"/>
              </w:rPr>
            </w:pPr>
            <w:r w:rsidRPr="00D500B2">
              <w:t>&lt;10</w:t>
            </w:r>
          </w:p>
        </w:tc>
        <w:tc>
          <w:tcPr>
            <w:tcW w:w="1900" w:type="dxa"/>
          </w:tcPr>
          <w:p w14:paraId="66891330" w14:textId="63A91A56" w:rsidR="00D500B2" w:rsidRPr="00D500B2" w:rsidRDefault="00D500B2" w:rsidP="00D500B2">
            <w:pPr>
              <w:rPr>
                <w:u w:val="single"/>
                <w:lang w:eastAsia="bg-BG"/>
              </w:rPr>
            </w:pPr>
            <w:r w:rsidRPr="00D500B2">
              <w:t>&gt; 550 или &gt;6.22</w:t>
            </w:r>
          </w:p>
        </w:tc>
        <w:tc>
          <w:tcPr>
            <w:tcW w:w="1900" w:type="dxa"/>
          </w:tcPr>
          <w:p w14:paraId="33B21053" w14:textId="69643D9D" w:rsidR="00D500B2" w:rsidRPr="00D500B2" w:rsidRDefault="00D500B2" w:rsidP="00D500B2">
            <w:pPr>
              <w:rPr>
                <w:u w:val="single"/>
                <w:lang w:eastAsia="bg-BG"/>
              </w:rPr>
            </w:pPr>
            <w:r w:rsidRPr="00D500B2">
              <w:t>&gt; 750 или &gt;8.45</w:t>
            </w:r>
          </w:p>
        </w:tc>
        <w:tc>
          <w:tcPr>
            <w:tcW w:w="1900" w:type="dxa"/>
          </w:tcPr>
          <w:p w14:paraId="51290B9B" w14:textId="459CB136" w:rsidR="00D500B2" w:rsidRPr="00D500B2" w:rsidRDefault="00D500B2" w:rsidP="00D500B2">
            <w:pPr>
              <w:rPr>
                <w:u w:val="single"/>
                <w:lang w:eastAsia="bg-BG"/>
              </w:rPr>
            </w:pPr>
            <w:r w:rsidRPr="00D500B2">
              <w:t xml:space="preserve">800 </w:t>
            </w:r>
            <w:r w:rsidRPr="00D500B2">
              <w:rPr>
                <w:lang w:val="en-US"/>
              </w:rPr>
              <w:t xml:space="preserve">mg </w:t>
            </w:r>
            <w:r w:rsidRPr="00D500B2">
              <w:t>2 пъти дневно на всеки 12 часа</w:t>
            </w:r>
          </w:p>
        </w:tc>
      </w:tr>
    </w:tbl>
    <w:p w14:paraId="524C95DA" w14:textId="77777777" w:rsidR="00D500B2" w:rsidRPr="00D500B2" w:rsidRDefault="00D500B2" w:rsidP="00D500B2">
      <w:pPr>
        <w:rPr>
          <w:sz w:val="24"/>
          <w:szCs w:val="24"/>
          <w:u w:val="single"/>
          <w:lang w:eastAsia="bg-BG"/>
        </w:rPr>
      </w:pPr>
    </w:p>
    <w:p w14:paraId="6041A87E"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u w:val="single"/>
          <w:lang w:eastAsia="bg-BG"/>
        </w:rPr>
        <w:t>Начин на приложение</w:t>
      </w:r>
    </w:p>
    <w:p w14:paraId="51E9C496"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Таблетките трябва да се приемат с достатъчно количество течности, ако е възможно след хранене. За да се получи адекватен клиничен отговор, Ацикловир АЛ трябва да започне да се приема веднага след поява на първите кожни признаци. Особено при рецидивиращи херпес симплекс вирусни инфекции, пациентите трябва да започнат прием на ацикловир при поява на първи признаци на рецидив (например сърбеж, напрегнатост, поява на мехури по кожата).</w:t>
      </w:r>
    </w:p>
    <w:p w14:paraId="10278E07"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Ако пациент е забравил да вземе една доза, лечението трябва да продължи, както е предписано. Ако се пропуснат повече дози, трябва да се направи консултация с лекар.</w:t>
      </w:r>
    </w:p>
    <w:p w14:paraId="191B3EF0" w14:textId="77777777" w:rsidR="00D500B2" w:rsidRPr="00D500B2" w:rsidRDefault="00D500B2" w:rsidP="00D500B2">
      <w:pPr>
        <w:spacing w:line="240" w:lineRule="auto"/>
        <w:rPr>
          <w:rFonts w:eastAsia="Times New Roman" w:cs="Arial"/>
          <w:b/>
          <w:bCs/>
          <w:color w:val="000000"/>
          <w:lang w:eastAsia="bg-BG"/>
        </w:rPr>
      </w:pPr>
    </w:p>
    <w:p w14:paraId="58806CB9" w14:textId="51B147C5"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Продължителност на лечението</w:t>
      </w:r>
    </w:p>
    <w:p w14:paraId="51D7C84D" w14:textId="77777777" w:rsidR="00D500B2" w:rsidRPr="00D500B2" w:rsidRDefault="00D500B2" w:rsidP="00D500B2">
      <w:pPr>
        <w:spacing w:line="240" w:lineRule="auto"/>
        <w:rPr>
          <w:rFonts w:eastAsia="Times New Roman" w:cs="Arial"/>
          <w:lang w:eastAsia="bg-BG"/>
        </w:rPr>
      </w:pPr>
      <w:r w:rsidRPr="00D500B2">
        <w:rPr>
          <w:rFonts w:eastAsia="Times New Roman" w:cs="Arial"/>
          <w:i/>
          <w:iCs/>
          <w:color w:val="000000"/>
          <w:lang w:eastAsia="bg-BG"/>
        </w:rPr>
        <w:t>Инфекции, причинени от варицела зостер вирус</w:t>
      </w:r>
    </w:p>
    <w:p w14:paraId="5E2C1CAB"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Продължителността на лечението е 7-10 дни.</w:t>
      </w:r>
    </w:p>
    <w:p w14:paraId="5D54BF22"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Продължителността на лечението се определя от лекуващия лекар в зависимост от клиничното състояние на пациента и терапевтичния отговор.</w:t>
      </w:r>
    </w:p>
    <w:p w14:paraId="3473AB5F" w14:textId="77777777" w:rsidR="00D500B2" w:rsidRPr="00D500B2" w:rsidRDefault="00D500B2" w:rsidP="00D500B2">
      <w:pPr>
        <w:rPr>
          <w:rFonts w:cs="Arial"/>
        </w:rPr>
      </w:pPr>
    </w:p>
    <w:p w14:paraId="6158ADF5" w14:textId="4E8DFCDE" w:rsidR="00A428B7" w:rsidRDefault="002C50EE" w:rsidP="00340E8D">
      <w:pPr>
        <w:pStyle w:val="Heading2"/>
      </w:pPr>
      <w:r>
        <w:t>4.3. Противопоказания</w:t>
      </w:r>
    </w:p>
    <w:p w14:paraId="382ABC2C" w14:textId="5A81B08F" w:rsidR="00D500B2" w:rsidRDefault="00D500B2" w:rsidP="00D500B2"/>
    <w:p w14:paraId="3C5F5037" w14:textId="7D50A547" w:rsidR="00D500B2" w:rsidRDefault="00D500B2" w:rsidP="00D500B2">
      <w:pPr>
        <w:rPr>
          <w:lang w:eastAsia="bg-BG"/>
        </w:rPr>
      </w:pPr>
      <w:r w:rsidRPr="00D500B2">
        <w:rPr>
          <w:lang w:eastAsia="bg-BG"/>
        </w:rPr>
        <w:t>Свръхчувствителност към активното вещество, валацикловир или към някое от помощните вещества, изброени в точка 6.1.</w:t>
      </w:r>
    </w:p>
    <w:p w14:paraId="19E1A063" w14:textId="77777777" w:rsidR="00D500B2" w:rsidRPr="00D500B2" w:rsidRDefault="00D500B2" w:rsidP="00D500B2">
      <w:pPr>
        <w:rPr>
          <w:sz w:val="24"/>
          <w:szCs w:val="24"/>
          <w:lang w:eastAsia="bg-BG"/>
        </w:rPr>
      </w:pPr>
    </w:p>
    <w:p w14:paraId="45176B5B" w14:textId="221A0DF3" w:rsidR="00A428B7" w:rsidRDefault="002C50EE" w:rsidP="00340E8D">
      <w:pPr>
        <w:pStyle w:val="Heading2"/>
      </w:pPr>
      <w:r>
        <w:t>4.4. Специални предупреждения и предпазни мерки при употреба</w:t>
      </w:r>
    </w:p>
    <w:p w14:paraId="5C95E3CA" w14:textId="7FD2B8B9" w:rsidR="00D500B2" w:rsidRDefault="00D500B2" w:rsidP="00D500B2"/>
    <w:p w14:paraId="06E46C96"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Трябва да се осигури достатъчен прием на течности при пациенти, които приемат високи дози ацикловир или на които ацикловир е прилаган интравенозно.</w:t>
      </w:r>
    </w:p>
    <w:p w14:paraId="0426731D"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Рискът от бъбречно увреждане е по-голям, ако ацикловир се приема едновременно с други нефротоксични лекарства.</w:t>
      </w:r>
    </w:p>
    <w:p w14:paraId="259D4314" w14:textId="77777777" w:rsidR="00D500B2" w:rsidRPr="00D500B2" w:rsidRDefault="00D500B2" w:rsidP="00D500B2">
      <w:pPr>
        <w:spacing w:line="240" w:lineRule="auto"/>
        <w:rPr>
          <w:rFonts w:eastAsia="Times New Roman" w:cs="Arial"/>
          <w:b/>
          <w:bCs/>
          <w:color w:val="000000"/>
          <w:lang w:eastAsia="bg-BG"/>
        </w:rPr>
      </w:pPr>
    </w:p>
    <w:p w14:paraId="521AD0FD" w14:textId="1570DB64"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Употреба при пациенти с бъбречно увреждане и при пациенти в старческа възраст</w:t>
      </w:r>
    </w:p>
    <w:p w14:paraId="4D49B608" w14:textId="77777777" w:rsidR="00D500B2" w:rsidRPr="00D500B2" w:rsidRDefault="00D500B2" w:rsidP="00D500B2">
      <w:pPr>
        <w:rPr>
          <w:rFonts w:eastAsia="Times New Roman" w:cs="Arial"/>
          <w:lang w:eastAsia="bg-BG"/>
        </w:rPr>
      </w:pPr>
      <w:r w:rsidRPr="00D500B2">
        <w:rPr>
          <w:rFonts w:eastAsia="Times New Roman" w:cs="Arial"/>
          <w:color w:val="000000"/>
          <w:lang w:eastAsia="bg-BG"/>
        </w:rPr>
        <w:lastRenderedPageBreak/>
        <w:t>Ацикловир се елиминира чрез бъбречен клирънс, затова дозата трябва да бъде нам</w:t>
      </w:r>
      <w:r w:rsidRPr="00D500B2">
        <w:rPr>
          <w:rFonts w:eastAsia="Times New Roman" w:cs="Arial"/>
          <w:color w:val="000000"/>
          <w:u w:val="single"/>
          <w:lang w:eastAsia="bg-BG"/>
        </w:rPr>
        <w:t>алена</w:t>
      </w:r>
      <w:r w:rsidRPr="00D500B2">
        <w:rPr>
          <w:rFonts w:eastAsia="Times New Roman" w:cs="Arial"/>
          <w:color w:val="000000"/>
          <w:lang w:eastAsia="bg-BG"/>
        </w:rPr>
        <w:t xml:space="preserve"> при пациенти с бъбречно увреждане (вижте точка 4.2). При пациенти в старческа</w:t>
      </w:r>
      <w:r w:rsidRPr="00D500B2">
        <w:rPr>
          <w:rFonts w:eastAsia="Times New Roman" w:cs="Arial"/>
          <w:color w:val="000000"/>
          <w:lang w:val="en-US"/>
        </w:rPr>
        <w:t xml:space="preserve"> </w:t>
      </w:r>
      <w:r w:rsidRPr="00D500B2">
        <w:rPr>
          <w:rFonts w:eastAsia="Times New Roman" w:cs="Arial"/>
          <w:color w:val="000000"/>
          <w:lang w:eastAsia="bg-BG"/>
        </w:rPr>
        <w:t>възраст е по- вероятно да развият отклонение в бъбречната функция и затова при тях трябва да се вземе под внимание необходимостта от намаляване на дозата. И при двете групи пациенти-тези в</w:t>
      </w:r>
      <w:r>
        <w:rPr>
          <w:rFonts w:eastAsia="Times New Roman" w:cs="Arial"/>
          <w:lang w:eastAsia="bg-BG"/>
        </w:rPr>
        <w:t xml:space="preserve"> </w:t>
      </w:r>
      <w:r w:rsidRPr="00D500B2">
        <w:rPr>
          <w:rFonts w:eastAsia="Times New Roman" w:cs="Arial"/>
          <w:color w:val="000000"/>
          <w:lang w:eastAsia="bg-BG"/>
        </w:rPr>
        <w:t>напреднала възраст и такива с бъбречно увреждане има по-голям риск от появи неврологични</w:t>
      </w:r>
      <w:r>
        <w:rPr>
          <w:rFonts w:eastAsia="Times New Roman" w:cs="Arial"/>
          <w:color w:val="000000"/>
          <w:lang w:eastAsia="bg-BG"/>
        </w:rPr>
        <w:t xml:space="preserve"> </w:t>
      </w:r>
      <w:r w:rsidRPr="00D500B2">
        <w:rPr>
          <w:rFonts w:eastAsia="Times New Roman" w:cs="Arial"/>
          <w:color w:val="000000"/>
          <w:lang w:eastAsia="bg-BG"/>
        </w:rPr>
        <w:t>нежелани реакции и затова трябва да бъдат внимателно проследявани. При докладваните случаи тези реакции са били преходни и изчезват след прекратяване на лечението (вижте точка 4.8).</w:t>
      </w:r>
    </w:p>
    <w:p w14:paraId="159F439E" w14:textId="77777777" w:rsidR="00D500B2" w:rsidRDefault="00D500B2" w:rsidP="00D500B2">
      <w:pPr>
        <w:spacing w:line="240" w:lineRule="auto"/>
        <w:rPr>
          <w:rFonts w:eastAsia="Times New Roman" w:cs="Arial"/>
          <w:color w:val="000000"/>
          <w:lang w:eastAsia="bg-BG"/>
        </w:rPr>
      </w:pPr>
    </w:p>
    <w:p w14:paraId="1FD92354" w14:textId="020F077F"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Тъй като липсват данни за превантивна употреба на ацикловир таблетки при пациенти с бъбречна недостатъчност или анурия, таблетките ацикловир не трябва да се използват при тези пациенти.</w:t>
      </w:r>
    </w:p>
    <w:p w14:paraId="6F3FEA5E" w14:textId="77777777" w:rsidR="00D500B2" w:rsidRDefault="00D500B2" w:rsidP="00D500B2">
      <w:pPr>
        <w:spacing w:line="240" w:lineRule="auto"/>
        <w:rPr>
          <w:rFonts w:eastAsia="Times New Roman" w:cs="Arial"/>
          <w:b/>
          <w:bCs/>
          <w:color w:val="000000"/>
          <w:lang w:eastAsia="bg-BG"/>
        </w:rPr>
      </w:pPr>
    </w:p>
    <w:p w14:paraId="682D1FDC" w14:textId="5AAB0DDE"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Продължителни или повтарящи се терапевтични курсове</w:t>
      </w:r>
    </w:p>
    <w:p w14:paraId="262C2CAA"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Продължителни или повтарящи се терапевтични курсове с ацикловир при имунокомпрометирани пациенти може да доведат до развитие на резистентни вирусни типове, при които да няма отговор при продължително лечение с ацикловир.</w:t>
      </w:r>
    </w:p>
    <w:p w14:paraId="0A9D96B3" w14:textId="77777777" w:rsidR="00D500B2" w:rsidRDefault="00D500B2" w:rsidP="00D500B2">
      <w:pPr>
        <w:spacing w:line="240" w:lineRule="auto"/>
        <w:rPr>
          <w:rFonts w:eastAsia="Times New Roman" w:cs="Arial"/>
          <w:b/>
          <w:bCs/>
          <w:color w:val="000000"/>
          <w:lang w:eastAsia="bg-BG"/>
        </w:rPr>
      </w:pPr>
      <w:bookmarkStart w:id="2" w:name="bookmark2"/>
    </w:p>
    <w:p w14:paraId="07BA4543" w14:textId="5A5F0708"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Помощни вещества</w:t>
      </w:r>
      <w:bookmarkEnd w:id="2"/>
    </w:p>
    <w:p w14:paraId="0FFFC41B"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Този лекарствен продукт съдържа по-малко от 1 </w:t>
      </w:r>
      <w:r w:rsidRPr="00D500B2">
        <w:rPr>
          <w:rFonts w:eastAsia="Times New Roman" w:cs="Arial"/>
          <w:color w:val="000000"/>
          <w:lang w:val="en-US"/>
        </w:rPr>
        <w:t xml:space="preserve">mmol </w:t>
      </w:r>
      <w:r w:rsidRPr="00D500B2">
        <w:rPr>
          <w:rFonts w:eastAsia="Times New Roman" w:cs="Arial"/>
          <w:color w:val="000000"/>
          <w:lang w:eastAsia="bg-BG"/>
        </w:rPr>
        <w:t xml:space="preserve">натрий (23 </w:t>
      </w:r>
      <w:r w:rsidRPr="00D500B2">
        <w:rPr>
          <w:rFonts w:eastAsia="Times New Roman" w:cs="Arial"/>
          <w:color w:val="000000"/>
          <w:lang w:val="en-US"/>
        </w:rPr>
        <w:t xml:space="preserve">mg) </w:t>
      </w:r>
      <w:r w:rsidRPr="00D500B2">
        <w:rPr>
          <w:rFonts w:eastAsia="Times New Roman" w:cs="Arial"/>
          <w:color w:val="000000"/>
          <w:lang w:eastAsia="bg-BG"/>
        </w:rPr>
        <w:t>на таблетка, т.е. може да се каже, че практически не съдържа натрий.</w:t>
      </w:r>
    </w:p>
    <w:p w14:paraId="618385A9" w14:textId="77777777" w:rsidR="00D500B2" w:rsidRPr="00D500B2" w:rsidRDefault="00D500B2" w:rsidP="00D500B2">
      <w:pPr>
        <w:spacing w:line="240" w:lineRule="auto"/>
        <w:rPr>
          <w:rFonts w:eastAsia="Times New Roman" w:cs="Arial"/>
          <w:lang w:eastAsia="bg-BG"/>
        </w:rPr>
      </w:pPr>
    </w:p>
    <w:p w14:paraId="3A35B3F5" w14:textId="19F1CBE3"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C277284" w14:textId="406134DA" w:rsidR="00D500B2" w:rsidRDefault="00D500B2" w:rsidP="00D500B2"/>
    <w:p w14:paraId="4D635F3F"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Ацикловирът се елиминира основно непроменен с урината посредством активна бъбречна тубуларна секреция. Всички перорално приложени лекарства, използващи същия механизъм за елиминиране могат да повишат плазмените концентрации на ацикловир.</w:t>
      </w:r>
    </w:p>
    <w:p w14:paraId="7849C82E" w14:textId="22CE67B0"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Пробеницид и циметидин повишават плазмената концентрация на ацикловир и понижават бъбречната му екскреция посредством този механизъм.</w:t>
      </w:r>
    </w:p>
    <w:p w14:paraId="0196FFC5" w14:textId="77777777" w:rsidR="00D500B2" w:rsidRDefault="00D500B2" w:rsidP="00D500B2">
      <w:pPr>
        <w:spacing w:line="240" w:lineRule="auto"/>
        <w:rPr>
          <w:rFonts w:eastAsia="Times New Roman" w:cs="Arial"/>
          <w:color w:val="000000"/>
          <w:lang w:eastAsia="bg-BG"/>
        </w:rPr>
      </w:pPr>
    </w:p>
    <w:p w14:paraId="419173D0" w14:textId="56512220"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Наблюдавани са по-високи нива на плазмени концентрации на ацикловир, когато микофенолат мофетил (имуносупресант) е прилаган с ацикловир, отколкото при самостоятелно приложение на ацикловир. Не е необходимо адаптиране на дозировката поради широкия терапевтичен индекс на ацикловир.</w:t>
      </w:r>
    </w:p>
    <w:p w14:paraId="3BDCDB1B" w14:textId="77777777" w:rsidR="00D500B2" w:rsidRDefault="00D500B2" w:rsidP="00D500B2">
      <w:pPr>
        <w:spacing w:line="240" w:lineRule="auto"/>
        <w:rPr>
          <w:rFonts w:eastAsia="Times New Roman" w:cs="Arial"/>
          <w:color w:val="000000"/>
          <w:lang w:eastAsia="bg-BG"/>
        </w:rPr>
      </w:pPr>
    </w:p>
    <w:p w14:paraId="0414CA02" w14:textId="5670AE55"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Експериментално проучване при пет мъже показва, че при едновременно приемане на ацикловир и теофилин, плазмените концентрации (площта под кривата</w:t>
      </w:r>
      <w:r w:rsidRPr="00D500B2">
        <w:rPr>
          <w:rFonts w:eastAsia="Times New Roman" w:cs="Arial"/>
          <w:color w:val="000000"/>
          <w:lang w:val="en-US"/>
        </w:rPr>
        <w:t xml:space="preserve">-AUC) </w:t>
      </w:r>
      <w:r w:rsidRPr="00D500B2">
        <w:rPr>
          <w:rFonts w:eastAsia="Times New Roman" w:cs="Arial"/>
          <w:color w:val="000000"/>
          <w:lang w:eastAsia="bg-BG"/>
        </w:rPr>
        <w:t>на теофилин се повишават с приблизително 50%. Препоръчва се да се проверяват плазмените му концентрации по време на едновременния прием с ацикловир.</w:t>
      </w:r>
    </w:p>
    <w:p w14:paraId="6C35759F" w14:textId="77777777" w:rsidR="00D500B2" w:rsidRPr="00D500B2" w:rsidRDefault="00D500B2" w:rsidP="00D500B2"/>
    <w:p w14:paraId="6085D4F7" w14:textId="18DEC963" w:rsidR="00A428B7" w:rsidRDefault="002C50EE" w:rsidP="00340E8D">
      <w:pPr>
        <w:pStyle w:val="Heading2"/>
      </w:pPr>
      <w:r>
        <w:t>4.6. Фертилитет, бременност и кърмене</w:t>
      </w:r>
    </w:p>
    <w:p w14:paraId="35E0A3DF" w14:textId="05FB7D3E" w:rsidR="00D500B2" w:rsidRDefault="00D500B2" w:rsidP="00D500B2"/>
    <w:p w14:paraId="1A0CC0D8" w14:textId="77777777" w:rsidR="00D500B2" w:rsidRPr="00D500B2" w:rsidRDefault="00D500B2" w:rsidP="00D500B2">
      <w:pPr>
        <w:pStyle w:val="Heading3"/>
        <w:rPr>
          <w:rFonts w:eastAsia="Times New Roman"/>
          <w:b/>
          <w:bCs/>
          <w:lang w:eastAsia="bg-BG"/>
        </w:rPr>
      </w:pPr>
      <w:r w:rsidRPr="00D500B2">
        <w:rPr>
          <w:rFonts w:eastAsia="Times New Roman"/>
          <w:b/>
          <w:bCs/>
          <w:lang w:eastAsia="bg-BG"/>
        </w:rPr>
        <w:t>Бременност</w:t>
      </w:r>
    </w:p>
    <w:p w14:paraId="764ED83C"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Внимателно трябва да се прецени съотношението между очакваната полза и потенциалния риск при бременни жени, при които лечението с ацикловир е необходимо.</w:t>
      </w:r>
    </w:p>
    <w:p w14:paraId="49CA77B9"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Постмаркетингови записи от проучвания при бременни жени, при които е прилаган ацикловир (всички лекарствени форми) не показват по-голяма тенденция за поява на </w:t>
      </w:r>
      <w:r w:rsidRPr="00D500B2">
        <w:rPr>
          <w:rFonts w:eastAsia="Times New Roman" w:cs="Arial"/>
          <w:color w:val="000000"/>
          <w:lang w:eastAsia="bg-BG"/>
        </w:rPr>
        <w:lastRenderedPageBreak/>
        <w:t>вродени дефекти, в сравнение с общата популация, а и всички вродени дефекти не показват уникалност или последователен модел да се предположи една обща първопричина.</w:t>
      </w:r>
    </w:p>
    <w:p w14:paraId="76EDC838" w14:textId="77777777" w:rsidR="00D500B2" w:rsidRPr="00D500B2" w:rsidRDefault="00D500B2" w:rsidP="00D500B2">
      <w:pPr>
        <w:spacing w:line="240" w:lineRule="auto"/>
        <w:rPr>
          <w:rFonts w:eastAsia="Times New Roman" w:cs="Arial"/>
          <w:color w:val="000000"/>
          <w:lang w:eastAsia="bg-BG"/>
        </w:rPr>
      </w:pPr>
    </w:p>
    <w:p w14:paraId="775FCCD8" w14:textId="7746EC8D"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Проучвания при животни не доказват директно или индиректно влияние върху</w:t>
      </w:r>
    </w:p>
    <w:p w14:paraId="3142761A"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репродуктивностга.</w:t>
      </w:r>
    </w:p>
    <w:p w14:paraId="408CD179" w14:textId="77777777" w:rsidR="00D500B2" w:rsidRPr="00D500B2" w:rsidRDefault="00D500B2" w:rsidP="00D500B2">
      <w:pPr>
        <w:spacing w:line="240" w:lineRule="auto"/>
        <w:rPr>
          <w:rFonts w:eastAsia="Times New Roman" w:cs="Arial"/>
          <w:b/>
          <w:bCs/>
          <w:color w:val="000000"/>
          <w:lang w:eastAsia="bg-BG"/>
        </w:rPr>
      </w:pPr>
    </w:p>
    <w:p w14:paraId="5DB99232" w14:textId="1B26F4DF" w:rsidR="00D500B2" w:rsidRPr="00D500B2" w:rsidRDefault="00D500B2" w:rsidP="00D500B2">
      <w:pPr>
        <w:pStyle w:val="Heading3"/>
        <w:rPr>
          <w:rFonts w:eastAsia="Times New Roman"/>
          <w:b/>
          <w:bCs/>
          <w:lang w:eastAsia="bg-BG"/>
        </w:rPr>
      </w:pPr>
      <w:r w:rsidRPr="00D500B2">
        <w:rPr>
          <w:rFonts w:eastAsia="Times New Roman"/>
          <w:b/>
          <w:bCs/>
          <w:lang w:eastAsia="bg-BG"/>
        </w:rPr>
        <w:t>Кърмене</w:t>
      </w:r>
    </w:p>
    <w:p w14:paraId="67CCA147"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След перорален прием на 200 </w:t>
      </w:r>
      <w:r w:rsidRPr="00D500B2">
        <w:rPr>
          <w:rFonts w:eastAsia="Times New Roman" w:cs="Arial"/>
          <w:color w:val="000000"/>
          <w:lang w:val="en-US"/>
        </w:rPr>
        <w:t xml:space="preserve">mg </w:t>
      </w:r>
      <w:r w:rsidRPr="00D500B2">
        <w:rPr>
          <w:rFonts w:eastAsia="Times New Roman" w:cs="Arial"/>
          <w:color w:val="000000"/>
          <w:lang w:eastAsia="bg-BG"/>
        </w:rPr>
        <w:t xml:space="preserve">пет пъти дневно, ацикловир се открива в майчината кърма в концентрации от 0,6 до 4,1 пъти от тези, измерени в плазмата. Тези стойности биха могли да доведат до поглъщане на дози ацикловир до 0.3 </w:t>
      </w:r>
      <w:r w:rsidRPr="00D500B2">
        <w:rPr>
          <w:rFonts w:eastAsia="Times New Roman" w:cs="Arial"/>
          <w:color w:val="000000"/>
          <w:lang w:val="en-US"/>
        </w:rPr>
        <w:t>mg/kg</w:t>
      </w:r>
      <w:r w:rsidRPr="00D500B2">
        <w:rPr>
          <w:rFonts w:eastAsia="Times New Roman" w:cs="Arial"/>
          <w:color w:val="000000"/>
          <w:lang w:eastAsia="bg-BG"/>
        </w:rPr>
        <w:t>/дневно от кърмачето. По тази причина ацикловир трябва да се прилага с повишено внимание по време на кърмене и само, когато е клинично показано.</w:t>
      </w:r>
    </w:p>
    <w:p w14:paraId="07453136" w14:textId="77777777" w:rsidR="00D500B2" w:rsidRPr="00D500B2" w:rsidRDefault="00D500B2" w:rsidP="00D500B2">
      <w:pPr>
        <w:spacing w:line="240" w:lineRule="auto"/>
        <w:rPr>
          <w:rFonts w:eastAsia="Times New Roman" w:cs="Arial"/>
          <w:b/>
          <w:bCs/>
          <w:color w:val="000000"/>
          <w:lang w:eastAsia="bg-BG"/>
        </w:rPr>
      </w:pPr>
    </w:p>
    <w:p w14:paraId="30541F0C" w14:textId="66849496" w:rsidR="00D500B2" w:rsidRPr="00D500B2" w:rsidRDefault="00D500B2" w:rsidP="00D500B2">
      <w:pPr>
        <w:pStyle w:val="Heading3"/>
        <w:rPr>
          <w:rFonts w:eastAsia="Times New Roman"/>
          <w:b/>
          <w:bCs/>
          <w:lang w:eastAsia="bg-BG"/>
        </w:rPr>
      </w:pPr>
      <w:r w:rsidRPr="00D500B2">
        <w:rPr>
          <w:rFonts w:eastAsia="Times New Roman"/>
          <w:b/>
          <w:bCs/>
          <w:lang w:eastAsia="bg-BG"/>
        </w:rPr>
        <w:t>Фертнлитет</w:t>
      </w:r>
    </w:p>
    <w:p w14:paraId="2637EBAC"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Няма данни за влияние на перорално приеман ацикловир върху фертилитета при жени.</w:t>
      </w:r>
    </w:p>
    <w:p w14:paraId="4A58F6EE"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При мъже с нормален брой клетки в спермата, ацикловир няма значително влияние върху броя на клетките, подвижността и морфологията им.</w:t>
      </w:r>
    </w:p>
    <w:p w14:paraId="1C005971" w14:textId="77777777" w:rsidR="00D500B2" w:rsidRPr="00D500B2" w:rsidRDefault="00D500B2" w:rsidP="00D500B2"/>
    <w:p w14:paraId="4CE899F3" w14:textId="71A48A02" w:rsidR="00A428B7" w:rsidRDefault="002C50EE" w:rsidP="00340E8D">
      <w:pPr>
        <w:pStyle w:val="Heading2"/>
      </w:pPr>
      <w:r>
        <w:t>4.7. Ефекти върху способността за шофиране и работа с машини</w:t>
      </w:r>
    </w:p>
    <w:p w14:paraId="504F6ABB" w14:textId="11BE7974" w:rsidR="00D500B2" w:rsidRDefault="00D500B2" w:rsidP="00D500B2"/>
    <w:p w14:paraId="4B81C488" w14:textId="77777777" w:rsidR="00D500B2" w:rsidRPr="00D500B2" w:rsidRDefault="00D500B2" w:rsidP="00D500B2">
      <w:pPr>
        <w:rPr>
          <w:sz w:val="24"/>
          <w:szCs w:val="24"/>
          <w:lang w:eastAsia="bg-BG"/>
        </w:rPr>
      </w:pPr>
      <w:r w:rsidRPr="00D500B2">
        <w:rPr>
          <w:lang w:eastAsia="bg-BG"/>
        </w:rPr>
        <w:t>Клиничното състояние на пациента и профилът на ацикловир по отношение на нежеланите реакции, трябва да се има в предвид, когато се преценява способността на пациентите за шофиране или работа с машини.</w:t>
      </w:r>
    </w:p>
    <w:p w14:paraId="4C5D7397" w14:textId="77777777" w:rsidR="00D500B2" w:rsidRPr="00D500B2" w:rsidRDefault="00D500B2" w:rsidP="00D500B2">
      <w:pPr>
        <w:rPr>
          <w:sz w:val="24"/>
          <w:szCs w:val="24"/>
          <w:lang w:eastAsia="bg-BG"/>
        </w:rPr>
      </w:pPr>
      <w:r w:rsidRPr="00D500B2">
        <w:rPr>
          <w:lang w:eastAsia="bg-BG"/>
        </w:rPr>
        <w:t>Не са провеждани проучвания за изследване на ефектите върху способността за шофиране или способността да работят с машини.</w:t>
      </w:r>
    </w:p>
    <w:p w14:paraId="38284E0F" w14:textId="77777777" w:rsidR="00D500B2" w:rsidRPr="00D500B2" w:rsidRDefault="00D500B2" w:rsidP="00D500B2">
      <w:pPr>
        <w:rPr>
          <w:sz w:val="24"/>
          <w:szCs w:val="24"/>
          <w:lang w:eastAsia="bg-BG"/>
        </w:rPr>
      </w:pPr>
      <w:r w:rsidRPr="00D500B2">
        <w:rPr>
          <w:lang w:eastAsia="bg-BG"/>
        </w:rPr>
        <w:t>Освен това ефектът върху тези дейности не може да се прогнозира от фармакологичните свойства на активното вещество.</w:t>
      </w:r>
    </w:p>
    <w:p w14:paraId="553A7CD2" w14:textId="77777777" w:rsidR="00D500B2" w:rsidRPr="00D500B2" w:rsidRDefault="00D500B2" w:rsidP="00D500B2"/>
    <w:p w14:paraId="6D9C6606" w14:textId="28B2FC5F" w:rsidR="00A428B7" w:rsidRDefault="002C50EE" w:rsidP="00340E8D">
      <w:pPr>
        <w:pStyle w:val="Heading2"/>
      </w:pPr>
      <w:r>
        <w:t>4.8. Нежелани лекарствени реакции</w:t>
      </w:r>
    </w:p>
    <w:p w14:paraId="75889B61" w14:textId="14BDD466" w:rsidR="00D500B2" w:rsidRDefault="00D500B2" w:rsidP="00D500B2"/>
    <w:p w14:paraId="4258DB73"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Честота на поява на страничните ефекти изброени по-долу е дефинирана като се използва следната класификация:</w:t>
      </w:r>
    </w:p>
    <w:p w14:paraId="65E7B001"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Много чести (≥1/10); чести (≥1/100, &lt;1/10); нечести (≥1/1,000, &lt; 1/100); редки (≥1/10,000, &lt; 1/1,000); много редки (&lt; 1/10,000), с неизвестна честота (от наличните данни не може да бъде направена оценка).</w:t>
      </w:r>
    </w:p>
    <w:p w14:paraId="3E012351" w14:textId="77777777" w:rsidR="00D500B2" w:rsidRDefault="00D500B2" w:rsidP="00D500B2">
      <w:pPr>
        <w:spacing w:line="240" w:lineRule="auto"/>
        <w:rPr>
          <w:rFonts w:eastAsia="Times New Roman" w:cs="Arial"/>
          <w:b/>
          <w:bCs/>
          <w:color w:val="000000"/>
          <w:lang w:eastAsia="bg-BG"/>
        </w:rPr>
      </w:pPr>
    </w:p>
    <w:p w14:paraId="0457FF6B" w14:textId="34BFD2A7"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Нарушения на кръвта и лимфната система:</w:t>
      </w:r>
    </w:p>
    <w:p w14:paraId="3EEE524F"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Много редки: Анемия, левкопения, тромбоцитопения.</w:t>
      </w:r>
    </w:p>
    <w:p w14:paraId="49706D8D" w14:textId="77777777" w:rsidR="00D500B2" w:rsidRDefault="00D500B2" w:rsidP="00D500B2">
      <w:pPr>
        <w:spacing w:line="240" w:lineRule="auto"/>
        <w:rPr>
          <w:rFonts w:eastAsia="Times New Roman" w:cs="Arial"/>
          <w:b/>
          <w:bCs/>
          <w:color w:val="000000"/>
          <w:lang w:eastAsia="bg-BG"/>
        </w:rPr>
      </w:pPr>
    </w:p>
    <w:p w14:paraId="57D88181" w14:textId="4CB4A6D1"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Нарушения на имунната система:</w:t>
      </w:r>
    </w:p>
    <w:p w14:paraId="27ED25C7"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Редки: Анафилаксия.</w:t>
      </w:r>
    </w:p>
    <w:p w14:paraId="7F706F95" w14:textId="77777777" w:rsidR="00D500B2" w:rsidRDefault="00D500B2" w:rsidP="00D500B2">
      <w:pPr>
        <w:spacing w:line="240" w:lineRule="auto"/>
        <w:rPr>
          <w:rFonts w:eastAsia="Times New Roman" w:cs="Arial"/>
          <w:b/>
          <w:bCs/>
          <w:color w:val="000000"/>
          <w:lang w:eastAsia="bg-BG"/>
        </w:rPr>
      </w:pPr>
      <w:bookmarkStart w:id="3" w:name="bookmark4"/>
    </w:p>
    <w:p w14:paraId="4FCF1D0E" w14:textId="79279AF4"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Психични нарушения и нарушения на нервната система:</w:t>
      </w:r>
      <w:bookmarkEnd w:id="3"/>
    </w:p>
    <w:p w14:paraId="579A9327"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Чести: Главоболие, замаяност</w:t>
      </w:r>
    </w:p>
    <w:p w14:paraId="600C1CAD"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Много редки: Възбуда, обърканост, тремор, атаксия, дизартрия, халюцинации, психотични симптоми, конвулсии, сънливост, енцефалопатия, кома.</w:t>
      </w:r>
    </w:p>
    <w:p w14:paraId="4BB50D10"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lastRenderedPageBreak/>
        <w:t>Посочените по-горе нежелани реакции са обикновено обратими и се съобщават основно при пациенти с бъбречни нарушения или при които са налице други предразполагащи фактори (вижте точка 4.4).</w:t>
      </w:r>
    </w:p>
    <w:p w14:paraId="18423263" w14:textId="77777777" w:rsidR="00D500B2" w:rsidRDefault="00D500B2" w:rsidP="00D500B2">
      <w:pPr>
        <w:spacing w:line="240" w:lineRule="auto"/>
        <w:rPr>
          <w:rFonts w:eastAsia="Times New Roman" w:cs="Arial"/>
          <w:b/>
          <w:bCs/>
          <w:color w:val="000000"/>
          <w:lang w:eastAsia="bg-BG"/>
        </w:rPr>
      </w:pPr>
      <w:bookmarkStart w:id="4" w:name="bookmark6"/>
    </w:p>
    <w:p w14:paraId="7BC2EE15" w14:textId="1775AB88"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Респираторни, гръдни н медиастинални нарушения:</w:t>
      </w:r>
      <w:bookmarkEnd w:id="4"/>
    </w:p>
    <w:p w14:paraId="0034A294"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Редки: Диспнея.</w:t>
      </w:r>
    </w:p>
    <w:p w14:paraId="443ADD82" w14:textId="77777777" w:rsidR="00D500B2" w:rsidRDefault="00D500B2" w:rsidP="00D500B2">
      <w:pPr>
        <w:spacing w:line="240" w:lineRule="auto"/>
        <w:rPr>
          <w:rFonts w:eastAsia="Times New Roman" w:cs="Arial"/>
          <w:b/>
          <w:bCs/>
          <w:color w:val="000000"/>
          <w:lang w:eastAsia="bg-BG"/>
        </w:rPr>
      </w:pPr>
      <w:bookmarkStart w:id="5" w:name="bookmark8"/>
    </w:p>
    <w:p w14:paraId="7E4DC07C" w14:textId="3E93B95C"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Стомашно-чревни нарушения:</w:t>
      </w:r>
      <w:bookmarkEnd w:id="5"/>
    </w:p>
    <w:p w14:paraId="5189FFC8" w14:textId="21508AF6" w:rsidR="00D500B2" w:rsidRDefault="00D500B2" w:rsidP="00D500B2">
      <w:pPr>
        <w:rPr>
          <w:rFonts w:eastAsia="Times New Roman" w:cs="Arial"/>
          <w:color w:val="000000"/>
          <w:lang w:eastAsia="bg-BG"/>
        </w:rPr>
      </w:pPr>
      <w:r w:rsidRPr="00D500B2">
        <w:rPr>
          <w:rFonts w:eastAsia="Times New Roman" w:cs="Arial"/>
          <w:color w:val="000000"/>
          <w:lang w:eastAsia="bg-BG"/>
        </w:rPr>
        <w:t>Чести: Гадене, повръщане, диария, коремна болка.</w:t>
      </w:r>
    </w:p>
    <w:p w14:paraId="29EFC4D4" w14:textId="6E5EBB1A" w:rsidR="00D500B2" w:rsidRDefault="00D500B2" w:rsidP="00D500B2">
      <w:pPr>
        <w:rPr>
          <w:rFonts w:eastAsia="Times New Roman" w:cs="Arial"/>
          <w:color w:val="000000"/>
          <w:lang w:eastAsia="bg-BG"/>
        </w:rPr>
      </w:pPr>
    </w:p>
    <w:p w14:paraId="00AEB7C9" w14:textId="77777777"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Хепато-билиарни нарушения:</w:t>
      </w:r>
    </w:p>
    <w:p w14:paraId="49CD55AA"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Редки: Обратимо покачване на стойностите на билирубина и чернодробните ензими</w:t>
      </w:r>
    </w:p>
    <w:p w14:paraId="655C24B6"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Много редки: Хепатит.</w:t>
      </w:r>
    </w:p>
    <w:p w14:paraId="7D0A5AC4" w14:textId="77777777" w:rsidR="00D500B2" w:rsidRDefault="00D500B2" w:rsidP="00D500B2">
      <w:pPr>
        <w:spacing w:line="240" w:lineRule="auto"/>
        <w:rPr>
          <w:rFonts w:eastAsia="Times New Roman" w:cs="Arial"/>
          <w:b/>
          <w:bCs/>
          <w:color w:val="000000"/>
          <w:lang w:eastAsia="bg-BG"/>
        </w:rPr>
      </w:pPr>
    </w:p>
    <w:p w14:paraId="1AF94A23" w14:textId="47ED7E12"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Нарушения на кожата и подкожната тъкан:</w:t>
      </w:r>
    </w:p>
    <w:p w14:paraId="689DE965"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Чести: Реакции на свръхчувствителност като пруритус, обрив (вкл. фоточувствителност).</w:t>
      </w:r>
    </w:p>
    <w:p w14:paraId="0D0FA8E0"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Нечести: Уртикария. Засилен дифузен косопад. Този процес се свързва с множество заболявания и лекарства, като взаимовръзката с употребата на ацикловир не е сигурно установена.</w:t>
      </w:r>
    </w:p>
    <w:p w14:paraId="2CCE6368"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Редки: Ангиоедем.</w:t>
      </w:r>
    </w:p>
    <w:p w14:paraId="3BEE2BF0" w14:textId="77777777" w:rsidR="00D500B2" w:rsidRDefault="00D500B2" w:rsidP="00D500B2">
      <w:pPr>
        <w:spacing w:line="240" w:lineRule="auto"/>
        <w:rPr>
          <w:rFonts w:eastAsia="Times New Roman" w:cs="Arial"/>
          <w:b/>
          <w:bCs/>
          <w:color w:val="000000"/>
          <w:lang w:eastAsia="bg-BG"/>
        </w:rPr>
      </w:pPr>
    </w:p>
    <w:p w14:paraId="04C851F2" w14:textId="1149166E"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Нарушения на бъбреците и пикочните пътища:</w:t>
      </w:r>
    </w:p>
    <w:p w14:paraId="13FC5721"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Редки: Увеличаване на стойностите на кръвната урея и креатинин.</w:t>
      </w:r>
    </w:p>
    <w:p w14:paraId="52A758E4"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Много редки: Остра бъбречна недостатъчност.</w:t>
      </w:r>
    </w:p>
    <w:p w14:paraId="3471A400" w14:textId="77777777" w:rsidR="00D500B2" w:rsidRDefault="00D500B2" w:rsidP="00D500B2">
      <w:pPr>
        <w:spacing w:line="240" w:lineRule="auto"/>
        <w:rPr>
          <w:rFonts w:eastAsia="Times New Roman" w:cs="Arial"/>
          <w:b/>
          <w:bCs/>
          <w:color w:val="000000"/>
          <w:lang w:eastAsia="bg-BG"/>
        </w:rPr>
      </w:pPr>
    </w:p>
    <w:p w14:paraId="7909FCBD" w14:textId="3B1875F2"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Общи нарушения н ефекти на мястото на приложение:</w:t>
      </w:r>
    </w:p>
    <w:p w14:paraId="0F31DDAB"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Чести: изтощение, треска.</w:t>
      </w:r>
    </w:p>
    <w:p w14:paraId="437EA3C1" w14:textId="77777777" w:rsidR="00D500B2" w:rsidRDefault="00D500B2" w:rsidP="00D500B2">
      <w:pPr>
        <w:spacing w:line="240" w:lineRule="auto"/>
        <w:rPr>
          <w:rFonts w:eastAsia="Times New Roman" w:cs="Arial"/>
          <w:color w:val="000000"/>
          <w:u w:val="single"/>
          <w:lang w:eastAsia="bg-BG"/>
        </w:rPr>
      </w:pPr>
    </w:p>
    <w:p w14:paraId="0711981B" w14:textId="06AD5ABC" w:rsidR="00D500B2" w:rsidRPr="00D500B2" w:rsidRDefault="00D500B2" w:rsidP="00D500B2">
      <w:pPr>
        <w:spacing w:line="240" w:lineRule="auto"/>
        <w:rPr>
          <w:rFonts w:eastAsia="Times New Roman" w:cs="Arial"/>
          <w:lang w:eastAsia="bg-BG"/>
        </w:rPr>
      </w:pPr>
      <w:r w:rsidRPr="00D500B2">
        <w:rPr>
          <w:rFonts w:eastAsia="Times New Roman" w:cs="Arial"/>
          <w:color w:val="000000"/>
          <w:u w:val="single"/>
          <w:lang w:eastAsia="bg-BG"/>
        </w:rPr>
        <w:t>Съобщаване на подозирани нежелани реакции</w:t>
      </w:r>
    </w:p>
    <w:p w14:paraId="4904F303"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48917518" w14:textId="77777777" w:rsidR="00D500B2" w:rsidRDefault="00D500B2" w:rsidP="00D500B2">
      <w:pPr>
        <w:spacing w:line="240" w:lineRule="auto"/>
        <w:rPr>
          <w:rFonts w:eastAsia="Times New Roman" w:cs="Arial"/>
          <w:color w:val="000000"/>
          <w:lang w:eastAsia="bg-BG"/>
        </w:rPr>
      </w:pPr>
    </w:p>
    <w:p w14:paraId="5DEBA490" w14:textId="6C5D0B90"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Изпълнителна агенция по лекарствата</w:t>
      </w:r>
    </w:p>
    <w:p w14:paraId="3415066C"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ул. .Дамян Груев” № 8</w:t>
      </w:r>
    </w:p>
    <w:p w14:paraId="25A43C78"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1303 София</w:t>
      </w:r>
    </w:p>
    <w:p w14:paraId="28B09C44"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Тел.:+359 2 8903417</w:t>
      </w:r>
    </w:p>
    <w:p w14:paraId="1A6799EC"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уебсайт: </w:t>
      </w:r>
      <w:hyperlink r:id="rId5" w:history="1">
        <w:r w:rsidRPr="00D500B2">
          <w:rPr>
            <w:rFonts w:eastAsia="Times New Roman" w:cs="Arial"/>
            <w:color w:val="000000"/>
            <w:u w:val="single"/>
            <w:lang w:val="en-US"/>
          </w:rPr>
          <w:t>www.bda.bg</w:t>
        </w:r>
      </w:hyperlink>
    </w:p>
    <w:p w14:paraId="433CB63A" w14:textId="77777777" w:rsidR="00D500B2" w:rsidRPr="00D500B2" w:rsidRDefault="00D500B2" w:rsidP="00D500B2"/>
    <w:p w14:paraId="378A0F20" w14:textId="0F45F536" w:rsidR="001D095A" w:rsidRDefault="002C50EE" w:rsidP="00340E8D">
      <w:pPr>
        <w:pStyle w:val="Heading2"/>
      </w:pPr>
      <w:r>
        <w:t>4.9. Предозиране</w:t>
      </w:r>
    </w:p>
    <w:p w14:paraId="09DCC3C8" w14:textId="754F74BE" w:rsidR="00D500B2" w:rsidRDefault="00D500B2" w:rsidP="00D500B2"/>
    <w:p w14:paraId="3FEBCCD5" w14:textId="693D0988" w:rsidR="00D500B2" w:rsidRPr="00D500B2" w:rsidRDefault="00D500B2" w:rsidP="00D500B2">
      <w:pPr>
        <w:spacing w:line="240" w:lineRule="auto"/>
        <w:rPr>
          <w:rFonts w:eastAsia="Times New Roman" w:cs="Arial"/>
          <w:lang w:eastAsia="bg-BG"/>
        </w:rPr>
      </w:pPr>
      <w:r w:rsidRPr="00D500B2">
        <w:rPr>
          <w:rFonts w:eastAsia="Times New Roman" w:cs="Arial"/>
          <w:i/>
          <w:iCs/>
          <w:color w:val="000000"/>
          <w:lang w:eastAsia="bg-BG"/>
        </w:rPr>
        <w:t>а)Симптоми на предозиране</w:t>
      </w:r>
    </w:p>
    <w:p w14:paraId="541DCE69"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Само част от перорално приетия ацикловир се абсорбира от стомашно-чревния тракт (виж точка 5.2). Опитът до момента показва, че еднократни перорални дози до 20 </w:t>
      </w:r>
      <w:r w:rsidRPr="00D500B2">
        <w:rPr>
          <w:rFonts w:eastAsia="Times New Roman" w:cs="Arial"/>
          <w:color w:val="000000"/>
          <w:lang w:val="en-US"/>
        </w:rPr>
        <w:t xml:space="preserve">g </w:t>
      </w:r>
      <w:r w:rsidRPr="00D500B2">
        <w:rPr>
          <w:rFonts w:eastAsia="Times New Roman" w:cs="Arial"/>
          <w:color w:val="000000"/>
          <w:lang w:eastAsia="bg-BG"/>
        </w:rPr>
        <w:t>ацикловир обикновено не предизвикват белези или симптоми на интоксикация. Тъй като липсват данни за приемане на по- високи перорални дози, пациенти, приели дози по-високи ацикловир, трябва внимателно да бъдат наблюдавани за наличие на белези и симптоми на интоксикация, свързана със стомашно-чревни прояви (като гадене и повръщане) и неврологични ефекти като главоболие и объркване.</w:t>
      </w:r>
    </w:p>
    <w:p w14:paraId="1684737B"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lastRenderedPageBreak/>
        <w:t>Предозиране с интравенозно приложен ацикловир води до повишени стойности на серумния креатинин, урея в кръвта, азот и последваща бъбречна недостатъчност. Реакции от страна на нервната система включват объркване, халюцинации, ажитираност, припадъци и кома са описани във връзка с предозиране.</w:t>
      </w:r>
    </w:p>
    <w:p w14:paraId="48EB1895" w14:textId="77777777" w:rsidR="00D500B2" w:rsidRPr="00D500B2" w:rsidRDefault="00D500B2" w:rsidP="00D500B2">
      <w:pPr>
        <w:spacing w:line="240" w:lineRule="auto"/>
        <w:rPr>
          <w:rFonts w:eastAsia="Times New Roman" w:cs="Arial"/>
          <w:i/>
          <w:iCs/>
          <w:color w:val="000000"/>
          <w:lang w:eastAsia="bg-BG"/>
        </w:rPr>
      </w:pPr>
    </w:p>
    <w:p w14:paraId="724EE749" w14:textId="7E1AE7D6" w:rsidR="00D500B2" w:rsidRPr="00D500B2" w:rsidRDefault="00D500B2" w:rsidP="00D500B2">
      <w:pPr>
        <w:spacing w:line="240" w:lineRule="auto"/>
        <w:rPr>
          <w:rFonts w:eastAsia="Times New Roman" w:cs="Arial"/>
          <w:lang w:eastAsia="bg-BG"/>
        </w:rPr>
      </w:pPr>
      <w:r w:rsidRPr="00D500B2">
        <w:rPr>
          <w:rFonts w:eastAsia="Times New Roman" w:cs="Arial"/>
          <w:i/>
          <w:iCs/>
          <w:color w:val="000000"/>
          <w:lang w:eastAsia="bg-BG"/>
        </w:rPr>
        <w:t>б)Терапевтични мерки при предозиране</w:t>
      </w:r>
      <w:r w:rsidRPr="00D500B2">
        <w:rPr>
          <w:rFonts w:eastAsia="Times New Roman" w:cs="Arial"/>
          <w:i/>
          <w:iCs/>
          <w:color w:val="000000"/>
          <w:lang w:eastAsia="bg-BG"/>
        </w:rPr>
        <w:tab/>
      </w:r>
      <w:r w:rsidRPr="00D500B2">
        <w:rPr>
          <w:rFonts w:eastAsia="Times New Roman" w:cs="Arial"/>
          <w:i/>
          <w:iCs/>
          <w:color w:val="000000"/>
          <w:lang w:val="en-US"/>
        </w:rPr>
        <w:t>,</w:t>
      </w:r>
    </w:p>
    <w:p w14:paraId="043E99DC" w14:textId="580BBECC" w:rsidR="00D500B2" w:rsidRPr="00D500B2" w:rsidRDefault="00D500B2" w:rsidP="00D500B2">
      <w:pPr>
        <w:rPr>
          <w:rFonts w:cs="Arial"/>
        </w:rPr>
      </w:pPr>
      <w:r w:rsidRPr="00D500B2">
        <w:rPr>
          <w:rFonts w:eastAsia="Times New Roman" w:cs="Arial"/>
          <w:color w:val="000000"/>
          <w:lang w:eastAsia="bg-BG"/>
        </w:rPr>
        <w:t>Пациентите трябва внимателно да се проследяват за признаци на ингоксикация. Хемодиализата значително ускорява отстраняването на ацикловир от кръвта, и затова се счита за добра мярка при симптоматично предозиране.</w:t>
      </w:r>
    </w:p>
    <w:p w14:paraId="02081B24" w14:textId="36FE76F4" w:rsidR="00395555" w:rsidRPr="00395555" w:rsidRDefault="002C50EE" w:rsidP="008A6AF2">
      <w:pPr>
        <w:pStyle w:val="Heading1"/>
      </w:pPr>
      <w:r>
        <w:t>5. ФАРМАКОЛОГИЧНИ СВОЙСТВА</w:t>
      </w:r>
    </w:p>
    <w:p w14:paraId="1A152A95" w14:textId="15374DDC" w:rsidR="001D095A" w:rsidRDefault="002C50EE" w:rsidP="00340E8D">
      <w:pPr>
        <w:pStyle w:val="Heading2"/>
      </w:pPr>
      <w:r>
        <w:t>5.1. Фармакодинамични свойства</w:t>
      </w:r>
    </w:p>
    <w:p w14:paraId="05B2ADFE" w14:textId="32C99E2D" w:rsidR="00D500B2" w:rsidRDefault="00D500B2" w:rsidP="00D500B2"/>
    <w:p w14:paraId="7D545AA3" w14:textId="77777777" w:rsidR="00D500B2" w:rsidRPr="00D500B2" w:rsidRDefault="00D500B2" w:rsidP="00D500B2">
      <w:pPr>
        <w:spacing w:line="240" w:lineRule="auto"/>
        <w:rPr>
          <w:rFonts w:eastAsia="Times New Roman" w:cs="Arial"/>
          <w:lang w:eastAsia="bg-BG"/>
        </w:rPr>
      </w:pPr>
      <w:r w:rsidRPr="00D500B2">
        <w:rPr>
          <w:rFonts w:eastAsia="Times New Roman" w:cs="Arial"/>
          <w:b/>
          <w:bCs/>
          <w:color w:val="000000"/>
          <w:lang w:eastAsia="bg-BG"/>
        </w:rPr>
        <w:t xml:space="preserve">Фармакотерапевтична група: </w:t>
      </w:r>
      <w:r w:rsidRPr="00D500B2">
        <w:rPr>
          <w:rFonts w:eastAsia="Times New Roman" w:cs="Arial"/>
          <w:color w:val="000000"/>
          <w:lang w:eastAsia="bg-BG"/>
        </w:rPr>
        <w:t xml:space="preserve">Антивирусни средства за системна употреба </w:t>
      </w:r>
      <w:r w:rsidRPr="00D500B2">
        <w:rPr>
          <w:rFonts w:eastAsia="Times New Roman" w:cs="Arial"/>
          <w:b/>
          <w:bCs/>
          <w:color w:val="000000"/>
          <w:lang w:eastAsia="bg-BG"/>
        </w:rPr>
        <w:t xml:space="preserve">АТС код: </w:t>
      </w:r>
      <w:r w:rsidRPr="00D500B2">
        <w:rPr>
          <w:rFonts w:eastAsia="Times New Roman" w:cs="Arial"/>
          <w:b/>
          <w:bCs/>
          <w:color w:val="000000"/>
          <w:lang w:val="en-US"/>
        </w:rPr>
        <w:t>J05AB01</w:t>
      </w:r>
    </w:p>
    <w:p w14:paraId="318CED5A" w14:textId="77777777" w:rsidR="00D500B2" w:rsidRDefault="00D500B2" w:rsidP="00D500B2">
      <w:pPr>
        <w:spacing w:line="240" w:lineRule="auto"/>
        <w:rPr>
          <w:rFonts w:eastAsia="Times New Roman" w:cs="Arial"/>
          <w:color w:val="000000"/>
          <w:lang w:eastAsia="bg-BG"/>
        </w:rPr>
      </w:pPr>
    </w:p>
    <w:p w14:paraId="28261BF9" w14:textId="4AE796B1"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Механизъм на действие</w:t>
      </w:r>
    </w:p>
    <w:p w14:paraId="590BE391"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Ацикловир има </w:t>
      </w:r>
      <w:r w:rsidRPr="00D500B2">
        <w:rPr>
          <w:rFonts w:eastAsia="Times New Roman" w:cs="Arial"/>
          <w:i/>
          <w:iCs/>
          <w:color w:val="000000"/>
          <w:lang w:val="en-US"/>
        </w:rPr>
        <w:t>in vitro</w:t>
      </w:r>
      <w:r w:rsidRPr="00D500B2">
        <w:rPr>
          <w:rFonts w:eastAsia="Times New Roman" w:cs="Arial"/>
          <w:color w:val="000000"/>
          <w:lang w:val="en-US"/>
        </w:rPr>
        <w:t xml:space="preserve"> </w:t>
      </w:r>
      <w:r w:rsidRPr="00D500B2">
        <w:rPr>
          <w:rFonts w:eastAsia="Times New Roman" w:cs="Arial"/>
          <w:color w:val="000000"/>
          <w:lang w:eastAsia="bg-BG"/>
        </w:rPr>
        <w:t xml:space="preserve">и </w:t>
      </w:r>
      <w:r w:rsidRPr="00D500B2">
        <w:rPr>
          <w:rFonts w:eastAsia="Times New Roman" w:cs="Arial"/>
          <w:i/>
          <w:iCs/>
          <w:color w:val="000000"/>
          <w:lang w:val="en-US"/>
        </w:rPr>
        <w:t>in vivo</w:t>
      </w:r>
      <w:r w:rsidRPr="00D500B2">
        <w:rPr>
          <w:rFonts w:eastAsia="Times New Roman" w:cs="Arial"/>
          <w:color w:val="000000"/>
          <w:lang w:val="en-US"/>
        </w:rPr>
        <w:t xml:space="preserve"> </w:t>
      </w:r>
      <w:r w:rsidRPr="00D500B2">
        <w:rPr>
          <w:rFonts w:eastAsia="Times New Roman" w:cs="Arial"/>
          <w:color w:val="000000"/>
          <w:lang w:eastAsia="bg-BG"/>
        </w:rPr>
        <w:t>инхибиторна активност срещу човешки херпес вируси, включително херпес симплекс вирус тип I и II и варицела зостер вирус.</w:t>
      </w:r>
    </w:p>
    <w:p w14:paraId="38260FC9"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Ацикловирът представлява фармакологично неактивно вещество, което едва след пенетриране в клетката, която е заразена с </w:t>
      </w:r>
      <w:r w:rsidRPr="00D500B2">
        <w:rPr>
          <w:rFonts w:eastAsia="Times New Roman" w:cs="Arial"/>
          <w:color w:val="000000"/>
          <w:lang w:val="en-US"/>
        </w:rPr>
        <w:t xml:space="preserve">Herpes simplex Virus (HSV) </w:t>
      </w:r>
      <w:r w:rsidRPr="00D500B2">
        <w:rPr>
          <w:rFonts w:eastAsia="Times New Roman" w:cs="Arial"/>
          <w:color w:val="000000"/>
          <w:lang w:eastAsia="bg-BG"/>
        </w:rPr>
        <w:t xml:space="preserve">или </w:t>
      </w:r>
      <w:r w:rsidRPr="00D500B2">
        <w:rPr>
          <w:rFonts w:eastAsia="Times New Roman" w:cs="Arial"/>
          <w:color w:val="000000"/>
          <w:lang w:val="en-US"/>
        </w:rPr>
        <w:t xml:space="preserve">Varicella-zoster Virus (VZV), </w:t>
      </w:r>
      <w:proofErr w:type="spellStart"/>
      <w:r w:rsidRPr="00D500B2">
        <w:rPr>
          <w:rFonts w:eastAsia="Times New Roman" w:cs="Arial"/>
          <w:color w:val="000000"/>
          <w:lang w:val="en-US"/>
        </w:rPr>
        <w:t>ce</w:t>
      </w:r>
      <w:proofErr w:type="spellEnd"/>
      <w:r w:rsidRPr="00D500B2">
        <w:rPr>
          <w:rFonts w:eastAsia="Times New Roman" w:cs="Arial"/>
          <w:color w:val="000000"/>
          <w:lang w:val="en-US"/>
        </w:rPr>
        <w:t xml:space="preserve"> </w:t>
      </w:r>
      <w:r w:rsidRPr="00D500B2">
        <w:rPr>
          <w:rFonts w:eastAsia="Times New Roman" w:cs="Arial"/>
          <w:color w:val="000000"/>
          <w:lang w:eastAsia="bg-BG"/>
        </w:rPr>
        <w:t xml:space="preserve">превръща в активно противовирусно вещество (вирустатик). Това активиране на ацикловира се катализира от </w:t>
      </w:r>
      <w:r w:rsidRPr="00D500B2">
        <w:rPr>
          <w:rFonts w:eastAsia="Times New Roman" w:cs="Arial"/>
          <w:color w:val="000000"/>
          <w:lang w:val="en-US"/>
        </w:rPr>
        <w:t xml:space="preserve">HSV </w:t>
      </w:r>
      <w:r w:rsidRPr="00D500B2">
        <w:rPr>
          <w:rFonts w:eastAsia="Times New Roman" w:cs="Arial"/>
          <w:color w:val="000000"/>
          <w:lang w:eastAsia="bg-BG"/>
        </w:rPr>
        <w:t xml:space="preserve">или </w:t>
      </w:r>
      <w:r w:rsidRPr="00D500B2">
        <w:rPr>
          <w:rFonts w:eastAsia="Times New Roman" w:cs="Arial"/>
          <w:color w:val="000000"/>
          <w:lang w:val="en-US"/>
        </w:rPr>
        <w:t xml:space="preserve">VZV </w:t>
      </w:r>
      <w:r w:rsidRPr="00D500B2">
        <w:rPr>
          <w:rFonts w:eastAsia="Times New Roman" w:cs="Arial"/>
          <w:color w:val="000000"/>
          <w:lang w:eastAsia="bg-BG"/>
        </w:rPr>
        <w:t xml:space="preserve">тимидин киназата - есенциален ензим за репликацията на вирусите. С други думи вирусите </w:t>
      </w:r>
      <w:r w:rsidRPr="00D500B2">
        <w:rPr>
          <w:rFonts w:eastAsia="Times New Roman" w:cs="Arial"/>
          <w:color w:val="000000"/>
          <w:lang w:val="en-US"/>
        </w:rPr>
        <w:t xml:space="preserve">HSV </w:t>
      </w:r>
      <w:r w:rsidRPr="00D500B2">
        <w:rPr>
          <w:rFonts w:eastAsia="Times New Roman" w:cs="Arial"/>
          <w:color w:val="000000"/>
          <w:lang w:eastAsia="bg-BG"/>
        </w:rPr>
        <w:t xml:space="preserve">и </w:t>
      </w:r>
      <w:r w:rsidRPr="00D500B2">
        <w:rPr>
          <w:rFonts w:eastAsia="Times New Roman" w:cs="Arial"/>
          <w:color w:val="000000"/>
          <w:lang w:val="en-US"/>
        </w:rPr>
        <w:t xml:space="preserve">VZV </w:t>
      </w:r>
      <w:r w:rsidRPr="00D500B2">
        <w:rPr>
          <w:rFonts w:eastAsia="Times New Roman" w:cs="Arial"/>
          <w:color w:val="000000"/>
          <w:lang w:eastAsia="bg-BG"/>
        </w:rPr>
        <w:t>синтезират собствения си вирустатик. Този процес преминава през следните етапи:</w:t>
      </w:r>
    </w:p>
    <w:p w14:paraId="27387141" w14:textId="40A94B77" w:rsidR="00D500B2" w:rsidRPr="00D500B2" w:rsidRDefault="00D500B2" w:rsidP="00D500B2">
      <w:pPr>
        <w:spacing w:line="240" w:lineRule="auto"/>
        <w:rPr>
          <w:rFonts w:eastAsia="Times New Roman" w:cs="Arial"/>
          <w:color w:val="000000"/>
          <w:lang w:eastAsia="bg-BG"/>
        </w:rPr>
      </w:pPr>
      <w:r>
        <w:rPr>
          <w:rFonts w:eastAsia="Times New Roman" w:cs="Arial"/>
          <w:color w:val="000000"/>
          <w:lang w:eastAsia="bg-BG"/>
        </w:rPr>
        <w:t xml:space="preserve">1. </w:t>
      </w:r>
      <w:r w:rsidRPr="00D500B2">
        <w:rPr>
          <w:rFonts w:eastAsia="Times New Roman" w:cs="Arial"/>
          <w:color w:val="000000"/>
          <w:lang w:eastAsia="bg-BG"/>
        </w:rPr>
        <w:t>Ацикловир пенетрира избирателно в инфектираните с херпес клетки.</w:t>
      </w:r>
    </w:p>
    <w:p w14:paraId="3B5D9F48" w14:textId="7AD21797" w:rsidR="00D500B2" w:rsidRPr="00D500B2" w:rsidRDefault="00D500B2" w:rsidP="00D500B2">
      <w:pPr>
        <w:spacing w:line="240" w:lineRule="auto"/>
        <w:rPr>
          <w:rFonts w:eastAsia="Times New Roman" w:cs="Arial"/>
          <w:color w:val="000000"/>
          <w:lang w:eastAsia="bg-BG"/>
        </w:rPr>
      </w:pPr>
      <w:r>
        <w:rPr>
          <w:rFonts w:eastAsia="Times New Roman" w:cs="Arial"/>
          <w:color w:val="000000"/>
          <w:lang w:eastAsia="bg-BG"/>
        </w:rPr>
        <w:t xml:space="preserve">2. </w:t>
      </w:r>
      <w:r w:rsidRPr="00D500B2">
        <w:rPr>
          <w:rFonts w:eastAsia="Times New Roman" w:cs="Arial"/>
          <w:color w:val="000000"/>
          <w:lang w:eastAsia="bg-BG"/>
        </w:rPr>
        <w:t>Наличната в тези клетки вирусна тимидин киназа фосфорилира Ацикловир до Ацикловир монофосфат.</w:t>
      </w:r>
    </w:p>
    <w:p w14:paraId="11B470BD" w14:textId="3BDC6686" w:rsidR="00D500B2" w:rsidRPr="00D500B2" w:rsidRDefault="00D500B2" w:rsidP="00D500B2">
      <w:pPr>
        <w:spacing w:line="240" w:lineRule="auto"/>
        <w:rPr>
          <w:rFonts w:eastAsia="Times New Roman" w:cs="Arial"/>
          <w:color w:val="000000"/>
          <w:lang w:eastAsia="bg-BG"/>
        </w:rPr>
      </w:pPr>
      <w:r>
        <w:rPr>
          <w:rFonts w:eastAsia="Times New Roman" w:cs="Arial"/>
          <w:color w:val="000000"/>
          <w:lang w:eastAsia="bg-BG"/>
        </w:rPr>
        <w:t xml:space="preserve">3. </w:t>
      </w:r>
      <w:r w:rsidRPr="00D500B2">
        <w:rPr>
          <w:rFonts w:eastAsia="Times New Roman" w:cs="Arial"/>
          <w:color w:val="000000"/>
          <w:lang w:eastAsia="bg-BG"/>
        </w:rPr>
        <w:t>Клетъчните ензими превръщат ацикловир монофосфат до противовирусно-активния Ацикловир трифосфат</w:t>
      </w:r>
    </w:p>
    <w:p w14:paraId="5255C57F" w14:textId="59357294" w:rsidR="00D500B2" w:rsidRPr="00D500B2" w:rsidRDefault="00D500B2" w:rsidP="00D500B2">
      <w:pPr>
        <w:spacing w:line="240" w:lineRule="auto"/>
        <w:rPr>
          <w:rFonts w:eastAsia="Times New Roman" w:cs="Arial"/>
          <w:color w:val="000000"/>
          <w:lang w:eastAsia="bg-BG"/>
        </w:rPr>
      </w:pPr>
      <w:r>
        <w:rPr>
          <w:rFonts w:eastAsia="Times New Roman" w:cs="Arial"/>
          <w:color w:val="000000"/>
          <w:lang w:eastAsia="bg-BG"/>
        </w:rPr>
        <w:t xml:space="preserve">4. </w:t>
      </w:r>
      <w:r w:rsidRPr="00D500B2">
        <w:rPr>
          <w:rFonts w:eastAsia="Times New Roman" w:cs="Arial"/>
          <w:color w:val="000000"/>
          <w:lang w:eastAsia="bg-BG"/>
        </w:rPr>
        <w:t>Афинитетът на Ацикловир трифосфат към вирусната ДНК полимераза е 10 до 30 пъти по- висок в сравнение с афинитета му към клетъчната ДНК полимераза. Ето защо Ацикловир трифосфат селективно инхибира вирусната ензимна активност.</w:t>
      </w:r>
    </w:p>
    <w:p w14:paraId="3F8673E0" w14:textId="1376DA0B" w:rsidR="00D500B2" w:rsidRPr="00D500B2" w:rsidRDefault="00D500B2" w:rsidP="00D500B2">
      <w:pPr>
        <w:spacing w:line="240" w:lineRule="auto"/>
        <w:rPr>
          <w:rFonts w:eastAsia="Times New Roman" w:cs="Arial"/>
          <w:color w:val="000000"/>
          <w:lang w:eastAsia="bg-BG"/>
        </w:rPr>
      </w:pPr>
      <w:r>
        <w:rPr>
          <w:rFonts w:eastAsia="Times New Roman" w:cs="Arial"/>
          <w:color w:val="000000"/>
          <w:lang w:eastAsia="bg-BG"/>
        </w:rPr>
        <w:t xml:space="preserve">5. </w:t>
      </w:r>
      <w:r w:rsidRPr="00D500B2">
        <w:rPr>
          <w:rFonts w:eastAsia="Times New Roman" w:cs="Arial"/>
          <w:color w:val="000000"/>
          <w:lang w:eastAsia="bg-BG"/>
        </w:rPr>
        <w:t>В допълнение вирусната ДНК полимераза инкорпорира /вмъква/ ацикловир във вирусната ДНК, причинявайки по този начин прекъсване на веригата в синтеза на вирусната ДНК.</w:t>
      </w:r>
    </w:p>
    <w:p w14:paraId="241830F1"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Комбинацията на тези отделни стъпки води много ефективно до намаляване на вирусната репликация (възпроизвеждане).</w:t>
      </w:r>
    </w:p>
    <w:p w14:paraId="7BC5E0F6" w14:textId="3A056413" w:rsidR="00D500B2" w:rsidRPr="00D500B2" w:rsidRDefault="00D500B2" w:rsidP="00D500B2">
      <w:pPr>
        <w:rPr>
          <w:rFonts w:eastAsia="Times New Roman" w:cs="Arial"/>
          <w:color w:val="000000"/>
          <w:lang w:eastAsia="bg-BG"/>
        </w:rPr>
      </w:pPr>
      <w:r w:rsidRPr="00D500B2">
        <w:rPr>
          <w:rFonts w:eastAsia="Times New Roman" w:cs="Arial"/>
          <w:color w:val="000000"/>
          <w:lang w:eastAsia="bg-BG"/>
        </w:rPr>
        <w:t>Продължителното или повторно лечение с ацикловир при тежко имунокомпрометирани лица може да доведе до избора на вирусни типове с намалена чувствителност, които не могат да отговорят на продължителното лечение с ацикловир.</w:t>
      </w:r>
    </w:p>
    <w:p w14:paraId="7BDCFC40" w14:textId="77777777" w:rsidR="00D500B2" w:rsidRPr="00D500B2" w:rsidRDefault="00D500B2" w:rsidP="00D500B2"/>
    <w:p w14:paraId="7C8C9C46" w14:textId="287EF961" w:rsidR="00E9184E" w:rsidRDefault="002C50EE" w:rsidP="00340E8D">
      <w:pPr>
        <w:pStyle w:val="Heading2"/>
      </w:pPr>
      <w:r>
        <w:t>5.2. Фармакокинетични свойства</w:t>
      </w:r>
    </w:p>
    <w:p w14:paraId="2A31D695" w14:textId="5501CB86" w:rsidR="00D500B2" w:rsidRDefault="00D500B2" w:rsidP="00D500B2"/>
    <w:p w14:paraId="54722E3F"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u w:val="single"/>
          <w:lang w:eastAsia="bg-BG"/>
        </w:rPr>
        <w:t>Абсорбция</w:t>
      </w:r>
    </w:p>
    <w:p w14:paraId="3B64FCC2"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Само част от перорално приетия ацикловир се абсорбира от стомашно-чревния тракт.</w:t>
      </w:r>
    </w:p>
    <w:p w14:paraId="4509603A" w14:textId="77777777" w:rsidR="00D500B2" w:rsidRDefault="00D500B2" w:rsidP="00D500B2">
      <w:pPr>
        <w:spacing w:line="240" w:lineRule="auto"/>
        <w:rPr>
          <w:rFonts w:eastAsia="Times New Roman" w:cs="Arial"/>
          <w:color w:val="000000"/>
          <w:lang w:eastAsia="bg-BG"/>
        </w:rPr>
      </w:pPr>
    </w:p>
    <w:p w14:paraId="2C416390" w14:textId="41A07DDD"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Средният плазмен пик при стационарно състояние след повтарящо се перорално приложение съответно на 200 </w:t>
      </w:r>
      <w:r w:rsidRPr="00D500B2">
        <w:rPr>
          <w:rFonts w:eastAsia="Times New Roman" w:cs="Arial"/>
          <w:color w:val="000000"/>
          <w:lang w:val="en-US"/>
        </w:rPr>
        <w:t xml:space="preserve">mg, </w:t>
      </w:r>
      <w:r w:rsidRPr="00D500B2">
        <w:rPr>
          <w:rFonts w:eastAsia="Times New Roman" w:cs="Arial"/>
          <w:color w:val="000000"/>
          <w:lang w:eastAsia="bg-BG"/>
        </w:rPr>
        <w:t xml:space="preserve">400 </w:t>
      </w:r>
      <w:r w:rsidRPr="00D500B2">
        <w:rPr>
          <w:rFonts w:eastAsia="Times New Roman" w:cs="Arial"/>
          <w:color w:val="000000"/>
          <w:lang w:val="en-US"/>
        </w:rPr>
        <w:t xml:space="preserve">mg, </w:t>
      </w:r>
      <w:r w:rsidRPr="00D500B2">
        <w:rPr>
          <w:rFonts w:eastAsia="Times New Roman" w:cs="Arial"/>
          <w:color w:val="000000"/>
          <w:lang w:eastAsia="bg-BG"/>
        </w:rPr>
        <w:t xml:space="preserve">800 </w:t>
      </w:r>
      <w:r w:rsidRPr="00D500B2">
        <w:rPr>
          <w:rFonts w:eastAsia="Times New Roman" w:cs="Arial"/>
          <w:color w:val="000000"/>
          <w:lang w:val="en-US"/>
        </w:rPr>
        <w:t xml:space="preserve">mg </w:t>
      </w:r>
      <w:r w:rsidRPr="00D500B2">
        <w:rPr>
          <w:rFonts w:eastAsia="Times New Roman" w:cs="Arial"/>
          <w:color w:val="000000"/>
          <w:lang w:eastAsia="bg-BG"/>
        </w:rPr>
        <w:t xml:space="preserve">пет пъти дневно на всеки 4 часа е 3.02 </w:t>
      </w:r>
      <w:r w:rsidRPr="00D500B2">
        <w:rPr>
          <w:rFonts w:eastAsia="Times New Roman" w:cs="Arial"/>
          <w:color w:val="000000"/>
          <w:lang w:eastAsia="bg-BG"/>
        </w:rPr>
        <w:lastRenderedPageBreak/>
        <w:t>± 0.5 μ</w:t>
      </w:r>
      <w:r w:rsidRPr="00D500B2">
        <w:rPr>
          <w:rFonts w:eastAsia="Times New Roman" w:cs="Arial"/>
          <w:color w:val="000000"/>
          <w:lang w:val="en-US"/>
        </w:rPr>
        <w:t>mol</w:t>
      </w:r>
      <w:r w:rsidRPr="00D500B2">
        <w:rPr>
          <w:rFonts w:eastAsia="Times New Roman" w:cs="Arial"/>
          <w:color w:val="000000"/>
          <w:lang w:eastAsia="bg-BG"/>
        </w:rPr>
        <w:t>/</w:t>
      </w:r>
      <w:r w:rsidRPr="00D500B2">
        <w:rPr>
          <w:rFonts w:eastAsia="Times New Roman" w:cs="Arial"/>
          <w:color w:val="000000"/>
          <w:lang w:val="en-US"/>
        </w:rPr>
        <w:t>l</w:t>
      </w:r>
      <w:r w:rsidRPr="00D500B2">
        <w:rPr>
          <w:rFonts w:eastAsia="Times New Roman" w:cs="Arial"/>
          <w:color w:val="000000"/>
          <w:lang w:eastAsia="bg-BG"/>
        </w:rPr>
        <w:t xml:space="preserve"> (200 </w:t>
      </w:r>
      <w:r w:rsidRPr="00D500B2">
        <w:rPr>
          <w:rFonts w:eastAsia="Times New Roman" w:cs="Arial"/>
          <w:color w:val="000000"/>
          <w:lang w:val="en-US"/>
        </w:rPr>
        <w:t xml:space="preserve">mg), </w:t>
      </w:r>
      <w:r w:rsidRPr="00D500B2">
        <w:rPr>
          <w:rFonts w:eastAsia="Times New Roman" w:cs="Arial"/>
          <w:color w:val="000000"/>
          <w:lang w:eastAsia="bg-BG"/>
        </w:rPr>
        <w:t>5.21 ± 1.32 μ</w:t>
      </w:r>
      <w:r w:rsidRPr="00D500B2">
        <w:rPr>
          <w:rFonts w:eastAsia="Times New Roman" w:cs="Arial"/>
          <w:color w:val="000000"/>
          <w:lang w:val="en-US"/>
        </w:rPr>
        <w:t>mol</w:t>
      </w:r>
      <w:r w:rsidRPr="00D500B2">
        <w:rPr>
          <w:rFonts w:eastAsia="Times New Roman" w:cs="Arial"/>
          <w:color w:val="000000"/>
          <w:lang w:eastAsia="bg-BG"/>
        </w:rPr>
        <w:t>/</w:t>
      </w:r>
      <w:r w:rsidRPr="00D500B2">
        <w:rPr>
          <w:rFonts w:eastAsia="Times New Roman" w:cs="Arial"/>
          <w:color w:val="000000"/>
          <w:lang w:val="en-US"/>
        </w:rPr>
        <w:t>l</w:t>
      </w:r>
      <w:r w:rsidRPr="00D500B2">
        <w:rPr>
          <w:rFonts w:eastAsia="Times New Roman" w:cs="Arial"/>
          <w:color w:val="000000"/>
          <w:lang w:eastAsia="bg-BG"/>
        </w:rPr>
        <w:t xml:space="preserve"> (400 </w:t>
      </w:r>
      <w:r w:rsidRPr="00D500B2">
        <w:rPr>
          <w:rFonts w:eastAsia="Times New Roman" w:cs="Arial"/>
          <w:color w:val="000000"/>
          <w:lang w:val="en-US"/>
        </w:rPr>
        <w:t xml:space="preserve">mg) </w:t>
      </w:r>
      <w:r w:rsidRPr="00D500B2">
        <w:rPr>
          <w:rFonts w:eastAsia="Times New Roman" w:cs="Arial"/>
          <w:color w:val="000000"/>
          <w:lang w:eastAsia="bg-BG"/>
        </w:rPr>
        <w:t>или 8.16 ± 1.98 μ</w:t>
      </w:r>
      <w:r w:rsidRPr="00D500B2">
        <w:rPr>
          <w:rFonts w:eastAsia="Times New Roman" w:cs="Arial"/>
          <w:color w:val="000000"/>
          <w:lang w:val="en-US"/>
        </w:rPr>
        <w:t>mol</w:t>
      </w:r>
      <w:r w:rsidRPr="00D500B2">
        <w:rPr>
          <w:rFonts w:eastAsia="Times New Roman" w:cs="Arial"/>
          <w:color w:val="000000"/>
          <w:lang w:eastAsia="bg-BG"/>
        </w:rPr>
        <w:t>/</w:t>
      </w:r>
      <w:r w:rsidRPr="00D500B2">
        <w:rPr>
          <w:rFonts w:eastAsia="Times New Roman" w:cs="Arial"/>
          <w:color w:val="000000"/>
          <w:lang w:val="en-US"/>
        </w:rPr>
        <w:t>l</w:t>
      </w:r>
      <w:r w:rsidRPr="00D500B2">
        <w:rPr>
          <w:rFonts w:eastAsia="Times New Roman" w:cs="Arial"/>
          <w:color w:val="000000"/>
          <w:lang w:eastAsia="bg-BG"/>
        </w:rPr>
        <w:t xml:space="preserve"> (800 </w:t>
      </w:r>
      <w:r w:rsidRPr="00D500B2">
        <w:rPr>
          <w:rFonts w:eastAsia="Times New Roman" w:cs="Arial"/>
          <w:color w:val="000000"/>
          <w:lang w:val="en-US"/>
        </w:rPr>
        <w:t xml:space="preserve">mg). </w:t>
      </w:r>
      <w:r w:rsidRPr="00D500B2">
        <w:rPr>
          <w:rFonts w:eastAsia="Times New Roman" w:cs="Arial"/>
          <w:color w:val="000000"/>
          <w:lang w:eastAsia="bg-BG"/>
        </w:rPr>
        <w:t>Тези стойности се достигат след около 1.5 + 0.6 часа. Най-ниските плазмени нива, определени след около 4 часа след последната, перорално приета доза ацикловир, са 1.61 ± 0.3 μ</w:t>
      </w:r>
      <w:r w:rsidRPr="00D500B2">
        <w:rPr>
          <w:rFonts w:eastAsia="Times New Roman" w:cs="Arial"/>
          <w:color w:val="000000"/>
          <w:lang w:val="en-US"/>
        </w:rPr>
        <w:t>mol/l</w:t>
      </w:r>
      <w:r w:rsidRPr="00D500B2">
        <w:rPr>
          <w:rFonts w:eastAsia="Times New Roman" w:cs="Arial"/>
          <w:color w:val="000000"/>
          <w:lang w:eastAsia="bg-BG"/>
        </w:rPr>
        <w:t xml:space="preserve"> (200 </w:t>
      </w:r>
      <w:r w:rsidRPr="00D500B2">
        <w:rPr>
          <w:rFonts w:eastAsia="Times New Roman" w:cs="Arial"/>
          <w:color w:val="000000"/>
          <w:lang w:val="en-US"/>
        </w:rPr>
        <w:t xml:space="preserve">mg), </w:t>
      </w:r>
      <w:r w:rsidRPr="00D500B2">
        <w:rPr>
          <w:rFonts w:eastAsia="Times New Roman" w:cs="Arial"/>
          <w:color w:val="000000"/>
          <w:lang w:eastAsia="bg-BG"/>
        </w:rPr>
        <w:t>2.59 ± 0.53 μ</w:t>
      </w:r>
      <w:r w:rsidRPr="00D500B2">
        <w:rPr>
          <w:rFonts w:eastAsia="Times New Roman" w:cs="Arial"/>
          <w:color w:val="000000"/>
          <w:lang w:val="en-US"/>
        </w:rPr>
        <w:t xml:space="preserve">mol/l </w:t>
      </w:r>
      <w:r w:rsidRPr="00D500B2">
        <w:rPr>
          <w:rFonts w:eastAsia="Times New Roman" w:cs="Arial"/>
          <w:color w:val="000000"/>
          <w:lang w:eastAsia="bg-BG"/>
        </w:rPr>
        <w:t xml:space="preserve">(400 </w:t>
      </w:r>
      <w:r w:rsidRPr="00D500B2">
        <w:rPr>
          <w:rFonts w:eastAsia="Times New Roman" w:cs="Arial"/>
          <w:color w:val="000000"/>
          <w:lang w:val="en-US"/>
        </w:rPr>
        <w:t xml:space="preserve">mg) </w:t>
      </w:r>
      <w:r w:rsidRPr="00D500B2">
        <w:rPr>
          <w:rFonts w:eastAsia="Times New Roman" w:cs="Arial"/>
          <w:color w:val="000000"/>
          <w:lang w:eastAsia="bg-BG"/>
        </w:rPr>
        <w:t>или 4.0 ± 0.72 μ</w:t>
      </w:r>
      <w:r w:rsidRPr="00D500B2">
        <w:rPr>
          <w:rFonts w:eastAsia="Times New Roman" w:cs="Arial"/>
          <w:color w:val="000000"/>
          <w:lang w:val="en-US"/>
        </w:rPr>
        <w:t xml:space="preserve">mol/l </w:t>
      </w:r>
      <w:r w:rsidRPr="00D500B2">
        <w:rPr>
          <w:rFonts w:eastAsia="Times New Roman" w:cs="Arial"/>
          <w:color w:val="000000"/>
          <w:lang w:eastAsia="bg-BG"/>
        </w:rPr>
        <w:t xml:space="preserve">(800 </w:t>
      </w:r>
      <w:r w:rsidRPr="00D500B2">
        <w:rPr>
          <w:rFonts w:eastAsia="Times New Roman" w:cs="Arial"/>
          <w:color w:val="000000"/>
          <w:lang w:val="en-US"/>
        </w:rPr>
        <w:t>mg).</w:t>
      </w:r>
    </w:p>
    <w:p w14:paraId="6279784F" w14:textId="77777777" w:rsidR="00D500B2" w:rsidRDefault="00D500B2" w:rsidP="00D500B2">
      <w:pPr>
        <w:spacing w:line="240" w:lineRule="auto"/>
        <w:rPr>
          <w:rFonts w:eastAsia="Times New Roman" w:cs="Arial"/>
          <w:color w:val="000000"/>
          <w:lang w:eastAsia="bg-BG"/>
        </w:rPr>
      </w:pPr>
    </w:p>
    <w:p w14:paraId="639550EB" w14:textId="13BD5BDA"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След 24 часа от спирането на приема на таблетките лекарството не се открива в тялото.</w:t>
      </w:r>
    </w:p>
    <w:p w14:paraId="27866166" w14:textId="77777777" w:rsidR="00D500B2" w:rsidRDefault="00D500B2" w:rsidP="00D500B2">
      <w:pPr>
        <w:spacing w:line="240" w:lineRule="auto"/>
        <w:rPr>
          <w:rFonts w:eastAsia="Times New Roman" w:cs="Arial"/>
          <w:color w:val="000000"/>
          <w:lang w:eastAsia="bg-BG"/>
        </w:rPr>
      </w:pPr>
    </w:p>
    <w:p w14:paraId="724E3DC1" w14:textId="69095ECA"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Биекспоненциалната кинетика на ацикловир показва, че лекарството</w:t>
      </w:r>
      <w:r w:rsidRPr="00D500B2">
        <w:rPr>
          <w:rFonts w:eastAsia="Times New Roman" w:cs="Arial"/>
          <w:color w:val="000000"/>
          <w:lang w:val="en-US"/>
        </w:rPr>
        <w:t xml:space="preserve"> </w:t>
      </w:r>
      <w:r w:rsidRPr="00D500B2">
        <w:rPr>
          <w:rFonts w:eastAsia="Times New Roman" w:cs="Arial"/>
          <w:color w:val="000000"/>
          <w:lang w:eastAsia="bg-BG"/>
        </w:rPr>
        <w:t>достига високи концентрации в тъканите и органите и се елиминира от тях бавно.</w:t>
      </w:r>
    </w:p>
    <w:p w14:paraId="394E8285" w14:textId="77777777" w:rsidR="00D500B2" w:rsidRDefault="00D500B2" w:rsidP="00D500B2">
      <w:pPr>
        <w:spacing w:line="240" w:lineRule="auto"/>
        <w:rPr>
          <w:rFonts w:eastAsia="Times New Roman" w:cs="Arial"/>
          <w:color w:val="000000"/>
          <w:lang w:eastAsia="bg-BG"/>
        </w:rPr>
      </w:pPr>
    </w:p>
    <w:p w14:paraId="3EA41504" w14:textId="13F1E9F5" w:rsidR="00D500B2" w:rsidRDefault="00D500B2" w:rsidP="00D500B2">
      <w:pPr>
        <w:spacing w:line="240" w:lineRule="auto"/>
        <w:rPr>
          <w:rFonts w:eastAsia="Times New Roman" w:cs="Arial"/>
          <w:color w:val="000000"/>
          <w:u w:val="single"/>
          <w:lang w:eastAsia="bg-BG"/>
        </w:rPr>
      </w:pPr>
      <w:r w:rsidRPr="00D500B2">
        <w:rPr>
          <w:rFonts w:eastAsia="Times New Roman" w:cs="Arial"/>
          <w:color w:val="000000"/>
          <w:u w:val="single"/>
          <w:lang w:eastAsia="bg-BG"/>
        </w:rPr>
        <w:t>Разпределение</w:t>
      </w:r>
    </w:p>
    <w:p w14:paraId="1AAB3C94"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Обемът на разпределение при стационарно състояние е 50 ±8.7 1/1.73</w:t>
      </w:r>
      <w:r w:rsidRPr="00D500B2">
        <w:rPr>
          <w:rFonts w:eastAsia="Times New Roman" w:cs="Arial"/>
          <w:color w:val="000000"/>
          <w:lang w:val="en-US"/>
        </w:rPr>
        <w:t xml:space="preserve"> m</w:t>
      </w:r>
      <w:r w:rsidRPr="00D500B2">
        <w:rPr>
          <w:rFonts w:eastAsia="Times New Roman" w:cs="Arial"/>
          <w:color w:val="000000"/>
          <w:vertAlign w:val="superscript"/>
          <w:lang w:eastAsia="bg-BG"/>
        </w:rPr>
        <w:t>2</w:t>
      </w:r>
      <w:r w:rsidRPr="00D500B2">
        <w:rPr>
          <w:rFonts w:eastAsia="Times New Roman" w:cs="Arial"/>
          <w:color w:val="000000"/>
          <w:lang w:eastAsia="bg-BG"/>
        </w:rPr>
        <w:t xml:space="preserve"> при възрастни и 28 ± 9.3 1/1.73 </w:t>
      </w:r>
      <w:r w:rsidRPr="00D500B2">
        <w:rPr>
          <w:rFonts w:eastAsia="Times New Roman" w:cs="Arial"/>
          <w:color w:val="000000"/>
          <w:lang w:val="en-US"/>
        </w:rPr>
        <w:t>m</w:t>
      </w:r>
      <w:r w:rsidRPr="00D500B2">
        <w:rPr>
          <w:rFonts w:eastAsia="Times New Roman" w:cs="Arial"/>
          <w:color w:val="000000"/>
          <w:vertAlign w:val="superscript"/>
          <w:lang w:eastAsia="bg-BG"/>
        </w:rPr>
        <w:t>2</w:t>
      </w:r>
      <w:r w:rsidRPr="00D500B2">
        <w:rPr>
          <w:rFonts w:eastAsia="Times New Roman" w:cs="Arial"/>
          <w:color w:val="000000"/>
          <w:lang w:eastAsia="bg-BG"/>
        </w:rPr>
        <w:t xml:space="preserve"> при новородени и бебета до 3 месеца. Протеиновото свързване варира от 9 до 33%.</w:t>
      </w:r>
    </w:p>
    <w:p w14:paraId="6F6B5E5F" w14:textId="77777777" w:rsidR="00D500B2" w:rsidRDefault="00D500B2" w:rsidP="00D500B2">
      <w:pPr>
        <w:spacing w:line="240" w:lineRule="auto"/>
        <w:rPr>
          <w:rFonts w:eastAsia="Times New Roman" w:cs="Arial"/>
          <w:color w:val="000000"/>
          <w:u w:val="single"/>
          <w:lang w:eastAsia="bg-BG"/>
        </w:rPr>
      </w:pPr>
    </w:p>
    <w:p w14:paraId="363FCCA3" w14:textId="2BD6EDBE" w:rsidR="00D500B2" w:rsidRPr="00D500B2" w:rsidRDefault="00D500B2" w:rsidP="00D500B2">
      <w:pPr>
        <w:spacing w:line="240" w:lineRule="auto"/>
        <w:rPr>
          <w:rFonts w:eastAsia="Times New Roman" w:cs="Arial"/>
          <w:lang w:eastAsia="bg-BG"/>
        </w:rPr>
      </w:pPr>
      <w:r w:rsidRPr="00D500B2">
        <w:rPr>
          <w:rFonts w:eastAsia="Times New Roman" w:cs="Arial"/>
          <w:color w:val="000000"/>
          <w:u w:val="single"/>
          <w:lang w:eastAsia="bg-BG"/>
        </w:rPr>
        <w:t>Биотрансформация и елиминиране</w:t>
      </w:r>
    </w:p>
    <w:p w14:paraId="489A5F02"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При пациенти с нормална бъбречна функция 62-91% от количеството ацикловир се елиминира в непроменен вид и 10-15% като 9-карбоксиметилгуанин през бъбреците. Времето на плазмен полуживот след интравенозно приложение, е 2.87 ± 0.76 часа при възрастни и 4.1 ± 1.2 часа при новородени и бебета до 3 месеца. Ацикловир е подложен на гломерулна филтрация и тубуларна секреция. Когато е приложен един час след приемане на 1 </w:t>
      </w:r>
      <w:r w:rsidRPr="00D500B2">
        <w:rPr>
          <w:rFonts w:eastAsia="Times New Roman" w:cs="Arial"/>
          <w:color w:val="000000"/>
          <w:lang w:val="en-US"/>
        </w:rPr>
        <w:t xml:space="preserve">g </w:t>
      </w:r>
      <w:r w:rsidRPr="00D500B2">
        <w:rPr>
          <w:rFonts w:eastAsia="Times New Roman" w:cs="Arial"/>
          <w:color w:val="000000"/>
          <w:lang w:eastAsia="bg-BG"/>
        </w:rPr>
        <w:t xml:space="preserve">пробеницид, времето на плазмен полуживот се увеличава с 18% и площта под кривата плазмена концентрация/време </w:t>
      </w:r>
      <w:r w:rsidRPr="00D500B2">
        <w:rPr>
          <w:rFonts w:eastAsia="Times New Roman" w:cs="Arial"/>
          <w:color w:val="000000"/>
          <w:lang w:val="en-US"/>
        </w:rPr>
        <w:t xml:space="preserve">(AUC) </w:t>
      </w:r>
      <w:r w:rsidRPr="00D500B2">
        <w:rPr>
          <w:rFonts w:eastAsia="Times New Roman" w:cs="Arial"/>
          <w:color w:val="000000"/>
          <w:lang w:eastAsia="bg-BG"/>
        </w:rPr>
        <w:t>се увеличава с 40%. Когато бионаличностга на ацикловир е около 20%, около 80% от цялото количество се елиминира чрез фекалиите.</w:t>
      </w:r>
    </w:p>
    <w:p w14:paraId="653BA8BD"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Средното време на полуживот при пациенти с хронична бъбречна недостатъчност е около 19.5 часа, а по време на хемодиализа е 5.7 часа. Нивото на ацикловир в плазмата спада на около 60% по време на хемодиализа. При пациенти с нарушена бъбречна функция и креатининов клирънс от 10 </w:t>
      </w:r>
      <w:r w:rsidRPr="00D500B2">
        <w:rPr>
          <w:rFonts w:eastAsia="Times New Roman" w:cs="Arial"/>
          <w:color w:val="000000"/>
          <w:lang w:val="en-US"/>
        </w:rPr>
        <w:t>ml/min/1.73 m</w:t>
      </w:r>
      <w:r w:rsidRPr="00D500B2">
        <w:rPr>
          <w:rFonts w:eastAsia="Times New Roman" w:cs="Arial"/>
          <w:color w:val="000000"/>
          <w:vertAlign w:val="superscript"/>
          <w:lang w:val="en-US"/>
        </w:rPr>
        <w:t>2</w:t>
      </w:r>
      <w:r w:rsidRPr="00D500B2">
        <w:rPr>
          <w:rFonts w:eastAsia="Times New Roman" w:cs="Arial"/>
          <w:color w:val="000000"/>
          <w:lang w:val="en-US"/>
        </w:rPr>
        <w:t xml:space="preserve">, </w:t>
      </w:r>
      <w:r w:rsidRPr="00D500B2">
        <w:rPr>
          <w:rFonts w:eastAsia="Times New Roman" w:cs="Arial"/>
          <w:color w:val="000000"/>
          <w:lang w:eastAsia="bg-BG"/>
        </w:rPr>
        <w:t xml:space="preserve">доза от 200 </w:t>
      </w:r>
      <w:r w:rsidRPr="00D500B2">
        <w:rPr>
          <w:rFonts w:eastAsia="Times New Roman" w:cs="Arial"/>
          <w:color w:val="000000"/>
          <w:lang w:val="en-US"/>
        </w:rPr>
        <w:t xml:space="preserve">mg </w:t>
      </w:r>
      <w:r w:rsidRPr="00D500B2">
        <w:rPr>
          <w:rFonts w:eastAsia="Times New Roman" w:cs="Arial"/>
          <w:color w:val="000000"/>
          <w:lang w:eastAsia="bg-BG"/>
        </w:rPr>
        <w:t xml:space="preserve">ацикловир пет пъти дневно е свързана с риск от акумулиране. По тази причина е необходимо намаляване на дозата при пациенти с креатининов клирънс &lt;10 </w:t>
      </w:r>
      <w:r w:rsidRPr="00D500B2">
        <w:rPr>
          <w:rFonts w:eastAsia="Times New Roman" w:cs="Arial"/>
          <w:color w:val="000000"/>
          <w:lang w:val="en-US"/>
        </w:rPr>
        <w:t>ml/min/1.73 m</w:t>
      </w:r>
      <w:r w:rsidRPr="00D500B2">
        <w:rPr>
          <w:rFonts w:eastAsia="Times New Roman" w:cs="Arial"/>
          <w:color w:val="000000"/>
          <w:vertAlign w:val="superscript"/>
          <w:lang w:val="en-US"/>
        </w:rPr>
        <w:t>2</w:t>
      </w:r>
      <w:r w:rsidRPr="00D500B2">
        <w:rPr>
          <w:rFonts w:eastAsia="Times New Roman" w:cs="Arial"/>
          <w:color w:val="000000"/>
          <w:lang w:eastAsia="bg-BG"/>
        </w:rPr>
        <w:t xml:space="preserve"> (вижте точка 4.2).</w:t>
      </w:r>
    </w:p>
    <w:p w14:paraId="612EF239" w14:textId="77777777" w:rsidR="00D500B2" w:rsidRDefault="00D500B2" w:rsidP="00D500B2">
      <w:pPr>
        <w:spacing w:line="240" w:lineRule="auto"/>
        <w:rPr>
          <w:rFonts w:eastAsia="Times New Roman" w:cs="Arial"/>
          <w:color w:val="000000"/>
          <w:lang w:eastAsia="bg-BG"/>
        </w:rPr>
      </w:pPr>
    </w:p>
    <w:p w14:paraId="3CC552C5" w14:textId="0510663D"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Педиатрична популация</w:t>
      </w:r>
    </w:p>
    <w:p w14:paraId="79052FEC"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При новородени и малки деца (0 до 3-месечна възраст), лекувани с дози от 10 </w:t>
      </w:r>
      <w:r w:rsidRPr="00D500B2">
        <w:rPr>
          <w:rFonts w:eastAsia="Times New Roman" w:cs="Arial"/>
          <w:color w:val="000000"/>
          <w:lang w:val="en-US"/>
        </w:rPr>
        <w:t xml:space="preserve">mg </w:t>
      </w:r>
      <w:r w:rsidRPr="00D500B2">
        <w:rPr>
          <w:rFonts w:eastAsia="Times New Roman" w:cs="Arial"/>
          <w:color w:val="000000"/>
          <w:lang w:eastAsia="bg-BG"/>
        </w:rPr>
        <w:t xml:space="preserve">/ </w:t>
      </w:r>
      <w:r w:rsidRPr="00D500B2">
        <w:rPr>
          <w:rFonts w:eastAsia="Times New Roman" w:cs="Arial"/>
          <w:color w:val="000000"/>
          <w:lang w:val="en-US"/>
        </w:rPr>
        <w:t xml:space="preserve">kg </w:t>
      </w:r>
      <w:r w:rsidRPr="00D500B2">
        <w:rPr>
          <w:rFonts w:eastAsia="Times New Roman" w:cs="Arial"/>
          <w:color w:val="000000"/>
          <w:lang w:eastAsia="bg-BG"/>
        </w:rPr>
        <w:t>се прилагани чрез инфузия в продължение на един час период на всеки 8 часа С</w:t>
      </w:r>
      <w:r w:rsidRPr="00D500B2">
        <w:rPr>
          <w:rFonts w:eastAsia="Times New Roman" w:cs="Arial"/>
          <w:color w:val="000000"/>
          <w:lang w:val="en-US"/>
        </w:rPr>
        <w:t>max</w:t>
      </w:r>
      <w:r w:rsidRPr="00D500B2">
        <w:rPr>
          <w:rFonts w:eastAsia="Times New Roman" w:cs="Arial"/>
          <w:color w:val="000000"/>
          <w:lang w:eastAsia="bg-BG"/>
        </w:rPr>
        <w:t xml:space="preserve"> е 61.2 μ</w:t>
      </w:r>
      <w:r w:rsidRPr="00D500B2">
        <w:rPr>
          <w:rFonts w:eastAsia="Times New Roman" w:cs="Arial"/>
          <w:color w:val="000000"/>
          <w:lang w:val="en-US"/>
        </w:rPr>
        <w:t>mol</w:t>
      </w:r>
      <w:r w:rsidRPr="00D500B2">
        <w:rPr>
          <w:rFonts w:eastAsia="Times New Roman" w:cs="Arial"/>
          <w:color w:val="000000"/>
          <w:lang w:eastAsia="bg-BG"/>
        </w:rPr>
        <w:t>/</w:t>
      </w:r>
      <w:r w:rsidRPr="00D500B2">
        <w:rPr>
          <w:rFonts w:eastAsia="Times New Roman" w:cs="Arial"/>
          <w:color w:val="000000"/>
          <w:lang w:val="en-US"/>
        </w:rPr>
        <w:t>l</w:t>
      </w:r>
      <w:r w:rsidRPr="00D500B2">
        <w:rPr>
          <w:rFonts w:eastAsia="Times New Roman" w:cs="Arial"/>
          <w:color w:val="000000"/>
          <w:lang w:eastAsia="bg-BG"/>
        </w:rPr>
        <w:t xml:space="preserve"> (13.8 μ</w:t>
      </w:r>
      <w:r w:rsidRPr="00D500B2">
        <w:rPr>
          <w:rFonts w:eastAsia="Times New Roman" w:cs="Arial"/>
          <w:color w:val="000000"/>
          <w:lang w:val="en-US"/>
        </w:rPr>
        <w:t xml:space="preserve">mol/ ml) </w:t>
      </w:r>
      <w:r w:rsidRPr="00D500B2">
        <w:rPr>
          <w:rFonts w:eastAsia="Times New Roman" w:cs="Arial"/>
          <w:color w:val="000000"/>
          <w:lang w:eastAsia="bg-BG"/>
        </w:rPr>
        <w:t xml:space="preserve">и </w:t>
      </w:r>
      <w:proofErr w:type="spellStart"/>
      <w:r w:rsidRPr="00D500B2">
        <w:rPr>
          <w:rFonts w:eastAsia="Times New Roman" w:cs="Arial"/>
          <w:color w:val="000000"/>
          <w:lang w:val="en-US"/>
        </w:rPr>
        <w:t>Cmin</w:t>
      </w:r>
      <w:proofErr w:type="spellEnd"/>
      <w:r w:rsidRPr="00D500B2">
        <w:rPr>
          <w:rFonts w:eastAsia="Times New Roman" w:cs="Arial"/>
          <w:color w:val="000000"/>
          <w:lang w:val="en-US"/>
        </w:rPr>
        <w:t xml:space="preserve"> </w:t>
      </w:r>
      <w:r w:rsidRPr="00D500B2">
        <w:rPr>
          <w:rFonts w:eastAsia="Times New Roman" w:cs="Arial"/>
          <w:color w:val="000000"/>
          <w:lang w:eastAsia="bg-BG"/>
        </w:rPr>
        <w:t>се 10.1 μ</w:t>
      </w:r>
      <w:r w:rsidRPr="00D500B2">
        <w:rPr>
          <w:rFonts w:eastAsia="Times New Roman" w:cs="Arial"/>
          <w:color w:val="000000"/>
          <w:lang w:val="en-US"/>
        </w:rPr>
        <w:t xml:space="preserve">mol </w:t>
      </w:r>
      <w:r w:rsidRPr="00D500B2">
        <w:rPr>
          <w:rFonts w:eastAsia="Times New Roman" w:cs="Arial"/>
          <w:color w:val="000000"/>
          <w:lang w:eastAsia="bg-BG"/>
        </w:rPr>
        <w:t>/1(2.3 μ</w:t>
      </w:r>
      <w:r w:rsidRPr="00D500B2">
        <w:rPr>
          <w:rFonts w:eastAsia="Times New Roman" w:cs="Arial"/>
          <w:color w:val="000000"/>
          <w:lang w:val="en-US"/>
        </w:rPr>
        <w:t xml:space="preserve">g </w:t>
      </w:r>
      <w:r w:rsidRPr="00D500B2">
        <w:rPr>
          <w:rFonts w:eastAsia="Times New Roman" w:cs="Arial"/>
          <w:color w:val="000000"/>
          <w:lang w:eastAsia="bg-BG"/>
        </w:rPr>
        <w:t xml:space="preserve">/ </w:t>
      </w:r>
      <w:r w:rsidRPr="00D500B2">
        <w:rPr>
          <w:rFonts w:eastAsia="Times New Roman" w:cs="Arial"/>
          <w:color w:val="000000"/>
          <w:lang w:val="en-US"/>
        </w:rPr>
        <w:t xml:space="preserve">ml). </w:t>
      </w:r>
      <w:r w:rsidRPr="00D500B2">
        <w:rPr>
          <w:rFonts w:eastAsia="Times New Roman" w:cs="Arial"/>
          <w:color w:val="000000"/>
          <w:lang w:eastAsia="bg-BG"/>
        </w:rPr>
        <w:t xml:space="preserve">Терминалният плазмен полуживот при тези пациенти е 3.8 часа. Отделна група от новородени се обработва с 15 </w:t>
      </w:r>
      <w:r w:rsidRPr="00D500B2">
        <w:rPr>
          <w:rFonts w:eastAsia="Times New Roman" w:cs="Arial"/>
          <w:color w:val="000000"/>
          <w:lang w:val="en-US"/>
        </w:rPr>
        <w:t xml:space="preserve">mg </w:t>
      </w:r>
      <w:r w:rsidRPr="00D500B2">
        <w:rPr>
          <w:rFonts w:eastAsia="Times New Roman" w:cs="Arial"/>
          <w:color w:val="000000"/>
          <w:lang w:eastAsia="bg-BG"/>
        </w:rPr>
        <w:t xml:space="preserve">/ </w:t>
      </w:r>
      <w:r w:rsidRPr="00D500B2">
        <w:rPr>
          <w:rFonts w:eastAsia="Times New Roman" w:cs="Arial"/>
          <w:color w:val="000000"/>
          <w:lang w:val="en-US"/>
        </w:rPr>
        <w:t xml:space="preserve">kg </w:t>
      </w:r>
      <w:r w:rsidRPr="00D500B2">
        <w:rPr>
          <w:rFonts w:eastAsia="Times New Roman" w:cs="Arial"/>
          <w:color w:val="000000"/>
          <w:lang w:eastAsia="bg-BG"/>
        </w:rPr>
        <w:t>на всеки 8 часа показват приблизително пропорционална на дозата се увеличава, с Стах 83.5 μмол/</w:t>
      </w:r>
      <w:r w:rsidRPr="00D500B2">
        <w:rPr>
          <w:rFonts w:eastAsia="Times New Roman" w:cs="Arial"/>
          <w:color w:val="000000"/>
          <w:lang w:val="en-US"/>
        </w:rPr>
        <w:t>l</w:t>
      </w:r>
      <w:r w:rsidRPr="00D500B2">
        <w:rPr>
          <w:rFonts w:eastAsia="Times New Roman" w:cs="Arial"/>
          <w:color w:val="000000"/>
          <w:lang w:eastAsia="bg-BG"/>
        </w:rPr>
        <w:t xml:space="preserve"> (18.8 μ</w:t>
      </w:r>
      <w:r w:rsidRPr="00D500B2">
        <w:rPr>
          <w:rFonts w:eastAsia="Times New Roman" w:cs="Arial"/>
          <w:color w:val="000000"/>
          <w:lang w:val="en-US"/>
        </w:rPr>
        <w:t xml:space="preserve">g/ ml) </w:t>
      </w:r>
      <w:r w:rsidRPr="00D500B2">
        <w:rPr>
          <w:rFonts w:eastAsia="Times New Roman" w:cs="Arial"/>
          <w:color w:val="000000"/>
          <w:lang w:eastAsia="bg-BG"/>
        </w:rPr>
        <w:t xml:space="preserve">и </w:t>
      </w:r>
      <w:proofErr w:type="spellStart"/>
      <w:r w:rsidRPr="00D500B2">
        <w:rPr>
          <w:rFonts w:eastAsia="Times New Roman" w:cs="Arial"/>
          <w:color w:val="000000"/>
          <w:lang w:val="en-US"/>
        </w:rPr>
        <w:t>Cmin</w:t>
      </w:r>
      <w:proofErr w:type="spellEnd"/>
      <w:r w:rsidRPr="00D500B2">
        <w:rPr>
          <w:rFonts w:eastAsia="Times New Roman" w:cs="Arial"/>
          <w:color w:val="000000"/>
          <w:lang w:val="en-US"/>
        </w:rPr>
        <w:t xml:space="preserve"> </w:t>
      </w:r>
      <w:r w:rsidRPr="00D500B2">
        <w:rPr>
          <w:rFonts w:eastAsia="Times New Roman" w:cs="Arial"/>
          <w:color w:val="000000"/>
          <w:lang w:eastAsia="bg-BG"/>
        </w:rPr>
        <w:t>на 14.1 μ</w:t>
      </w:r>
      <w:r w:rsidRPr="00D500B2">
        <w:rPr>
          <w:rFonts w:eastAsia="Times New Roman" w:cs="Arial"/>
          <w:color w:val="000000"/>
          <w:lang w:val="en-US"/>
        </w:rPr>
        <w:t xml:space="preserve">mol </w:t>
      </w:r>
      <w:r w:rsidRPr="00D500B2">
        <w:rPr>
          <w:rFonts w:eastAsia="Times New Roman" w:cs="Arial"/>
          <w:color w:val="000000"/>
          <w:lang w:eastAsia="bg-BG"/>
        </w:rPr>
        <w:t>/1 (3.2 μ</w:t>
      </w:r>
      <w:r w:rsidRPr="00D500B2">
        <w:rPr>
          <w:rFonts w:eastAsia="Times New Roman" w:cs="Arial"/>
          <w:color w:val="000000"/>
          <w:lang w:val="en-US"/>
        </w:rPr>
        <w:t>g/ml).</w:t>
      </w:r>
    </w:p>
    <w:p w14:paraId="2502AE7D" w14:textId="77777777" w:rsidR="00D500B2" w:rsidRDefault="00D500B2" w:rsidP="00D500B2">
      <w:pPr>
        <w:spacing w:line="240" w:lineRule="auto"/>
        <w:rPr>
          <w:rFonts w:eastAsia="Times New Roman" w:cs="Arial"/>
          <w:color w:val="000000"/>
          <w:lang w:eastAsia="bg-BG"/>
        </w:rPr>
      </w:pPr>
    </w:p>
    <w:p w14:paraId="570C6133" w14:textId="610F5A29"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Това е възможно да се определи средните пикови плазмени стойности на 5.7 до 15.1 μ</w:t>
      </w:r>
      <w:r w:rsidRPr="00D500B2">
        <w:rPr>
          <w:rFonts w:eastAsia="Times New Roman" w:cs="Arial"/>
          <w:color w:val="000000"/>
          <w:lang w:val="en-US"/>
        </w:rPr>
        <w:t xml:space="preserve">mol/ </w:t>
      </w:r>
      <w:r w:rsidRPr="00D500B2">
        <w:rPr>
          <w:rFonts w:eastAsia="Times New Roman" w:cs="Arial"/>
          <w:color w:val="000000"/>
          <w:lang w:eastAsia="bg-BG"/>
        </w:rPr>
        <w:t xml:space="preserve">1 при имунокомпрометирани деца на възраст между 3-11 години, които са дадени орално ацикловир в дози от 400 </w:t>
      </w:r>
      <w:r w:rsidRPr="00D500B2">
        <w:rPr>
          <w:rFonts w:eastAsia="Times New Roman" w:cs="Arial"/>
          <w:color w:val="000000"/>
          <w:lang w:val="en-US"/>
        </w:rPr>
        <w:t xml:space="preserve">mg </w:t>
      </w:r>
      <w:r w:rsidRPr="00D500B2">
        <w:rPr>
          <w:rFonts w:eastAsia="Times New Roman" w:cs="Arial"/>
          <w:color w:val="000000"/>
          <w:lang w:eastAsia="bg-BG"/>
        </w:rPr>
        <w:t xml:space="preserve">(еквивалентно на 300-650 </w:t>
      </w:r>
      <w:r w:rsidRPr="00D500B2">
        <w:rPr>
          <w:rFonts w:eastAsia="Times New Roman" w:cs="Arial"/>
          <w:color w:val="000000"/>
          <w:lang w:val="en-US"/>
        </w:rPr>
        <w:t xml:space="preserve">mg </w:t>
      </w:r>
      <w:r w:rsidRPr="00D500B2">
        <w:rPr>
          <w:rFonts w:eastAsia="Times New Roman" w:cs="Arial"/>
          <w:color w:val="000000"/>
          <w:lang w:eastAsia="bg-BG"/>
        </w:rPr>
        <w:t xml:space="preserve">ацикловир / m2 </w:t>
      </w:r>
      <w:r w:rsidRPr="00D500B2">
        <w:rPr>
          <w:rFonts w:eastAsia="Times New Roman" w:cs="Arial"/>
          <w:color w:val="000000"/>
          <w:lang w:val="en-US"/>
        </w:rPr>
        <w:t xml:space="preserve">BSA) </w:t>
      </w:r>
      <w:r w:rsidRPr="00D500B2">
        <w:rPr>
          <w:rFonts w:eastAsia="Times New Roman" w:cs="Arial"/>
          <w:color w:val="000000"/>
          <w:lang w:eastAsia="bg-BG"/>
        </w:rPr>
        <w:t xml:space="preserve">5 пъти дневно. При кърмачета на възраст от 1 до 6 седмици, в пиковите плазмени стойности от 17.3 и 8.6 </w:t>
      </w:r>
      <w:r w:rsidRPr="00D500B2">
        <w:rPr>
          <w:rFonts w:eastAsia="Times New Roman" w:cs="Arial"/>
          <w:i/>
          <w:iCs/>
          <w:color w:val="000000"/>
          <w:lang w:eastAsia="bg-BG"/>
        </w:rPr>
        <w:t>μ</w:t>
      </w:r>
      <w:r w:rsidRPr="00D500B2">
        <w:rPr>
          <w:rFonts w:eastAsia="Times New Roman" w:cs="Arial"/>
          <w:i/>
          <w:iCs/>
          <w:color w:val="000000"/>
          <w:lang w:val="en-US"/>
        </w:rPr>
        <w:t>mol</w:t>
      </w:r>
      <w:r w:rsidRPr="00D500B2">
        <w:rPr>
          <w:rFonts w:eastAsia="Times New Roman" w:cs="Arial"/>
          <w:color w:val="000000"/>
          <w:lang w:val="en-US"/>
        </w:rPr>
        <w:t xml:space="preserve"> </w:t>
      </w:r>
      <w:r w:rsidRPr="00D500B2">
        <w:rPr>
          <w:rFonts w:eastAsia="Times New Roman" w:cs="Arial"/>
          <w:color w:val="000000"/>
          <w:lang w:eastAsia="bg-BG"/>
        </w:rPr>
        <w:t xml:space="preserve">/ </w:t>
      </w:r>
      <w:r w:rsidRPr="00D500B2">
        <w:rPr>
          <w:rFonts w:eastAsia="Times New Roman" w:cs="Arial"/>
          <w:color w:val="000000"/>
          <w:lang w:val="en-US"/>
        </w:rPr>
        <w:t xml:space="preserve">L </w:t>
      </w:r>
      <w:r w:rsidRPr="00D500B2">
        <w:rPr>
          <w:rFonts w:eastAsia="Times New Roman" w:cs="Arial"/>
          <w:color w:val="000000"/>
          <w:lang w:eastAsia="bg-BG"/>
        </w:rPr>
        <w:t xml:space="preserve">респективно- телно са измерени след перорален прием на 600 </w:t>
      </w:r>
      <w:r w:rsidRPr="00D500B2">
        <w:rPr>
          <w:rFonts w:eastAsia="Times New Roman" w:cs="Arial"/>
          <w:color w:val="000000"/>
          <w:lang w:val="en-US"/>
        </w:rPr>
        <w:t xml:space="preserve">mg </w:t>
      </w:r>
      <w:r w:rsidRPr="00D500B2">
        <w:rPr>
          <w:rFonts w:eastAsia="Times New Roman" w:cs="Arial"/>
          <w:color w:val="000000"/>
          <w:lang w:eastAsia="bg-BG"/>
        </w:rPr>
        <w:t xml:space="preserve">ацикловир / </w:t>
      </w:r>
      <w:r w:rsidRPr="00D500B2">
        <w:rPr>
          <w:rFonts w:eastAsia="Times New Roman" w:cs="Arial"/>
          <w:color w:val="000000"/>
          <w:lang w:val="en-US"/>
        </w:rPr>
        <w:t>m</w:t>
      </w:r>
      <w:r w:rsidRPr="00D500B2">
        <w:rPr>
          <w:rFonts w:eastAsia="Times New Roman" w:cs="Arial"/>
          <w:color w:val="000000"/>
          <w:vertAlign w:val="superscript"/>
          <w:lang w:val="en-US"/>
        </w:rPr>
        <w:t>2</w:t>
      </w:r>
      <w:r w:rsidRPr="00D500B2">
        <w:rPr>
          <w:rFonts w:eastAsia="Times New Roman" w:cs="Arial"/>
          <w:color w:val="000000"/>
          <w:lang w:val="en-US"/>
        </w:rPr>
        <w:t xml:space="preserve"> BSA </w:t>
      </w:r>
      <w:r w:rsidRPr="00D500B2">
        <w:rPr>
          <w:rFonts w:eastAsia="Times New Roman" w:cs="Arial"/>
          <w:color w:val="000000"/>
          <w:lang w:eastAsia="bg-BG"/>
        </w:rPr>
        <w:t>на всеки 6 часа.</w:t>
      </w:r>
    </w:p>
    <w:p w14:paraId="10F9D419"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При деца с потисната имунна защита от 3 до 11 години, приемали перорално по 400 </w:t>
      </w:r>
      <w:r w:rsidRPr="00D500B2">
        <w:rPr>
          <w:rFonts w:eastAsia="Times New Roman" w:cs="Arial"/>
          <w:color w:val="000000"/>
          <w:lang w:val="en-US"/>
        </w:rPr>
        <w:t xml:space="preserve">mg </w:t>
      </w:r>
      <w:r w:rsidRPr="00D500B2">
        <w:rPr>
          <w:rFonts w:eastAsia="Times New Roman" w:cs="Arial"/>
          <w:color w:val="000000"/>
          <w:lang w:eastAsia="bg-BG"/>
        </w:rPr>
        <w:t xml:space="preserve">ацикловир (еквивалентни на 300-650 </w:t>
      </w:r>
      <w:r w:rsidRPr="00D500B2">
        <w:rPr>
          <w:rFonts w:eastAsia="Times New Roman" w:cs="Arial"/>
          <w:color w:val="000000"/>
          <w:lang w:val="en-US"/>
        </w:rPr>
        <w:t>mg/m</w:t>
      </w:r>
      <w:r w:rsidRPr="00D500B2">
        <w:rPr>
          <w:rFonts w:eastAsia="Times New Roman" w:cs="Arial"/>
          <w:color w:val="000000"/>
          <w:vertAlign w:val="superscript"/>
          <w:lang w:val="en-US"/>
        </w:rPr>
        <w:t>2</w:t>
      </w:r>
      <w:r w:rsidRPr="00D500B2">
        <w:rPr>
          <w:rFonts w:eastAsia="Times New Roman" w:cs="Arial"/>
          <w:color w:val="000000"/>
          <w:lang w:val="en-US"/>
        </w:rPr>
        <w:t xml:space="preserve"> acyclovir) </w:t>
      </w:r>
      <w:r w:rsidRPr="00D500B2">
        <w:rPr>
          <w:rFonts w:eastAsia="Times New Roman" w:cs="Arial"/>
          <w:color w:val="000000"/>
          <w:lang w:eastAsia="bg-BG"/>
        </w:rPr>
        <w:t>5 пъти дневно, са установени средни плазмени концентрации 5.7 -15.1 μ</w:t>
      </w:r>
      <w:r w:rsidRPr="00D500B2">
        <w:rPr>
          <w:rFonts w:eastAsia="Times New Roman" w:cs="Arial"/>
          <w:color w:val="000000"/>
          <w:lang w:val="en-US"/>
        </w:rPr>
        <w:t xml:space="preserve">mol/l. </w:t>
      </w:r>
      <w:r w:rsidRPr="00D500B2">
        <w:rPr>
          <w:rFonts w:eastAsia="Times New Roman" w:cs="Arial"/>
          <w:color w:val="000000"/>
          <w:lang w:eastAsia="bg-BG"/>
        </w:rPr>
        <w:t xml:space="preserve">Бебета (1-6 седмици), приемали перорално по 600 </w:t>
      </w:r>
      <w:r w:rsidRPr="00D500B2">
        <w:rPr>
          <w:rFonts w:eastAsia="Times New Roman" w:cs="Arial"/>
          <w:color w:val="000000"/>
          <w:lang w:val="en-US"/>
        </w:rPr>
        <w:t>mg/m</w:t>
      </w:r>
      <w:r w:rsidRPr="00D500B2">
        <w:rPr>
          <w:rFonts w:eastAsia="Times New Roman" w:cs="Arial"/>
          <w:color w:val="000000"/>
          <w:vertAlign w:val="superscript"/>
          <w:lang w:val="en-US"/>
        </w:rPr>
        <w:t xml:space="preserve">2 </w:t>
      </w:r>
      <w:r w:rsidRPr="00D500B2">
        <w:rPr>
          <w:rFonts w:eastAsia="Times New Roman" w:cs="Arial"/>
          <w:color w:val="000000"/>
          <w:lang w:eastAsia="bg-BG"/>
        </w:rPr>
        <w:t>ацикловир на всеки 6 часа, са имали най-високи плазмени концентрации 17.3 или 8.6 μ</w:t>
      </w:r>
      <w:r w:rsidRPr="00D500B2">
        <w:rPr>
          <w:rFonts w:eastAsia="Times New Roman" w:cs="Arial"/>
          <w:color w:val="000000"/>
          <w:lang w:val="en-US"/>
        </w:rPr>
        <w:t>mol/1.</w:t>
      </w:r>
    </w:p>
    <w:p w14:paraId="42A913FA" w14:textId="77777777" w:rsidR="00D500B2" w:rsidRPr="00D500B2" w:rsidRDefault="00D500B2" w:rsidP="00D500B2">
      <w:pPr>
        <w:spacing w:line="240" w:lineRule="auto"/>
        <w:rPr>
          <w:rFonts w:eastAsia="Times New Roman" w:cs="Arial"/>
          <w:u w:val="single"/>
          <w:lang w:eastAsia="bg-BG"/>
        </w:rPr>
      </w:pPr>
    </w:p>
    <w:p w14:paraId="40E9B2C4" w14:textId="77777777" w:rsidR="00D500B2" w:rsidRPr="00D500B2" w:rsidRDefault="00D500B2" w:rsidP="00D500B2"/>
    <w:p w14:paraId="0BD5B037" w14:textId="72ECB1D9" w:rsidR="008F7F23" w:rsidRDefault="002C50EE" w:rsidP="00340E8D">
      <w:pPr>
        <w:pStyle w:val="Heading2"/>
      </w:pPr>
      <w:r>
        <w:t>5.3. Предклинични данни за безопасност</w:t>
      </w:r>
    </w:p>
    <w:p w14:paraId="7D6FB3C3" w14:textId="41502944" w:rsidR="00D500B2" w:rsidRDefault="00D500B2" w:rsidP="00D500B2"/>
    <w:p w14:paraId="6175AF24"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Пероралната </w:t>
      </w:r>
      <w:r w:rsidRPr="00D500B2">
        <w:rPr>
          <w:rFonts w:eastAsia="Times New Roman" w:cs="Arial"/>
          <w:color w:val="000000"/>
          <w:lang w:val="en-US"/>
        </w:rPr>
        <w:t>LD</w:t>
      </w:r>
      <w:r w:rsidRPr="00D500B2">
        <w:rPr>
          <w:rFonts w:eastAsia="Times New Roman" w:cs="Arial"/>
          <w:color w:val="000000"/>
          <w:vertAlign w:val="subscript"/>
          <w:lang w:val="en-US"/>
        </w:rPr>
        <w:t>50</w:t>
      </w:r>
      <w:r w:rsidRPr="00D500B2">
        <w:rPr>
          <w:rFonts w:eastAsia="Times New Roman" w:cs="Arial"/>
          <w:color w:val="000000"/>
          <w:lang w:val="en-US"/>
        </w:rPr>
        <w:t xml:space="preserve"> </w:t>
      </w:r>
      <w:r w:rsidRPr="00D500B2">
        <w:rPr>
          <w:rFonts w:eastAsia="Times New Roman" w:cs="Arial"/>
          <w:color w:val="000000"/>
          <w:lang w:eastAsia="bg-BG"/>
        </w:rPr>
        <w:t xml:space="preserve">на ацикловир при мишки и плъхове не може да се определи, тъй като дози, по- високи от </w:t>
      </w:r>
      <w:r w:rsidRPr="00D500B2">
        <w:rPr>
          <w:rFonts w:eastAsia="Times New Roman" w:cs="Arial"/>
          <w:color w:val="000000"/>
          <w:lang w:val="en-US"/>
        </w:rPr>
        <w:t xml:space="preserve">10g/kg </w:t>
      </w:r>
      <w:r w:rsidRPr="00D500B2">
        <w:rPr>
          <w:rFonts w:eastAsia="Times New Roman" w:cs="Arial"/>
          <w:color w:val="000000"/>
          <w:lang w:eastAsia="bg-BG"/>
        </w:rPr>
        <w:t xml:space="preserve">(мишки) или </w:t>
      </w:r>
      <w:r w:rsidRPr="00D500B2">
        <w:rPr>
          <w:rFonts w:eastAsia="Times New Roman" w:cs="Arial"/>
          <w:color w:val="000000"/>
          <w:lang w:val="en-US"/>
        </w:rPr>
        <w:t xml:space="preserve">20g/kg </w:t>
      </w:r>
      <w:r w:rsidRPr="00D500B2">
        <w:rPr>
          <w:rFonts w:eastAsia="Times New Roman" w:cs="Arial"/>
          <w:color w:val="000000"/>
          <w:lang w:eastAsia="bg-BG"/>
        </w:rPr>
        <w:t>(плъхове), не могат да се превишават по Физиологични причини и животните преживяват при това дозиране.</w:t>
      </w:r>
    </w:p>
    <w:p w14:paraId="3B4BDF0F" w14:textId="6EE1BEF9" w:rsidR="00D500B2" w:rsidRPr="00D500B2" w:rsidRDefault="00D500B2" w:rsidP="00D500B2">
      <w:pPr>
        <w:rPr>
          <w:rFonts w:eastAsia="Times New Roman" w:cs="Arial"/>
          <w:color w:val="000000"/>
          <w:lang w:eastAsia="bg-BG"/>
        </w:rPr>
      </w:pPr>
      <w:r w:rsidRPr="00D500B2">
        <w:rPr>
          <w:rFonts w:eastAsia="Times New Roman" w:cs="Arial"/>
          <w:color w:val="000000"/>
          <w:lang w:eastAsia="bg-BG"/>
        </w:rPr>
        <w:t>Проучванията при хронична токсичност не показват възможност за възникване на нежелани ефекти при хора.</w:t>
      </w:r>
    </w:p>
    <w:p w14:paraId="65684E44" w14:textId="6D8F71A0" w:rsidR="00D500B2" w:rsidRPr="00D500B2" w:rsidRDefault="00D500B2" w:rsidP="00D500B2">
      <w:pPr>
        <w:rPr>
          <w:rFonts w:eastAsia="Times New Roman" w:cs="Arial"/>
          <w:color w:val="000000"/>
          <w:lang w:eastAsia="bg-BG"/>
        </w:rPr>
      </w:pPr>
    </w:p>
    <w:p w14:paraId="1DBFB6C9"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Ацикловир не предизвиква никакви мутагенни, тератогенни ефекти или канцерогенен потенциал при ин виво и ин витро проучвания.</w:t>
      </w:r>
    </w:p>
    <w:p w14:paraId="64AD2848" w14:textId="77777777" w:rsidR="00D500B2" w:rsidRPr="00D500B2" w:rsidRDefault="00D500B2" w:rsidP="00D500B2">
      <w:pPr>
        <w:spacing w:line="240" w:lineRule="auto"/>
        <w:rPr>
          <w:rFonts w:eastAsia="Times New Roman" w:cs="Arial"/>
          <w:i/>
          <w:iCs/>
          <w:color w:val="000000"/>
          <w:lang w:eastAsia="bg-BG"/>
        </w:rPr>
      </w:pPr>
    </w:p>
    <w:p w14:paraId="5ED3FAE9" w14:textId="440DE8EA" w:rsidR="00D500B2" w:rsidRPr="00D500B2" w:rsidRDefault="00D500B2" w:rsidP="00D500B2">
      <w:pPr>
        <w:spacing w:line="240" w:lineRule="auto"/>
        <w:rPr>
          <w:rFonts w:eastAsia="Times New Roman" w:cs="Arial"/>
          <w:lang w:eastAsia="bg-BG"/>
        </w:rPr>
      </w:pPr>
      <w:r w:rsidRPr="00D500B2">
        <w:rPr>
          <w:rFonts w:eastAsia="Times New Roman" w:cs="Arial"/>
          <w:i/>
          <w:iCs/>
          <w:color w:val="000000"/>
          <w:lang w:eastAsia="bg-BG"/>
        </w:rPr>
        <w:t>Фертилитет</w:t>
      </w:r>
    </w:p>
    <w:p w14:paraId="054D97D6"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Странични въздействия върху сперматогенезата при плъхове и кучета от породата бийгьл в по- голямата си част са обратими и са наблюдавани само при дози, значително надвишаващи нормалното терапевтично ниво.</w:t>
      </w:r>
    </w:p>
    <w:p w14:paraId="0CC6A265" w14:textId="77777777" w:rsidR="00D500B2" w:rsidRPr="00D500B2" w:rsidRDefault="00D500B2" w:rsidP="00D500B2">
      <w:pPr>
        <w:spacing w:line="240" w:lineRule="auto"/>
        <w:rPr>
          <w:rFonts w:eastAsia="Times New Roman" w:cs="Arial"/>
          <w:lang w:eastAsia="bg-BG"/>
        </w:rPr>
      </w:pPr>
      <w:r w:rsidRPr="00D500B2">
        <w:rPr>
          <w:rFonts w:eastAsia="Times New Roman" w:cs="Arial"/>
          <w:color w:val="000000"/>
          <w:lang w:eastAsia="bg-BG"/>
        </w:rPr>
        <w:t xml:space="preserve">Проучвания върху две поколения мишки след перорално приемане на ацикловир (до 450 </w:t>
      </w:r>
      <w:r w:rsidRPr="00D500B2">
        <w:rPr>
          <w:rFonts w:eastAsia="Times New Roman" w:cs="Arial"/>
          <w:color w:val="000000"/>
          <w:lang w:val="en-US"/>
        </w:rPr>
        <w:t xml:space="preserve">mg/kg </w:t>
      </w:r>
      <w:r w:rsidRPr="00D500B2">
        <w:rPr>
          <w:rFonts w:eastAsia="Times New Roman" w:cs="Arial"/>
          <w:color w:val="000000"/>
          <w:lang w:eastAsia="bg-BG"/>
        </w:rPr>
        <w:t>ацикловир на ден) не показват въздействие върху фертилитета.</w:t>
      </w:r>
    </w:p>
    <w:p w14:paraId="3306E8AF" w14:textId="77777777" w:rsidR="00D500B2" w:rsidRPr="00D500B2" w:rsidRDefault="00D500B2" w:rsidP="00D500B2"/>
    <w:p w14:paraId="357049A8" w14:textId="7DF79089" w:rsidR="00BB22B4" w:rsidRDefault="002C50EE" w:rsidP="00471F10">
      <w:pPr>
        <w:pStyle w:val="Heading1"/>
      </w:pPr>
      <w:r>
        <w:t>7. ПРИТЕЖАТЕЛ НА РАЗРЕШЕНИЕТО ЗА УПОТРЕБА</w:t>
      </w:r>
    </w:p>
    <w:p w14:paraId="1D70C88A" w14:textId="0ACA17D9" w:rsidR="00D500B2" w:rsidRDefault="00D500B2" w:rsidP="00D500B2"/>
    <w:p w14:paraId="70A857C0" w14:textId="77777777" w:rsidR="00D500B2" w:rsidRDefault="00D500B2" w:rsidP="00D500B2">
      <w:pPr>
        <w:rPr>
          <w:lang w:val="en-US"/>
        </w:rPr>
      </w:pPr>
      <w:r w:rsidRPr="00D500B2">
        <w:rPr>
          <w:lang w:val="en-US"/>
        </w:rPr>
        <w:t xml:space="preserve">ALIUD® PHARMA GmbH </w:t>
      </w:r>
    </w:p>
    <w:p w14:paraId="52C6D085" w14:textId="77777777" w:rsidR="00D500B2" w:rsidRDefault="00D500B2" w:rsidP="00D500B2">
      <w:pPr>
        <w:rPr>
          <w:lang w:val="en-US"/>
        </w:rPr>
      </w:pPr>
      <w:r w:rsidRPr="00D500B2">
        <w:rPr>
          <w:lang w:val="en-US"/>
        </w:rPr>
        <w:t>Gottlieb-Daimler-</w:t>
      </w:r>
      <w:proofErr w:type="spellStart"/>
      <w:r w:rsidRPr="00D500B2">
        <w:rPr>
          <w:lang w:val="en-US"/>
        </w:rPr>
        <w:t>StraBe</w:t>
      </w:r>
      <w:proofErr w:type="spellEnd"/>
      <w:r w:rsidRPr="00D500B2">
        <w:rPr>
          <w:lang w:val="en-US"/>
        </w:rPr>
        <w:t xml:space="preserve"> 19 </w:t>
      </w:r>
    </w:p>
    <w:p w14:paraId="4BE70A96" w14:textId="77777777" w:rsidR="00D500B2" w:rsidRDefault="00D500B2" w:rsidP="00D500B2">
      <w:pPr>
        <w:rPr>
          <w:lang w:val="en-US"/>
        </w:rPr>
      </w:pPr>
      <w:r w:rsidRPr="00D500B2">
        <w:rPr>
          <w:lang w:val="en-US"/>
        </w:rPr>
        <w:t xml:space="preserve">89150 </w:t>
      </w:r>
      <w:proofErr w:type="spellStart"/>
      <w:r w:rsidRPr="00D500B2">
        <w:rPr>
          <w:lang w:val="en-US"/>
        </w:rPr>
        <w:t>Laichingen</w:t>
      </w:r>
      <w:proofErr w:type="spellEnd"/>
      <w:r w:rsidRPr="00D500B2">
        <w:rPr>
          <w:lang w:val="en-US"/>
        </w:rPr>
        <w:t xml:space="preserve"> </w:t>
      </w:r>
    </w:p>
    <w:p w14:paraId="763B1B7A" w14:textId="303A6951" w:rsidR="00D500B2" w:rsidRPr="00D500B2" w:rsidRDefault="00D500B2" w:rsidP="00D500B2">
      <w:pPr>
        <w:rPr>
          <w:sz w:val="24"/>
          <w:szCs w:val="24"/>
          <w:lang w:val="en-US" w:eastAsia="bg-BG"/>
        </w:rPr>
      </w:pPr>
      <w:r w:rsidRPr="00D500B2">
        <w:rPr>
          <w:lang w:eastAsia="bg-BG"/>
        </w:rPr>
        <w:t>Германия</w:t>
      </w:r>
    </w:p>
    <w:p w14:paraId="06019EC7" w14:textId="411123E0" w:rsidR="00D500B2" w:rsidRDefault="00D500B2" w:rsidP="00D500B2">
      <w:pPr>
        <w:rPr>
          <w:sz w:val="24"/>
          <w:szCs w:val="24"/>
          <w:lang w:val="en-US" w:eastAsia="bg-BG"/>
        </w:rPr>
      </w:pPr>
      <w:r w:rsidRPr="00D500B2">
        <w:rPr>
          <w:lang w:val="en-US"/>
        </w:rPr>
        <w:t xml:space="preserve">E-mail: </w:t>
      </w:r>
      <w:hyperlink r:id="rId6" w:history="1">
        <w:r w:rsidRPr="00D500B2">
          <w:rPr>
            <w:lang w:val="en-US"/>
          </w:rPr>
          <w:t>info@aliud.de</w:t>
        </w:r>
      </w:hyperlink>
    </w:p>
    <w:p w14:paraId="499A1D32" w14:textId="77777777" w:rsidR="00D500B2" w:rsidRPr="00D500B2" w:rsidRDefault="00D500B2" w:rsidP="00D500B2"/>
    <w:p w14:paraId="0A53321D" w14:textId="798E053D" w:rsidR="00EE6C97" w:rsidRDefault="00936AD0" w:rsidP="00A93499">
      <w:pPr>
        <w:pStyle w:val="Heading1"/>
      </w:pPr>
      <w:r>
        <w:t>8.</w:t>
      </w:r>
      <w:r w:rsidR="002C50EE">
        <w:t>НОМЕР НА РАЗРЕШЕНИЕТО ЗА УПОТРЕБА</w:t>
      </w:r>
    </w:p>
    <w:p w14:paraId="586BF2D0" w14:textId="404F06EE" w:rsidR="00D500B2" w:rsidRDefault="00D500B2" w:rsidP="00D500B2"/>
    <w:p w14:paraId="32C9AB7C" w14:textId="715FFCCE" w:rsidR="00D500B2" w:rsidRDefault="00D500B2" w:rsidP="00D500B2">
      <w:pPr>
        <w:rPr>
          <w:lang w:eastAsia="bg-BG"/>
        </w:rPr>
      </w:pPr>
      <w:r w:rsidRPr="00D500B2">
        <w:rPr>
          <w:lang w:eastAsia="bg-BG"/>
        </w:rPr>
        <w:t>Регистрационен номер: 9700253</w:t>
      </w:r>
    </w:p>
    <w:p w14:paraId="0A726978" w14:textId="77777777" w:rsidR="00D500B2" w:rsidRPr="00D500B2" w:rsidRDefault="00D500B2" w:rsidP="00D500B2">
      <w:pPr>
        <w:rPr>
          <w:sz w:val="24"/>
          <w:szCs w:val="24"/>
          <w:lang w:eastAsia="bg-BG"/>
        </w:rPr>
      </w:pPr>
    </w:p>
    <w:p w14:paraId="3715C10B" w14:textId="0275AD86" w:rsidR="00BB22B4" w:rsidRDefault="002C50EE" w:rsidP="00471F10">
      <w:pPr>
        <w:pStyle w:val="Heading1"/>
      </w:pPr>
      <w:r>
        <w:t>9. ДАТА НА ПЪРВО РАЗРЕШАВАНЕ/ПОДНОВЯВАНЕ НА РАЗРЕШЕНИЕТО ЗА УПОТРЕБА</w:t>
      </w:r>
    </w:p>
    <w:p w14:paraId="778E96F6" w14:textId="34425ECB" w:rsidR="00D500B2" w:rsidRDefault="00D500B2" w:rsidP="00D500B2"/>
    <w:p w14:paraId="71A1AF69" w14:textId="77777777" w:rsidR="00D500B2" w:rsidRPr="00D500B2" w:rsidRDefault="00D500B2" w:rsidP="00D500B2">
      <w:pPr>
        <w:rPr>
          <w:sz w:val="24"/>
          <w:szCs w:val="24"/>
          <w:lang w:eastAsia="bg-BG"/>
        </w:rPr>
      </w:pPr>
      <w:r w:rsidRPr="00D500B2">
        <w:rPr>
          <w:lang w:eastAsia="bg-BG"/>
        </w:rPr>
        <w:t>Дата на първо разрешаване: 22.04.1997</w:t>
      </w:r>
    </w:p>
    <w:p w14:paraId="713B733A" w14:textId="62D333D9" w:rsidR="00D500B2" w:rsidRPr="00D500B2" w:rsidRDefault="00D500B2" w:rsidP="00D500B2">
      <w:r w:rsidRPr="00D500B2">
        <w:rPr>
          <w:lang w:eastAsia="bg-BG"/>
        </w:rPr>
        <w:t>Дата на последно подновяване 05.08.2008</w:t>
      </w:r>
    </w:p>
    <w:p w14:paraId="43FB38A2" w14:textId="0C18A683" w:rsidR="007C605B" w:rsidRDefault="002C50EE" w:rsidP="005726E3">
      <w:pPr>
        <w:pStyle w:val="Heading1"/>
      </w:pPr>
      <w:r>
        <w:t>10. ДАТА НА АКТУАЛИЗИРАНЕ НА ТЕКСТА</w:t>
      </w:r>
      <w:bookmarkEnd w:id="0"/>
    </w:p>
    <w:p w14:paraId="472617BD" w14:textId="316A56D4" w:rsidR="00BB22B4" w:rsidRPr="00BB22B4" w:rsidRDefault="00D500B2" w:rsidP="00D500B2">
      <w:r>
        <w:t>Юни 2020</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81881"/>
    <w:multiLevelType w:val="hybridMultilevel"/>
    <w:tmpl w:val="B588B8EA"/>
    <w:lvl w:ilvl="0" w:tplc="F2567610">
      <w:start w:val="4"/>
      <w:numFmt w:val="bullet"/>
      <w:lvlText w:val="-"/>
      <w:lvlJc w:val="left"/>
      <w:pPr>
        <w:ind w:left="720" w:hanging="360"/>
      </w:pPr>
      <w:rPr>
        <w:rFonts w:ascii="Times New Roman" w:eastAsia="Times New Roman" w:hAnsi="Times New Roman" w:cs="Times New Roman" w:hint="default"/>
        <w:color w:val="000000"/>
        <w:sz w:val="4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2"/>
  </w:num>
  <w:num w:numId="14" w16cid:durableId="1670476636">
    <w:abstractNumId w:val="14"/>
  </w:num>
  <w:num w:numId="15" w16cid:durableId="1000155783">
    <w:abstractNumId w:val="33"/>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5"/>
  </w:num>
  <w:num w:numId="28" w16cid:durableId="1820733422">
    <w:abstractNumId w:val="6"/>
  </w:num>
  <w:num w:numId="29" w16cid:durableId="973678124">
    <w:abstractNumId w:val="23"/>
  </w:num>
  <w:num w:numId="30" w16cid:durableId="154884452">
    <w:abstractNumId w:val="39"/>
  </w:num>
  <w:num w:numId="31" w16cid:durableId="1053964910">
    <w:abstractNumId w:val="5"/>
  </w:num>
  <w:num w:numId="32" w16cid:durableId="2073575793">
    <w:abstractNumId w:val="37"/>
  </w:num>
  <w:num w:numId="33" w16cid:durableId="1566643170">
    <w:abstractNumId w:val="31"/>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10932298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500B2"/>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iud.de"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2595</Words>
  <Characters>14794</Characters>
  <Application>Microsoft Office Word</Application>
  <DocSecurity>0</DocSecurity>
  <Lines>123</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2023-01-24T20:23:00Z</dcterms:created>
  <dcterms:modified xsi:type="dcterms:W3CDTF">2023-01-24T20:23:00Z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