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409E9EB7" w:rsidR="00F53FB7" w:rsidRDefault="00DD466D" w:rsidP="00A93499">
      <w:pPr>
        <w:pStyle w:val="Heading1"/>
      </w:pPr>
      <w:r>
        <w:t>1.ИМЕ НА ЛЕКАРСТВЕНИЯ ПРОДУКТ</w:t>
      </w:r>
    </w:p>
    <w:p w14:paraId="203BA355" w14:textId="2AF5A6FB" w:rsidR="00714D2D" w:rsidRDefault="00714D2D" w:rsidP="00714D2D"/>
    <w:p w14:paraId="71010AE0" w14:textId="77777777" w:rsidR="00714D2D" w:rsidRPr="00714D2D" w:rsidRDefault="00714D2D" w:rsidP="00714D2D">
      <w:pPr>
        <w:rPr>
          <w:sz w:val="24"/>
          <w:szCs w:val="24"/>
          <w:lang w:val="en-US" w:eastAsia="bg-BG"/>
        </w:rPr>
      </w:pPr>
      <w:r w:rsidRPr="00714D2D">
        <w:rPr>
          <w:lang w:eastAsia="bg-BG"/>
        </w:rPr>
        <w:t xml:space="preserve">Аклекса 100 </w:t>
      </w:r>
      <w:r w:rsidRPr="00714D2D">
        <w:rPr>
          <w:lang w:val="en-US"/>
        </w:rPr>
        <w:t xml:space="preserve">mg </w:t>
      </w:r>
      <w:r w:rsidRPr="00714D2D">
        <w:rPr>
          <w:lang w:eastAsia="bg-BG"/>
        </w:rPr>
        <w:t>твърди капсули</w:t>
      </w:r>
    </w:p>
    <w:p w14:paraId="500B153B" w14:textId="77777777" w:rsidR="00714D2D" w:rsidRPr="00714D2D" w:rsidRDefault="00714D2D" w:rsidP="00714D2D">
      <w:pPr>
        <w:rPr>
          <w:sz w:val="24"/>
          <w:szCs w:val="24"/>
          <w:lang w:val="en-US" w:eastAsia="bg-BG"/>
        </w:rPr>
      </w:pPr>
      <w:r w:rsidRPr="00714D2D">
        <w:rPr>
          <w:lang w:eastAsia="bg-BG"/>
        </w:rPr>
        <w:t xml:space="preserve">Аклекса 200 </w:t>
      </w:r>
      <w:r w:rsidRPr="00714D2D">
        <w:rPr>
          <w:lang w:val="en-US"/>
        </w:rPr>
        <w:t xml:space="preserve">mg </w:t>
      </w:r>
      <w:r w:rsidRPr="00714D2D">
        <w:rPr>
          <w:lang w:eastAsia="bg-BG"/>
        </w:rPr>
        <w:t>твърди капсули</w:t>
      </w:r>
    </w:p>
    <w:p w14:paraId="083AABA5" w14:textId="77777777" w:rsidR="00714D2D" w:rsidRDefault="00714D2D" w:rsidP="00714D2D">
      <w:pPr>
        <w:rPr>
          <w:lang w:val="en-US"/>
        </w:rPr>
      </w:pPr>
    </w:p>
    <w:p w14:paraId="5EAED383" w14:textId="77777777" w:rsidR="00714D2D" w:rsidRDefault="00714D2D" w:rsidP="00714D2D">
      <w:pPr>
        <w:rPr>
          <w:lang w:val="en-US"/>
        </w:rPr>
      </w:pPr>
      <w:proofErr w:type="spellStart"/>
      <w:r w:rsidRPr="00714D2D">
        <w:rPr>
          <w:lang w:val="en-US"/>
        </w:rPr>
        <w:t>Aclexa</w:t>
      </w:r>
      <w:proofErr w:type="spellEnd"/>
      <w:r w:rsidRPr="00714D2D">
        <w:rPr>
          <w:lang w:val="en-US"/>
        </w:rPr>
        <w:t xml:space="preserve"> </w:t>
      </w:r>
      <w:r w:rsidRPr="00714D2D">
        <w:rPr>
          <w:lang w:eastAsia="bg-BG"/>
        </w:rPr>
        <w:t xml:space="preserve">100 </w:t>
      </w:r>
      <w:r w:rsidRPr="00714D2D">
        <w:rPr>
          <w:lang w:val="en-US"/>
        </w:rPr>
        <w:t xml:space="preserve">mg capsules, hard </w:t>
      </w:r>
    </w:p>
    <w:p w14:paraId="543A5AF7" w14:textId="4DD77BA2" w:rsidR="00714D2D" w:rsidRPr="00714D2D" w:rsidRDefault="00714D2D" w:rsidP="00714D2D">
      <w:pPr>
        <w:rPr>
          <w:sz w:val="24"/>
          <w:szCs w:val="24"/>
          <w:lang w:val="en-US" w:eastAsia="bg-BG"/>
        </w:rPr>
      </w:pPr>
      <w:proofErr w:type="spellStart"/>
      <w:r w:rsidRPr="00714D2D">
        <w:rPr>
          <w:lang w:val="en-US"/>
        </w:rPr>
        <w:t>Aclexa</w:t>
      </w:r>
      <w:proofErr w:type="spellEnd"/>
      <w:r w:rsidRPr="00714D2D">
        <w:rPr>
          <w:lang w:val="en-US"/>
        </w:rPr>
        <w:t xml:space="preserve"> 200 mg capsules, hard</w:t>
      </w:r>
    </w:p>
    <w:p w14:paraId="2D13C061" w14:textId="77777777" w:rsidR="00714D2D" w:rsidRPr="00714D2D" w:rsidRDefault="00714D2D" w:rsidP="00714D2D"/>
    <w:p w14:paraId="0DF202EC" w14:textId="73776C9C" w:rsidR="00F53FB7" w:rsidRDefault="00DD466D" w:rsidP="00A93499">
      <w:pPr>
        <w:pStyle w:val="Heading1"/>
      </w:pPr>
      <w:r>
        <w:t>2. КАЧЕСТВЕН И КОЛИЧЕСТВЕН СЪСТАВ</w:t>
      </w:r>
    </w:p>
    <w:p w14:paraId="478E8366" w14:textId="4153BB18" w:rsidR="00714D2D" w:rsidRDefault="00714D2D" w:rsidP="00714D2D"/>
    <w:p w14:paraId="2F9175C5"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Всяка капсула съдържа 100 </w:t>
      </w:r>
      <w:r w:rsidRPr="00714D2D">
        <w:rPr>
          <w:rFonts w:eastAsia="Times New Roman" w:cs="Arial"/>
          <w:color w:val="000000"/>
          <w:lang w:val="en-US"/>
        </w:rPr>
        <w:t xml:space="preserve">mg </w:t>
      </w:r>
      <w:r w:rsidRPr="00714D2D">
        <w:rPr>
          <w:rFonts w:eastAsia="Times New Roman" w:cs="Arial"/>
          <w:color w:val="000000"/>
          <w:lang w:eastAsia="bg-BG"/>
        </w:rPr>
        <w:t xml:space="preserve">целекоксиб </w:t>
      </w:r>
      <w:r w:rsidRPr="00714D2D">
        <w:rPr>
          <w:rFonts w:eastAsia="Times New Roman" w:cs="Arial"/>
          <w:color w:val="000000"/>
          <w:lang w:val="en-US"/>
        </w:rPr>
        <w:t>(celecoxib).</w:t>
      </w:r>
    </w:p>
    <w:p w14:paraId="7A5FD5FA"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Всяка капсула съдържа 200 </w:t>
      </w:r>
      <w:r w:rsidRPr="00714D2D">
        <w:rPr>
          <w:rFonts w:eastAsia="Times New Roman" w:cs="Arial"/>
          <w:color w:val="000000"/>
          <w:lang w:val="en-US"/>
        </w:rPr>
        <w:t xml:space="preserve">mg </w:t>
      </w:r>
      <w:r w:rsidRPr="00714D2D">
        <w:rPr>
          <w:rFonts w:eastAsia="Times New Roman" w:cs="Arial"/>
          <w:color w:val="000000"/>
          <w:lang w:eastAsia="bg-BG"/>
        </w:rPr>
        <w:t xml:space="preserve">целекоксиб </w:t>
      </w:r>
      <w:r w:rsidRPr="00714D2D">
        <w:rPr>
          <w:rFonts w:eastAsia="Times New Roman" w:cs="Arial"/>
          <w:color w:val="000000"/>
          <w:lang w:val="en-US"/>
        </w:rPr>
        <w:t>(celecoxib).</w:t>
      </w:r>
    </w:p>
    <w:p w14:paraId="53328209" w14:textId="77777777" w:rsidR="00714D2D" w:rsidRPr="00714D2D" w:rsidRDefault="00714D2D" w:rsidP="00714D2D">
      <w:pPr>
        <w:spacing w:line="240" w:lineRule="auto"/>
        <w:rPr>
          <w:rFonts w:eastAsia="Times New Roman" w:cs="Arial"/>
          <w:color w:val="000000"/>
          <w:u w:val="single"/>
          <w:lang w:eastAsia="bg-BG"/>
        </w:rPr>
      </w:pPr>
    </w:p>
    <w:p w14:paraId="49A0DD74" w14:textId="3E0EA73C"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u w:val="single"/>
          <w:lang w:eastAsia="bg-BG"/>
        </w:rPr>
        <w:t>Помощно вещество с известно действие</w:t>
      </w:r>
      <w:r w:rsidRPr="00714D2D">
        <w:rPr>
          <w:rFonts w:eastAsia="Times New Roman" w:cs="Arial"/>
          <w:color w:val="000000"/>
          <w:lang w:eastAsia="bg-BG"/>
        </w:rPr>
        <w:t>:</w:t>
      </w:r>
    </w:p>
    <w:tbl>
      <w:tblPr>
        <w:tblStyle w:val="TableGrid"/>
        <w:tblW w:w="0" w:type="auto"/>
        <w:tblLook w:val="04A0" w:firstRow="1" w:lastRow="0" w:firstColumn="1" w:lastColumn="0" w:noHBand="0" w:noVBand="1"/>
      </w:tblPr>
      <w:tblGrid>
        <w:gridCol w:w="3114"/>
        <w:gridCol w:w="3118"/>
        <w:gridCol w:w="3118"/>
      </w:tblGrid>
      <w:tr w:rsidR="00714D2D" w14:paraId="49ED79CF" w14:textId="77777777" w:rsidTr="00714D2D">
        <w:tc>
          <w:tcPr>
            <w:tcW w:w="3166" w:type="dxa"/>
          </w:tcPr>
          <w:p w14:paraId="02DD6245" w14:textId="77777777" w:rsidR="00714D2D" w:rsidRDefault="00714D2D" w:rsidP="00714D2D"/>
        </w:tc>
        <w:tc>
          <w:tcPr>
            <w:tcW w:w="3167" w:type="dxa"/>
          </w:tcPr>
          <w:p w14:paraId="020FAA2A" w14:textId="0AED731D" w:rsidR="00714D2D" w:rsidRDefault="00714D2D" w:rsidP="00714D2D">
            <w:r>
              <w:t xml:space="preserve">100 </w:t>
            </w:r>
            <w:r>
              <w:rPr>
                <w:lang w:val="en-US"/>
              </w:rPr>
              <w:t xml:space="preserve">mg </w:t>
            </w:r>
            <w:r>
              <w:t>капсули, твърди</w:t>
            </w:r>
          </w:p>
        </w:tc>
        <w:tc>
          <w:tcPr>
            <w:tcW w:w="3167" w:type="dxa"/>
          </w:tcPr>
          <w:p w14:paraId="2DFFD079" w14:textId="5265D748" w:rsidR="00714D2D" w:rsidRDefault="00714D2D" w:rsidP="00714D2D">
            <w:r>
              <w:t xml:space="preserve">200 </w:t>
            </w:r>
            <w:r>
              <w:rPr>
                <w:lang w:val="en-US"/>
              </w:rPr>
              <w:t xml:space="preserve">mg </w:t>
            </w:r>
            <w:r>
              <w:t>капсули, твърди</w:t>
            </w:r>
          </w:p>
        </w:tc>
      </w:tr>
      <w:tr w:rsidR="00714D2D" w14:paraId="6E303F2F" w14:textId="77777777" w:rsidTr="00714D2D">
        <w:tc>
          <w:tcPr>
            <w:tcW w:w="3166" w:type="dxa"/>
          </w:tcPr>
          <w:p w14:paraId="3666D3D0" w14:textId="2800C464" w:rsidR="00714D2D" w:rsidRDefault="00714D2D" w:rsidP="00714D2D">
            <w:r>
              <w:t>лактоза</w:t>
            </w:r>
          </w:p>
        </w:tc>
        <w:tc>
          <w:tcPr>
            <w:tcW w:w="3167" w:type="dxa"/>
          </w:tcPr>
          <w:p w14:paraId="21D8B5B2" w14:textId="407B04FF" w:rsidR="00714D2D" w:rsidRDefault="00714D2D" w:rsidP="00714D2D">
            <w:r>
              <w:t xml:space="preserve">24 </w:t>
            </w:r>
            <w:r>
              <w:rPr>
                <w:lang w:val="en-US"/>
              </w:rPr>
              <w:t>mg</w:t>
            </w:r>
          </w:p>
        </w:tc>
        <w:tc>
          <w:tcPr>
            <w:tcW w:w="3167" w:type="dxa"/>
          </w:tcPr>
          <w:p w14:paraId="11BF2D0E" w14:textId="4A7B8E37" w:rsidR="00714D2D" w:rsidRDefault="00714D2D" w:rsidP="00714D2D">
            <w:r>
              <w:t xml:space="preserve">47 </w:t>
            </w:r>
            <w:r>
              <w:rPr>
                <w:lang w:val="en-US"/>
              </w:rPr>
              <w:t>mg</w:t>
            </w:r>
          </w:p>
        </w:tc>
      </w:tr>
    </w:tbl>
    <w:p w14:paraId="4BC9EFF1" w14:textId="77777777" w:rsidR="00714D2D" w:rsidRPr="00714D2D" w:rsidRDefault="00714D2D" w:rsidP="00714D2D"/>
    <w:p w14:paraId="4CABB9ED" w14:textId="05D8A234" w:rsidR="00F53FB7" w:rsidRDefault="00DD466D" w:rsidP="00A93499">
      <w:pPr>
        <w:pStyle w:val="Heading1"/>
      </w:pPr>
      <w:r>
        <w:t>3. ЛЕКАРСТВЕНА ФОРМА</w:t>
      </w:r>
    </w:p>
    <w:p w14:paraId="62D35538" w14:textId="60792540" w:rsidR="00714D2D" w:rsidRDefault="00714D2D" w:rsidP="00714D2D"/>
    <w:p w14:paraId="1C0D129A"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Твърда капсула</w:t>
      </w:r>
    </w:p>
    <w:p w14:paraId="7FB90BBB" w14:textId="77777777" w:rsidR="00714D2D" w:rsidRPr="00714D2D" w:rsidRDefault="00714D2D" w:rsidP="00714D2D">
      <w:pPr>
        <w:spacing w:line="240" w:lineRule="auto"/>
        <w:rPr>
          <w:rFonts w:eastAsia="Times New Roman" w:cs="Arial"/>
          <w:color w:val="000000"/>
          <w:lang w:eastAsia="bg-BG"/>
        </w:rPr>
      </w:pPr>
    </w:p>
    <w:p w14:paraId="3C8F52EC" w14:textId="0BCE2DA0"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100 </w:t>
      </w:r>
      <w:r w:rsidRPr="00714D2D">
        <w:rPr>
          <w:rFonts w:eastAsia="Times New Roman" w:cs="Arial"/>
          <w:color w:val="000000"/>
          <w:lang w:val="en-US"/>
        </w:rPr>
        <w:t xml:space="preserve">mg: </w:t>
      </w:r>
      <w:r w:rsidRPr="00714D2D">
        <w:rPr>
          <w:rFonts w:eastAsia="Times New Roman" w:cs="Arial"/>
          <w:color w:val="000000"/>
          <w:lang w:eastAsia="bg-BG"/>
        </w:rPr>
        <w:t xml:space="preserve">Всяка капсула има бяло тяло и капаче и е с дължина 15,4 </w:t>
      </w:r>
      <w:r w:rsidRPr="00714D2D">
        <w:rPr>
          <w:rFonts w:eastAsia="Times New Roman" w:cs="Arial"/>
          <w:color w:val="000000"/>
          <w:lang w:val="en-US"/>
        </w:rPr>
        <w:t xml:space="preserve">mm </w:t>
      </w:r>
      <w:r w:rsidRPr="00714D2D">
        <w:rPr>
          <w:rFonts w:eastAsia="Times New Roman" w:cs="Arial"/>
          <w:color w:val="000000"/>
          <w:lang w:eastAsia="bg-BG"/>
        </w:rPr>
        <w:t xml:space="preserve">— 16,2 </w:t>
      </w:r>
      <w:r w:rsidRPr="00714D2D">
        <w:rPr>
          <w:rFonts w:eastAsia="Times New Roman" w:cs="Arial"/>
          <w:color w:val="000000"/>
          <w:lang w:val="en-US"/>
        </w:rPr>
        <w:t xml:space="preserve">mm; </w:t>
      </w:r>
      <w:r w:rsidRPr="00714D2D">
        <w:rPr>
          <w:rFonts w:eastAsia="Times New Roman" w:cs="Arial"/>
          <w:color w:val="000000"/>
          <w:lang w:eastAsia="bg-BG"/>
        </w:rPr>
        <w:t>капсулите съдържат бели до почти бели гранули.</w:t>
      </w:r>
    </w:p>
    <w:p w14:paraId="2AB5641B" w14:textId="77777777" w:rsidR="00714D2D" w:rsidRPr="00714D2D" w:rsidRDefault="00714D2D" w:rsidP="00714D2D">
      <w:pPr>
        <w:spacing w:line="240" w:lineRule="auto"/>
        <w:rPr>
          <w:rFonts w:eastAsia="Times New Roman" w:cs="Arial"/>
          <w:color w:val="000000"/>
          <w:lang w:eastAsia="bg-BG"/>
        </w:rPr>
      </w:pPr>
    </w:p>
    <w:p w14:paraId="616CEB51" w14:textId="25C8FD98"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200 </w:t>
      </w:r>
      <w:r w:rsidRPr="00714D2D">
        <w:rPr>
          <w:rFonts w:eastAsia="Times New Roman" w:cs="Arial"/>
          <w:color w:val="000000"/>
          <w:lang w:val="en-US"/>
        </w:rPr>
        <w:t xml:space="preserve">mg: </w:t>
      </w:r>
      <w:r w:rsidRPr="00714D2D">
        <w:rPr>
          <w:rFonts w:eastAsia="Times New Roman" w:cs="Arial"/>
          <w:color w:val="000000"/>
          <w:lang w:eastAsia="bg-BG"/>
        </w:rPr>
        <w:t xml:space="preserve">Всяка капсула има кафеникаво-жълто тяло и капаче и е с дължина 18,9 </w:t>
      </w:r>
      <w:r w:rsidRPr="00714D2D">
        <w:rPr>
          <w:rFonts w:eastAsia="Times New Roman" w:cs="Arial"/>
          <w:color w:val="000000"/>
          <w:lang w:val="en-US"/>
        </w:rPr>
        <w:t xml:space="preserve">mm </w:t>
      </w:r>
      <w:r w:rsidRPr="00714D2D">
        <w:rPr>
          <w:rFonts w:eastAsia="Times New Roman" w:cs="Arial"/>
          <w:color w:val="000000"/>
          <w:lang w:eastAsia="bg-BG"/>
        </w:rPr>
        <w:t xml:space="preserve">- 19,7 </w:t>
      </w:r>
      <w:r w:rsidRPr="00714D2D">
        <w:rPr>
          <w:rFonts w:eastAsia="Times New Roman" w:cs="Arial"/>
          <w:color w:val="000000"/>
          <w:lang w:val="en-US"/>
        </w:rPr>
        <w:t xml:space="preserve">mm; </w:t>
      </w:r>
      <w:r w:rsidRPr="00714D2D">
        <w:rPr>
          <w:rFonts w:eastAsia="Times New Roman" w:cs="Arial"/>
          <w:color w:val="000000"/>
          <w:lang w:eastAsia="bg-BG"/>
        </w:rPr>
        <w:t>капсулите съдържат бял до почти бял гранулат.</w:t>
      </w:r>
    </w:p>
    <w:p w14:paraId="2296F546" w14:textId="77777777" w:rsidR="00714D2D" w:rsidRPr="00714D2D" w:rsidRDefault="00714D2D" w:rsidP="00714D2D"/>
    <w:p w14:paraId="490FC2C4" w14:textId="6899DE43" w:rsidR="002C50EE" w:rsidRDefault="002C50EE" w:rsidP="002C50EE">
      <w:pPr>
        <w:pStyle w:val="Heading1"/>
      </w:pPr>
      <w:r>
        <w:t>4. КЛИНИЧНИ ДАННИ</w:t>
      </w:r>
    </w:p>
    <w:p w14:paraId="1AEF7FB6" w14:textId="5C2B0F1D" w:rsidR="00A428B7" w:rsidRDefault="002C50EE" w:rsidP="00340E8D">
      <w:pPr>
        <w:pStyle w:val="Heading2"/>
      </w:pPr>
      <w:r>
        <w:t>4.1. Терапевтични показания</w:t>
      </w:r>
    </w:p>
    <w:p w14:paraId="7AEFA96B" w14:textId="57435E90" w:rsidR="00714D2D" w:rsidRDefault="00714D2D" w:rsidP="00714D2D"/>
    <w:p w14:paraId="6383E55F" w14:textId="77777777" w:rsidR="00714D2D" w:rsidRPr="00714D2D" w:rsidRDefault="00714D2D" w:rsidP="00714D2D">
      <w:pPr>
        <w:rPr>
          <w:sz w:val="24"/>
          <w:szCs w:val="24"/>
          <w:lang w:eastAsia="bg-BG"/>
        </w:rPr>
      </w:pPr>
      <w:r w:rsidRPr="00714D2D">
        <w:rPr>
          <w:lang w:eastAsia="bg-BG"/>
        </w:rPr>
        <w:t>Аклекса е показан при възрастни за симптоматично лечение на остеоартрит, ревматоиден артрит и анкилозиращ спондилит.</w:t>
      </w:r>
    </w:p>
    <w:p w14:paraId="612B2765" w14:textId="77777777" w:rsidR="00714D2D" w:rsidRDefault="00714D2D" w:rsidP="00714D2D">
      <w:pPr>
        <w:rPr>
          <w:lang w:eastAsia="bg-BG"/>
        </w:rPr>
      </w:pPr>
    </w:p>
    <w:p w14:paraId="56034E78" w14:textId="736ABEEB" w:rsidR="00714D2D" w:rsidRPr="00714D2D" w:rsidRDefault="00714D2D" w:rsidP="00714D2D">
      <w:pPr>
        <w:rPr>
          <w:sz w:val="24"/>
          <w:szCs w:val="24"/>
          <w:lang w:eastAsia="bg-BG"/>
        </w:rPr>
      </w:pPr>
      <w:r w:rsidRPr="00714D2D">
        <w:rPr>
          <w:lang w:eastAsia="bg-BG"/>
        </w:rPr>
        <w:t>Решението за предписване на селективен циклооксигеназа-2 (СОХ-2) инхибитор трябва да се основава на оценка на цялостния риск при отделния пациент (вж. точки 4.3 и 4.4).</w:t>
      </w:r>
    </w:p>
    <w:p w14:paraId="4E8F9B58" w14:textId="77777777" w:rsidR="00714D2D" w:rsidRPr="00714D2D" w:rsidRDefault="00714D2D" w:rsidP="00714D2D"/>
    <w:p w14:paraId="4EC58B12" w14:textId="6622DB6E" w:rsidR="00A428B7" w:rsidRDefault="002C50EE" w:rsidP="00340E8D">
      <w:pPr>
        <w:pStyle w:val="Heading2"/>
      </w:pPr>
      <w:r>
        <w:t>4.2. Дозировка и начин на приложение</w:t>
      </w:r>
    </w:p>
    <w:p w14:paraId="6248FC2D" w14:textId="24FF35CC" w:rsidR="00714D2D" w:rsidRDefault="00714D2D" w:rsidP="00714D2D"/>
    <w:p w14:paraId="21ED3CF7" w14:textId="77777777" w:rsidR="00714D2D" w:rsidRPr="00714D2D" w:rsidRDefault="00714D2D" w:rsidP="00714D2D">
      <w:pPr>
        <w:pStyle w:val="Heading3"/>
        <w:rPr>
          <w:rFonts w:eastAsia="Times New Roman"/>
          <w:u w:val="single"/>
          <w:lang w:eastAsia="bg-BG"/>
        </w:rPr>
      </w:pPr>
      <w:r w:rsidRPr="00714D2D">
        <w:rPr>
          <w:rFonts w:eastAsia="Times New Roman"/>
          <w:u w:val="single"/>
          <w:lang w:eastAsia="bg-BG"/>
        </w:rPr>
        <w:lastRenderedPageBreak/>
        <w:t>Дозировка</w:t>
      </w:r>
    </w:p>
    <w:p w14:paraId="2548A142"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Тъй като сърдечносъдовите (СС) рискове на целекоксиб могат да нарастват с дозата </w:t>
      </w:r>
      <w:r w:rsidRPr="00714D2D">
        <w:rPr>
          <w:rFonts w:eastAsia="Times New Roman" w:cs="Arial"/>
          <w:i/>
          <w:iCs/>
          <w:color w:val="000000"/>
          <w:lang w:eastAsia="bg-BG"/>
        </w:rPr>
        <w:t xml:space="preserve">и </w:t>
      </w:r>
      <w:r w:rsidRPr="00714D2D">
        <w:rPr>
          <w:rFonts w:eastAsia="Times New Roman" w:cs="Arial"/>
          <w:color w:val="000000"/>
          <w:lang w:eastAsia="bg-BG"/>
        </w:rPr>
        <w:t>продължителността на експозиция, трябва да се използват възможно най-кратката продължителност на лечение и най-ниската ефективна дневна доза. Нуждите на пац</w:t>
      </w:r>
      <w:r w:rsidRPr="00714D2D">
        <w:rPr>
          <w:rFonts w:eastAsia="Times New Roman" w:cs="Arial"/>
          <w:color w:val="000000"/>
          <w:u w:val="single"/>
          <w:lang w:eastAsia="bg-BG"/>
        </w:rPr>
        <w:t>иента о</w:t>
      </w:r>
      <w:r w:rsidRPr="00714D2D">
        <w:rPr>
          <w:rFonts w:eastAsia="Times New Roman" w:cs="Arial"/>
          <w:color w:val="000000"/>
          <w:lang w:eastAsia="bg-BG"/>
        </w:rPr>
        <w:t>т симптоматично облекчение и отговорът към лечението трябва да бъдат преоценявани периодично, особено при пациенти с остеоартрит (4.3, 4.4,4.8 и 5.1).</w:t>
      </w:r>
    </w:p>
    <w:p w14:paraId="4FD65D62" w14:textId="77777777" w:rsidR="00714D2D" w:rsidRPr="00714D2D" w:rsidRDefault="00714D2D" w:rsidP="00714D2D">
      <w:pPr>
        <w:spacing w:line="240" w:lineRule="auto"/>
        <w:rPr>
          <w:rFonts w:eastAsia="Times New Roman" w:cs="Arial"/>
          <w:sz w:val="24"/>
          <w:szCs w:val="24"/>
          <w:lang w:eastAsia="bg-BG"/>
        </w:rPr>
      </w:pPr>
    </w:p>
    <w:p w14:paraId="40C2D174" w14:textId="412BFEAF"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t>Остеоартрит</w:t>
      </w:r>
    </w:p>
    <w:p w14:paraId="7CBAFA6D" w14:textId="77777777" w:rsidR="00714D2D" w:rsidRPr="00714D2D" w:rsidRDefault="00714D2D" w:rsidP="00714D2D">
      <w:pPr>
        <w:rPr>
          <w:rFonts w:eastAsia="Times New Roman" w:cs="Arial"/>
          <w:sz w:val="24"/>
          <w:szCs w:val="24"/>
          <w:lang w:eastAsia="bg-BG"/>
        </w:rPr>
      </w:pPr>
      <w:r w:rsidRPr="00714D2D">
        <w:rPr>
          <w:rFonts w:eastAsia="Times New Roman" w:cs="Arial"/>
          <w:color w:val="000000"/>
          <w:lang w:eastAsia="bg-BG"/>
        </w:rPr>
        <w:t xml:space="preserve">Обичайната препоръчителна дневна доза е </w:t>
      </w:r>
      <w:r w:rsidRPr="00714D2D">
        <w:rPr>
          <w:rFonts w:eastAsia="Times New Roman" w:cs="Arial"/>
          <w:b/>
          <w:bCs/>
          <w:color w:val="000000"/>
          <w:lang w:eastAsia="bg-BG"/>
        </w:rPr>
        <w:t xml:space="preserve">200 </w:t>
      </w:r>
      <w:r w:rsidRPr="00714D2D">
        <w:rPr>
          <w:rFonts w:eastAsia="Times New Roman" w:cs="Arial"/>
          <w:b/>
          <w:bCs/>
          <w:color w:val="000000"/>
          <w:lang w:val="en-US"/>
        </w:rPr>
        <w:t xml:space="preserve">mg, </w:t>
      </w:r>
      <w:r w:rsidRPr="00714D2D">
        <w:rPr>
          <w:rFonts w:eastAsia="Times New Roman" w:cs="Arial"/>
          <w:b/>
          <w:bCs/>
          <w:color w:val="000000"/>
          <w:lang w:eastAsia="bg-BG"/>
        </w:rPr>
        <w:t xml:space="preserve">взети наведнъж дневно или разделение в два приема. </w:t>
      </w:r>
      <w:r w:rsidRPr="00714D2D">
        <w:rPr>
          <w:rFonts w:eastAsia="Times New Roman" w:cs="Arial"/>
          <w:color w:val="000000"/>
          <w:lang w:eastAsia="bg-BG"/>
        </w:rPr>
        <w:t>При някои пациенти с недостатъчно облекчаване на симптомите увеличената доза</w:t>
      </w:r>
      <w:r w:rsidRPr="00714D2D">
        <w:rPr>
          <w:rFonts w:eastAsia="Times New Roman" w:cs="Arial"/>
          <w:color w:val="000000"/>
          <w:lang w:val="en-US" w:eastAsia="bg-BG"/>
        </w:rPr>
        <w:t xml:space="preserve"> </w:t>
      </w:r>
      <w:r w:rsidRPr="00714D2D">
        <w:rPr>
          <w:rFonts w:eastAsia="Times New Roman" w:cs="Arial"/>
          <w:color w:val="000000"/>
          <w:lang w:eastAsia="bg-BG"/>
        </w:rPr>
        <w:t xml:space="preserve">от </w:t>
      </w:r>
      <w:r w:rsidRPr="00714D2D">
        <w:rPr>
          <w:rFonts w:eastAsia="Times New Roman" w:cs="Arial"/>
          <w:b/>
          <w:bCs/>
          <w:color w:val="000000"/>
          <w:lang w:eastAsia="bg-BG"/>
        </w:rPr>
        <w:t xml:space="preserve">200 </w:t>
      </w:r>
      <w:r w:rsidRPr="00714D2D">
        <w:rPr>
          <w:rFonts w:eastAsia="Times New Roman" w:cs="Arial"/>
          <w:b/>
          <w:bCs/>
          <w:color w:val="000000"/>
          <w:lang w:val="en-US"/>
        </w:rPr>
        <w:t xml:space="preserve">mg </w:t>
      </w:r>
      <w:r w:rsidRPr="00714D2D">
        <w:rPr>
          <w:rFonts w:eastAsia="Times New Roman" w:cs="Arial"/>
          <w:b/>
          <w:bCs/>
          <w:color w:val="000000"/>
          <w:lang w:eastAsia="bg-BG"/>
        </w:rPr>
        <w:t xml:space="preserve">два пъти дневно </w:t>
      </w:r>
      <w:r w:rsidRPr="00714D2D">
        <w:rPr>
          <w:rFonts w:eastAsia="Times New Roman" w:cs="Arial"/>
          <w:color w:val="000000"/>
          <w:lang w:eastAsia="bg-BG"/>
        </w:rPr>
        <w:t>може да увеличи ефикасността. Трябва да бъдат обсъдени други терапевтични възможности, ако няма увеличение в терапевтичната полза след две седмици.</w:t>
      </w:r>
    </w:p>
    <w:p w14:paraId="0A1BBD8E" w14:textId="77777777" w:rsidR="00714D2D" w:rsidRPr="00714D2D" w:rsidRDefault="00714D2D" w:rsidP="00714D2D">
      <w:pPr>
        <w:spacing w:line="240" w:lineRule="auto"/>
        <w:rPr>
          <w:rFonts w:eastAsia="Times New Roman" w:cs="Arial"/>
          <w:i/>
          <w:iCs/>
          <w:color w:val="000000"/>
          <w:lang w:eastAsia="bg-BG"/>
        </w:rPr>
      </w:pPr>
    </w:p>
    <w:p w14:paraId="2C262A6D" w14:textId="53B9631A"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t>Ревматоиден артрит</w:t>
      </w:r>
    </w:p>
    <w:p w14:paraId="4F3650C4"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Началната препоръчителна дневна доза е </w:t>
      </w:r>
      <w:r w:rsidRPr="00714D2D">
        <w:rPr>
          <w:rFonts w:eastAsia="Times New Roman" w:cs="Arial"/>
          <w:b/>
          <w:bCs/>
          <w:color w:val="000000"/>
          <w:lang w:eastAsia="bg-BG"/>
        </w:rPr>
        <w:t xml:space="preserve">200 </w:t>
      </w:r>
      <w:r w:rsidRPr="00714D2D">
        <w:rPr>
          <w:rFonts w:eastAsia="Times New Roman" w:cs="Arial"/>
          <w:b/>
          <w:bCs/>
          <w:color w:val="000000"/>
          <w:lang w:val="en-US"/>
        </w:rPr>
        <w:t xml:space="preserve">mg, </w:t>
      </w:r>
      <w:r w:rsidRPr="00714D2D">
        <w:rPr>
          <w:rFonts w:eastAsia="Times New Roman" w:cs="Arial"/>
          <w:b/>
          <w:bCs/>
          <w:color w:val="000000"/>
          <w:lang w:eastAsia="bg-BG"/>
        </w:rPr>
        <w:t xml:space="preserve">разделени в два приема. </w:t>
      </w:r>
      <w:r w:rsidRPr="00714D2D">
        <w:rPr>
          <w:rFonts w:eastAsia="Times New Roman" w:cs="Arial"/>
          <w:color w:val="000000"/>
          <w:lang w:eastAsia="bg-BG"/>
        </w:rPr>
        <w:t xml:space="preserve">При нужда, дозата може по-късно да бъде увеличена до </w:t>
      </w:r>
      <w:r w:rsidRPr="00714D2D">
        <w:rPr>
          <w:rFonts w:eastAsia="Times New Roman" w:cs="Arial"/>
          <w:b/>
          <w:bCs/>
          <w:color w:val="000000"/>
          <w:lang w:eastAsia="bg-BG"/>
        </w:rPr>
        <w:t xml:space="preserve">200 </w:t>
      </w:r>
      <w:r w:rsidRPr="00714D2D">
        <w:rPr>
          <w:rFonts w:eastAsia="Times New Roman" w:cs="Arial"/>
          <w:b/>
          <w:bCs/>
          <w:color w:val="000000"/>
          <w:lang w:val="en-US"/>
        </w:rPr>
        <w:t xml:space="preserve">mg </w:t>
      </w:r>
      <w:r w:rsidRPr="00714D2D">
        <w:rPr>
          <w:rFonts w:eastAsia="Times New Roman" w:cs="Arial"/>
          <w:b/>
          <w:bCs/>
          <w:color w:val="000000"/>
          <w:lang w:eastAsia="bg-BG"/>
        </w:rPr>
        <w:t xml:space="preserve">два пъти дневно. </w:t>
      </w:r>
      <w:r w:rsidRPr="00714D2D">
        <w:rPr>
          <w:rFonts w:eastAsia="Times New Roman" w:cs="Arial"/>
          <w:color w:val="000000"/>
          <w:lang w:eastAsia="bg-BG"/>
        </w:rPr>
        <w:t>Трябва да бъдат обсъдени други терапевтични възможности, ако няма увеличение в терапевтичната полза след две седмици.</w:t>
      </w:r>
    </w:p>
    <w:p w14:paraId="714FB095" w14:textId="77777777" w:rsidR="00714D2D" w:rsidRPr="00714D2D" w:rsidRDefault="00714D2D" w:rsidP="00714D2D">
      <w:pPr>
        <w:spacing w:line="240" w:lineRule="auto"/>
        <w:rPr>
          <w:rFonts w:eastAsia="Times New Roman" w:cs="Arial"/>
          <w:i/>
          <w:iCs/>
          <w:color w:val="000000"/>
          <w:lang w:eastAsia="bg-BG"/>
        </w:rPr>
      </w:pPr>
    </w:p>
    <w:p w14:paraId="71C55FBE" w14:textId="6543B3A5"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t>Анкилозиращ спондилит</w:t>
      </w:r>
    </w:p>
    <w:p w14:paraId="3BF6F57C"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Препоръчителната дневна доза е </w:t>
      </w:r>
      <w:r w:rsidRPr="00714D2D">
        <w:rPr>
          <w:rFonts w:eastAsia="Times New Roman" w:cs="Arial"/>
          <w:b/>
          <w:bCs/>
          <w:color w:val="000000"/>
          <w:lang w:eastAsia="bg-BG"/>
        </w:rPr>
        <w:t xml:space="preserve">200 </w:t>
      </w:r>
      <w:r w:rsidRPr="00714D2D">
        <w:rPr>
          <w:rFonts w:eastAsia="Times New Roman" w:cs="Arial"/>
          <w:b/>
          <w:bCs/>
          <w:color w:val="000000"/>
          <w:lang w:val="en-US"/>
        </w:rPr>
        <w:t xml:space="preserve">mg, </w:t>
      </w:r>
      <w:r w:rsidRPr="00714D2D">
        <w:rPr>
          <w:rFonts w:eastAsia="Times New Roman" w:cs="Arial"/>
          <w:b/>
          <w:bCs/>
          <w:color w:val="000000"/>
          <w:lang w:eastAsia="bg-BG"/>
        </w:rPr>
        <w:t xml:space="preserve">взети наведнъж или разделени в два приема. </w:t>
      </w:r>
      <w:r w:rsidRPr="00714D2D">
        <w:rPr>
          <w:rFonts w:eastAsia="Times New Roman" w:cs="Arial"/>
          <w:color w:val="000000"/>
          <w:lang w:eastAsia="bg-BG"/>
        </w:rPr>
        <w:t xml:space="preserve">При малък брой пациенти с недостатъчно облекчаване увеличената доза от </w:t>
      </w:r>
      <w:r w:rsidRPr="00714D2D">
        <w:rPr>
          <w:rFonts w:eastAsia="Times New Roman" w:cs="Arial"/>
          <w:b/>
          <w:bCs/>
          <w:color w:val="000000"/>
          <w:lang w:eastAsia="bg-BG"/>
        </w:rPr>
        <w:t xml:space="preserve">400 </w:t>
      </w:r>
      <w:r w:rsidRPr="00714D2D">
        <w:rPr>
          <w:rFonts w:eastAsia="Times New Roman" w:cs="Arial"/>
          <w:b/>
          <w:bCs/>
          <w:color w:val="000000"/>
          <w:lang w:val="en-US"/>
        </w:rPr>
        <w:t xml:space="preserve">mg </w:t>
      </w:r>
      <w:r w:rsidRPr="00714D2D">
        <w:rPr>
          <w:rFonts w:eastAsia="Times New Roman" w:cs="Arial"/>
          <w:b/>
          <w:bCs/>
          <w:color w:val="000000"/>
          <w:lang w:eastAsia="bg-BG"/>
        </w:rPr>
        <w:t xml:space="preserve">един път дневно или разделени в два приема </w:t>
      </w:r>
      <w:r w:rsidRPr="00714D2D">
        <w:rPr>
          <w:rFonts w:eastAsia="Times New Roman" w:cs="Arial"/>
          <w:color w:val="000000"/>
          <w:lang w:eastAsia="bg-BG"/>
        </w:rPr>
        <w:t>може да повиши ефективността.</w:t>
      </w:r>
    </w:p>
    <w:p w14:paraId="0C345A76"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Трябва да бъдат обсъдени други терапевтични възможности, ако няма увеличение в терапевтичната полза след две седмици.</w:t>
      </w:r>
    </w:p>
    <w:p w14:paraId="4FDD1A2A" w14:textId="77777777" w:rsidR="00714D2D" w:rsidRPr="00714D2D" w:rsidRDefault="00714D2D" w:rsidP="00714D2D">
      <w:pPr>
        <w:spacing w:line="240" w:lineRule="auto"/>
        <w:rPr>
          <w:rFonts w:eastAsia="Times New Roman" w:cs="Arial"/>
          <w:color w:val="000000"/>
          <w:lang w:eastAsia="bg-BG"/>
        </w:rPr>
      </w:pPr>
    </w:p>
    <w:p w14:paraId="4F7F0E20" w14:textId="193636B2"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Максималната препоръчителна дневна доза е 400 </w:t>
      </w:r>
      <w:r w:rsidRPr="00714D2D">
        <w:rPr>
          <w:rFonts w:eastAsia="Times New Roman" w:cs="Arial"/>
          <w:color w:val="000000"/>
          <w:lang w:val="en-US"/>
        </w:rPr>
        <w:t xml:space="preserve">mg </w:t>
      </w:r>
      <w:r w:rsidRPr="00714D2D">
        <w:rPr>
          <w:rFonts w:eastAsia="Times New Roman" w:cs="Arial"/>
          <w:color w:val="000000"/>
          <w:lang w:eastAsia="bg-BG"/>
        </w:rPr>
        <w:t>при всички показания.</w:t>
      </w:r>
    </w:p>
    <w:p w14:paraId="1DB35E40" w14:textId="77777777" w:rsidR="00714D2D" w:rsidRPr="00714D2D" w:rsidRDefault="00714D2D" w:rsidP="00714D2D">
      <w:pPr>
        <w:spacing w:line="240" w:lineRule="auto"/>
        <w:rPr>
          <w:rFonts w:eastAsia="Times New Roman" w:cs="Arial"/>
          <w:color w:val="000000"/>
          <w:u w:val="single"/>
          <w:lang w:eastAsia="bg-BG"/>
        </w:rPr>
      </w:pPr>
    </w:p>
    <w:p w14:paraId="584DB060" w14:textId="70418C61"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u w:val="single"/>
          <w:lang w:eastAsia="bg-BG"/>
        </w:rPr>
        <w:t>Специални популации</w:t>
      </w:r>
    </w:p>
    <w:p w14:paraId="237DC9F7" w14:textId="77777777" w:rsidR="00714D2D" w:rsidRPr="00714D2D" w:rsidRDefault="00714D2D" w:rsidP="00714D2D">
      <w:pPr>
        <w:spacing w:line="240" w:lineRule="auto"/>
        <w:rPr>
          <w:rFonts w:eastAsia="Times New Roman" w:cs="Arial"/>
          <w:i/>
          <w:iCs/>
          <w:color w:val="000000"/>
          <w:lang w:eastAsia="bg-BG"/>
        </w:rPr>
      </w:pPr>
    </w:p>
    <w:p w14:paraId="3774290B" w14:textId="05337E37"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t>Пациенти в старческа възраст</w:t>
      </w:r>
    </w:p>
    <w:p w14:paraId="7E57607C"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Както и при по-млади пациенти, първоначално трябва да бъдат използвани 200 </w:t>
      </w:r>
      <w:r w:rsidRPr="00714D2D">
        <w:rPr>
          <w:rFonts w:eastAsia="Times New Roman" w:cs="Arial"/>
          <w:color w:val="000000"/>
          <w:lang w:val="en-US"/>
        </w:rPr>
        <w:t xml:space="preserve">mg </w:t>
      </w:r>
      <w:r w:rsidRPr="00714D2D">
        <w:rPr>
          <w:rFonts w:eastAsia="Times New Roman" w:cs="Arial"/>
          <w:color w:val="000000"/>
          <w:lang w:eastAsia="bg-BG"/>
        </w:rPr>
        <w:t xml:space="preserve">на ден. При нужда дозата може по-късно да бъде увеличена до 200 </w:t>
      </w:r>
      <w:r w:rsidRPr="00714D2D">
        <w:rPr>
          <w:rFonts w:eastAsia="Times New Roman" w:cs="Arial"/>
          <w:color w:val="000000"/>
          <w:lang w:val="en-US"/>
        </w:rPr>
        <w:t xml:space="preserve">mg </w:t>
      </w:r>
      <w:r w:rsidRPr="00714D2D">
        <w:rPr>
          <w:rFonts w:eastAsia="Times New Roman" w:cs="Arial"/>
          <w:color w:val="000000"/>
          <w:lang w:eastAsia="bg-BG"/>
        </w:rPr>
        <w:t xml:space="preserve">два пъти дневно. Особено внимание е необходимо при пациенти в напреднала възраст с телесно тегло под 50 </w:t>
      </w:r>
      <w:r w:rsidRPr="00714D2D">
        <w:rPr>
          <w:rFonts w:eastAsia="Times New Roman" w:cs="Arial"/>
          <w:color w:val="000000"/>
          <w:lang w:val="en-US"/>
        </w:rPr>
        <w:t xml:space="preserve">kg </w:t>
      </w:r>
      <w:r w:rsidRPr="00714D2D">
        <w:rPr>
          <w:rFonts w:eastAsia="Times New Roman" w:cs="Arial"/>
          <w:color w:val="000000"/>
          <w:lang w:eastAsia="bg-BG"/>
        </w:rPr>
        <w:t>(вж. точки 4.4 и 5.2).</w:t>
      </w:r>
    </w:p>
    <w:p w14:paraId="133623BC" w14:textId="77777777" w:rsidR="00714D2D" w:rsidRPr="00714D2D" w:rsidRDefault="00714D2D" w:rsidP="00714D2D">
      <w:pPr>
        <w:spacing w:line="240" w:lineRule="auto"/>
        <w:rPr>
          <w:rFonts w:eastAsia="Times New Roman" w:cs="Arial"/>
          <w:i/>
          <w:iCs/>
          <w:color w:val="000000"/>
          <w:lang w:eastAsia="bg-BG"/>
        </w:rPr>
      </w:pPr>
    </w:p>
    <w:p w14:paraId="791D7EE9" w14:textId="2BB9D53C"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t>Чернодробно увреждане</w:t>
      </w:r>
    </w:p>
    <w:p w14:paraId="7B9AB93C"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При пациенти с установено умерено чернодробно нарушение със серумен албумин 25-35 </w:t>
      </w:r>
      <w:r w:rsidRPr="00714D2D">
        <w:rPr>
          <w:rFonts w:eastAsia="Times New Roman" w:cs="Arial"/>
          <w:color w:val="000000"/>
          <w:lang w:val="en-US"/>
        </w:rPr>
        <w:t xml:space="preserve">g/1 </w:t>
      </w:r>
      <w:r w:rsidRPr="00714D2D">
        <w:rPr>
          <w:rFonts w:eastAsia="Times New Roman" w:cs="Arial"/>
          <w:color w:val="000000"/>
          <w:lang w:eastAsia="bg-BG"/>
        </w:rPr>
        <w:t>лечението трябва да бъде започнато с половината от препоръчителната доза. Опитът при такива пациенти се ограничава до пациенти с цироза (вж. точки 4.3,4.4 и 5.2).</w:t>
      </w:r>
    </w:p>
    <w:p w14:paraId="3516F45C" w14:textId="77777777" w:rsidR="00714D2D" w:rsidRPr="00714D2D" w:rsidRDefault="00714D2D" w:rsidP="00714D2D">
      <w:pPr>
        <w:spacing w:line="240" w:lineRule="auto"/>
        <w:rPr>
          <w:rFonts w:eastAsia="Times New Roman" w:cs="Arial"/>
          <w:i/>
          <w:iCs/>
          <w:color w:val="000000"/>
          <w:lang w:eastAsia="bg-BG"/>
        </w:rPr>
      </w:pPr>
    </w:p>
    <w:p w14:paraId="79C13817" w14:textId="1F059AF9"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t>Бъбречно увреждане</w:t>
      </w:r>
    </w:p>
    <w:p w14:paraId="0491CFF5"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Опитът с целекоксиб при пациенти с леко или умерено бъбречно увреждане е ограничен, следователно, такива пациенти трябва да бъдат лекувани с повишено внимание (вж. точки 4.3,4.4 и 5.2).</w:t>
      </w:r>
    </w:p>
    <w:p w14:paraId="14F768D3" w14:textId="77777777" w:rsidR="00714D2D" w:rsidRPr="00714D2D" w:rsidRDefault="00714D2D" w:rsidP="00714D2D">
      <w:pPr>
        <w:spacing w:line="240" w:lineRule="auto"/>
        <w:rPr>
          <w:rFonts w:eastAsia="Times New Roman" w:cs="Arial"/>
          <w:i/>
          <w:iCs/>
          <w:color w:val="000000"/>
          <w:lang w:eastAsia="bg-BG"/>
        </w:rPr>
      </w:pPr>
    </w:p>
    <w:p w14:paraId="68E39862" w14:textId="4CA94636"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t>Педиатрична популация</w:t>
      </w:r>
    </w:p>
    <w:p w14:paraId="7E59D225"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Целекоксиб не е показан за употреба при деца.</w:t>
      </w:r>
    </w:p>
    <w:p w14:paraId="47349512" w14:textId="77777777" w:rsidR="00714D2D" w:rsidRPr="00714D2D" w:rsidRDefault="00714D2D" w:rsidP="00714D2D">
      <w:pPr>
        <w:spacing w:line="240" w:lineRule="auto"/>
        <w:rPr>
          <w:rFonts w:eastAsia="Times New Roman" w:cs="Arial"/>
          <w:i/>
          <w:iCs/>
          <w:color w:val="000000"/>
          <w:lang w:eastAsia="bg-BG"/>
        </w:rPr>
      </w:pPr>
    </w:p>
    <w:p w14:paraId="56DFE0E2" w14:textId="727D2D02" w:rsidR="00714D2D" w:rsidRPr="00714D2D" w:rsidRDefault="00714D2D" w:rsidP="00714D2D">
      <w:pPr>
        <w:spacing w:line="240" w:lineRule="auto"/>
        <w:rPr>
          <w:rFonts w:eastAsia="Times New Roman" w:cs="Arial"/>
          <w:sz w:val="24"/>
          <w:szCs w:val="24"/>
          <w:lang w:eastAsia="bg-BG"/>
        </w:rPr>
      </w:pPr>
      <w:r w:rsidRPr="00714D2D">
        <w:rPr>
          <w:rFonts w:eastAsia="Times New Roman" w:cs="Arial"/>
          <w:i/>
          <w:iCs/>
          <w:color w:val="000000"/>
          <w:lang w:eastAsia="bg-BG"/>
        </w:rPr>
        <w:lastRenderedPageBreak/>
        <w:t xml:space="preserve">Лоши </w:t>
      </w:r>
      <w:r w:rsidRPr="00714D2D">
        <w:rPr>
          <w:rFonts w:eastAsia="Times New Roman" w:cs="Arial"/>
          <w:i/>
          <w:iCs/>
          <w:color w:val="000000"/>
          <w:lang w:val="en-US"/>
        </w:rPr>
        <w:t xml:space="preserve">CYP2C9 </w:t>
      </w:r>
      <w:r w:rsidRPr="00714D2D">
        <w:rPr>
          <w:rFonts w:eastAsia="Times New Roman" w:cs="Arial"/>
          <w:i/>
          <w:iCs/>
          <w:color w:val="000000"/>
          <w:lang w:eastAsia="bg-BG"/>
        </w:rPr>
        <w:t>метаболизатори</w:t>
      </w:r>
    </w:p>
    <w:p w14:paraId="65C3194A"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Пациенти, за които е известно или се очаква да бъдат лоши </w:t>
      </w:r>
      <w:r w:rsidRPr="00714D2D">
        <w:rPr>
          <w:rFonts w:eastAsia="Times New Roman" w:cs="Arial"/>
          <w:color w:val="000000"/>
          <w:lang w:val="en-US"/>
        </w:rPr>
        <w:t xml:space="preserve">CYP2C9 </w:t>
      </w:r>
      <w:r w:rsidRPr="00714D2D">
        <w:rPr>
          <w:rFonts w:eastAsia="Times New Roman" w:cs="Arial"/>
          <w:color w:val="000000"/>
          <w:lang w:eastAsia="bg-BG"/>
        </w:rPr>
        <w:t xml:space="preserve">метаболизатори въз основа на определяне на генотипа или анамнеза/предишен опит с други </w:t>
      </w:r>
      <w:r w:rsidRPr="00714D2D">
        <w:rPr>
          <w:rFonts w:eastAsia="Times New Roman" w:cs="Arial"/>
          <w:color w:val="000000"/>
          <w:lang w:val="en-US"/>
        </w:rPr>
        <w:t xml:space="preserve">CYP2C9 </w:t>
      </w:r>
      <w:r w:rsidRPr="00714D2D">
        <w:rPr>
          <w:rFonts w:eastAsia="Times New Roman" w:cs="Arial"/>
          <w:color w:val="000000"/>
          <w:lang w:eastAsia="bg-BG"/>
        </w:rPr>
        <w:t>субстрати, трябва да приемат целекоксиб с повишено внимание, тъй като рискът от дозозависими нежелани реакции се увеличава. При започване на лечение да се има предвид приложение на доза, два пъти по- ниска от най-ниската препоръчителна доза (вж. точка 5.2).</w:t>
      </w:r>
    </w:p>
    <w:p w14:paraId="23603916" w14:textId="77777777" w:rsidR="00714D2D" w:rsidRPr="00714D2D" w:rsidRDefault="00714D2D" w:rsidP="00714D2D">
      <w:pPr>
        <w:spacing w:line="240" w:lineRule="auto"/>
        <w:rPr>
          <w:rFonts w:eastAsia="Times New Roman" w:cs="Arial"/>
          <w:color w:val="000000"/>
          <w:u w:val="single"/>
          <w:lang w:eastAsia="bg-BG"/>
        </w:rPr>
      </w:pPr>
    </w:p>
    <w:p w14:paraId="08AE07E6" w14:textId="4747AA61" w:rsidR="00714D2D" w:rsidRPr="00714D2D" w:rsidRDefault="00714D2D" w:rsidP="00714D2D">
      <w:pPr>
        <w:pStyle w:val="Heading3"/>
        <w:rPr>
          <w:rFonts w:eastAsia="Times New Roman"/>
          <w:u w:val="single"/>
          <w:lang w:eastAsia="bg-BG"/>
        </w:rPr>
      </w:pPr>
      <w:r w:rsidRPr="00714D2D">
        <w:rPr>
          <w:rFonts w:eastAsia="Times New Roman"/>
          <w:u w:val="single"/>
          <w:lang w:eastAsia="bg-BG"/>
        </w:rPr>
        <w:t>Начин на приложение</w:t>
      </w:r>
    </w:p>
    <w:p w14:paraId="1771B822"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u w:val="single"/>
          <w:lang w:eastAsia="bg-BG"/>
        </w:rPr>
        <w:t>За перорално приложение</w:t>
      </w:r>
      <w:r w:rsidRPr="00714D2D">
        <w:rPr>
          <w:rFonts w:eastAsia="Times New Roman" w:cs="Arial"/>
          <w:color w:val="000000"/>
          <w:lang w:eastAsia="bg-BG"/>
        </w:rPr>
        <w:t>.</w:t>
      </w:r>
    </w:p>
    <w:p w14:paraId="00B19EF6"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Капсулите трябва да се преглъщат цели с вода. Аклекса може да се приема с или без храна.</w:t>
      </w:r>
    </w:p>
    <w:p w14:paraId="5D2F8C75" w14:textId="77777777" w:rsidR="00714D2D" w:rsidRPr="00714D2D" w:rsidRDefault="00714D2D" w:rsidP="00714D2D"/>
    <w:p w14:paraId="6158ADF5" w14:textId="042C45EA" w:rsidR="00A428B7" w:rsidRDefault="002C50EE" w:rsidP="00340E8D">
      <w:pPr>
        <w:pStyle w:val="Heading2"/>
      </w:pPr>
      <w:r>
        <w:t>4.3. Противопоказания</w:t>
      </w:r>
    </w:p>
    <w:p w14:paraId="3182DA94" w14:textId="04083EEE" w:rsidR="00714D2D" w:rsidRDefault="00714D2D" w:rsidP="00714D2D"/>
    <w:p w14:paraId="4B62D7CC" w14:textId="00C1FDF7" w:rsidR="00714D2D" w:rsidRPr="00714D2D" w:rsidRDefault="00714D2D" w:rsidP="00714D2D">
      <w:pPr>
        <w:rPr>
          <w:rFonts w:cs="Arial"/>
        </w:rPr>
      </w:pPr>
      <w:r w:rsidRPr="00714D2D">
        <w:rPr>
          <w:rFonts w:cs="Arial"/>
        </w:rPr>
        <w:t>Свръхчувствителност към активното вещество или към някое от помощните вещества, изброени в точка 6.1.</w:t>
      </w:r>
    </w:p>
    <w:p w14:paraId="2D388F0D" w14:textId="6DD4A08A" w:rsidR="00714D2D" w:rsidRPr="00714D2D" w:rsidRDefault="00714D2D" w:rsidP="00714D2D">
      <w:pPr>
        <w:rPr>
          <w:rFonts w:cs="Arial"/>
        </w:rPr>
      </w:pPr>
    </w:p>
    <w:p w14:paraId="4FAD1678"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Известна свръхчувствителност към сулфонамиди.</w:t>
      </w:r>
    </w:p>
    <w:p w14:paraId="5755F648" w14:textId="77777777" w:rsidR="00714D2D" w:rsidRPr="00714D2D" w:rsidRDefault="00714D2D" w:rsidP="00714D2D">
      <w:pPr>
        <w:spacing w:line="240" w:lineRule="auto"/>
        <w:rPr>
          <w:rFonts w:eastAsia="Times New Roman" w:cs="Arial"/>
          <w:color w:val="000000"/>
          <w:lang w:eastAsia="bg-BG"/>
        </w:rPr>
      </w:pPr>
    </w:p>
    <w:p w14:paraId="3E43DAED" w14:textId="77140D7A"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Активна пептична язва или кървене от гастроинтестиналния (ГИ) тракт.</w:t>
      </w:r>
    </w:p>
    <w:p w14:paraId="0B36815C" w14:textId="77777777" w:rsidR="00714D2D" w:rsidRPr="00714D2D" w:rsidRDefault="00714D2D" w:rsidP="00714D2D">
      <w:pPr>
        <w:spacing w:line="240" w:lineRule="auto"/>
        <w:rPr>
          <w:rFonts w:eastAsia="Times New Roman" w:cs="Arial"/>
          <w:color w:val="000000"/>
          <w:lang w:eastAsia="bg-BG"/>
        </w:rPr>
      </w:pPr>
    </w:p>
    <w:p w14:paraId="4C328E10" w14:textId="17D616D4"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Пациенти, боледували от астма, остър ринит, носни полипи, ангионевротичен едем, уртикария или други реакции от алергичен тип след прием на ацетилсалицилова киселина (аспирин) или други нестероидни противовъзпалителни лекарства (НСПВС), включително СОХ-2 инхибитори.</w:t>
      </w:r>
    </w:p>
    <w:p w14:paraId="2CF695F3" w14:textId="77777777" w:rsidR="00714D2D" w:rsidRPr="00714D2D" w:rsidRDefault="00714D2D" w:rsidP="00714D2D">
      <w:pPr>
        <w:spacing w:line="240" w:lineRule="auto"/>
        <w:rPr>
          <w:rFonts w:eastAsia="Times New Roman" w:cs="Arial"/>
          <w:color w:val="000000"/>
          <w:lang w:eastAsia="bg-BG"/>
        </w:rPr>
      </w:pPr>
    </w:p>
    <w:p w14:paraId="4A80DF18" w14:textId="450D5EB1"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При бременни и жени в детеродна възраст, освен ако не използват ефективен метод на контрацепция (вж. точка 4.6). Установено е, че целекоксиб предизвиква малформации при двата експериментални животински вида (вж. точки 4.6 и 5.3). Потенциалният риск при човека по време на бременност е неизвестен, но не може да бъде изключен.</w:t>
      </w:r>
    </w:p>
    <w:p w14:paraId="5151BA12" w14:textId="77777777" w:rsidR="00714D2D" w:rsidRPr="00714D2D" w:rsidRDefault="00714D2D" w:rsidP="00714D2D">
      <w:pPr>
        <w:spacing w:line="240" w:lineRule="auto"/>
        <w:rPr>
          <w:rFonts w:eastAsia="Times New Roman" w:cs="Arial"/>
          <w:color w:val="000000"/>
          <w:lang w:eastAsia="bg-BG"/>
        </w:rPr>
      </w:pPr>
    </w:p>
    <w:p w14:paraId="4CFB690B" w14:textId="0AE369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Кърмене (вж. точки 4.6 и 5.3).</w:t>
      </w:r>
    </w:p>
    <w:p w14:paraId="32A1D0F3" w14:textId="77777777" w:rsidR="00714D2D" w:rsidRPr="00714D2D" w:rsidRDefault="00714D2D" w:rsidP="00714D2D">
      <w:pPr>
        <w:spacing w:line="240" w:lineRule="auto"/>
        <w:rPr>
          <w:rFonts w:eastAsia="Times New Roman" w:cs="Arial"/>
          <w:color w:val="000000"/>
          <w:lang w:eastAsia="bg-BG"/>
        </w:rPr>
      </w:pPr>
    </w:p>
    <w:p w14:paraId="63F9B637" w14:textId="475C1516"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Тежко нарушение на чернодробната функция (серумен албумин &lt; 25 </w:t>
      </w:r>
      <w:r w:rsidRPr="00714D2D">
        <w:rPr>
          <w:rFonts w:eastAsia="Times New Roman" w:cs="Arial"/>
          <w:color w:val="000000"/>
          <w:lang w:val="en-US"/>
        </w:rPr>
        <w:t xml:space="preserve">g/l </w:t>
      </w:r>
      <w:r w:rsidRPr="00714D2D">
        <w:rPr>
          <w:rFonts w:eastAsia="Times New Roman" w:cs="Arial"/>
          <w:color w:val="000000"/>
          <w:lang w:eastAsia="bg-BG"/>
        </w:rPr>
        <w:t xml:space="preserve">или индекс на </w:t>
      </w:r>
      <w:r w:rsidRPr="00714D2D">
        <w:rPr>
          <w:rFonts w:eastAsia="Times New Roman" w:cs="Arial"/>
          <w:color w:val="000000"/>
          <w:lang w:val="en-US"/>
        </w:rPr>
        <w:t xml:space="preserve">Child- Pugh </w:t>
      </w:r>
      <w:r w:rsidRPr="00714D2D">
        <w:rPr>
          <w:rFonts w:eastAsia="Times New Roman" w:cs="Arial"/>
          <w:color w:val="000000"/>
          <w:lang w:eastAsia="bg-BG"/>
        </w:rPr>
        <w:t>≥ 10).</w:t>
      </w:r>
    </w:p>
    <w:p w14:paraId="2FB1C25A" w14:textId="77777777" w:rsidR="00714D2D" w:rsidRPr="00714D2D" w:rsidRDefault="00714D2D" w:rsidP="00714D2D">
      <w:pPr>
        <w:spacing w:line="240" w:lineRule="auto"/>
        <w:rPr>
          <w:rFonts w:eastAsia="Times New Roman" w:cs="Arial"/>
          <w:color w:val="000000"/>
          <w:lang w:eastAsia="bg-BG"/>
        </w:rPr>
      </w:pPr>
    </w:p>
    <w:p w14:paraId="7DD05968" w14:textId="04D9B998"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Пациенти с очакван креатининов клирънс &lt; 30 </w:t>
      </w:r>
      <w:r w:rsidRPr="00714D2D">
        <w:rPr>
          <w:rFonts w:eastAsia="Times New Roman" w:cs="Arial"/>
          <w:color w:val="000000"/>
          <w:lang w:val="en-US"/>
        </w:rPr>
        <w:t>ml</w:t>
      </w:r>
      <w:r w:rsidRPr="00714D2D">
        <w:rPr>
          <w:rFonts w:eastAsia="Times New Roman" w:cs="Arial"/>
          <w:color w:val="000000"/>
          <w:lang w:eastAsia="bg-BG"/>
        </w:rPr>
        <w:t>/мин.</w:t>
      </w:r>
    </w:p>
    <w:p w14:paraId="4958E868" w14:textId="77777777" w:rsidR="00714D2D" w:rsidRPr="00714D2D" w:rsidRDefault="00714D2D" w:rsidP="00714D2D">
      <w:pPr>
        <w:spacing w:line="240" w:lineRule="auto"/>
        <w:rPr>
          <w:rFonts w:eastAsia="Times New Roman" w:cs="Arial"/>
          <w:color w:val="000000"/>
          <w:lang w:eastAsia="bg-BG"/>
        </w:rPr>
      </w:pPr>
    </w:p>
    <w:p w14:paraId="3D02ED88" w14:textId="5179D122"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Възпалително чревно заболяване.</w:t>
      </w:r>
    </w:p>
    <w:p w14:paraId="7FC6D7E5" w14:textId="77777777" w:rsidR="00714D2D" w:rsidRPr="00714D2D" w:rsidRDefault="00714D2D" w:rsidP="00714D2D">
      <w:pPr>
        <w:spacing w:line="240" w:lineRule="auto"/>
        <w:rPr>
          <w:rFonts w:eastAsia="Times New Roman" w:cs="Arial"/>
          <w:color w:val="000000"/>
          <w:lang w:eastAsia="bg-BG"/>
        </w:rPr>
      </w:pPr>
    </w:p>
    <w:p w14:paraId="345F52E6" w14:textId="72D8BC90"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Застойна сърдечна недостатъчност </w:t>
      </w:r>
      <w:r w:rsidRPr="00714D2D">
        <w:rPr>
          <w:rFonts w:eastAsia="Times New Roman" w:cs="Arial"/>
          <w:color w:val="000000"/>
          <w:lang w:val="en-US"/>
        </w:rPr>
        <w:t xml:space="preserve">(II-IV </w:t>
      </w:r>
      <w:r w:rsidRPr="00714D2D">
        <w:rPr>
          <w:rFonts w:eastAsia="Times New Roman" w:cs="Arial"/>
          <w:color w:val="000000"/>
          <w:lang w:eastAsia="bg-BG"/>
        </w:rPr>
        <w:t xml:space="preserve">клас по </w:t>
      </w:r>
      <w:r w:rsidRPr="00714D2D">
        <w:rPr>
          <w:rFonts w:eastAsia="Times New Roman" w:cs="Arial"/>
          <w:color w:val="000000"/>
          <w:lang w:val="en-US"/>
        </w:rPr>
        <w:t>NYHA).</w:t>
      </w:r>
    </w:p>
    <w:p w14:paraId="0996B72B" w14:textId="77777777" w:rsidR="00714D2D" w:rsidRPr="00714D2D" w:rsidRDefault="00714D2D" w:rsidP="00714D2D">
      <w:pPr>
        <w:spacing w:line="240" w:lineRule="auto"/>
        <w:rPr>
          <w:rFonts w:eastAsia="Times New Roman" w:cs="Arial"/>
          <w:color w:val="000000"/>
          <w:lang w:eastAsia="bg-BG"/>
        </w:rPr>
      </w:pPr>
    </w:p>
    <w:p w14:paraId="47FC08E3" w14:textId="0A556880"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Установена исхемична болест на сърцето, периферна артериална болест и/или мозъчно-съдова болест.</w:t>
      </w:r>
    </w:p>
    <w:p w14:paraId="111FCA08" w14:textId="77777777" w:rsidR="00714D2D" w:rsidRPr="00714D2D" w:rsidRDefault="00714D2D" w:rsidP="00714D2D"/>
    <w:p w14:paraId="45176B5B" w14:textId="0EB6214A" w:rsidR="00A428B7" w:rsidRDefault="002C50EE" w:rsidP="00340E8D">
      <w:pPr>
        <w:pStyle w:val="Heading2"/>
      </w:pPr>
      <w:r>
        <w:t>4.4. Специални предупреждения и предпазни мерки при употреба</w:t>
      </w:r>
    </w:p>
    <w:p w14:paraId="7C27D18C" w14:textId="1E9ED482" w:rsidR="00714D2D" w:rsidRDefault="00714D2D" w:rsidP="00714D2D"/>
    <w:p w14:paraId="31100D78"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Гастроинтестинални (ГИ) ефекти</w:t>
      </w:r>
    </w:p>
    <w:p w14:paraId="4FE1872A"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lastRenderedPageBreak/>
        <w:t>При пациенти, лекувани с целекоксиб, са били наблюдавани усложнения на горния и долния гастроинтестинален тракт [перфорации, язви или кръвоизливи(</w:t>
      </w:r>
      <w:r w:rsidRPr="00714D2D">
        <w:rPr>
          <w:rFonts w:eastAsia="Times New Roman" w:cs="Arial"/>
          <w:color w:val="000000"/>
          <w:lang w:val="en-US"/>
        </w:rPr>
        <w:t>PUBs</w:t>
      </w:r>
      <w:r w:rsidRPr="00714D2D">
        <w:rPr>
          <w:rFonts w:eastAsia="Times New Roman" w:cs="Arial"/>
          <w:color w:val="000000"/>
          <w:lang w:eastAsia="bg-BG"/>
        </w:rPr>
        <w:t>)], като някои от тях са били фатални. Препоръчва се повишено внимание при лечение на пациенти с най-висок риск от развитие на гастроинтестинални усложнения от НСПВС; тези в напреднала възраст, пациенти, употребяващи едновременно което и да е друго НСПВС или тромбоцитни антиагреганти (като ацетилсалицилова киселина) или глюкокортикоиди, пациенти употребяващи алкохол или пациенти с анамнеза за гастроинтестинално заболяване като язва и кървене от ГИ тракт.</w:t>
      </w:r>
    </w:p>
    <w:p w14:paraId="6BE95D37" w14:textId="77777777" w:rsidR="00714D2D" w:rsidRPr="00714D2D" w:rsidRDefault="00714D2D" w:rsidP="00714D2D">
      <w:pPr>
        <w:spacing w:line="240" w:lineRule="auto"/>
        <w:rPr>
          <w:rFonts w:eastAsia="Times New Roman" w:cs="Arial"/>
          <w:color w:val="000000"/>
          <w:lang w:eastAsia="bg-BG"/>
        </w:rPr>
      </w:pPr>
    </w:p>
    <w:p w14:paraId="1A0B368B" w14:textId="723810CC"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При едновременно лечение с ацетилсалицилова киселина (даже и в ниски дози) и целекоксиб съществува допълнително повишен риск от гастроинтестинални нежелани реакции за целекоксиб (гастроинтестинални улцерации или други гастроинтестинални усложнения).</w:t>
      </w:r>
    </w:p>
    <w:p w14:paraId="414826F5" w14:textId="77777777" w:rsidR="00714D2D" w:rsidRPr="00714D2D" w:rsidRDefault="00714D2D" w:rsidP="00714D2D">
      <w:pPr>
        <w:spacing w:line="240" w:lineRule="auto"/>
        <w:rPr>
          <w:rFonts w:eastAsia="Times New Roman" w:cs="Arial"/>
          <w:color w:val="000000"/>
          <w:lang w:eastAsia="bg-BG"/>
        </w:rPr>
      </w:pPr>
    </w:p>
    <w:p w14:paraId="3B3835A2" w14:textId="1C7EA33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Значима разлика в гастроинтестиналната безопасност между селективни СОХ-2 инхибитори + ацетилсалицилова киселина спрямо НСПВС + ацетилсалицилова киселина не е демонстрирана в дългосрочни клинични проучвания (вж. точка 5.1).</w:t>
      </w:r>
    </w:p>
    <w:p w14:paraId="7CA68D10" w14:textId="77777777" w:rsidR="00714D2D" w:rsidRPr="00714D2D" w:rsidRDefault="00714D2D" w:rsidP="00714D2D">
      <w:pPr>
        <w:spacing w:line="240" w:lineRule="auto"/>
        <w:rPr>
          <w:rFonts w:eastAsia="Times New Roman" w:cs="Arial"/>
          <w:color w:val="000000"/>
          <w:u w:val="single"/>
          <w:lang w:eastAsia="bg-BG"/>
        </w:rPr>
      </w:pPr>
    </w:p>
    <w:p w14:paraId="766E5819" w14:textId="72A9F19A"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Едновременна употреба с НСВПС</w:t>
      </w:r>
    </w:p>
    <w:p w14:paraId="0236A588"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Едновременната употреба на целекоксиб и неаспиринови НСПВС трябва да се избягва.</w:t>
      </w:r>
    </w:p>
    <w:p w14:paraId="38256BED" w14:textId="77777777" w:rsidR="00714D2D" w:rsidRPr="00714D2D" w:rsidRDefault="00714D2D" w:rsidP="00714D2D">
      <w:pPr>
        <w:spacing w:line="240" w:lineRule="auto"/>
        <w:rPr>
          <w:rFonts w:eastAsia="Times New Roman" w:cs="Arial"/>
          <w:color w:val="000000"/>
          <w:u w:val="single"/>
          <w:lang w:eastAsia="bg-BG"/>
        </w:rPr>
      </w:pPr>
    </w:p>
    <w:p w14:paraId="0578FBFF" w14:textId="080B64C4"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Сърдечносъдови ефекти</w:t>
      </w:r>
    </w:p>
    <w:p w14:paraId="4E4B4163" w14:textId="0EAA29D5" w:rsidR="00714D2D" w:rsidRPr="00714D2D" w:rsidRDefault="00714D2D" w:rsidP="00714D2D">
      <w:pPr>
        <w:rPr>
          <w:rFonts w:eastAsia="Times New Roman" w:cs="Arial"/>
          <w:color w:val="000000"/>
          <w:lang w:eastAsia="bg-BG"/>
        </w:rPr>
      </w:pPr>
      <w:r w:rsidRPr="00714D2D">
        <w:rPr>
          <w:rFonts w:eastAsia="Times New Roman" w:cs="Arial"/>
          <w:color w:val="000000"/>
          <w:lang w:eastAsia="bg-BG"/>
        </w:rPr>
        <w:t>Увеличен брой сериозни сърдечносъдови (СС) събития, основно инфаркт на миокард</w:t>
      </w:r>
      <w:r w:rsidRPr="00714D2D">
        <w:rPr>
          <w:rFonts w:eastAsia="Times New Roman" w:cs="Arial"/>
          <w:color w:val="000000"/>
          <w:lang w:val="en-US"/>
        </w:rPr>
        <w:t xml:space="preserve">a, </w:t>
      </w:r>
      <w:r w:rsidRPr="00714D2D">
        <w:rPr>
          <w:rFonts w:eastAsia="Times New Roman" w:cs="Arial"/>
          <w:color w:val="000000"/>
          <w:lang w:eastAsia="bg-BG"/>
        </w:rPr>
        <w:t xml:space="preserve">са били наблюдавани в дългосрочно плацебо-контролирано проучване при индивиди със спорадични аденоматозни полипи, лекувани с целекоксиб в дози от 200 </w:t>
      </w:r>
      <w:r w:rsidRPr="00714D2D">
        <w:rPr>
          <w:rFonts w:eastAsia="Times New Roman" w:cs="Arial"/>
          <w:color w:val="000000"/>
          <w:lang w:val="en-US"/>
        </w:rPr>
        <w:t xml:space="preserve">mg </w:t>
      </w:r>
      <w:r w:rsidRPr="00714D2D">
        <w:rPr>
          <w:rFonts w:eastAsia="Times New Roman" w:cs="Arial"/>
          <w:color w:val="000000"/>
          <w:lang w:eastAsia="bg-BG"/>
        </w:rPr>
        <w:t xml:space="preserve">два пъти дневно и </w:t>
      </w:r>
      <w:r w:rsidRPr="00714D2D">
        <w:rPr>
          <w:rFonts w:eastAsia="Times New Roman" w:cs="Arial"/>
          <w:color w:val="000000"/>
          <w:lang w:val="en-US"/>
        </w:rPr>
        <w:t>400</w:t>
      </w:r>
      <w:r w:rsidRPr="00714D2D">
        <w:rPr>
          <w:rFonts w:eastAsia="Times New Roman" w:cs="Arial"/>
          <w:color w:val="000000"/>
          <w:lang w:eastAsia="bg-BG"/>
        </w:rPr>
        <w:t xml:space="preserve"> </w:t>
      </w:r>
      <w:r w:rsidRPr="00714D2D">
        <w:rPr>
          <w:rFonts w:eastAsia="Times New Roman" w:cs="Arial"/>
          <w:color w:val="000000"/>
          <w:lang w:val="en-US"/>
        </w:rPr>
        <w:t xml:space="preserve">mg </w:t>
      </w:r>
      <w:r w:rsidRPr="00714D2D">
        <w:rPr>
          <w:rFonts w:eastAsia="Times New Roman" w:cs="Arial"/>
          <w:color w:val="000000"/>
          <w:lang w:eastAsia="bg-BG"/>
        </w:rPr>
        <w:t>два пъти дневно, сравнено с плацебо (вж. точка 5.1).</w:t>
      </w:r>
    </w:p>
    <w:p w14:paraId="311395D7" w14:textId="57681B31" w:rsidR="00714D2D" w:rsidRPr="00714D2D" w:rsidRDefault="00714D2D" w:rsidP="00714D2D">
      <w:pPr>
        <w:rPr>
          <w:rFonts w:eastAsia="Times New Roman" w:cs="Arial"/>
          <w:color w:val="000000"/>
          <w:lang w:eastAsia="bg-BG"/>
        </w:rPr>
      </w:pPr>
    </w:p>
    <w:p w14:paraId="2D927612"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Тъй като сърдечносъдовите рискове на целекоксиб могат да нараснат с дозата и продължителността на експозиция, трябва да се използват възможно най-кратката продължителност на лечение и най-ниската ефективна дневна доза. НСПВС, включително селективните СОХ-2 инхибитори, са свързани с повишен риск от сърдечносъдови и тромботични нежелани реакции, когато се вземат дългосрочно. Точната степен на риска, свързана с еднократна доза, не е определена, нито е определена продължителността на терапията, свързана с повишен риск. Нуждите на пациента от симптоматично облекчение и отговорът към лечението трябва да бъдат оценявани периодично, особено при пациенти с остеоартрит (4.2, 4.3, 4.8 и 5.1).</w:t>
      </w:r>
    </w:p>
    <w:p w14:paraId="00B3C90D" w14:textId="77777777" w:rsidR="00714D2D" w:rsidRPr="00714D2D" w:rsidRDefault="00714D2D" w:rsidP="00714D2D">
      <w:pPr>
        <w:spacing w:line="240" w:lineRule="auto"/>
        <w:rPr>
          <w:rFonts w:eastAsia="Times New Roman" w:cs="Arial"/>
          <w:color w:val="000000"/>
          <w:lang w:eastAsia="bg-BG"/>
        </w:rPr>
      </w:pPr>
    </w:p>
    <w:p w14:paraId="66C85851" w14:textId="1D988F0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Пациенти със значими рискови фактори за сърдечносъдови събития (напр. хипертония, хиперлипидемия, захарен диабет, тютюнопушене) трябва да бъдат лекувани с целекоксиб само след внимателна преценка (вж. точка 5.1).</w:t>
      </w:r>
    </w:p>
    <w:p w14:paraId="5CAF68A8" w14:textId="77777777" w:rsidR="00714D2D" w:rsidRPr="00714D2D" w:rsidRDefault="00714D2D" w:rsidP="00714D2D">
      <w:pPr>
        <w:spacing w:line="240" w:lineRule="auto"/>
        <w:rPr>
          <w:rFonts w:eastAsia="Times New Roman" w:cs="Arial"/>
          <w:color w:val="000000"/>
          <w:lang w:eastAsia="bg-BG"/>
        </w:rPr>
      </w:pPr>
    </w:p>
    <w:p w14:paraId="2EF11C14" w14:textId="0C34B278"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Селективните СОХ-2 инхибитори не са заместители на ацетилсалициловата киселина за профилактика на сърдечносъдови тромбоемболични заболявания поради липсата на антиагрегантни ефекти. Ето защо, антиагрегантното лечение не </w:t>
      </w:r>
      <w:r w:rsidRPr="00714D2D">
        <w:rPr>
          <w:rFonts w:eastAsia="Times New Roman" w:cs="Arial"/>
          <w:i/>
          <w:iCs/>
          <w:color w:val="000000"/>
          <w:lang w:eastAsia="bg-BG"/>
        </w:rPr>
        <w:t>трябва</w:t>
      </w:r>
      <w:r w:rsidRPr="00714D2D">
        <w:rPr>
          <w:rFonts w:eastAsia="Times New Roman" w:cs="Arial"/>
          <w:color w:val="000000"/>
          <w:lang w:eastAsia="bg-BG"/>
        </w:rPr>
        <w:t xml:space="preserve"> да бъде прекратявано (вж. точка 5.1).</w:t>
      </w:r>
    </w:p>
    <w:p w14:paraId="79A10B5F" w14:textId="77777777" w:rsidR="00714D2D" w:rsidRPr="00714D2D" w:rsidRDefault="00714D2D" w:rsidP="00714D2D">
      <w:pPr>
        <w:spacing w:line="240" w:lineRule="auto"/>
        <w:rPr>
          <w:rFonts w:eastAsia="Times New Roman" w:cs="Arial"/>
          <w:color w:val="000000"/>
          <w:u w:val="single"/>
          <w:lang w:eastAsia="bg-BG"/>
        </w:rPr>
      </w:pPr>
    </w:p>
    <w:p w14:paraId="72CF0062" w14:textId="504EC9D0"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Задръжка на течности и отоци</w:t>
      </w:r>
    </w:p>
    <w:p w14:paraId="0A4E96A2"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Както и при други лекарствени продукти, инхибиращи простагландиновата синтеза, при пациенти, вземащи целекоксиб, е възможна задръжка на течности и поява на отоци. Следователно, целекоксиб трябва да бъде използван с повишено внимание </w:t>
      </w:r>
      <w:r w:rsidRPr="00714D2D">
        <w:rPr>
          <w:rFonts w:eastAsia="Times New Roman" w:cs="Arial"/>
          <w:i/>
          <w:iCs/>
          <w:color w:val="000000"/>
          <w:lang w:eastAsia="bg-BG"/>
        </w:rPr>
        <w:t xml:space="preserve">при </w:t>
      </w:r>
      <w:r w:rsidRPr="00714D2D">
        <w:rPr>
          <w:rFonts w:eastAsia="Times New Roman" w:cs="Arial"/>
          <w:i/>
          <w:iCs/>
          <w:color w:val="000000"/>
          <w:lang w:eastAsia="bg-BG"/>
        </w:rPr>
        <w:lastRenderedPageBreak/>
        <w:t xml:space="preserve">пациенти с </w:t>
      </w:r>
      <w:r w:rsidRPr="00714D2D">
        <w:rPr>
          <w:rFonts w:eastAsia="Times New Roman" w:cs="Arial"/>
          <w:color w:val="000000"/>
          <w:lang w:eastAsia="bg-BG"/>
        </w:rPr>
        <w:t>анамнеза за сърдечна недостатъчност, левокамерна дисфункция или хипертония и при пациенти с предшестващи отоци с различен произход, тъй като простагландиновата инхибиция може да доведе до влошаване на бъбречната функция и задръжка на течности. Повишено внимание е необходимо и при пациенти, провеждащи диуретично лечение или с повишен риск от хиповолемия по други причини</w:t>
      </w:r>
    </w:p>
    <w:p w14:paraId="19602367" w14:textId="77777777" w:rsidR="00714D2D" w:rsidRPr="00714D2D" w:rsidRDefault="00714D2D" w:rsidP="00714D2D">
      <w:pPr>
        <w:spacing w:line="240" w:lineRule="auto"/>
        <w:rPr>
          <w:rFonts w:eastAsia="Times New Roman" w:cs="Arial"/>
          <w:color w:val="000000"/>
          <w:u w:val="single"/>
          <w:lang w:eastAsia="bg-BG"/>
        </w:rPr>
      </w:pPr>
    </w:p>
    <w:p w14:paraId="03F56F0A" w14:textId="323E4169"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Хипертония</w:t>
      </w:r>
    </w:p>
    <w:p w14:paraId="79B19038"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Както всички НСПВС, целекоксиб може да доведе до възникването на новопоявила се хипертония или влошаване на вече съществуваща такава, всяка от които може да доведе до увеличаване на броя на сърдечносъдовите събития. Поради това кръвното налягане трябва да се проследява стриктно при започване на терапията с целекоксиб и по време на лечението.</w:t>
      </w:r>
    </w:p>
    <w:p w14:paraId="24CE977A" w14:textId="77777777" w:rsidR="00714D2D" w:rsidRPr="00714D2D" w:rsidRDefault="00714D2D" w:rsidP="00714D2D">
      <w:pPr>
        <w:spacing w:line="240" w:lineRule="auto"/>
        <w:rPr>
          <w:rFonts w:eastAsia="Times New Roman" w:cs="Arial"/>
          <w:color w:val="000000"/>
          <w:u w:val="single"/>
          <w:lang w:eastAsia="bg-BG"/>
        </w:rPr>
      </w:pPr>
    </w:p>
    <w:p w14:paraId="2BF6C063" w14:textId="183ADA1F"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Ефекти върху чернодробната и бъбречната функция</w:t>
      </w:r>
    </w:p>
    <w:p w14:paraId="343F5C2C"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Компрометирана бъбречна или чернодробна функция и особено сърдечна дисфункция са по- вероятни при лица в напреднала възраст, поради което при тях трябва да бъде упражняван съответен медицински контрол.</w:t>
      </w:r>
    </w:p>
    <w:p w14:paraId="273255AF" w14:textId="77777777" w:rsidR="00714D2D" w:rsidRPr="00714D2D" w:rsidRDefault="00714D2D" w:rsidP="00714D2D">
      <w:pPr>
        <w:spacing w:line="240" w:lineRule="auto"/>
        <w:rPr>
          <w:rFonts w:eastAsia="Times New Roman" w:cs="Arial"/>
          <w:color w:val="000000"/>
          <w:lang w:eastAsia="bg-BG"/>
        </w:rPr>
      </w:pPr>
    </w:p>
    <w:p w14:paraId="7DBFE563" w14:textId="2495F059"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НСПВС, включително целекоксиб, могат да причинят бъбречна токсичност. Клинични проучвания с целекоксиб показват бъбречни ефекти, подобни на тези, наблюдавани при използване на сравнителни НСПВС. Пациенти, изложени на по-голям риск от бъбречна токсичност, са онези с нарушена бъбречна функция, сърдечна недостатъчност, чернодробна дисфункция, онези приемащи диуретици, инхибитори на ангиотензин-конвертиращия ензим (АСЕ-инхибитори), ангиотензин II рецепторни антагонисти и пациенти в напреднала възраст (виж точка 4.5). Такива пациенти трябва да бъдат внимателно проследявани по време на лечение с целекоксиб.</w:t>
      </w:r>
    </w:p>
    <w:p w14:paraId="1BB4A2BB" w14:textId="77777777" w:rsidR="00714D2D" w:rsidRPr="00714D2D" w:rsidRDefault="00714D2D" w:rsidP="00714D2D">
      <w:pPr>
        <w:rPr>
          <w:rFonts w:eastAsia="Times New Roman" w:cs="Arial"/>
          <w:color w:val="000000"/>
          <w:lang w:eastAsia="bg-BG"/>
        </w:rPr>
      </w:pPr>
    </w:p>
    <w:p w14:paraId="45A4CBAB" w14:textId="77777777" w:rsidR="00714D2D" w:rsidRPr="00714D2D" w:rsidRDefault="00714D2D" w:rsidP="00714D2D">
      <w:pPr>
        <w:rPr>
          <w:rFonts w:eastAsia="Times New Roman" w:cs="Arial"/>
          <w:lang w:eastAsia="bg-BG"/>
        </w:rPr>
      </w:pPr>
      <w:r w:rsidRPr="00714D2D">
        <w:rPr>
          <w:rFonts w:eastAsia="Times New Roman" w:cs="Arial"/>
          <w:color w:val="000000"/>
          <w:lang w:eastAsia="bg-BG"/>
        </w:rPr>
        <w:t>Няколко случая на тежки чернодробни реакции, включително фулминантен хепатит (някои с фатален изход), чернодробна некроза и чернодробна недостатъчност (някои с фатален изход или изискващи чернодробна трансплантация) са съобщени при лечение с целекоксиб. Сред случаите, в които е съобщено време на възникване, повечето тежки нежелани  чернодробни</w:t>
      </w:r>
      <w:r w:rsidRPr="00714D2D">
        <w:rPr>
          <w:rFonts w:eastAsia="Times New Roman" w:cs="Arial"/>
          <w:color w:val="000000"/>
          <w:lang w:val="en-US" w:eastAsia="bg-BG"/>
        </w:rPr>
        <w:t xml:space="preserve"> </w:t>
      </w:r>
      <w:r w:rsidRPr="00714D2D">
        <w:rPr>
          <w:rFonts w:eastAsia="Times New Roman" w:cs="Arial"/>
          <w:color w:val="000000"/>
          <w:lang w:eastAsia="bg-BG"/>
        </w:rPr>
        <w:t>реакции са настъпили в рамките на един месец след започване на лечение с целекоксиб (вж. точка 4.8).</w:t>
      </w:r>
    </w:p>
    <w:p w14:paraId="5E262BEC"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Ако по време на лечение се влошат функциите на която и да е органна система, описани по- горе, трябва да бъдат предприети подходящи мерки и да се обмисли прекратяване на лечението с целекоксиб.</w:t>
      </w:r>
    </w:p>
    <w:p w14:paraId="686FB128" w14:textId="77777777" w:rsidR="00714D2D" w:rsidRPr="00714D2D" w:rsidRDefault="00714D2D" w:rsidP="00714D2D">
      <w:pPr>
        <w:spacing w:line="240" w:lineRule="auto"/>
        <w:rPr>
          <w:rFonts w:eastAsia="Times New Roman" w:cs="Arial"/>
          <w:color w:val="000000"/>
          <w:u w:val="single"/>
          <w:lang w:eastAsia="bg-BG"/>
        </w:rPr>
      </w:pPr>
    </w:p>
    <w:p w14:paraId="796FDD8A" w14:textId="05ECCC8B"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 xml:space="preserve">Инхибитори на </w:t>
      </w:r>
      <w:r w:rsidRPr="00714D2D">
        <w:rPr>
          <w:rFonts w:eastAsia="Times New Roman" w:cs="Arial"/>
          <w:color w:val="000000"/>
          <w:u w:val="single"/>
          <w:lang w:val="en-US"/>
        </w:rPr>
        <w:t>CYP2D6</w:t>
      </w:r>
    </w:p>
    <w:p w14:paraId="5392EB0C"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Целекоксиб инхибира </w:t>
      </w:r>
      <w:r w:rsidRPr="00714D2D">
        <w:rPr>
          <w:rFonts w:eastAsia="Times New Roman" w:cs="Arial"/>
          <w:color w:val="000000"/>
          <w:lang w:val="en-US"/>
        </w:rPr>
        <w:t xml:space="preserve">CYP2D6. </w:t>
      </w:r>
      <w:r w:rsidRPr="00714D2D">
        <w:rPr>
          <w:rFonts w:eastAsia="Times New Roman" w:cs="Arial"/>
          <w:color w:val="000000"/>
          <w:lang w:eastAsia="bg-BG"/>
        </w:rPr>
        <w:t xml:space="preserve">Въпреки че той не е силен инхибитор на този ензим, може да е необходимо намаление на дозата на лекарства, изискващи индивидуализиране на титрирането на дозата поради това, че се метаболизират от </w:t>
      </w:r>
      <w:r w:rsidRPr="00714D2D">
        <w:rPr>
          <w:rFonts w:eastAsia="Times New Roman" w:cs="Arial"/>
          <w:color w:val="000000"/>
          <w:lang w:val="en-US"/>
        </w:rPr>
        <w:t xml:space="preserve">CYP2D6 </w:t>
      </w:r>
      <w:r w:rsidRPr="00714D2D">
        <w:rPr>
          <w:rFonts w:eastAsia="Times New Roman" w:cs="Arial"/>
          <w:color w:val="000000"/>
          <w:lang w:eastAsia="bg-BG"/>
        </w:rPr>
        <w:t>(вж. точка 4.5).</w:t>
      </w:r>
    </w:p>
    <w:p w14:paraId="45BAED22" w14:textId="77777777" w:rsidR="00714D2D" w:rsidRPr="00714D2D" w:rsidRDefault="00714D2D" w:rsidP="00714D2D">
      <w:pPr>
        <w:spacing w:line="240" w:lineRule="auto"/>
        <w:rPr>
          <w:rFonts w:eastAsia="Times New Roman" w:cs="Arial"/>
          <w:color w:val="000000"/>
          <w:u w:val="single"/>
          <w:lang w:eastAsia="bg-BG"/>
        </w:rPr>
      </w:pPr>
    </w:p>
    <w:p w14:paraId="46500533" w14:textId="1FEC425F"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 xml:space="preserve">Бавни </w:t>
      </w:r>
      <w:r w:rsidRPr="00714D2D">
        <w:rPr>
          <w:rFonts w:eastAsia="Times New Roman" w:cs="Arial"/>
          <w:color w:val="000000"/>
          <w:u w:val="single"/>
          <w:lang w:val="en-US"/>
        </w:rPr>
        <w:t xml:space="preserve">CYP2C9 </w:t>
      </w:r>
      <w:r w:rsidRPr="00714D2D">
        <w:rPr>
          <w:rFonts w:eastAsia="Times New Roman" w:cs="Arial"/>
          <w:color w:val="000000"/>
          <w:u w:val="single"/>
          <w:lang w:eastAsia="bg-BG"/>
        </w:rPr>
        <w:t>метаболизатори</w:t>
      </w:r>
    </w:p>
    <w:p w14:paraId="06E44734"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Пациенти, за които е известно, че са лоши </w:t>
      </w:r>
      <w:r w:rsidRPr="00714D2D">
        <w:rPr>
          <w:rFonts w:eastAsia="Times New Roman" w:cs="Arial"/>
          <w:color w:val="000000"/>
          <w:lang w:val="en-US"/>
        </w:rPr>
        <w:t xml:space="preserve">CYP2C9 </w:t>
      </w:r>
      <w:r w:rsidRPr="00714D2D">
        <w:rPr>
          <w:rFonts w:eastAsia="Times New Roman" w:cs="Arial"/>
          <w:color w:val="000000"/>
          <w:lang w:eastAsia="bg-BG"/>
        </w:rPr>
        <w:t>метаболизатори, трябва да бъдат лекувани с повишено внимание (вж. точка 5.2).</w:t>
      </w:r>
    </w:p>
    <w:p w14:paraId="30A66CED" w14:textId="77777777" w:rsidR="00714D2D" w:rsidRPr="00714D2D" w:rsidRDefault="00714D2D" w:rsidP="00714D2D">
      <w:pPr>
        <w:spacing w:line="240" w:lineRule="auto"/>
        <w:rPr>
          <w:rFonts w:eastAsia="Times New Roman" w:cs="Arial"/>
          <w:color w:val="000000"/>
          <w:u w:val="single"/>
          <w:lang w:eastAsia="bg-BG"/>
        </w:rPr>
      </w:pPr>
    </w:p>
    <w:p w14:paraId="7E8C48EA" w14:textId="2F281B27"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Кожни и системни реакции на свръхчувствителност</w:t>
      </w:r>
    </w:p>
    <w:p w14:paraId="66D62D98"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Много рядко са съобщавани сериозни кожни реакции, някои от които фатални, включително ексфолиативен дерматит, синдром на </w:t>
      </w:r>
      <w:r w:rsidRPr="00714D2D">
        <w:rPr>
          <w:rFonts w:eastAsia="Times New Roman" w:cs="Arial"/>
          <w:color w:val="000000"/>
          <w:lang w:val="en-US"/>
        </w:rPr>
        <w:t xml:space="preserve">Stevens-Johnson </w:t>
      </w:r>
      <w:r w:rsidRPr="00714D2D">
        <w:rPr>
          <w:rFonts w:eastAsia="Times New Roman" w:cs="Arial"/>
          <w:color w:val="000000"/>
          <w:lang w:eastAsia="bg-BG"/>
        </w:rPr>
        <w:t xml:space="preserve">и токсична епидермална некролиза, във връзка с употребата на целекоксиб (вж. точка 4.8). </w:t>
      </w:r>
      <w:r w:rsidRPr="00714D2D">
        <w:rPr>
          <w:rFonts w:eastAsia="Times New Roman" w:cs="Arial"/>
          <w:color w:val="000000"/>
          <w:lang w:eastAsia="bg-BG"/>
        </w:rPr>
        <w:lastRenderedPageBreak/>
        <w:t xml:space="preserve">Пациентите вероятно са с най-висок риск от такива реакции в началото на лечението; появата на реакцията в повечето случаи се наблюдава през първия месец от лечението. При пациенти, получаващи целекоксиб, има съобщения за сериозни реакции на свръхчувствителност включително анафилаксия, ангиоедем и лекарствен обрив с еозинофилия и системни симптоми </w:t>
      </w:r>
      <w:r w:rsidRPr="00714D2D">
        <w:rPr>
          <w:rFonts w:eastAsia="Times New Roman" w:cs="Arial"/>
          <w:color w:val="000000"/>
          <w:lang w:val="en-US"/>
        </w:rPr>
        <w:t xml:space="preserve">(DRESS, </w:t>
      </w:r>
      <w:r w:rsidRPr="00714D2D">
        <w:rPr>
          <w:rFonts w:eastAsia="Times New Roman" w:cs="Arial"/>
          <w:color w:val="000000"/>
          <w:lang w:eastAsia="bg-BG"/>
        </w:rPr>
        <w:t>или синдром на свръхчувствителност) (вж. точка 4.8). При пациенти с анамнеза за алергия към сулфонамиди или алергия към всяко друго лекарство може да съществува по-висок риск от сериозни кожни реакции или реакции на свръхчувствителност (вж. точка 4.3). Целекоксиб трябва да бъде спрян при първата поява на кожен обрив, лигавични лезии или всяка друга проява на свръхчувствителност.</w:t>
      </w:r>
    </w:p>
    <w:p w14:paraId="4E9576BF" w14:textId="77777777" w:rsidR="00714D2D" w:rsidRPr="00714D2D" w:rsidRDefault="00714D2D" w:rsidP="00714D2D">
      <w:pPr>
        <w:spacing w:line="240" w:lineRule="auto"/>
        <w:rPr>
          <w:rFonts w:eastAsia="Times New Roman" w:cs="Arial"/>
          <w:color w:val="000000"/>
          <w:u w:val="single"/>
          <w:lang w:eastAsia="bg-BG"/>
        </w:rPr>
      </w:pPr>
    </w:p>
    <w:p w14:paraId="41A01256" w14:textId="7BAD9E0E"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Общи ефекти</w:t>
      </w:r>
    </w:p>
    <w:p w14:paraId="34EC3938"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Целекоксиб може да замаскира фебрилитет или други прояви на възпаление.</w:t>
      </w:r>
    </w:p>
    <w:p w14:paraId="370CD850" w14:textId="77777777" w:rsidR="00714D2D" w:rsidRPr="00714D2D" w:rsidRDefault="00714D2D" w:rsidP="00714D2D">
      <w:pPr>
        <w:spacing w:line="240" w:lineRule="auto"/>
        <w:rPr>
          <w:rFonts w:eastAsia="Times New Roman" w:cs="Arial"/>
          <w:color w:val="000000"/>
          <w:u w:val="single"/>
          <w:lang w:eastAsia="bg-BG"/>
        </w:rPr>
      </w:pPr>
    </w:p>
    <w:p w14:paraId="655BFA39" w14:textId="56F95A5F"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Употреба с перорални антикоагуланти</w:t>
      </w:r>
    </w:p>
    <w:p w14:paraId="149B5798"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При пациенти на съпътстващо лечение с варфарин са наблюдавани сериозни събития на кървене, някои от които фатални. При съпътстващо лечение е съобщено удължено протромбиново време </w:t>
      </w:r>
      <w:r w:rsidRPr="00714D2D">
        <w:rPr>
          <w:rFonts w:eastAsia="Times New Roman" w:cs="Arial"/>
          <w:color w:val="000000"/>
          <w:lang w:val="en-US"/>
        </w:rPr>
        <w:t xml:space="preserve">(INR). </w:t>
      </w:r>
      <w:r w:rsidRPr="00714D2D">
        <w:rPr>
          <w:rFonts w:eastAsia="Times New Roman" w:cs="Arial"/>
          <w:color w:val="000000"/>
          <w:lang w:eastAsia="bg-BG"/>
        </w:rPr>
        <w:t>Следователно трябва да се следи внимателно при пациенти, приемащи варфарин/перорални антикоагуланти от кумаринов тип, особено когато е инициирано лечение с целекоксиб или дозата целекосиб е променена (вж. точка 4.5). Едновременната употреба на антикоагуланти с НСПВС може да увеличи риска от кървене. Необходимо е повишено внимание при комбиниране на целекоксиб с варфарин или други перорални антикоагуланти, включително нови антикоагуланти (напр. апиксабан, дабигатран и ривароксабан).</w:t>
      </w:r>
    </w:p>
    <w:p w14:paraId="7C84683F" w14:textId="77777777" w:rsidR="00714D2D" w:rsidRPr="00714D2D" w:rsidRDefault="00714D2D" w:rsidP="00714D2D">
      <w:pPr>
        <w:spacing w:line="240" w:lineRule="auto"/>
        <w:rPr>
          <w:rFonts w:eastAsia="Times New Roman" w:cs="Arial"/>
          <w:color w:val="000000"/>
          <w:u w:val="single"/>
          <w:lang w:eastAsia="bg-BG"/>
        </w:rPr>
      </w:pPr>
    </w:p>
    <w:p w14:paraId="267C1180" w14:textId="02D33AD3"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Помошни вещества</w:t>
      </w:r>
    </w:p>
    <w:p w14:paraId="00B82695"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Аклекса съдържа лактоза и натрий.</w:t>
      </w:r>
    </w:p>
    <w:p w14:paraId="33ACD5C1"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Пациенти с редките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08912CBA"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Това лекарство съдържа по-малко от 1 </w:t>
      </w:r>
      <w:r w:rsidRPr="00714D2D">
        <w:rPr>
          <w:rFonts w:eastAsia="Times New Roman" w:cs="Arial"/>
          <w:color w:val="000000"/>
          <w:lang w:val="en-US"/>
        </w:rPr>
        <w:t xml:space="preserve">mmol </w:t>
      </w:r>
      <w:r w:rsidRPr="00714D2D">
        <w:rPr>
          <w:rFonts w:eastAsia="Times New Roman" w:cs="Arial"/>
          <w:color w:val="000000"/>
          <w:lang w:eastAsia="bg-BG"/>
        </w:rPr>
        <w:t xml:space="preserve">натрий (23 </w:t>
      </w:r>
      <w:r w:rsidRPr="00714D2D">
        <w:rPr>
          <w:rFonts w:eastAsia="Times New Roman" w:cs="Arial"/>
          <w:color w:val="000000"/>
          <w:lang w:val="en-US"/>
        </w:rPr>
        <w:t xml:space="preserve">mg) </w:t>
      </w:r>
      <w:r w:rsidRPr="00714D2D">
        <w:rPr>
          <w:rFonts w:eastAsia="Times New Roman" w:cs="Arial"/>
          <w:color w:val="000000"/>
          <w:lang w:eastAsia="bg-BG"/>
        </w:rPr>
        <w:t>на капсула, т.е. може да се каже, че практически не съдържа натрий.</w:t>
      </w:r>
    </w:p>
    <w:p w14:paraId="4FE80895" w14:textId="446D91DB" w:rsidR="00714D2D" w:rsidRPr="00714D2D" w:rsidRDefault="00714D2D" w:rsidP="00714D2D">
      <w:pPr>
        <w:rPr>
          <w:lang w:val="en-US"/>
        </w:rPr>
      </w:pPr>
    </w:p>
    <w:p w14:paraId="3A35B3F5" w14:textId="4C718AC8"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AE5FB9D" w14:textId="23F29186" w:rsidR="00714D2D" w:rsidRDefault="00714D2D" w:rsidP="00714D2D"/>
    <w:p w14:paraId="04B6CC30" w14:textId="77777777" w:rsidR="00714D2D" w:rsidRPr="00714D2D" w:rsidRDefault="00714D2D" w:rsidP="00714D2D">
      <w:pPr>
        <w:spacing w:line="240" w:lineRule="auto"/>
        <w:rPr>
          <w:rFonts w:eastAsia="Times New Roman" w:cs="Arial"/>
          <w:i/>
          <w:iCs/>
          <w:color w:val="000000"/>
          <w:lang w:eastAsia="bg-BG"/>
        </w:rPr>
      </w:pPr>
      <w:r w:rsidRPr="00714D2D">
        <w:rPr>
          <w:rFonts w:eastAsia="Times New Roman" w:cs="Arial"/>
          <w:i/>
          <w:iCs/>
          <w:color w:val="000000"/>
          <w:lang w:eastAsia="bg-BG"/>
        </w:rPr>
        <w:t xml:space="preserve">Фармакодинамични взаимодействия </w:t>
      </w:r>
    </w:p>
    <w:p w14:paraId="0C3A7662" w14:textId="55ADA1D1" w:rsidR="00714D2D" w:rsidRPr="00714D2D" w:rsidRDefault="00714D2D" w:rsidP="00714D2D">
      <w:pPr>
        <w:spacing w:line="240" w:lineRule="auto"/>
        <w:rPr>
          <w:rFonts w:eastAsia="Times New Roman" w:cs="Arial"/>
          <w:lang w:eastAsia="bg-BG"/>
        </w:rPr>
      </w:pPr>
      <w:r w:rsidRPr="00714D2D">
        <w:rPr>
          <w:rFonts w:eastAsia="Times New Roman" w:cs="Arial"/>
          <w:i/>
          <w:iCs/>
          <w:color w:val="000000"/>
          <w:u w:val="single"/>
          <w:lang w:eastAsia="bg-BG"/>
        </w:rPr>
        <w:t>Антикоагуланти</w:t>
      </w:r>
    </w:p>
    <w:p w14:paraId="49192110"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При пациенти, получаващи варфарин или други антикоагуланти, е необходимо антикоагулантната активност, особено през първите няколко дни след започв на дозата на целекоксиб, тъй като при тези пациенти има повишен риск от хематологични усложнения. Следователно, при пациенти, получаващи перорални антикоагуланти е необходимо често изследване на протромбиновото време/международен нормализиран коефициент </w:t>
      </w:r>
      <w:r w:rsidRPr="00714D2D">
        <w:rPr>
          <w:rFonts w:eastAsia="Times New Roman" w:cs="Arial"/>
          <w:color w:val="000000"/>
          <w:lang w:val="en-US"/>
        </w:rPr>
        <w:t xml:space="preserve">(INR), </w:t>
      </w:r>
      <w:r w:rsidRPr="00714D2D">
        <w:rPr>
          <w:rFonts w:eastAsia="Times New Roman" w:cs="Arial"/>
          <w:color w:val="000000"/>
          <w:lang w:eastAsia="bg-BG"/>
        </w:rPr>
        <w:t>особено през първите дни от започване на лечението с целекоксиб или промяна в дозата на целекоксиб (вж. точка 4.4). Съобщава се за хеморагични инциденти, свързани с удължаване на протромбиновото време, предимно при пациенти в напреднала възраст, получаващи целекоксиб едновременно с варфарин, някои от които фатални.</w:t>
      </w:r>
    </w:p>
    <w:p w14:paraId="07DB3399" w14:textId="77777777" w:rsidR="00714D2D" w:rsidRPr="00714D2D" w:rsidRDefault="00714D2D" w:rsidP="00714D2D">
      <w:pPr>
        <w:spacing w:line="240" w:lineRule="auto"/>
        <w:rPr>
          <w:rFonts w:eastAsia="Times New Roman" w:cs="Arial"/>
          <w:i/>
          <w:iCs/>
          <w:color w:val="000000"/>
          <w:u w:val="single"/>
          <w:lang w:eastAsia="bg-BG"/>
        </w:rPr>
      </w:pPr>
    </w:p>
    <w:p w14:paraId="6416408C" w14:textId="19F5DAE5" w:rsidR="00714D2D" w:rsidRPr="00714D2D" w:rsidRDefault="00714D2D" w:rsidP="00714D2D">
      <w:pPr>
        <w:spacing w:line="240" w:lineRule="auto"/>
        <w:rPr>
          <w:rFonts w:eastAsia="Times New Roman" w:cs="Arial"/>
          <w:lang w:eastAsia="bg-BG"/>
        </w:rPr>
      </w:pPr>
      <w:r w:rsidRPr="00714D2D">
        <w:rPr>
          <w:rFonts w:eastAsia="Times New Roman" w:cs="Arial"/>
          <w:i/>
          <w:iCs/>
          <w:color w:val="000000"/>
          <w:u w:val="single"/>
          <w:lang w:eastAsia="bg-BG"/>
        </w:rPr>
        <w:t>Антихипертензивни средства</w:t>
      </w:r>
    </w:p>
    <w:p w14:paraId="44B71D9D"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lastRenderedPageBreak/>
        <w:t>НСПВС могат да намалят ефекта на антихипертензивни лекарствени продукти, включително АСЕ инхибитори, ангиотензин II рецепторни антагонисти, диуретици и бета блокери. Както и при другите НСПВС, рискът от остра бъбречна недостатъчност, която обикновено е обратима, може да нарасне при някои пациенти с компрометирана бъбречна функция (напр.</w:t>
      </w:r>
    </w:p>
    <w:p w14:paraId="3FF7F94F"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дехидратирани пациенти, пациенти на диуретично лечение или пациенти в напреднала възраст), когато АСЕ инхибитори, ангиотензин II рецепторни антагонисти и/или диуретици се комбинират с НСПВС, включително целекоксиб (виж точка 4.4). Ето защо комбинацията трябва да се прилага с внимание, особено при пациенти в напреднала възраст. Пациентите трябва да бъдат адекватно хидратирани и да се има предвид проследяване на бъбречната функция след започване на съпътстващата терапия и периодично след това.</w:t>
      </w:r>
    </w:p>
    <w:p w14:paraId="4F9CC29E" w14:textId="77777777" w:rsidR="00714D2D" w:rsidRPr="00714D2D" w:rsidRDefault="00714D2D" w:rsidP="00714D2D">
      <w:pPr>
        <w:spacing w:line="240" w:lineRule="auto"/>
        <w:rPr>
          <w:rFonts w:eastAsia="Times New Roman" w:cs="Arial"/>
          <w:color w:val="000000"/>
          <w:lang w:eastAsia="bg-BG"/>
        </w:rPr>
      </w:pPr>
    </w:p>
    <w:p w14:paraId="27242D68" w14:textId="7F57351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В 28-дневно клинично проучване при пациенти с лизиноприл-контролирана хипертония I и II степен, лечението с целекоксиб 200 </w:t>
      </w:r>
      <w:r w:rsidRPr="00714D2D">
        <w:rPr>
          <w:rFonts w:eastAsia="Times New Roman" w:cs="Arial"/>
          <w:color w:val="000000"/>
          <w:lang w:val="en-US"/>
        </w:rPr>
        <w:t xml:space="preserve">mg </w:t>
      </w:r>
      <w:r w:rsidRPr="00714D2D">
        <w:rPr>
          <w:rFonts w:eastAsia="Times New Roman" w:cs="Arial"/>
          <w:color w:val="000000"/>
          <w:lang w:eastAsia="bg-BG"/>
        </w:rPr>
        <w:t xml:space="preserve">два пъти дневно спрямо плацебо, не води до клинично значимо увеличение на средното дневно систолично и диастолично кръвно налягане, определено чрез 24-часово амбулаторно измерване. При 48% от пациентите, лекувани с целекоксиб 200 </w:t>
      </w:r>
      <w:r w:rsidRPr="00714D2D">
        <w:rPr>
          <w:rFonts w:eastAsia="Times New Roman" w:cs="Arial"/>
          <w:color w:val="000000"/>
          <w:lang w:val="en-US"/>
        </w:rPr>
        <w:t xml:space="preserve">mg </w:t>
      </w:r>
      <w:r w:rsidRPr="00714D2D">
        <w:rPr>
          <w:rFonts w:eastAsia="Times New Roman" w:cs="Arial"/>
          <w:color w:val="000000"/>
          <w:lang w:eastAsia="bg-BG"/>
        </w:rPr>
        <w:t xml:space="preserve">два пъти дневно, се счита, че не са се повлияли от лечението с лизиноприл при последната клинична визита (определено като диастолично кръвно налягане &gt; 90 </w:t>
      </w:r>
      <w:r w:rsidRPr="00714D2D">
        <w:rPr>
          <w:rFonts w:eastAsia="Times New Roman" w:cs="Arial"/>
          <w:color w:val="000000"/>
          <w:lang w:val="en-US"/>
        </w:rPr>
        <w:t xml:space="preserve">mmHg </w:t>
      </w:r>
      <w:r w:rsidRPr="00714D2D">
        <w:rPr>
          <w:rFonts w:eastAsia="Times New Roman" w:cs="Arial"/>
          <w:color w:val="000000"/>
          <w:lang w:eastAsia="bg-BG"/>
        </w:rPr>
        <w:t>или повишение на дистоличното кръвно налягане с &gt; 10% спрямо изходните стойности), в сравнение с 27% от пациентите на плацебо; тази разлика е статистически значима.</w:t>
      </w:r>
    </w:p>
    <w:p w14:paraId="60683F2C" w14:textId="77777777" w:rsidR="00714D2D" w:rsidRPr="00714D2D" w:rsidRDefault="00714D2D" w:rsidP="00714D2D">
      <w:pPr>
        <w:spacing w:line="240" w:lineRule="auto"/>
        <w:rPr>
          <w:rFonts w:eastAsia="Times New Roman" w:cs="Arial"/>
          <w:i/>
          <w:iCs/>
          <w:color w:val="000000"/>
          <w:u w:val="single"/>
          <w:lang w:eastAsia="bg-BG"/>
        </w:rPr>
      </w:pPr>
    </w:p>
    <w:p w14:paraId="31EEC33A" w14:textId="4BE30CA0" w:rsidR="00714D2D" w:rsidRPr="00714D2D" w:rsidRDefault="00714D2D" w:rsidP="00714D2D">
      <w:pPr>
        <w:spacing w:line="240" w:lineRule="auto"/>
        <w:rPr>
          <w:rFonts w:eastAsia="Times New Roman" w:cs="Arial"/>
          <w:lang w:eastAsia="bg-BG"/>
        </w:rPr>
      </w:pPr>
      <w:r w:rsidRPr="00714D2D">
        <w:rPr>
          <w:rFonts w:eastAsia="Times New Roman" w:cs="Arial"/>
          <w:i/>
          <w:iCs/>
          <w:color w:val="000000"/>
          <w:u w:val="single"/>
          <w:lang w:eastAsia="bg-BG"/>
        </w:rPr>
        <w:t>Циклоспорин и такролимус</w:t>
      </w:r>
    </w:p>
    <w:p w14:paraId="2FC456BF"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Предполага се, че едновременното приложение на НСПВС и циклоспорин или такролимус може да увеличава нефротоксичния ефект на циклоспорин или респективно на такролимус. При комбиниране на целекоксиб и някое от тези лекарствени продукти бъбречната функция трябва да бъде мониторирана.</w:t>
      </w:r>
    </w:p>
    <w:p w14:paraId="012A889E" w14:textId="77777777" w:rsidR="00714D2D" w:rsidRPr="00714D2D" w:rsidRDefault="00714D2D" w:rsidP="00714D2D">
      <w:pPr>
        <w:spacing w:line="240" w:lineRule="auto"/>
        <w:rPr>
          <w:rFonts w:eastAsia="Times New Roman" w:cs="Arial"/>
          <w:i/>
          <w:iCs/>
          <w:color w:val="000000"/>
          <w:u w:val="single"/>
          <w:lang w:eastAsia="bg-BG"/>
        </w:rPr>
      </w:pPr>
    </w:p>
    <w:p w14:paraId="1A40AC97" w14:textId="1A4C6E27" w:rsidR="00714D2D" w:rsidRPr="00714D2D" w:rsidRDefault="00714D2D" w:rsidP="00714D2D">
      <w:pPr>
        <w:spacing w:line="240" w:lineRule="auto"/>
        <w:rPr>
          <w:rFonts w:eastAsia="Times New Roman" w:cs="Arial"/>
          <w:lang w:eastAsia="bg-BG"/>
        </w:rPr>
      </w:pPr>
      <w:r w:rsidRPr="00714D2D">
        <w:rPr>
          <w:rFonts w:eastAsia="Times New Roman" w:cs="Arial"/>
          <w:i/>
          <w:iCs/>
          <w:color w:val="000000"/>
          <w:u w:val="single"/>
          <w:lang w:eastAsia="bg-BG"/>
        </w:rPr>
        <w:t>Ацетилсалицилова киселина</w:t>
      </w:r>
    </w:p>
    <w:p w14:paraId="3E29D01B"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Целекоксиб може да бъде прилаган с ниски дози ацетилсалицилова киселина, но не е заместител на ацетилсалициловата киселина за целите на СС профилактика. Както и при другите НСПВС, представените проучвания показват повишен риск от гастроинтестинални разязвяване и други гастроинтестинални усложнения при едновременното приложение на целекоксиб и ацетилсалицилова киселина в ниски дози в сравнение със самостоятелното приложение на целекоксиб (вж. точка 5.1).</w:t>
      </w:r>
    </w:p>
    <w:p w14:paraId="249AA042" w14:textId="77777777" w:rsidR="00714D2D" w:rsidRPr="00714D2D" w:rsidRDefault="00714D2D" w:rsidP="00714D2D">
      <w:pPr>
        <w:spacing w:line="240" w:lineRule="auto"/>
        <w:rPr>
          <w:rFonts w:eastAsia="Times New Roman" w:cs="Arial"/>
          <w:color w:val="000000"/>
          <w:u w:val="single"/>
          <w:lang w:eastAsia="bg-BG"/>
        </w:rPr>
      </w:pPr>
    </w:p>
    <w:p w14:paraId="65217EF0" w14:textId="57C7BC96" w:rsidR="00714D2D" w:rsidRPr="00714D2D" w:rsidRDefault="00714D2D" w:rsidP="00714D2D">
      <w:pPr>
        <w:spacing w:line="240" w:lineRule="auto"/>
        <w:rPr>
          <w:rFonts w:eastAsia="Times New Roman" w:cs="Arial"/>
          <w:lang w:eastAsia="bg-BG"/>
        </w:rPr>
      </w:pPr>
      <w:r w:rsidRPr="00714D2D">
        <w:rPr>
          <w:rFonts w:eastAsia="Times New Roman" w:cs="Arial"/>
          <w:color w:val="000000"/>
          <w:u w:val="single"/>
          <w:lang w:eastAsia="bg-BG"/>
        </w:rPr>
        <w:t>Фармакокинетични взаимодействия</w:t>
      </w:r>
    </w:p>
    <w:p w14:paraId="177792F0" w14:textId="77777777" w:rsidR="00714D2D" w:rsidRPr="00714D2D" w:rsidRDefault="00714D2D" w:rsidP="00714D2D">
      <w:pPr>
        <w:spacing w:line="240" w:lineRule="auto"/>
        <w:rPr>
          <w:rFonts w:eastAsia="Times New Roman" w:cs="Arial"/>
          <w:i/>
          <w:iCs/>
          <w:color w:val="000000"/>
          <w:u w:val="single"/>
          <w:lang w:eastAsia="bg-BG"/>
        </w:rPr>
      </w:pPr>
    </w:p>
    <w:p w14:paraId="510FA2F0" w14:textId="5B02DA25" w:rsidR="00714D2D" w:rsidRPr="00714D2D" w:rsidRDefault="00714D2D" w:rsidP="00714D2D">
      <w:pPr>
        <w:spacing w:line="240" w:lineRule="auto"/>
        <w:rPr>
          <w:rFonts w:eastAsia="Times New Roman" w:cs="Arial"/>
          <w:lang w:eastAsia="bg-BG"/>
        </w:rPr>
      </w:pPr>
      <w:r w:rsidRPr="00714D2D">
        <w:rPr>
          <w:rFonts w:eastAsia="Times New Roman" w:cs="Arial"/>
          <w:i/>
          <w:iCs/>
          <w:color w:val="000000"/>
          <w:u w:val="single"/>
          <w:lang w:eastAsia="bg-BG"/>
        </w:rPr>
        <w:t>Ефекти на целекоксиб върху други лекарствени продукти</w:t>
      </w:r>
    </w:p>
    <w:p w14:paraId="582E7EBF" w14:textId="77777777" w:rsidR="00714D2D" w:rsidRPr="00714D2D" w:rsidRDefault="00714D2D" w:rsidP="00714D2D">
      <w:pPr>
        <w:spacing w:line="240" w:lineRule="auto"/>
        <w:rPr>
          <w:rFonts w:eastAsia="Times New Roman" w:cs="Arial"/>
          <w:i/>
          <w:iCs/>
          <w:color w:val="000000"/>
          <w:lang w:eastAsia="bg-BG"/>
        </w:rPr>
      </w:pPr>
    </w:p>
    <w:p w14:paraId="5FEAC4A6" w14:textId="614CBE54"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 xml:space="preserve">Инхибитори на </w:t>
      </w:r>
      <w:r w:rsidRPr="00714D2D">
        <w:rPr>
          <w:rFonts w:eastAsia="Times New Roman" w:cs="Arial"/>
          <w:i/>
          <w:iCs/>
          <w:color w:val="000000"/>
          <w:lang w:val="en-US"/>
        </w:rPr>
        <w:t>CYP2D6</w:t>
      </w:r>
    </w:p>
    <w:p w14:paraId="4C8710FC"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Целекоксиб е инхибитор на </w:t>
      </w:r>
      <w:r w:rsidRPr="00714D2D">
        <w:rPr>
          <w:rFonts w:eastAsia="Times New Roman" w:cs="Arial"/>
          <w:color w:val="000000"/>
          <w:lang w:val="en-US"/>
        </w:rPr>
        <w:t xml:space="preserve">CYP2D6. </w:t>
      </w:r>
      <w:r w:rsidRPr="00714D2D">
        <w:rPr>
          <w:rFonts w:eastAsia="Times New Roman" w:cs="Arial"/>
          <w:color w:val="000000"/>
          <w:lang w:eastAsia="bg-BG"/>
        </w:rPr>
        <w:t xml:space="preserve">Плазмените концентрации на лекарствените прдукти които са субстрати на този ензим, могат да нараснат при едновременно приложение с целекоксиб. Примери на лекарствените продукти, които се метаболизират от </w:t>
      </w:r>
      <w:r w:rsidRPr="00714D2D">
        <w:rPr>
          <w:rFonts w:eastAsia="Times New Roman" w:cs="Arial"/>
          <w:color w:val="000000"/>
          <w:lang w:val="en-US"/>
        </w:rPr>
        <w:t xml:space="preserve">CYP2D6 </w:t>
      </w:r>
      <w:r w:rsidRPr="00714D2D">
        <w:rPr>
          <w:rFonts w:eastAsia="Times New Roman" w:cs="Arial"/>
          <w:color w:val="000000"/>
          <w:lang w:eastAsia="bg-BG"/>
        </w:rPr>
        <w:t>са</w:t>
      </w:r>
      <w:r w:rsidRPr="00714D2D">
        <w:rPr>
          <w:rFonts w:eastAsia="Times New Roman" w:cs="Arial"/>
          <w:color w:val="000000"/>
          <w:vertAlign w:val="subscript"/>
          <w:lang w:eastAsia="bg-BG"/>
        </w:rPr>
        <w:t xml:space="preserve"> </w:t>
      </w:r>
      <w:r w:rsidRPr="00714D2D">
        <w:rPr>
          <w:rFonts w:eastAsia="Times New Roman" w:cs="Arial"/>
          <w:color w:val="000000"/>
          <w:lang w:eastAsia="bg-BG"/>
        </w:rPr>
        <w:t>аитидепресантите (трициклични антидепресанти (или трициклици) и селективни инхибитори на</w:t>
      </w:r>
    </w:p>
    <w:p w14:paraId="16F99D40" w14:textId="77777777" w:rsidR="00714D2D" w:rsidRPr="00714D2D" w:rsidRDefault="00714D2D" w:rsidP="00714D2D">
      <w:pPr>
        <w:rPr>
          <w:rFonts w:eastAsia="Times New Roman" w:cs="Arial"/>
          <w:lang w:eastAsia="bg-BG"/>
        </w:rPr>
      </w:pPr>
      <w:r w:rsidRPr="00714D2D">
        <w:rPr>
          <w:rFonts w:eastAsia="Times New Roman" w:cs="Arial"/>
          <w:color w:val="000000"/>
          <w:lang w:eastAsia="bg-BG"/>
        </w:rPr>
        <w:t>обратния захваг на серотонина (СИОЗС)), невролептиците, антиаритмичните лекарствените</w:t>
      </w:r>
      <w:r w:rsidRPr="00714D2D">
        <w:rPr>
          <w:rFonts w:eastAsia="Times New Roman" w:cs="Arial"/>
          <w:color w:val="000000"/>
          <w:lang w:val="en-US" w:eastAsia="bg-BG"/>
        </w:rPr>
        <w:t xml:space="preserve"> </w:t>
      </w:r>
      <w:r w:rsidRPr="00714D2D">
        <w:rPr>
          <w:rFonts w:eastAsia="Times New Roman" w:cs="Arial"/>
          <w:color w:val="000000"/>
          <w:lang w:eastAsia="bg-BG"/>
        </w:rPr>
        <w:t xml:space="preserve">продукти и т.н. При започване на лечение с целекоксиб е възможно да се наложи намаляване на дозата на </w:t>
      </w:r>
      <w:r w:rsidRPr="00714D2D">
        <w:rPr>
          <w:rFonts w:eastAsia="Times New Roman" w:cs="Arial"/>
          <w:color w:val="000000"/>
          <w:lang w:val="en-US"/>
        </w:rPr>
        <w:t xml:space="preserve">CYP2D6 </w:t>
      </w:r>
      <w:r w:rsidRPr="00714D2D">
        <w:rPr>
          <w:rFonts w:eastAsia="Times New Roman" w:cs="Arial"/>
          <w:color w:val="000000"/>
          <w:lang w:eastAsia="bg-BG"/>
        </w:rPr>
        <w:t xml:space="preserve">субстратите, при които е необходимо </w:t>
      </w:r>
      <w:r w:rsidRPr="00714D2D">
        <w:rPr>
          <w:rFonts w:eastAsia="Times New Roman" w:cs="Arial"/>
          <w:color w:val="000000"/>
          <w:lang w:eastAsia="bg-BG"/>
        </w:rPr>
        <w:lastRenderedPageBreak/>
        <w:t>индивидуално титриране на дозата, а при спиране на лечението с целекоксиб - повишаване на тази доза.</w:t>
      </w:r>
    </w:p>
    <w:p w14:paraId="0731BBE4" w14:textId="77777777" w:rsidR="00714D2D" w:rsidRPr="00714D2D" w:rsidRDefault="00714D2D" w:rsidP="00714D2D">
      <w:pPr>
        <w:spacing w:line="240" w:lineRule="auto"/>
        <w:rPr>
          <w:rFonts w:eastAsia="Times New Roman" w:cs="Arial"/>
          <w:color w:val="000000"/>
          <w:lang w:eastAsia="bg-BG"/>
        </w:rPr>
      </w:pPr>
    </w:p>
    <w:p w14:paraId="01124BDD" w14:textId="3E380C04"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Едновременното приложение на целекоксиб 200 </w:t>
      </w:r>
      <w:r w:rsidRPr="00714D2D">
        <w:rPr>
          <w:rFonts w:eastAsia="Times New Roman" w:cs="Arial"/>
          <w:color w:val="000000"/>
          <w:lang w:val="en-US"/>
        </w:rPr>
        <w:t xml:space="preserve">mg </w:t>
      </w:r>
      <w:r w:rsidRPr="00714D2D">
        <w:rPr>
          <w:rFonts w:eastAsia="Times New Roman" w:cs="Arial"/>
          <w:color w:val="000000"/>
          <w:lang w:eastAsia="bg-BG"/>
        </w:rPr>
        <w:t xml:space="preserve">два пъти дневно води до съответно 2,6 пъти и 1,5 пъти повишаване на плазмените концентрации на декстрометорфан и метопролол </w:t>
      </w:r>
      <w:r w:rsidRPr="00714D2D">
        <w:rPr>
          <w:rFonts w:eastAsia="Times New Roman" w:cs="Arial"/>
          <w:color w:val="000000"/>
          <w:lang w:val="en-US"/>
        </w:rPr>
        <w:t xml:space="preserve">(CYP2D6 </w:t>
      </w:r>
      <w:r w:rsidRPr="00714D2D">
        <w:rPr>
          <w:rFonts w:eastAsia="Times New Roman" w:cs="Arial"/>
          <w:color w:val="000000"/>
          <w:lang w:eastAsia="bg-BG"/>
        </w:rPr>
        <w:t xml:space="preserve">субстрати). Тези увеличения се дължат </w:t>
      </w:r>
      <w:r w:rsidRPr="00714D2D">
        <w:rPr>
          <w:rFonts w:eastAsia="Times New Roman" w:cs="Arial"/>
          <w:i/>
          <w:iCs/>
          <w:color w:val="000000"/>
          <w:lang w:eastAsia="bg-BG"/>
        </w:rPr>
        <w:t>на</w:t>
      </w:r>
      <w:r w:rsidRPr="00714D2D">
        <w:rPr>
          <w:rFonts w:eastAsia="Times New Roman" w:cs="Arial"/>
          <w:color w:val="000000"/>
          <w:lang w:eastAsia="bg-BG"/>
        </w:rPr>
        <w:t xml:space="preserve"> инхибиране от целекоксиб на метаболизма на </w:t>
      </w:r>
      <w:r w:rsidRPr="00714D2D">
        <w:rPr>
          <w:rFonts w:eastAsia="Times New Roman" w:cs="Arial"/>
          <w:color w:val="000000"/>
          <w:lang w:val="en-US"/>
        </w:rPr>
        <w:t xml:space="preserve">CYP2D6 </w:t>
      </w:r>
      <w:r w:rsidRPr="00714D2D">
        <w:rPr>
          <w:rFonts w:eastAsia="Times New Roman" w:cs="Arial"/>
          <w:color w:val="000000"/>
          <w:lang w:eastAsia="bg-BG"/>
        </w:rPr>
        <w:t>субстрата.</w:t>
      </w:r>
    </w:p>
    <w:p w14:paraId="50B28C14" w14:textId="77777777" w:rsidR="00714D2D" w:rsidRPr="00714D2D" w:rsidRDefault="00714D2D" w:rsidP="00714D2D">
      <w:pPr>
        <w:spacing w:line="240" w:lineRule="auto"/>
        <w:rPr>
          <w:rFonts w:eastAsia="Times New Roman" w:cs="Arial"/>
          <w:i/>
          <w:iCs/>
          <w:color w:val="000000"/>
          <w:lang w:eastAsia="bg-BG"/>
        </w:rPr>
      </w:pPr>
    </w:p>
    <w:p w14:paraId="35F51153" w14:textId="1A01C36A"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 xml:space="preserve">Инхибиране на </w:t>
      </w:r>
      <w:r w:rsidRPr="00714D2D">
        <w:rPr>
          <w:rFonts w:eastAsia="Times New Roman" w:cs="Arial"/>
          <w:i/>
          <w:iCs/>
          <w:color w:val="000000"/>
          <w:lang w:val="en-US"/>
        </w:rPr>
        <w:t>CYP2C19</w:t>
      </w:r>
    </w:p>
    <w:p w14:paraId="15A6698C"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Проучвания </w:t>
      </w:r>
      <w:r w:rsidRPr="00714D2D">
        <w:rPr>
          <w:rFonts w:eastAsia="Times New Roman" w:cs="Arial"/>
          <w:i/>
          <w:iCs/>
          <w:color w:val="000000"/>
          <w:lang w:val="en-US"/>
        </w:rPr>
        <w:t>in vitro</w:t>
      </w:r>
      <w:r w:rsidRPr="00714D2D">
        <w:rPr>
          <w:rFonts w:eastAsia="Times New Roman" w:cs="Arial"/>
          <w:color w:val="000000"/>
          <w:lang w:val="en-US"/>
        </w:rPr>
        <w:t xml:space="preserve"> </w:t>
      </w:r>
      <w:r w:rsidRPr="00714D2D">
        <w:rPr>
          <w:rFonts w:eastAsia="Times New Roman" w:cs="Arial"/>
          <w:color w:val="000000"/>
          <w:lang w:eastAsia="bg-BG"/>
        </w:rPr>
        <w:t xml:space="preserve">показват, че целекоксиб има известен потенциал за инхибиране на катализирания от </w:t>
      </w:r>
      <w:r w:rsidRPr="00714D2D">
        <w:rPr>
          <w:rFonts w:eastAsia="Times New Roman" w:cs="Arial"/>
          <w:color w:val="000000"/>
          <w:lang w:val="en-US"/>
        </w:rPr>
        <w:t xml:space="preserve">CYP2C19 </w:t>
      </w:r>
      <w:r w:rsidRPr="00714D2D">
        <w:rPr>
          <w:rFonts w:eastAsia="Times New Roman" w:cs="Arial"/>
          <w:color w:val="000000"/>
          <w:lang w:eastAsia="bg-BG"/>
        </w:rPr>
        <w:t xml:space="preserve">метаболизъм. Клиничната значимост на тези </w:t>
      </w:r>
      <w:r w:rsidRPr="00714D2D">
        <w:rPr>
          <w:rFonts w:eastAsia="Times New Roman" w:cs="Arial"/>
          <w:i/>
          <w:iCs/>
          <w:color w:val="000000"/>
          <w:lang w:val="en-US"/>
        </w:rPr>
        <w:t>in vitro</w:t>
      </w:r>
      <w:r w:rsidRPr="00714D2D">
        <w:rPr>
          <w:rFonts w:eastAsia="Times New Roman" w:cs="Arial"/>
          <w:color w:val="000000"/>
          <w:lang w:val="en-US"/>
        </w:rPr>
        <w:t xml:space="preserve"> </w:t>
      </w:r>
      <w:r w:rsidRPr="00714D2D">
        <w:rPr>
          <w:rFonts w:eastAsia="Times New Roman" w:cs="Arial"/>
          <w:color w:val="000000"/>
          <w:lang w:eastAsia="bg-BG"/>
        </w:rPr>
        <w:t xml:space="preserve">данни не е известна. Примери за лекарствени продукти, които се метаболизират от </w:t>
      </w:r>
      <w:r w:rsidRPr="00714D2D">
        <w:rPr>
          <w:rFonts w:eastAsia="Times New Roman" w:cs="Arial"/>
          <w:color w:val="000000"/>
          <w:lang w:val="en-US"/>
        </w:rPr>
        <w:t xml:space="preserve">CYP2C19, </w:t>
      </w:r>
      <w:r w:rsidRPr="00714D2D">
        <w:rPr>
          <w:rFonts w:eastAsia="Times New Roman" w:cs="Arial"/>
          <w:color w:val="000000"/>
          <w:lang w:eastAsia="bg-BG"/>
        </w:rPr>
        <w:t>са диазепам, циталопрам и имипрамин.</w:t>
      </w:r>
    </w:p>
    <w:p w14:paraId="6C8BD35B" w14:textId="77777777" w:rsidR="00714D2D" w:rsidRPr="00714D2D" w:rsidRDefault="00714D2D" w:rsidP="00714D2D">
      <w:pPr>
        <w:spacing w:line="240" w:lineRule="auto"/>
        <w:rPr>
          <w:rFonts w:eastAsia="Times New Roman" w:cs="Arial"/>
          <w:i/>
          <w:iCs/>
          <w:color w:val="000000"/>
          <w:lang w:eastAsia="bg-BG"/>
        </w:rPr>
      </w:pPr>
    </w:p>
    <w:p w14:paraId="2C2BD2AA" w14:textId="6CB4BB8C"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Перорални контрацептиви</w:t>
      </w:r>
    </w:p>
    <w:p w14:paraId="283D7D14"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В проучване за лекарствени взаимодействия целекоксиб не е показал клинично значим ефект върху фармакокинетиката на перорални контрацептиви (1 </w:t>
      </w:r>
      <w:r w:rsidRPr="00714D2D">
        <w:rPr>
          <w:rFonts w:eastAsia="Times New Roman" w:cs="Arial"/>
          <w:color w:val="000000"/>
          <w:lang w:val="en-US"/>
        </w:rPr>
        <w:t xml:space="preserve">mg </w:t>
      </w:r>
      <w:r w:rsidRPr="00714D2D">
        <w:rPr>
          <w:rFonts w:eastAsia="Times New Roman" w:cs="Arial"/>
          <w:color w:val="000000"/>
          <w:lang w:eastAsia="bg-BG"/>
        </w:rPr>
        <w:t xml:space="preserve">норетистерон/ 35 </w:t>
      </w:r>
      <w:r w:rsidRPr="00714D2D">
        <w:rPr>
          <w:rFonts w:eastAsia="Times New Roman" w:cs="Arial"/>
          <w:color w:val="000000"/>
          <w:lang w:val="en-US"/>
        </w:rPr>
        <w:t xml:space="preserve">microg </w:t>
      </w:r>
      <w:r w:rsidRPr="00714D2D">
        <w:rPr>
          <w:rFonts w:eastAsia="Times New Roman" w:cs="Arial"/>
          <w:color w:val="000000"/>
          <w:lang w:eastAsia="bg-BG"/>
        </w:rPr>
        <w:t>етинилестрадиол).</w:t>
      </w:r>
    </w:p>
    <w:p w14:paraId="4815CEA4" w14:textId="77777777" w:rsidR="00714D2D" w:rsidRPr="00714D2D" w:rsidRDefault="00714D2D" w:rsidP="00714D2D">
      <w:pPr>
        <w:spacing w:line="240" w:lineRule="auto"/>
        <w:rPr>
          <w:rFonts w:eastAsia="Times New Roman" w:cs="Arial"/>
          <w:i/>
          <w:iCs/>
          <w:color w:val="000000"/>
          <w:lang w:eastAsia="bg-BG"/>
        </w:rPr>
      </w:pPr>
    </w:p>
    <w:p w14:paraId="59F44061" w14:textId="07A54059"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Глибенкламид/ толбутамид</w:t>
      </w:r>
    </w:p>
    <w:p w14:paraId="0A56BA75"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Целекоксиб не повлиява фармакокинетиката на толбутамид (субстрат на </w:t>
      </w:r>
      <w:r w:rsidRPr="00714D2D">
        <w:rPr>
          <w:rFonts w:eastAsia="Times New Roman" w:cs="Arial"/>
          <w:color w:val="000000"/>
          <w:lang w:val="en-US"/>
        </w:rPr>
        <w:t xml:space="preserve">CYP2C9) </w:t>
      </w:r>
      <w:r w:rsidRPr="00714D2D">
        <w:rPr>
          <w:rFonts w:eastAsia="Times New Roman" w:cs="Arial"/>
          <w:color w:val="000000"/>
          <w:lang w:eastAsia="bg-BG"/>
        </w:rPr>
        <w:t>или глибенкламид в клинично значима степен.</w:t>
      </w:r>
    </w:p>
    <w:p w14:paraId="13EA855F" w14:textId="77777777" w:rsidR="00714D2D" w:rsidRPr="00714D2D" w:rsidRDefault="00714D2D" w:rsidP="00714D2D">
      <w:pPr>
        <w:spacing w:line="240" w:lineRule="auto"/>
        <w:rPr>
          <w:rFonts w:eastAsia="Times New Roman" w:cs="Arial"/>
          <w:i/>
          <w:iCs/>
          <w:color w:val="000000"/>
          <w:lang w:eastAsia="bg-BG"/>
        </w:rPr>
      </w:pPr>
    </w:p>
    <w:p w14:paraId="3C3BDF97" w14:textId="69A256D8"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Метотрексат</w:t>
      </w:r>
    </w:p>
    <w:p w14:paraId="5FFD6976"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При пациенти с ревматоиден артрит целекоксиб не е показал статистически значим ефект върху фармакокинетиката (плазмен или бъбречен клирънс) на метотрексат (в ревматологични дози). При комбиниране на тези две лекарствени продукти, обаче, трябва да се има предвид адекватно мониториране за метотрексат-предизвикана токсичност.</w:t>
      </w:r>
    </w:p>
    <w:p w14:paraId="777DE7EC" w14:textId="77777777" w:rsidR="00714D2D" w:rsidRPr="00714D2D" w:rsidRDefault="00714D2D" w:rsidP="00714D2D">
      <w:pPr>
        <w:spacing w:line="240" w:lineRule="auto"/>
        <w:rPr>
          <w:rFonts w:eastAsia="Times New Roman" w:cs="Arial"/>
          <w:i/>
          <w:iCs/>
          <w:color w:val="000000"/>
          <w:lang w:eastAsia="bg-BG"/>
        </w:rPr>
      </w:pPr>
    </w:p>
    <w:p w14:paraId="17C3CA42" w14:textId="270B4C61"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Литий</w:t>
      </w:r>
    </w:p>
    <w:p w14:paraId="4D32F927"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При здрави индивиди едновременното приложение на целекоксиб 200 </w:t>
      </w:r>
      <w:r w:rsidRPr="00714D2D">
        <w:rPr>
          <w:rFonts w:eastAsia="Times New Roman" w:cs="Arial"/>
          <w:color w:val="000000"/>
          <w:lang w:val="en-US"/>
        </w:rPr>
        <w:t xml:space="preserve">mg </w:t>
      </w:r>
      <w:r w:rsidRPr="00714D2D">
        <w:rPr>
          <w:rFonts w:eastAsia="Times New Roman" w:cs="Arial"/>
          <w:color w:val="000000"/>
          <w:lang w:eastAsia="bg-BG"/>
        </w:rPr>
        <w:t xml:space="preserve">два пъти дневно и литий 450 </w:t>
      </w:r>
      <w:r w:rsidRPr="00714D2D">
        <w:rPr>
          <w:rFonts w:eastAsia="Times New Roman" w:cs="Arial"/>
          <w:color w:val="000000"/>
          <w:lang w:val="en-US"/>
        </w:rPr>
        <w:t xml:space="preserve">mg </w:t>
      </w:r>
      <w:r w:rsidRPr="00714D2D">
        <w:rPr>
          <w:rFonts w:eastAsia="Times New Roman" w:cs="Arial"/>
          <w:color w:val="000000"/>
          <w:lang w:eastAsia="bg-BG"/>
        </w:rPr>
        <w:t xml:space="preserve">два пъти дневно е довело до средно нарастване на Сшах с 16%, а на площта под кривата </w:t>
      </w:r>
      <w:r w:rsidRPr="00714D2D">
        <w:rPr>
          <w:rFonts w:eastAsia="Times New Roman" w:cs="Arial"/>
          <w:color w:val="000000"/>
          <w:lang w:val="en-US"/>
        </w:rPr>
        <w:t xml:space="preserve">(Area Under the Curve - AUC) c 18% </w:t>
      </w:r>
      <w:r w:rsidRPr="00714D2D">
        <w:rPr>
          <w:rFonts w:eastAsia="Times New Roman" w:cs="Arial"/>
          <w:color w:val="000000"/>
          <w:lang w:eastAsia="bg-BG"/>
        </w:rPr>
        <w:t>за лития. Следователно, пациенти, провеждащи лечение с литий, трябва да бъдат внимателно мониторирани при включване или изключване на целекоксиб.</w:t>
      </w:r>
    </w:p>
    <w:p w14:paraId="4601C770" w14:textId="77777777" w:rsidR="00714D2D" w:rsidRPr="00714D2D" w:rsidRDefault="00714D2D" w:rsidP="00714D2D">
      <w:pPr>
        <w:spacing w:line="240" w:lineRule="auto"/>
        <w:rPr>
          <w:rFonts w:eastAsia="Times New Roman" w:cs="Arial"/>
          <w:i/>
          <w:iCs/>
          <w:color w:val="000000"/>
          <w:u w:val="single"/>
          <w:lang w:eastAsia="bg-BG"/>
        </w:rPr>
      </w:pPr>
    </w:p>
    <w:p w14:paraId="378D2955" w14:textId="34373BE6" w:rsidR="00714D2D" w:rsidRPr="00714D2D" w:rsidRDefault="00714D2D" w:rsidP="00714D2D">
      <w:pPr>
        <w:spacing w:line="240" w:lineRule="auto"/>
        <w:rPr>
          <w:rFonts w:eastAsia="Times New Roman" w:cs="Arial"/>
          <w:lang w:eastAsia="bg-BG"/>
        </w:rPr>
      </w:pPr>
      <w:r w:rsidRPr="00714D2D">
        <w:rPr>
          <w:rFonts w:eastAsia="Times New Roman" w:cs="Arial"/>
          <w:i/>
          <w:iCs/>
          <w:color w:val="000000"/>
          <w:u w:val="single"/>
          <w:lang w:eastAsia="bg-BG"/>
        </w:rPr>
        <w:t>Ефекти на други лекарствени продукти върху целекоксиб</w:t>
      </w:r>
    </w:p>
    <w:p w14:paraId="1A750EE6" w14:textId="77777777" w:rsidR="00714D2D" w:rsidRPr="00714D2D" w:rsidRDefault="00714D2D" w:rsidP="00714D2D">
      <w:pPr>
        <w:spacing w:line="240" w:lineRule="auto"/>
        <w:rPr>
          <w:rFonts w:eastAsia="Times New Roman" w:cs="Arial"/>
          <w:i/>
          <w:iCs/>
          <w:color w:val="000000"/>
          <w:lang w:eastAsia="bg-BG"/>
        </w:rPr>
      </w:pPr>
    </w:p>
    <w:p w14:paraId="3D776564" w14:textId="4D4CE835"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 xml:space="preserve">Бавни </w:t>
      </w:r>
      <w:r w:rsidRPr="00714D2D">
        <w:rPr>
          <w:rFonts w:eastAsia="Times New Roman" w:cs="Arial"/>
          <w:i/>
          <w:iCs/>
          <w:color w:val="000000"/>
          <w:lang w:val="en-US"/>
        </w:rPr>
        <w:t xml:space="preserve">CYP2C9 </w:t>
      </w:r>
      <w:r w:rsidRPr="00714D2D">
        <w:rPr>
          <w:rFonts w:eastAsia="Times New Roman" w:cs="Arial"/>
          <w:i/>
          <w:iCs/>
          <w:color w:val="000000"/>
          <w:lang w:eastAsia="bg-BG"/>
        </w:rPr>
        <w:t>метаболизатори</w:t>
      </w:r>
    </w:p>
    <w:p w14:paraId="28797A0E"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При лица, които са лоши </w:t>
      </w:r>
      <w:r w:rsidRPr="00714D2D">
        <w:rPr>
          <w:rFonts w:eastAsia="Times New Roman" w:cs="Arial"/>
          <w:color w:val="000000"/>
          <w:lang w:val="en-US"/>
        </w:rPr>
        <w:t xml:space="preserve">CYP2C9 </w:t>
      </w:r>
      <w:r w:rsidRPr="00714D2D">
        <w:rPr>
          <w:rFonts w:eastAsia="Times New Roman" w:cs="Arial"/>
          <w:color w:val="000000"/>
          <w:lang w:eastAsia="bg-BG"/>
        </w:rPr>
        <w:t xml:space="preserve">метаболизатори и демонстрират увеличена системна експозиция на целекоксиб, съпътстващо лечение с </w:t>
      </w:r>
      <w:r w:rsidRPr="00714D2D">
        <w:rPr>
          <w:rFonts w:eastAsia="Times New Roman" w:cs="Arial"/>
          <w:color w:val="000000"/>
          <w:lang w:val="en-US"/>
        </w:rPr>
        <w:t xml:space="preserve">CYP2C9 </w:t>
      </w:r>
      <w:r w:rsidRPr="00714D2D">
        <w:rPr>
          <w:rFonts w:eastAsia="Times New Roman" w:cs="Arial"/>
          <w:color w:val="000000"/>
          <w:lang w:eastAsia="bg-BG"/>
        </w:rPr>
        <w:t xml:space="preserve">инхибитори, като флуконазол, би могло да доведе до последващо увеличение на експозицията на целекоксиб. Такива комбинации трябва да се избягват при пациенти, за които се знае, че са лоши </w:t>
      </w:r>
      <w:r w:rsidRPr="00714D2D">
        <w:rPr>
          <w:rFonts w:eastAsia="Times New Roman" w:cs="Arial"/>
          <w:color w:val="000000"/>
          <w:lang w:val="en-US"/>
        </w:rPr>
        <w:t xml:space="preserve">CYP2C9 </w:t>
      </w:r>
      <w:r w:rsidRPr="00714D2D">
        <w:rPr>
          <w:rFonts w:eastAsia="Times New Roman" w:cs="Arial"/>
          <w:color w:val="000000"/>
          <w:lang w:eastAsia="bg-BG"/>
        </w:rPr>
        <w:t>метаболизатори (вж. точки 4.2 и 5.2).</w:t>
      </w:r>
    </w:p>
    <w:p w14:paraId="225A18D8" w14:textId="77777777" w:rsidR="00714D2D" w:rsidRPr="00714D2D" w:rsidRDefault="00714D2D" w:rsidP="00714D2D">
      <w:pPr>
        <w:spacing w:line="240" w:lineRule="auto"/>
        <w:rPr>
          <w:rFonts w:eastAsia="Times New Roman" w:cs="Arial"/>
          <w:i/>
          <w:iCs/>
          <w:color w:val="000000"/>
          <w:lang w:val="en-US"/>
        </w:rPr>
      </w:pPr>
    </w:p>
    <w:p w14:paraId="574C44ED" w14:textId="17C958A3"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val="en-US"/>
        </w:rPr>
        <w:t xml:space="preserve">CYP2C9 </w:t>
      </w:r>
      <w:r w:rsidRPr="00714D2D">
        <w:rPr>
          <w:rFonts w:eastAsia="Times New Roman" w:cs="Arial"/>
          <w:i/>
          <w:iCs/>
          <w:color w:val="000000"/>
          <w:lang w:eastAsia="bg-BG"/>
        </w:rPr>
        <w:t>инхибитори и индуктори</w:t>
      </w:r>
    </w:p>
    <w:p w14:paraId="23FD09C6"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 xml:space="preserve">Тъй като целекоксиб се метаболизира предимно от </w:t>
      </w:r>
      <w:r w:rsidRPr="00714D2D">
        <w:rPr>
          <w:rFonts w:eastAsia="Times New Roman" w:cs="Arial"/>
          <w:color w:val="000000"/>
          <w:lang w:val="en-US"/>
        </w:rPr>
        <w:t xml:space="preserve">CYP2C9, </w:t>
      </w:r>
      <w:r w:rsidRPr="00714D2D">
        <w:rPr>
          <w:rFonts w:eastAsia="Times New Roman" w:cs="Arial"/>
          <w:color w:val="000000"/>
          <w:lang w:eastAsia="bg-BG"/>
        </w:rPr>
        <w:t xml:space="preserve">той трябва да бъде използван в доза, равна на половината от препоръчителната доза, при пациенти, получаващи флуконазол. Едновременното приложение на 200 </w:t>
      </w:r>
      <w:r w:rsidRPr="00714D2D">
        <w:rPr>
          <w:rFonts w:eastAsia="Times New Roman" w:cs="Arial"/>
          <w:color w:val="000000"/>
          <w:lang w:val="en-US"/>
        </w:rPr>
        <w:t xml:space="preserve">mg </w:t>
      </w:r>
      <w:r w:rsidRPr="00714D2D">
        <w:rPr>
          <w:rFonts w:eastAsia="Times New Roman" w:cs="Arial"/>
          <w:color w:val="000000"/>
          <w:lang w:eastAsia="bg-BG"/>
        </w:rPr>
        <w:t xml:space="preserve">еднократна доза целекоксиб и 200 </w:t>
      </w:r>
      <w:r w:rsidRPr="00714D2D">
        <w:rPr>
          <w:rFonts w:eastAsia="Times New Roman" w:cs="Arial"/>
          <w:color w:val="000000"/>
          <w:lang w:val="en-US"/>
        </w:rPr>
        <w:t xml:space="preserve">mg </w:t>
      </w:r>
      <w:r w:rsidRPr="00714D2D">
        <w:rPr>
          <w:rFonts w:eastAsia="Times New Roman" w:cs="Arial"/>
          <w:color w:val="000000"/>
          <w:lang w:eastAsia="bg-BG"/>
        </w:rPr>
        <w:t xml:space="preserve">веднъж дневно флуконазол, мощен </w:t>
      </w:r>
      <w:r w:rsidRPr="00714D2D">
        <w:rPr>
          <w:rFonts w:eastAsia="Times New Roman" w:cs="Arial"/>
          <w:color w:val="000000"/>
          <w:lang w:val="en-US"/>
        </w:rPr>
        <w:t xml:space="preserve">CYP2C9 </w:t>
      </w:r>
      <w:r w:rsidRPr="00714D2D">
        <w:rPr>
          <w:rFonts w:eastAsia="Times New Roman" w:cs="Arial"/>
          <w:color w:val="000000"/>
          <w:lang w:eastAsia="bg-BG"/>
        </w:rPr>
        <w:t xml:space="preserve">инхибитор, е довело до средно нарастване на </w:t>
      </w:r>
      <w:proofErr w:type="spellStart"/>
      <w:r w:rsidRPr="00714D2D">
        <w:rPr>
          <w:rFonts w:eastAsia="Times New Roman" w:cs="Arial"/>
          <w:color w:val="000000"/>
          <w:lang w:val="en-US"/>
        </w:rPr>
        <w:t>Cmax</w:t>
      </w:r>
      <w:proofErr w:type="spellEnd"/>
      <w:r w:rsidRPr="00714D2D">
        <w:rPr>
          <w:rFonts w:eastAsia="Times New Roman" w:cs="Arial"/>
          <w:color w:val="000000"/>
          <w:lang w:val="en-US"/>
        </w:rPr>
        <w:t xml:space="preserve"> </w:t>
      </w:r>
      <w:r w:rsidRPr="00714D2D">
        <w:rPr>
          <w:rFonts w:eastAsia="Times New Roman" w:cs="Arial"/>
          <w:color w:val="000000"/>
          <w:lang w:eastAsia="bg-BG"/>
        </w:rPr>
        <w:t>с 60% а на</w:t>
      </w:r>
    </w:p>
    <w:p w14:paraId="74A376F9" w14:textId="7577CFB6" w:rsidR="00714D2D" w:rsidRPr="00714D2D" w:rsidRDefault="00714D2D" w:rsidP="00714D2D">
      <w:pPr>
        <w:spacing w:line="240" w:lineRule="auto"/>
        <w:rPr>
          <w:rFonts w:eastAsia="Times New Roman" w:cs="Arial"/>
          <w:color w:val="000000"/>
          <w:lang w:eastAsia="bg-BG"/>
        </w:rPr>
      </w:pPr>
      <w:r w:rsidRPr="00714D2D">
        <w:rPr>
          <w:rFonts w:eastAsia="Times New Roman" w:cs="Arial"/>
          <w:color w:val="000000"/>
          <w:lang w:val="en-US"/>
        </w:rPr>
        <w:lastRenderedPageBreak/>
        <w:t xml:space="preserve">AUC </w:t>
      </w:r>
      <w:r w:rsidRPr="00714D2D">
        <w:rPr>
          <w:rFonts w:eastAsia="Times New Roman" w:cs="Arial"/>
          <w:color w:val="000000"/>
          <w:lang w:eastAsia="bg-BG"/>
        </w:rPr>
        <w:t xml:space="preserve">със 130% за целекоксиб. Едновременната употреба на индуктори на </w:t>
      </w:r>
      <w:r w:rsidRPr="00714D2D">
        <w:rPr>
          <w:rFonts w:eastAsia="Times New Roman" w:cs="Arial"/>
          <w:color w:val="000000"/>
          <w:lang w:val="en-US"/>
        </w:rPr>
        <w:t>CYP2C9</w:t>
      </w:r>
      <w:r w:rsidRPr="00714D2D">
        <w:rPr>
          <w:rFonts w:eastAsia="Times New Roman" w:cs="Arial"/>
          <w:color w:val="000000"/>
          <w:lang w:eastAsia="bg-BG"/>
        </w:rPr>
        <w:t xml:space="preserve"> като рифампицин, карбамазепин и барбитурати може да доведе до понижение на плазмените концентрации на целекоксиб.</w:t>
      </w:r>
    </w:p>
    <w:p w14:paraId="106870A2" w14:textId="11B59F8A" w:rsidR="00714D2D" w:rsidRPr="00714D2D" w:rsidRDefault="00714D2D" w:rsidP="00714D2D">
      <w:pPr>
        <w:spacing w:line="240" w:lineRule="auto"/>
        <w:rPr>
          <w:rFonts w:eastAsia="Times New Roman" w:cs="Arial"/>
          <w:color w:val="000000"/>
          <w:lang w:eastAsia="bg-BG"/>
        </w:rPr>
      </w:pPr>
    </w:p>
    <w:p w14:paraId="3BB77B52" w14:textId="77777777" w:rsidR="00714D2D" w:rsidRPr="00714D2D" w:rsidRDefault="00714D2D" w:rsidP="00714D2D">
      <w:pPr>
        <w:spacing w:line="240" w:lineRule="auto"/>
        <w:rPr>
          <w:rFonts w:eastAsia="Times New Roman" w:cs="Arial"/>
          <w:lang w:eastAsia="bg-BG"/>
        </w:rPr>
      </w:pPr>
      <w:r w:rsidRPr="00714D2D">
        <w:rPr>
          <w:rFonts w:eastAsia="Times New Roman" w:cs="Arial"/>
          <w:i/>
          <w:iCs/>
          <w:color w:val="000000"/>
          <w:lang w:eastAsia="bg-BG"/>
        </w:rPr>
        <w:t>Кетоконазол и антиациди</w:t>
      </w:r>
    </w:p>
    <w:p w14:paraId="0902D122" w14:textId="77777777" w:rsidR="00714D2D" w:rsidRPr="00714D2D" w:rsidRDefault="00714D2D" w:rsidP="00714D2D">
      <w:pPr>
        <w:spacing w:line="240" w:lineRule="auto"/>
        <w:rPr>
          <w:rFonts w:eastAsia="Times New Roman" w:cs="Arial"/>
          <w:lang w:eastAsia="bg-BG"/>
        </w:rPr>
      </w:pPr>
      <w:r w:rsidRPr="00714D2D">
        <w:rPr>
          <w:rFonts w:eastAsia="Times New Roman" w:cs="Arial"/>
          <w:color w:val="000000"/>
          <w:lang w:eastAsia="bg-BG"/>
        </w:rPr>
        <w:t>Не е наблюдавано повлияване на фармакокинетиката на целекоксиб от кетоконазол или антиациди.</w:t>
      </w:r>
    </w:p>
    <w:p w14:paraId="07BA1C99" w14:textId="77777777" w:rsidR="00714D2D" w:rsidRPr="00714D2D" w:rsidRDefault="00714D2D" w:rsidP="00714D2D">
      <w:pPr>
        <w:spacing w:line="240" w:lineRule="auto"/>
        <w:rPr>
          <w:rFonts w:eastAsia="Times New Roman" w:cs="Arial"/>
          <w:i/>
          <w:iCs/>
          <w:color w:val="000000"/>
          <w:u w:val="single"/>
          <w:lang w:eastAsia="bg-BG"/>
        </w:rPr>
      </w:pPr>
    </w:p>
    <w:p w14:paraId="4C1DBEBF" w14:textId="36AF8CD2" w:rsidR="00714D2D" w:rsidRPr="00714D2D" w:rsidRDefault="00714D2D" w:rsidP="00714D2D">
      <w:pPr>
        <w:spacing w:line="240" w:lineRule="auto"/>
        <w:rPr>
          <w:rFonts w:eastAsia="Times New Roman" w:cs="Arial"/>
          <w:lang w:eastAsia="bg-BG"/>
        </w:rPr>
      </w:pPr>
      <w:r w:rsidRPr="00714D2D">
        <w:rPr>
          <w:rFonts w:eastAsia="Times New Roman" w:cs="Arial"/>
          <w:i/>
          <w:iCs/>
          <w:color w:val="000000"/>
          <w:u w:val="single"/>
          <w:lang w:eastAsia="bg-BG"/>
        </w:rPr>
        <w:t>Педиатрична популация</w:t>
      </w:r>
    </w:p>
    <w:p w14:paraId="2C2B8479" w14:textId="77777777" w:rsidR="00714D2D" w:rsidRPr="00714D2D" w:rsidRDefault="00714D2D" w:rsidP="00714D2D">
      <w:pPr>
        <w:spacing w:line="240" w:lineRule="auto"/>
        <w:rPr>
          <w:rFonts w:eastAsia="Times New Roman" w:cs="Arial"/>
          <w:lang w:val="en-US" w:eastAsia="bg-BG"/>
        </w:rPr>
      </w:pPr>
      <w:r w:rsidRPr="00714D2D">
        <w:rPr>
          <w:rFonts w:eastAsia="Times New Roman" w:cs="Arial"/>
          <w:color w:val="000000"/>
          <w:lang w:eastAsia="bg-BG"/>
        </w:rPr>
        <w:t>Проучвания за взаимодействията са провеждани само при възрастни.</w:t>
      </w:r>
    </w:p>
    <w:p w14:paraId="2BC59334" w14:textId="77777777" w:rsidR="00714D2D" w:rsidRPr="00714D2D" w:rsidRDefault="00714D2D" w:rsidP="00714D2D"/>
    <w:p w14:paraId="6085D4F7" w14:textId="1EE4A090" w:rsidR="00A428B7" w:rsidRDefault="002C50EE" w:rsidP="00340E8D">
      <w:pPr>
        <w:pStyle w:val="Heading2"/>
      </w:pPr>
      <w:r>
        <w:t>4.6. Фертилитет, бременност и кърмене</w:t>
      </w:r>
    </w:p>
    <w:p w14:paraId="43F08636" w14:textId="7D59990C" w:rsidR="00714D2D" w:rsidRDefault="00714D2D" w:rsidP="00714D2D"/>
    <w:p w14:paraId="31A39172" w14:textId="77777777" w:rsidR="00714D2D" w:rsidRPr="00714D2D" w:rsidRDefault="00714D2D" w:rsidP="00714D2D">
      <w:pPr>
        <w:pStyle w:val="Heading3"/>
        <w:rPr>
          <w:rFonts w:eastAsia="Times New Roman"/>
          <w:u w:val="single"/>
          <w:lang w:eastAsia="bg-BG"/>
        </w:rPr>
      </w:pPr>
      <w:r w:rsidRPr="00714D2D">
        <w:rPr>
          <w:rFonts w:eastAsia="Times New Roman"/>
          <w:u w:val="single"/>
          <w:lang w:eastAsia="bg-BG"/>
        </w:rPr>
        <w:t>Бременност</w:t>
      </w:r>
    </w:p>
    <w:p w14:paraId="6B0F92F6"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Проучвания при животни (плъхове и зайци) показват репродуктивна токсичност, включително малформации (вж. точки 4.3 и 5.3). Потискането на синтеза на простагландин може неприятно да повлияе на бременността. Данни от епидемиологични проучвания предполагат повишен риск от спонтанен аборт след употреба на инхибитори на синтеза на простагландин в началото на бременността. Потенциалният риск по време на бременност при хора е неизвестен, но не може да бъде изключен. Целекоксиб, както и другите лекарства, потискащи синтеза на простагландин може да предизвика родова слабост и преждевременно затваряне на дуктус артериозус през последния триместьр.</w:t>
      </w:r>
    </w:p>
    <w:p w14:paraId="5A28E60A" w14:textId="77777777" w:rsidR="00714D2D" w:rsidRPr="00714D2D" w:rsidRDefault="00714D2D" w:rsidP="00714D2D">
      <w:pPr>
        <w:spacing w:line="240" w:lineRule="auto"/>
        <w:rPr>
          <w:rFonts w:eastAsia="Times New Roman" w:cs="Arial"/>
          <w:color w:val="000000"/>
          <w:lang w:eastAsia="bg-BG"/>
        </w:rPr>
      </w:pPr>
    </w:p>
    <w:p w14:paraId="4F85CB52" w14:textId="0584FEA0"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По време на втория или третия триместьр на бременността НСПВС, включително целекоксиб, могат да причинят бъбречна дисфункция на плода, което може да доведе до намаляване на обема на амниотичната течност или олигохидрамнио в тежки случаи. Такива ефекти могат да настъпят скоро след започване на лечението и обикновено са обратими.</w:t>
      </w:r>
    </w:p>
    <w:p w14:paraId="64B81831" w14:textId="77777777" w:rsidR="00714D2D" w:rsidRPr="00714D2D" w:rsidRDefault="00714D2D" w:rsidP="00714D2D">
      <w:pPr>
        <w:spacing w:line="240" w:lineRule="auto"/>
        <w:rPr>
          <w:rFonts w:eastAsia="Times New Roman" w:cs="Arial"/>
          <w:color w:val="000000"/>
          <w:lang w:eastAsia="bg-BG"/>
        </w:rPr>
      </w:pPr>
    </w:p>
    <w:p w14:paraId="5AD5EE9E" w14:textId="79379766"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Целекоксиб е противопоказен при бременни и при жени, които могат да забременеят (вж. точки 4.3 и 4.4). При забременяване по време на лечение, приемът на целекоксиб трябва да бъде прекратен.</w:t>
      </w:r>
    </w:p>
    <w:p w14:paraId="2B97CA46" w14:textId="77777777" w:rsidR="00714D2D" w:rsidRPr="00714D2D" w:rsidRDefault="00714D2D" w:rsidP="00714D2D">
      <w:pPr>
        <w:spacing w:line="240" w:lineRule="auto"/>
        <w:rPr>
          <w:rFonts w:eastAsia="Times New Roman" w:cs="Arial"/>
          <w:color w:val="000000"/>
          <w:u w:val="single"/>
          <w:lang w:eastAsia="bg-BG"/>
        </w:rPr>
      </w:pPr>
    </w:p>
    <w:p w14:paraId="5C2FF777" w14:textId="77E51D09" w:rsidR="00714D2D" w:rsidRPr="00714D2D" w:rsidRDefault="00714D2D" w:rsidP="00714D2D">
      <w:pPr>
        <w:pStyle w:val="Heading3"/>
        <w:rPr>
          <w:rFonts w:eastAsia="Times New Roman"/>
          <w:u w:val="single"/>
          <w:lang w:eastAsia="bg-BG"/>
        </w:rPr>
      </w:pPr>
      <w:r w:rsidRPr="00714D2D">
        <w:rPr>
          <w:rFonts w:eastAsia="Times New Roman"/>
          <w:u w:val="single"/>
          <w:lang w:eastAsia="bg-BG"/>
        </w:rPr>
        <w:t>Кърмене</w:t>
      </w:r>
    </w:p>
    <w:p w14:paraId="373588CA"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Целекоксиб се екскретира в млякото на кърмещи плъхове в концентрации, подобни на тези в плазмата. Приемът на целекоксиб при малък брой кърмещи жени показва екскреция на целекоксиб в много ниски концентрации в кърмата. Жени, приемащи целекоксиб, не трябва да кърмят.</w:t>
      </w:r>
    </w:p>
    <w:p w14:paraId="40BEEF0A" w14:textId="77777777" w:rsidR="00714D2D" w:rsidRPr="00714D2D" w:rsidRDefault="00714D2D" w:rsidP="00714D2D">
      <w:pPr>
        <w:spacing w:line="240" w:lineRule="auto"/>
        <w:rPr>
          <w:rFonts w:eastAsia="Times New Roman" w:cs="Arial"/>
          <w:color w:val="000000"/>
          <w:u w:val="single"/>
          <w:lang w:eastAsia="bg-BG"/>
        </w:rPr>
      </w:pPr>
    </w:p>
    <w:p w14:paraId="1BCD9131" w14:textId="27AA0643" w:rsidR="00714D2D" w:rsidRPr="00714D2D" w:rsidRDefault="00714D2D" w:rsidP="00714D2D">
      <w:pPr>
        <w:pStyle w:val="Heading3"/>
        <w:rPr>
          <w:rFonts w:eastAsia="Times New Roman"/>
          <w:u w:val="single"/>
          <w:lang w:eastAsia="bg-BG"/>
        </w:rPr>
      </w:pPr>
      <w:r w:rsidRPr="00714D2D">
        <w:rPr>
          <w:rFonts w:eastAsia="Times New Roman"/>
          <w:u w:val="single"/>
          <w:lang w:eastAsia="bg-BG"/>
        </w:rPr>
        <w:t>Фертилитет</w:t>
      </w:r>
    </w:p>
    <w:p w14:paraId="3847B62E"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На основата на механизма на действие употребата на НСПВС, включително целекоксиб, може да забави или предотврати разкъсването на яйчниковия фоликул, което се свързва с обратимо безплодие при някои жени.</w:t>
      </w:r>
    </w:p>
    <w:p w14:paraId="71515831" w14:textId="77777777" w:rsidR="00714D2D" w:rsidRPr="00714D2D" w:rsidRDefault="00714D2D" w:rsidP="00714D2D"/>
    <w:p w14:paraId="4CE899F3" w14:textId="268E4F92" w:rsidR="00A428B7" w:rsidRDefault="002C50EE" w:rsidP="00340E8D">
      <w:pPr>
        <w:pStyle w:val="Heading2"/>
      </w:pPr>
      <w:r>
        <w:t>4.7. Ефекти върху способността за шофиране и работа с машини</w:t>
      </w:r>
    </w:p>
    <w:p w14:paraId="3C8F620A" w14:textId="63B0F6D7" w:rsidR="00714D2D" w:rsidRDefault="00714D2D" w:rsidP="00714D2D"/>
    <w:p w14:paraId="16FA94D0" w14:textId="47DDCC71" w:rsidR="00714D2D" w:rsidRPr="00714D2D" w:rsidRDefault="00714D2D" w:rsidP="00714D2D">
      <w:pPr>
        <w:rPr>
          <w:sz w:val="24"/>
          <w:szCs w:val="24"/>
          <w:lang w:eastAsia="bg-BG"/>
        </w:rPr>
      </w:pPr>
      <w:r w:rsidRPr="00714D2D">
        <w:rPr>
          <w:lang w:eastAsia="bg-BG"/>
        </w:rPr>
        <w:t>Пациенти, които усещат замаяност, световъртеж или сънливост, докато приемат целекоксиб, трябва да избягват да шофират или да работят с машини.</w:t>
      </w:r>
    </w:p>
    <w:p w14:paraId="6D9C6606" w14:textId="7A9DCBAF" w:rsidR="00A428B7" w:rsidRDefault="002C50EE" w:rsidP="00340E8D">
      <w:pPr>
        <w:pStyle w:val="Heading2"/>
      </w:pPr>
      <w:r>
        <w:lastRenderedPageBreak/>
        <w:t>4.8. Нежелани лекарствени реакции</w:t>
      </w:r>
    </w:p>
    <w:p w14:paraId="129BF149" w14:textId="038448FA" w:rsidR="00714D2D" w:rsidRDefault="00714D2D" w:rsidP="00714D2D"/>
    <w:p w14:paraId="0BF497BB"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Нежеланите реакции са изброени по системо-органни класове и подредени по честота в </w:t>
      </w:r>
      <w:r w:rsidRPr="00714D2D">
        <w:rPr>
          <w:rFonts w:eastAsia="Times New Roman" w:cs="Arial"/>
          <w:b/>
          <w:bCs/>
          <w:color w:val="000000"/>
          <w:lang w:eastAsia="bg-BG"/>
        </w:rPr>
        <w:t xml:space="preserve">Таблица </w:t>
      </w:r>
      <w:r w:rsidRPr="00714D2D">
        <w:rPr>
          <w:rFonts w:eastAsia="Times New Roman" w:cs="Arial"/>
          <w:color w:val="000000"/>
          <w:lang w:eastAsia="bg-BG"/>
        </w:rPr>
        <w:t>1, отразяващи данни от следните източници:</w:t>
      </w:r>
    </w:p>
    <w:p w14:paraId="23D80FFA" w14:textId="77777777" w:rsidR="00714D2D" w:rsidRPr="00E16A1B" w:rsidRDefault="00714D2D" w:rsidP="00714D2D">
      <w:pPr>
        <w:pStyle w:val="ListParagraph"/>
        <w:numPr>
          <w:ilvl w:val="0"/>
          <w:numId w:val="40"/>
        </w:numPr>
        <w:rPr>
          <w:rFonts w:eastAsia="Times New Roman" w:cs="Arial"/>
          <w:color w:val="000000"/>
          <w:lang w:eastAsia="bg-BG"/>
        </w:rPr>
      </w:pPr>
      <w:r w:rsidRPr="00E16A1B">
        <w:rPr>
          <w:rFonts w:eastAsia="Times New Roman" w:cs="Arial"/>
          <w:color w:val="000000"/>
          <w:lang w:eastAsia="bg-BG"/>
        </w:rPr>
        <w:t xml:space="preserve">Нежелани реакции, докладвани при пациенти с остеоартрит и пациенти с ревматоиден артрит, с честота по-висока от 0,01% и по-висока от честотата, съобщавана при плацебо по време на 12 плацебо и/или активно-контролирани клинични проучвания с продължителност до 12 седмици, при дневни дози целекоксиб от 100 </w:t>
      </w:r>
      <w:r w:rsidRPr="00E16A1B">
        <w:rPr>
          <w:rFonts w:eastAsia="Times New Roman" w:cs="Arial"/>
          <w:color w:val="000000"/>
          <w:lang w:val="en-US"/>
        </w:rPr>
        <w:t xml:space="preserve">mg </w:t>
      </w:r>
      <w:r w:rsidRPr="00E16A1B">
        <w:rPr>
          <w:rFonts w:eastAsia="Times New Roman" w:cs="Arial"/>
          <w:color w:val="000000"/>
          <w:lang w:eastAsia="bg-BG"/>
        </w:rPr>
        <w:t xml:space="preserve">до 800 </w:t>
      </w:r>
      <w:r w:rsidRPr="00E16A1B">
        <w:rPr>
          <w:rFonts w:eastAsia="Times New Roman" w:cs="Arial"/>
          <w:color w:val="000000"/>
          <w:lang w:val="en-US"/>
        </w:rPr>
        <w:t xml:space="preserve">mg. </w:t>
      </w:r>
      <w:r w:rsidRPr="00E16A1B">
        <w:rPr>
          <w:rFonts w:eastAsia="Times New Roman" w:cs="Arial"/>
          <w:color w:val="000000"/>
          <w:lang w:eastAsia="bg-BG"/>
        </w:rPr>
        <w:t>В</w:t>
      </w:r>
      <w:r w:rsidRPr="00E16A1B">
        <w:rPr>
          <w:rFonts w:eastAsia="Times New Roman" w:cs="Arial"/>
          <w:color w:val="000000"/>
          <w:vertAlign w:val="subscript"/>
          <w:lang w:eastAsia="bg-BG"/>
        </w:rPr>
        <w:t xml:space="preserve"> </w:t>
      </w:r>
      <w:r w:rsidRPr="00E16A1B">
        <w:rPr>
          <w:rFonts w:eastAsia="Times New Roman" w:cs="Arial"/>
          <w:color w:val="000000"/>
          <w:lang w:eastAsia="bg-BG"/>
        </w:rPr>
        <w:t xml:space="preserve">допълнителни проучвания с неселективни НСПВС като сравнително лекарство приблизително 7 400 пациенти с артрит са лекувани с целекоксиб в дневни дози до 800 </w:t>
      </w:r>
      <w:r w:rsidRPr="00E16A1B">
        <w:rPr>
          <w:rFonts w:eastAsia="Times New Roman" w:cs="Arial"/>
          <w:color w:val="000000"/>
          <w:lang w:val="en-US"/>
        </w:rPr>
        <w:t xml:space="preserve">mg, </w:t>
      </w:r>
      <w:r w:rsidRPr="00E16A1B">
        <w:rPr>
          <w:rFonts w:eastAsia="Times New Roman" w:cs="Arial"/>
          <w:color w:val="000000"/>
          <w:lang w:eastAsia="bg-BG"/>
        </w:rPr>
        <w:t>включително приблизително 2 300 пациенти лекувани за период от 1 година или</w:t>
      </w:r>
      <w:r w:rsidRPr="00E16A1B">
        <w:rPr>
          <w:rFonts w:eastAsia="Times New Roman" w:cs="Arial"/>
          <w:color w:val="000000"/>
          <w:lang w:val="en-US" w:eastAsia="bg-BG"/>
        </w:rPr>
        <w:t xml:space="preserve"> </w:t>
      </w:r>
      <w:r w:rsidRPr="00E16A1B">
        <w:rPr>
          <w:rFonts w:eastAsia="Times New Roman" w:cs="Arial"/>
          <w:color w:val="000000"/>
          <w:lang w:eastAsia="bg-BG"/>
        </w:rPr>
        <w:t xml:space="preserve">повече. Нежеланите реакции наблюдавани при лечение с целекоксиб в тези допълнителни проучвания, отговарят на тези, при пациенти с остеоартрит и ревматоиден артрит, изброени в </w:t>
      </w:r>
      <w:r w:rsidRPr="00E16A1B">
        <w:rPr>
          <w:rFonts w:eastAsia="Times New Roman" w:cs="Arial"/>
          <w:b/>
          <w:bCs/>
          <w:color w:val="000000"/>
          <w:lang w:eastAsia="bg-BG"/>
        </w:rPr>
        <w:t>Таблица 1.</w:t>
      </w:r>
    </w:p>
    <w:p w14:paraId="0D8FC503" w14:textId="77777777" w:rsidR="00714D2D" w:rsidRPr="00E16A1B" w:rsidRDefault="00714D2D" w:rsidP="00714D2D">
      <w:pPr>
        <w:pStyle w:val="ListParagraph"/>
        <w:numPr>
          <w:ilvl w:val="0"/>
          <w:numId w:val="40"/>
        </w:numPr>
        <w:rPr>
          <w:rFonts w:eastAsia="Times New Roman" w:cs="Arial"/>
          <w:color w:val="000000"/>
          <w:lang w:eastAsia="bg-BG"/>
        </w:rPr>
      </w:pPr>
      <w:r w:rsidRPr="00E16A1B">
        <w:rPr>
          <w:rFonts w:eastAsia="Times New Roman" w:cs="Arial"/>
          <w:color w:val="000000"/>
          <w:lang w:eastAsia="bg-BG"/>
        </w:rPr>
        <w:t xml:space="preserve">Нежелани реакции, съобщени с честота по-голяма отколкото при плацебо за участници, лекувани с целекоксиб </w:t>
      </w:r>
      <w:r w:rsidRPr="00E16A1B">
        <w:rPr>
          <w:rFonts w:eastAsia="Times New Roman" w:cs="Arial"/>
          <w:i/>
          <w:iCs/>
          <w:color w:val="000000"/>
          <w:lang w:eastAsia="bg-BG"/>
        </w:rPr>
        <w:t xml:space="preserve">400 </w:t>
      </w:r>
      <w:r w:rsidRPr="00E16A1B">
        <w:rPr>
          <w:rFonts w:eastAsia="Times New Roman" w:cs="Arial"/>
          <w:i/>
          <w:iCs/>
          <w:color w:val="000000"/>
          <w:lang w:val="en-US"/>
        </w:rPr>
        <w:t>mg</w:t>
      </w:r>
      <w:r w:rsidRPr="00E16A1B">
        <w:rPr>
          <w:rFonts w:eastAsia="Times New Roman" w:cs="Arial"/>
          <w:color w:val="000000"/>
          <w:lang w:val="en-US"/>
        </w:rPr>
        <w:t xml:space="preserve"> </w:t>
      </w:r>
      <w:r w:rsidRPr="00E16A1B">
        <w:rPr>
          <w:rFonts w:eastAsia="Times New Roman" w:cs="Arial"/>
          <w:color w:val="000000"/>
          <w:lang w:eastAsia="bg-BG"/>
        </w:rPr>
        <w:t xml:space="preserve">дневно в </w:t>
      </w:r>
      <w:r w:rsidRPr="00E16A1B">
        <w:rPr>
          <w:rFonts w:eastAsia="Times New Roman" w:cs="Arial"/>
          <w:i/>
          <w:iCs/>
          <w:color w:val="000000"/>
          <w:lang w:eastAsia="bg-BG"/>
        </w:rPr>
        <w:t>дългосрочни</w:t>
      </w:r>
      <w:r w:rsidRPr="00E16A1B">
        <w:rPr>
          <w:rFonts w:eastAsia="Times New Roman" w:cs="Arial"/>
          <w:color w:val="000000"/>
          <w:lang w:eastAsia="bg-BG"/>
        </w:rPr>
        <w:t xml:space="preserve"> проучвания за превенция на полипи с продължителност до 3 години (за превенция на аденома с целекоксиб (АРС) и превенция на колоректалните спорадични аденоматозни полипи </w:t>
      </w:r>
      <w:r w:rsidRPr="00E16A1B">
        <w:rPr>
          <w:rFonts w:eastAsia="Times New Roman" w:cs="Arial"/>
          <w:color w:val="000000"/>
          <w:lang w:val="en-US"/>
        </w:rPr>
        <w:t>(</w:t>
      </w:r>
      <w:proofErr w:type="spellStart"/>
      <w:r w:rsidRPr="00E16A1B">
        <w:rPr>
          <w:rFonts w:eastAsia="Times New Roman" w:cs="Arial"/>
          <w:color w:val="000000"/>
          <w:lang w:val="en-US"/>
        </w:rPr>
        <w:t>PreSAP</w:t>
      </w:r>
      <w:proofErr w:type="spellEnd"/>
      <w:r w:rsidRPr="00E16A1B">
        <w:rPr>
          <w:rFonts w:eastAsia="Times New Roman" w:cs="Arial"/>
          <w:color w:val="000000"/>
          <w:lang w:val="en-US"/>
        </w:rPr>
        <w:t xml:space="preserve">); </w:t>
      </w:r>
      <w:r w:rsidRPr="00E16A1B">
        <w:rPr>
          <w:rFonts w:eastAsia="Times New Roman" w:cs="Arial"/>
          <w:color w:val="000000"/>
          <w:lang w:eastAsia="bg-BG"/>
        </w:rPr>
        <w:t>виж точка 5.1 Сърдечносъдова безопасност - дългосрочни проучвания, включващи пациенти със спорадични аденоматозни полипи).</w:t>
      </w:r>
    </w:p>
    <w:p w14:paraId="49A09DA5" w14:textId="5F8BB446" w:rsidR="00714D2D" w:rsidRPr="00E16A1B" w:rsidRDefault="00714D2D" w:rsidP="00714D2D">
      <w:pPr>
        <w:pStyle w:val="ListParagraph"/>
        <w:numPr>
          <w:ilvl w:val="0"/>
          <w:numId w:val="40"/>
        </w:numPr>
        <w:rPr>
          <w:rFonts w:eastAsia="Times New Roman" w:cs="Arial"/>
          <w:color w:val="000000"/>
          <w:lang w:eastAsia="bg-BG"/>
        </w:rPr>
      </w:pPr>
      <w:r w:rsidRPr="00E16A1B">
        <w:rPr>
          <w:rFonts w:eastAsia="Times New Roman" w:cs="Arial"/>
          <w:color w:val="000000"/>
          <w:lang w:eastAsia="bg-BG"/>
        </w:rPr>
        <w:t>Нежелани лекарствени реакции от постмаркетингово проследяване, докладвани като спонтанни съобщения за период, в който приблизително &gt; 70 милиона пациента са лекувани с целекоксиб (различни дози, продължителност и показания). Въпреки че това са реакции, идентифицирани от постмаркетингови съобщения, при определяне на честотата са взети предвид данните от проучванията. Честотите са определени на базата на кумулативен мета-анализ със събиране на данни от проучвания, представляващи експозиция при 38102 пациенти.</w:t>
      </w:r>
    </w:p>
    <w:p w14:paraId="2A2D4CD6" w14:textId="77777777" w:rsidR="00714D2D" w:rsidRPr="00E16A1B" w:rsidRDefault="00714D2D" w:rsidP="00714D2D">
      <w:pPr>
        <w:spacing w:line="240" w:lineRule="auto"/>
        <w:rPr>
          <w:rFonts w:eastAsia="Times New Roman" w:cs="Arial"/>
          <w:color w:val="000000"/>
          <w:lang w:eastAsia="bg-BG"/>
        </w:rPr>
      </w:pPr>
    </w:p>
    <w:p w14:paraId="31CCAF84" w14:textId="5F85C6ED"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 xml:space="preserve">Следната таблица обобщава нежеланите лекарствени реакции на целекоксиб разделени в групи според терминологията по </w:t>
      </w:r>
      <w:r w:rsidRPr="00714D2D">
        <w:rPr>
          <w:rFonts w:eastAsia="Times New Roman" w:cs="Arial"/>
          <w:color w:val="000000"/>
          <w:lang w:val="en-US"/>
        </w:rPr>
        <w:t xml:space="preserve">MedDRA </w:t>
      </w:r>
      <w:r w:rsidRPr="00714D2D">
        <w:rPr>
          <w:rFonts w:eastAsia="Times New Roman" w:cs="Arial"/>
          <w:color w:val="000000"/>
          <w:lang w:eastAsia="bg-BG"/>
        </w:rPr>
        <w:t>заедно с тяхната честота:</w:t>
      </w:r>
    </w:p>
    <w:p w14:paraId="109B748A" w14:textId="77777777" w:rsidR="00714D2D" w:rsidRPr="00E16A1B" w:rsidRDefault="00714D2D" w:rsidP="00714D2D">
      <w:pPr>
        <w:spacing w:line="240" w:lineRule="auto"/>
        <w:rPr>
          <w:rFonts w:eastAsia="Times New Roman" w:cs="Arial"/>
          <w:color w:val="000000"/>
          <w:lang w:eastAsia="bg-BG"/>
        </w:rPr>
      </w:pPr>
    </w:p>
    <w:p w14:paraId="14761600" w14:textId="1EFAA512"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Много чести (≥ 1/10)</w:t>
      </w:r>
    </w:p>
    <w:p w14:paraId="1136B693"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Чести (≥ 1/100 до &lt; 1/10)</w:t>
      </w:r>
    </w:p>
    <w:p w14:paraId="7B06DE32"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Нечести (≥ 1/1 000 до &lt; 1/100)</w:t>
      </w:r>
    </w:p>
    <w:p w14:paraId="5187183A"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Редки (≥ 1/10 000 до &lt; 1/1 000)</w:t>
      </w:r>
    </w:p>
    <w:p w14:paraId="46B950D9"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Много редки (&lt;1/10 000)</w:t>
      </w:r>
    </w:p>
    <w:p w14:paraId="4E5F5E43" w14:textId="77777777" w:rsidR="00714D2D" w:rsidRPr="00714D2D" w:rsidRDefault="00714D2D" w:rsidP="00714D2D">
      <w:pPr>
        <w:spacing w:line="240" w:lineRule="auto"/>
        <w:rPr>
          <w:rFonts w:eastAsia="Times New Roman" w:cs="Arial"/>
          <w:sz w:val="24"/>
          <w:szCs w:val="24"/>
          <w:lang w:eastAsia="bg-BG"/>
        </w:rPr>
      </w:pPr>
      <w:r w:rsidRPr="00714D2D">
        <w:rPr>
          <w:rFonts w:eastAsia="Times New Roman" w:cs="Arial"/>
          <w:color w:val="000000"/>
          <w:lang w:eastAsia="bg-BG"/>
        </w:rPr>
        <w:t>С неизвестна честота (не може да се предвиди от наличните данни)</w:t>
      </w:r>
    </w:p>
    <w:p w14:paraId="4764CBF0" w14:textId="77777777" w:rsidR="00714D2D" w:rsidRPr="00E16A1B" w:rsidRDefault="00714D2D" w:rsidP="00714D2D">
      <w:pPr>
        <w:spacing w:line="240" w:lineRule="auto"/>
        <w:rPr>
          <w:rFonts w:eastAsia="Times New Roman" w:cs="Arial"/>
          <w:b/>
          <w:bCs/>
          <w:color w:val="000000"/>
          <w:lang w:eastAsia="bg-BG"/>
        </w:rPr>
      </w:pPr>
    </w:p>
    <w:p w14:paraId="3BB00A7B" w14:textId="36D2932C" w:rsidR="00714D2D" w:rsidRPr="00714D2D" w:rsidRDefault="00714D2D" w:rsidP="00714D2D">
      <w:pPr>
        <w:spacing w:line="240" w:lineRule="auto"/>
        <w:rPr>
          <w:rFonts w:eastAsia="Times New Roman" w:cs="Arial"/>
          <w:sz w:val="24"/>
          <w:szCs w:val="24"/>
          <w:lang w:eastAsia="bg-BG"/>
        </w:rPr>
      </w:pPr>
      <w:r w:rsidRPr="00714D2D">
        <w:rPr>
          <w:rFonts w:eastAsia="Times New Roman" w:cs="Arial"/>
          <w:b/>
          <w:bCs/>
          <w:color w:val="000000"/>
          <w:lang w:eastAsia="bg-BG"/>
        </w:rPr>
        <w:t>Таблица 1. Нежелани лекарствени реакции в клинични проучвания с целекоксиб и пост</w:t>
      </w:r>
      <w:r w:rsidRPr="00714D2D">
        <w:rPr>
          <w:rFonts w:eastAsia="Times New Roman" w:cs="Arial"/>
          <w:b/>
          <w:bCs/>
          <w:color w:val="000000"/>
          <w:lang w:eastAsia="bg-BG"/>
        </w:rPr>
        <w:softHyphen/>
        <w:t xml:space="preserve">маркетингово наблюдение (предпочитани термини по </w:t>
      </w:r>
      <w:r w:rsidRPr="00714D2D">
        <w:rPr>
          <w:rFonts w:eastAsia="Times New Roman" w:cs="Arial"/>
          <w:b/>
          <w:bCs/>
          <w:color w:val="000000"/>
          <w:lang w:val="en-US"/>
        </w:rPr>
        <w:t>(MedDRA)</w:t>
      </w:r>
      <w:r w:rsidRPr="00714D2D">
        <w:rPr>
          <w:rFonts w:eastAsia="Times New Roman" w:cs="Arial"/>
          <w:b/>
          <w:bCs/>
          <w:color w:val="000000"/>
          <w:vertAlign w:val="superscript"/>
          <w:lang w:val="en-US"/>
        </w:rPr>
        <w:t>1,2</w:t>
      </w:r>
    </w:p>
    <w:tbl>
      <w:tblPr>
        <w:tblStyle w:val="TableGrid"/>
        <w:tblW w:w="0" w:type="auto"/>
        <w:tblLook w:val="04A0" w:firstRow="1" w:lastRow="0" w:firstColumn="1" w:lastColumn="0" w:noHBand="0" w:noVBand="1"/>
      </w:tblPr>
      <w:tblGrid>
        <w:gridCol w:w="1440"/>
        <w:gridCol w:w="1179"/>
        <w:gridCol w:w="1425"/>
        <w:gridCol w:w="1295"/>
        <w:gridCol w:w="1407"/>
        <w:gridCol w:w="1651"/>
        <w:gridCol w:w="953"/>
      </w:tblGrid>
      <w:tr w:rsidR="00E16A1B" w14:paraId="2CA07B47" w14:textId="77777777" w:rsidTr="00E16A1B">
        <w:tc>
          <w:tcPr>
            <w:tcW w:w="1470" w:type="dxa"/>
          </w:tcPr>
          <w:p w14:paraId="6F069290" w14:textId="77777777" w:rsidR="00E16A1B" w:rsidRPr="00E16A1B" w:rsidRDefault="00E16A1B" w:rsidP="00E16A1B"/>
        </w:tc>
        <w:tc>
          <w:tcPr>
            <w:tcW w:w="1208" w:type="dxa"/>
          </w:tcPr>
          <w:p w14:paraId="6A3197D8" w14:textId="11477EA6" w:rsidR="00E16A1B" w:rsidRPr="00E16A1B" w:rsidRDefault="00E16A1B" w:rsidP="00E16A1B">
            <w:r w:rsidRPr="00E16A1B">
              <w:rPr>
                <w:b/>
                <w:bCs/>
              </w:rPr>
              <w:t>Много чести</w:t>
            </w:r>
          </w:p>
        </w:tc>
        <w:tc>
          <w:tcPr>
            <w:tcW w:w="1461" w:type="dxa"/>
          </w:tcPr>
          <w:p w14:paraId="0B9B2B4A" w14:textId="7ED272BA" w:rsidR="00E16A1B" w:rsidRPr="00E16A1B" w:rsidRDefault="00E16A1B" w:rsidP="00E16A1B">
            <w:r w:rsidRPr="00E16A1B">
              <w:rPr>
                <w:b/>
                <w:bCs/>
              </w:rPr>
              <w:t>Чести</w:t>
            </w:r>
          </w:p>
        </w:tc>
        <w:tc>
          <w:tcPr>
            <w:tcW w:w="1326" w:type="dxa"/>
          </w:tcPr>
          <w:p w14:paraId="5AD865FC" w14:textId="6A885443" w:rsidR="00E16A1B" w:rsidRPr="00E16A1B" w:rsidRDefault="00E16A1B" w:rsidP="00E16A1B">
            <w:r w:rsidRPr="00E16A1B">
              <w:rPr>
                <w:b/>
                <w:bCs/>
              </w:rPr>
              <w:t>Нечести</w:t>
            </w:r>
          </w:p>
        </w:tc>
        <w:tc>
          <w:tcPr>
            <w:tcW w:w="1442" w:type="dxa"/>
          </w:tcPr>
          <w:p w14:paraId="3ACD65EA" w14:textId="0B157093" w:rsidR="00E16A1B" w:rsidRPr="00E16A1B" w:rsidRDefault="00E16A1B" w:rsidP="00E16A1B">
            <w:r w:rsidRPr="00E16A1B">
              <w:rPr>
                <w:b/>
                <w:bCs/>
              </w:rPr>
              <w:t>Редки</w:t>
            </w:r>
          </w:p>
        </w:tc>
        <w:tc>
          <w:tcPr>
            <w:tcW w:w="1694" w:type="dxa"/>
          </w:tcPr>
          <w:p w14:paraId="74CB9507" w14:textId="508C6FE6" w:rsidR="00E16A1B" w:rsidRPr="00E16A1B" w:rsidRDefault="00E16A1B" w:rsidP="00E16A1B">
            <w:r w:rsidRPr="00E16A1B">
              <w:rPr>
                <w:b/>
                <w:bCs/>
              </w:rPr>
              <w:t>Много редки</w:t>
            </w:r>
          </w:p>
        </w:tc>
        <w:tc>
          <w:tcPr>
            <w:tcW w:w="975" w:type="dxa"/>
          </w:tcPr>
          <w:p w14:paraId="41211146" w14:textId="36ADA2BF" w:rsidR="00E16A1B" w:rsidRPr="00E16A1B" w:rsidRDefault="00E16A1B" w:rsidP="00E16A1B">
            <w:r w:rsidRPr="00E16A1B">
              <w:rPr>
                <w:b/>
                <w:bCs/>
              </w:rPr>
              <w:t>с неизвес тна честота</w:t>
            </w:r>
          </w:p>
        </w:tc>
      </w:tr>
      <w:tr w:rsidR="00E16A1B" w14:paraId="5A097414" w14:textId="77777777" w:rsidTr="00E16A1B">
        <w:tc>
          <w:tcPr>
            <w:tcW w:w="1470" w:type="dxa"/>
          </w:tcPr>
          <w:p w14:paraId="23A62C42" w14:textId="3E494B35" w:rsidR="00E16A1B" w:rsidRPr="00E16A1B" w:rsidRDefault="00E16A1B" w:rsidP="00E16A1B">
            <w:r w:rsidRPr="00E16A1B">
              <w:rPr>
                <w:b/>
                <w:bCs/>
              </w:rPr>
              <w:t xml:space="preserve">Инфек-ции </w:t>
            </w:r>
            <w:r w:rsidRPr="00E16A1B">
              <w:rPr>
                <w:b/>
                <w:bCs/>
              </w:rPr>
              <w:lastRenderedPageBreak/>
              <w:t>и инфеста- ции</w:t>
            </w:r>
          </w:p>
        </w:tc>
        <w:tc>
          <w:tcPr>
            <w:tcW w:w="1208" w:type="dxa"/>
          </w:tcPr>
          <w:p w14:paraId="38FCB52C" w14:textId="77777777" w:rsidR="00E16A1B" w:rsidRPr="00E16A1B" w:rsidRDefault="00E16A1B" w:rsidP="00E16A1B"/>
        </w:tc>
        <w:tc>
          <w:tcPr>
            <w:tcW w:w="1461" w:type="dxa"/>
          </w:tcPr>
          <w:p w14:paraId="51BF209D" w14:textId="1CD71795" w:rsidR="00E16A1B" w:rsidRPr="00E16A1B" w:rsidRDefault="00E16A1B" w:rsidP="00E16A1B">
            <w:r w:rsidRPr="00E16A1B">
              <w:t xml:space="preserve">Синузит, </w:t>
            </w:r>
            <w:r w:rsidRPr="00E16A1B">
              <w:lastRenderedPageBreak/>
              <w:t>инфекция на горните дихателни пътища, фарингит, инфекция на пикочните пътища</w:t>
            </w:r>
          </w:p>
        </w:tc>
        <w:tc>
          <w:tcPr>
            <w:tcW w:w="1326" w:type="dxa"/>
          </w:tcPr>
          <w:p w14:paraId="2C5319C0" w14:textId="77777777" w:rsidR="00E16A1B" w:rsidRPr="00E16A1B" w:rsidRDefault="00E16A1B" w:rsidP="00E16A1B"/>
        </w:tc>
        <w:tc>
          <w:tcPr>
            <w:tcW w:w="1442" w:type="dxa"/>
          </w:tcPr>
          <w:p w14:paraId="0B0FB81D" w14:textId="77777777" w:rsidR="00E16A1B" w:rsidRPr="00E16A1B" w:rsidRDefault="00E16A1B" w:rsidP="00E16A1B"/>
        </w:tc>
        <w:tc>
          <w:tcPr>
            <w:tcW w:w="1694" w:type="dxa"/>
          </w:tcPr>
          <w:p w14:paraId="7516F072" w14:textId="77777777" w:rsidR="00E16A1B" w:rsidRPr="00E16A1B" w:rsidRDefault="00E16A1B" w:rsidP="00E16A1B"/>
        </w:tc>
        <w:tc>
          <w:tcPr>
            <w:tcW w:w="975" w:type="dxa"/>
          </w:tcPr>
          <w:p w14:paraId="0C13434C" w14:textId="77777777" w:rsidR="00E16A1B" w:rsidRPr="00E16A1B" w:rsidRDefault="00E16A1B" w:rsidP="00E16A1B"/>
        </w:tc>
      </w:tr>
      <w:tr w:rsidR="00E16A1B" w14:paraId="0F896017" w14:textId="77777777" w:rsidTr="00E16A1B">
        <w:tc>
          <w:tcPr>
            <w:tcW w:w="1470" w:type="dxa"/>
          </w:tcPr>
          <w:p w14:paraId="37B70952" w14:textId="02B0751E" w:rsidR="00E16A1B" w:rsidRPr="00E16A1B" w:rsidRDefault="00E16A1B" w:rsidP="00E16A1B">
            <w:r w:rsidRPr="00E16A1B">
              <w:rPr>
                <w:b/>
                <w:bCs/>
              </w:rPr>
              <w:t>Нарушения на кръвта и лимфната система</w:t>
            </w:r>
          </w:p>
        </w:tc>
        <w:tc>
          <w:tcPr>
            <w:tcW w:w="1208" w:type="dxa"/>
          </w:tcPr>
          <w:p w14:paraId="03ED5168" w14:textId="77777777" w:rsidR="00E16A1B" w:rsidRPr="00E16A1B" w:rsidRDefault="00E16A1B" w:rsidP="00E16A1B"/>
        </w:tc>
        <w:tc>
          <w:tcPr>
            <w:tcW w:w="1461" w:type="dxa"/>
          </w:tcPr>
          <w:p w14:paraId="4258A240" w14:textId="77777777" w:rsidR="00E16A1B" w:rsidRPr="00E16A1B" w:rsidRDefault="00E16A1B" w:rsidP="00E16A1B"/>
        </w:tc>
        <w:tc>
          <w:tcPr>
            <w:tcW w:w="1326" w:type="dxa"/>
          </w:tcPr>
          <w:p w14:paraId="5D55562D" w14:textId="4689A609" w:rsidR="00E16A1B" w:rsidRPr="00E16A1B" w:rsidRDefault="00E16A1B" w:rsidP="00E16A1B">
            <w:r w:rsidRPr="00E16A1B">
              <w:t>Анемия</w:t>
            </w:r>
          </w:p>
        </w:tc>
        <w:tc>
          <w:tcPr>
            <w:tcW w:w="1442" w:type="dxa"/>
          </w:tcPr>
          <w:p w14:paraId="2DD7EFE3" w14:textId="29B39292" w:rsidR="00E16A1B" w:rsidRPr="00E16A1B" w:rsidRDefault="00E16A1B" w:rsidP="00E16A1B">
            <w:r w:rsidRPr="00E16A1B">
              <w:t>Левкопения, тромбоцито- пения</w:t>
            </w:r>
          </w:p>
        </w:tc>
        <w:tc>
          <w:tcPr>
            <w:tcW w:w="1694" w:type="dxa"/>
          </w:tcPr>
          <w:p w14:paraId="501AB4C0" w14:textId="690AB9B6" w:rsidR="00E16A1B" w:rsidRPr="00E16A1B" w:rsidRDefault="00E16A1B" w:rsidP="00E16A1B">
            <w:r w:rsidRPr="00E16A1B">
              <w:t>Панцитопения</w:t>
            </w:r>
            <w:r w:rsidRPr="00E16A1B">
              <w:rPr>
                <w:vertAlign w:val="superscript"/>
              </w:rPr>
              <w:t>4</w:t>
            </w:r>
          </w:p>
        </w:tc>
        <w:tc>
          <w:tcPr>
            <w:tcW w:w="975" w:type="dxa"/>
          </w:tcPr>
          <w:p w14:paraId="2B95090F" w14:textId="77777777" w:rsidR="00E16A1B" w:rsidRPr="00E16A1B" w:rsidRDefault="00E16A1B" w:rsidP="00E16A1B"/>
        </w:tc>
      </w:tr>
      <w:tr w:rsidR="00E16A1B" w14:paraId="24B95C51" w14:textId="77777777" w:rsidTr="00E16A1B">
        <w:tc>
          <w:tcPr>
            <w:tcW w:w="1470" w:type="dxa"/>
          </w:tcPr>
          <w:p w14:paraId="24380B74" w14:textId="5B8370AE" w:rsidR="00E16A1B" w:rsidRPr="00E16A1B" w:rsidRDefault="00E16A1B" w:rsidP="00E16A1B">
            <w:r w:rsidRPr="00E16A1B">
              <w:rPr>
                <w:b/>
                <w:bCs/>
              </w:rPr>
              <w:t>Нарушения на имунната система</w:t>
            </w:r>
          </w:p>
        </w:tc>
        <w:tc>
          <w:tcPr>
            <w:tcW w:w="1208" w:type="dxa"/>
          </w:tcPr>
          <w:p w14:paraId="151C245B" w14:textId="77777777" w:rsidR="00E16A1B" w:rsidRPr="00E16A1B" w:rsidRDefault="00E16A1B" w:rsidP="00E16A1B"/>
        </w:tc>
        <w:tc>
          <w:tcPr>
            <w:tcW w:w="1461" w:type="dxa"/>
          </w:tcPr>
          <w:p w14:paraId="73AB67E9" w14:textId="5C869CD3" w:rsidR="00E16A1B" w:rsidRPr="00E16A1B" w:rsidRDefault="00E16A1B" w:rsidP="00E16A1B">
            <w:r w:rsidRPr="00E16A1B">
              <w:t>Свръхчув</w:t>
            </w:r>
            <w:r w:rsidRPr="00E16A1B">
              <w:softHyphen/>
              <w:t>ствителност</w:t>
            </w:r>
          </w:p>
        </w:tc>
        <w:tc>
          <w:tcPr>
            <w:tcW w:w="1326" w:type="dxa"/>
          </w:tcPr>
          <w:p w14:paraId="11BE3FF9" w14:textId="77777777" w:rsidR="00E16A1B" w:rsidRPr="00E16A1B" w:rsidRDefault="00E16A1B" w:rsidP="00E16A1B"/>
        </w:tc>
        <w:tc>
          <w:tcPr>
            <w:tcW w:w="1442" w:type="dxa"/>
          </w:tcPr>
          <w:p w14:paraId="4AA8DD57" w14:textId="77777777" w:rsidR="00E16A1B" w:rsidRPr="00E16A1B" w:rsidRDefault="00E16A1B" w:rsidP="00E16A1B"/>
        </w:tc>
        <w:tc>
          <w:tcPr>
            <w:tcW w:w="1694" w:type="dxa"/>
          </w:tcPr>
          <w:p w14:paraId="4B40410D" w14:textId="333B2DC9" w:rsidR="00E16A1B" w:rsidRPr="00E16A1B" w:rsidRDefault="00E16A1B" w:rsidP="00E16A1B">
            <w:r w:rsidRPr="00E16A1B">
              <w:t>Анафилактичен шок</w:t>
            </w:r>
            <w:r w:rsidRPr="00E16A1B">
              <w:rPr>
                <w:vertAlign w:val="superscript"/>
              </w:rPr>
              <w:t>4</w:t>
            </w:r>
            <w:r w:rsidRPr="00E16A1B">
              <w:t>, анафилактични реакции</w:t>
            </w:r>
            <w:r w:rsidRPr="00E16A1B">
              <w:rPr>
                <w:vertAlign w:val="superscript"/>
              </w:rPr>
              <w:t>4</w:t>
            </w:r>
          </w:p>
        </w:tc>
        <w:tc>
          <w:tcPr>
            <w:tcW w:w="975" w:type="dxa"/>
          </w:tcPr>
          <w:p w14:paraId="7B0C5F85" w14:textId="77777777" w:rsidR="00E16A1B" w:rsidRPr="00E16A1B" w:rsidRDefault="00E16A1B" w:rsidP="00E16A1B"/>
        </w:tc>
      </w:tr>
      <w:tr w:rsidR="00E16A1B" w14:paraId="396BB577" w14:textId="77777777" w:rsidTr="00E16A1B">
        <w:tc>
          <w:tcPr>
            <w:tcW w:w="1470" w:type="dxa"/>
          </w:tcPr>
          <w:p w14:paraId="76175196" w14:textId="0058376A" w:rsidR="00E16A1B" w:rsidRPr="00E16A1B" w:rsidRDefault="00E16A1B" w:rsidP="00E16A1B">
            <w:r w:rsidRPr="00E16A1B">
              <w:rPr>
                <w:b/>
                <w:bCs/>
              </w:rPr>
              <w:t>Нарушения на метаболизма и храненето</w:t>
            </w:r>
          </w:p>
        </w:tc>
        <w:tc>
          <w:tcPr>
            <w:tcW w:w="1208" w:type="dxa"/>
          </w:tcPr>
          <w:p w14:paraId="77A1D03D" w14:textId="77777777" w:rsidR="00E16A1B" w:rsidRPr="00E16A1B" w:rsidRDefault="00E16A1B" w:rsidP="00E16A1B"/>
        </w:tc>
        <w:tc>
          <w:tcPr>
            <w:tcW w:w="1461" w:type="dxa"/>
          </w:tcPr>
          <w:p w14:paraId="15BEB1F8" w14:textId="77777777" w:rsidR="00E16A1B" w:rsidRPr="00E16A1B" w:rsidRDefault="00E16A1B" w:rsidP="00E16A1B"/>
        </w:tc>
        <w:tc>
          <w:tcPr>
            <w:tcW w:w="1326" w:type="dxa"/>
          </w:tcPr>
          <w:p w14:paraId="4FBE29AB" w14:textId="5352843F" w:rsidR="00E16A1B" w:rsidRPr="00E16A1B" w:rsidRDefault="00E16A1B" w:rsidP="00E16A1B">
            <w:r w:rsidRPr="00E16A1B">
              <w:t>Хиперка- лиемия</w:t>
            </w:r>
          </w:p>
        </w:tc>
        <w:tc>
          <w:tcPr>
            <w:tcW w:w="1442" w:type="dxa"/>
          </w:tcPr>
          <w:p w14:paraId="4D517643" w14:textId="77777777" w:rsidR="00E16A1B" w:rsidRPr="00E16A1B" w:rsidRDefault="00E16A1B" w:rsidP="00E16A1B"/>
        </w:tc>
        <w:tc>
          <w:tcPr>
            <w:tcW w:w="1694" w:type="dxa"/>
          </w:tcPr>
          <w:p w14:paraId="4932CCD2" w14:textId="77777777" w:rsidR="00E16A1B" w:rsidRPr="00E16A1B" w:rsidRDefault="00E16A1B" w:rsidP="00E16A1B"/>
        </w:tc>
        <w:tc>
          <w:tcPr>
            <w:tcW w:w="975" w:type="dxa"/>
          </w:tcPr>
          <w:p w14:paraId="3CE85E05" w14:textId="77777777" w:rsidR="00E16A1B" w:rsidRPr="00E16A1B" w:rsidRDefault="00E16A1B" w:rsidP="00E16A1B"/>
        </w:tc>
      </w:tr>
      <w:tr w:rsidR="00E16A1B" w14:paraId="44F83B7B" w14:textId="77777777" w:rsidTr="00E16A1B">
        <w:tc>
          <w:tcPr>
            <w:tcW w:w="1470" w:type="dxa"/>
          </w:tcPr>
          <w:p w14:paraId="741D734A" w14:textId="13722A1F" w:rsidR="00E16A1B" w:rsidRPr="00E16A1B" w:rsidRDefault="00E16A1B" w:rsidP="00E16A1B">
            <w:pPr>
              <w:rPr>
                <w:lang w:val="en-US"/>
              </w:rPr>
            </w:pPr>
            <w:r w:rsidRPr="00E16A1B">
              <w:rPr>
                <w:b/>
                <w:bCs/>
              </w:rPr>
              <w:t>Психични</w:t>
            </w:r>
            <w:r w:rsidRPr="00E16A1B">
              <w:rPr>
                <w:b/>
                <w:bCs/>
                <w:lang w:val="en-US"/>
              </w:rPr>
              <w:t xml:space="preserve"> </w:t>
            </w:r>
            <w:r w:rsidRPr="00E16A1B">
              <w:rPr>
                <w:b/>
                <w:bCs/>
              </w:rPr>
              <w:t>нарушения</w:t>
            </w:r>
          </w:p>
        </w:tc>
        <w:tc>
          <w:tcPr>
            <w:tcW w:w="1208" w:type="dxa"/>
          </w:tcPr>
          <w:p w14:paraId="28DCCEA7" w14:textId="77777777" w:rsidR="00E16A1B" w:rsidRPr="00E16A1B" w:rsidRDefault="00E16A1B" w:rsidP="00E16A1B"/>
        </w:tc>
        <w:tc>
          <w:tcPr>
            <w:tcW w:w="1461" w:type="dxa"/>
          </w:tcPr>
          <w:p w14:paraId="39F09E61" w14:textId="13F42BB6" w:rsidR="00E16A1B" w:rsidRPr="00E16A1B" w:rsidRDefault="00E16A1B" w:rsidP="00E16A1B">
            <w:pPr>
              <w:rPr>
                <w:rFonts w:cs="Arial"/>
              </w:rPr>
            </w:pPr>
            <w:r w:rsidRPr="00E16A1B">
              <w:rPr>
                <w:rFonts w:cs="Arial"/>
              </w:rPr>
              <w:t>Безсъние</w:t>
            </w:r>
          </w:p>
        </w:tc>
        <w:tc>
          <w:tcPr>
            <w:tcW w:w="1326" w:type="dxa"/>
          </w:tcPr>
          <w:p w14:paraId="5EF8D48A" w14:textId="12F1FCA2" w:rsidR="00E16A1B" w:rsidRPr="00E16A1B" w:rsidRDefault="00E16A1B" w:rsidP="00E16A1B">
            <w:pPr>
              <w:rPr>
                <w:rFonts w:eastAsia="Times New Roman" w:cs="Arial"/>
                <w:lang w:eastAsia="bg-BG"/>
              </w:rPr>
            </w:pPr>
            <w:r w:rsidRPr="00E16A1B">
              <w:rPr>
                <w:rFonts w:cs="Arial"/>
              </w:rPr>
              <w:t>Тревож-</w:t>
            </w:r>
            <w:r w:rsidRPr="00E16A1B">
              <w:rPr>
                <w:rFonts w:eastAsia="Times New Roman" w:cs="Arial"/>
                <w:color w:val="000000"/>
                <w:lang w:eastAsia="bg-BG"/>
              </w:rPr>
              <w:t>ност, депресия, умора</w:t>
            </w:r>
          </w:p>
        </w:tc>
        <w:tc>
          <w:tcPr>
            <w:tcW w:w="1442" w:type="dxa"/>
          </w:tcPr>
          <w:p w14:paraId="0AFEA227" w14:textId="34C2F6A6" w:rsidR="00E16A1B" w:rsidRPr="00E16A1B" w:rsidRDefault="00E16A1B" w:rsidP="00E16A1B">
            <w:pPr>
              <w:rPr>
                <w:rFonts w:cs="Arial"/>
                <w:lang w:val="en-US"/>
              </w:rPr>
            </w:pPr>
            <w:r w:rsidRPr="00E16A1B">
              <w:rPr>
                <w:rFonts w:cs="Arial"/>
              </w:rPr>
              <w:t>Състояние на</w:t>
            </w:r>
            <w:r w:rsidRPr="00E16A1B">
              <w:rPr>
                <w:rFonts w:cs="Arial"/>
                <w:lang w:val="en-US"/>
              </w:rPr>
              <w:t xml:space="preserve"> </w:t>
            </w:r>
            <w:r w:rsidRPr="00E16A1B">
              <w:rPr>
                <w:rFonts w:cs="Arial"/>
              </w:rPr>
              <w:t>обърканост, халюци</w:t>
            </w:r>
            <w:r w:rsidRPr="00E16A1B">
              <w:rPr>
                <w:rFonts w:cs="Arial"/>
              </w:rPr>
              <w:softHyphen/>
              <w:t>нации</w:t>
            </w:r>
            <w:r w:rsidRPr="00E16A1B">
              <w:rPr>
                <w:rFonts w:cs="Arial"/>
                <w:vertAlign w:val="superscript"/>
              </w:rPr>
              <w:t>4</w:t>
            </w:r>
          </w:p>
        </w:tc>
        <w:tc>
          <w:tcPr>
            <w:tcW w:w="1694" w:type="dxa"/>
          </w:tcPr>
          <w:p w14:paraId="659F7AD9" w14:textId="77777777" w:rsidR="00E16A1B" w:rsidRPr="00E16A1B" w:rsidRDefault="00E16A1B" w:rsidP="00E16A1B"/>
        </w:tc>
        <w:tc>
          <w:tcPr>
            <w:tcW w:w="975" w:type="dxa"/>
          </w:tcPr>
          <w:p w14:paraId="3238B804" w14:textId="77777777" w:rsidR="00E16A1B" w:rsidRPr="00E16A1B" w:rsidRDefault="00E16A1B" w:rsidP="00E16A1B"/>
        </w:tc>
      </w:tr>
      <w:tr w:rsidR="00E16A1B" w14:paraId="095861BE" w14:textId="77777777" w:rsidTr="00E16A1B">
        <w:tc>
          <w:tcPr>
            <w:tcW w:w="1470" w:type="dxa"/>
          </w:tcPr>
          <w:p w14:paraId="020EC936" w14:textId="522F41AD" w:rsidR="00E16A1B" w:rsidRPr="00E16A1B" w:rsidRDefault="00E16A1B" w:rsidP="00E16A1B">
            <w:r w:rsidRPr="00E16A1B">
              <w:rPr>
                <w:b/>
                <w:bCs/>
              </w:rPr>
              <w:t>Нарушения на нервната система</w:t>
            </w:r>
          </w:p>
        </w:tc>
        <w:tc>
          <w:tcPr>
            <w:tcW w:w="1208" w:type="dxa"/>
          </w:tcPr>
          <w:p w14:paraId="0C49C2D6" w14:textId="77777777" w:rsidR="00E16A1B" w:rsidRPr="00E16A1B" w:rsidRDefault="00E16A1B" w:rsidP="00E16A1B"/>
        </w:tc>
        <w:tc>
          <w:tcPr>
            <w:tcW w:w="1461" w:type="dxa"/>
          </w:tcPr>
          <w:p w14:paraId="04C4314A" w14:textId="79F77BCF" w:rsidR="00E16A1B" w:rsidRPr="00E16A1B" w:rsidRDefault="00E16A1B" w:rsidP="00E16A1B">
            <w:r w:rsidRPr="00E16A1B">
              <w:t>Замайване, хипертония, главоболие</w:t>
            </w:r>
            <w:r w:rsidRPr="00E16A1B">
              <w:rPr>
                <w:vertAlign w:val="superscript"/>
              </w:rPr>
              <w:t>4</w:t>
            </w:r>
          </w:p>
        </w:tc>
        <w:tc>
          <w:tcPr>
            <w:tcW w:w="1326" w:type="dxa"/>
          </w:tcPr>
          <w:p w14:paraId="75A38810" w14:textId="2655BEF8" w:rsidR="00E16A1B" w:rsidRPr="00E16A1B" w:rsidRDefault="00E16A1B" w:rsidP="00E16A1B">
            <w:r w:rsidRPr="00E16A1B">
              <w:t>Инсулт</w:t>
            </w:r>
            <w:r w:rsidRPr="00E16A1B">
              <w:rPr>
                <w:vertAlign w:val="superscript"/>
              </w:rPr>
              <w:t>1</w:t>
            </w:r>
            <w:r w:rsidRPr="00E16A1B">
              <w:t>, парестезии, сънливост,</w:t>
            </w:r>
          </w:p>
        </w:tc>
        <w:tc>
          <w:tcPr>
            <w:tcW w:w="1442" w:type="dxa"/>
          </w:tcPr>
          <w:p w14:paraId="1DA7B47F" w14:textId="428BF2DB" w:rsidR="00E16A1B" w:rsidRPr="00E16A1B" w:rsidRDefault="00E16A1B" w:rsidP="00E16A1B">
            <w:r w:rsidRPr="00E16A1B">
              <w:t>Атаксия, дисгеузия</w:t>
            </w:r>
          </w:p>
        </w:tc>
        <w:tc>
          <w:tcPr>
            <w:tcW w:w="1694" w:type="dxa"/>
            <w:vAlign w:val="bottom"/>
          </w:tcPr>
          <w:p w14:paraId="45C42143" w14:textId="0DF08F55" w:rsidR="00E16A1B" w:rsidRPr="00E16A1B" w:rsidRDefault="00E16A1B" w:rsidP="00E16A1B">
            <w:r w:rsidRPr="00E16A1B">
              <w:t>Вътречерепен кръвоизлив (включител-но фатален вътречере-пен кръвоизлив)</w:t>
            </w:r>
            <w:r w:rsidRPr="00E16A1B">
              <w:rPr>
                <w:vertAlign w:val="superscript"/>
              </w:rPr>
              <w:t>4</w:t>
            </w:r>
            <w:r w:rsidRPr="00E16A1B">
              <w:t>, асептичен менингит</w:t>
            </w:r>
            <w:r w:rsidRPr="00E16A1B">
              <w:rPr>
                <w:vertAlign w:val="superscript"/>
              </w:rPr>
              <w:t>4</w:t>
            </w:r>
            <w:r w:rsidRPr="00E16A1B">
              <w:t>, епилепсия (включително влошаване на съществуваща епилепсия)</w:t>
            </w:r>
            <w:r w:rsidRPr="00E16A1B">
              <w:rPr>
                <w:vertAlign w:val="superscript"/>
              </w:rPr>
              <w:t>4</w:t>
            </w:r>
            <w:r w:rsidRPr="00E16A1B">
              <w:t>, агеузия</w:t>
            </w:r>
            <w:r w:rsidRPr="00E16A1B">
              <w:rPr>
                <w:vertAlign w:val="superscript"/>
              </w:rPr>
              <w:t>4</w:t>
            </w:r>
            <w:r w:rsidRPr="00E16A1B">
              <w:t>, ансомия</w:t>
            </w:r>
            <w:r w:rsidRPr="00E16A1B">
              <w:rPr>
                <w:vertAlign w:val="superscript"/>
              </w:rPr>
              <w:t>4</w:t>
            </w:r>
          </w:p>
        </w:tc>
        <w:tc>
          <w:tcPr>
            <w:tcW w:w="975" w:type="dxa"/>
          </w:tcPr>
          <w:p w14:paraId="103CD8DD" w14:textId="77777777" w:rsidR="00E16A1B" w:rsidRPr="00E16A1B" w:rsidRDefault="00E16A1B" w:rsidP="00E16A1B"/>
        </w:tc>
      </w:tr>
      <w:tr w:rsidR="00E16A1B" w14:paraId="5F47A304" w14:textId="77777777" w:rsidTr="00E16A1B">
        <w:tc>
          <w:tcPr>
            <w:tcW w:w="1470" w:type="dxa"/>
          </w:tcPr>
          <w:p w14:paraId="1EAA6621" w14:textId="60B76633" w:rsidR="00E16A1B" w:rsidRPr="00E16A1B" w:rsidRDefault="00E16A1B" w:rsidP="00E16A1B">
            <w:r w:rsidRPr="00E16A1B">
              <w:rPr>
                <w:b/>
                <w:bCs/>
              </w:rPr>
              <w:t>Нарушения на очите</w:t>
            </w:r>
          </w:p>
        </w:tc>
        <w:tc>
          <w:tcPr>
            <w:tcW w:w="1208" w:type="dxa"/>
          </w:tcPr>
          <w:p w14:paraId="0A1CCAFF" w14:textId="77777777" w:rsidR="00E16A1B" w:rsidRPr="00E16A1B" w:rsidRDefault="00E16A1B" w:rsidP="00E16A1B"/>
        </w:tc>
        <w:tc>
          <w:tcPr>
            <w:tcW w:w="1461" w:type="dxa"/>
          </w:tcPr>
          <w:p w14:paraId="0DA4454C" w14:textId="77777777" w:rsidR="00E16A1B" w:rsidRPr="00E16A1B" w:rsidRDefault="00E16A1B" w:rsidP="00E16A1B"/>
        </w:tc>
        <w:tc>
          <w:tcPr>
            <w:tcW w:w="1326" w:type="dxa"/>
          </w:tcPr>
          <w:p w14:paraId="720331F9" w14:textId="76D8A6D0" w:rsidR="00E16A1B" w:rsidRPr="00E16A1B" w:rsidRDefault="00E16A1B" w:rsidP="00E16A1B">
            <w:r w:rsidRPr="00E16A1B">
              <w:t xml:space="preserve">Замъглено </w:t>
            </w:r>
            <w:r w:rsidRPr="00E16A1B">
              <w:lastRenderedPageBreak/>
              <w:t>виждане, конюнкти</w:t>
            </w:r>
            <w:r w:rsidRPr="00E16A1B">
              <w:softHyphen/>
              <w:t>вит</w:t>
            </w:r>
            <w:r w:rsidRPr="00E16A1B">
              <w:rPr>
                <w:vertAlign w:val="superscript"/>
              </w:rPr>
              <w:t>4</w:t>
            </w:r>
          </w:p>
        </w:tc>
        <w:tc>
          <w:tcPr>
            <w:tcW w:w="1442" w:type="dxa"/>
          </w:tcPr>
          <w:p w14:paraId="7FA11497" w14:textId="7084762A" w:rsidR="00E16A1B" w:rsidRPr="00E16A1B" w:rsidRDefault="00E16A1B" w:rsidP="00E16A1B">
            <w:r w:rsidRPr="00E16A1B">
              <w:lastRenderedPageBreak/>
              <w:t>Кръвоизлив в окото</w:t>
            </w:r>
            <w:r w:rsidRPr="00E16A1B">
              <w:rPr>
                <w:vertAlign w:val="superscript"/>
              </w:rPr>
              <w:t>4</w:t>
            </w:r>
          </w:p>
        </w:tc>
        <w:tc>
          <w:tcPr>
            <w:tcW w:w="1694" w:type="dxa"/>
          </w:tcPr>
          <w:p w14:paraId="619FDDDD" w14:textId="24B62C29" w:rsidR="00E16A1B" w:rsidRPr="00E16A1B" w:rsidRDefault="00E16A1B" w:rsidP="00E16A1B">
            <w:r w:rsidRPr="00E16A1B">
              <w:t>Ретинална артерия</w:t>
            </w:r>
            <w:r w:rsidRPr="00E16A1B">
              <w:rPr>
                <w:vertAlign w:val="superscript"/>
              </w:rPr>
              <w:t>4</w:t>
            </w:r>
            <w:r w:rsidRPr="00E16A1B">
              <w:t xml:space="preserve"> или </w:t>
            </w:r>
            <w:r w:rsidRPr="00E16A1B">
              <w:lastRenderedPageBreak/>
              <w:t>венозна оклузия</w:t>
            </w:r>
            <w:r w:rsidRPr="00E16A1B">
              <w:rPr>
                <w:vertAlign w:val="superscript"/>
              </w:rPr>
              <w:t>4</w:t>
            </w:r>
          </w:p>
        </w:tc>
        <w:tc>
          <w:tcPr>
            <w:tcW w:w="975" w:type="dxa"/>
          </w:tcPr>
          <w:p w14:paraId="4D0F4E9C" w14:textId="77777777" w:rsidR="00E16A1B" w:rsidRPr="00E16A1B" w:rsidRDefault="00E16A1B" w:rsidP="00E16A1B"/>
        </w:tc>
      </w:tr>
      <w:tr w:rsidR="00E16A1B" w14:paraId="5827E6E0" w14:textId="77777777" w:rsidTr="00E16A1B">
        <w:tc>
          <w:tcPr>
            <w:tcW w:w="1470" w:type="dxa"/>
          </w:tcPr>
          <w:p w14:paraId="5A45C351" w14:textId="7BC8E0F4" w:rsidR="00E16A1B" w:rsidRPr="00E16A1B" w:rsidRDefault="00E16A1B" w:rsidP="00E16A1B">
            <w:r w:rsidRPr="00E16A1B">
              <w:rPr>
                <w:b/>
                <w:bCs/>
              </w:rPr>
              <w:t xml:space="preserve">Нарушения на ухото </w:t>
            </w:r>
            <w:r w:rsidRPr="00E16A1B">
              <w:rPr>
                <w:i/>
                <w:iCs/>
              </w:rPr>
              <w:t xml:space="preserve">и </w:t>
            </w:r>
            <w:r w:rsidRPr="00E16A1B">
              <w:rPr>
                <w:b/>
                <w:bCs/>
              </w:rPr>
              <w:t>лабиринта</w:t>
            </w:r>
          </w:p>
        </w:tc>
        <w:tc>
          <w:tcPr>
            <w:tcW w:w="1208" w:type="dxa"/>
          </w:tcPr>
          <w:p w14:paraId="4162E5B9" w14:textId="77777777" w:rsidR="00E16A1B" w:rsidRPr="00E16A1B" w:rsidRDefault="00E16A1B" w:rsidP="00E16A1B"/>
        </w:tc>
        <w:tc>
          <w:tcPr>
            <w:tcW w:w="1461" w:type="dxa"/>
          </w:tcPr>
          <w:p w14:paraId="0A13C83F" w14:textId="77777777" w:rsidR="00E16A1B" w:rsidRPr="00E16A1B" w:rsidRDefault="00E16A1B" w:rsidP="00E16A1B"/>
        </w:tc>
        <w:tc>
          <w:tcPr>
            <w:tcW w:w="1326" w:type="dxa"/>
          </w:tcPr>
          <w:p w14:paraId="33F5CACA" w14:textId="646AFC74" w:rsidR="00E16A1B" w:rsidRPr="00E16A1B" w:rsidRDefault="00E16A1B" w:rsidP="00E16A1B">
            <w:r w:rsidRPr="00E16A1B">
              <w:t>Тинитус, намаление на слуха</w:t>
            </w:r>
            <w:r w:rsidRPr="00E16A1B">
              <w:rPr>
                <w:vertAlign w:val="superscript"/>
              </w:rPr>
              <w:t>1</w:t>
            </w:r>
          </w:p>
        </w:tc>
        <w:tc>
          <w:tcPr>
            <w:tcW w:w="1442" w:type="dxa"/>
          </w:tcPr>
          <w:p w14:paraId="7771802B" w14:textId="77777777" w:rsidR="00E16A1B" w:rsidRPr="00E16A1B" w:rsidRDefault="00E16A1B" w:rsidP="00E16A1B"/>
        </w:tc>
        <w:tc>
          <w:tcPr>
            <w:tcW w:w="1694" w:type="dxa"/>
          </w:tcPr>
          <w:p w14:paraId="584EFB30" w14:textId="77777777" w:rsidR="00E16A1B" w:rsidRPr="00E16A1B" w:rsidRDefault="00E16A1B" w:rsidP="00E16A1B"/>
        </w:tc>
        <w:tc>
          <w:tcPr>
            <w:tcW w:w="975" w:type="dxa"/>
          </w:tcPr>
          <w:p w14:paraId="69074D28" w14:textId="77777777" w:rsidR="00E16A1B" w:rsidRPr="00E16A1B" w:rsidRDefault="00E16A1B" w:rsidP="00E16A1B"/>
        </w:tc>
      </w:tr>
      <w:tr w:rsidR="00E16A1B" w14:paraId="12EA3926" w14:textId="77777777" w:rsidTr="00E16A1B">
        <w:tc>
          <w:tcPr>
            <w:tcW w:w="1470" w:type="dxa"/>
          </w:tcPr>
          <w:p w14:paraId="0DD0F612" w14:textId="7763EC3E" w:rsidR="00E16A1B" w:rsidRPr="00E16A1B" w:rsidRDefault="00E16A1B" w:rsidP="00E16A1B">
            <w:r w:rsidRPr="00E16A1B">
              <w:rPr>
                <w:b/>
                <w:bCs/>
              </w:rPr>
              <w:t>Сърдечни нарушения</w:t>
            </w:r>
          </w:p>
        </w:tc>
        <w:tc>
          <w:tcPr>
            <w:tcW w:w="1208" w:type="dxa"/>
          </w:tcPr>
          <w:p w14:paraId="247CCA16" w14:textId="77777777" w:rsidR="00E16A1B" w:rsidRPr="00E16A1B" w:rsidRDefault="00E16A1B" w:rsidP="00E16A1B"/>
        </w:tc>
        <w:tc>
          <w:tcPr>
            <w:tcW w:w="1461" w:type="dxa"/>
          </w:tcPr>
          <w:p w14:paraId="626174A6" w14:textId="4F6AFB43" w:rsidR="00E16A1B" w:rsidRPr="00E16A1B" w:rsidRDefault="00E16A1B" w:rsidP="00E16A1B">
            <w:r w:rsidRPr="00E16A1B">
              <w:t>Миокарден инфаркт</w:t>
            </w:r>
            <w:r w:rsidRPr="00E16A1B">
              <w:rPr>
                <w:vertAlign w:val="superscript"/>
              </w:rPr>
              <w:t>1</w:t>
            </w:r>
          </w:p>
        </w:tc>
        <w:tc>
          <w:tcPr>
            <w:tcW w:w="1326" w:type="dxa"/>
            <w:vAlign w:val="bottom"/>
          </w:tcPr>
          <w:p w14:paraId="4FC4E928" w14:textId="5636132E" w:rsidR="00E16A1B" w:rsidRPr="00E16A1B" w:rsidRDefault="00E16A1B" w:rsidP="00E16A1B">
            <w:r w:rsidRPr="00E16A1B">
              <w:t>Сърдечна недоста</w:t>
            </w:r>
            <w:r w:rsidRPr="00E16A1B">
              <w:softHyphen/>
              <w:t>тъчност, палпитации, тахикардия</w:t>
            </w:r>
          </w:p>
        </w:tc>
        <w:tc>
          <w:tcPr>
            <w:tcW w:w="1442" w:type="dxa"/>
          </w:tcPr>
          <w:p w14:paraId="5031901A" w14:textId="738A9D61" w:rsidR="00E16A1B" w:rsidRPr="00E16A1B" w:rsidRDefault="00E16A1B" w:rsidP="00E16A1B">
            <w:r w:rsidRPr="00E16A1B">
              <w:t>Аритмия</w:t>
            </w:r>
            <w:r w:rsidRPr="00E16A1B">
              <w:rPr>
                <w:vertAlign w:val="superscript"/>
              </w:rPr>
              <w:t>4</w:t>
            </w:r>
          </w:p>
        </w:tc>
        <w:tc>
          <w:tcPr>
            <w:tcW w:w="1694" w:type="dxa"/>
          </w:tcPr>
          <w:p w14:paraId="187216DB" w14:textId="77777777" w:rsidR="00E16A1B" w:rsidRPr="00E16A1B" w:rsidRDefault="00E16A1B" w:rsidP="00E16A1B"/>
        </w:tc>
        <w:tc>
          <w:tcPr>
            <w:tcW w:w="975" w:type="dxa"/>
          </w:tcPr>
          <w:p w14:paraId="6BE38821" w14:textId="77777777" w:rsidR="00E16A1B" w:rsidRPr="00E16A1B" w:rsidRDefault="00E16A1B" w:rsidP="00E16A1B"/>
        </w:tc>
      </w:tr>
      <w:tr w:rsidR="00E16A1B" w14:paraId="7E48299C" w14:textId="77777777" w:rsidTr="00E16A1B">
        <w:tc>
          <w:tcPr>
            <w:tcW w:w="1470" w:type="dxa"/>
          </w:tcPr>
          <w:p w14:paraId="3E9F34A8" w14:textId="27C491FE" w:rsidR="00E16A1B" w:rsidRPr="00E16A1B" w:rsidRDefault="00E16A1B" w:rsidP="00E16A1B">
            <w:r w:rsidRPr="00E16A1B">
              <w:rPr>
                <w:b/>
                <w:bCs/>
              </w:rPr>
              <w:t>Съдови нарушения</w:t>
            </w:r>
          </w:p>
        </w:tc>
        <w:tc>
          <w:tcPr>
            <w:tcW w:w="1208" w:type="dxa"/>
            <w:vAlign w:val="bottom"/>
          </w:tcPr>
          <w:p w14:paraId="7CB3E04D" w14:textId="3B218B93" w:rsidR="00E16A1B" w:rsidRPr="00E16A1B" w:rsidRDefault="00E16A1B" w:rsidP="00E16A1B">
            <w:r w:rsidRPr="00E16A1B">
              <w:t>Хипер</w:t>
            </w:r>
            <w:r w:rsidRPr="00E16A1B">
              <w:softHyphen/>
              <w:t>тония</w:t>
            </w:r>
            <w:r w:rsidRPr="00E16A1B">
              <w:rPr>
                <w:vertAlign w:val="superscript"/>
              </w:rPr>
              <w:t>1</w:t>
            </w:r>
            <w:r w:rsidRPr="00E16A1B">
              <w:t xml:space="preserve"> (включ</w:t>
            </w:r>
            <w:r w:rsidRPr="00E16A1B">
              <w:softHyphen/>
              <w:t>ително влошаване на съществу</w:t>
            </w:r>
            <w:r w:rsidRPr="00E16A1B">
              <w:softHyphen/>
              <w:t>ваща хипер</w:t>
            </w:r>
            <w:r w:rsidRPr="00E16A1B">
              <w:softHyphen/>
              <w:t>тония)</w:t>
            </w:r>
          </w:p>
        </w:tc>
        <w:tc>
          <w:tcPr>
            <w:tcW w:w="1461" w:type="dxa"/>
          </w:tcPr>
          <w:p w14:paraId="1BB0F0EC" w14:textId="77777777" w:rsidR="00E16A1B" w:rsidRPr="00E16A1B" w:rsidRDefault="00E16A1B" w:rsidP="00E16A1B"/>
        </w:tc>
        <w:tc>
          <w:tcPr>
            <w:tcW w:w="1326" w:type="dxa"/>
          </w:tcPr>
          <w:p w14:paraId="6E174674" w14:textId="77777777" w:rsidR="00E16A1B" w:rsidRPr="00E16A1B" w:rsidRDefault="00E16A1B" w:rsidP="00E16A1B"/>
        </w:tc>
        <w:tc>
          <w:tcPr>
            <w:tcW w:w="1442" w:type="dxa"/>
          </w:tcPr>
          <w:p w14:paraId="0DF6BD3D" w14:textId="10F45920" w:rsidR="00E16A1B" w:rsidRPr="00E16A1B" w:rsidRDefault="00E16A1B" w:rsidP="00E16A1B">
            <w:r w:rsidRPr="00E16A1B">
              <w:t>Белодробен емболизъм</w:t>
            </w:r>
            <w:r w:rsidRPr="00E16A1B">
              <w:rPr>
                <w:vertAlign w:val="superscript"/>
              </w:rPr>
              <w:t>4</w:t>
            </w:r>
            <w:r w:rsidRPr="00E16A1B">
              <w:t>, зачервявания</w:t>
            </w:r>
          </w:p>
        </w:tc>
        <w:tc>
          <w:tcPr>
            <w:tcW w:w="1694" w:type="dxa"/>
          </w:tcPr>
          <w:p w14:paraId="4DC6929E" w14:textId="090BE87C" w:rsidR="00E16A1B" w:rsidRPr="00E16A1B" w:rsidRDefault="00E16A1B" w:rsidP="00E16A1B">
            <w:r w:rsidRPr="00E16A1B">
              <w:t>Васкулит</w:t>
            </w:r>
            <w:r w:rsidRPr="00E16A1B">
              <w:rPr>
                <w:vertAlign w:val="superscript"/>
              </w:rPr>
              <w:t>4</w:t>
            </w:r>
          </w:p>
        </w:tc>
        <w:tc>
          <w:tcPr>
            <w:tcW w:w="975" w:type="dxa"/>
          </w:tcPr>
          <w:p w14:paraId="55F39FD9" w14:textId="77777777" w:rsidR="00E16A1B" w:rsidRPr="00E16A1B" w:rsidRDefault="00E16A1B" w:rsidP="00E16A1B"/>
        </w:tc>
      </w:tr>
      <w:tr w:rsidR="00E16A1B" w14:paraId="5514382A" w14:textId="77777777" w:rsidTr="00E16A1B">
        <w:tc>
          <w:tcPr>
            <w:tcW w:w="1470" w:type="dxa"/>
            <w:vAlign w:val="bottom"/>
          </w:tcPr>
          <w:p w14:paraId="31714773" w14:textId="28E297F1" w:rsidR="00E16A1B" w:rsidRPr="00E16A1B" w:rsidRDefault="00E16A1B" w:rsidP="00E16A1B">
            <w:r w:rsidRPr="00E16A1B">
              <w:rPr>
                <w:b/>
                <w:bCs/>
              </w:rPr>
              <w:t>Респираторн и, гръдни и медиастинал ни нарушения</w:t>
            </w:r>
          </w:p>
        </w:tc>
        <w:tc>
          <w:tcPr>
            <w:tcW w:w="1208" w:type="dxa"/>
          </w:tcPr>
          <w:p w14:paraId="61CED154" w14:textId="77777777" w:rsidR="00E16A1B" w:rsidRPr="00E16A1B" w:rsidRDefault="00E16A1B" w:rsidP="00E16A1B"/>
        </w:tc>
        <w:tc>
          <w:tcPr>
            <w:tcW w:w="1461" w:type="dxa"/>
          </w:tcPr>
          <w:p w14:paraId="56417974" w14:textId="17EBC98D" w:rsidR="00E16A1B" w:rsidRPr="00E16A1B" w:rsidRDefault="00E16A1B" w:rsidP="00E16A1B">
            <w:r w:rsidRPr="00E16A1B">
              <w:t>Ринит, кашлица, диспнея</w:t>
            </w:r>
            <w:r w:rsidRPr="00E16A1B">
              <w:rPr>
                <w:vertAlign w:val="superscript"/>
              </w:rPr>
              <w:t>1</w:t>
            </w:r>
          </w:p>
        </w:tc>
        <w:tc>
          <w:tcPr>
            <w:tcW w:w="1326" w:type="dxa"/>
          </w:tcPr>
          <w:p w14:paraId="28DD2D3C" w14:textId="4B9FE743" w:rsidR="00E16A1B" w:rsidRPr="00E16A1B" w:rsidRDefault="00E16A1B" w:rsidP="00E16A1B">
            <w:r w:rsidRPr="00E16A1B">
              <w:t>Бронхо- спазъм</w:t>
            </w:r>
            <w:r w:rsidRPr="00E16A1B">
              <w:rPr>
                <w:vertAlign w:val="superscript"/>
              </w:rPr>
              <w:t>4</w:t>
            </w:r>
          </w:p>
        </w:tc>
        <w:tc>
          <w:tcPr>
            <w:tcW w:w="1442" w:type="dxa"/>
          </w:tcPr>
          <w:p w14:paraId="481D2552" w14:textId="5077C24A" w:rsidR="00E16A1B" w:rsidRPr="00E16A1B" w:rsidRDefault="00E16A1B" w:rsidP="00E16A1B">
            <w:r w:rsidRPr="00E16A1B">
              <w:t>Пневмонит</w:t>
            </w:r>
            <w:r w:rsidRPr="00E16A1B">
              <w:rPr>
                <w:vertAlign w:val="superscript"/>
              </w:rPr>
              <w:t>4</w:t>
            </w:r>
          </w:p>
        </w:tc>
        <w:tc>
          <w:tcPr>
            <w:tcW w:w="1694" w:type="dxa"/>
          </w:tcPr>
          <w:p w14:paraId="212DA26B" w14:textId="77777777" w:rsidR="00E16A1B" w:rsidRPr="00E16A1B" w:rsidRDefault="00E16A1B" w:rsidP="00E16A1B"/>
        </w:tc>
        <w:tc>
          <w:tcPr>
            <w:tcW w:w="975" w:type="dxa"/>
          </w:tcPr>
          <w:p w14:paraId="6EBC9E5D" w14:textId="77777777" w:rsidR="00E16A1B" w:rsidRPr="00E16A1B" w:rsidRDefault="00E16A1B" w:rsidP="00E16A1B"/>
        </w:tc>
      </w:tr>
      <w:tr w:rsidR="00E16A1B" w14:paraId="7FD8C438" w14:textId="77777777" w:rsidTr="00E16A1B">
        <w:tc>
          <w:tcPr>
            <w:tcW w:w="1470" w:type="dxa"/>
          </w:tcPr>
          <w:p w14:paraId="03BB9022" w14:textId="1D657FA1" w:rsidR="00E16A1B" w:rsidRPr="00E16A1B" w:rsidRDefault="00E16A1B" w:rsidP="00E16A1B">
            <w:r w:rsidRPr="00E16A1B">
              <w:rPr>
                <w:b/>
                <w:bCs/>
              </w:rPr>
              <w:t>Стомашно- чревни нарушения</w:t>
            </w:r>
          </w:p>
        </w:tc>
        <w:tc>
          <w:tcPr>
            <w:tcW w:w="1208" w:type="dxa"/>
          </w:tcPr>
          <w:p w14:paraId="4D9518E8" w14:textId="77777777" w:rsidR="00E16A1B" w:rsidRPr="00E16A1B" w:rsidRDefault="00E16A1B" w:rsidP="00E16A1B"/>
        </w:tc>
        <w:tc>
          <w:tcPr>
            <w:tcW w:w="1461" w:type="dxa"/>
          </w:tcPr>
          <w:p w14:paraId="6BE94ABB" w14:textId="59DE08CC" w:rsidR="00E16A1B" w:rsidRPr="00E16A1B" w:rsidRDefault="00E16A1B" w:rsidP="00E16A1B">
            <w:r w:rsidRPr="00E16A1B">
              <w:t>Гадене</w:t>
            </w:r>
            <w:r w:rsidRPr="00E16A1B">
              <w:rPr>
                <w:vertAlign w:val="superscript"/>
              </w:rPr>
              <w:t>4</w:t>
            </w:r>
            <w:r w:rsidRPr="00E16A1B">
              <w:t>, болка в корема, диария, диспепсия, флатуленция, повръщане</w:t>
            </w:r>
            <w:r w:rsidRPr="00E16A1B">
              <w:rPr>
                <w:vertAlign w:val="superscript"/>
              </w:rPr>
              <w:t>1</w:t>
            </w:r>
            <w:r w:rsidRPr="00E16A1B">
              <w:t>, дисфагия</w:t>
            </w:r>
            <w:r w:rsidRPr="00E16A1B">
              <w:rPr>
                <w:vertAlign w:val="superscript"/>
              </w:rPr>
              <w:t>1</w:t>
            </w:r>
          </w:p>
        </w:tc>
        <w:tc>
          <w:tcPr>
            <w:tcW w:w="1326" w:type="dxa"/>
            <w:vAlign w:val="bottom"/>
          </w:tcPr>
          <w:p w14:paraId="6FE4C897" w14:textId="6E8E9DC3" w:rsidR="00E16A1B" w:rsidRPr="00E16A1B" w:rsidRDefault="00E16A1B" w:rsidP="00E16A1B">
            <w:pPr>
              <w:rPr>
                <w:lang w:val="en-US"/>
              </w:rPr>
            </w:pPr>
            <w:r w:rsidRPr="00E16A1B">
              <w:t>Запек, гастрит, стоматит, стомашно- чревно възпале</w:t>
            </w:r>
            <w:r w:rsidRPr="00E16A1B">
              <w:softHyphen/>
              <w:t>ние (включи</w:t>
            </w:r>
            <w:r w:rsidRPr="00E16A1B">
              <w:softHyphen/>
              <w:t>телно влошаване на съществу</w:t>
            </w:r>
            <w:r w:rsidRPr="00E16A1B">
              <w:softHyphen/>
              <w:t>ващо</w:t>
            </w:r>
            <w:r w:rsidRPr="00E16A1B">
              <w:rPr>
                <w:lang w:val="en-US"/>
              </w:rPr>
              <w:t xml:space="preserve"> </w:t>
            </w:r>
            <w:r w:rsidRPr="00E16A1B">
              <w:t xml:space="preserve">стомашно- чревно възпаление) , </w:t>
            </w:r>
            <w:r w:rsidRPr="00E16A1B">
              <w:lastRenderedPageBreak/>
              <w:t>оригване</w:t>
            </w:r>
          </w:p>
        </w:tc>
        <w:tc>
          <w:tcPr>
            <w:tcW w:w="1442" w:type="dxa"/>
            <w:vAlign w:val="bottom"/>
          </w:tcPr>
          <w:p w14:paraId="36F02EFC" w14:textId="47050E3F" w:rsidR="00E16A1B" w:rsidRPr="00E16A1B" w:rsidRDefault="00E16A1B" w:rsidP="00E16A1B">
            <w:pPr>
              <w:rPr>
                <w:lang w:val="en-US"/>
              </w:rPr>
            </w:pPr>
            <w:r w:rsidRPr="00E16A1B">
              <w:lastRenderedPageBreak/>
              <w:t>Стомашно- чревен кръвоизлив</w:t>
            </w:r>
            <w:r w:rsidRPr="00E16A1B">
              <w:rPr>
                <w:vertAlign w:val="superscript"/>
              </w:rPr>
              <w:t>4</w:t>
            </w:r>
            <w:r w:rsidRPr="00E16A1B">
              <w:t>, дуоденална язва, стомашна язва, езофагеална язва, язва на тънкото и дебелото черво, чревна перфорация,</w:t>
            </w:r>
            <w:r w:rsidRPr="00E16A1B">
              <w:rPr>
                <w:lang w:val="en-US"/>
              </w:rPr>
              <w:t xml:space="preserve"> </w:t>
            </w:r>
            <w:r w:rsidRPr="00E16A1B">
              <w:t xml:space="preserve">езофагит, </w:t>
            </w:r>
            <w:r w:rsidRPr="00E16A1B">
              <w:lastRenderedPageBreak/>
              <w:t>мелена; панкреатит, колит</w:t>
            </w:r>
            <w:r w:rsidRPr="00E16A1B">
              <w:rPr>
                <w:vertAlign w:val="superscript"/>
              </w:rPr>
              <w:t>4</w:t>
            </w:r>
          </w:p>
        </w:tc>
        <w:tc>
          <w:tcPr>
            <w:tcW w:w="1694" w:type="dxa"/>
            <w:textDirection w:val="btLr"/>
          </w:tcPr>
          <w:p w14:paraId="37474334" w14:textId="77777777" w:rsidR="00E16A1B" w:rsidRPr="00E16A1B" w:rsidRDefault="00E16A1B" w:rsidP="00E16A1B"/>
        </w:tc>
        <w:tc>
          <w:tcPr>
            <w:tcW w:w="975" w:type="dxa"/>
          </w:tcPr>
          <w:p w14:paraId="43E9EA92" w14:textId="77777777" w:rsidR="00E16A1B" w:rsidRPr="00E16A1B" w:rsidRDefault="00E16A1B" w:rsidP="00E16A1B"/>
        </w:tc>
      </w:tr>
      <w:tr w:rsidR="00E16A1B" w14:paraId="71805E1D" w14:textId="77777777" w:rsidTr="00E16A1B">
        <w:tc>
          <w:tcPr>
            <w:tcW w:w="1470" w:type="dxa"/>
          </w:tcPr>
          <w:p w14:paraId="39EC88BD" w14:textId="4B6AEB84" w:rsidR="00E16A1B" w:rsidRPr="00E16A1B" w:rsidRDefault="00E16A1B" w:rsidP="00E16A1B">
            <w:r w:rsidRPr="00E16A1B">
              <w:rPr>
                <w:b/>
                <w:bCs/>
              </w:rPr>
              <w:t>Хепатобили арни нарушения</w:t>
            </w:r>
          </w:p>
        </w:tc>
        <w:tc>
          <w:tcPr>
            <w:tcW w:w="1208" w:type="dxa"/>
          </w:tcPr>
          <w:p w14:paraId="42467FD2" w14:textId="77777777" w:rsidR="00E16A1B" w:rsidRPr="00E16A1B" w:rsidRDefault="00E16A1B" w:rsidP="00E16A1B"/>
        </w:tc>
        <w:tc>
          <w:tcPr>
            <w:tcW w:w="1461" w:type="dxa"/>
          </w:tcPr>
          <w:p w14:paraId="25A267DE" w14:textId="77777777" w:rsidR="00E16A1B" w:rsidRPr="00E16A1B" w:rsidRDefault="00E16A1B" w:rsidP="00E16A1B"/>
        </w:tc>
        <w:tc>
          <w:tcPr>
            <w:tcW w:w="1326" w:type="dxa"/>
          </w:tcPr>
          <w:p w14:paraId="62777B8D" w14:textId="5FD9FC98" w:rsidR="00E16A1B" w:rsidRPr="00E16A1B" w:rsidRDefault="00E16A1B" w:rsidP="00E16A1B">
            <w:r w:rsidRPr="00E16A1B">
              <w:t>Абнормна черно</w:t>
            </w:r>
            <w:r w:rsidRPr="00E16A1B">
              <w:softHyphen/>
              <w:t>дробна функция, повишаване на черно</w:t>
            </w:r>
            <w:r w:rsidRPr="00E16A1B">
              <w:softHyphen/>
              <w:t>дробните ензими (включител но АСАТ и АЛАТ)</w:t>
            </w:r>
          </w:p>
        </w:tc>
        <w:tc>
          <w:tcPr>
            <w:tcW w:w="1442" w:type="dxa"/>
          </w:tcPr>
          <w:p w14:paraId="1CCBAA24" w14:textId="48BC44A9" w:rsidR="00E16A1B" w:rsidRPr="00E16A1B" w:rsidRDefault="00E16A1B" w:rsidP="00E16A1B">
            <w:r w:rsidRPr="00E16A1B">
              <w:t>Хепатит</w:t>
            </w:r>
            <w:r w:rsidRPr="00E16A1B">
              <w:rPr>
                <w:vertAlign w:val="superscript"/>
              </w:rPr>
              <w:t>4</w:t>
            </w:r>
          </w:p>
        </w:tc>
        <w:tc>
          <w:tcPr>
            <w:tcW w:w="1694" w:type="dxa"/>
            <w:vAlign w:val="bottom"/>
          </w:tcPr>
          <w:p w14:paraId="4C4AD95B" w14:textId="79A2E161" w:rsidR="00E16A1B" w:rsidRPr="00E16A1B" w:rsidRDefault="00E16A1B" w:rsidP="00E16A1B">
            <w:r w:rsidRPr="00E16A1B">
              <w:t>Чернодробна недостатъчност</w:t>
            </w:r>
            <w:r w:rsidRPr="00E16A1B">
              <w:rPr>
                <w:vertAlign w:val="superscript"/>
              </w:rPr>
              <w:t xml:space="preserve">4 </w:t>
            </w:r>
            <w:r w:rsidRPr="00E16A1B">
              <w:t>(понякога фатална или изискваща чернодробна трансплан- тация), фулминантен хепатит</w:t>
            </w:r>
            <w:r w:rsidRPr="00E16A1B">
              <w:rPr>
                <w:vertAlign w:val="superscript"/>
              </w:rPr>
              <w:t>4</w:t>
            </w:r>
            <w:r w:rsidRPr="00E16A1B">
              <w:t xml:space="preserve"> (някои с фатален изход), чернодробна некроза</w:t>
            </w:r>
            <w:r w:rsidRPr="00E16A1B">
              <w:rPr>
                <w:vertAlign w:val="superscript"/>
              </w:rPr>
              <w:t>4</w:t>
            </w:r>
            <w:r w:rsidRPr="00E16A1B">
              <w:t>, холестаза</w:t>
            </w:r>
            <w:r w:rsidRPr="00E16A1B">
              <w:rPr>
                <w:vertAlign w:val="superscript"/>
              </w:rPr>
              <w:t>4</w:t>
            </w:r>
            <w:r w:rsidRPr="00E16A1B">
              <w:t>, холестатичен хепатит</w:t>
            </w:r>
            <w:r w:rsidRPr="00E16A1B">
              <w:rPr>
                <w:vertAlign w:val="superscript"/>
              </w:rPr>
              <w:t>4</w:t>
            </w:r>
            <w:r w:rsidRPr="00E16A1B">
              <w:t>, жълтеница</w:t>
            </w:r>
            <w:r w:rsidRPr="00E16A1B">
              <w:rPr>
                <w:vertAlign w:val="superscript"/>
              </w:rPr>
              <w:t>4</w:t>
            </w:r>
          </w:p>
        </w:tc>
        <w:tc>
          <w:tcPr>
            <w:tcW w:w="975" w:type="dxa"/>
          </w:tcPr>
          <w:p w14:paraId="6E814D53" w14:textId="77777777" w:rsidR="00E16A1B" w:rsidRPr="00E16A1B" w:rsidRDefault="00E16A1B" w:rsidP="00E16A1B"/>
        </w:tc>
      </w:tr>
      <w:tr w:rsidR="00E16A1B" w14:paraId="5156E643" w14:textId="77777777" w:rsidTr="00E16A1B">
        <w:tc>
          <w:tcPr>
            <w:tcW w:w="1470" w:type="dxa"/>
          </w:tcPr>
          <w:p w14:paraId="64A76D34" w14:textId="78AD4C35" w:rsidR="00E16A1B" w:rsidRPr="00E16A1B" w:rsidRDefault="00E16A1B" w:rsidP="00E16A1B">
            <w:r w:rsidRPr="00E16A1B">
              <w:rPr>
                <w:b/>
                <w:bCs/>
              </w:rPr>
              <w:t>Нарушения на кожата и подкожната тъкан</w:t>
            </w:r>
          </w:p>
        </w:tc>
        <w:tc>
          <w:tcPr>
            <w:tcW w:w="1208" w:type="dxa"/>
          </w:tcPr>
          <w:p w14:paraId="061548AC" w14:textId="77777777" w:rsidR="00E16A1B" w:rsidRPr="00E16A1B" w:rsidRDefault="00E16A1B" w:rsidP="00E16A1B"/>
        </w:tc>
        <w:tc>
          <w:tcPr>
            <w:tcW w:w="1461" w:type="dxa"/>
          </w:tcPr>
          <w:p w14:paraId="7991ADB8" w14:textId="2B5184C4" w:rsidR="00E16A1B" w:rsidRPr="00E16A1B" w:rsidRDefault="00E16A1B" w:rsidP="00E16A1B">
            <w:r w:rsidRPr="00E16A1B">
              <w:t>Обрив, сърбеж (включва генерализи</w:t>
            </w:r>
            <w:r w:rsidRPr="00E16A1B">
              <w:softHyphen/>
              <w:t>ран сърбеж)</w:t>
            </w:r>
          </w:p>
        </w:tc>
        <w:tc>
          <w:tcPr>
            <w:tcW w:w="1326" w:type="dxa"/>
          </w:tcPr>
          <w:p w14:paraId="64C277BC" w14:textId="715F2240" w:rsidR="00E16A1B" w:rsidRPr="00E16A1B" w:rsidRDefault="00E16A1B" w:rsidP="00E16A1B">
            <w:r w:rsidRPr="00E16A1B">
              <w:t>Уртикария, екхимози</w:t>
            </w:r>
            <w:r w:rsidRPr="00E16A1B">
              <w:rPr>
                <w:vertAlign w:val="superscript"/>
              </w:rPr>
              <w:t>4</w:t>
            </w:r>
          </w:p>
        </w:tc>
        <w:tc>
          <w:tcPr>
            <w:tcW w:w="1442" w:type="dxa"/>
          </w:tcPr>
          <w:p w14:paraId="137845EF" w14:textId="69B1E34A" w:rsidR="00E16A1B" w:rsidRPr="00E16A1B" w:rsidRDefault="00E16A1B" w:rsidP="00E16A1B">
            <w:r w:rsidRPr="00E16A1B">
              <w:t>Ангиоедем</w:t>
            </w:r>
            <w:r w:rsidRPr="00E16A1B">
              <w:rPr>
                <w:vertAlign w:val="superscript"/>
              </w:rPr>
              <w:t>4</w:t>
            </w:r>
            <w:r w:rsidRPr="00E16A1B">
              <w:t>, алопеция, фоточув- ствителност</w:t>
            </w:r>
          </w:p>
        </w:tc>
        <w:tc>
          <w:tcPr>
            <w:tcW w:w="1694" w:type="dxa"/>
            <w:vAlign w:val="bottom"/>
          </w:tcPr>
          <w:p w14:paraId="081FA51D" w14:textId="68697967" w:rsidR="00E16A1B" w:rsidRPr="00E16A1B" w:rsidRDefault="00E16A1B" w:rsidP="00E16A1B">
            <w:r w:rsidRPr="00E16A1B">
              <w:t>Ексфолиативен дерматит</w:t>
            </w:r>
            <w:r w:rsidRPr="00E16A1B">
              <w:rPr>
                <w:vertAlign w:val="superscript"/>
              </w:rPr>
              <w:t>4</w:t>
            </w:r>
            <w:r w:rsidRPr="00E16A1B">
              <w:t>, еритема мултиформе</w:t>
            </w:r>
            <w:r w:rsidRPr="00E16A1B">
              <w:rPr>
                <w:vertAlign w:val="superscript"/>
              </w:rPr>
              <w:t>4</w:t>
            </w:r>
            <w:r w:rsidRPr="00E16A1B">
              <w:t xml:space="preserve">, синдром на </w:t>
            </w:r>
            <w:r w:rsidRPr="00E16A1B">
              <w:rPr>
                <w:lang w:val="en-US"/>
              </w:rPr>
              <w:t>Stevens- Johnson</w:t>
            </w:r>
            <w:r w:rsidRPr="00E16A1B">
              <w:rPr>
                <w:vertAlign w:val="superscript"/>
                <w:lang w:val="en-US"/>
              </w:rPr>
              <w:t>4</w:t>
            </w:r>
            <w:r w:rsidRPr="00E16A1B">
              <w:rPr>
                <w:lang w:val="en-US"/>
              </w:rPr>
              <w:t xml:space="preserve">, </w:t>
            </w:r>
            <w:r w:rsidRPr="00E16A1B">
              <w:t>токсична епидермална некролиза</w:t>
            </w:r>
            <w:r w:rsidRPr="00E16A1B">
              <w:rPr>
                <w:vertAlign w:val="superscript"/>
              </w:rPr>
              <w:t>4</w:t>
            </w:r>
            <w:r w:rsidRPr="00E16A1B">
              <w:t xml:space="preserve">, лекарствена реакция с еозинофилия и системни симптоми </w:t>
            </w:r>
            <w:r w:rsidRPr="00E16A1B">
              <w:rPr>
                <w:lang w:val="en-US"/>
              </w:rPr>
              <w:t>(DRESS)</w:t>
            </w:r>
            <w:r w:rsidRPr="00E16A1B">
              <w:rPr>
                <w:vertAlign w:val="superscript"/>
                <w:lang w:val="en-US"/>
              </w:rPr>
              <w:t>4</w:t>
            </w:r>
            <w:r w:rsidRPr="00E16A1B">
              <w:rPr>
                <w:lang w:val="en-US"/>
              </w:rPr>
              <w:t xml:space="preserve">, </w:t>
            </w:r>
            <w:r w:rsidRPr="00E16A1B">
              <w:t xml:space="preserve">остра генерализирана екзантематозна пустулоза </w:t>
            </w:r>
            <w:r w:rsidRPr="00E16A1B">
              <w:rPr>
                <w:lang w:val="en-US"/>
              </w:rPr>
              <w:t>(AGEP)</w:t>
            </w:r>
            <w:r w:rsidRPr="00E16A1B">
              <w:rPr>
                <w:vertAlign w:val="superscript"/>
                <w:lang w:val="en-US"/>
              </w:rPr>
              <w:t>4</w:t>
            </w:r>
            <w:r w:rsidRPr="00E16A1B">
              <w:rPr>
                <w:lang w:val="en-US"/>
              </w:rPr>
              <w:t xml:space="preserve">, </w:t>
            </w:r>
            <w:r w:rsidRPr="00E16A1B">
              <w:t>булозен дерматит</w:t>
            </w:r>
            <w:r w:rsidRPr="00E16A1B">
              <w:rPr>
                <w:vertAlign w:val="superscript"/>
              </w:rPr>
              <w:t>4</w:t>
            </w:r>
          </w:p>
        </w:tc>
        <w:tc>
          <w:tcPr>
            <w:tcW w:w="975" w:type="dxa"/>
          </w:tcPr>
          <w:p w14:paraId="410E015B" w14:textId="77777777" w:rsidR="00E16A1B" w:rsidRPr="00E16A1B" w:rsidRDefault="00E16A1B" w:rsidP="00E16A1B"/>
        </w:tc>
      </w:tr>
      <w:tr w:rsidR="00E16A1B" w14:paraId="32FAD23C" w14:textId="77777777" w:rsidTr="00E16A1B">
        <w:tc>
          <w:tcPr>
            <w:tcW w:w="1470" w:type="dxa"/>
          </w:tcPr>
          <w:p w14:paraId="0DCC68E4" w14:textId="3163575C" w:rsidR="00E16A1B" w:rsidRPr="00E16A1B" w:rsidRDefault="00E16A1B" w:rsidP="00E16A1B">
            <w:r w:rsidRPr="00E16A1B">
              <w:rPr>
                <w:b/>
                <w:bCs/>
              </w:rPr>
              <w:t xml:space="preserve">Нарушения </w:t>
            </w:r>
            <w:r w:rsidRPr="00E16A1B">
              <w:rPr>
                <w:b/>
                <w:bCs/>
              </w:rPr>
              <w:lastRenderedPageBreak/>
              <w:t>на мускул но- скелетната система и съединители ата тъкан</w:t>
            </w:r>
          </w:p>
        </w:tc>
        <w:tc>
          <w:tcPr>
            <w:tcW w:w="1208" w:type="dxa"/>
          </w:tcPr>
          <w:p w14:paraId="75E0B06B" w14:textId="77777777" w:rsidR="00E16A1B" w:rsidRPr="00E16A1B" w:rsidRDefault="00E16A1B" w:rsidP="00E16A1B"/>
        </w:tc>
        <w:tc>
          <w:tcPr>
            <w:tcW w:w="1461" w:type="dxa"/>
          </w:tcPr>
          <w:p w14:paraId="47DCDE8C" w14:textId="4B1B3053" w:rsidR="00E16A1B" w:rsidRPr="00E16A1B" w:rsidRDefault="00E16A1B" w:rsidP="00E16A1B">
            <w:r w:rsidRPr="00E16A1B">
              <w:t>Атралгия</w:t>
            </w:r>
            <w:r w:rsidRPr="00E16A1B">
              <w:rPr>
                <w:vertAlign w:val="superscript"/>
              </w:rPr>
              <w:t>4</w:t>
            </w:r>
          </w:p>
        </w:tc>
        <w:tc>
          <w:tcPr>
            <w:tcW w:w="1326" w:type="dxa"/>
          </w:tcPr>
          <w:p w14:paraId="7F528D6D" w14:textId="6D19BA10" w:rsidR="00E16A1B" w:rsidRPr="00E16A1B" w:rsidRDefault="00E16A1B" w:rsidP="00E16A1B">
            <w:r w:rsidRPr="00E16A1B">
              <w:t xml:space="preserve">Мускулни </w:t>
            </w:r>
            <w:r w:rsidRPr="00E16A1B">
              <w:lastRenderedPageBreak/>
              <w:t>спазми (крампи по долните крайници)</w:t>
            </w:r>
          </w:p>
        </w:tc>
        <w:tc>
          <w:tcPr>
            <w:tcW w:w="1442" w:type="dxa"/>
          </w:tcPr>
          <w:p w14:paraId="1D08965F" w14:textId="77777777" w:rsidR="00E16A1B" w:rsidRPr="00E16A1B" w:rsidRDefault="00E16A1B" w:rsidP="00E16A1B"/>
        </w:tc>
        <w:tc>
          <w:tcPr>
            <w:tcW w:w="1694" w:type="dxa"/>
          </w:tcPr>
          <w:p w14:paraId="6D7D7315" w14:textId="0F03F6D2" w:rsidR="00E16A1B" w:rsidRPr="00E16A1B" w:rsidRDefault="00E16A1B" w:rsidP="00E16A1B">
            <w:r w:rsidRPr="00E16A1B">
              <w:t>МиозиТ</w:t>
            </w:r>
            <w:r w:rsidRPr="00E16A1B">
              <w:rPr>
                <w:vertAlign w:val="superscript"/>
              </w:rPr>
              <w:t>4</w:t>
            </w:r>
          </w:p>
        </w:tc>
        <w:tc>
          <w:tcPr>
            <w:tcW w:w="975" w:type="dxa"/>
          </w:tcPr>
          <w:p w14:paraId="00B4CBCB" w14:textId="77777777" w:rsidR="00E16A1B" w:rsidRPr="00E16A1B" w:rsidRDefault="00E16A1B" w:rsidP="00E16A1B"/>
        </w:tc>
      </w:tr>
      <w:tr w:rsidR="00E16A1B" w14:paraId="0936656C" w14:textId="77777777" w:rsidTr="00E16A1B">
        <w:tc>
          <w:tcPr>
            <w:tcW w:w="1470" w:type="dxa"/>
          </w:tcPr>
          <w:p w14:paraId="5B601712" w14:textId="26208545" w:rsidR="00E16A1B" w:rsidRPr="00E16A1B" w:rsidRDefault="00E16A1B" w:rsidP="00E16A1B">
            <w:r w:rsidRPr="00E16A1B">
              <w:rPr>
                <w:b/>
                <w:bCs/>
              </w:rPr>
              <w:t xml:space="preserve">Нарушения на бъбреците </w:t>
            </w:r>
            <w:r w:rsidRPr="00E16A1B">
              <w:rPr>
                <w:i/>
                <w:iCs/>
              </w:rPr>
              <w:t xml:space="preserve">и </w:t>
            </w:r>
            <w:r w:rsidRPr="00E16A1B">
              <w:rPr>
                <w:b/>
                <w:bCs/>
              </w:rPr>
              <w:t>пикочните пътища</w:t>
            </w:r>
          </w:p>
        </w:tc>
        <w:tc>
          <w:tcPr>
            <w:tcW w:w="1208" w:type="dxa"/>
          </w:tcPr>
          <w:p w14:paraId="1061F9A0" w14:textId="77777777" w:rsidR="00E16A1B" w:rsidRPr="00E16A1B" w:rsidRDefault="00E16A1B" w:rsidP="00E16A1B"/>
        </w:tc>
        <w:tc>
          <w:tcPr>
            <w:tcW w:w="1461" w:type="dxa"/>
          </w:tcPr>
          <w:p w14:paraId="19B23676" w14:textId="77777777" w:rsidR="00E16A1B" w:rsidRPr="00E16A1B" w:rsidRDefault="00E16A1B" w:rsidP="00E16A1B"/>
        </w:tc>
        <w:tc>
          <w:tcPr>
            <w:tcW w:w="1326" w:type="dxa"/>
          </w:tcPr>
          <w:p w14:paraId="64DFFD58" w14:textId="48A57DA2" w:rsidR="00E16A1B" w:rsidRPr="00E16A1B" w:rsidRDefault="00E16A1B" w:rsidP="00E16A1B">
            <w:r w:rsidRPr="00E16A1B">
              <w:t>Увеличение на креатинина в кръвта, увеличение на уреята в кръвта</w:t>
            </w:r>
          </w:p>
        </w:tc>
        <w:tc>
          <w:tcPr>
            <w:tcW w:w="1442" w:type="dxa"/>
          </w:tcPr>
          <w:p w14:paraId="000706D1" w14:textId="0FD19A54" w:rsidR="00E16A1B" w:rsidRPr="00E16A1B" w:rsidRDefault="00E16A1B" w:rsidP="00E16A1B">
            <w:r w:rsidRPr="00E16A1B">
              <w:t>Остра бъбречна недоста</w:t>
            </w:r>
            <w:r w:rsidRPr="00E16A1B">
              <w:softHyphen/>
              <w:t>тъчност</w:t>
            </w:r>
            <w:r w:rsidRPr="00E16A1B">
              <w:rPr>
                <w:vertAlign w:val="superscript"/>
              </w:rPr>
              <w:t>4</w:t>
            </w:r>
            <w:r w:rsidRPr="00E16A1B">
              <w:t>, хипо- натриемия</w:t>
            </w:r>
            <w:r w:rsidRPr="00E16A1B">
              <w:rPr>
                <w:vertAlign w:val="superscript"/>
              </w:rPr>
              <w:t>4</w:t>
            </w:r>
          </w:p>
        </w:tc>
        <w:tc>
          <w:tcPr>
            <w:tcW w:w="1694" w:type="dxa"/>
            <w:vAlign w:val="bottom"/>
          </w:tcPr>
          <w:p w14:paraId="771A4042" w14:textId="77777777" w:rsidR="00E16A1B" w:rsidRPr="00E16A1B" w:rsidRDefault="00E16A1B" w:rsidP="00E16A1B">
            <w:r w:rsidRPr="00E16A1B">
              <w:t>Тубулоинтерсти налеН нефрит</w:t>
            </w:r>
            <w:r w:rsidRPr="00E16A1B">
              <w:rPr>
                <w:vertAlign w:val="superscript"/>
              </w:rPr>
              <w:t>4</w:t>
            </w:r>
            <w:r w:rsidRPr="00E16A1B">
              <w:t>, нефротичен синдром</w:t>
            </w:r>
            <w:r w:rsidRPr="00E16A1B">
              <w:rPr>
                <w:vertAlign w:val="superscript"/>
              </w:rPr>
              <w:t>4</w:t>
            </w:r>
            <w:r w:rsidRPr="00E16A1B">
              <w:t>, гломеруло-</w:t>
            </w:r>
            <w:r w:rsidRPr="00E16A1B">
              <w:rPr>
                <w:i/>
                <w:iCs/>
              </w:rPr>
              <w:t xml:space="preserve"> </w:t>
            </w:r>
            <w:r w:rsidRPr="00E16A1B">
              <w:t>нефрит с</w:t>
            </w:r>
          </w:p>
          <w:p w14:paraId="45202993" w14:textId="77777777" w:rsidR="00E16A1B" w:rsidRPr="00E16A1B" w:rsidRDefault="00E16A1B" w:rsidP="00E16A1B">
            <w:r w:rsidRPr="00E16A1B">
              <w:t>минимални</w:t>
            </w:r>
          </w:p>
          <w:p w14:paraId="7DE7C125" w14:textId="77777777" w:rsidR="00E16A1B" w:rsidRPr="00E16A1B" w:rsidRDefault="00E16A1B" w:rsidP="00E16A1B"/>
          <w:p w14:paraId="289D3E58" w14:textId="3EE992FD" w:rsidR="00E16A1B" w:rsidRPr="00E16A1B" w:rsidRDefault="00E16A1B" w:rsidP="00E16A1B">
            <w:r w:rsidRPr="00E16A1B">
              <w:t>лезии</w:t>
            </w:r>
            <w:r w:rsidRPr="00E16A1B">
              <w:rPr>
                <w:vertAlign w:val="superscript"/>
              </w:rPr>
              <w:t>4</w:t>
            </w:r>
          </w:p>
        </w:tc>
        <w:tc>
          <w:tcPr>
            <w:tcW w:w="975" w:type="dxa"/>
            <w:vAlign w:val="center"/>
          </w:tcPr>
          <w:p w14:paraId="336D7536" w14:textId="77777777" w:rsidR="00E16A1B" w:rsidRPr="00E16A1B" w:rsidRDefault="00E16A1B" w:rsidP="00E16A1B"/>
        </w:tc>
      </w:tr>
      <w:tr w:rsidR="00E16A1B" w14:paraId="1DA5F5ED" w14:textId="77777777" w:rsidTr="00E16A1B">
        <w:tc>
          <w:tcPr>
            <w:tcW w:w="1470" w:type="dxa"/>
          </w:tcPr>
          <w:p w14:paraId="06DD9AAF" w14:textId="754F1D4F" w:rsidR="00E16A1B" w:rsidRPr="00E16A1B" w:rsidRDefault="00E16A1B" w:rsidP="00E16A1B">
            <w:r w:rsidRPr="00E16A1B">
              <w:rPr>
                <w:b/>
                <w:bCs/>
              </w:rPr>
              <w:t>Нарушения на възпроизвод и-телната система и гърдата</w:t>
            </w:r>
          </w:p>
        </w:tc>
        <w:tc>
          <w:tcPr>
            <w:tcW w:w="1208" w:type="dxa"/>
          </w:tcPr>
          <w:p w14:paraId="7E83D2C2" w14:textId="77777777" w:rsidR="00E16A1B" w:rsidRPr="00E16A1B" w:rsidRDefault="00E16A1B" w:rsidP="00E16A1B"/>
        </w:tc>
        <w:tc>
          <w:tcPr>
            <w:tcW w:w="1461" w:type="dxa"/>
          </w:tcPr>
          <w:p w14:paraId="22395C9B" w14:textId="77777777" w:rsidR="00E16A1B" w:rsidRPr="00E16A1B" w:rsidRDefault="00E16A1B" w:rsidP="00E16A1B"/>
        </w:tc>
        <w:tc>
          <w:tcPr>
            <w:tcW w:w="1326" w:type="dxa"/>
          </w:tcPr>
          <w:p w14:paraId="0DA2712A" w14:textId="77777777" w:rsidR="00E16A1B" w:rsidRPr="00E16A1B" w:rsidRDefault="00E16A1B" w:rsidP="00E16A1B"/>
        </w:tc>
        <w:tc>
          <w:tcPr>
            <w:tcW w:w="1442" w:type="dxa"/>
          </w:tcPr>
          <w:p w14:paraId="2BDC1D58" w14:textId="772462E5" w:rsidR="00E16A1B" w:rsidRPr="00E16A1B" w:rsidRDefault="00E16A1B" w:rsidP="00E16A1B">
            <w:r w:rsidRPr="00E16A1B">
              <w:t>Менструални нарушения</w:t>
            </w:r>
            <w:r w:rsidRPr="00E16A1B">
              <w:rPr>
                <w:vertAlign w:val="superscript"/>
              </w:rPr>
              <w:t>4</w:t>
            </w:r>
          </w:p>
        </w:tc>
        <w:tc>
          <w:tcPr>
            <w:tcW w:w="1694" w:type="dxa"/>
          </w:tcPr>
          <w:p w14:paraId="365E7E94" w14:textId="77777777" w:rsidR="00E16A1B" w:rsidRPr="00E16A1B" w:rsidRDefault="00E16A1B" w:rsidP="00E16A1B"/>
        </w:tc>
        <w:tc>
          <w:tcPr>
            <w:tcW w:w="975" w:type="dxa"/>
          </w:tcPr>
          <w:p w14:paraId="622AC3CA" w14:textId="49F2ED7E" w:rsidR="00E16A1B" w:rsidRPr="00E16A1B" w:rsidRDefault="00E16A1B" w:rsidP="00E16A1B">
            <w:r w:rsidRPr="00E16A1B">
              <w:t>Без</w:t>
            </w:r>
            <w:r w:rsidRPr="00E16A1B">
              <w:softHyphen/>
              <w:t>плодие (нама</w:t>
            </w:r>
            <w:r w:rsidRPr="00E16A1B">
              <w:softHyphen/>
              <w:t>лен ферти- литет при жени)</w:t>
            </w:r>
            <w:r w:rsidRPr="00E16A1B">
              <w:rPr>
                <w:vertAlign w:val="superscript"/>
              </w:rPr>
              <w:t>3</w:t>
            </w:r>
          </w:p>
        </w:tc>
      </w:tr>
      <w:tr w:rsidR="00E16A1B" w14:paraId="2D6A655D" w14:textId="77777777" w:rsidTr="00E16A1B">
        <w:tc>
          <w:tcPr>
            <w:tcW w:w="1470" w:type="dxa"/>
          </w:tcPr>
          <w:p w14:paraId="02D83AE6" w14:textId="078DCFD2" w:rsidR="00E16A1B" w:rsidRPr="00E16A1B" w:rsidRDefault="00E16A1B" w:rsidP="00E16A1B">
            <w:r w:rsidRPr="00E16A1B">
              <w:rPr>
                <w:b/>
                <w:bCs/>
              </w:rPr>
              <w:t>Общи нарушения н ефекти на мястото на приложение то</w:t>
            </w:r>
          </w:p>
        </w:tc>
        <w:tc>
          <w:tcPr>
            <w:tcW w:w="1208" w:type="dxa"/>
          </w:tcPr>
          <w:p w14:paraId="3C584D11" w14:textId="77777777" w:rsidR="00E16A1B" w:rsidRPr="00E16A1B" w:rsidRDefault="00E16A1B" w:rsidP="00E16A1B"/>
        </w:tc>
        <w:tc>
          <w:tcPr>
            <w:tcW w:w="1461" w:type="dxa"/>
          </w:tcPr>
          <w:p w14:paraId="229151E8" w14:textId="666A64FB" w:rsidR="00E16A1B" w:rsidRPr="00E16A1B" w:rsidRDefault="00E16A1B" w:rsidP="00E16A1B">
            <w:r w:rsidRPr="00E16A1B">
              <w:t>Грипо- подобно заболяване, периферни отоци/ задръжка на течности</w:t>
            </w:r>
          </w:p>
        </w:tc>
        <w:tc>
          <w:tcPr>
            <w:tcW w:w="1326" w:type="dxa"/>
          </w:tcPr>
          <w:p w14:paraId="3BFFFBC3" w14:textId="1AB0EC25" w:rsidR="00E16A1B" w:rsidRPr="00E16A1B" w:rsidRDefault="00E16A1B" w:rsidP="00E16A1B">
            <w:r w:rsidRPr="00E16A1B">
              <w:t>Оток на лицето, болки в гърдите</w:t>
            </w:r>
            <w:r w:rsidRPr="00E16A1B">
              <w:rPr>
                <w:vertAlign w:val="superscript"/>
              </w:rPr>
              <w:t>4</w:t>
            </w:r>
          </w:p>
        </w:tc>
        <w:tc>
          <w:tcPr>
            <w:tcW w:w="1442" w:type="dxa"/>
          </w:tcPr>
          <w:p w14:paraId="666A3071" w14:textId="77777777" w:rsidR="00E16A1B" w:rsidRPr="00E16A1B" w:rsidRDefault="00E16A1B" w:rsidP="00E16A1B"/>
        </w:tc>
        <w:tc>
          <w:tcPr>
            <w:tcW w:w="1694" w:type="dxa"/>
          </w:tcPr>
          <w:p w14:paraId="12D15FA1" w14:textId="77777777" w:rsidR="00E16A1B" w:rsidRPr="00E16A1B" w:rsidRDefault="00E16A1B" w:rsidP="00E16A1B"/>
        </w:tc>
        <w:tc>
          <w:tcPr>
            <w:tcW w:w="975" w:type="dxa"/>
          </w:tcPr>
          <w:p w14:paraId="054E71A4" w14:textId="77777777" w:rsidR="00E16A1B" w:rsidRPr="00E16A1B" w:rsidRDefault="00E16A1B" w:rsidP="00E16A1B"/>
        </w:tc>
      </w:tr>
      <w:tr w:rsidR="00E16A1B" w14:paraId="2227BAE7" w14:textId="77777777" w:rsidTr="00E16A1B">
        <w:tc>
          <w:tcPr>
            <w:tcW w:w="1470" w:type="dxa"/>
          </w:tcPr>
          <w:p w14:paraId="65BF70E2" w14:textId="105FFDB1" w:rsidR="00E16A1B" w:rsidRPr="00E16A1B" w:rsidRDefault="00E16A1B" w:rsidP="00E16A1B">
            <w:r w:rsidRPr="00E16A1B">
              <w:rPr>
                <w:b/>
                <w:bCs/>
              </w:rPr>
              <w:t>Наранявани я, отравяния н усложнения, възникнали в резултат на интервеици и</w:t>
            </w:r>
          </w:p>
        </w:tc>
        <w:tc>
          <w:tcPr>
            <w:tcW w:w="1208" w:type="dxa"/>
          </w:tcPr>
          <w:p w14:paraId="7C5A6E9B" w14:textId="77777777" w:rsidR="00E16A1B" w:rsidRPr="00E16A1B" w:rsidRDefault="00E16A1B" w:rsidP="00E16A1B"/>
        </w:tc>
        <w:tc>
          <w:tcPr>
            <w:tcW w:w="1461" w:type="dxa"/>
          </w:tcPr>
          <w:p w14:paraId="34522EB7" w14:textId="4D943642" w:rsidR="00E16A1B" w:rsidRPr="00E16A1B" w:rsidRDefault="00E16A1B" w:rsidP="00E16A1B">
            <w:r w:rsidRPr="00E16A1B">
              <w:t>Травми (внезапни травми)</w:t>
            </w:r>
          </w:p>
        </w:tc>
        <w:tc>
          <w:tcPr>
            <w:tcW w:w="1326" w:type="dxa"/>
          </w:tcPr>
          <w:p w14:paraId="4FD6E671" w14:textId="77777777" w:rsidR="00E16A1B" w:rsidRPr="00E16A1B" w:rsidRDefault="00E16A1B" w:rsidP="00E16A1B"/>
        </w:tc>
        <w:tc>
          <w:tcPr>
            <w:tcW w:w="1442" w:type="dxa"/>
          </w:tcPr>
          <w:p w14:paraId="02534D3A" w14:textId="77777777" w:rsidR="00E16A1B" w:rsidRPr="00E16A1B" w:rsidRDefault="00E16A1B" w:rsidP="00E16A1B"/>
        </w:tc>
        <w:tc>
          <w:tcPr>
            <w:tcW w:w="1694" w:type="dxa"/>
          </w:tcPr>
          <w:p w14:paraId="50C66B2F" w14:textId="77777777" w:rsidR="00E16A1B" w:rsidRPr="00E16A1B" w:rsidRDefault="00E16A1B" w:rsidP="00E16A1B"/>
        </w:tc>
        <w:tc>
          <w:tcPr>
            <w:tcW w:w="975" w:type="dxa"/>
          </w:tcPr>
          <w:p w14:paraId="670ABDFF" w14:textId="77777777" w:rsidR="00E16A1B" w:rsidRPr="00E16A1B" w:rsidRDefault="00E16A1B" w:rsidP="00E16A1B"/>
        </w:tc>
      </w:tr>
    </w:tbl>
    <w:p w14:paraId="54EC55C7" w14:textId="49F25C57" w:rsidR="00714D2D" w:rsidRDefault="00714D2D" w:rsidP="00714D2D"/>
    <w:tbl>
      <w:tblPr>
        <w:tblStyle w:val="TableGrid"/>
        <w:tblW w:w="0" w:type="auto"/>
        <w:tblLook w:val="04A0" w:firstRow="1" w:lastRow="0" w:firstColumn="1" w:lastColumn="0" w:noHBand="0" w:noVBand="1"/>
      </w:tblPr>
      <w:tblGrid>
        <w:gridCol w:w="9350"/>
      </w:tblGrid>
      <w:tr w:rsidR="00E16A1B" w14:paraId="67F35A4C" w14:textId="77777777" w:rsidTr="00E16A1B">
        <w:tc>
          <w:tcPr>
            <w:tcW w:w="9500" w:type="dxa"/>
          </w:tcPr>
          <w:p w14:paraId="24A1A2E8" w14:textId="4766D1BA" w:rsidR="00E16A1B" w:rsidRPr="00E16A1B" w:rsidRDefault="00E16A1B" w:rsidP="00E16A1B">
            <w:r w:rsidRPr="00E16A1B">
              <w:rPr>
                <w:vertAlign w:val="superscript"/>
              </w:rPr>
              <w:t>1</w:t>
            </w:r>
            <w:r w:rsidRPr="00E16A1B">
              <w:t xml:space="preserve"> Нежелани лекарствени реакции, настъпили в проучванията за превенция на полипи, </w:t>
            </w:r>
            <w:r w:rsidRPr="00E16A1B">
              <w:lastRenderedPageBreak/>
              <w:t xml:space="preserve">интервенционни проучвания, които са обхванали лицата, лекувани с целекоксиб 400 </w:t>
            </w:r>
            <w:r w:rsidRPr="00E16A1B">
              <w:rPr>
                <w:lang w:val="en-US"/>
              </w:rPr>
              <w:t xml:space="preserve">mg </w:t>
            </w:r>
            <w:r w:rsidRPr="00E16A1B">
              <w:t xml:space="preserve">дневно при две клинични проучвания с продължителност до 3 години (АРС и </w:t>
            </w:r>
            <w:proofErr w:type="spellStart"/>
            <w:r w:rsidRPr="00E16A1B">
              <w:rPr>
                <w:lang w:val="en-US"/>
              </w:rPr>
              <w:t>PreSAP</w:t>
            </w:r>
            <w:proofErr w:type="spellEnd"/>
            <w:r w:rsidRPr="00E16A1B">
              <w:rPr>
                <w:lang w:val="en-US"/>
              </w:rPr>
              <w:t xml:space="preserve"> </w:t>
            </w:r>
            <w:r w:rsidRPr="00E16A1B">
              <w:t>проучвания). Нежеланите лекарствени реакции, изброени по-горе при опита за предотвратяване на полипи са само тези, които са вече признати в постмаркетинговия опит, или са били по-чести, отколкото при проучванията за артрит.</w:t>
            </w:r>
          </w:p>
        </w:tc>
      </w:tr>
      <w:tr w:rsidR="00E16A1B" w14:paraId="7C551FBA" w14:textId="77777777" w:rsidTr="00E16A1B">
        <w:tc>
          <w:tcPr>
            <w:tcW w:w="9500" w:type="dxa"/>
          </w:tcPr>
          <w:p w14:paraId="7DDC0267" w14:textId="4E88B8C4" w:rsidR="00E16A1B" w:rsidRPr="00E16A1B" w:rsidRDefault="00E16A1B" w:rsidP="00E16A1B">
            <w:r w:rsidRPr="00E16A1B">
              <w:rPr>
                <w:vertAlign w:val="superscript"/>
              </w:rPr>
              <w:lastRenderedPageBreak/>
              <w:t>2</w:t>
            </w:r>
            <w:r w:rsidRPr="00E16A1B">
              <w:t xml:space="preserve"> В допълнение, следните </w:t>
            </w:r>
            <w:r w:rsidRPr="00E16A1B">
              <w:rPr>
                <w:i/>
                <w:iCs/>
              </w:rPr>
              <w:t>неизвестни досега</w:t>
            </w:r>
            <w:r w:rsidRPr="00E16A1B">
              <w:t xml:space="preserve"> нежелани реакции са наблюдавани при проучвания за превенция на полипи, включили лица, лекувани с целекоксиб 400 </w:t>
            </w:r>
            <w:r w:rsidRPr="00E16A1B">
              <w:rPr>
                <w:lang w:val="en-US"/>
              </w:rPr>
              <w:t xml:space="preserve">mg </w:t>
            </w:r>
            <w:r w:rsidRPr="00E16A1B">
              <w:t xml:space="preserve">дневно в 2 клинични проучвания с продължителност до 3 години (АРС и </w:t>
            </w:r>
            <w:proofErr w:type="spellStart"/>
            <w:r w:rsidRPr="00E16A1B">
              <w:rPr>
                <w:lang w:val="en-US"/>
              </w:rPr>
              <w:t>PreSAP</w:t>
            </w:r>
            <w:proofErr w:type="spellEnd"/>
            <w:r w:rsidRPr="00E16A1B">
              <w:rPr>
                <w:lang w:val="en-US"/>
              </w:rPr>
              <w:t xml:space="preserve"> </w:t>
            </w:r>
            <w:r w:rsidRPr="00E16A1B">
              <w:t xml:space="preserve">проучвания): Чести: ангина пекторис, синдром на раздразнетото черво, нефролитиаза, повишен креатинин в кръвта, доброкачествена простатна хиперплазия, повишаване на теглото. </w:t>
            </w:r>
            <w:r w:rsidRPr="00E16A1B">
              <w:rPr>
                <w:b/>
                <w:bCs/>
              </w:rPr>
              <w:t xml:space="preserve">Нечести: </w:t>
            </w:r>
            <w:r w:rsidRPr="00E16A1B">
              <w:t>Хеликобактер инфекция, херпес зостер, еризипел, бронхопневмония, възпаление на лабиринта, гингивална инфекция, липом, помътняване на стъкловидното тяло, конюнктивален кръвоизлив, тромбоза на дълбоките вени, дисфония, хемороидално кървене, засилен мотилитет на червата, язви в устата, алергичен дерматит, ганглион, ноктурия, вагинално кървене, чувствителност на гърдите, фрактура на долен крайник, повишаване на натрий в кръвта.</w:t>
            </w:r>
          </w:p>
        </w:tc>
      </w:tr>
      <w:tr w:rsidR="00E16A1B" w14:paraId="20C1E418" w14:textId="77777777" w:rsidTr="00E16A1B">
        <w:tc>
          <w:tcPr>
            <w:tcW w:w="9500" w:type="dxa"/>
          </w:tcPr>
          <w:p w14:paraId="68AF1B94" w14:textId="6E251C21" w:rsidR="00E16A1B" w:rsidRPr="00E16A1B" w:rsidRDefault="00E16A1B" w:rsidP="00E16A1B">
            <w:r w:rsidRPr="00E16A1B">
              <w:rPr>
                <w:vertAlign w:val="superscript"/>
              </w:rPr>
              <w:t>3</w:t>
            </w:r>
            <w:r w:rsidRPr="00E16A1B">
              <w:t xml:space="preserve"> Жените, които имат намерение да забременяват, се изключват от всички проучвания. По тази причина оценката за честотата на това събитие, съгласно данните от проучванията е неоснователна.</w:t>
            </w:r>
          </w:p>
        </w:tc>
      </w:tr>
      <w:tr w:rsidR="00E16A1B" w14:paraId="579DEFE4" w14:textId="77777777" w:rsidTr="00E16A1B">
        <w:tc>
          <w:tcPr>
            <w:tcW w:w="9500" w:type="dxa"/>
          </w:tcPr>
          <w:p w14:paraId="495832B4" w14:textId="20B51188" w:rsidR="00E16A1B" w:rsidRPr="00E16A1B" w:rsidRDefault="00E16A1B" w:rsidP="00E16A1B">
            <w:r w:rsidRPr="00E16A1B">
              <w:rPr>
                <w:vertAlign w:val="superscript"/>
              </w:rPr>
              <w:t>4</w:t>
            </w:r>
            <w:r w:rsidRPr="00E16A1B">
              <w:t xml:space="preserve"> Честотите са определени на основата на кумулативен мета-анализ със събиране на данни от проучвания, представляващи експозиция при 38102 пациенти.</w:t>
            </w:r>
          </w:p>
        </w:tc>
      </w:tr>
    </w:tbl>
    <w:p w14:paraId="7145A906" w14:textId="77777777" w:rsidR="00E16A1B" w:rsidRDefault="00E16A1B" w:rsidP="00E16A1B">
      <w:pPr>
        <w:spacing w:line="240" w:lineRule="auto"/>
        <w:rPr>
          <w:rFonts w:ascii="Times New Roman" w:eastAsia="Times New Roman" w:hAnsi="Times New Roman" w:cs="Times New Roman"/>
          <w:color w:val="000000"/>
          <w:lang w:eastAsia="bg-BG"/>
        </w:rPr>
      </w:pPr>
    </w:p>
    <w:p w14:paraId="1FA9A36E" w14:textId="7D4C4024"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В окончателните данни (присъдени) от АПК и </w:t>
      </w:r>
      <w:proofErr w:type="spellStart"/>
      <w:r w:rsidRPr="00E16A1B">
        <w:rPr>
          <w:rFonts w:eastAsia="Times New Roman" w:cs="Arial"/>
          <w:color w:val="000000"/>
          <w:lang w:val="en-US"/>
        </w:rPr>
        <w:t>PreSAP</w:t>
      </w:r>
      <w:proofErr w:type="spellEnd"/>
      <w:r w:rsidRPr="00E16A1B">
        <w:rPr>
          <w:rFonts w:eastAsia="Times New Roman" w:cs="Arial"/>
          <w:color w:val="000000"/>
          <w:lang w:val="en-US"/>
        </w:rPr>
        <w:t xml:space="preserve"> </w:t>
      </w:r>
      <w:r w:rsidRPr="00E16A1B">
        <w:rPr>
          <w:rFonts w:eastAsia="Times New Roman" w:cs="Arial"/>
          <w:color w:val="000000"/>
          <w:lang w:eastAsia="bg-BG"/>
        </w:rPr>
        <w:t xml:space="preserve">проучвания при пациенти, лекувани с целекоксиб </w:t>
      </w:r>
      <w:r w:rsidRPr="00E16A1B">
        <w:rPr>
          <w:rFonts w:eastAsia="Times New Roman" w:cs="Arial"/>
          <w:color w:val="000000"/>
          <w:lang w:val="en-US"/>
        </w:rPr>
        <w:t xml:space="preserve">400mg </w:t>
      </w:r>
      <w:r w:rsidRPr="00E16A1B">
        <w:rPr>
          <w:rFonts w:eastAsia="Times New Roman" w:cs="Arial"/>
          <w:color w:val="000000"/>
          <w:lang w:eastAsia="bg-BG"/>
        </w:rPr>
        <w:t>дневно за период до 3 години (сборни данни от двете проучвания, виж точка</w:t>
      </w:r>
      <w:r w:rsidRPr="00E16A1B">
        <w:rPr>
          <w:rFonts w:eastAsia="Times New Roman" w:cs="Arial"/>
          <w:color w:val="000000"/>
          <w:u w:val="single"/>
          <w:lang w:eastAsia="bg-BG"/>
        </w:rPr>
        <w:t xml:space="preserve"> </w:t>
      </w:r>
      <w:r w:rsidRPr="00E16A1B">
        <w:rPr>
          <w:rFonts w:eastAsia="Times New Roman" w:cs="Arial"/>
          <w:i/>
          <w:iCs/>
          <w:color w:val="000000"/>
          <w:lang w:eastAsia="bg-BG"/>
        </w:rPr>
        <w:t>5.</w:t>
      </w:r>
      <w:r w:rsidRPr="00E16A1B">
        <w:rPr>
          <w:rFonts w:eastAsia="Times New Roman" w:cs="Arial"/>
          <w:color w:val="000000"/>
          <w:lang w:eastAsia="bg-BG"/>
        </w:rPr>
        <w:t>1 за резултатите от отделните изпитвания), по-високия процент спрямо плацебо на случаите</w:t>
      </w:r>
    </w:p>
    <w:p w14:paraId="49EF71E7"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на миокарден инфаркт е 7,6 събития на 1000 пациенти (нечести) и не е имало повече случау на инсулт (видове, които не са диференцирани) спрямо плацебо.</w:t>
      </w:r>
    </w:p>
    <w:p w14:paraId="730508E2" w14:textId="77777777" w:rsidR="00E16A1B" w:rsidRPr="00E16A1B" w:rsidRDefault="00E16A1B" w:rsidP="00E16A1B">
      <w:pPr>
        <w:spacing w:line="240" w:lineRule="auto"/>
        <w:rPr>
          <w:rFonts w:eastAsia="Times New Roman" w:cs="Arial"/>
          <w:color w:val="000000"/>
          <w:u w:val="single"/>
          <w:lang w:eastAsia="bg-BG"/>
        </w:rPr>
      </w:pPr>
    </w:p>
    <w:p w14:paraId="01F17494" w14:textId="18724671"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u w:val="single"/>
          <w:lang w:eastAsia="bg-BG"/>
        </w:rPr>
        <w:t>Съобщаване на подозирани нежелани реакции</w:t>
      </w:r>
    </w:p>
    <w:p w14:paraId="71CD51B1" w14:textId="33A6E7FD" w:rsidR="00E16A1B" w:rsidRDefault="00E16A1B" w:rsidP="00714D2D">
      <w:pPr>
        <w:rPr>
          <w:rFonts w:cs="Arial"/>
        </w:rPr>
      </w:pPr>
      <w:r w:rsidRPr="00E16A1B">
        <w:rPr>
          <w:rFonts w:cs="Arial"/>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 928903417 уебсайт: </w:t>
      </w:r>
      <w:hyperlink r:id="rId5" w:history="1">
        <w:r w:rsidRPr="00E16A1B">
          <w:rPr>
            <w:rFonts w:cs="Arial"/>
            <w:u w:val="single"/>
            <w:lang w:val="en-US"/>
          </w:rPr>
          <w:t>www.bda.bg</w:t>
        </w:r>
      </w:hyperlink>
    </w:p>
    <w:p w14:paraId="251E9CEB" w14:textId="77777777" w:rsidR="00E16A1B" w:rsidRPr="00E16A1B" w:rsidRDefault="00E16A1B" w:rsidP="00714D2D">
      <w:pPr>
        <w:rPr>
          <w:rFonts w:cs="Arial"/>
        </w:rPr>
      </w:pPr>
    </w:p>
    <w:p w14:paraId="378A0F20" w14:textId="0A2446B8" w:rsidR="001D095A" w:rsidRDefault="002C50EE" w:rsidP="00340E8D">
      <w:pPr>
        <w:pStyle w:val="Heading2"/>
      </w:pPr>
      <w:r>
        <w:t>4.9. Предозиране</w:t>
      </w:r>
    </w:p>
    <w:p w14:paraId="3DB90FA5" w14:textId="7F9A1517" w:rsidR="00E16A1B" w:rsidRDefault="00E16A1B" w:rsidP="00E16A1B"/>
    <w:p w14:paraId="52CA66BD"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Няма клиничен опит с предозиране. Еднократни дози до 1 200 </w:t>
      </w:r>
      <w:r w:rsidRPr="00E16A1B">
        <w:rPr>
          <w:rFonts w:eastAsia="Times New Roman" w:cs="Arial"/>
          <w:color w:val="000000"/>
          <w:lang w:val="en-US"/>
        </w:rPr>
        <w:t xml:space="preserve">mg </w:t>
      </w:r>
      <w:r w:rsidRPr="00E16A1B">
        <w:rPr>
          <w:rFonts w:eastAsia="Times New Roman" w:cs="Arial"/>
          <w:color w:val="000000"/>
          <w:lang w:eastAsia="bg-BG"/>
        </w:rPr>
        <w:t xml:space="preserve">и многократни дози до 1 200 </w:t>
      </w:r>
      <w:r w:rsidRPr="00E16A1B">
        <w:rPr>
          <w:rFonts w:eastAsia="Times New Roman" w:cs="Arial"/>
          <w:color w:val="000000"/>
          <w:lang w:val="en-US"/>
        </w:rPr>
        <w:t xml:space="preserve">mg </w:t>
      </w:r>
      <w:r w:rsidRPr="00E16A1B">
        <w:rPr>
          <w:rFonts w:eastAsia="Times New Roman" w:cs="Arial"/>
          <w:color w:val="000000"/>
          <w:lang w:eastAsia="bg-BG"/>
        </w:rPr>
        <w:t>два пъти дневно са прилагани при здрави индивиди в продължение на девет дена без клинично значими нежелани реакции.</w:t>
      </w:r>
    </w:p>
    <w:p w14:paraId="226A9A03" w14:textId="77777777" w:rsidR="00E16A1B" w:rsidRPr="00E16A1B" w:rsidRDefault="00E16A1B" w:rsidP="00E16A1B">
      <w:pPr>
        <w:spacing w:line="240" w:lineRule="auto"/>
        <w:rPr>
          <w:rFonts w:eastAsia="Times New Roman" w:cs="Arial"/>
          <w:color w:val="000000"/>
          <w:u w:val="single"/>
          <w:lang w:eastAsia="bg-BG"/>
        </w:rPr>
      </w:pPr>
    </w:p>
    <w:p w14:paraId="39D43E52" w14:textId="4ACFD6A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u w:val="single"/>
          <w:lang w:eastAsia="bg-BG"/>
        </w:rPr>
        <w:t>Поведение при предозиране</w:t>
      </w:r>
    </w:p>
    <w:p w14:paraId="1E67AB94"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В случай на подозирано предозиране трябва да бъдат осигурени съответни поддържащи мерки, напр. отстраняване на стомашното съдържимо, клинично наблюдение и </w:t>
      </w:r>
      <w:r w:rsidRPr="00E16A1B">
        <w:rPr>
          <w:rFonts w:eastAsia="Times New Roman" w:cs="Arial"/>
          <w:i/>
          <w:iCs/>
          <w:color w:val="000000"/>
          <w:lang w:eastAsia="bg-BG"/>
        </w:rPr>
        <w:t xml:space="preserve">при необходимост </w:t>
      </w:r>
      <w:r w:rsidRPr="00E16A1B">
        <w:rPr>
          <w:rFonts w:eastAsia="Times New Roman" w:cs="Arial"/>
          <w:color w:val="000000"/>
          <w:lang w:eastAsia="bg-BG"/>
        </w:rPr>
        <w:t xml:space="preserve">прилагане на симптоматично лечение. Малко вероятно е диализата да се </w:t>
      </w:r>
      <w:r w:rsidRPr="00E16A1B">
        <w:rPr>
          <w:rFonts w:eastAsia="Times New Roman" w:cs="Arial"/>
          <w:color w:val="000000"/>
          <w:lang w:eastAsia="bg-BG"/>
        </w:rPr>
        <w:lastRenderedPageBreak/>
        <w:t>окаже ефикасен метод за отстраняване на лекарствения продукт поради високата степен на свързване с плазмените белтъци.</w:t>
      </w:r>
    </w:p>
    <w:p w14:paraId="5527FFA0" w14:textId="77777777" w:rsidR="00E16A1B" w:rsidRPr="00E16A1B" w:rsidRDefault="00E16A1B" w:rsidP="00E16A1B"/>
    <w:p w14:paraId="02081B24" w14:textId="36FE76F4" w:rsidR="00395555" w:rsidRPr="00395555" w:rsidRDefault="002C50EE" w:rsidP="008A6AF2">
      <w:pPr>
        <w:pStyle w:val="Heading1"/>
      </w:pPr>
      <w:r>
        <w:t>5. ФАРМАКОЛОГИЧНИ СВОЙСТВА</w:t>
      </w:r>
    </w:p>
    <w:p w14:paraId="1A152A95" w14:textId="652C3752" w:rsidR="001D095A" w:rsidRDefault="002C50EE" w:rsidP="00340E8D">
      <w:pPr>
        <w:pStyle w:val="Heading2"/>
      </w:pPr>
      <w:r>
        <w:t>5.1. Фармакодинамични свойства</w:t>
      </w:r>
    </w:p>
    <w:p w14:paraId="6C533614" w14:textId="4F4E8FAE" w:rsidR="00E16A1B" w:rsidRDefault="00E16A1B" w:rsidP="00E16A1B"/>
    <w:p w14:paraId="736B5968"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Фармакотерапевтична група: противовъзпалителни и противоревматични продукти, нестероидни, коксиби; АТС код: М01АН01.</w:t>
      </w:r>
    </w:p>
    <w:p w14:paraId="6E37EA4A" w14:textId="77777777" w:rsidR="00E16A1B" w:rsidRPr="00E16A1B" w:rsidRDefault="00E16A1B" w:rsidP="00E16A1B">
      <w:pPr>
        <w:spacing w:line="240" w:lineRule="auto"/>
        <w:rPr>
          <w:rFonts w:eastAsia="Times New Roman" w:cs="Arial"/>
          <w:color w:val="000000"/>
          <w:u w:val="single"/>
          <w:lang w:eastAsia="bg-BG"/>
        </w:rPr>
      </w:pPr>
    </w:p>
    <w:p w14:paraId="7851E450" w14:textId="62944C1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u w:val="single"/>
          <w:lang w:eastAsia="bg-BG"/>
        </w:rPr>
        <w:t>Механизъм на действие</w:t>
      </w:r>
    </w:p>
    <w:p w14:paraId="78B0C2E0"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Целекоксиб е перорален селективен инхибитор на циклооксигеназа-2 (СОХ-2) в рамките на клиничните дози (200-400 </w:t>
      </w:r>
      <w:r w:rsidRPr="00E16A1B">
        <w:rPr>
          <w:rFonts w:eastAsia="Times New Roman" w:cs="Arial"/>
          <w:color w:val="000000"/>
          <w:lang w:val="en-US"/>
        </w:rPr>
        <w:t xml:space="preserve">mg </w:t>
      </w:r>
      <w:r w:rsidRPr="00E16A1B">
        <w:rPr>
          <w:rFonts w:eastAsia="Times New Roman" w:cs="Arial"/>
          <w:color w:val="000000"/>
          <w:lang w:eastAsia="bg-BG"/>
        </w:rPr>
        <w:t xml:space="preserve">дневно). В този дозов интервал при здрави доброволци не се наблюдава статистически значима инхибиция на СОХ-1 (оценена като </w:t>
      </w:r>
      <w:r w:rsidRPr="00E16A1B">
        <w:rPr>
          <w:rFonts w:eastAsia="Times New Roman" w:cs="Arial"/>
          <w:i/>
          <w:iCs/>
          <w:color w:val="000000"/>
          <w:lang w:val="en-US"/>
        </w:rPr>
        <w:t>ex vivo</w:t>
      </w:r>
      <w:r w:rsidRPr="00E16A1B">
        <w:rPr>
          <w:rFonts w:eastAsia="Times New Roman" w:cs="Arial"/>
          <w:color w:val="000000"/>
          <w:lang w:val="en-US"/>
        </w:rPr>
        <w:t xml:space="preserve"> </w:t>
      </w:r>
      <w:r w:rsidRPr="00E16A1B">
        <w:rPr>
          <w:rFonts w:eastAsia="Times New Roman" w:cs="Arial"/>
          <w:color w:val="000000"/>
          <w:lang w:eastAsia="bg-BG"/>
        </w:rPr>
        <w:t>инхибиране на образуването на тромбоксан В2 [ТхВ2]</w:t>
      </w:r>
    </w:p>
    <w:p w14:paraId="6D285B38" w14:textId="77777777" w:rsidR="00E16A1B" w:rsidRPr="00E16A1B" w:rsidRDefault="00E16A1B" w:rsidP="00E16A1B">
      <w:pPr>
        <w:spacing w:line="240" w:lineRule="auto"/>
        <w:rPr>
          <w:rFonts w:eastAsia="Times New Roman" w:cs="Arial"/>
          <w:color w:val="000000"/>
          <w:u w:val="single"/>
          <w:lang w:eastAsia="bg-BG"/>
        </w:rPr>
      </w:pPr>
    </w:p>
    <w:p w14:paraId="30310848" w14:textId="72241436"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u w:val="single"/>
          <w:lang w:eastAsia="bg-BG"/>
        </w:rPr>
        <w:t>Фармакодинамични ефекти</w:t>
      </w:r>
    </w:p>
    <w:p w14:paraId="64178433"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Циклооксигеназата е отговорна за образуването на простагландини. Идентифицирани са две изоформи, СОХ-1 и СОХ-2. СОХ-2 е изоформата на ензима, за която е доказано, че се индуцира от провъзпалителни стимули и за която се предполага, че е основно отговорна за синтезата на простаноидни медиатори на болката, възпалението и фебрилитета. СОХ-2 участва също и в овулацията, имплантацията и затварянето на дуктус артериозус, регулацията на бъбречната функция и функциите на централната нервна система (повишение на телесната температура, възприятие за болка и познавателна функция). Възможно е да играе роля и при заздравяване на язвите. СОХ-2 е идентифицирана в тъканта около стомашни язви при хора, но отношението й към заздравяването на язвите не е уточнено.</w:t>
      </w:r>
    </w:p>
    <w:p w14:paraId="7FCC3F93" w14:textId="77777777" w:rsidR="00E16A1B" w:rsidRPr="00E16A1B" w:rsidRDefault="00E16A1B" w:rsidP="00E16A1B">
      <w:pPr>
        <w:rPr>
          <w:rFonts w:eastAsia="Times New Roman" w:cs="Arial"/>
          <w:color w:val="000000"/>
          <w:lang w:eastAsia="bg-BG"/>
        </w:rPr>
      </w:pPr>
    </w:p>
    <w:p w14:paraId="13EAEE24" w14:textId="59AFDED7" w:rsidR="00E16A1B" w:rsidRPr="00E16A1B" w:rsidRDefault="00E16A1B" w:rsidP="00E16A1B">
      <w:pPr>
        <w:rPr>
          <w:rFonts w:eastAsia="Times New Roman" w:cs="Arial"/>
          <w:color w:val="000000"/>
          <w:lang w:eastAsia="bg-BG"/>
        </w:rPr>
      </w:pPr>
      <w:r w:rsidRPr="00E16A1B">
        <w:rPr>
          <w:rFonts w:eastAsia="Times New Roman" w:cs="Arial"/>
          <w:color w:val="000000"/>
          <w:lang w:eastAsia="bg-BG"/>
        </w:rPr>
        <w:t>Разликата в антиагрегантната активност между някои СОХ-1 инхибиращи НСПВС и селективните СОХ-2 инхибитори може да е от клинично значение при пациенти с повишен риск от тромбоемболизъм. Селективните СОХ-2 инхибитори намаляват образуването на системен (и по тази причина, вероятно, ендотелен) простациклин, без да засягат тромбоцитния тромбоксан.</w:t>
      </w:r>
    </w:p>
    <w:p w14:paraId="4B04C26F" w14:textId="10A3FE7C" w:rsidR="00E16A1B" w:rsidRPr="00E16A1B" w:rsidRDefault="00E16A1B" w:rsidP="00E16A1B">
      <w:pPr>
        <w:rPr>
          <w:rFonts w:eastAsia="Times New Roman" w:cs="Arial"/>
          <w:color w:val="000000"/>
          <w:lang w:eastAsia="bg-BG"/>
        </w:rPr>
      </w:pPr>
    </w:p>
    <w:p w14:paraId="4AF3D19B"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Целекоксиб представлява диарил-заместен пиразол, химически сходен с други неариламинови сулфонамиди (напр. тиазиди, фуроземид), но се различава от ариламиновите сулфонамиди (напр, сулфаметоксизол и други сулфонамидни антибиотици).</w:t>
      </w:r>
    </w:p>
    <w:p w14:paraId="2235AE02" w14:textId="77777777" w:rsidR="00E16A1B" w:rsidRPr="00E16A1B" w:rsidRDefault="00E16A1B" w:rsidP="00E16A1B">
      <w:pPr>
        <w:spacing w:line="240" w:lineRule="auto"/>
        <w:rPr>
          <w:rFonts w:eastAsia="Times New Roman" w:cs="Arial"/>
          <w:color w:val="000000"/>
          <w:lang w:eastAsia="bg-BG"/>
        </w:rPr>
      </w:pPr>
    </w:p>
    <w:p w14:paraId="06BCFA1C" w14:textId="33F03BDF"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След прилагане на високи дози целекоксиб се наблюдава дозозависим ефект върху образуването на ТхВ2. При здрави индивиди, обаче, при малки проучвания с многократен прием на 600 </w:t>
      </w:r>
      <w:r w:rsidRPr="00E16A1B">
        <w:rPr>
          <w:rFonts w:eastAsia="Times New Roman" w:cs="Arial"/>
          <w:color w:val="000000"/>
          <w:lang w:val="en-US"/>
        </w:rPr>
        <w:t xml:space="preserve">mg </w:t>
      </w:r>
      <w:r w:rsidRPr="00E16A1B">
        <w:rPr>
          <w:rFonts w:eastAsia="Times New Roman" w:cs="Arial"/>
          <w:color w:val="000000"/>
          <w:lang w:eastAsia="bg-BG"/>
        </w:rPr>
        <w:t>два пъти дневно (три пъти по-висока с най-високата препоръчителна доза) целекоксиб не е имал ефект върху тромбоцитната агрегация и времето на кървене в сравнение с плацебо.</w:t>
      </w:r>
    </w:p>
    <w:p w14:paraId="2FF87191" w14:textId="77777777" w:rsidR="00E16A1B" w:rsidRPr="00E16A1B" w:rsidRDefault="00E16A1B" w:rsidP="00E16A1B">
      <w:pPr>
        <w:spacing w:line="240" w:lineRule="auto"/>
        <w:rPr>
          <w:rFonts w:eastAsia="Times New Roman" w:cs="Arial"/>
          <w:color w:val="000000"/>
          <w:u w:val="single"/>
          <w:lang w:eastAsia="bg-BG"/>
        </w:rPr>
      </w:pPr>
    </w:p>
    <w:p w14:paraId="1AD3ACA3" w14:textId="00614DF5"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u w:val="single"/>
          <w:lang w:eastAsia="bg-BG"/>
        </w:rPr>
        <w:t>Клинична ефикасност и безопасност</w:t>
      </w:r>
    </w:p>
    <w:p w14:paraId="45929FFD"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Проведени са няколко клинични проучвания, потвърждаващи ефикасността и безопасността при остеоартрит, ревматоиден артрит и анкилозиращ спондилит. В плацебо- и активно контролирани проучвания с продължителност до 12 седмици при </w:t>
      </w:r>
      <w:r w:rsidRPr="00E16A1B">
        <w:rPr>
          <w:rFonts w:eastAsia="Times New Roman" w:cs="Arial"/>
          <w:color w:val="000000"/>
          <w:lang w:eastAsia="bg-BG"/>
        </w:rPr>
        <w:lastRenderedPageBreak/>
        <w:t xml:space="preserve">приблизително 4 200 пациенти е била направена оценка на целекоксиб за лечение на възпалението и болката, дължащи се на ОА на коляното и тазобедрената става. В плацебо- и активно контролирани проучвания с продължителност до 24 седмици при приблизително 2 100 пациенти целекоксиб е бил оценен и за лечение на възпалението и болката при РА. Целекоксиб в дневна доза от 200 - 400 </w:t>
      </w:r>
      <w:r w:rsidRPr="00E16A1B">
        <w:rPr>
          <w:rFonts w:eastAsia="Times New Roman" w:cs="Arial"/>
          <w:color w:val="000000"/>
          <w:lang w:val="en-US"/>
        </w:rPr>
        <w:t xml:space="preserve">mg </w:t>
      </w:r>
      <w:r w:rsidRPr="00E16A1B">
        <w:rPr>
          <w:rFonts w:eastAsia="Times New Roman" w:cs="Arial"/>
          <w:color w:val="000000"/>
          <w:lang w:eastAsia="bg-BG"/>
        </w:rPr>
        <w:t xml:space="preserve">води до облекчаване на болката в рамките на 24 часа от началото на лечението. Целекоксиб е оценен за симптоматично лечение на анкилозиращ </w:t>
      </w:r>
      <w:r w:rsidRPr="00E16A1B">
        <w:rPr>
          <w:rFonts w:eastAsia="Times New Roman" w:cs="Arial"/>
          <w:i/>
          <w:iCs/>
          <w:color w:val="000000"/>
          <w:lang w:eastAsia="bg-BG"/>
        </w:rPr>
        <w:t xml:space="preserve">спондилит при 896 пациенти в </w:t>
      </w:r>
      <w:r w:rsidRPr="00E16A1B">
        <w:rPr>
          <w:rFonts w:eastAsia="Times New Roman" w:cs="Arial"/>
          <w:color w:val="000000"/>
          <w:lang w:eastAsia="bg-BG"/>
        </w:rPr>
        <w:t xml:space="preserve">плацебо- и активно контролирани проучвания с продължителност до 12 седмици. В тези проучвания целекоксиб в дози от 100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и 200 </w:t>
      </w:r>
      <w:r w:rsidRPr="00E16A1B">
        <w:rPr>
          <w:rFonts w:eastAsia="Times New Roman" w:cs="Arial"/>
          <w:color w:val="000000"/>
          <w:lang w:val="en-US"/>
        </w:rPr>
        <w:t xml:space="preserve">mg </w:t>
      </w:r>
      <w:r w:rsidRPr="00E16A1B">
        <w:rPr>
          <w:rFonts w:eastAsia="Times New Roman" w:cs="Arial"/>
          <w:color w:val="000000"/>
          <w:lang w:eastAsia="bg-BG"/>
        </w:rPr>
        <w:t xml:space="preserve">един път дневно, 200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и 400 </w:t>
      </w:r>
      <w:r w:rsidRPr="00E16A1B">
        <w:rPr>
          <w:rFonts w:eastAsia="Times New Roman" w:cs="Arial"/>
          <w:color w:val="000000"/>
          <w:lang w:val="en-US"/>
        </w:rPr>
        <w:t xml:space="preserve">mg </w:t>
      </w:r>
      <w:r w:rsidRPr="00E16A1B">
        <w:rPr>
          <w:rFonts w:eastAsia="Times New Roman" w:cs="Arial"/>
          <w:color w:val="000000"/>
          <w:lang w:eastAsia="bg-BG"/>
        </w:rPr>
        <w:t>един път дневно, е показал значимо подобрение на болката, общата активност на заболяването и функцията при анкилозиращ спондилит.</w:t>
      </w:r>
    </w:p>
    <w:p w14:paraId="7CC74947" w14:textId="77777777" w:rsidR="00E16A1B" w:rsidRPr="00E16A1B" w:rsidRDefault="00E16A1B" w:rsidP="00E16A1B">
      <w:pPr>
        <w:spacing w:line="240" w:lineRule="auto"/>
        <w:rPr>
          <w:rFonts w:eastAsia="Times New Roman" w:cs="Arial"/>
          <w:color w:val="000000"/>
          <w:lang w:eastAsia="bg-BG"/>
        </w:rPr>
      </w:pPr>
    </w:p>
    <w:p w14:paraId="25107E49" w14:textId="69299F0B"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Проведени са пет рандомизирани, двойно-слепи контролирани проучвания, включващи планова горна гастроинтестинална ендоскопия при приблизително 4 500 пациенти без начална улцерация (дози на целекоксиб от 50 </w:t>
      </w:r>
      <w:r w:rsidRPr="00E16A1B">
        <w:rPr>
          <w:rFonts w:eastAsia="Times New Roman" w:cs="Arial"/>
          <w:color w:val="000000"/>
          <w:lang w:val="en-US"/>
        </w:rPr>
        <w:t xml:space="preserve">mg </w:t>
      </w:r>
      <w:r w:rsidRPr="00E16A1B">
        <w:rPr>
          <w:rFonts w:eastAsia="Times New Roman" w:cs="Arial"/>
          <w:color w:val="000000"/>
          <w:lang w:eastAsia="bg-BG"/>
        </w:rPr>
        <w:t xml:space="preserve">до 400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В проучвания с ендоскопия с 12-седмична продължителност целекоксиб (100-800 </w:t>
      </w:r>
      <w:r w:rsidRPr="00E16A1B">
        <w:rPr>
          <w:rFonts w:eastAsia="Times New Roman" w:cs="Arial"/>
          <w:color w:val="000000"/>
          <w:lang w:val="en-US"/>
        </w:rPr>
        <w:t xml:space="preserve">mg </w:t>
      </w:r>
      <w:r w:rsidRPr="00E16A1B">
        <w:rPr>
          <w:rFonts w:eastAsia="Times New Roman" w:cs="Arial"/>
          <w:color w:val="000000"/>
          <w:lang w:eastAsia="bg-BG"/>
        </w:rPr>
        <w:t xml:space="preserve">дневно) е свързан с; значимо по-нисък риск от гастродуоденални язви отколкото напроксен (1 000 </w:t>
      </w:r>
      <w:r w:rsidRPr="00E16A1B">
        <w:rPr>
          <w:rFonts w:eastAsia="Times New Roman" w:cs="Arial"/>
          <w:color w:val="000000"/>
          <w:lang w:val="en-US"/>
        </w:rPr>
        <w:t xml:space="preserve">mg </w:t>
      </w:r>
      <w:r w:rsidRPr="00E16A1B">
        <w:rPr>
          <w:rFonts w:eastAsia="Times New Roman" w:cs="Arial"/>
          <w:color w:val="000000"/>
          <w:lang w:eastAsia="bg-BG"/>
        </w:rPr>
        <w:t xml:space="preserve">ибупрофен (2 400 </w:t>
      </w:r>
      <w:r w:rsidRPr="00E16A1B">
        <w:rPr>
          <w:rFonts w:eastAsia="Times New Roman" w:cs="Arial"/>
          <w:color w:val="000000"/>
          <w:lang w:val="en-US"/>
        </w:rPr>
        <w:t xml:space="preserve">mg </w:t>
      </w:r>
      <w:r w:rsidRPr="00E16A1B">
        <w:rPr>
          <w:rFonts w:eastAsia="Times New Roman" w:cs="Arial"/>
          <w:color w:val="000000"/>
          <w:lang w:eastAsia="bg-BG"/>
        </w:rPr>
        <w:t xml:space="preserve">дневно). Сравнителните проучвания спрямо диклофенак (150 </w:t>
      </w:r>
      <w:r w:rsidRPr="00E16A1B">
        <w:rPr>
          <w:rFonts w:eastAsia="Times New Roman" w:cs="Arial"/>
          <w:color w:val="000000"/>
          <w:lang w:val="en-US"/>
        </w:rPr>
        <w:t xml:space="preserve">mg </w:t>
      </w:r>
      <w:r w:rsidRPr="00E16A1B">
        <w:rPr>
          <w:rFonts w:eastAsia="Times New Roman" w:cs="Arial"/>
          <w:color w:val="000000"/>
          <w:lang w:eastAsia="bg-BG"/>
        </w:rPr>
        <w:t xml:space="preserve">дневно), са противоречиви. В две от 12-седмичните проучвания процентът пациенти с ендоскопски данни за гастродуоденална улцерация не показва статистически значима разлика групите, лекувани с плацебо, и тези, лекувани с целекоксиб 200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и 400 </w:t>
      </w:r>
      <w:r w:rsidRPr="00E16A1B">
        <w:rPr>
          <w:rFonts w:eastAsia="Times New Roman" w:cs="Arial"/>
          <w:color w:val="000000"/>
          <w:lang w:val="en-US"/>
        </w:rPr>
        <w:t xml:space="preserve">mg </w:t>
      </w:r>
      <w:r w:rsidRPr="00E16A1B">
        <w:rPr>
          <w:rFonts w:eastAsia="Times New Roman" w:cs="Arial"/>
          <w:color w:val="000000"/>
          <w:lang w:eastAsia="bg-BG"/>
        </w:rPr>
        <w:t>два пъти дневно.</w:t>
      </w:r>
    </w:p>
    <w:p w14:paraId="01F19780" w14:textId="77777777" w:rsidR="00E16A1B" w:rsidRPr="00E16A1B" w:rsidRDefault="00E16A1B" w:rsidP="00E16A1B">
      <w:pPr>
        <w:spacing w:line="240" w:lineRule="auto"/>
        <w:rPr>
          <w:rFonts w:eastAsia="Times New Roman" w:cs="Arial"/>
          <w:color w:val="000000"/>
          <w:lang w:eastAsia="bg-BG"/>
        </w:rPr>
      </w:pPr>
    </w:p>
    <w:p w14:paraId="0CECCBE4" w14:textId="77777777" w:rsidR="00E16A1B" w:rsidRPr="00E16A1B" w:rsidRDefault="00E16A1B" w:rsidP="00E16A1B">
      <w:pPr>
        <w:rPr>
          <w:rFonts w:eastAsia="Times New Roman" w:cs="Arial"/>
          <w:sz w:val="24"/>
          <w:szCs w:val="24"/>
          <w:lang w:eastAsia="bg-BG"/>
        </w:rPr>
      </w:pPr>
      <w:r w:rsidRPr="00E16A1B">
        <w:rPr>
          <w:rFonts w:eastAsia="Times New Roman" w:cs="Arial"/>
          <w:color w:val="000000"/>
          <w:lang w:eastAsia="bg-BG"/>
        </w:rPr>
        <w:t xml:space="preserve">В проспективно дългосрочно проучване за безопасност (проучването </w:t>
      </w:r>
      <w:r w:rsidRPr="00E16A1B">
        <w:rPr>
          <w:rFonts w:eastAsia="Times New Roman" w:cs="Arial"/>
          <w:color w:val="000000"/>
          <w:lang w:val="en-US"/>
        </w:rPr>
        <w:t xml:space="preserve">CLASS, </w:t>
      </w:r>
      <w:r w:rsidRPr="00E16A1B">
        <w:rPr>
          <w:rFonts w:eastAsia="Times New Roman" w:cs="Arial"/>
          <w:color w:val="000000"/>
          <w:lang w:eastAsia="bg-BG"/>
        </w:rPr>
        <w:t xml:space="preserve">продължителност от 6 до 15 месеца) 5 800 пациенти с ОА и 2 200 пациенти с РА са получавали целекоксиб 400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(съответно 4 и 2 пъти по-голяма от препоръчваната при ОА и РА доза), ибупрофен 800 </w:t>
      </w:r>
      <w:r w:rsidRPr="00E16A1B">
        <w:rPr>
          <w:rFonts w:eastAsia="Times New Roman" w:cs="Arial"/>
          <w:color w:val="000000"/>
          <w:lang w:val="en-US"/>
        </w:rPr>
        <w:t xml:space="preserve">mg </w:t>
      </w:r>
      <w:r w:rsidRPr="00E16A1B">
        <w:rPr>
          <w:rFonts w:eastAsia="Times New Roman" w:cs="Arial"/>
          <w:color w:val="000000"/>
          <w:lang w:eastAsia="bg-BG"/>
        </w:rPr>
        <w:t xml:space="preserve">три пъти дневно или диклофенак 75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(терапевтични дози за последните два продукта). Двадесет и два процента от включените пациенти са вземали едновременно ниска доза ацетилсалицилова киселина (&lt; 325 </w:t>
      </w:r>
      <w:r w:rsidRPr="00E16A1B">
        <w:rPr>
          <w:rFonts w:eastAsia="Times New Roman" w:cs="Arial"/>
          <w:color w:val="000000"/>
          <w:lang w:val="en-US"/>
        </w:rPr>
        <w:t>mg</w:t>
      </w:r>
      <w:r w:rsidRPr="00E16A1B">
        <w:rPr>
          <w:rFonts w:eastAsia="Times New Roman" w:cs="Arial"/>
          <w:color w:val="000000"/>
          <w:lang w:eastAsia="bg-BG"/>
        </w:rPr>
        <w:t xml:space="preserve">/ден), главно за (СС) профилактика. По отношение на първичната крайна цел усложнени язви (определен като гастроинтестинално кървене, перфорация или обструкция) целекоксиб не е бил сигнификантно различен от ибупрофен или диклофенак, взети поотделно. Също така за комбинираната група НСПВС не е имало статистически значима разлика за усложнените язви (относителен риск 0,77,95% </w:t>
      </w:r>
      <w:r w:rsidRPr="00E16A1B">
        <w:rPr>
          <w:rFonts w:eastAsia="Times New Roman" w:cs="Arial"/>
          <w:color w:val="000000"/>
          <w:lang w:val="en-US"/>
        </w:rPr>
        <w:t xml:space="preserve">CI </w:t>
      </w:r>
      <w:r w:rsidRPr="00E16A1B">
        <w:rPr>
          <w:rFonts w:eastAsia="Times New Roman" w:cs="Arial"/>
          <w:color w:val="000000"/>
          <w:lang w:eastAsia="bg-BG"/>
        </w:rPr>
        <w:t xml:space="preserve">0,41-1,46 на базата на целия период на проучване). По отношение на комбинираната крайна цел усложнени и симптоматични язви, честотата е била сигнификантно по-ниска в групата пациенти, лекувани с целекоксиб, отколкото при тези, лекувани с НСПВС, относителен риск 0,66,95% </w:t>
      </w:r>
      <w:r w:rsidRPr="00E16A1B">
        <w:rPr>
          <w:rFonts w:eastAsia="Times New Roman" w:cs="Arial"/>
          <w:color w:val="000000"/>
          <w:lang w:val="en-US"/>
        </w:rPr>
        <w:t xml:space="preserve">CI </w:t>
      </w:r>
      <w:r w:rsidRPr="00E16A1B">
        <w:rPr>
          <w:rFonts w:eastAsia="Times New Roman" w:cs="Arial"/>
          <w:color w:val="000000"/>
          <w:lang w:eastAsia="bg-BG"/>
        </w:rPr>
        <w:t>0,45-0,97, но не и между целекоксиб и диклофенак. Пациентите на целекоксиб и съпътстващи ниски дози ацетилсалицилова киселина са имали 4 пъти по-</w:t>
      </w:r>
      <w:r w:rsidRPr="00E16A1B">
        <w:rPr>
          <w:rFonts w:eastAsia="Times New Roman" w:cs="Arial"/>
          <w:color w:val="000000"/>
          <w:u w:val="single"/>
          <w:lang w:eastAsia="bg-BG"/>
        </w:rPr>
        <w:t xml:space="preserve"> </w:t>
      </w:r>
      <w:r w:rsidRPr="00E16A1B">
        <w:rPr>
          <w:rFonts w:eastAsia="Times New Roman" w:cs="Arial"/>
          <w:color w:val="000000"/>
          <w:lang w:eastAsia="bg-BG"/>
        </w:rPr>
        <w:t xml:space="preserve">висока честота на усложнени язви в сравнение с тези на монотерапия с целекоксиб. Честотата на клинично значимите понижения на хемоглобина (&gt; 2 </w:t>
      </w:r>
      <w:r w:rsidRPr="00E16A1B">
        <w:rPr>
          <w:rFonts w:eastAsia="Times New Roman" w:cs="Arial"/>
          <w:color w:val="000000"/>
          <w:lang w:val="en-US"/>
        </w:rPr>
        <w:t xml:space="preserve">g/dl), </w:t>
      </w:r>
      <w:r w:rsidRPr="00E16A1B">
        <w:rPr>
          <w:rFonts w:eastAsia="Times New Roman" w:cs="Arial"/>
          <w:color w:val="000000"/>
          <w:lang w:eastAsia="bg-BG"/>
        </w:rPr>
        <w:t xml:space="preserve">потвърдени с повторно изследване, е била сигнификантно по-ниска при пациенти на целекоксиб в </w:t>
      </w:r>
      <w:proofErr w:type="spellStart"/>
      <w:r w:rsidRPr="00E16A1B">
        <w:rPr>
          <w:rFonts w:eastAsia="Times New Roman" w:cs="Arial"/>
          <w:color w:val="000000"/>
          <w:lang w:val="en-US"/>
        </w:rPr>
        <w:t>cpa</w:t>
      </w:r>
      <w:proofErr w:type="spellEnd"/>
      <w:r w:rsidRPr="00E16A1B">
        <w:rPr>
          <w:rFonts w:eastAsia="Times New Roman" w:cs="Arial"/>
          <w:color w:val="000000"/>
          <w:lang w:eastAsia="bg-BG"/>
        </w:rPr>
        <w:t xml:space="preserve">внение с групата на НСПВС, относителен риск 0,29,95% </w:t>
      </w:r>
      <w:r w:rsidRPr="00E16A1B">
        <w:rPr>
          <w:rFonts w:eastAsia="Times New Roman" w:cs="Arial"/>
          <w:color w:val="000000"/>
          <w:lang w:val="en-US"/>
        </w:rPr>
        <w:t xml:space="preserve">CI </w:t>
      </w:r>
      <w:r w:rsidRPr="00E16A1B">
        <w:rPr>
          <w:rFonts w:eastAsia="Times New Roman" w:cs="Arial"/>
          <w:color w:val="000000"/>
          <w:lang w:eastAsia="bg-BG"/>
        </w:rPr>
        <w:t>0,17-0,48. Честотата на това усложнение при лечение</w:t>
      </w:r>
      <w:r w:rsidRPr="00E16A1B">
        <w:rPr>
          <w:rFonts w:eastAsia="Times New Roman" w:cs="Arial"/>
          <w:sz w:val="24"/>
          <w:szCs w:val="24"/>
          <w:lang w:val="en-US" w:eastAsia="bg-BG"/>
        </w:rPr>
        <w:t xml:space="preserve"> </w:t>
      </w:r>
      <w:r w:rsidRPr="00E16A1B">
        <w:rPr>
          <w:rFonts w:eastAsia="Times New Roman" w:cs="Arial"/>
          <w:color w:val="000000"/>
          <w:lang w:eastAsia="bg-BG"/>
        </w:rPr>
        <w:t>с целекоксиб е била сигнификантно по-ниска независимо от това дали пациентите са вземали</w:t>
      </w:r>
      <w:r w:rsidRPr="00E16A1B">
        <w:rPr>
          <w:rFonts w:eastAsia="Times New Roman" w:cs="Arial"/>
          <w:color w:val="000000"/>
          <w:lang w:val="en-US" w:eastAsia="bg-BG"/>
        </w:rPr>
        <w:t xml:space="preserve"> </w:t>
      </w:r>
      <w:r w:rsidRPr="00E16A1B">
        <w:rPr>
          <w:rFonts w:eastAsia="Times New Roman" w:cs="Arial"/>
          <w:i/>
          <w:iCs/>
          <w:color w:val="000000"/>
          <w:lang w:eastAsia="bg-BG"/>
        </w:rPr>
        <w:t>или не и</w:t>
      </w:r>
      <w:r w:rsidRPr="00E16A1B">
        <w:rPr>
          <w:rFonts w:eastAsia="Times New Roman" w:cs="Arial"/>
          <w:color w:val="000000"/>
          <w:lang w:eastAsia="bg-BG"/>
        </w:rPr>
        <w:t xml:space="preserve"> ацетилсалицилова киселина.</w:t>
      </w:r>
    </w:p>
    <w:p w14:paraId="5A24D064" w14:textId="77777777" w:rsidR="00E16A1B" w:rsidRPr="00E16A1B" w:rsidRDefault="00E16A1B" w:rsidP="00E16A1B">
      <w:pPr>
        <w:spacing w:line="240" w:lineRule="auto"/>
        <w:rPr>
          <w:rFonts w:eastAsia="Times New Roman" w:cs="Arial"/>
          <w:color w:val="000000"/>
          <w:lang w:eastAsia="bg-BG"/>
        </w:rPr>
      </w:pPr>
    </w:p>
    <w:p w14:paraId="7356A518" w14:textId="1290DAC1"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В проспективно рандомизирано 24-седмично проучване за безопасност при пациенти на възраст на/над </w:t>
      </w:r>
      <w:r w:rsidRPr="00E16A1B">
        <w:rPr>
          <w:rFonts w:eastAsia="Times New Roman" w:cs="Arial"/>
          <w:i/>
          <w:iCs/>
          <w:color w:val="000000"/>
          <w:lang w:eastAsia="bg-BG"/>
        </w:rPr>
        <w:t>60</w:t>
      </w:r>
      <w:r w:rsidRPr="00E16A1B">
        <w:rPr>
          <w:rFonts w:eastAsia="Times New Roman" w:cs="Arial"/>
          <w:color w:val="000000"/>
          <w:lang w:eastAsia="bg-BG"/>
        </w:rPr>
        <w:t xml:space="preserve"> години или с анамнеза за гастродуоденални язви (приемалите ацетилсалицилова киселина се изключват), пациентите с понижени хемоглобин (≥2 </w:t>
      </w:r>
      <w:r w:rsidRPr="00E16A1B">
        <w:rPr>
          <w:rFonts w:eastAsia="Times New Roman" w:cs="Arial"/>
          <w:color w:val="000000"/>
          <w:lang w:val="en-US"/>
        </w:rPr>
        <w:t xml:space="preserve">g/dL) </w:t>
      </w:r>
      <w:r w:rsidRPr="00E16A1B">
        <w:rPr>
          <w:rFonts w:eastAsia="Times New Roman" w:cs="Arial"/>
          <w:color w:val="000000"/>
          <w:lang w:eastAsia="bg-BG"/>
        </w:rPr>
        <w:lastRenderedPageBreak/>
        <w:t xml:space="preserve">и/или хематокрит (≥10%) от стомашно-чревен произход и лекувани с целекоксиб 200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w:t>
      </w:r>
      <w:r w:rsidRPr="00E16A1B">
        <w:rPr>
          <w:rFonts w:eastAsia="Times New Roman" w:cs="Arial"/>
          <w:color w:val="000000"/>
          <w:lang w:val="en-US"/>
        </w:rPr>
        <w:t xml:space="preserve">(N </w:t>
      </w:r>
      <w:r w:rsidRPr="00E16A1B">
        <w:rPr>
          <w:rFonts w:eastAsia="Times New Roman" w:cs="Arial"/>
          <w:color w:val="000000"/>
          <w:lang w:eastAsia="bg-BG"/>
        </w:rPr>
        <w:t xml:space="preserve">= 2 238) са по-малко в сравнение с пациентите, лекувани с диклофенак </w:t>
      </w:r>
      <w:r w:rsidRPr="00E16A1B">
        <w:rPr>
          <w:rFonts w:eastAsia="Times New Roman" w:cs="Arial"/>
          <w:color w:val="000000"/>
          <w:lang w:val="en-US"/>
        </w:rPr>
        <w:t xml:space="preserve">SR </w:t>
      </w:r>
      <w:r w:rsidRPr="00E16A1B">
        <w:rPr>
          <w:rFonts w:eastAsia="Times New Roman" w:cs="Arial"/>
          <w:color w:val="000000"/>
          <w:lang w:eastAsia="bg-BG"/>
        </w:rPr>
        <w:t xml:space="preserve">75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и омепразол 20 </w:t>
      </w:r>
      <w:r w:rsidRPr="00E16A1B">
        <w:rPr>
          <w:rFonts w:eastAsia="Times New Roman" w:cs="Arial"/>
          <w:color w:val="000000"/>
          <w:lang w:val="en-US"/>
        </w:rPr>
        <w:t xml:space="preserve">mg </w:t>
      </w:r>
      <w:r w:rsidRPr="00E16A1B">
        <w:rPr>
          <w:rFonts w:eastAsia="Times New Roman" w:cs="Arial"/>
          <w:color w:val="000000"/>
          <w:lang w:eastAsia="bg-BG"/>
        </w:rPr>
        <w:t xml:space="preserve">веднъж дневно </w:t>
      </w:r>
      <w:r w:rsidRPr="00E16A1B">
        <w:rPr>
          <w:rFonts w:eastAsia="Times New Roman" w:cs="Arial"/>
          <w:color w:val="000000"/>
          <w:lang w:val="en-US"/>
        </w:rPr>
        <w:t xml:space="preserve">(N </w:t>
      </w:r>
      <w:r w:rsidRPr="00E16A1B">
        <w:rPr>
          <w:rFonts w:eastAsia="Times New Roman" w:cs="Arial"/>
          <w:color w:val="000000"/>
          <w:lang w:eastAsia="bg-BG"/>
        </w:rPr>
        <w:t>= 2 246) (0,2% срещу 1,1% за тези с установен стомашно-чревен произход, р=0,004; 0,4% срещу 2,4% за тези с предполагаем стомашно-чревен произход, р=0,0001). Честотата на клинично изявени стомашно-чревни усложнения като перфорация, обструкция или хеморагия са много ниски, без различия между лекуваните групи (4-5 за група).</w:t>
      </w:r>
    </w:p>
    <w:p w14:paraId="74238ACD" w14:textId="77777777" w:rsidR="00E16A1B" w:rsidRPr="00E16A1B" w:rsidRDefault="00E16A1B" w:rsidP="00E16A1B">
      <w:pPr>
        <w:spacing w:line="240" w:lineRule="auto"/>
        <w:rPr>
          <w:rFonts w:eastAsia="Times New Roman" w:cs="Arial"/>
          <w:b/>
          <w:bCs/>
          <w:color w:val="000000"/>
          <w:lang w:eastAsia="bg-BG"/>
        </w:rPr>
      </w:pPr>
      <w:bookmarkStart w:id="1" w:name="bookmark0"/>
    </w:p>
    <w:p w14:paraId="5E087D8E" w14:textId="13991E13" w:rsidR="00E16A1B" w:rsidRPr="00E16A1B" w:rsidRDefault="00E16A1B" w:rsidP="00E16A1B">
      <w:pPr>
        <w:spacing w:line="240" w:lineRule="auto"/>
        <w:rPr>
          <w:rFonts w:eastAsia="Times New Roman" w:cs="Arial"/>
          <w:sz w:val="24"/>
          <w:szCs w:val="24"/>
          <w:lang w:eastAsia="bg-BG"/>
        </w:rPr>
      </w:pPr>
      <w:r w:rsidRPr="00E16A1B">
        <w:rPr>
          <w:rFonts w:eastAsia="Times New Roman" w:cs="Arial"/>
          <w:b/>
          <w:bCs/>
          <w:color w:val="000000"/>
          <w:lang w:eastAsia="bg-BG"/>
        </w:rPr>
        <w:t>Сърдечносъдова безопасност- Дългосрочни проучвания при пациенти със спорадични аденоматозни полипи</w:t>
      </w:r>
      <w:bookmarkEnd w:id="1"/>
    </w:p>
    <w:p w14:paraId="06C5A9E6"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Проведени са две проучвания с целекоксиб при пациенти със спорадични аденоматозни полипи, а именно АРС проучването </w:t>
      </w:r>
      <w:r w:rsidRPr="00E16A1B">
        <w:rPr>
          <w:rFonts w:eastAsia="Times New Roman" w:cs="Arial"/>
          <w:color w:val="000000"/>
          <w:lang w:val="en-US"/>
        </w:rPr>
        <w:t xml:space="preserve">(Adenoma Prevention with Celecoxib) </w:t>
      </w:r>
      <w:r w:rsidRPr="00E16A1B">
        <w:rPr>
          <w:rFonts w:eastAsia="Times New Roman" w:cs="Arial"/>
          <w:color w:val="000000"/>
          <w:lang w:eastAsia="bg-BG"/>
        </w:rPr>
        <w:t xml:space="preserve">и </w:t>
      </w:r>
      <w:proofErr w:type="spellStart"/>
      <w:r w:rsidRPr="00E16A1B">
        <w:rPr>
          <w:rFonts w:eastAsia="Times New Roman" w:cs="Arial"/>
          <w:color w:val="000000"/>
          <w:lang w:val="en-US"/>
        </w:rPr>
        <w:t>PreSAP</w:t>
      </w:r>
      <w:proofErr w:type="spellEnd"/>
      <w:r w:rsidRPr="00E16A1B">
        <w:rPr>
          <w:rFonts w:eastAsia="Times New Roman" w:cs="Arial"/>
          <w:color w:val="000000"/>
          <w:lang w:val="en-US"/>
        </w:rPr>
        <w:t xml:space="preserve"> </w:t>
      </w:r>
      <w:r w:rsidRPr="00E16A1B">
        <w:rPr>
          <w:rFonts w:eastAsia="Times New Roman" w:cs="Arial"/>
          <w:color w:val="000000"/>
          <w:lang w:eastAsia="bg-BG"/>
        </w:rPr>
        <w:t xml:space="preserve">проучването </w:t>
      </w:r>
      <w:r w:rsidRPr="00E16A1B">
        <w:rPr>
          <w:rFonts w:eastAsia="Times New Roman" w:cs="Arial"/>
          <w:color w:val="000000"/>
          <w:lang w:val="en-US"/>
        </w:rPr>
        <w:t xml:space="preserve">(Prevention of Spontaneous Adenomatous Polyps). </w:t>
      </w:r>
      <w:r w:rsidRPr="00E16A1B">
        <w:rPr>
          <w:rFonts w:eastAsia="Times New Roman" w:cs="Arial"/>
          <w:color w:val="000000"/>
          <w:lang w:eastAsia="bg-BG"/>
        </w:rPr>
        <w:t xml:space="preserve">В проучването АРС има дозозависимо увеличение в комбинираната крайна цел (оценено), включваща СС смърт, инфаркт на миокарда или инсулт при целекоксиб сравнен с плацебо за 3-годишно лечение. </w:t>
      </w:r>
      <w:proofErr w:type="spellStart"/>
      <w:r w:rsidRPr="00E16A1B">
        <w:rPr>
          <w:rFonts w:eastAsia="Times New Roman" w:cs="Arial"/>
          <w:color w:val="000000"/>
          <w:lang w:val="en-US"/>
        </w:rPr>
        <w:t>PreSAP</w:t>
      </w:r>
      <w:proofErr w:type="spellEnd"/>
      <w:r w:rsidRPr="00E16A1B">
        <w:rPr>
          <w:rFonts w:eastAsia="Times New Roman" w:cs="Arial"/>
          <w:color w:val="000000"/>
          <w:lang w:val="en-US"/>
        </w:rPr>
        <w:t xml:space="preserve"> </w:t>
      </w:r>
      <w:r w:rsidRPr="00E16A1B">
        <w:rPr>
          <w:rFonts w:eastAsia="Times New Roman" w:cs="Arial"/>
          <w:color w:val="000000"/>
          <w:lang w:eastAsia="bg-BG"/>
        </w:rPr>
        <w:t>проучването не показа статистически значим увеличен риск за същата комбинирана крайна цел.</w:t>
      </w:r>
    </w:p>
    <w:p w14:paraId="39BBF92F" w14:textId="77777777" w:rsidR="00E16A1B" w:rsidRPr="00E16A1B" w:rsidRDefault="00E16A1B" w:rsidP="00E16A1B">
      <w:pPr>
        <w:spacing w:line="240" w:lineRule="auto"/>
        <w:rPr>
          <w:rFonts w:eastAsia="Times New Roman" w:cs="Arial"/>
          <w:color w:val="000000"/>
          <w:lang w:eastAsia="bg-BG"/>
        </w:rPr>
      </w:pPr>
    </w:p>
    <w:p w14:paraId="681392F3" w14:textId="515B6199"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В проучването АРС, относителните рискове спрямо плацебо за комбинирана крайна цел (оценени), включваща сърдечносъдова смърт, инфаркт на миокарда или инсулт, са били 3,4 (95% </w:t>
      </w:r>
      <w:r w:rsidRPr="00E16A1B">
        <w:rPr>
          <w:rFonts w:eastAsia="Times New Roman" w:cs="Arial"/>
          <w:color w:val="000000"/>
          <w:lang w:val="en-US"/>
        </w:rPr>
        <w:t xml:space="preserve">CI </w:t>
      </w:r>
      <w:r w:rsidRPr="00E16A1B">
        <w:rPr>
          <w:rFonts w:eastAsia="Times New Roman" w:cs="Arial"/>
          <w:color w:val="000000"/>
          <w:lang w:eastAsia="bg-BG"/>
        </w:rPr>
        <w:t xml:space="preserve">1,4 - 8,5) с целекоксиб 400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и 2,8 (95% </w:t>
      </w:r>
      <w:r w:rsidRPr="00E16A1B">
        <w:rPr>
          <w:rFonts w:eastAsia="Times New Roman" w:cs="Arial"/>
          <w:color w:val="000000"/>
          <w:lang w:val="en-US"/>
        </w:rPr>
        <w:t xml:space="preserve">CI </w:t>
      </w:r>
      <w:r w:rsidRPr="00E16A1B">
        <w:rPr>
          <w:rFonts w:eastAsia="Times New Roman" w:cs="Arial"/>
          <w:color w:val="000000"/>
          <w:lang w:eastAsia="bg-BG"/>
        </w:rPr>
        <w:t xml:space="preserve">1,1 - 7,2) с целекоксиб 200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Кумулативните стойности за тази комбинирана крайна цел за 3 години са били 3,0% (20/671 участници) и 2,5% (17/685 участници) съответно, спрямо 0,9% </w:t>
      </w:r>
      <w:r w:rsidRPr="00E16A1B">
        <w:rPr>
          <w:rFonts w:eastAsia="Times New Roman" w:cs="Arial"/>
          <w:i/>
          <w:iCs/>
          <w:color w:val="000000"/>
          <w:lang w:eastAsia="bg-BG"/>
        </w:rPr>
        <w:t xml:space="preserve">(61619 </w:t>
      </w:r>
      <w:r w:rsidRPr="00E16A1B">
        <w:rPr>
          <w:rFonts w:eastAsia="Times New Roman" w:cs="Arial"/>
          <w:color w:val="000000"/>
          <w:lang w:eastAsia="bg-BG"/>
        </w:rPr>
        <w:t>участници) за плацебо. Увеличенията за двете групи дози целекоксиб спрямо плацебо са се дължали главно на увеличена честота на инфаркт на миокарда.</w:t>
      </w:r>
    </w:p>
    <w:p w14:paraId="00884995" w14:textId="77777777" w:rsidR="00E16A1B" w:rsidRPr="00E16A1B" w:rsidRDefault="00E16A1B" w:rsidP="00E16A1B">
      <w:pPr>
        <w:spacing w:line="240" w:lineRule="auto"/>
        <w:rPr>
          <w:rFonts w:eastAsia="Times New Roman" w:cs="Arial"/>
          <w:color w:val="000000"/>
          <w:lang w:eastAsia="bg-BG"/>
        </w:rPr>
      </w:pPr>
    </w:p>
    <w:p w14:paraId="51F96F89" w14:textId="292B632C"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В проучването </w:t>
      </w:r>
      <w:proofErr w:type="spellStart"/>
      <w:r w:rsidRPr="00E16A1B">
        <w:rPr>
          <w:rFonts w:eastAsia="Times New Roman" w:cs="Arial"/>
          <w:color w:val="000000"/>
          <w:lang w:val="en-US"/>
        </w:rPr>
        <w:t>PreSAP</w:t>
      </w:r>
      <w:proofErr w:type="spellEnd"/>
      <w:r w:rsidRPr="00E16A1B">
        <w:rPr>
          <w:rFonts w:eastAsia="Times New Roman" w:cs="Arial"/>
          <w:color w:val="000000"/>
          <w:lang w:val="en-US"/>
        </w:rPr>
        <w:t xml:space="preserve">, </w:t>
      </w:r>
      <w:r w:rsidRPr="00E16A1B">
        <w:rPr>
          <w:rFonts w:eastAsia="Times New Roman" w:cs="Arial"/>
          <w:color w:val="000000"/>
          <w:lang w:eastAsia="bg-BG"/>
        </w:rPr>
        <w:t xml:space="preserve">относителният риск спрямо плацебо за същата комбиниран (оценен) е бил 1,2 (95% </w:t>
      </w:r>
      <w:r w:rsidRPr="00E16A1B">
        <w:rPr>
          <w:rFonts w:eastAsia="Times New Roman" w:cs="Arial"/>
          <w:color w:val="000000"/>
          <w:lang w:val="en-US"/>
        </w:rPr>
        <w:t xml:space="preserve">CI </w:t>
      </w:r>
      <w:r w:rsidRPr="00E16A1B">
        <w:rPr>
          <w:rFonts w:eastAsia="Times New Roman" w:cs="Arial"/>
          <w:color w:val="000000"/>
          <w:lang w:eastAsia="bg-BG"/>
        </w:rPr>
        <w:t xml:space="preserve">0,6 - 2,4) с целекоксиб 400 </w:t>
      </w:r>
      <w:r w:rsidRPr="00E16A1B">
        <w:rPr>
          <w:rFonts w:eastAsia="Times New Roman" w:cs="Arial"/>
          <w:color w:val="000000"/>
          <w:lang w:val="en-US"/>
        </w:rPr>
        <w:t xml:space="preserve">mg </w:t>
      </w:r>
      <w:r w:rsidRPr="00E16A1B">
        <w:rPr>
          <w:rFonts w:eastAsia="Times New Roman" w:cs="Arial"/>
          <w:color w:val="000000"/>
          <w:lang w:eastAsia="bg-BG"/>
        </w:rPr>
        <w:t xml:space="preserve">веднъж дневно спрямо плацебо. Кумулативната честота на тази комбинирана крайна цел за 3 години е била 2,3% I (21/933 участници) и 1,9% (12/628 участници) съответно. Честотата на инфаркт на МИОКАРДА (оценена) е била 1,0% (9/933 участници) с целекоксиб 400 </w:t>
      </w:r>
      <w:r w:rsidRPr="00E16A1B">
        <w:rPr>
          <w:rFonts w:eastAsia="Times New Roman" w:cs="Arial"/>
          <w:color w:val="000000"/>
          <w:lang w:val="en-US"/>
        </w:rPr>
        <w:t xml:space="preserve">mg </w:t>
      </w:r>
      <w:r w:rsidRPr="00E16A1B">
        <w:rPr>
          <w:rFonts w:eastAsia="Times New Roman" w:cs="Arial"/>
          <w:color w:val="000000"/>
          <w:lang w:eastAsia="bg-BG"/>
        </w:rPr>
        <w:t>веднъж дневно и 0,6% (4/628 участници) с плацебо.</w:t>
      </w:r>
    </w:p>
    <w:p w14:paraId="7379333C" w14:textId="77777777" w:rsidR="00E16A1B" w:rsidRPr="00E16A1B" w:rsidRDefault="00E16A1B" w:rsidP="00E16A1B">
      <w:pPr>
        <w:spacing w:line="240" w:lineRule="auto"/>
        <w:rPr>
          <w:rFonts w:eastAsia="Times New Roman" w:cs="Arial"/>
          <w:color w:val="000000"/>
          <w:lang w:eastAsia="bg-BG"/>
        </w:rPr>
      </w:pPr>
    </w:p>
    <w:p w14:paraId="6938ACE4" w14:textId="555686AB"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Данните от трето дългосрочно проучване </w:t>
      </w:r>
      <w:r w:rsidRPr="00E16A1B">
        <w:rPr>
          <w:rFonts w:eastAsia="Times New Roman" w:cs="Arial"/>
          <w:color w:val="000000"/>
          <w:lang w:val="en-US"/>
        </w:rPr>
        <w:t xml:space="preserve">ADAPT </w:t>
      </w:r>
      <w:r w:rsidRPr="00E16A1B">
        <w:rPr>
          <w:rFonts w:eastAsia="Times New Roman" w:cs="Arial"/>
          <w:i/>
          <w:iCs/>
          <w:color w:val="000000"/>
          <w:lang w:val="en-US"/>
        </w:rPr>
        <w:t>(Alzheimer's Disease Anti-inflammatory Prevention Trial)</w:t>
      </w:r>
      <w:r w:rsidRPr="00E16A1B">
        <w:rPr>
          <w:rFonts w:eastAsia="Times New Roman" w:cs="Arial"/>
          <w:color w:val="000000"/>
          <w:lang w:val="en-US"/>
        </w:rPr>
        <w:t xml:space="preserve"> </w:t>
      </w:r>
      <w:r w:rsidRPr="00E16A1B">
        <w:rPr>
          <w:rFonts w:eastAsia="Times New Roman" w:cs="Arial"/>
          <w:color w:val="000000"/>
          <w:lang w:eastAsia="bg-BG"/>
        </w:rPr>
        <w:t xml:space="preserve">не показват значимо увеличение на СС риск с целекоксиб 200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спрямо плацебо. Относителният риск спрямо плацебо за същата комбинирана крайна точка (СС смърт, миокарден инфаркт, инсулт) е бил 1,14 (95% </w:t>
      </w:r>
      <w:r w:rsidRPr="00E16A1B">
        <w:rPr>
          <w:rFonts w:eastAsia="Times New Roman" w:cs="Arial"/>
          <w:color w:val="000000"/>
          <w:lang w:val="en-US"/>
        </w:rPr>
        <w:t xml:space="preserve">CI </w:t>
      </w:r>
      <w:r w:rsidRPr="00E16A1B">
        <w:rPr>
          <w:rFonts w:eastAsia="Times New Roman" w:cs="Arial"/>
          <w:color w:val="000000"/>
          <w:lang w:eastAsia="bg-BG"/>
        </w:rPr>
        <w:t xml:space="preserve">0,61 - 2,12) с целекоксиб 200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пъта дневно. Честотата на инфаркт на миокарда е била 1,1% (8/717 пациенти) с целекоксиб 200 </w:t>
      </w:r>
      <w:r w:rsidRPr="00E16A1B">
        <w:rPr>
          <w:rFonts w:eastAsia="Times New Roman" w:cs="Arial"/>
          <w:color w:val="000000"/>
          <w:lang w:val="en-US"/>
        </w:rPr>
        <w:t xml:space="preserve">mg </w:t>
      </w:r>
      <w:r w:rsidRPr="00E16A1B">
        <w:rPr>
          <w:rFonts w:eastAsia="Times New Roman" w:cs="Arial"/>
          <w:color w:val="000000"/>
          <w:lang w:eastAsia="bg-BG"/>
        </w:rPr>
        <w:t>два пъти дневно и 1,2% (13/1 070 пациенти) с плацебо.</w:t>
      </w:r>
    </w:p>
    <w:p w14:paraId="2A0D2523" w14:textId="77777777" w:rsidR="00E16A1B" w:rsidRPr="00E16A1B" w:rsidRDefault="00E16A1B" w:rsidP="00E16A1B">
      <w:pPr>
        <w:spacing w:line="240" w:lineRule="auto"/>
        <w:rPr>
          <w:rFonts w:eastAsia="Times New Roman" w:cs="Arial"/>
          <w:b/>
          <w:bCs/>
          <w:color w:val="000000"/>
          <w:lang w:eastAsia="bg-BG"/>
        </w:rPr>
      </w:pPr>
    </w:p>
    <w:p w14:paraId="3E4D83AA" w14:textId="077B8E42" w:rsidR="00E16A1B" w:rsidRPr="00E16A1B" w:rsidRDefault="00E16A1B" w:rsidP="00E16A1B">
      <w:pPr>
        <w:spacing w:line="240" w:lineRule="auto"/>
        <w:rPr>
          <w:rFonts w:eastAsia="Times New Roman" w:cs="Arial"/>
          <w:sz w:val="24"/>
          <w:szCs w:val="24"/>
          <w:lang w:eastAsia="bg-BG"/>
        </w:rPr>
      </w:pPr>
      <w:r w:rsidRPr="00E16A1B">
        <w:rPr>
          <w:rFonts w:eastAsia="Times New Roman" w:cs="Arial"/>
          <w:b/>
          <w:bCs/>
          <w:color w:val="000000"/>
          <w:lang w:eastAsia="bg-BG"/>
        </w:rPr>
        <w:t xml:space="preserve">Проспектнвна рандомизирана оценка на комплексната безопасност на целекоксиб спрямо ибупрофен или напроксен </w:t>
      </w:r>
      <w:r w:rsidRPr="00E16A1B">
        <w:rPr>
          <w:rFonts w:eastAsia="Times New Roman" w:cs="Arial"/>
          <w:b/>
          <w:bCs/>
          <w:color w:val="000000"/>
          <w:lang w:val="en-US"/>
        </w:rPr>
        <w:t xml:space="preserve">(Prospective </w:t>
      </w:r>
      <w:proofErr w:type="spellStart"/>
      <w:r w:rsidRPr="00E16A1B">
        <w:rPr>
          <w:rFonts w:eastAsia="Times New Roman" w:cs="Arial"/>
          <w:b/>
          <w:bCs/>
          <w:color w:val="000000"/>
          <w:lang w:val="en-US"/>
        </w:rPr>
        <w:t>Randomised</w:t>
      </w:r>
      <w:proofErr w:type="spellEnd"/>
      <w:r w:rsidRPr="00E16A1B">
        <w:rPr>
          <w:rFonts w:eastAsia="Times New Roman" w:cs="Arial"/>
          <w:b/>
          <w:bCs/>
          <w:color w:val="000000"/>
          <w:lang w:val="en-US"/>
        </w:rPr>
        <w:t xml:space="preserve"> Evaluation of Celecoxib Integrated Safety vs. Ibuprofen Or Naproxen (PRECISION))</w:t>
      </w:r>
    </w:p>
    <w:p w14:paraId="7DB714F1" w14:textId="77777777" w:rsidR="00E16A1B" w:rsidRPr="00E16A1B" w:rsidRDefault="00E16A1B" w:rsidP="00E16A1B">
      <w:pPr>
        <w:rPr>
          <w:rFonts w:eastAsia="Times New Roman" w:cs="Arial"/>
          <w:sz w:val="24"/>
          <w:szCs w:val="24"/>
          <w:lang w:eastAsia="bg-BG"/>
        </w:rPr>
      </w:pPr>
      <w:r w:rsidRPr="00E16A1B">
        <w:rPr>
          <w:rFonts w:eastAsia="Times New Roman" w:cs="Arial"/>
          <w:color w:val="000000"/>
          <w:lang w:eastAsia="bg-BG"/>
        </w:rPr>
        <w:t xml:space="preserve">Проучването </w:t>
      </w:r>
      <w:r w:rsidRPr="00E16A1B">
        <w:rPr>
          <w:rFonts w:eastAsia="Times New Roman" w:cs="Arial"/>
          <w:color w:val="000000"/>
          <w:lang w:val="en-US"/>
        </w:rPr>
        <w:t xml:space="preserve">PRECISION </w:t>
      </w:r>
      <w:r w:rsidRPr="00E16A1B">
        <w:rPr>
          <w:rFonts w:eastAsia="Times New Roman" w:cs="Arial"/>
          <w:color w:val="000000"/>
          <w:lang w:eastAsia="bg-BG"/>
        </w:rPr>
        <w:t xml:space="preserve">е двойносляпо проучване на сърдечносъдова безопасност при пациенти с остеоартрит (ОА) или ревматоиден артрит (РА) с висок риск за или със сърдечносъдово заболяване, сравняващо целекоксиб (200-400 </w:t>
      </w:r>
      <w:r w:rsidRPr="00E16A1B">
        <w:rPr>
          <w:rFonts w:eastAsia="Times New Roman" w:cs="Arial"/>
          <w:color w:val="000000"/>
          <w:lang w:val="en-US"/>
        </w:rPr>
        <w:t xml:space="preserve">mg </w:t>
      </w:r>
      <w:r w:rsidRPr="00E16A1B">
        <w:rPr>
          <w:rFonts w:eastAsia="Times New Roman" w:cs="Arial"/>
          <w:color w:val="000000"/>
          <w:lang w:eastAsia="bg-BG"/>
        </w:rPr>
        <w:t xml:space="preserve">дневно) с напроксен (750- 1 000 </w:t>
      </w:r>
      <w:r w:rsidRPr="00E16A1B">
        <w:rPr>
          <w:rFonts w:eastAsia="Times New Roman" w:cs="Arial"/>
          <w:color w:val="000000"/>
          <w:lang w:val="en-US"/>
        </w:rPr>
        <w:t xml:space="preserve">mg </w:t>
      </w:r>
      <w:r w:rsidRPr="00E16A1B">
        <w:rPr>
          <w:rFonts w:eastAsia="Times New Roman" w:cs="Arial"/>
          <w:color w:val="000000"/>
          <w:lang w:eastAsia="bg-BG"/>
        </w:rPr>
        <w:t xml:space="preserve">дневно) и ибупрофен (1 800-2 400 </w:t>
      </w:r>
      <w:r w:rsidRPr="00E16A1B">
        <w:rPr>
          <w:rFonts w:eastAsia="Times New Roman" w:cs="Arial"/>
          <w:color w:val="000000"/>
          <w:lang w:val="en-US"/>
        </w:rPr>
        <w:t xml:space="preserve">mg </w:t>
      </w:r>
      <w:r w:rsidRPr="00E16A1B">
        <w:rPr>
          <w:rFonts w:eastAsia="Times New Roman" w:cs="Arial"/>
          <w:color w:val="000000"/>
          <w:lang w:eastAsia="bg-BG"/>
        </w:rPr>
        <w:t xml:space="preserve">дневно). Първичната крайна точка, която работната група на изследователите на антитромботични средства </w:t>
      </w:r>
      <w:r w:rsidRPr="00E16A1B">
        <w:rPr>
          <w:rFonts w:eastAsia="Times New Roman" w:cs="Arial"/>
          <w:color w:val="000000"/>
          <w:lang w:val="en-US"/>
        </w:rPr>
        <w:t xml:space="preserve">(Antiplatelet </w:t>
      </w:r>
      <w:proofErr w:type="spellStart"/>
      <w:r w:rsidRPr="00E16A1B">
        <w:rPr>
          <w:rFonts w:eastAsia="Times New Roman" w:cs="Arial"/>
          <w:color w:val="000000"/>
          <w:lang w:val="en-US"/>
        </w:rPr>
        <w:lastRenderedPageBreak/>
        <w:t>Trialisis</w:t>
      </w:r>
      <w:proofErr w:type="spellEnd"/>
      <w:r w:rsidRPr="00E16A1B">
        <w:rPr>
          <w:rFonts w:eastAsia="Times New Roman" w:cs="Arial"/>
          <w:color w:val="000000"/>
          <w:lang w:val="en-US"/>
        </w:rPr>
        <w:t xml:space="preserve"> Collaboration (APTC)) </w:t>
      </w:r>
      <w:r w:rsidRPr="00E16A1B">
        <w:rPr>
          <w:rFonts w:eastAsia="Times New Roman" w:cs="Arial"/>
          <w:color w:val="000000"/>
          <w:lang w:eastAsia="bg-BG"/>
        </w:rPr>
        <w:t>определя независимо, е комбинирана крайна точка, включваща</w:t>
      </w:r>
      <w:r w:rsidRPr="00E16A1B">
        <w:rPr>
          <w:rFonts w:eastAsia="Times New Roman" w:cs="Arial"/>
          <w:sz w:val="24"/>
          <w:szCs w:val="24"/>
          <w:lang w:val="en-US" w:eastAsia="bg-BG"/>
        </w:rPr>
        <w:t xml:space="preserve"> </w:t>
      </w:r>
      <w:r w:rsidRPr="00E16A1B">
        <w:rPr>
          <w:rFonts w:eastAsia="Times New Roman" w:cs="Arial"/>
          <w:color w:val="000000"/>
          <w:lang w:eastAsia="bg-BG"/>
        </w:rPr>
        <w:t xml:space="preserve">сърдечносъдова смърт (включително смърт поради кръвоизлив), нефатален инфаркт на миокарда или инсулт. Проучването е планирано с 80% възможност да оцени сходната безопасност </w:t>
      </w:r>
      <w:r w:rsidRPr="00E16A1B">
        <w:rPr>
          <w:rFonts w:eastAsia="Times New Roman" w:cs="Arial"/>
          <w:color w:val="000000"/>
          <w:lang w:val="en-US"/>
        </w:rPr>
        <w:t xml:space="preserve">(non-inferiority). </w:t>
      </w:r>
      <w:r w:rsidRPr="00E16A1B">
        <w:rPr>
          <w:rFonts w:eastAsia="Times New Roman" w:cs="Arial"/>
          <w:color w:val="000000"/>
          <w:lang w:eastAsia="bg-BG"/>
        </w:rPr>
        <w:t>На всички пациенти е предписано открито езомепразол (20-40</w:t>
      </w:r>
      <w:r w:rsidRPr="00E16A1B">
        <w:rPr>
          <w:rFonts w:eastAsia="Times New Roman" w:cs="Arial"/>
          <w:color w:val="000000"/>
          <w:lang w:val="en-US"/>
        </w:rPr>
        <w:t>mg)</w:t>
      </w:r>
      <w:r w:rsidRPr="00E16A1B">
        <w:rPr>
          <w:rFonts w:eastAsia="Times New Roman" w:cs="Arial"/>
          <w:color w:val="000000"/>
          <w:lang w:val="en-US"/>
        </w:rPr>
        <w:t xml:space="preserve"> </w:t>
      </w:r>
      <w:r w:rsidRPr="00E16A1B">
        <w:rPr>
          <w:rFonts w:eastAsia="Times New Roman" w:cs="Arial"/>
          <w:color w:val="000000"/>
          <w:lang w:eastAsia="bg-BG"/>
        </w:rPr>
        <w:t xml:space="preserve">за предпазване на стомаха. На пациентите, приемащи ацетилсалицилова киселина в ниски дози, е разрешено да продължат лечението; на изходното ниво почти половината от пациентите са приемали ацетилсалицилова киселина. Вторичните и третичните крайни точки включват последствията от лечението по отношение на сърдечносъдовата, стомашно-чревната и бъбречната система. Средната отпусната доза е 209 ±37 </w:t>
      </w:r>
      <w:r w:rsidRPr="00E16A1B">
        <w:rPr>
          <w:rFonts w:eastAsia="Times New Roman" w:cs="Arial"/>
          <w:color w:val="000000"/>
          <w:lang w:val="en-US"/>
        </w:rPr>
        <w:t>mg</w:t>
      </w:r>
      <w:r w:rsidRPr="00E16A1B">
        <w:rPr>
          <w:rFonts w:eastAsia="Times New Roman" w:cs="Arial"/>
          <w:color w:val="000000"/>
          <w:lang w:eastAsia="bg-BG"/>
        </w:rPr>
        <w:t xml:space="preserve">/ден за целекоксиб, 2045 ± 246 </w:t>
      </w:r>
      <w:r w:rsidRPr="00E16A1B">
        <w:rPr>
          <w:rFonts w:eastAsia="Times New Roman" w:cs="Arial"/>
          <w:color w:val="000000"/>
          <w:lang w:val="en-US"/>
        </w:rPr>
        <w:t xml:space="preserve">mg </w:t>
      </w:r>
      <w:r w:rsidRPr="00E16A1B">
        <w:rPr>
          <w:rFonts w:eastAsia="Times New Roman" w:cs="Arial"/>
          <w:color w:val="000000"/>
          <w:lang w:eastAsia="bg-BG"/>
        </w:rPr>
        <w:t xml:space="preserve">за ибупрофен и 852 ± 103 </w:t>
      </w:r>
      <w:r w:rsidRPr="00E16A1B">
        <w:rPr>
          <w:rFonts w:eastAsia="Times New Roman" w:cs="Arial"/>
          <w:color w:val="000000"/>
          <w:lang w:val="en-US"/>
        </w:rPr>
        <w:t xml:space="preserve">mg </w:t>
      </w:r>
      <w:r w:rsidRPr="00E16A1B">
        <w:rPr>
          <w:rFonts w:eastAsia="Times New Roman" w:cs="Arial"/>
          <w:color w:val="000000"/>
          <w:lang w:eastAsia="bg-BG"/>
        </w:rPr>
        <w:t>за напроксен.</w:t>
      </w:r>
    </w:p>
    <w:p w14:paraId="73AB6E90"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По отношение на първичната крайна точка, целекоксиб, в сравнение както с напроксен, така и с ибупрофен, отговаря на всичките четири предварително определени изисквания за сходна безопасност </w:t>
      </w:r>
      <w:r w:rsidRPr="00E16A1B">
        <w:rPr>
          <w:rFonts w:eastAsia="Times New Roman" w:cs="Arial"/>
          <w:color w:val="000000"/>
          <w:lang w:val="en-US"/>
        </w:rPr>
        <w:t xml:space="preserve">(non-inferiority) </w:t>
      </w:r>
      <w:r w:rsidRPr="00E16A1B">
        <w:rPr>
          <w:rFonts w:eastAsia="Times New Roman" w:cs="Arial"/>
          <w:color w:val="000000"/>
          <w:lang w:eastAsia="bg-BG"/>
        </w:rPr>
        <w:t>(вижте таблица 2).</w:t>
      </w:r>
    </w:p>
    <w:p w14:paraId="6B528828" w14:textId="77777777" w:rsidR="00E16A1B" w:rsidRPr="00E16A1B" w:rsidRDefault="00E16A1B" w:rsidP="00E16A1B">
      <w:pPr>
        <w:spacing w:line="240" w:lineRule="auto"/>
        <w:rPr>
          <w:rFonts w:eastAsia="Times New Roman" w:cs="Arial"/>
          <w:color w:val="000000"/>
          <w:lang w:eastAsia="bg-BG"/>
        </w:rPr>
      </w:pPr>
    </w:p>
    <w:p w14:paraId="12BD84D3" w14:textId="7D060749"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Други независимо определени вторични и третични крайни точки включват последствията на лечението на сърдечносъдовата, стомашно-чревната и бъбречната система. Освен това, е проведено 4-месечно подпроучване, с фокус върху ефектите на трите лекарства върху артериалното налягане, измерено чрез амбулаторно проследяване </w:t>
      </w:r>
      <w:r w:rsidRPr="00E16A1B">
        <w:rPr>
          <w:rFonts w:eastAsia="Times New Roman" w:cs="Arial"/>
          <w:color w:val="000000"/>
          <w:lang w:val="en-US"/>
        </w:rPr>
        <w:t xml:space="preserve">(Ambulatory Blood </w:t>
      </w:r>
      <w:proofErr w:type="spellStart"/>
      <w:r w:rsidRPr="00E16A1B">
        <w:rPr>
          <w:rFonts w:eastAsia="Times New Roman" w:cs="Arial"/>
          <w:color w:val="000000"/>
          <w:lang w:val="en-US"/>
        </w:rPr>
        <w:t>Pressurre</w:t>
      </w:r>
      <w:proofErr w:type="spellEnd"/>
      <w:r w:rsidRPr="00E16A1B">
        <w:rPr>
          <w:rFonts w:eastAsia="Times New Roman" w:cs="Arial"/>
          <w:color w:val="000000"/>
          <w:lang w:val="en-US"/>
        </w:rPr>
        <w:t xml:space="preserve"> Monitoring, ABPM).</w:t>
      </w:r>
    </w:p>
    <w:p w14:paraId="6CA1CFEC" w14:textId="77777777" w:rsidR="00E16A1B" w:rsidRPr="00E16A1B" w:rsidRDefault="00E16A1B" w:rsidP="00E16A1B">
      <w:pPr>
        <w:spacing w:line="240" w:lineRule="auto"/>
        <w:rPr>
          <w:rFonts w:eastAsia="Times New Roman" w:cs="Arial"/>
          <w:b/>
          <w:bCs/>
          <w:color w:val="000000"/>
          <w:lang w:eastAsia="bg-BG"/>
        </w:rPr>
      </w:pPr>
    </w:p>
    <w:p w14:paraId="0B9D4588" w14:textId="583E647C" w:rsidR="00E16A1B" w:rsidRPr="00E16A1B" w:rsidRDefault="00E16A1B" w:rsidP="00E16A1B">
      <w:pPr>
        <w:spacing w:line="240" w:lineRule="auto"/>
        <w:rPr>
          <w:rFonts w:eastAsia="Times New Roman" w:cs="Arial"/>
          <w:sz w:val="24"/>
          <w:szCs w:val="24"/>
          <w:lang w:eastAsia="bg-BG"/>
        </w:rPr>
      </w:pPr>
      <w:r w:rsidRPr="00E16A1B">
        <w:rPr>
          <w:rFonts w:eastAsia="Times New Roman" w:cs="Arial"/>
          <w:b/>
          <w:bCs/>
          <w:color w:val="000000"/>
          <w:lang w:eastAsia="bg-BG"/>
        </w:rPr>
        <w:t xml:space="preserve">Таблица </w:t>
      </w:r>
      <w:r w:rsidRPr="00E16A1B">
        <w:rPr>
          <w:rFonts w:eastAsia="Times New Roman" w:cs="Arial"/>
          <w:b/>
          <w:bCs/>
          <w:color w:val="000000"/>
          <w:lang w:val="en-US"/>
        </w:rPr>
        <w:t xml:space="preserve">2. </w:t>
      </w:r>
      <w:r w:rsidRPr="00E16A1B">
        <w:rPr>
          <w:rFonts w:eastAsia="Times New Roman" w:cs="Arial"/>
          <w:b/>
          <w:bCs/>
          <w:color w:val="000000"/>
          <w:lang w:eastAsia="bg-BG"/>
        </w:rPr>
        <w:t>Първичен анализ на определената от АРТС комбинирана крайна точка</w:t>
      </w:r>
    </w:p>
    <w:tbl>
      <w:tblPr>
        <w:tblStyle w:val="TableGrid"/>
        <w:tblW w:w="0" w:type="auto"/>
        <w:tblLook w:val="04A0" w:firstRow="1" w:lastRow="0" w:firstColumn="1" w:lastColumn="0" w:noHBand="0" w:noVBand="1"/>
      </w:tblPr>
      <w:tblGrid>
        <w:gridCol w:w="2333"/>
        <w:gridCol w:w="2334"/>
        <w:gridCol w:w="2334"/>
        <w:gridCol w:w="2349"/>
      </w:tblGrid>
      <w:tr w:rsidR="00E16A1B" w14:paraId="1E3F7402" w14:textId="77777777" w:rsidTr="004265E8">
        <w:tc>
          <w:tcPr>
            <w:tcW w:w="9500" w:type="dxa"/>
            <w:gridSpan w:val="4"/>
          </w:tcPr>
          <w:p w14:paraId="0136614D" w14:textId="13FBE705"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Анализ на подлежащата на лечение група </w:t>
            </w:r>
            <w:r>
              <w:rPr>
                <w:b/>
                <w:bCs/>
                <w:lang w:val="en-US"/>
              </w:rPr>
              <w:t xml:space="preserve">(ITT, </w:t>
            </w:r>
            <w:r>
              <w:rPr>
                <w:b/>
                <w:bCs/>
              </w:rPr>
              <w:t>до месец 30)</w:t>
            </w:r>
          </w:p>
        </w:tc>
      </w:tr>
      <w:tr w:rsidR="00E16A1B" w14:paraId="5490ACF8" w14:textId="77777777" w:rsidTr="00E16A1B">
        <w:tc>
          <w:tcPr>
            <w:tcW w:w="2375" w:type="dxa"/>
          </w:tcPr>
          <w:p w14:paraId="03522A94" w14:textId="77777777" w:rsidR="00E16A1B" w:rsidRDefault="00E16A1B" w:rsidP="00E16A1B">
            <w:pPr>
              <w:spacing w:line="240" w:lineRule="auto"/>
              <w:rPr>
                <w:rFonts w:ascii="Times New Roman" w:eastAsia="Times New Roman" w:hAnsi="Times New Roman" w:cs="Times New Roman"/>
                <w:sz w:val="24"/>
                <w:szCs w:val="24"/>
                <w:lang w:eastAsia="bg-BG"/>
              </w:rPr>
            </w:pPr>
          </w:p>
        </w:tc>
        <w:tc>
          <w:tcPr>
            <w:tcW w:w="2375" w:type="dxa"/>
          </w:tcPr>
          <w:p w14:paraId="02381113" w14:textId="3E0386AF"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Целекоксиб 100-200 </w:t>
            </w:r>
            <w:r>
              <w:rPr>
                <w:b/>
                <w:bCs/>
                <w:lang w:val="en-US"/>
              </w:rPr>
              <w:t xml:space="preserve">mg </w:t>
            </w:r>
            <w:r>
              <w:rPr>
                <w:b/>
                <w:bCs/>
              </w:rPr>
              <w:t>два нъти дневно</w:t>
            </w:r>
          </w:p>
        </w:tc>
        <w:tc>
          <w:tcPr>
            <w:tcW w:w="2375" w:type="dxa"/>
          </w:tcPr>
          <w:p w14:paraId="3BF3C28F" w14:textId="2852AF5B"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Ибупрофен 600-800 </w:t>
            </w:r>
            <w:r>
              <w:rPr>
                <w:b/>
                <w:bCs/>
                <w:lang w:val="en-US"/>
              </w:rPr>
              <w:t xml:space="preserve">mg </w:t>
            </w:r>
            <w:r>
              <w:rPr>
                <w:b/>
                <w:bCs/>
              </w:rPr>
              <w:t>три пъти дневно</w:t>
            </w:r>
          </w:p>
        </w:tc>
        <w:tc>
          <w:tcPr>
            <w:tcW w:w="2375" w:type="dxa"/>
          </w:tcPr>
          <w:p w14:paraId="117BC712" w14:textId="071E105A"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Напроксен 375-500 </w:t>
            </w:r>
            <w:r>
              <w:rPr>
                <w:b/>
                <w:bCs/>
                <w:lang w:val="en-US"/>
              </w:rPr>
              <w:t xml:space="preserve">mg </w:t>
            </w:r>
            <w:r>
              <w:rPr>
                <w:b/>
                <w:bCs/>
              </w:rPr>
              <w:t>два пъти дневно</w:t>
            </w:r>
          </w:p>
        </w:tc>
      </w:tr>
      <w:tr w:rsidR="00E16A1B" w14:paraId="787A6893" w14:textId="77777777" w:rsidTr="00E16A1B">
        <w:tc>
          <w:tcPr>
            <w:tcW w:w="2375" w:type="dxa"/>
          </w:tcPr>
          <w:p w14:paraId="4D487F1C" w14:textId="2765FB74" w:rsidR="00E16A1B" w:rsidRDefault="00E16A1B" w:rsidP="00E16A1B">
            <w:pPr>
              <w:spacing w:line="240" w:lineRule="auto"/>
              <w:rPr>
                <w:rFonts w:ascii="Times New Roman" w:eastAsia="Times New Roman" w:hAnsi="Times New Roman" w:cs="Times New Roman"/>
                <w:sz w:val="24"/>
                <w:szCs w:val="24"/>
                <w:lang w:eastAsia="bg-BG"/>
              </w:rPr>
            </w:pPr>
            <w:r>
              <w:t>Брой</w:t>
            </w:r>
          </w:p>
        </w:tc>
        <w:tc>
          <w:tcPr>
            <w:tcW w:w="2375" w:type="dxa"/>
          </w:tcPr>
          <w:p w14:paraId="714126EA" w14:textId="0E6C51CF" w:rsidR="00E16A1B" w:rsidRDefault="00E16A1B" w:rsidP="00E16A1B">
            <w:pPr>
              <w:spacing w:line="240" w:lineRule="auto"/>
              <w:rPr>
                <w:rFonts w:ascii="Times New Roman" w:eastAsia="Times New Roman" w:hAnsi="Times New Roman" w:cs="Times New Roman"/>
                <w:sz w:val="24"/>
                <w:szCs w:val="24"/>
                <w:lang w:eastAsia="bg-BG"/>
              </w:rPr>
            </w:pPr>
            <w:r>
              <w:t>8 072</w:t>
            </w:r>
          </w:p>
        </w:tc>
        <w:tc>
          <w:tcPr>
            <w:tcW w:w="2375" w:type="dxa"/>
          </w:tcPr>
          <w:p w14:paraId="6B7EE5BA" w14:textId="6C8B1C4E" w:rsidR="00E16A1B" w:rsidRDefault="00E16A1B" w:rsidP="00E16A1B">
            <w:pPr>
              <w:spacing w:line="240" w:lineRule="auto"/>
              <w:rPr>
                <w:rFonts w:ascii="Times New Roman" w:eastAsia="Times New Roman" w:hAnsi="Times New Roman" w:cs="Times New Roman"/>
                <w:sz w:val="24"/>
                <w:szCs w:val="24"/>
                <w:lang w:eastAsia="bg-BG"/>
              </w:rPr>
            </w:pPr>
            <w:r>
              <w:t>8 040</w:t>
            </w:r>
          </w:p>
        </w:tc>
        <w:tc>
          <w:tcPr>
            <w:tcW w:w="2375" w:type="dxa"/>
          </w:tcPr>
          <w:p w14:paraId="7E40012F" w14:textId="2FC9DFB0" w:rsidR="00E16A1B" w:rsidRDefault="00E16A1B" w:rsidP="00E16A1B">
            <w:pPr>
              <w:spacing w:line="240" w:lineRule="auto"/>
              <w:rPr>
                <w:rFonts w:ascii="Times New Roman" w:eastAsia="Times New Roman" w:hAnsi="Times New Roman" w:cs="Times New Roman"/>
                <w:sz w:val="24"/>
                <w:szCs w:val="24"/>
                <w:lang w:eastAsia="bg-BG"/>
              </w:rPr>
            </w:pPr>
            <w:r>
              <w:t>7 969</w:t>
            </w:r>
          </w:p>
        </w:tc>
      </w:tr>
      <w:tr w:rsidR="00E16A1B" w14:paraId="5E0AD5EE" w14:textId="77777777" w:rsidTr="00E16A1B">
        <w:tc>
          <w:tcPr>
            <w:tcW w:w="2375" w:type="dxa"/>
          </w:tcPr>
          <w:p w14:paraId="0B0ABD07" w14:textId="6E972672" w:rsidR="00E16A1B" w:rsidRDefault="00E16A1B" w:rsidP="00E16A1B">
            <w:pPr>
              <w:spacing w:line="240" w:lineRule="auto"/>
              <w:rPr>
                <w:rFonts w:ascii="Times New Roman" w:eastAsia="Times New Roman" w:hAnsi="Times New Roman" w:cs="Times New Roman"/>
                <w:sz w:val="24"/>
                <w:szCs w:val="24"/>
                <w:lang w:eastAsia="bg-BG"/>
              </w:rPr>
            </w:pPr>
            <w:r>
              <w:t>Участници със събития</w:t>
            </w:r>
          </w:p>
        </w:tc>
        <w:tc>
          <w:tcPr>
            <w:tcW w:w="2375" w:type="dxa"/>
          </w:tcPr>
          <w:p w14:paraId="36025F21" w14:textId="37AAD681" w:rsidR="00E16A1B" w:rsidRDefault="00E16A1B" w:rsidP="00E16A1B">
            <w:pPr>
              <w:spacing w:line="240" w:lineRule="auto"/>
              <w:rPr>
                <w:rFonts w:ascii="Times New Roman" w:eastAsia="Times New Roman" w:hAnsi="Times New Roman" w:cs="Times New Roman"/>
                <w:sz w:val="24"/>
                <w:szCs w:val="24"/>
                <w:lang w:eastAsia="bg-BG"/>
              </w:rPr>
            </w:pPr>
            <w:r>
              <w:t>188 (2,3%)</w:t>
            </w:r>
          </w:p>
        </w:tc>
        <w:tc>
          <w:tcPr>
            <w:tcW w:w="2375" w:type="dxa"/>
          </w:tcPr>
          <w:p w14:paraId="14084790" w14:textId="2FF3ECB4" w:rsidR="00E16A1B" w:rsidRDefault="00E16A1B" w:rsidP="00E16A1B">
            <w:pPr>
              <w:spacing w:line="240" w:lineRule="auto"/>
              <w:rPr>
                <w:rFonts w:ascii="Times New Roman" w:eastAsia="Times New Roman" w:hAnsi="Times New Roman" w:cs="Times New Roman"/>
                <w:sz w:val="24"/>
                <w:szCs w:val="24"/>
                <w:lang w:eastAsia="bg-BG"/>
              </w:rPr>
            </w:pPr>
            <w:r>
              <w:t>218(2,7%)</w:t>
            </w:r>
          </w:p>
        </w:tc>
        <w:tc>
          <w:tcPr>
            <w:tcW w:w="2375" w:type="dxa"/>
          </w:tcPr>
          <w:p w14:paraId="1CAE193C" w14:textId="3BCC8710" w:rsidR="00E16A1B" w:rsidRDefault="00E16A1B" w:rsidP="00E16A1B">
            <w:pPr>
              <w:spacing w:line="240" w:lineRule="auto"/>
              <w:rPr>
                <w:rFonts w:ascii="Times New Roman" w:eastAsia="Times New Roman" w:hAnsi="Times New Roman" w:cs="Times New Roman"/>
                <w:sz w:val="24"/>
                <w:szCs w:val="24"/>
                <w:lang w:eastAsia="bg-BG"/>
              </w:rPr>
            </w:pPr>
            <w:r>
              <w:t>201 (2,5%)</w:t>
            </w:r>
          </w:p>
        </w:tc>
      </w:tr>
      <w:tr w:rsidR="00E16A1B" w14:paraId="7C046B33" w14:textId="77777777" w:rsidTr="00E16A1B">
        <w:tc>
          <w:tcPr>
            <w:tcW w:w="2375" w:type="dxa"/>
          </w:tcPr>
          <w:p w14:paraId="60BE0212" w14:textId="30664A34" w:rsidR="00E16A1B" w:rsidRDefault="00E16A1B" w:rsidP="00E16A1B">
            <w:pPr>
              <w:spacing w:line="240" w:lineRule="auto"/>
              <w:rPr>
                <w:rFonts w:ascii="Times New Roman" w:eastAsia="Times New Roman" w:hAnsi="Times New Roman" w:cs="Times New Roman"/>
                <w:sz w:val="24"/>
                <w:szCs w:val="24"/>
                <w:lang w:eastAsia="bg-BG"/>
              </w:rPr>
            </w:pPr>
            <w:r>
              <w:t>Сравняване по двойки</w:t>
            </w:r>
          </w:p>
        </w:tc>
        <w:tc>
          <w:tcPr>
            <w:tcW w:w="2375" w:type="dxa"/>
          </w:tcPr>
          <w:p w14:paraId="74625AFB" w14:textId="5F397B1D" w:rsidR="00E16A1B" w:rsidRDefault="00E16A1B" w:rsidP="00E16A1B">
            <w:pPr>
              <w:spacing w:line="240" w:lineRule="auto"/>
              <w:rPr>
                <w:rFonts w:ascii="Times New Roman" w:eastAsia="Times New Roman" w:hAnsi="Times New Roman" w:cs="Times New Roman"/>
                <w:sz w:val="24"/>
                <w:szCs w:val="24"/>
                <w:lang w:eastAsia="bg-BG"/>
              </w:rPr>
            </w:pPr>
            <w:r>
              <w:rPr>
                <w:b/>
                <w:bCs/>
              </w:rPr>
              <w:t>Целекоксиб спрямо напроксен</w:t>
            </w:r>
          </w:p>
        </w:tc>
        <w:tc>
          <w:tcPr>
            <w:tcW w:w="2375" w:type="dxa"/>
          </w:tcPr>
          <w:p w14:paraId="7C494558" w14:textId="3B34F9A7" w:rsidR="00E16A1B" w:rsidRDefault="00E16A1B" w:rsidP="00E16A1B">
            <w:pPr>
              <w:spacing w:line="240" w:lineRule="auto"/>
              <w:rPr>
                <w:rFonts w:ascii="Times New Roman" w:eastAsia="Times New Roman" w:hAnsi="Times New Roman" w:cs="Times New Roman"/>
                <w:sz w:val="24"/>
                <w:szCs w:val="24"/>
                <w:lang w:eastAsia="bg-BG"/>
              </w:rPr>
            </w:pPr>
            <w:r>
              <w:rPr>
                <w:b/>
                <w:bCs/>
              </w:rPr>
              <w:t>Целекоксиб спрямо ибупрофен</w:t>
            </w:r>
          </w:p>
        </w:tc>
        <w:tc>
          <w:tcPr>
            <w:tcW w:w="2375" w:type="dxa"/>
          </w:tcPr>
          <w:p w14:paraId="21F62C0B" w14:textId="7A5A47A4" w:rsidR="00E16A1B" w:rsidRDefault="00E16A1B" w:rsidP="00E16A1B">
            <w:pPr>
              <w:spacing w:line="240" w:lineRule="auto"/>
              <w:rPr>
                <w:rFonts w:ascii="Times New Roman" w:eastAsia="Times New Roman" w:hAnsi="Times New Roman" w:cs="Times New Roman"/>
                <w:sz w:val="24"/>
                <w:szCs w:val="24"/>
                <w:lang w:eastAsia="bg-BG"/>
              </w:rPr>
            </w:pPr>
            <w:r>
              <w:rPr>
                <w:b/>
                <w:bCs/>
              </w:rPr>
              <w:t>Целекоксиб спрямо напроксен</w:t>
            </w:r>
          </w:p>
        </w:tc>
      </w:tr>
      <w:tr w:rsidR="00E16A1B" w14:paraId="313F7CA3" w14:textId="77777777" w:rsidTr="00E16A1B">
        <w:tc>
          <w:tcPr>
            <w:tcW w:w="2375" w:type="dxa"/>
          </w:tcPr>
          <w:p w14:paraId="50916F20" w14:textId="747B65D2" w:rsidR="00E16A1B" w:rsidRDefault="00E16A1B" w:rsidP="00E16A1B">
            <w:pPr>
              <w:spacing w:line="240" w:lineRule="auto"/>
              <w:rPr>
                <w:rFonts w:ascii="Times New Roman" w:eastAsia="Times New Roman" w:hAnsi="Times New Roman" w:cs="Times New Roman"/>
                <w:sz w:val="24"/>
                <w:szCs w:val="24"/>
                <w:lang w:eastAsia="bg-BG"/>
              </w:rPr>
            </w:pPr>
            <w:r>
              <w:t xml:space="preserve">Коефициент на риска (95% </w:t>
            </w:r>
            <w:r>
              <w:rPr>
                <w:lang w:val="en-US"/>
              </w:rPr>
              <w:t>CI)</w:t>
            </w:r>
          </w:p>
        </w:tc>
        <w:tc>
          <w:tcPr>
            <w:tcW w:w="2375" w:type="dxa"/>
          </w:tcPr>
          <w:p w14:paraId="7660F22B" w14:textId="3CFE243F" w:rsidR="00E16A1B" w:rsidRDefault="00E16A1B" w:rsidP="00E16A1B">
            <w:pPr>
              <w:spacing w:line="240" w:lineRule="auto"/>
              <w:rPr>
                <w:rFonts w:ascii="Times New Roman" w:eastAsia="Times New Roman" w:hAnsi="Times New Roman" w:cs="Times New Roman"/>
                <w:sz w:val="24"/>
                <w:szCs w:val="24"/>
                <w:lang w:eastAsia="bg-BG"/>
              </w:rPr>
            </w:pPr>
            <w:r>
              <w:t>0,93 (0,76; 1,13)</w:t>
            </w:r>
          </w:p>
        </w:tc>
        <w:tc>
          <w:tcPr>
            <w:tcW w:w="2375" w:type="dxa"/>
          </w:tcPr>
          <w:p w14:paraId="003749C5" w14:textId="7CC16192" w:rsidR="00E16A1B" w:rsidRDefault="00E16A1B" w:rsidP="00E16A1B">
            <w:pPr>
              <w:spacing w:line="240" w:lineRule="auto"/>
              <w:rPr>
                <w:rFonts w:ascii="Times New Roman" w:eastAsia="Times New Roman" w:hAnsi="Times New Roman" w:cs="Times New Roman"/>
                <w:sz w:val="24"/>
                <w:szCs w:val="24"/>
                <w:lang w:eastAsia="bg-BG"/>
              </w:rPr>
            </w:pPr>
            <w:r>
              <w:t>0,86 (0,70; 1,04)</w:t>
            </w:r>
          </w:p>
        </w:tc>
        <w:tc>
          <w:tcPr>
            <w:tcW w:w="2375" w:type="dxa"/>
          </w:tcPr>
          <w:p w14:paraId="6415BEA4" w14:textId="21C91254" w:rsidR="00E16A1B" w:rsidRDefault="00E16A1B" w:rsidP="00E16A1B">
            <w:pPr>
              <w:spacing w:line="240" w:lineRule="auto"/>
              <w:rPr>
                <w:rFonts w:ascii="Times New Roman" w:eastAsia="Times New Roman" w:hAnsi="Times New Roman" w:cs="Times New Roman"/>
                <w:sz w:val="24"/>
                <w:szCs w:val="24"/>
                <w:lang w:eastAsia="bg-BG"/>
              </w:rPr>
            </w:pPr>
            <w:r>
              <w:t>1,08 (0,89; 1,31)</w:t>
            </w:r>
          </w:p>
        </w:tc>
      </w:tr>
      <w:tr w:rsidR="00E16A1B" w14:paraId="6D5A0F66" w14:textId="77777777" w:rsidTr="006C3E43">
        <w:tc>
          <w:tcPr>
            <w:tcW w:w="9500" w:type="dxa"/>
            <w:gridSpan w:val="4"/>
          </w:tcPr>
          <w:p w14:paraId="2FF5375F" w14:textId="4D78E573"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Анализ на модифицираната, подлежаща на лечение група </w:t>
            </w:r>
            <w:r>
              <w:rPr>
                <w:b/>
                <w:bCs/>
                <w:lang w:val="en-US"/>
              </w:rPr>
              <w:t>(</w:t>
            </w:r>
            <w:proofErr w:type="spellStart"/>
            <w:r>
              <w:rPr>
                <w:b/>
                <w:bCs/>
                <w:lang w:val="en-US"/>
              </w:rPr>
              <w:t>mITT</w:t>
            </w:r>
            <w:proofErr w:type="spellEnd"/>
            <w:r>
              <w:rPr>
                <w:b/>
                <w:bCs/>
                <w:lang w:val="en-US"/>
              </w:rPr>
              <w:t xml:space="preserve">, </w:t>
            </w:r>
            <w:r>
              <w:rPr>
                <w:b/>
                <w:bCs/>
              </w:rPr>
              <w:t>при лечение до месец 43)</w:t>
            </w:r>
          </w:p>
        </w:tc>
      </w:tr>
      <w:tr w:rsidR="00E16A1B" w14:paraId="094551C3" w14:textId="77777777" w:rsidTr="00E16A1B">
        <w:tc>
          <w:tcPr>
            <w:tcW w:w="2375" w:type="dxa"/>
          </w:tcPr>
          <w:p w14:paraId="330DBEBB" w14:textId="77777777" w:rsidR="00E16A1B" w:rsidRDefault="00E16A1B" w:rsidP="00E16A1B">
            <w:pPr>
              <w:spacing w:line="240" w:lineRule="auto"/>
              <w:rPr>
                <w:rFonts w:ascii="Times New Roman" w:eastAsia="Times New Roman" w:hAnsi="Times New Roman" w:cs="Times New Roman"/>
                <w:sz w:val="24"/>
                <w:szCs w:val="24"/>
                <w:lang w:eastAsia="bg-BG"/>
              </w:rPr>
            </w:pPr>
          </w:p>
        </w:tc>
        <w:tc>
          <w:tcPr>
            <w:tcW w:w="2375" w:type="dxa"/>
          </w:tcPr>
          <w:p w14:paraId="315ADD62" w14:textId="6BC03BB5"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Целекоксиб 100-200 </w:t>
            </w:r>
            <w:r>
              <w:rPr>
                <w:b/>
                <w:bCs/>
                <w:lang w:val="en-US"/>
              </w:rPr>
              <w:t xml:space="preserve">mg </w:t>
            </w:r>
            <w:r>
              <w:rPr>
                <w:b/>
                <w:bCs/>
              </w:rPr>
              <w:t>два пъти дневно</w:t>
            </w:r>
          </w:p>
        </w:tc>
        <w:tc>
          <w:tcPr>
            <w:tcW w:w="2375" w:type="dxa"/>
          </w:tcPr>
          <w:p w14:paraId="05EBBD17" w14:textId="48BF7302"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Ибупрофен 600-800 </w:t>
            </w:r>
            <w:r>
              <w:rPr>
                <w:b/>
                <w:bCs/>
                <w:lang w:val="en-US"/>
              </w:rPr>
              <w:t xml:space="preserve">mg </w:t>
            </w:r>
            <w:r>
              <w:rPr>
                <w:b/>
                <w:bCs/>
              </w:rPr>
              <w:t>три пъти дневно</w:t>
            </w:r>
          </w:p>
        </w:tc>
        <w:tc>
          <w:tcPr>
            <w:tcW w:w="2375" w:type="dxa"/>
          </w:tcPr>
          <w:p w14:paraId="3FC1CF95" w14:textId="73ABEF10" w:rsidR="00E16A1B" w:rsidRDefault="00E16A1B" w:rsidP="00E16A1B">
            <w:pPr>
              <w:spacing w:line="240" w:lineRule="auto"/>
              <w:rPr>
                <w:rFonts w:ascii="Times New Roman" w:eastAsia="Times New Roman" w:hAnsi="Times New Roman" w:cs="Times New Roman"/>
                <w:sz w:val="24"/>
                <w:szCs w:val="24"/>
                <w:lang w:eastAsia="bg-BG"/>
              </w:rPr>
            </w:pPr>
            <w:r>
              <w:rPr>
                <w:b/>
                <w:bCs/>
              </w:rPr>
              <w:t xml:space="preserve">Напроксен 375-500 </w:t>
            </w:r>
            <w:r>
              <w:rPr>
                <w:b/>
                <w:bCs/>
                <w:lang w:val="en-US"/>
              </w:rPr>
              <w:t xml:space="preserve">mg </w:t>
            </w:r>
            <w:r>
              <w:rPr>
                <w:b/>
                <w:bCs/>
              </w:rPr>
              <w:t>два пъти дневно</w:t>
            </w:r>
          </w:p>
        </w:tc>
      </w:tr>
      <w:tr w:rsidR="00E16A1B" w14:paraId="5D45CC97" w14:textId="77777777" w:rsidTr="00E16A1B">
        <w:tc>
          <w:tcPr>
            <w:tcW w:w="2375" w:type="dxa"/>
          </w:tcPr>
          <w:p w14:paraId="435E5605" w14:textId="25FF22C3" w:rsidR="00E16A1B" w:rsidRDefault="00E16A1B" w:rsidP="00E16A1B">
            <w:pPr>
              <w:spacing w:line="240" w:lineRule="auto"/>
              <w:rPr>
                <w:rFonts w:ascii="Times New Roman" w:eastAsia="Times New Roman" w:hAnsi="Times New Roman" w:cs="Times New Roman"/>
                <w:sz w:val="24"/>
                <w:szCs w:val="24"/>
                <w:lang w:eastAsia="bg-BG"/>
              </w:rPr>
            </w:pPr>
            <w:r>
              <w:t>Брой</w:t>
            </w:r>
          </w:p>
        </w:tc>
        <w:tc>
          <w:tcPr>
            <w:tcW w:w="2375" w:type="dxa"/>
          </w:tcPr>
          <w:p w14:paraId="1516CFCA" w14:textId="47E566AF" w:rsidR="00E16A1B" w:rsidRDefault="00E16A1B" w:rsidP="00E16A1B">
            <w:pPr>
              <w:spacing w:line="240" w:lineRule="auto"/>
              <w:rPr>
                <w:rFonts w:ascii="Times New Roman" w:eastAsia="Times New Roman" w:hAnsi="Times New Roman" w:cs="Times New Roman"/>
                <w:sz w:val="24"/>
                <w:szCs w:val="24"/>
                <w:lang w:eastAsia="bg-BG"/>
              </w:rPr>
            </w:pPr>
            <w:r>
              <w:t>8 030</w:t>
            </w:r>
          </w:p>
        </w:tc>
        <w:tc>
          <w:tcPr>
            <w:tcW w:w="2375" w:type="dxa"/>
          </w:tcPr>
          <w:p w14:paraId="272E4749" w14:textId="46A12B3B" w:rsidR="00E16A1B" w:rsidRDefault="00E16A1B" w:rsidP="00E16A1B">
            <w:pPr>
              <w:spacing w:line="240" w:lineRule="auto"/>
              <w:rPr>
                <w:rFonts w:ascii="Times New Roman" w:eastAsia="Times New Roman" w:hAnsi="Times New Roman" w:cs="Times New Roman"/>
                <w:sz w:val="24"/>
                <w:szCs w:val="24"/>
                <w:lang w:eastAsia="bg-BG"/>
              </w:rPr>
            </w:pPr>
            <w:r>
              <w:t>7 990</w:t>
            </w:r>
          </w:p>
        </w:tc>
        <w:tc>
          <w:tcPr>
            <w:tcW w:w="2375" w:type="dxa"/>
          </w:tcPr>
          <w:p w14:paraId="35717943" w14:textId="3004403D" w:rsidR="00E16A1B" w:rsidRDefault="00E16A1B" w:rsidP="00E16A1B">
            <w:pPr>
              <w:spacing w:line="240" w:lineRule="auto"/>
              <w:rPr>
                <w:rFonts w:ascii="Times New Roman" w:eastAsia="Times New Roman" w:hAnsi="Times New Roman" w:cs="Times New Roman"/>
                <w:sz w:val="24"/>
                <w:szCs w:val="24"/>
                <w:lang w:eastAsia="bg-BG"/>
              </w:rPr>
            </w:pPr>
            <w:r>
              <w:t>7 933</w:t>
            </w:r>
          </w:p>
        </w:tc>
      </w:tr>
      <w:tr w:rsidR="00E16A1B" w14:paraId="4AABE44F" w14:textId="77777777" w:rsidTr="00E16A1B">
        <w:tc>
          <w:tcPr>
            <w:tcW w:w="2375" w:type="dxa"/>
          </w:tcPr>
          <w:p w14:paraId="59C6A11C" w14:textId="2E213AC7" w:rsidR="00E16A1B" w:rsidRDefault="00E16A1B" w:rsidP="00E16A1B">
            <w:pPr>
              <w:spacing w:line="240" w:lineRule="auto"/>
              <w:rPr>
                <w:rFonts w:ascii="Times New Roman" w:eastAsia="Times New Roman" w:hAnsi="Times New Roman" w:cs="Times New Roman"/>
                <w:sz w:val="24"/>
                <w:szCs w:val="24"/>
                <w:lang w:eastAsia="bg-BG"/>
              </w:rPr>
            </w:pPr>
            <w:r>
              <w:t>Участници със събития</w:t>
            </w:r>
          </w:p>
        </w:tc>
        <w:tc>
          <w:tcPr>
            <w:tcW w:w="2375" w:type="dxa"/>
          </w:tcPr>
          <w:p w14:paraId="341F8A5C" w14:textId="4BD8BD3C" w:rsidR="00E16A1B" w:rsidRDefault="00E16A1B" w:rsidP="00E16A1B">
            <w:pPr>
              <w:spacing w:line="240" w:lineRule="auto"/>
              <w:rPr>
                <w:rFonts w:ascii="Times New Roman" w:eastAsia="Times New Roman" w:hAnsi="Times New Roman" w:cs="Times New Roman"/>
                <w:sz w:val="24"/>
                <w:szCs w:val="24"/>
                <w:lang w:eastAsia="bg-BG"/>
              </w:rPr>
            </w:pPr>
            <w:r>
              <w:t>134(1,7%)</w:t>
            </w:r>
          </w:p>
        </w:tc>
        <w:tc>
          <w:tcPr>
            <w:tcW w:w="2375" w:type="dxa"/>
          </w:tcPr>
          <w:p w14:paraId="390BC76F" w14:textId="54E07193" w:rsidR="00E16A1B" w:rsidRDefault="00E16A1B" w:rsidP="00E16A1B">
            <w:pPr>
              <w:spacing w:line="240" w:lineRule="auto"/>
              <w:rPr>
                <w:rFonts w:ascii="Times New Roman" w:eastAsia="Times New Roman" w:hAnsi="Times New Roman" w:cs="Times New Roman"/>
                <w:sz w:val="24"/>
                <w:szCs w:val="24"/>
                <w:lang w:eastAsia="bg-BG"/>
              </w:rPr>
            </w:pPr>
            <w:r>
              <w:t>155(1,9%)</w:t>
            </w:r>
          </w:p>
        </w:tc>
        <w:tc>
          <w:tcPr>
            <w:tcW w:w="2375" w:type="dxa"/>
          </w:tcPr>
          <w:p w14:paraId="13EEC944" w14:textId="4171F8E2" w:rsidR="00E16A1B" w:rsidRDefault="00E16A1B" w:rsidP="00E16A1B">
            <w:pPr>
              <w:spacing w:line="240" w:lineRule="auto"/>
              <w:rPr>
                <w:rFonts w:ascii="Times New Roman" w:eastAsia="Times New Roman" w:hAnsi="Times New Roman" w:cs="Times New Roman"/>
                <w:sz w:val="24"/>
                <w:szCs w:val="24"/>
                <w:lang w:eastAsia="bg-BG"/>
              </w:rPr>
            </w:pPr>
            <w:r>
              <w:t>144(1,8%)</w:t>
            </w:r>
          </w:p>
        </w:tc>
      </w:tr>
      <w:tr w:rsidR="00E16A1B" w14:paraId="070D9FAD" w14:textId="77777777" w:rsidTr="00E16A1B">
        <w:tc>
          <w:tcPr>
            <w:tcW w:w="2375" w:type="dxa"/>
          </w:tcPr>
          <w:p w14:paraId="3F6283CA" w14:textId="4C65BFD5" w:rsidR="00E16A1B" w:rsidRDefault="00E16A1B" w:rsidP="00E16A1B">
            <w:pPr>
              <w:spacing w:line="240" w:lineRule="auto"/>
              <w:rPr>
                <w:rFonts w:ascii="Times New Roman" w:eastAsia="Times New Roman" w:hAnsi="Times New Roman" w:cs="Times New Roman"/>
                <w:sz w:val="24"/>
                <w:szCs w:val="24"/>
                <w:lang w:eastAsia="bg-BG"/>
              </w:rPr>
            </w:pPr>
            <w:r>
              <w:t>Сравняване по двойки</w:t>
            </w:r>
          </w:p>
        </w:tc>
        <w:tc>
          <w:tcPr>
            <w:tcW w:w="2375" w:type="dxa"/>
          </w:tcPr>
          <w:p w14:paraId="4166B519" w14:textId="767D1E06" w:rsidR="00E16A1B" w:rsidRDefault="00E16A1B" w:rsidP="00E16A1B">
            <w:pPr>
              <w:spacing w:line="240" w:lineRule="auto"/>
              <w:rPr>
                <w:rFonts w:ascii="Times New Roman" w:eastAsia="Times New Roman" w:hAnsi="Times New Roman" w:cs="Times New Roman"/>
                <w:sz w:val="24"/>
                <w:szCs w:val="24"/>
                <w:lang w:eastAsia="bg-BG"/>
              </w:rPr>
            </w:pPr>
            <w:r>
              <w:rPr>
                <w:b/>
                <w:bCs/>
              </w:rPr>
              <w:t>Целекоксиб спрямо напроксен</w:t>
            </w:r>
          </w:p>
        </w:tc>
        <w:tc>
          <w:tcPr>
            <w:tcW w:w="2375" w:type="dxa"/>
          </w:tcPr>
          <w:p w14:paraId="1C3E5C52" w14:textId="38F5CF9B" w:rsidR="00E16A1B" w:rsidRDefault="00E16A1B" w:rsidP="00E16A1B">
            <w:pPr>
              <w:spacing w:line="240" w:lineRule="auto"/>
              <w:rPr>
                <w:rFonts w:ascii="Times New Roman" w:eastAsia="Times New Roman" w:hAnsi="Times New Roman" w:cs="Times New Roman"/>
                <w:sz w:val="24"/>
                <w:szCs w:val="24"/>
                <w:lang w:eastAsia="bg-BG"/>
              </w:rPr>
            </w:pPr>
            <w:r>
              <w:rPr>
                <w:b/>
                <w:bCs/>
              </w:rPr>
              <w:t>Целекоксиб спрямо ибупрофен</w:t>
            </w:r>
          </w:p>
        </w:tc>
        <w:tc>
          <w:tcPr>
            <w:tcW w:w="2375" w:type="dxa"/>
          </w:tcPr>
          <w:p w14:paraId="1F688045" w14:textId="492A37DD" w:rsidR="00E16A1B" w:rsidRDefault="00E16A1B" w:rsidP="00E16A1B">
            <w:pPr>
              <w:spacing w:line="240" w:lineRule="auto"/>
              <w:rPr>
                <w:rFonts w:ascii="Times New Roman" w:eastAsia="Times New Roman" w:hAnsi="Times New Roman" w:cs="Times New Roman"/>
                <w:sz w:val="24"/>
                <w:szCs w:val="24"/>
                <w:lang w:eastAsia="bg-BG"/>
              </w:rPr>
            </w:pPr>
            <w:r>
              <w:rPr>
                <w:b/>
                <w:bCs/>
              </w:rPr>
              <w:t>Целекоксиб спрямо напроксен</w:t>
            </w:r>
          </w:p>
        </w:tc>
      </w:tr>
      <w:tr w:rsidR="00E16A1B" w14:paraId="0CC8BF0D" w14:textId="77777777" w:rsidTr="00E16A1B">
        <w:tc>
          <w:tcPr>
            <w:tcW w:w="2375" w:type="dxa"/>
          </w:tcPr>
          <w:p w14:paraId="30B363B3" w14:textId="73ADE8DB" w:rsidR="00E16A1B" w:rsidRDefault="00E16A1B" w:rsidP="00E16A1B">
            <w:pPr>
              <w:spacing w:line="240" w:lineRule="auto"/>
              <w:rPr>
                <w:rFonts w:ascii="Times New Roman" w:eastAsia="Times New Roman" w:hAnsi="Times New Roman" w:cs="Times New Roman"/>
                <w:sz w:val="24"/>
                <w:szCs w:val="24"/>
                <w:lang w:eastAsia="bg-BG"/>
              </w:rPr>
            </w:pPr>
            <w:r>
              <w:t xml:space="preserve">Коефициент на риска (95% </w:t>
            </w:r>
            <w:r>
              <w:rPr>
                <w:lang w:val="en-US"/>
              </w:rPr>
              <w:t>CI)</w:t>
            </w:r>
          </w:p>
        </w:tc>
        <w:tc>
          <w:tcPr>
            <w:tcW w:w="2375" w:type="dxa"/>
          </w:tcPr>
          <w:p w14:paraId="6D04982D" w14:textId="71CB1603" w:rsidR="00E16A1B" w:rsidRDefault="00E16A1B" w:rsidP="00E16A1B">
            <w:pPr>
              <w:spacing w:line="240" w:lineRule="auto"/>
              <w:rPr>
                <w:rFonts w:ascii="Times New Roman" w:eastAsia="Times New Roman" w:hAnsi="Times New Roman" w:cs="Times New Roman"/>
                <w:sz w:val="24"/>
                <w:szCs w:val="24"/>
                <w:lang w:eastAsia="bg-BG"/>
              </w:rPr>
            </w:pPr>
            <w:r>
              <w:t>0,90 (0,72; 1,14)</w:t>
            </w:r>
          </w:p>
        </w:tc>
        <w:tc>
          <w:tcPr>
            <w:tcW w:w="2375" w:type="dxa"/>
          </w:tcPr>
          <w:p w14:paraId="644EE17E" w14:textId="1718660E" w:rsidR="00E16A1B" w:rsidRDefault="00E16A1B" w:rsidP="00E16A1B">
            <w:pPr>
              <w:spacing w:line="240" w:lineRule="auto"/>
              <w:rPr>
                <w:rFonts w:ascii="Times New Roman" w:eastAsia="Times New Roman" w:hAnsi="Times New Roman" w:cs="Times New Roman"/>
                <w:sz w:val="24"/>
                <w:szCs w:val="24"/>
                <w:lang w:eastAsia="bg-BG"/>
              </w:rPr>
            </w:pPr>
            <w:r>
              <w:t>0,81 (0,64,1,02)</w:t>
            </w:r>
          </w:p>
        </w:tc>
        <w:tc>
          <w:tcPr>
            <w:tcW w:w="2375" w:type="dxa"/>
          </w:tcPr>
          <w:p w14:paraId="412D9563" w14:textId="1E0FEF65" w:rsidR="00E16A1B" w:rsidRDefault="00E16A1B" w:rsidP="00E16A1B">
            <w:pPr>
              <w:spacing w:line="240" w:lineRule="auto"/>
              <w:rPr>
                <w:rFonts w:ascii="Times New Roman" w:eastAsia="Times New Roman" w:hAnsi="Times New Roman" w:cs="Times New Roman"/>
                <w:sz w:val="24"/>
                <w:szCs w:val="24"/>
                <w:lang w:eastAsia="bg-BG"/>
              </w:rPr>
            </w:pPr>
            <w:r>
              <w:t>1,12(0,889,1,40)</w:t>
            </w:r>
          </w:p>
        </w:tc>
      </w:tr>
    </w:tbl>
    <w:p w14:paraId="0A425DC4" w14:textId="645FB408" w:rsidR="00E16A1B" w:rsidRDefault="00E16A1B" w:rsidP="00E16A1B">
      <w:pPr>
        <w:spacing w:line="240" w:lineRule="auto"/>
        <w:rPr>
          <w:rFonts w:ascii="Times New Roman" w:eastAsia="Times New Roman" w:hAnsi="Times New Roman" w:cs="Times New Roman"/>
          <w:sz w:val="24"/>
          <w:szCs w:val="24"/>
          <w:lang w:eastAsia="bg-BG"/>
        </w:rPr>
      </w:pPr>
    </w:p>
    <w:p w14:paraId="722D97CA"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Като цяло, резултатите са числено сходни в групите на целекоксиб и в тази на сравнителния продукт, за вторичните и третичните крайни точки, и по принцип, няма неочаквани находки по отношение на безопасността.</w:t>
      </w:r>
    </w:p>
    <w:p w14:paraId="100A05CC" w14:textId="77777777" w:rsidR="00E16A1B" w:rsidRPr="00E16A1B" w:rsidRDefault="00E16A1B" w:rsidP="00E16A1B">
      <w:pPr>
        <w:spacing w:line="240" w:lineRule="auto"/>
        <w:rPr>
          <w:rFonts w:eastAsia="Times New Roman" w:cs="Arial"/>
          <w:color w:val="000000"/>
          <w:lang w:eastAsia="bg-BG"/>
        </w:rPr>
      </w:pPr>
    </w:p>
    <w:p w14:paraId="735CD816" w14:textId="5EB63B33" w:rsidR="00E16A1B" w:rsidRPr="00E16A1B" w:rsidRDefault="00E16A1B" w:rsidP="00E16A1B">
      <w:pPr>
        <w:spacing w:line="240" w:lineRule="auto"/>
        <w:rPr>
          <w:rFonts w:eastAsia="Times New Roman" w:cs="Arial"/>
          <w:i/>
          <w:iCs/>
          <w:color w:val="000000"/>
          <w:lang w:eastAsia="bg-BG"/>
        </w:rPr>
      </w:pPr>
      <w:r w:rsidRPr="00E16A1B">
        <w:rPr>
          <w:rFonts w:eastAsia="Times New Roman" w:cs="Arial"/>
          <w:color w:val="000000"/>
          <w:lang w:eastAsia="bg-BG"/>
        </w:rPr>
        <w:t xml:space="preserve">Като се вземе предвид всичко това, проучването </w:t>
      </w:r>
      <w:r w:rsidRPr="00E16A1B">
        <w:rPr>
          <w:rFonts w:eastAsia="Times New Roman" w:cs="Arial"/>
          <w:color w:val="000000"/>
          <w:lang w:val="en-US"/>
        </w:rPr>
        <w:t xml:space="preserve">PRECISION </w:t>
      </w:r>
      <w:r w:rsidRPr="00E16A1B">
        <w:rPr>
          <w:rFonts w:eastAsia="Times New Roman" w:cs="Arial"/>
          <w:i/>
          <w:iCs/>
          <w:color w:val="000000"/>
          <w:lang w:eastAsia="bg-BG"/>
        </w:rPr>
        <w:t>посочва, че целекоксиб</w:t>
      </w:r>
      <w:r w:rsidRPr="00E16A1B">
        <w:rPr>
          <w:rFonts w:eastAsia="Times New Roman" w:cs="Arial"/>
          <w:color w:val="000000"/>
          <w:lang w:eastAsia="bg-BG"/>
        </w:rPr>
        <w:t xml:space="preserve"> в най- ниската одобрена доза от 100 </w:t>
      </w:r>
      <w:r w:rsidRPr="00E16A1B">
        <w:rPr>
          <w:rFonts w:eastAsia="Times New Roman" w:cs="Arial"/>
          <w:color w:val="000000"/>
          <w:lang w:val="en-US"/>
        </w:rPr>
        <w:t xml:space="preserve">mg </w:t>
      </w:r>
      <w:r w:rsidRPr="00E16A1B">
        <w:rPr>
          <w:rFonts w:eastAsia="Times New Roman" w:cs="Arial"/>
          <w:color w:val="000000"/>
          <w:lang w:eastAsia="bg-BG"/>
        </w:rPr>
        <w:t xml:space="preserve">два пъти дневно е със сходна безопасност спрямо ибупрофен, дозиран в диапазона от 600 </w:t>
      </w:r>
      <w:r w:rsidRPr="00E16A1B">
        <w:rPr>
          <w:rFonts w:eastAsia="Times New Roman" w:cs="Arial"/>
          <w:color w:val="000000"/>
          <w:lang w:val="en-US"/>
        </w:rPr>
        <w:t xml:space="preserve">mg </w:t>
      </w:r>
      <w:r w:rsidRPr="00E16A1B">
        <w:rPr>
          <w:rFonts w:eastAsia="Times New Roman" w:cs="Arial"/>
          <w:color w:val="000000"/>
          <w:lang w:eastAsia="bg-BG"/>
        </w:rPr>
        <w:t xml:space="preserve">- 800 </w:t>
      </w:r>
      <w:r w:rsidRPr="00E16A1B">
        <w:rPr>
          <w:rFonts w:eastAsia="Times New Roman" w:cs="Arial"/>
          <w:color w:val="000000"/>
          <w:lang w:val="en-US"/>
        </w:rPr>
        <w:t xml:space="preserve">mg </w:t>
      </w:r>
      <w:r w:rsidRPr="00E16A1B">
        <w:rPr>
          <w:rFonts w:eastAsia="Times New Roman" w:cs="Arial"/>
          <w:color w:val="000000"/>
          <w:lang w:eastAsia="bg-BG"/>
        </w:rPr>
        <w:t>три пъти дневно или напроксен, прилаган в</w:t>
      </w:r>
      <w:r w:rsidRPr="00E16A1B">
        <w:rPr>
          <w:rFonts w:eastAsia="Times New Roman" w:cs="Arial"/>
          <w:color w:val="000000"/>
          <w:lang w:val="en-US"/>
        </w:rPr>
        <w:t xml:space="preserve"> </w:t>
      </w:r>
      <w:r w:rsidRPr="00E16A1B">
        <w:rPr>
          <w:rFonts w:eastAsia="Times New Roman" w:cs="Arial"/>
          <w:color w:val="000000"/>
          <w:lang w:eastAsia="bg-BG"/>
        </w:rPr>
        <w:t xml:space="preserve">диапазона от 375 </w:t>
      </w:r>
      <w:r w:rsidRPr="00E16A1B">
        <w:rPr>
          <w:rFonts w:eastAsia="Times New Roman" w:cs="Arial"/>
          <w:color w:val="000000"/>
          <w:lang w:val="en-US"/>
        </w:rPr>
        <w:t xml:space="preserve">mg </w:t>
      </w:r>
      <w:r w:rsidRPr="00E16A1B">
        <w:rPr>
          <w:rFonts w:eastAsia="Times New Roman" w:cs="Arial"/>
          <w:color w:val="000000"/>
          <w:lang w:eastAsia="bg-BG"/>
        </w:rPr>
        <w:t xml:space="preserve">- 500 </w:t>
      </w:r>
      <w:r w:rsidRPr="00E16A1B">
        <w:rPr>
          <w:rFonts w:eastAsia="Times New Roman" w:cs="Arial"/>
          <w:color w:val="000000"/>
          <w:lang w:val="en-US"/>
        </w:rPr>
        <w:t xml:space="preserve">mg </w:t>
      </w:r>
      <w:r w:rsidRPr="00E16A1B">
        <w:rPr>
          <w:rFonts w:eastAsia="Times New Roman" w:cs="Arial"/>
          <w:color w:val="000000"/>
          <w:lang w:eastAsia="bg-BG"/>
        </w:rPr>
        <w:t>два пъти дневно, по отношение на сърдечносъдовите нежелани реакции.</w:t>
      </w:r>
      <w:r w:rsidRPr="00E16A1B">
        <w:rPr>
          <w:rFonts w:eastAsia="Times New Roman" w:cs="Arial"/>
          <w:i/>
          <w:iCs/>
          <w:color w:val="000000"/>
          <w:lang w:eastAsia="bg-BG"/>
        </w:rPr>
        <w:t xml:space="preserve"> </w:t>
      </w:r>
    </w:p>
    <w:p w14:paraId="468A758A" w14:textId="4BDAB462" w:rsidR="00E16A1B" w:rsidRPr="00E16A1B" w:rsidRDefault="00E16A1B" w:rsidP="00E16A1B">
      <w:pPr>
        <w:spacing w:line="240" w:lineRule="auto"/>
        <w:rPr>
          <w:rFonts w:ascii="Times New Roman" w:eastAsia="Times New Roman" w:hAnsi="Times New Roman" w:cs="Times New Roman"/>
          <w:sz w:val="24"/>
          <w:szCs w:val="24"/>
          <w:lang w:eastAsia="bg-BG"/>
        </w:rPr>
      </w:pPr>
      <w:r w:rsidRPr="00E16A1B">
        <w:rPr>
          <w:rFonts w:eastAsia="Times New Roman" w:cs="Arial"/>
          <w:color w:val="000000"/>
          <w:lang w:eastAsia="bg-BG"/>
        </w:rPr>
        <w:t xml:space="preserve">Сърдечносъдовите рискове от класа на НСПВС, включително СОХ-2 инхибиторите са зависими от дозата, поради това резултатите за целекоксиб 200 </w:t>
      </w:r>
      <w:r w:rsidRPr="00E16A1B">
        <w:rPr>
          <w:rFonts w:eastAsia="Times New Roman" w:cs="Arial"/>
          <w:color w:val="000000"/>
          <w:lang w:val="en-US"/>
        </w:rPr>
        <w:t xml:space="preserve">mg </w:t>
      </w:r>
      <w:r w:rsidRPr="00E16A1B">
        <w:rPr>
          <w:rFonts w:eastAsia="Times New Roman" w:cs="Arial"/>
          <w:color w:val="000000"/>
          <w:lang w:eastAsia="bg-BG"/>
        </w:rPr>
        <w:t>дневно по отношение на сърдечносъдовата комбинирана крайна точка не могат да бъдат екстраполирани към схеми на дозиране с използване на по-високи дози целекоксиб.</w:t>
      </w:r>
    </w:p>
    <w:p w14:paraId="7E668C92" w14:textId="2F13DF0D" w:rsidR="00E16A1B" w:rsidRPr="00E16A1B" w:rsidRDefault="00E16A1B" w:rsidP="00E16A1B">
      <w:pPr>
        <w:spacing w:line="240" w:lineRule="auto"/>
        <w:rPr>
          <w:rFonts w:ascii="Times New Roman" w:eastAsia="Times New Roman" w:hAnsi="Times New Roman" w:cs="Times New Roman"/>
          <w:sz w:val="24"/>
          <w:szCs w:val="24"/>
          <w:lang w:val="en-US" w:eastAsia="bg-BG"/>
        </w:rPr>
      </w:pPr>
    </w:p>
    <w:p w14:paraId="7C8C9C46" w14:textId="1C8F40FF" w:rsidR="00E9184E" w:rsidRDefault="002C50EE" w:rsidP="00340E8D">
      <w:pPr>
        <w:pStyle w:val="Heading2"/>
      </w:pPr>
      <w:r>
        <w:t>5.2. Фармакокинетични свойства</w:t>
      </w:r>
    </w:p>
    <w:p w14:paraId="3EBD2684" w14:textId="797B7269" w:rsidR="00E16A1B" w:rsidRDefault="00E16A1B" w:rsidP="00E16A1B"/>
    <w:p w14:paraId="6907C28E" w14:textId="77777777" w:rsidR="00E16A1B" w:rsidRPr="00E16A1B" w:rsidRDefault="00E16A1B" w:rsidP="00E16A1B">
      <w:pPr>
        <w:pStyle w:val="Heading3"/>
        <w:rPr>
          <w:rFonts w:eastAsia="Times New Roman"/>
          <w:u w:val="single"/>
          <w:lang w:eastAsia="bg-BG"/>
        </w:rPr>
      </w:pPr>
      <w:r w:rsidRPr="00E16A1B">
        <w:rPr>
          <w:rFonts w:eastAsia="Times New Roman"/>
          <w:u w:val="single"/>
          <w:lang w:eastAsia="bg-BG"/>
        </w:rPr>
        <w:t>Абсорбция</w:t>
      </w:r>
    </w:p>
    <w:p w14:paraId="69BFB08D"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Целекоксиб се резорбира добре, като достига пикови плазмени концентрации след приблизително 2-3 часа. Приемът по време на хранене (храна с високо съдържание на мазнини) забавя резорбцията на целекоксиб с около 1 час, което води до Т</w:t>
      </w:r>
      <w:r w:rsidRPr="00E16A1B">
        <w:rPr>
          <w:rFonts w:eastAsia="Times New Roman" w:cs="Arial"/>
          <w:color w:val="000000"/>
          <w:vertAlign w:val="subscript"/>
          <w:lang w:val="en-US"/>
        </w:rPr>
        <w:t>max</w:t>
      </w:r>
      <w:r w:rsidRPr="00E16A1B">
        <w:rPr>
          <w:rFonts w:eastAsia="Times New Roman" w:cs="Arial"/>
          <w:color w:val="000000"/>
          <w:lang w:eastAsia="bg-BG"/>
        </w:rPr>
        <w:t xml:space="preserve"> от около 4 часа и увеличение на бионаличността с около 20%.</w:t>
      </w:r>
    </w:p>
    <w:p w14:paraId="69D9B826" w14:textId="77777777" w:rsidR="00E16A1B" w:rsidRPr="00E16A1B" w:rsidRDefault="00E16A1B" w:rsidP="00E16A1B">
      <w:pPr>
        <w:spacing w:line="240" w:lineRule="auto"/>
        <w:rPr>
          <w:rFonts w:eastAsia="Times New Roman" w:cs="Arial"/>
          <w:color w:val="000000"/>
          <w:lang w:eastAsia="bg-BG"/>
        </w:rPr>
      </w:pPr>
    </w:p>
    <w:p w14:paraId="79E511CC" w14:textId="48D9E2AC"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При здрави възрастни доброволци общата системна експозиция </w:t>
      </w:r>
      <w:r w:rsidRPr="00E16A1B">
        <w:rPr>
          <w:rFonts w:eastAsia="Times New Roman" w:cs="Arial"/>
          <w:color w:val="000000"/>
          <w:lang w:val="en-US"/>
        </w:rPr>
        <w:t xml:space="preserve">(AUC) </w:t>
      </w:r>
      <w:r w:rsidRPr="00E16A1B">
        <w:rPr>
          <w:rFonts w:eastAsia="Times New Roman" w:cs="Arial"/>
          <w:color w:val="000000"/>
          <w:lang w:eastAsia="bg-BG"/>
        </w:rPr>
        <w:t xml:space="preserve">на цлелекоксиб е еквивалентна, когато целекоксиб се приема под формата на цяла капсула или съдържанието на капсулата се поръсва върху ябълково пюре. Няма значими промени на </w:t>
      </w:r>
      <w:proofErr w:type="spellStart"/>
      <w:r w:rsidRPr="00E16A1B">
        <w:rPr>
          <w:rFonts w:eastAsia="Times New Roman" w:cs="Arial"/>
          <w:color w:val="000000"/>
          <w:lang w:val="en-US"/>
        </w:rPr>
        <w:t>C</w:t>
      </w:r>
      <w:r w:rsidRPr="00E16A1B">
        <w:rPr>
          <w:rFonts w:eastAsia="Times New Roman" w:cs="Arial"/>
          <w:color w:val="000000"/>
          <w:vertAlign w:val="subscript"/>
          <w:lang w:val="en-US"/>
        </w:rPr>
        <w:t>max</w:t>
      </w:r>
      <w:proofErr w:type="spellEnd"/>
      <w:r w:rsidRPr="00E16A1B">
        <w:rPr>
          <w:rFonts w:eastAsia="Times New Roman" w:cs="Arial"/>
          <w:color w:val="000000"/>
          <w:lang w:val="en-US"/>
        </w:rPr>
        <w:t xml:space="preserve"> </w:t>
      </w:r>
      <w:r w:rsidRPr="00E16A1B">
        <w:rPr>
          <w:rFonts w:eastAsia="Times New Roman" w:cs="Arial"/>
          <w:color w:val="000000"/>
          <w:lang w:eastAsia="bg-BG"/>
        </w:rPr>
        <w:t>,Т</w:t>
      </w:r>
      <w:r w:rsidRPr="00E16A1B">
        <w:rPr>
          <w:rFonts w:eastAsia="Times New Roman" w:cs="Arial"/>
          <w:color w:val="000000"/>
          <w:vertAlign w:val="subscript"/>
          <w:lang w:val="en-US"/>
        </w:rPr>
        <w:t>m</w:t>
      </w:r>
      <w:r w:rsidRPr="00E16A1B">
        <w:rPr>
          <w:rFonts w:eastAsia="Times New Roman" w:cs="Arial"/>
          <w:color w:val="000000"/>
          <w:vertAlign w:val="subscript"/>
          <w:lang w:eastAsia="bg-BG"/>
        </w:rPr>
        <w:t>ах</w:t>
      </w:r>
      <w:r w:rsidRPr="00E16A1B">
        <w:rPr>
          <w:rFonts w:eastAsia="Times New Roman" w:cs="Arial"/>
          <w:color w:val="000000"/>
          <w:lang w:eastAsia="bg-BG"/>
        </w:rPr>
        <w:t xml:space="preserve"> или Т</w:t>
      </w:r>
      <w:r w:rsidRPr="00E16A1B">
        <w:rPr>
          <w:rFonts w:eastAsia="Times New Roman" w:cs="Arial"/>
          <w:color w:val="000000"/>
          <w:vertAlign w:val="subscript"/>
          <w:lang w:eastAsia="bg-BG"/>
        </w:rPr>
        <w:t>1/2</w:t>
      </w:r>
      <w:r w:rsidRPr="00E16A1B">
        <w:rPr>
          <w:rFonts w:eastAsia="Times New Roman" w:cs="Arial"/>
          <w:color w:val="000000"/>
          <w:lang w:eastAsia="bg-BG"/>
        </w:rPr>
        <w:t xml:space="preserve"> след приемане на съдържанието на капсулата върху ябълково пюре.</w:t>
      </w:r>
    </w:p>
    <w:p w14:paraId="554A2036" w14:textId="77777777" w:rsidR="00E16A1B" w:rsidRPr="00E16A1B" w:rsidRDefault="00E16A1B" w:rsidP="00E16A1B">
      <w:pPr>
        <w:spacing w:line="240" w:lineRule="auto"/>
        <w:rPr>
          <w:rFonts w:eastAsia="Times New Roman" w:cs="Arial"/>
          <w:color w:val="000000"/>
          <w:u w:val="single"/>
          <w:lang w:eastAsia="bg-BG"/>
        </w:rPr>
      </w:pPr>
    </w:p>
    <w:p w14:paraId="63E8B39F" w14:textId="607A7793" w:rsidR="00E16A1B" w:rsidRPr="00E16A1B" w:rsidRDefault="00E16A1B" w:rsidP="00E16A1B">
      <w:pPr>
        <w:pStyle w:val="Heading3"/>
        <w:rPr>
          <w:rFonts w:eastAsia="Times New Roman"/>
          <w:u w:val="single"/>
          <w:lang w:eastAsia="bg-BG"/>
        </w:rPr>
      </w:pPr>
      <w:r w:rsidRPr="00E16A1B">
        <w:rPr>
          <w:rFonts w:eastAsia="Times New Roman"/>
          <w:u w:val="single"/>
          <w:lang w:eastAsia="bg-BG"/>
        </w:rPr>
        <w:t>Разпределение</w:t>
      </w:r>
    </w:p>
    <w:p w14:paraId="713FC5FB"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Свързването с плазмените протеини е около 97% при терапевтични плазмени концентрации, като лекарствения продукт не се свързва преференциално с еритроцити.</w:t>
      </w:r>
    </w:p>
    <w:p w14:paraId="20B46BC3" w14:textId="77777777" w:rsidR="00E16A1B" w:rsidRPr="00E16A1B" w:rsidRDefault="00E16A1B" w:rsidP="00E16A1B">
      <w:pPr>
        <w:spacing w:line="240" w:lineRule="auto"/>
        <w:rPr>
          <w:rFonts w:eastAsia="Times New Roman" w:cs="Arial"/>
          <w:color w:val="000000"/>
          <w:u w:val="single"/>
          <w:lang w:eastAsia="bg-BG"/>
        </w:rPr>
      </w:pPr>
    </w:p>
    <w:p w14:paraId="369B2B9D" w14:textId="17C2A158" w:rsidR="00E16A1B" w:rsidRPr="00E16A1B" w:rsidRDefault="00E16A1B" w:rsidP="00E16A1B">
      <w:pPr>
        <w:pStyle w:val="Heading3"/>
        <w:rPr>
          <w:rFonts w:eastAsia="Times New Roman"/>
          <w:u w:val="single"/>
          <w:lang w:eastAsia="bg-BG"/>
        </w:rPr>
      </w:pPr>
      <w:r w:rsidRPr="00E16A1B">
        <w:rPr>
          <w:rFonts w:eastAsia="Times New Roman"/>
          <w:u w:val="single"/>
          <w:lang w:eastAsia="bg-BG"/>
        </w:rPr>
        <w:t>Биотрансформация</w:t>
      </w:r>
    </w:p>
    <w:p w14:paraId="79E50292"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Метаболизмът на целекоксиб се осъществява основно чрез цитохром Р450 </w:t>
      </w:r>
      <w:r w:rsidRPr="00E16A1B">
        <w:rPr>
          <w:rFonts w:eastAsia="Times New Roman" w:cs="Arial"/>
          <w:color w:val="000000"/>
          <w:lang w:val="en-US"/>
        </w:rPr>
        <w:t xml:space="preserve">CYP2C9. </w:t>
      </w:r>
      <w:r w:rsidRPr="00E16A1B">
        <w:rPr>
          <w:rFonts w:eastAsia="Times New Roman" w:cs="Arial"/>
          <w:color w:val="000000"/>
          <w:lang w:eastAsia="bg-BG"/>
        </w:rPr>
        <w:t>Три метаболита, неактивни като СОХ-1 или СОХ-2 инхибитори, са идентифицирани в човешката плазма, а именно първичен алкохол, съответната карбоксилна киселина и нейния глюкуронид.</w:t>
      </w:r>
    </w:p>
    <w:p w14:paraId="78446AB3" w14:textId="77777777" w:rsidR="00E16A1B" w:rsidRPr="00E16A1B" w:rsidRDefault="00E16A1B" w:rsidP="00E16A1B">
      <w:pPr>
        <w:spacing w:line="240" w:lineRule="auto"/>
        <w:rPr>
          <w:rFonts w:eastAsia="Times New Roman" w:cs="Arial"/>
          <w:color w:val="000000"/>
          <w:lang w:eastAsia="bg-BG"/>
        </w:rPr>
      </w:pPr>
    </w:p>
    <w:p w14:paraId="61A08164" w14:textId="4EFA6D6A"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Активността на цитохром Р450 </w:t>
      </w:r>
      <w:r w:rsidRPr="00E16A1B">
        <w:rPr>
          <w:rFonts w:eastAsia="Times New Roman" w:cs="Arial"/>
          <w:color w:val="000000"/>
          <w:lang w:val="en-US"/>
        </w:rPr>
        <w:t xml:space="preserve">CYP2C9 </w:t>
      </w:r>
      <w:r w:rsidRPr="00E16A1B">
        <w:rPr>
          <w:rFonts w:eastAsia="Times New Roman" w:cs="Arial"/>
          <w:color w:val="000000"/>
          <w:lang w:eastAsia="bg-BG"/>
        </w:rPr>
        <w:t xml:space="preserve">е намалена при пациенти с генетичен полиморфизъм, което води до намалена ензимна активност, както при хомозиготни за </w:t>
      </w:r>
      <w:r w:rsidRPr="00E16A1B">
        <w:rPr>
          <w:rFonts w:eastAsia="Times New Roman" w:cs="Arial"/>
          <w:color w:val="000000"/>
          <w:lang w:val="en-US"/>
        </w:rPr>
        <w:t xml:space="preserve">CYP2C9*3 </w:t>
      </w:r>
      <w:r w:rsidRPr="00E16A1B">
        <w:rPr>
          <w:rFonts w:eastAsia="Times New Roman" w:cs="Arial"/>
          <w:color w:val="000000"/>
          <w:lang w:eastAsia="bg-BG"/>
        </w:rPr>
        <w:t>полиморфизъм индивиди.</w:t>
      </w:r>
    </w:p>
    <w:p w14:paraId="4683F27D" w14:textId="77777777" w:rsidR="00E16A1B" w:rsidRPr="00E16A1B" w:rsidRDefault="00E16A1B" w:rsidP="00E16A1B">
      <w:pPr>
        <w:spacing w:line="240" w:lineRule="auto"/>
        <w:rPr>
          <w:rFonts w:eastAsia="Times New Roman" w:cs="Arial"/>
          <w:color w:val="000000"/>
          <w:lang w:eastAsia="bg-BG"/>
        </w:rPr>
      </w:pPr>
    </w:p>
    <w:p w14:paraId="6590B7F6" w14:textId="2D057C72"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Във фармакокинетично проучване на целекоксиб 200 </w:t>
      </w:r>
      <w:r w:rsidRPr="00E16A1B">
        <w:rPr>
          <w:rFonts w:eastAsia="Times New Roman" w:cs="Arial"/>
          <w:color w:val="000000"/>
          <w:lang w:val="en-US"/>
        </w:rPr>
        <w:t xml:space="preserve">mg, </w:t>
      </w:r>
      <w:r w:rsidRPr="00E16A1B">
        <w:rPr>
          <w:rFonts w:eastAsia="Times New Roman" w:cs="Arial"/>
          <w:color w:val="000000"/>
          <w:lang w:eastAsia="bg-BG"/>
        </w:rPr>
        <w:t xml:space="preserve">приеман веднъж дневно, при здрави доброволци със следните генотипи </w:t>
      </w:r>
      <w:r w:rsidRPr="00E16A1B">
        <w:rPr>
          <w:rFonts w:eastAsia="Times New Roman" w:cs="Arial"/>
          <w:color w:val="000000"/>
          <w:lang w:val="en-US"/>
        </w:rPr>
        <w:t xml:space="preserve">CYP2C9*1/*1, CYP2C9*l/*3 </w:t>
      </w:r>
      <w:r w:rsidRPr="00E16A1B">
        <w:rPr>
          <w:rFonts w:eastAsia="Times New Roman" w:cs="Arial"/>
          <w:color w:val="000000"/>
          <w:lang w:eastAsia="bg-BG"/>
        </w:rPr>
        <w:t xml:space="preserve">или </w:t>
      </w:r>
      <w:r w:rsidRPr="00E16A1B">
        <w:rPr>
          <w:rFonts w:eastAsia="Times New Roman" w:cs="Arial"/>
          <w:color w:val="000000"/>
          <w:lang w:val="en-US"/>
        </w:rPr>
        <w:t xml:space="preserve">CYP2C9*3/*3, </w:t>
      </w:r>
      <w:r w:rsidRPr="00E16A1B">
        <w:rPr>
          <w:rFonts w:eastAsia="Times New Roman" w:cs="Arial"/>
          <w:color w:val="000000"/>
          <w:lang w:eastAsia="bg-BG"/>
        </w:rPr>
        <w:t xml:space="preserve">средната </w:t>
      </w:r>
      <w:proofErr w:type="spellStart"/>
      <w:r w:rsidRPr="00E16A1B">
        <w:rPr>
          <w:rFonts w:eastAsia="Times New Roman" w:cs="Arial"/>
          <w:color w:val="000000"/>
          <w:lang w:val="en-US"/>
        </w:rPr>
        <w:t>Cmax</w:t>
      </w:r>
      <w:proofErr w:type="spellEnd"/>
      <w:r w:rsidRPr="00E16A1B">
        <w:rPr>
          <w:rFonts w:eastAsia="Times New Roman" w:cs="Arial"/>
          <w:color w:val="000000"/>
          <w:lang w:val="en-US"/>
        </w:rPr>
        <w:t xml:space="preserve"> </w:t>
      </w:r>
      <w:r w:rsidRPr="00E16A1B">
        <w:rPr>
          <w:rFonts w:eastAsia="Times New Roman" w:cs="Arial"/>
          <w:color w:val="000000"/>
          <w:lang w:eastAsia="bg-BG"/>
        </w:rPr>
        <w:t xml:space="preserve">и </w:t>
      </w:r>
      <w:r w:rsidRPr="00E16A1B">
        <w:rPr>
          <w:rFonts w:eastAsia="Times New Roman" w:cs="Arial"/>
          <w:color w:val="000000"/>
          <w:lang w:val="en-US"/>
        </w:rPr>
        <w:t xml:space="preserve">AUC </w:t>
      </w:r>
      <w:r w:rsidRPr="00E16A1B">
        <w:rPr>
          <w:rFonts w:eastAsia="Times New Roman" w:cs="Arial"/>
          <w:color w:val="000000"/>
          <w:lang w:eastAsia="bg-BG"/>
        </w:rPr>
        <w:t xml:space="preserve">за 24 часа на целекоксиб на ден 7 е била приблизително съответно 4 пъти и 7 пъти увеличена, при индивиди с генотип </w:t>
      </w:r>
      <w:r w:rsidRPr="00E16A1B">
        <w:rPr>
          <w:rFonts w:eastAsia="Times New Roman" w:cs="Arial"/>
          <w:color w:val="000000"/>
          <w:lang w:val="en-US"/>
        </w:rPr>
        <w:t xml:space="preserve">CYP2C9*3/*3 </w:t>
      </w:r>
      <w:r w:rsidRPr="00E16A1B">
        <w:rPr>
          <w:rFonts w:eastAsia="Times New Roman" w:cs="Arial"/>
          <w:color w:val="000000"/>
          <w:lang w:eastAsia="bg-BG"/>
        </w:rPr>
        <w:t xml:space="preserve">спрямо други генотипи. В три отделни проучвания с еднократна доза, включващи общо 5 участници с генотип </w:t>
      </w:r>
      <w:r w:rsidRPr="00E16A1B">
        <w:rPr>
          <w:rFonts w:eastAsia="Times New Roman" w:cs="Arial"/>
          <w:color w:val="000000"/>
          <w:lang w:val="en-US"/>
        </w:rPr>
        <w:t xml:space="preserve">CYP2C9*3/*3, AUC </w:t>
      </w:r>
      <w:r w:rsidRPr="00E16A1B">
        <w:rPr>
          <w:rFonts w:eastAsia="Times New Roman" w:cs="Arial"/>
          <w:color w:val="000000"/>
          <w:lang w:eastAsia="bg-BG"/>
        </w:rPr>
        <w:t>за 24 часа при еднократна доза е приблизително 3 пъти увеличена спрямо тази при нормалните метаболизатори. Установено е, че честотата на хомозиготния *3/*3 генотип е 0,3-1,0% сред различни етнически групи.</w:t>
      </w:r>
    </w:p>
    <w:p w14:paraId="654927AA" w14:textId="77777777" w:rsidR="00E16A1B" w:rsidRPr="00E16A1B" w:rsidRDefault="00E16A1B" w:rsidP="00E16A1B">
      <w:pPr>
        <w:spacing w:line="240" w:lineRule="auto"/>
        <w:rPr>
          <w:rFonts w:eastAsia="Times New Roman" w:cs="Arial"/>
          <w:color w:val="000000"/>
          <w:lang w:eastAsia="bg-BG"/>
        </w:rPr>
      </w:pPr>
    </w:p>
    <w:p w14:paraId="7BEE4203" w14:textId="73BE4425"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lastRenderedPageBreak/>
        <w:t xml:space="preserve">Пациенти, за които е известно или се предполага, че са бавни </w:t>
      </w:r>
      <w:r w:rsidRPr="00E16A1B">
        <w:rPr>
          <w:rFonts w:eastAsia="Times New Roman" w:cs="Arial"/>
          <w:color w:val="000000"/>
          <w:lang w:val="en-US"/>
        </w:rPr>
        <w:t xml:space="preserve">CYP2C9 </w:t>
      </w:r>
      <w:r w:rsidRPr="00E16A1B">
        <w:rPr>
          <w:rFonts w:eastAsia="Times New Roman" w:cs="Arial"/>
          <w:color w:val="000000"/>
          <w:lang w:eastAsia="bg-BG"/>
        </w:rPr>
        <w:t xml:space="preserve">метаболизатори въз основа на анамнеза/предишен опит с други </w:t>
      </w:r>
      <w:r w:rsidRPr="00E16A1B">
        <w:rPr>
          <w:rFonts w:eastAsia="Times New Roman" w:cs="Arial"/>
          <w:color w:val="000000"/>
          <w:lang w:val="en-US"/>
        </w:rPr>
        <w:t xml:space="preserve">CYP2C9 </w:t>
      </w:r>
      <w:r w:rsidRPr="00E16A1B">
        <w:rPr>
          <w:rFonts w:eastAsia="Times New Roman" w:cs="Arial"/>
          <w:color w:val="000000"/>
          <w:lang w:eastAsia="bg-BG"/>
        </w:rPr>
        <w:t>субстрати, целекоксиб трябва да се приема с повишено внимание (вж. точка 4.2).</w:t>
      </w:r>
    </w:p>
    <w:p w14:paraId="4D6DD948" w14:textId="77777777" w:rsidR="00E16A1B" w:rsidRPr="00E16A1B" w:rsidRDefault="00E16A1B" w:rsidP="00E16A1B">
      <w:pPr>
        <w:spacing w:line="240" w:lineRule="auto"/>
        <w:rPr>
          <w:rFonts w:eastAsia="Times New Roman" w:cs="Arial"/>
          <w:color w:val="000000"/>
          <w:lang w:eastAsia="bg-BG"/>
        </w:rPr>
      </w:pPr>
    </w:p>
    <w:p w14:paraId="7E6771A2" w14:textId="42839813"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Не са установени клинично значими разлики във фармакокинетичните параметри на целекоксиб между афро-американци и лица от кавказката раса в напреднала възраст.</w:t>
      </w:r>
    </w:p>
    <w:p w14:paraId="431BC187" w14:textId="77777777" w:rsidR="00E16A1B" w:rsidRPr="00E16A1B" w:rsidRDefault="00E16A1B" w:rsidP="00E16A1B">
      <w:pPr>
        <w:spacing w:line="240" w:lineRule="auto"/>
        <w:rPr>
          <w:rFonts w:eastAsia="Times New Roman" w:cs="Arial"/>
          <w:color w:val="000000"/>
          <w:lang w:eastAsia="bg-BG"/>
        </w:rPr>
      </w:pPr>
    </w:p>
    <w:p w14:paraId="617F607E" w14:textId="0A358AD5"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Плазмената концентрация на целекоксиб е увеличена приблизително 100 % при жените в старческа възраст(&gt;65 години).</w:t>
      </w:r>
    </w:p>
    <w:p w14:paraId="0EDF60D8" w14:textId="77777777" w:rsidR="00E16A1B" w:rsidRPr="00E16A1B" w:rsidRDefault="00E16A1B" w:rsidP="00E16A1B">
      <w:pPr>
        <w:spacing w:line="240" w:lineRule="auto"/>
        <w:rPr>
          <w:rFonts w:eastAsia="Times New Roman" w:cs="Arial"/>
          <w:color w:val="000000"/>
          <w:u w:val="single"/>
          <w:lang w:eastAsia="bg-BG"/>
        </w:rPr>
      </w:pPr>
    </w:p>
    <w:p w14:paraId="6EA5995D" w14:textId="1ADC4212" w:rsidR="00E16A1B" w:rsidRPr="00E16A1B" w:rsidRDefault="00E16A1B" w:rsidP="00E16A1B">
      <w:pPr>
        <w:pStyle w:val="Heading3"/>
        <w:rPr>
          <w:rFonts w:eastAsia="Times New Roman"/>
          <w:u w:val="single"/>
          <w:lang w:eastAsia="bg-BG"/>
        </w:rPr>
      </w:pPr>
      <w:r w:rsidRPr="00E16A1B">
        <w:rPr>
          <w:rFonts w:eastAsia="Times New Roman"/>
          <w:u w:val="single"/>
          <w:lang w:eastAsia="bg-BG"/>
        </w:rPr>
        <w:t>Елиминиране</w:t>
      </w:r>
    </w:p>
    <w:p w14:paraId="61F96B96"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Целекоксиб се елиминира главно чрез метаболизъм. По-малко от 1% от дозата се екскретира в урината в непроменен вид. Разликите в експозицията на целекоксиб между различни пациенти е около десет пъти. Целекосиб има дозо- и времезависима фармакокинетика в терапевтичния </w:t>
      </w:r>
      <w:r w:rsidRPr="00E16A1B">
        <w:rPr>
          <w:rFonts w:eastAsia="Times New Roman" w:cs="Arial"/>
          <w:i/>
          <w:iCs/>
          <w:color w:val="000000"/>
          <w:lang w:eastAsia="bg-BG"/>
        </w:rPr>
        <w:t>дозов интервал. Времето на полуживот</w:t>
      </w:r>
      <w:r w:rsidRPr="00E16A1B">
        <w:rPr>
          <w:rFonts w:eastAsia="Times New Roman" w:cs="Arial"/>
          <w:color w:val="000000"/>
          <w:lang w:eastAsia="bg-BG"/>
        </w:rPr>
        <w:t xml:space="preserve"> е 8-12 часа. Равновесните плазмени концентрации се достигат в рамките на 5-дневно лечение.</w:t>
      </w:r>
    </w:p>
    <w:p w14:paraId="611C70CF" w14:textId="77777777" w:rsidR="00E16A1B" w:rsidRPr="00E16A1B" w:rsidRDefault="00E16A1B" w:rsidP="00E16A1B">
      <w:pPr>
        <w:spacing w:line="240" w:lineRule="auto"/>
        <w:rPr>
          <w:rFonts w:eastAsia="Times New Roman" w:cs="Arial"/>
          <w:color w:val="000000"/>
          <w:u w:val="single"/>
          <w:lang w:eastAsia="bg-BG"/>
        </w:rPr>
      </w:pPr>
    </w:p>
    <w:p w14:paraId="38A13B6D" w14:textId="2A92E9B4"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u w:val="single"/>
          <w:lang w:eastAsia="bg-BG"/>
        </w:rPr>
        <w:t>Бъбречна недостатъчност</w:t>
      </w:r>
    </w:p>
    <w:p w14:paraId="64E33CE0"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Съществува ограничен опит с целекоксиб при бъбречна недостатъчност. Фармакокинетиката на целекоксиб не е проучена при пациенти с бъбречно увреждане, но е малко вероятно тя да е значително променена при тези пациенти. Ето защо, при лечение на пациенти с бъбречно увреждане се препоръчва </w:t>
      </w:r>
      <w:r w:rsidRPr="00E16A1B">
        <w:rPr>
          <w:rFonts w:eastAsia="Times New Roman" w:cs="Arial"/>
          <w:i/>
          <w:iCs/>
          <w:color w:val="000000"/>
          <w:lang w:eastAsia="bg-BG"/>
        </w:rPr>
        <w:t>повишено внимание.</w:t>
      </w:r>
      <w:r w:rsidRPr="00E16A1B">
        <w:rPr>
          <w:rFonts w:eastAsia="Times New Roman" w:cs="Arial"/>
          <w:color w:val="000000"/>
          <w:lang w:eastAsia="bg-BG"/>
        </w:rPr>
        <w:t xml:space="preserve"> Тежка бъбречна недостатъчност е противопоказание.</w:t>
      </w:r>
    </w:p>
    <w:p w14:paraId="6192C3D5" w14:textId="77777777" w:rsidR="00E16A1B" w:rsidRPr="00E16A1B" w:rsidRDefault="00E16A1B" w:rsidP="00E16A1B">
      <w:pPr>
        <w:spacing w:line="240" w:lineRule="auto"/>
        <w:rPr>
          <w:rFonts w:eastAsia="Times New Roman" w:cs="Arial"/>
          <w:color w:val="000000"/>
          <w:u w:val="single"/>
          <w:lang w:eastAsia="bg-BG"/>
        </w:rPr>
      </w:pPr>
    </w:p>
    <w:p w14:paraId="7CA337CF" w14:textId="0E90BC41"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u w:val="single"/>
          <w:lang w:eastAsia="bg-BG"/>
        </w:rPr>
        <w:t>Чернодробна недостатъчност</w:t>
      </w:r>
    </w:p>
    <w:p w14:paraId="1CA1099F" w14:textId="77777777" w:rsidR="00E16A1B" w:rsidRPr="00E16A1B" w:rsidRDefault="00E16A1B" w:rsidP="00E16A1B">
      <w:pPr>
        <w:spacing w:line="240" w:lineRule="auto"/>
        <w:rPr>
          <w:rFonts w:eastAsia="Times New Roman" w:cs="Arial"/>
          <w:sz w:val="24"/>
          <w:szCs w:val="24"/>
          <w:lang w:eastAsia="bg-BG"/>
        </w:rPr>
      </w:pPr>
      <w:r w:rsidRPr="00E16A1B">
        <w:rPr>
          <w:rFonts w:eastAsia="Times New Roman" w:cs="Arial"/>
          <w:color w:val="000000"/>
          <w:lang w:eastAsia="bg-BG"/>
        </w:rPr>
        <w:t xml:space="preserve">В сравнение с лица с нормална чернодробна функция, пациентите с леко чернодробни увреждане са имали средно увеличение на Стах с 53%, а на </w:t>
      </w:r>
      <w:r w:rsidRPr="00E16A1B">
        <w:rPr>
          <w:rFonts w:eastAsia="Times New Roman" w:cs="Arial"/>
          <w:color w:val="000000"/>
          <w:lang w:val="en-US"/>
        </w:rPr>
        <w:t xml:space="preserve">AUC </w:t>
      </w:r>
      <w:r w:rsidRPr="00E16A1B">
        <w:rPr>
          <w:rFonts w:eastAsia="Times New Roman" w:cs="Arial"/>
          <w:color w:val="000000"/>
          <w:lang w:eastAsia="bg-BG"/>
        </w:rPr>
        <w:t xml:space="preserve">с 26% за целекоксиб. Съответните стойности при пациенти с умерено чернодробно увреждане са били съответно 41% и 146%. Метаболитният капацитет при пациенти с леко до умерено увреждане корелира най-добре на стойностите на албумина. При пациенти с умерено чернодробно увреждане (със серумен албумин 25-35 </w:t>
      </w:r>
      <w:r w:rsidRPr="00E16A1B">
        <w:rPr>
          <w:rFonts w:eastAsia="Times New Roman" w:cs="Arial"/>
          <w:color w:val="000000"/>
          <w:lang w:val="en-US"/>
        </w:rPr>
        <w:t xml:space="preserve">g/l) </w:t>
      </w:r>
      <w:r w:rsidRPr="00E16A1B">
        <w:rPr>
          <w:rFonts w:eastAsia="Times New Roman" w:cs="Arial"/>
          <w:color w:val="000000"/>
          <w:lang w:eastAsia="bg-BG"/>
        </w:rPr>
        <w:t xml:space="preserve">лечението трябва да бъде започнато с половината от препоръчителната доза. При пациенти с тежко чернодробно увреждане (серумен албумин &lt; 25 </w:t>
      </w:r>
      <w:r w:rsidRPr="00E16A1B">
        <w:rPr>
          <w:rFonts w:eastAsia="Times New Roman" w:cs="Arial"/>
          <w:color w:val="000000"/>
          <w:lang w:val="en-US"/>
        </w:rPr>
        <w:t xml:space="preserve">g/l) </w:t>
      </w:r>
      <w:r w:rsidRPr="00E16A1B">
        <w:rPr>
          <w:rFonts w:eastAsia="Times New Roman" w:cs="Arial"/>
          <w:color w:val="000000"/>
          <w:lang w:eastAsia="bg-BG"/>
        </w:rPr>
        <w:t>не са правени проучвания и целекоксиб е противопоказан при тази група пациенти.</w:t>
      </w:r>
    </w:p>
    <w:p w14:paraId="0FE12BE5" w14:textId="77777777" w:rsidR="00E16A1B" w:rsidRPr="00E16A1B" w:rsidRDefault="00E16A1B" w:rsidP="00E16A1B"/>
    <w:p w14:paraId="0BD5B037" w14:textId="20927BE5" w:rsidR="008F7F23" w:rsidRDefault="002C50EE" w:rsidP="00340E8D">
      <w:pPr>
        <w:pStyle w:val="Heading2"/>
      </w:pPr>
      <w:r>
        <w:t>5.3. Предклинични данни за безопасност</w:t>
      </w:r>
    </w:p>
    <w:p w14:paraId="2EA7D22A" w14:textId="77366427" w:rsidR="00E16A1B" w:rsidRDefault="00E16A1B" w:rsidP="00E16A1B"/>
    <w:p w14:paraId="33303C28" w14:textId="77777777" w:rsidR="00E16A1B" w:rsidRPr="00E16A1B" w:rsidRDefault="00E16A1B" w:rsidP="00E16A1B">
      <w:pPr>
        <w:rPr>
          <w:sz w:val="24"/>
          <w:szCs w:val="24"/>
          <w:lang w:eastAsia="bg-BG"/>
        </w:rPr>
      </w:pPr>
      <w:r w:rsidRPr="00E16A1B">
        <w:rPr>
          <w:lang w:eastAsia="bg-BG"/>
        </w:rPr>
        <w:t>Неклининичните данни за безопасност не показват особени рискове за хора на базата на конвенционалните проучвания за токсичност при многократно прилагане, мутагенност или карциногеген потенциал, освен упоменатите в точки 4.4,4.6 и 5.1 от кратката характеристика на продукта.</w:t>
      </w:r>
    </w:p>
    <w:p w14:paraId="620B6757" w14:textId="77777777" w:rsidR="00E16A1B" w:rsidRDefault="00E16A1B" w:rsidP="00E16A1B">
      <w:pPr>
        <w:rPr>
          <w:lang w:eastAsia="bg-BG"/>
        </w:rPr>
      </w:pPr>
    </w:p>
    <w:p w14:paraId="5C80A02C" w14:textId="04DE5FBC" w:rsidR="00E16A1B" w:rsidRPr="00E16A1B" w:rsidRDefault="00E16A1B" w:rsidP="00E16A1B">
      <w:pPr>
        <w:rPr>
          <w:sz w:val="24"/>
          <w:szCs w:val="24"/>
          <w:lang w:eastAsia="bg-BG"/>
        </w:rPr>
      </w:pPr>
      <w:r w:rsidRPr="00E16A1B">
        <w:rPr>
          <w:lang w:eastAsia="bg-BG"/>
        </w:rPr>
        <w:t xml:space="preserve">Целекоксиб при перорални дози &gt;150 </w:t>
      </w:r>
      <w:r w:rsidRPr="00E16A1B">
        <w:rPr>
          <w:lang w:val="en-US"/>
        </w:rPr>
        <w:t>mg/kg</w:t>
      </w:r>
      <w:r w:rsidRPr="00E16A1B">
        <w:rPr>
          <w:lang w:eastAsia="bg-BG"/>
        </w:rPr>
        <w:t xml:space="preserve">/ден (приблизително 2 пъти над експозицията при хора при 200 </w:t>
      </w:r>
      <w:r w:rsidRPr="00E16A1B">
        <w:rPr>
          <w:lang w:val="en-US"/>
        </w:rPr>
        <w:t xml:space="preserve">mg </w:t>
      </w:r>
      <w:r w:rsidRPr="00E16A1B">
        <w:rPr>
          <w:lang w:eastAsia="bg-BG"/>
        </w:rPr>
        <w:t xml:space="preserve">два пъти дневно, измерена с </w:t>
      </w:r>
      <w:r w:rsidRPr="00E16A1B">
        <w:rPr>
          <w:lang w:val="en-US"/>
        </w:rPr>
        <w:t xml:space="preserve">AUC </w:t>
      </w:r>
      <w:r w:rsidRPr="00E16A1B">
        <w:rPr>
          <w:lang w:eastAsia="bg-BG"/>
        </w:rPr>
        <w:t xml:space="preserve">0-24) е причинил поеишена честота на камерните септални дефекти, рядко явление и фатални изменения, като например слети ребра, слят стернум и деформирана гръдна кост при зайци, третирани по време на органогенезата. Наблюдавало се е зависещо от дозата увеличение на диафрагмалните хернии при плъхове, получили целекоксиб при перорални дози &gt;30 </w:t>
      </w:r>
      <w:r w:rsidRPr="00E16A1B">
        <w:rPr>
          <w:lang w:val="en-US"/>
        </w:rPr>
        <w:t>mg/kg</w:t>
      </w:r>
      <w:r w:rsidRPr="00E16A1B">
        <w:rPr>
          <w:lang w:eastAsia="bg-BG"/>
        </w:rPr>
        <w:t xml:space="preserve">/ден (около 6 пъти над експозицията при хора основана на </w:t>
      </w:r>
      <w:r w:rsidRPr="00E16A1B">
        <w:rPr>
          <w:lang w:val="en-US"/>
        </w:rPr>
        <w:t xml:space="preserve">AUC </w:t>
      </w:r>
      <w:r w:rsidRPr="00E16A1B">
        <w:rPr>
          <w:lang w:eastAsia="bg-BG"/>
        </w:rPr>
        <w:t xml:space="preserve">0-24 при 200 </w:t>
      </w:r>
      <w:r w:rsidRPr="00E16A1B">
        <w:rPr>
          <w:lang w:val="en-US"/>
        </w:rPr>
        <w:t xml:space="preserve">mg </w:t>
      </w:r>
      <w:r w:rsidRPr="00E16A1B">
        <w:rPr>
          <w:lang w:eastAsia="bg-BG"/>
        </w:rPr>
        <w:t xml:space="preserve">два </w:t>
      </w:r>
      <w:r w:rsidRPr="00E16A1B">
        <w:rPr>
          <w:lang w:eastAsia="bg-BG"/>
        </w:rPr>
        <w:lastRenderedPageBreak/>
        <w:t>пъти дневно) по време на органогенезата. Тези ефекти се очакват след инхибиране на синтеза на простагландини. При плъхове експозицията на целекоксиб по време на ранното ембрионално развитие е довело до загуби преди и след имплантиране и до намаляване на ембрио-фаталната преживяемост.</w:t>
      </w:r>
    </w:p>
    <w:p w14:paraId="2070EDDB" w14:textId="77777777" w:rsidR="00E16A1B" w:rsidRDefault="00E16A1B" w:rsidP="00E16A1B">
      <w:pPr>
        <w:rPr>
          <w:lang w:eastAsia="bg-BG"/>
        </w:rPr>
      </w:pPr>
    </w:p>
    <w:p w14:paraId="4D8DA96D" w14:textId="1FF1F5D7" w:rsidR="00E16A1B" w:rsidRPr="00E16A1B" w:rsidRDefault="00E16A1B" w:rsidP="00E16A1B">
      <w:pPr>
        <w:rPr>
          <w:sz w:val="24"/>
          <w:szCs w:val="24"/>
          <w:lang w:eastAsia="bg-BG"/>
        </w:rPr>
      </w:pPr>
      <w:r w:rsidRPr="00E16A1B">
        <w:rPr>
          <w:lang w:eastAsia="bg-BG"/>
        </w:rPr>
        <w:t>Целекоксиб се екскретира в млякото при плъхове. В пери-постнатално проучване при плъхове са били наблюдавани токсични ефекти върху поколението.</w:t>
      </w:r>
    </w:p>
    <w:p w14:paraId="0F3283AB" w14:textId="77777777" w:rsidR="00E16A1B" w:rsidRDefault="00E16A1B" w:rsidP="00E16A1B">
      <w:pPr>
        <w:rPr>
          <w:lang w:eastAsia="bg-BG"/>
        </w:rPr>
      </w:pPr>
    </w:p>
    <w:p w14:paraId="4EA99496" w14:textId="6A886FB6" w:rsidR="00E16A1B" w:rsidRPr="00E16A1B" w:rsidRDefault="00E16A1B" w:rsidP="00E16A1B">
      <w:pPr>
        <w:rPr>
          <w:sz w:val="24"/>
          <w:szCs w:val="24"/>
          <w:lang w:eastAsia="bg-BG"/>
        </w:rPr>
      </w:pPr>
      <w:r w:rsidRPr="00E16A1B">
        <w:rPr>
          <w:lang w:eastAsia="bg-BG"/>
        </w:rPr>
        <w:t>В двугодишно проучване за токсичност е било наблюдавано нарастване на неадреналната тромбоза при мъжки плъхове при високи дози.</w:t>
      </w:r>
    </w:p>
    <w:p w14:paraId="7CAD36A2" w14:textId="77777777" w:rsidR="00E16A1B" w:rsidRPr="00E16A1B" w:rsidRDefault="00E16A1B" w:rsidP="00E16A1B"/>
    <w:p w14:paraId="357049A8" w14:textId="604CF89F" w:rsidR="00BB22B4" w:rsidRDefault="002C50EE" w:rsidP="00471F10">
      <w:pPr>
        <w:pStyle w:val="Heading1"/>
      </w:pPr>
      <w:r>
        <w:t>7. ПРИТЕЖАТЕЛ НА РАЗРЕШЕНИЕТО ЗА УПОТРЕБА</w:t>
      </w:r>
    </w:p>
    <w:p w14:paraId="03EADD48" w14:textId="6437CDC0" w:rsidR="00E16A1B" w:rsidRDefault="00E16A1B" w:rsidP="00E16A1B"/>
    <w:p w14:paraId="4BDD1A3D" w14:textId="4F37E3A2" w:rsidR="00E16A1B" w:rsidRPr="00E16A1B" w:rsidRDefault="00E16A1B" w:rsidP="00E16A1B">
      <w:r>
        <w:t xml:space="preserve">KRKA, d.d., Novo mesto, Smarjeska cesta 6, 8501 Novo mesto, </w:t>
      </w:r>
      <w:r>
        <w:rPr>
          <w:lang w:eastAsia="bg-BG"/>
        </w:rPr>
        <w:t>Словения</w:t>
      </w:r>
    </w:p>
    <w:p w14:paraId="0A53321D" w14:textId="5A8F74D6" w:rsidR="00EE6C97" w:rsidRDefault="00936AD0" w:rsidP="00A93499">
      <w:pPr>
        <w:pStyle w:val="Heading1"/>
      </w:pPr>
      <w:r>
        <w:t>8.</w:t>
      </w:r>
      <w:r w:rsidR="002C50EE">
        <w:t>НОМЕР НА РАЗРЕШЕНИЕТО ЗА УПОТРЕБА</w:t>
      </w:r>
    </w:p>
    <w:p w14:paraId="4C822E60" w14:textId="393A03A6" w:rsidR="00E16A1B" w:rsidRDefault="00E16A1B" w:rsidP="00E16A1B"/>
    <w:p w14:paraId="431ED3A3" w14:textId="77777777" w:rsidR="00E16A1B" w:rsidRPr="00E16A1B" w:rsidRDefault="00E16A1B" w:rsidP="00E16A1B">
      <w:pPr>
        <w:rPr>
          <w:sz w:val="24"/>
          <w:szCs w:val="24"/>
          <w:lang w:eastAsia="bg-BG"/>
        </w:rPr>
      </w:pPr>
      <w:r w:rsidRPr="00E16A1B">
        <w:rPr>
          <w:lang w:eastAsia="bg-BG"/>
        </w:rPr>
        <w:t xml:space="preserve">Аклекса 100 </w:t>
      </w:r>
      <w:r w:rsidRPr="00E16A1B">
        <w:rPr>
          <w:lang w:val="en-US"/>
        </w:rPr>
        <w:t xml:space="preserve">mg </w:t>
      </w:r>
      <w:r w:rsidRPr="00E16A1B">
        <w:rPr>
          <w:lang w:eastAsia="bg-BG"/>
        </w:rPr>
        <w:t xml:space="preserve">твърди капсули - </w:t>
      </w:r>
      <w:r w:rsidRPr="00E16A1B">
        <w:rPr>
          <w:lang w:val="en-US"/>
        </w:rPr>
        <w:t xml:space="preserve">Per. </w:t>
      </w:r>
      <w:r w:rsidRPr="00E16A1B">
        <w:rPr>
          <w:lang w:eastAsia="bg-BG"/>
        </w:rPr>
        <w:t>№: 20140019</w:t>
      </w:r>
    </w:p>
    <w:p w14:paraId="10A9F5DA" w14:textId="77777777" w:rsidR="00E16A1B" w:rsidRPr="00E16A1B" w:rsidRDefault="00E16A1B" w:rsidP="00E16A1B">
      <w:pPr>
        <w:rPr>
          <w:sz w:val="24"/>
          <w:szCs w:val="24"/>
          <w:lang w:eastAsia="bg-BG"/>
        </w:rPr>
      </w:pPr>
      <w:r w:rsidRPr="00E16A1B">
        <w:rPr>
          <w:lang w:eastAsia="bg-BG"/>
        </w:rPr>
        <w:t xml:space="preserve">Аклекса 200 </w:t>
      </w:r>
      <w:r w:rsidRPr="00E16A1B">
        <w:rPr>
          <w:lang w:val="en-US"/>
        </w:rPr>
        <w:t xml:space="preserve">mg </w:t>
      </w:r>
      <w:r w:rsidRPr="00E16A1B">
        <w:rPr>
          <w:lang w:eastAsia="bg-BG"/>
        </w:rPr>
        <w:t xml:space="preserve">твърди капсули - </w:t>
      </w:r>
      <w:r w:rsidRPr="00E16A1B">
        <w:rPr>
          <w:lang w:val="en-US"/>
        </w:rPr>
        <w:t xml:space="preserve">Per. </w:t>
      </w:r>
      <w:r w:rsidRPr="00E16A1B">
        <w:rPr>
          <w:lang w:eastAsia="bg-BG"/>
        </w:rPr>
        <w:t>№: 20140020</w:t>
      </w:r>
    </w:p>
    <w:p w14:paraId="01AACAEE" w14:textId="77777777" w:rsidR="00E16A1B" w:rsidRPr="00E16A1B" w:rsidRDefault="00E16A1B" w:rsidP="00E16A1B"/>
    <w:p w14:paraId="3715C10B" w14:textId="19C1BBDE" w:rsidR="00BB22B4" w:rsidRDefault="002C50EE" w:rsidP="00471F10">
      <w:pPr>
        <w:pStyle w:val="Heading1"/>
      </w:pPr>
      <w:r>
        <w:t>9. ДАТА НА ПЪРВО РАЗРЕШАВАНЕ/ПОДНОВЯВАНЕ НА РАЗРЕШЕНИЕТО ЗА УПОТРЕБА</w:t>
      </w:r>
    </w:p>
    <w:p w14:paraId="3850E421" w14:textId="124C8D79" w:rsidR="00E16A1B" w:rsidRDefault="00E16A1B" w:rsidP="00E16A1B"/>
    <w:p w14:paraId="6ED428AC" w14:textId="77777777" w:rsidR="00E16A1B" w:rsidRPr="00E16A1B" w:rsidRDefault="00E16A1B" w:rsidP="00E16A1B">
      <w:pPr>
        <w:rPr>
          <w:sz w:val="24"/>
          <w:szCs w:val="24"/>
          <w:lang w:eastAsia="bg-BG"/>
        </w:rPr>
      </w:pPr>
      <w:r w:rsidRPr="00E16A1B">
        <w:rPr>
          <w:lang w:eastAsia="bg-BG"/>
        </w:rPr>
        <w:t>Дата на първо разрешаване: 30.01.2014</w:t>
      </w:r>
    </w:p>
    <w:p w14:paraId="5C29312A" w14:textId="77777777" w:rsidR="00E16A1B" w:rsidRPr="00E16A1B" w:rsidRDefault="00E16A1B" w:rsidP="00E16A1B">
      <w:pPr>
        <w:rPr>
          <w:sz w:val="24"/>
          <w:szCs w:val="24"/>
          <w:lang w:eastAsia="bg-BG"/>
        </w:rPr>
      </w:pPr>
      <w:r w:rsidRPr="00E16A1B">
        <w:rPr>
          <w:lang w:eastAsia="bg-BG"/>
        </w:rPr>
        <w:t>Дата на последно подновяване: 20.07.2018</w:t>
      </w:r>
    </w:p>
    <w:p w14:paraId="1DDC1960" w14:textId="77777777" w:rsidR="00E16A1B" w:rsidRPr="00E16A1B" w:rsidRDefault="00E16A1B" w:rsidP="00E16A1B"/>
    <w:p w14:paraId="43FB38A2" w14:textId="0C18A683" w:rsidR="007C605B" w:rsidRDefault="002C50EE" w:rsidP="005726E3">
      <w:pPr>
        <w:pStyle w:val="Heading1"/>
      </w:pPr>
      <w:r>
        <w:t>10. ДАТА НА АКТУАЛИЗИРАНЕ НА ТЕКСТА</w:t>
      </w:r>
      <w:bookmarkEnd w:id="0"/>
    </w:p>
    <w:p w14:paraId="472617BD" w14:textId="149E1426" w:rsidR="00BB22B4" w:rsidRPr="00BB22B4" w:rsidRDefault="00E16A1B" w:rsidP="00E16A1B">
      <w:r>
        <w:t>13 Октомври 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070B3"/>
    <w:multiLevelType w:val="hybridMultilevel"/>
    <w:tmpl w:val="46E2AF3A"/>
    <w:lvl w:ilvl="0" w:tplc="9FF87FC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0"/>
  </w:num>
  <w:num w:numId="22" w16cid:durableId="1276465">
    <w:abstractNumId w:val="29"/>
  </w:num>
  <w:num w:numId="23" w16cid:durableId="1624310558">
    <w:abstractNumId w:val="21"/>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9110462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14D2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16A1B"/>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7352</Words>
  <Characters>41908</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2023-01-25T16:15:00Z</dcterms:created>
  <dcterms:modified xsi:type="dcterms:W3CDTF">2023-01-25T16:15:00Z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