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60DBD24" w:rsidR="00C40420" w:rsidRDefault="00DD466D" w:rsidP="004A448E">
      <w:pPr>
        <w:pStyle w:val="Heading1"/>
      </w:pPr>
      <w:r>
        <w:t>1.ИМЕ НА ЛЕКАРСТВЕНИЯ ПРОДУКТ</w:t>
      </w:r>
    </w:p>
    <w:p w14:paraId="581DB9C3" w14:textId="076C43B6" w:rsidR="00663003" w:rsidRDefault="00663003" w:rsidP="00663003"/>
    <w:p w14:paraId="68042A9F" w14:textId="77777777" w:rsidR="00663003" w:rsidRPr="00663003" w:rsidRDefault="00663003" w:rsidP="00663003">
      <w:pPr>
        <w:rPr>
          <w:sz w:val="24"/>
          <w:szCs w:val="24"/>
        </w:rPr>
      </w:pPr>
      <w:r w:rsidRPr="00663003">
        <w:rPr>
          <w:lang w:eastAsia="bg-BG"/>
        </w:rPr>
        <w:t xml:space="preserve">Акталипид 10 </w:t>
      </w:r>
      <w:r w:rsidRPr="00663003">
        <w:rPr>
          <w:lang w:val="en-US"/>
        </w:rPr>
        <w:t>mg</w:t>
      </w:r>
      <w:r w:rsidRPr="00663003">
        <w:t xml:space="preserve"> </w:t>
      </w:r>
      <w:r w:rsidRPr="00663003">
        <w:rPr>
          <w:lang w:eastAsia="bg-BG"/>
        </w:rPr>
        <w:t>филмирани таблетки</w:t>
      </w:r>
    </w:p>
    <w:p w14:paraId="02E41405" w14:textId="77777777" w:rsidR="00663003" w:rsidRPr="00663003" w:rsidRDefault="00663003" w:rsidP="00663003">
      <w:pPr>
        <w:rPr>
          <w:sz w:val="24"/>
          <w:szCs w:val="24"/>
        </w:rPr>
      </w:pPr>
      <w:proofErr w:type="spellStart"/>
      <w:r w:rsidRPr="00663003">
        <w:rPr>
          <w:lang w:val="en-US"/>
        </w:rPr>
        <w:t>Actalipid</w:t>
      </w:r>
      <w:proofErr w:type="spellEnd"/>
      <w:r w:rsidRPr="00663003">
        <w:t xml:space="preserve"> </w:t>
      </w:r>
      <w:r w:rsidRPr="00663003">
        <w:rPr>
          <w:lang w:eastAsia="bg-BG"/>
        </w:rPr>
        <w:t xml:space="preserve">10 </w:t>
      </w:r>
      <w:r w:rsidRPr="00663003">
        <w:rPr>
          <w:lang w:val="en-US"/>
        </w:rPr>
        <w:t>mg</w:t>
      </w:r>
      <w:r w:rsidRPr="00663003">
        <w:t xml:space="preserve"> </w:t>
      </w:r>
      <w:r w:rsidRPr="00663003">
        <w:rPr>
          <w:lang w:val="en-US"/>
        </w:rPr>
        <w:t>film</w:t>
      </w:r>
      <w:r w:rsidRPr="00663003">
        <w:t>-</w:t>
      </w:r>
      <w:r w:rsidRPr="00663003">
        <w:rPr>
          <w:lang w:val="en-US"/>
        </w:rPr>
        <w:t>coated</w:t>
      </w:r>
      <w:r w:rsidRPr="00663003">
        <w:t xml:space="preserve"> </w:t>
      </w:r>
      <w:r w:rsidRPr="00663003">
        <w:rPr>
          <w:lang w:val="en-US"/>
        </w:rPr>
        <w:t>tablets</w:t>
      </w:r>
    </w:p>
    <w:p w14:paraId="52825392" w14:textId="77777777" w:rsidR="00663003" w:rsidRDefault="00663003" w:rsidP="00663003">
      <w:pPr>
        <w:rPr>
          <w:lang w:eastAsia="bg-BG"/>
        </w:rPr>
      </w:pPr>
    </w:p>
    <w:p w14:paraId="02E0B9C5" w14:textId="118FBE40" w:rsidR="00663003" w:rsidRPr="00663003" w:rsidRDefault="00663003" w:rsidP="00663003">
      <w:pPr>
        <w:rPr>
          <w:sz w:val="24"/>
          <w:szCs w:val="24"/>
        </w:rPr>
      </w:pPr>
      <w:r w:rsidRPr="00663003">
        <w:rPr>
          <w:lang w:eastAsia="bg-BG"/>
        </w:rPr>
        <w:t xml:space="preserve">Акталипид </w:t>
      </w:r>
      <w:r w:rsidRPr="00663003">
        <w:t xml:space="preserve">20 </w:t>
      </w:r>
      <w:r w:rsidRPr="00663003">
        <w:rPr>
          <w:lang w:val="en-US"/>
        </w:rPr>
        <w:t>mg</w:t>
      </w:r>
      <w:r w:rsidRPr="00663003">
        <w:t xml:space="preserve"> </w:t>
      </w:r>
      <w:r w:rsidRPr="00663003">
        <w:rPr>
          <w:lang w:eastAsia="bg-BG"/>
        </w:rPr>
        <w:t>филмирани таблетки</w:t>
      </w:r>
    </w:p>
    <w:p w14:paraId="024365A8" w14:textId="77777777" w:rsidR="00663003" w:rsidRPr="00663003" w:rsidRDefault="00663003" w:rsidP="00663003">
      <w:pPr>
        <w:rPr>
          <w:sz w:val="24"/>
          <w:szCs w:val="24"/>
        </w:rPr>
      </w:pPr>
      <w:proofErr w:type="spellStart"/>
      <w:r w:rsidRPr="00663003">
        <w:rPr>
          <w:lang w:val="en-US"/>
        </w:rPr>
        <w:t>Actalipid</w:t>
      </w:r>
      <w:proofErr w:type="spellEnd"/>
      <w:r w:rsidRPr="00663003">
        <w:t xml:space="preserve"> </w:t>
      </w:r>
      <w:r w:rsidRPr="00663003">
        <w:rPr>
          <w:lang w:eastAsia="bg-BG"/>
        </w:rPr>
        <w:t xml:space="preserve">20 </w:t>
      </w:r>
      <w:r w:rsidRPr="00663003">
        <w:rPr>
          <w:lang w:val="en-US"/>
        </w:rPr>
        <w:t>mg</w:t>
      </w:r>
      <w:r w:rsidRPr="00663003">
        <w:t xml:space="preserve"> </w:t>
      </w:r>
      <w:r w:rsidRPr="00663003">
        <w:rPr>
          <w:lang w:val="en-US"/>
        </w:rPr>
        <w:t>film</w:t>
      </w:r>
      <w:r w:rsidRPr="00663003">
        <w:t>-</w:t>
      </w:r>
      <w:r w:rsidRPr="00663003">
        <w:rPr>
          <w:lang w:val="en-US"/>
        </w:rPr>
        <w:t>coated</w:t>
      </w:r>
      <w:r w:rsidRPr="00663003">
        <w:t xml:space="preserve"> </w:t>
      </w:r>
      <w:r w:rsidRPr="00663003">
        <w:rPr>
          <w:lang w:val="en-US"/>
        </w:rPr>
        <w:t>tablets</w:t>
      </w:r>
    </w:p>
    <w:p w14:paraId="12EFB8C3" w14:textId="77777777" w:rsidR="00663003" w:rsidRDefault="00663003" w:rsidP="00663003">
      <w:pPr>
        <w:rPr>
          <w:lang w:eastAsia="bg-BG"/>
        </w:rPr>
      </w:pPr>
    </w:p>
    <w:p w14:paraId="6E9F9326" w14:textId="0CB1900B" w:rsidR="00663003" w:rsidRPr="00663003" w:rsidRDefault="00663003" w:rsidP="00663003">
      <w:pPr>
        <w:rPr>
          <w:sz w:val="24"/>
          <w:szCs w:val="24"/>
        </w:rPr>
      </w:pPr>
      <w:r w:rsidRPr="00663003">
        <w:rPr>
          <w:lang w:eastAsia="bg-BG"/>
        </w:rPr>
        <w:t xml:space="preserve">Акталипид </w:t>
      </w:r>
      <w:r w:rsidRPr="00663003">
        <w:t xml:space="preserve">40 </w:t>
      </w:r>
      <w:r w:rsidRPr="00663003">
        <w:rPr>
          <w:lang w:val="en-US"/>
        </w:rPr>
        <w:t>mg</w:t>
      </w:r>
      <w:r w:rsidRPr="00663003">
        <w:t xml:space="preserve"> </w:t>
      </w:r>
      <w:r w:rsidRPr="00663003">
        <w:rPr>
          <w:lang w:eastAsia="bg-BG"/>
        </w:rPr>
        <w:t>филмирани таблетки</w:t>
      </w:r>
    </w:p>
    <w:p w14:paraId="7ADD090F" w14:textId="77777777" w:rsidR="00663003" w:rsidRPr="00663003" w:rsidRDefault="00663003" w:rsidP="00663003">
      <w:pPr>
        <w:rPr>
          <w:sz w:val="24"/>
          <w:szCs w:val="24"/>
        </w:rPr>
      </w:pPr>
      <w:proofErr w:type="spellStart"/>
      <w:r w:rsidRPr="00663003">
        <w:rPr>
          <w:lang w:val="en-US"/>
        </w:rPr>
        <w:t>Actalipid</w:t>
      </w:r>
      <w:proofErr w:type="spellEnd"/>
      <w:r w:rsidRPr="00663003">
        <w:t xml:space="preserve"> 40 </w:t>
      </w:r>
      <w:r w:rsidRPr="00663003">
        <w:rPr>
          <w:lang w:val="en-US"/>
        </w:rPr>
        <w:t>mg</w:t>
      </w:r>
      <w:r w:rsidRPr="00663003">
        <w:t xml:space="preserve"> </w:t>
      </w:r>
      <w:r w:rsidRPr="00663003">
        <w:rPr>
          <w:lang w:val="en-US"/>
        </w:rPr>
        <w:t>film</w:t>
      </w:r>
      <w:r w:rsidRPr="00663003">
        <w:t>-</w:t>
      </w:r>
      <w:r w:rsidRPr="00663003">
        <w:rPr>
          <w:lang w:val="en-US"/>
        </w:rPr>
        <w:t>coated</w:t>
      </w:r>
      <w:r w:rsidRPr="00663003">
        <w:t xml:space="preserve"> </w:t>
      </w:r>
      <w:r w:rsidRPr="00663003">
        <w:rPr>
          <w:lang w:val="en-US"/>
        </w:rPr>
        <w:t>tablets</w:t>
      </w:r>
    </w:p>
    <w:p w14:paraId="5F6E56BC" w14:textId="77777777" w:rsidR="00663003" w:rsidRPr="00663003" w:rsidRDefault="00663003" w:rsidP="00663003"/>
    <w:p w14:paraId="6920A680" w14:textId="6CCCFC53" w:rsidR="00C40420" w:rsidRDefault="00DD466D" w:rsidP="004A448E">
      <w:pPr>
        <w:pStyle w:val="Heading1"/>
      </w:pPr>
      <w:r>
        <w:t>2. КАЧЕСТВЕН И КОЛИЧЕСТВЕН СЪСТАВ</w:t>
      </w:r>
    </w:p>
    <w:p w14:paraId="0EF8F8C3" w14:textId="006C0704" w:rsidR="00663003" w:rsidRDefault="00663003" w:rsidP="00663003"/>
    <w:p w14:paraId="63AB6DB0"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Акталипид 10 </w:t>
      </w:r>
      <w:r w:rsidRPr="00663003">
        <w:rPr>
          <w:rFonts w:eastAsia="Times New Roman" w:cs="Arial"/>
          <w:color w:val="000000"/>
          <w:szCs w:val="20"/>
          <w:lang w:val="en-US"/>
        </w:rPr>
        <w:t>mg</w:t>
      </w:r>
      <w:r w:rsidRPr="00663003">
        <w:rPr>
          <w:rFonts w:eastAsia="Times New Roman" w:cs="Arial"/>
          <w:color w:val="000000"/>
          <w:szCs w:val="20"/>
        </w:rPr>
        <w:t>:</w:t>
      </w:r>
    </w:p>
    <w:p w14:paraId="429BF29F"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филмирана таблетка съдържа 10 </w:t>
      </w:r>
      <w:r w:rsidRPr="00663003">
        <w:rPr>
          <w:rFonts w:eastAsia="Times New Roman" w:cs="Arial"/>
          <w:color w:val="000000"/>
          <w:szCs w:val="20"/>
          <w:lang w:val="en-US"/>
        </w:rPr>
        <w:t>mg</w:t>
      </w:r>
      <w:r w:rsidRPr="00663003">
        <w:rPr>
          <w:rFonts w:eastAsia="Times New Roman" w:cs="Arial"/>
          <w:color w:val="000000"/>
          <w:szCs w:val="20"/>
        </w:rPr>
        <w:t xml:space="preserve"> </w:t>
      </w:r>
      <w:r w:rsidRPr="00663003">
        <w:rPr>
          <w:rFonts w:eastAsia="Times New Roman" w:cs="Arial"/>
          <w:color w:val="000000"/>
          <w:szCs w:val="20"/>
          <w:lang w:eastAsia="bg-BG"/>
        </w:rPr>
        <w:t xml:space="preserve">симвастатин </w:t>
      </w:r>
      <w:r w:rsidRPr="00663003">
        <w:rPr>
          <w:rFonts w:eastAsia="Times New Roman" w:cs="Arial"/>
          <w:i/>
          <w:iCs/>
          <w:color w:val="000000"/>
          <w:szCs w:val="20"/>
        </w:rPr>
        <w:t>(</w:t>
      </w:r>
      <w:r w:rsidRPr="00663003">
        <w:rPr>
          <w:rFonts w:eastAsia="Times New Roman" w:cs="Arial"/>
          <w:i/>
          <w:iCs/>
          <w:color w:val="000000"/>
          <w:szCs w:val="20"/>
          <w:lang w:val="en-US"/>
        </w:rPr>
        <w:t>simvastatin</w:t>
      </w:r>
      <w:r w:rsidRPr="00663003">
        <w:rPr>
          <w:rFonts w:eastAsia="Times New Roman" w:cs="Arial"/>
          <w:i/>
          <w:iCs/>
          <w:color w:val="000000"/>
          <w:szCs w:val="20"/>
        </w:rPr>
        <w:t>).</w:t>
      </w:r>
    </w:p>
    <w:p w14:paraId="73B79700"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ПомощноГи) веществена) с известно действие</w:t>
      </w:r>
    </w:p>
    <w:p w14:paraId="6528C1A6"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таблетка съдържа 65,73 </w:t>
      </w:r>
      <w:r w:rsidRPr="00663003">
        <w:rPr>
          <w:rFonts w:eastAsia="Times New Roman" w:cs="Arial"/>
          <w:color w:val="000000"/>
          <w:szCs w:val="20"/>
          <w:lang w:val="en-US"/>
        </w:rPr>
        <w:t>mg</w:t>
      </w:r>
      <w:r w:rsidRPr="00663003">
        <w:rPr>
          <w:rFonts w:eastAsia="Times New Roman" w:cs="Arial"/>
          <w:color w:val="000000"/>
          <w:szCs w:val="20"/>
          <w:lang w:val="ru-RU"/>
        </w:rPr>
        <w:t xml:space="preserve"> </w:t>
      </w:r>
      <w:r w:rsidRPr="00663003">
        <w:rPr>
          <w:rFonts w:eastAsia="Times New Roman" w:cs="Arial"/>
          <w:color w:val="000000"/>
          <w:szCs w:val="20"/>
          <w:lang w:eastAsia="bg-BG"/>
        </w:rPr>
        <w:t>лактоза монохидрат.</w:t>
      </w:r>
    </w:p>
    <w:p w14:paraId="4551D907" w14:textId="77777777" w:rsidR="00663003" w:rsidRPr="00663003" w:rsidRDefault="00663003" w:rsidP="00663003">
      <w:pPr>
        <w:spacing w:line="240" w:lineRule="auto"/>
        <w:rPr>
          <w:rFonts w:eastAsia="Times New Roman" w:cs="Arial"/>
          <w:color w:val="000000"/>
          <w:szCs w:val="20"/>
          <w:lang w:eastAsia="bg-BG"/>
        </w:rPr>
      </w:pPr>
    </w:p>
    <w:p w14:paraId="6799F7CF" w14:textId="56603EB0"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Акталипид 20 </w:t>
      </w:r>
      <w:r w:rsidRPr="00663003">
        <w:rPr>
          <w:rFonts w:eastAsia="Times New Roman" w:cs="Arial"/>
          <w:color w:val="000000"/>
          <w:szCs w:val="20"/>
          <w:lang w:val="en-US"/>
        </w:rPr>
        <w:t>mg</w:t>
      </w:r>
      <w:r w:rsidRPr="00663003">
        <w:rPr>
          <w:rFonts w:eastAsia="Times New Roman" w:cs="Arial"/>
          <w:color w:val="000000"/>
          <w:szCs w:val="20"/>
        </w:rPr>
        <w:t>:</w:t>
      </w:r>
    </w:p>
    <w:p w14:paraId="18C4BFBB"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филмирана таблетка съдържа 20 </w:t>
      </w:r>
      <w:r w:rsidRPr="00663003">
        <w:rPr>
          <w:rFonts w:eastAsia="Times New Roman" w:cs="Arial"/>
          <w:color w:val="000000"/>
          <w:szCs w:val="20"/>
          <w:lang w:val="en-US"/>
        </w:rPr>
        <w:t>mg</w:t>
      </w:r>
      <w:r w:rsidRPr="00663003">
        <w:rPr>
          <w:rFonts w:eastAsia="Times New Roman" w:cs="Arial"/>
          <w:color w:val="000000"/>
          <w:szCs w:val="20"/>
        </w:rPr>
        <w:t xml:space="preserve"> </w:t>
      </w:r>
      <w:r w:rsidRPr="00663003">
        <w:rPr>
          <w:rFonts w:eastAsia="Times New Roman" w:cs="Arial"/>
          <w:color w:val="000000"/>
          <w:szCs w:val="20"/>
          <w:lang w:eastAsia="bg-BG"/>
        </w:rPr>
        <w:t xml:space="preserve">симвастатин </w:t>
      </w:r>
      <w:r w:rsidRPr="00663003">
        <w:rPr>
          <w:rFonts w:eastAsia="Times New Roman" w:cs="Arial"/>
          <w:i/>
          <w:iCs/>
          <w:color w:val="000000"/>
          <w:szCs w:val="20"/>
        </w:rPr>
        <w:t>(</w:t>
      </w:r>
      <w:r w:rsidRPr="00663003">
        <w:rPr>
          <w:rFonts w:eastAsia="Times New Roman" w:cs="Arial"/>
          <w:i/>
          <w:iCs/>
          <w:color w:val="000000"/>
          <w:szCs w:val="20"/>
          <w:lang w:val="en-US"/>
        </w:rPr>
        <w:t>simvastatin</w:t>
      </w:r>
      <w:r w:rsidRPr="00663003">
        <w:rPr>
          <w:rFonts w:eastAsia="Times New Roman" w:cs="Arial"/>
          <w:i/>
          <w:iCs/>
          <w:color w:val="000000"/>
          <w:szCs w:val="20"/>
        </w:rPr>
        <w:t>).</w:t>
      </w:r>
    </w:p>
    <w:p w14:paraId="4EFC2241"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Помощно(и) вещество(а) с известно действие</w:t>
      </w:r>
    </w:p>
    <w:p w14:paraId="39BAEFBB"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таблетка съдържа 131,46 </w:t>
      </w:r>
      <w:r w:rsidRPr="00663003">
        <w:rPr>
          <w:rFonts w:eastAsia="Times New Roman" w:cs="Arial"/>
          <w:color w:val="000000"/>
          <w:szCs w:val="20"/>
          <w:lang w:val="en-US"/>
        </w:rPr>
        <w:t>mg</w:t>
      </w:r>
      <w:r w:rsidRPr="00663003">
        <w:rPr>
          <w:rFonts w:eastAsia="Times New Roman" w:cs="Arial"/>
          <w:color w:val="000000"/>
          <w:szCs w:val="20"/>
          <w:lang w:val="ru-RU"/>
        </w:rPr>
        <w:t xml:space="preserve"> </w:t>
      </w:r>
      <w:r w:rsidRPr="00663003">
        <w:rPr>
          <w:rFonts w:eastAsia="Times New Roman" w:cs="Arial"/>
          <w:color w:val="000000"/>
          <w:szCs w:val="20"/>
          <w:lang w:eastAsia="bg-BG"/>
        </w:rPr>
        <w:t>лактоза монохидрат.</w:t>
      </w:r>
    </w:p>
    <w:p w14:paraId="05A99906" w14:textId="77777777" w:rsidR="00663003" w:rsidRPr="00663003" w:rsidRDefault="00663003" w:rsidP="00663003">
      <w:pPr>
        <w:spacing w:line="240" w:lineRule="auto"/>
        <w:rPr>
          <w:rFonts w:eastAsia="Times New Roman" w:cs="Arial"/>
          <w:color w:val="000000"/>
          <w:szCs w:val="20"/>
          <w:lang w:eastAsia="bg-BG"/>
        </w:rPr>
      </w:pPr>
    </w:p>
    <w:p w14:paraId="538BA3C9" w14:textId="2866AA8D"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Акталипид 40 </w:t>
      </w:r>
      <w:r w:rsidRPr="00663003">
        <w:rPr>
          <w:rFonts w:eastAsia="Times New Roman" w:cs="Arial"/>
          <w:color w:val="000000"/>
          <w:szCs w:val="20"/>
          <w:lang w:val="en-US"/>
        </w:rPr>
        <w:t>mg</w:t>
      </w:r>
      <w:r w:rsidRPr="00663003">
        <w:rPr>
          <w:rFonts w:eastAsia="Times New Roman" w:cs="Arial"/>
          <w:color w:val="000000"/>
          <w:szCs w:val="20"/>
        </w:rPr>
        <w:t>:</w:t>
      </w:r>
    </w:p>
    <w:p w14:paraId="2F174178"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Всяка филмирана таблетка съдържа 40 </w:t>
      </w:r>
      <w:r w:rsidRPr="00663003">
        <w:rPr>
          <w:rFonts w:eastAsia="Times New Roman" w:cs="Arial"/>
          <w:color w:val="000000"/>
          <w:szCs w:val="20"/>
          <w:lang w:val="en-US"/>
        </w:rPr>
        <w:t>mg</w:t>
      </w:r>
      <w:r w:rsidRPr="00663003">
        <w:rPr>
          <w:rFonts w:eastAsia="Times New Roman" w:cs="Arial"/>
          <w:color w:val="000000"/>
          <w:szCs w:val="20"/>
        </w:rPr>
        <w:t xml:space="preserve"> </w:t>
      </w:r>
      <w:r w:rsidRPr="00663003">
        <w:rPr>
          <w:rFonts w:eastAsia="Times New Roman" w:cs="Arial"/>
          <w:color w:val="000000"/>
          <w:szCs w:val="20"/>
          <w:lang w:eastAsia="bg-BG"/>
        </w:rPr>
        <w:t xml:space="preserve">симвастатин </w:t>
      </w:r>
      <w:r w:rsidRPr="00663003">
        <w:rPr>
          <w:rFonts w:eastAsia="Times New Roman" w:cs="Arial"/>
          <w:i/>
          <w:iCs/>
          <w:color w:val="000000"/>
          <w:szCs w:val="20"/>
        </w:rPr>
        <w:t>(</w:t>
      </w:r>
      <w:r w:rsidRPr="00663003">
        <w:rPr>
          <w:rFonts w:eastAsia="Times New Roman" w:cs="Arial"/>
          <w:i/>
          <w:iCs/>
          <w:color w:val="000000"/>
          <w:szCs w:val="20"/>
          <w:lang w:val="en-US"/>
        </w:rPr>
        <w:t>simvastatin</w:t>
      </w:r>
      <w:r w:rsidRPr="00663003">
        <w:rPr>
          <w:rFonts w:eastAsia="Times New Roman" w:cs="Arial"/>
          <w:i/>
          <w:iCs/>
          <w:color w:val="000000"/>
          <w:szCs w:val="20"/>
        </w:rPr>
        <w:t>).</w:t>
      </w:r>
    </w:p>
    <w:p w14:paraId="2A375E34"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Помошно(и) вешество(а) с известно действие</w:t>
      </w:r>
    </w:p>
    <w:p w14:paraId="4B55E471" w14:textId="34145D60" w:rsidR="00663003" w:rsidRPr="00663003" w:rsidRDefault="00663003" w:rsidP="00663003">
      <w:pPr>
        <w:rPr>
          <w:rFonts w:eastAsia="Times New Roman" w:cs="Arial"/>
          <w:color w:val="000000"/>
          <w:szCs w:val="20"/>
          <w:lang w:eastAsia="bg-BG"/>
        </w:rPr>
      </w:pPr>
      <w:r w:rsidRPr="00663003">
        <w:rPr>
          <w:rFonts w:eastAsia="Times New Roman" w:cs="Arial"/>
          <w:color w:val="000000"/>
          <w:szCs w:val="20"/>
          <w:lang w:eastAsia="bg-BG"/>
        </w:rPr>
        <w:t xml:space="preserve">Всяка таблетка съдържа 262,92 </w:t>
      </w:r>
      <w:r w:rsidRPr="00663003">
        <w:rPr>
          <w:rFonts w:eastAsia="Times New Roman" w:cs="Arial"/>
          <w:color w:val="000000"/>
          <w:szCs w:val="20"/>
          <w:lang w:val="en-US"/>
        </w:rPr>
        <w:t>mg</w:t>
      </w:r>
      <w:r w:rsidRPr="00663003">
        <w:rPr>
          <w:rFonts w:eastAsia="Times New Roman" w:cs="Arial"/>
          <w:color w:val="000000"/>
          <w:szCs w:val="20"/>
          <w:lang w:val="ru-RU"/>
        </w:rPr>
        <w:t xml:space="preserve"> </w:t>
      </w:r>
      <w:r w:rsidRPr="00663003">
        <w:rPr>
          <w:rFonts w:eastAsia="Times New Roman" w:cs="Arial"/>
          <w:color w:val="000000"/>
          <w:szCs w:val="20"/>
          <w:lang w:eastAsia="bg-BG"/>
        </w:rPr>
        <w:t>лактоза монохидрат</w:t>
      </w:r>
      <w:r w:rsidRPr="00663003">
        <w:rPr>
          <w:rFonts w:ascii="Times New Roman" w:eastAsia="Times New Roman" w:hAnsi="Times New Roman" w:cs="Times New Roman"/>
          <w:color w:val="000000"/>
          <w:sz w:val="20"/>
          <w:szCs w:val="20"/>
          <w:lang w:eastAsia="bg-BG"/>
        </w:rPr>
        <w:t>.</w:t>
      </w:r>
    </w:p>
    <w:p w14:paraId="614984C4" w14:textId="4B1406F8" w:rsidR="008A6AF2" w:rsidRDefault="00DD466D" w:rsidP="002C50EE">
      <w:pPr>
        <w:pStyle w:val="Heading1"/>
      </w:pPr>
      <w:r>
        <w:t>3. ЛЕКАРСТВЕНА ФОРМА</w:t>
      </w:r>
    </w:p>
    <w:p w14:paraId="5A5C3441" w14:textId="1E4D8B7D" w:rsidR="00663003" w:rsidRDefault="00663003" w:rsidP="00663003"/>
    <w:p w14:paraId="4773B0F2" w14:textId="77777777" w:rsidR="00663003" w:rsidRPr="00663003" w:rsidRDefault="00663003" w:rsidP="00663003">
      <w:pPr>
        <w:rPr>
          <w:sz w:val="24"/>
          <w:szCs w:val="24"/>
        </w:rPr>
      </w:pPr>
      <w:r w:rsidRPr="00663003">
        <w:rPr>
          <w:lang w:eastAsia="bg-BG"/>
        </w:rPr>
        <w:t>Филмирана таблетка</w:t>
      </w:r>
    </w:p>
    <w:p w14:paraId="2EB3F540" w14:textId="77777777" w:rsidR="00663003" w:rsidRDefault="00663003" w:rsidP="00663003">
      <w:pPr>
        <w:rPr>
          <w:lang w:eastAsia="bg-BG"/>
        </w:rPr>
      </w:pPr>
    </w:p>
    <w:p w14:paraId="3C5804C3" w14:textId="73556942" w:rsidR="00663003" w:rsidRPr="00663003" w:rsidRDefault="00663003" w:rsidP="00663003">
      <w:pPr>
        <w:rPr>
          <w:sz w:val="24"/>
          <w:szCs w:val="24"/>
        </w:rPr>
      </w:pPr>
      <w:r w:rsidRPr="00663003">
        <w:rPr>
          <w:lang w:eastAsia="bg-BG"/>
        </w:rPr>
        <w:t xml:space="preserve">Акталипид 10 </w:t>
      </w:r>
      <w:r w:rsidRPr="00663003">
        <w:rPr>
          <w:lang w:val="en-US"/>
        </w:rPr>
        <w:t>mg</w:t>
      </w:r>
      <w:r w:rsidRPr="00663003">
        <w:rPr>
          <w:lang w:val="ru-RU"/>
        </w:rPr>
        <w:t xml:space="preserve"> </w:t>
      </w:r>
      <w:r w:rsidRPr="00663003">
        <w:rPr>
          <w:lang w:eastAsia="bg-BG"/>
        </w:rPr>
        <w:t>е овална, двойноизпъкнала, филмирана таблетка с цвят на праскова, с делителна черта от едната страна.</w:t>
      </w:r>
    </w:p>
    <w:p w14:paraId="7F4ACADC" w14:textId="77777777" w:rsidR="00663003" w:rsidRDefault="00663003" w:rsidP="00663003">
      <w:pPr>
        <w:rPr>
          <w:lang w:eastAsia="bg-BG"/>
        </w:rPr>
      </w:pPr>
    </w:p>
    <w:p w14:paraId="17BB864F" w14:textId="68938B10" w:rsidR="00663003" w:rsidRPr="00663003" w:rsidRDefault="00663003" w:rsidP="00663003">
      <w:pPr>
        <w:rPr>
          <w:sz w:val="24"/>
          <w:szCs w:val="24"/>
        </w:rPr>
      </w:pPr>
      <w:r w:rsidRPr="00663003">
        <w:rPr>
          <w:lang w:eastAsia="bg-BG"/>
        </w:rPr>
        <w:t xml:space="preserve">Акталипид 20 </w:t>
      </w:r>
      <w:r w:rsidRPr="00663003">
        <w:rPr>
          <w:lang w:val="en-US"/>
        </w:rPr>
        <w:t>mg</w:t>
      </w:r>
      <w:r w:rsidRPr="00663003">
        <w:rPr>
          <w:lang w:val="ru-RU"/>
        </w:rPr>
        <w:t xml:space="preserve"> </w:t>
      </w:r>
      <w:r w:rsidRPr="00663003">
        <w:rPr>
          <w:lang w:eastAsia="bg-BG"/>
        </w:rPr>
        <w:t>е овална, светлокафява, двойноизпъкнала, филмирана таблетка, с делителна черта от едната страна.</w:t>
      </w:r>
    </w:p>
    <w:p w14:paraId="138ECE78" w14:textId="77777777" w:rsidR="00663003" w:rsidRDefault="00663003" w:rsidP="00663003">
      <w:pPr>
        <w:rPr>
          <w:lang w:eastAsia="bg-BG"/>
        </w:rPr>
      </w:pPr>
    </w:p>
    <w:p w14:paraId="101C3388" w14:textId="5B241D8F" w:rsidR="00663003" w:rsidRPr="00663003" w:rsidRDefault="00663003" w:rsidP="00663003">
      <w:pPr>
        <w:rPr>
          <w:sz w:val="24"/>
          <w:szCs w:val="24"/>
        </w:rPr>
      </w:pPr>
      <w:r w:rsidRPr="00663003">
        <w:rPr>
          <w:lang w:eastAsia="bg-BG"/>
        </w:rPr>
        <w:t xml:space="preserve">Акталипид 40 </w:t>
      </w:r>
      <w:r w:rsidRPr="00663003">
        <w:rPr>
          <w:lang w:val="en-US"/>
        </w:rPr>
        <w:t>mg</w:t>
      </w:r>
      <w:r w:rsidRPr="00663003">
        <w:rPr>
          <w:lang w:val="ru-RU"/>
        </w:rPr>
        <w:t xml:space="preserve"> </w:t>
      </w:r>
      <w:r w:rsidRPr="00663003">
        <w:rPr>
          <w:lang w:eastAsia="bg-BG"/>
        </w:rPr>
        <w:t>е овална, червенокафява, двойноизпъкнала, филмирана таблетка, с делителна черта от едната страна.</w:t>
      </w:r>
    </w:p>
    <w:p w14:paraId="4F390FE8" w14:textId="77777777" w:rsidR="00663003" w:rsidRDefault="00663003" w:rsidP="00663003">
      <w:pPr>
        <w:rPr>
          <w:lang w:eastAsia="bg-BG"/>
        </w:rPr>
      </w:pPr>
    </w:p>
    <w:p w14:paraId="24F1B00A" w14:textId="66FB3BFC" w:rsidR="00663003" w:rsidRPr="00663003" w:rsidRDefault="00663003" w:rsidP="00663003">
      <w:pPr>
        <w:rPr>
          <w:sz w:val="24"/>
          <w:szCs w:val="24"/>
        </w:rPr>
      </w:pPr>
      <w:r w:rsidRPr="00663003">
        <w:rPr>
          <w:lang w:eastAsia="bg-BG"/>
        </w:rPr>
        <w:t>Таблетките могат да бъдат разделени на две равни дози.</w:t>
      </w:r>
    </w:p>
    <w:p w14:paraId="1FED0724" w14:textId="77777777" w:rsidR="00663003" w:rsidRPr="00663003" w:rsidRDefault="00663003" w:rsidP="00663003"/>
    <w:p w14:paraId="490FC2C4" w14:textId="32682B15" w:rsidR="002C50EE" w:rsidRDefault="002C50EE" w:rsidP="002C50EE">
      <w:pPr>
        <w:pStyle w:val="Heading1"/>
      </w:pPr>
      <w:r>
        <w:lastRenderedPageBreak/>
        <w:t>4. КЛИНИЧНИ ДАННИ</w:t>
      </w:r>
    </w:p>
    <w:p w14:paraId="0C8E6903" w14:textId="48D45DDC" w:rsidR="008134C8" w:rsidRDefault="002C50EE" w:rsidP="004A448E">
      <w:pPr>
        <w:pStyle w:val="Heading2"/>
      </w:pPr>
      <w:r>
        <w:t>4.1. Терапевтични показания</w:t>
      </w:r>
    </w:p>
    <w:p w14:paraId="162190F3" w14:textId="20C26D75" w:rsidR="00663003" w:rsidRDefault="00663003" w:rsidP="00663003"/>
    <w:p w14:paraId="356F46B5"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Хиперхолестеролемия</w:t>
      </w:r>
    </w:p>
    <w:p w14:paraId="08F8558A" w14:textId="77777777"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Лечение на първична хиперхолестеролемия или смесена дислипидемия, като допълнение към диетата, когато резултатът от диетата и други нефармакологични лечения (упражнения, загуба на тегло) е недостатъчен.</w:t>
      </w:r>
    </w:p>
    <w:p w14:paraId="15139E57" w14:textId="77777777" w:rsidR="00663003" w:rsidRPr="00663003" w:rsidRDefault="00663003" w:rsidP="00663003">
      <w:pPr>
        <w:spacing w:line="240" w:lineRule="auto"/>
        <w:rPr>
          <w:rFonts w:eastAsia="Times New Roman" w:cs="Arial"/>
          <w:color w:val="000000"/>
          <w:szCs w:val="20"/>
          <w:lang w:eastAsia="bg-BG"/>
        </w:rPr>
      </w:pPr>
    </w:p>
    <w:p w14:paraId="39F6430F" w14:textId="73B5809B"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lang w:eastAsia="bg-BG"/>
        </w:rPr>
        <w:t xml:space="preserve">Лечение на хомозиготна наследствена хиперхолестеролемия </w:t>
      </w:r>
      <w:r w:rsidRPr="00663003">
        <w:rPr>
          <w:rFonts w:eastAsia="Times New Roman" w:cs="Arial"/>
          <w:color w:val="000000"/>
          <w:szCs w:val="20"/>
          <w:lang w:val="ru-RU"/>
        </w:rPr>
        <w:t>(</w:t>
      </w:r>
      <w:proofErr w:type="spellStart"/>
      <w:r w:rsidRPr="00663003">
        <w:rPr>
          <w:rFonts w:eastAsia="Times New Roman" w:cs="Arial"/>
          <w:color w:val="000000"/>
          <w:szCs w:val="20"/>
          <w:lang w:val="en-US"/>
        </w:rPr>
        <w:t>HoFH</w:t>
      </w:r>
      <w:proofErr w:type="spellEnd"/>
      <w:r w:rsidRPr="00663003">
        <w:rPr>
          <w:rFonts w:eastAsia="Times New Roman" w:cs="Arial"/>
          <w:color w:val="000000"/>
          <w:szCs w:val="20"/>
          <w:lang w:val="ru-RU"/>
        </w:rPr>
        <w:t xml:space="preserve">) </w:t>
      </w:r>
      <w:r w:rsidRPr="00663003">
        <w:rPr>
          <w:rFonts w:eastAsia="Times New Roman" w:cs="Arial"/>
          <w:color w:val="000000"/>
          <w:szCs w:val="20"/>
          <w:lang w:eastAsia="bg-BG"/>
        </w:rPr>
        <w:t xml:space="preserve">като допълнение към диета и други липидопонижаващи средства (напр. </w:t>
      </w:r>
      <w:r w:rsidRPr="00663003">
        <w:rPr>
          <w:rFonts w:eastAsia="Times New Roman" w:cs="Arial"/>
          <w:color w:val="000000"/>
          <w:szCs w:val="20"/>
          <w:lang w:val="en-US"/>
        </w:rPr>
        <w:t>LDL</w:t>
      </w:r>
      <w:r w:rsidRPr="00663003">
        <w:rPr>
          <w:rFonts w:eastAsia="Times New Roman" w:cs="Arial"/>
          <w:color w:val="000000"/>
          <w:szCs w:val="20"/>
          <w:lang w:eastAsia="bg-BG"/>
        </w:rPr>
        <w:t>-афереза) или ако такива лечения са неподходящи.</w:t>
      </w:r>
    </w:p>
    <w:p w14:paraId="7072806B" w14:textId="77777777" w:rsidR="00663003" w:rsidRPr="00663003" w:rsidRDefault="00663003" w:rsidP="00663003">
      <w:pPr>
        <w:spacing w:line="240" w:lineRule="auto"/>
        <w:rPr>
          <w:rFonts w:eastAsia="Times New Roman" w:cs="Arial"/>
          <w:color w:val="000000"/>
          <w:szCs w:val="20"/>
          <w:u w:val="single"/>
          <w:lang w:eastAsia="bg-BG"/>
        </w:rPr>
      </w:pPr>
    </w:p>
    <w:p w14:paraId="37776B92" w14:textId="266449DE" w:rsidR="00663003" w:rsidRPr="00663003" w:rsidRDefault="00663003" w:rsidP="00663003">
      <w:pPr>
        <w:spacing w:line="240" w:lineRule="auto"/>
        <w:rPr>
          <w:rFonts w:eastAsia="Times New Roman" w:cs="Arial"/>
          <w:sz w:val="28"/>
          <w:szCs w:val="24"/>
        </w:rPr>
      </w:pPr>
      <w:r w:rsidRPr="00663003">
        <w:rPr>
          <w:rFonts w:eastAsia="Times New Roman" w:cs="Arial"/>
          <w:color w:val="000000"/>
          <w:szCs w:val="20"/>
          <w:u w:val="single"/>
          <w:lang w:eastAsia="bg-BG"/>
        </w:rPr>
        <w:t>Сърдечно-съдова профилактика</w:t>
      </w:r>
    </w:p>
    <w:p w14:paraId="5DEDD74D" w14:textId="2CAE35F7" w:rsidR="00663003" w:rsidRPr="00663003" w:rsidRDefault="00663003" w:rsidP="00663003">
      <w:pPr>
        <w:rPr>
          <w:rFonts w:eastAsia="Times New Roman" w:cs="Arial"/>
          <w:color w:val="000000"/>
          <w:szCs w:val="20"/>
          <w:lang w:eastAsia="bg-BG"/>
        </w:rPr>
      </w:pPr>
      <w:r w:rsidRPr="00663003">
        <w:rPr>
          <w:rFonts w:eastAsia="Times New Roman" w:cs="Arial"/>
          <w:color w:val="000000"/>
          <w:szCs w:val="20"/>
          <w:lang w:eastAsia="bg-BG"/>
        </w:rPr>
        <w:t>Намаляване на сърдечно-съдовата смъртност и заболеваемост сред пациенти с изявено атеросклеротично сърдечно-съдово заболяване или захарен диабет, при нормални или повишени холестеролови нива, като допълнение към коригирането на другите рискови фактори и друга терапия за сърдечно-съдова профилактика (вж. точка 5.1).</w:t>
      </w:r>
    </w:p>
    <w:p w14:paraId="2BC43057" w14:textId="4C641CC6" w:rsidR="00E72EFD" w:rsidRPr="00663003" w:rsidRDefault="00E72EFD" w:rsidP="00663003"/>
    <w:p w14:paraId="30BE2C7B" w14:textId="207F3C12" w:rsidR="008134C8" w:rsidRDefault="002C50EE" w:rsidP="004A448E">
      <w:pPr>
        <w:pStyle w:val="Heading2"/>
      </w:pPr>
      <w:r>
        <w:t>4.2. Дозировка и начин на приложение</w:t>
      </w:r>
    </w:p>
    <w:p w14:paraId="4C30366F" w14:textId="70A52D7E" w:rsidR="00E72EFD" w:rsidRDefault="00E72EFD" w:rsidP="00E72EFD"/>
    <w:p w14:paraId="127D1F75" w14:textId="77777777" w:rsidR="00E72EFD" w:rsidRPr="00E72EFD" w:rsidRDefault="00E72EFD" w:rsidP="00E72EFD">
      <w:pPr>
        <w:pStyle w:val="Heading3"/>
        <w:rPr>
          <w:rFonts w:eastAsia="Times New Roman"/>
          <w:sz w:val="28"/>
          <w:u w:val="single"/>
        </w:rPr>
      </w:pPr>
      <w:r w:rsidRPr="00E72EFD">
        <w:rPr>
          <w:rFonts w:eastAsia="Times New Roman"/>
          <w:u w:val="single"/>
          <w:lang w:eastAsia="bg-BG"/>
        </w:rPr>
        <w:t>Дозировка</w:t>
      </w:r>
    </w:p>
    <w:p w14:paraId="652C87AB"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Дозировката варира от 5 до 80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симвастатин дневно, обикновено приемани перорално като единична доза вечер. В случай, че се налагат корекции на дозата, те трябва да бъдат правени на интервали не по-малки от 4 седмици, като се достига максимална доза от 80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дневно приета като единична доза вечер. Доза от 80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се препоръчва само за пациенти с тежка хиперхолестеролемия и повишен риск от сърдечно-съдови усложнения, които не са постигнали целите на лечението си с по-ниски дози, и при които ползите се очаква да надвишат потенциалните рискове (вж. точки 4.4 и 5.1).</w:t>
      </w:r>
    </w:p>
    <w:p w14:paraId="1269AFAE" w14:textId="77777777" w:rsidR="00E72EFD" w:rsidRPr="00E72EFD" w:rsidRDefault="00E72EFD" w:rsidP="00E72EFD">
      <w:pPr>
        <w:spacing w:line="240" w:lineRule="auto"/>
        <w:rPr>
          <w:rFonts w:eastAsia="Times New Roman" w:cs="Arial"/>
          <w:i/>
          <w:iCs/>
          <w:color w:val="000000"/>
          <w:szCs w:val="20"/>
          <w:lang w:eastAsia="bg-BG"/>
        </w:rPr>
      </w:pPr>
    </w:p>
    <w:p w14:paraId="785DA5DA" w14:textId="37B0BDAF"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Хиперхолестеролемия</w:t>
      </w:r>
    </w:p>
    <w:p w14:paraId="3BB08A44"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Пациентът трябва да се постави на стандартна диета за понижаване на холестерола и тази диета трябва да продължи по време на лечението със симвастатин. Обичайната начална доза е 10-20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дневно, приемани като единична доза вечер. Пациенти, при които е необходима значителна редукция на </w:t>
      </w:r>
      <w:r w:rsidRPr="00E72EFD">
        <w:rPr>
          <w:rFonts w:eastAsia="Times New Roman" w:cs="Arial"/>
          <w:color w:val="000000"/>
          <w:szCs w:val="20"/>
          <w:lang w:val="en-US"/>
        </w:rPr>
        <w:t>LDL</w:t>
      </w:r>
      <w:r w:rsidRPr="00E72EFD">
        <w:rPr>
          <w:rFonts w:eastAsia="Times New Roman" w:cs="Arial"/>
          <w:color w:val="000000"/>
          <w:szCs w:val="20"/>
          <w:lang w:val="ru-RU"/>
        </w:rPr>
        <w:t>-</w:t>
      </w:r>
      <w:r w:rsidRPr="00E72EFD">
        <w:rPr>
          <w:rFonts w:eastAsia="Times New Roman" w:cs="Arial"/>
          <w:color w:val="000000"/>
          <w:szCs w:val="20"/>
          <w:lang w:val="en-US"/>
        </w:rPr>
        <w:t>C</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(повече от 45 %) може да започнат от 20 - 40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дневна доза, приемана еднократно вечер. В случай, че се налагат корекции на дозата, това трябва да се прави както е уточнено по-горе.</w:t>
      </w:r>
    </w:p>
    <w:p w14:paraId="45476CB0" w14:textId="77777777" w:rsidR="00E72EFD" w:rsidRPr="00E72EFD" w:rsidRDefault="00E72EFD" w:rsidP="00E72EFD">
      <w:pPr>
        <w:spacing w:line="240" w:lineRule="auto"/>
        <w:rPr>
          <w:rFonts w:eastAsia="Times New Roman" w:cs="Arial"/>
          <w:i/>
          <w:iCs/>
          <w:color w:val="000000"/>
          <w:szCs w:val="20"/>
          <w:lang w:eastAsia="bg-BG"/>
        </w:rPr>
      </w:pPr>
    </w:p>
    <w:p w14:paraId="7EB52618" w14:textId="7B855629"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Фамилна хомозиготна хиперхолестеролемия</w:t>
      </w:r>
    </w:p>
    <w:p w14:paraId="06836D4B"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Въз основа на резултати от контролирано клинично изпитване, препоръчителната първоначална доза е 40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симвастатин дневно, приемани вечер. Симвастатин трябва да се използва като допълнение към други липидопонижаващи терапии (напр. </w:t>
      </w:r>
      <w:r w:rsidRPr="00E72EFD">
        <w:rPr>
          <w:rFonts w:eastAsia="Times New Roman" w:cs="Arial"/>
          <w:color w:val="000000"/>
          <w:szCs w:val="20"/>
          <w:lang w:val="en-US"/>
        </w:rPr>
        <w:t>LDL</w:t>
      </w:r>
      <w:r w:rsidRPr="00E72EFD">
        <w:rPr>
          <w:rFonts w:eastAsia="Times New Roman" w:cs="Arial"/>
          <w:color w:val="000000"/>
          <w:szCs w:val="20"/>
          <w:lang w:eastAsia="bg-BG"/>
        </w:rPr>
        <w:t>-афереза) при тези пациенти или ако такива лечения не са на разположение.</w:t>
      </w:r>
    </w:p>
    <w:p w14:paraId="03D3449F" w14:textId="77777777" w:rsidR="00E72EFD" w:rsidRPr="00E72EFD" w:rsidRDefault="00E72EFD" w:rsidP="00E72EFD">
      <w:pPr>
        <w:spacing w:line="240" w:lineRule="auto"/>
        <w:rPr>
          <w:rFonts w:eastAsia="Times New Roman" w:cs="Arial"/>
          <w:color w:val="000000"/>
          <w:szCs w:val="20"/>
          <w:lang w:eastAsia="bg-BG"/>
        </w:rPr>
      </w:pPr>
    </w:p>
    <w:p w14:paraId="7B049269" w14:textId="640736EE"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При пациенти, които приемат ломитапид едновременно със симвастатин дозата на симвастатин не трябва да надвишава 40 </w:t>
      </w:r>
      <w:r w:rsidRPr="00E72EFD">
        <w:rPr>
          <w:rFonts w:eastAsia="Times New Roman" w:cs="Arial"/>
          <w:color w:val="000000"/>
          <w:szCs w:val="20"/>
          <w:lang w:val="en-US"/>
        </w:rPr>
        <w:t>mg</w:t>
      </w:r>
      <w:r w:rsidRPr="00E72EFD">
        <w:rPr>
          <w:rFonts w:eastAsia="Times New Roman" w:cs="Arial"/>
          <w:color w:val="000000"/>
          <w:szCs w:val="20"/>
          <w:lang w:eastAsia="bg-BG"/>
        </w:rPr>
        <w:t>/ден (вж. точки 4.3,</w:t>
      </w:r>
      <w:r w:rsidRPr="00E72EFD">
        <w:rPr>
          <w:rFonts w:eastAsia="Times New Roman" w:cs="Arial"/>
          <w:color w:val="000000"/>
          <w:szCs w:val="20"/>
          <w:lang w:val="ru-RU"/>
        </w:rPr>
        <w:t xml:space="preserve"> </w:t>
      </w:r>
      <w:r w:rsidRPr="00E72EFD">
        <w:rPr>
          <w:rFonts w:eastAsia="Times New Roman" w:cs="Arial"/>
          <w:color w:val="000000"/>
          <w:szCs w:val="20"/>
          <w:lang w:eastAsia="bg-BG"/>
        </w:rPr>
        <w:t>4.4 и 4.5).</w:t>
      </w:r>
    </w:p>
    <w:p w14:paraId="7EE9A260" w14:textId="77777777" w:rsidR="00E72EFD" w:rsidRPr="00E72EFD" w:rsidRDefault="00E72EFD" w:rsidP="00E72EFD">
      <w:pPr>
        <w:spacing w:line="240" w:lineRule="auto"/>
        <w:rPr>
          <w:rFonts w:eastAsia="Times New Roman" w:cs="Arial"/>
          <w:i/>
          <w:iCs/>
          <w:color w:val="000000"/>
          <w:szCs w:val="20"/>
          <w:lang w:eastAsia="bg-BG"/>
        </w:rPr>
      </w:pPr>
    </w:p>
    <w:p w14:paraId="7971C0E0" w14:textId="60217746"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Сърдечно-съдова профилактика</w:t>
      </w:r>
    </w:p>
    <w:p w14:paraId="1C013F99"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lastRenderedPageBreak/>
        <w:t xml:space="preserve">Обичайната доза симвастатин е 20 до 40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дневно, приемани като единична доза вечер при пациенти с висок риск от исхемична болест на сърцето (ИБС, със или без хиперлипидемия). Лекарствената терапия може да бъде започната едновременно с диета и упражнения. В случай, че се налагат корекции на дозата, това трябва да се прави както е уточнено по-горе.</w:t>
      </w:r>
    </w:p>
    <w:p w14:paraId="1959C642" w14:textId="77777777" w:rsidR="00E72EFD" w:rsidRPr="00E72EFD" w:rsidRDefault="00E72EFD" w:rsidP="00E72EFD">
      <w:pPr>
        <w:spacing w:line="240" w:lineRule="auto"/>
        <w:rPr>
          <w:rFonts w:eastAsia="Times New Roman" w:cs="Arial"/>
          <w:i/>
          <w:iCs/>
          <w:color w:val="000000"/>
          <w:szCs w:val="20"/>
          <w:u w:val="single"/>
          <w:lang w:eastAsia="bg-BG"/>
        </w:rPr>
      </w:pPr>
    </w:p>
    <w:p w14:paraId="76F18B8C" w14:textId="5AFC3A69"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u w:val="single"/>
          <w:lang w:eastAsia="bg-BG"/>
        </w:rPr>
        <w:t>Съпътстващо лечение</w:t>
      </w:r>
    </w:p>
    <w:p w14:paraId="2B837831"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Симвастатин е ефективен като самостоятелно лечение или в комбинация със секв</w:t>
      </w:r>
      <w:r w:rsidRPr="00E72EFD">
        <w:rPr>
          <w:rFonts w:eastAsia="Times New Roman" w:cs="Arial"/>
          <w:color w:val="000000"/>
          <w:szCs w:val="20"/>
          <w:lang w:val="en-US"/>
        </w:rPr>
        <w:t>e</w:t>
      </w:r>
      <w:r w:rsidRPr="00E72EFD">
        <w:rPr>
          <w:rFonts w:eastAsia="Times New Roman" w:cs="Arial"/>
          <w:color w:val="000000"/>
          <w:szCs w:val="20"/>
          <w:lang w:eastAsia="bg-BG"/>
        </w:rPr>
        <w:t>странти на жлъчната киселина. Приемането на лекарствения продукт трябва да става или повече от 2 часа преди или повече от 4 часа след приложението на секвестранта на жлъчната киселина.</w:t>
      </w:r>
    </w:p>
    <w:p w14:paraId="594CF570" w14:textId="77777777" w:rsidR="00E72EFD" w:rsidRPr="00E72EFD" w:rsidRDefault="00E72EFD" w:rsidP="00E72EFD">
      <w:pPr>
        <w:rPr>
          <w:rFonts w:eastAsia="Times New Roman" w:cs="Arial"/>
          <w:sz w:val="28"/>
          <w:szCs w:val="24"/>
        </w:rPr>
      </w:pPr>
    </w:p>
    <w:p w14:paraId="22496C38" w14:textId="77777777" w:rsidR="00E72EFD" w:rsidRPr="00E72EFD" w:rsidRDefault="00E72EFD" w:rsidP="00E72EFD">
      <w:pPr>
        <w:rPr>
          <w:rFonts w:eastAsia="Times New Roman" w:cs="Arial"/>
          <w:sz w:val="28"/>
          <w:szCs w:val="24"/>
        </w:rPr>
      </w:pPr>
      <w:r w:rsidRPr="00E72EFD">
        <w:rPr>
          <w:rFonts w:eastAsia="Times New Roman" w:cs="Arial"/>
          <w:color w:val="000000"/>
          <w:szCs w:val="20"/>
          <w:lang w:eastAsia="bg-BG"/>
        </w:rPr>
        <w:t xml:space="preserve">При пациенти, приемащи симвастатин едновременно с фибрата, различни от гемфиброзил (вж. точка 4.3) или фенофибрат, дозата на симвастатин не трябва да превишава 10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на ден. При пациенти, приемащи амиодарон, амлодипин, верапамил, дилтиазем или продукти съдържащи елбасвир или гразопревир едновременно със симвастатин, дозата на симвастатин не трябва да превишава 20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дневно (вж. точки 4.4. и 4.5.)</w:t>
      </w:r>
    </w:p>
    <w:p w14:paraId="682D6E87" w14:textId="77777777" w:rsidR="00E72EFD" w:rsidRPr="00E72EFD" w:rsidRDefault="00E72EFD" w:rsidP="00E72EFD">
      <w:pPr>
        <w:spacing w:line="240" w:lineRule="auto"/>
        <w:rPr>
          <w:rFonts w:eastAsia="Times New Roman" w:cs="Arial"/>
          <w:i/>
          <w:iCs/>
          <w:color w:val="000000"/>
          <w:szCs w:val="20"/>
          <w:lang w:eastAsia="bg-BG"/>
        </w:rPr>
      </w:pPr>
    </w:p>
    <w:p w14:paraId="75C95C35" w14:textId="3E3A9330"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Бъбречно увреждане</w:t>
      </w:r>
    </w:p>
    <w:p w14:paraId="48E3627A"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При пациенти с умерено бъбречно увреждане не се налага коригиране на дозата.</w:t>
      </w:r>
    </w:p>
    <w:p w14:paraId="5645BAA9"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При пациенти с тежко бъбречно увреждане (креатининов клирънс &lt; 30 </w:t>
      </w:r>
      <w:r w:rsidRPr="00E72EFD">
        <w:rPr>
          <w:rFonts w:eastAsia="Times New Roman" w:cs="Arial"/>
          <w:color w:val="000000"/>
          <w:szCs w:val="20"/>
          <w:lang w:val="en-US"/>
        </w:rPr>
        <w:t>ml</w:t>
      </w:r>
      <w:r w:rsidRPr="00E72EFD">
        <w:rPr>
          <w:rFonts w:eastAsia="Times New Roman" w:cs="Arial"/>
          <w:color w:val="000000"/>
          <w:szCs w:val="20"/>
          <w:lang w:val="ru-RU"/>
        </w:rPr>
        <w:t>/</w:t>
      </w:r>
      <w:r w:rsidRPr="00E72EFD">
        <w:rPr>
          <w:rFonts w:eastAsia="Times New Roman" w:cs="Arial"/>
          <w:color w:val="000000"/>
          <w:szCs w:val="20"/>
          <w:lang w:val="en-US"/>
        </w:rPr>
        <w:t>min</w:t>
      </w:r>
      <w:r w:rsidRPr="00E72EFD">
        <w:rPr>
          <w:rFonts w:eastAsia="Times New Roman" w:cs="Arial"/>
          <w:color w:val="000000"/>
          <w:szCs w:val="20"/>
          <w:lang w:val="ru-RU"/>
        </w:rPr>
        <w:t xml:space="preserve"> </w:t>
      </w:r>
      <w:r w:rsidRPr="00E72EFD">
        <w:rPr>
          <w:rFonts w:eastAsia="Times New Roman" w:cs="Arial"/>
          <w:color w:val="000000"/>
          <w:szCs w:val="20"/>
          <w:lang w:eastAsia="bg-BG"/>
        </w:rPr>
        <w:t xml:space="preserve">приложението на дози над 10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дневно трябва да бъде внимателно обсъдено и при необходимост да се прилагат с повишено внимание.</w:t>
      </w:r>
    </w:p>
    <w:p w14:paraId="4CD1CF4D" w14:textId="77777777" w:rsidR="00E72EFD" w:rsidRPr="00E72EFD" w:rsidRDefault="00E72EFD" w:rsidP="00E72EFD">
      <w:pPr>
        <w:spacing w:line="240" w:lineRule="auto"/>
        <w:rPr>
          <w:rFonts w:eastAsia="Times New Roman" w:cs="Arial"/>
          <w:i/>
          <w:iCs/>
          <w:color w:val="000000"/>
          <w:szCs w:val="20"/>
          <w:lang w:eastAsia="bg-BG"/>
        </w:rPr>
      </w:pPr>
    </w:p>
    <w:p w14:paraId="4C16C527" w14:textId="31F63165" w:rsidR="00E72EFD" w:rsidRPr="00E72EFD" w:rsidRDefault="00E72EFD" w:rsidP="00E72EFD">
      <w:pPr>
        <w:spacing w:line="240" w:lineRule="auto"/>
        <w:rPr>
          <w:rFonts w:eastAsia="Times New Roman" w:cs="Arial"/>
          <w:sz w:val="28"/>
          <w:szCs w:val="24"/>
        </w:rPr>
      </w:pPr>
      <w:r w:rsidRPr="00E72EFD">
        <w:rPr>
          <w:rFonts w:eastAsia="Times New Roman" w:cs="Arial"/>
          <w:i/>
          <w:iCs/>
          <w:color w:val="000000"/>
          <w:szCs w:val="20"/>
          <w:lang w:eastAsia="bg-BG"/>
        </w:rPr>
        <w:t>Старческа възраст</w:t>
      </w:r>
    </w:p>
    <w:p w14:paraId="20964841"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Не се налага корекция на дозата.</w:t>
      </w:r>
    </w:p>
    <w:p w14:paraId="37FB0A3D" w14:textId="77777777" w:rsidR="00E72EFD" w:rsidRPr="00E72EFD" w:rsidRDefault="00E72EFD" w:rsidP="00E72EFD">
      <w:pPr>
        <w:spacing w:line="240" w:lineRule="auto"/>
        <w:rPr>
          <w:rFonts w:eastAsia="Times New Roman" w:cs="Arial"/>
          <w:color w:val="000000"/>
          <w:szCs w:val="20"/>
          <w:u w:val="single"/>
          <w:lang w:eastAsia="bg-BG"/>
        </w:rPr>
      </w:pPr>
    </w:p>
    <w:p w14:paraId="405EAC59" w14:textId="280A8E1F"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u w:val="single"/>
          <w:lang w:eastAsia="bg-BG"/>
        </w:rPr>
        <w:t>Педитарична популация</w:t>
      </w:r>
    </w:p>
    <w:p w14:paraId="0B0697CB"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За деца и юноши (момчета </w:t>
      </w:r>
      <w:r w:rsidRPr="00E72EFD">
        <w:rPr>
          <w:rFonts w:eastAsia="Times New Roman" w:cs="Arial"/>
          <w:color w:val="000000"/>
          <w:szCs w:val="20"/>
          <w:lang w:val="en-US"/>
        </w:rPr>
        <w:t>II</w:t>
      </w:r>
      <w:r w:rsidRPr="00E72EFD">
        <w:rPr>
          <w:rFonts w:eastAsia="Times New Roman" w:cs="Arial"/>
          <w:color w:val="000000"/>
          <w:szCs w:val="20"/>
          <w:lang w:eastAsia="bg-BG"/>
        </w:rPr>
        <w:t xml:space="preserve"> стадий по Танер и повече и момичета, които са поне една година след менархе, на възраст 10-17 години) с хетерозиготна фамилна хиперхолестеролемия, препоръчителната обичайна начална доза е 10 </w:t>
      </w:r>
      <w:r w:rsidRPr="00E72EFD">
        <w:rPr>
          <w:rFonts w:eastAsia="Times New Roman" w:cs="Arial"/>
          <w:color w:val="000000"/>
          <w:szCs w:val="20"/>
          <w:lang w:val="en-US"/>
        </w:rPr>
        <w:t>mg</w:t>
      </w:r>
      <w:r w:rsidRPr="00E72EFD">
        <w:rPr>
          <w:rFonts w:eastAsia="Times New Roman" w:cs="Arial"/>
          <w:color w:val="000000"/>
          <w:szCs w:val="20"/>
          <w:lang w:val="ru-RU"/>
        </w:rPr>
        <w:t xml:space="preserve"> </w:t>
      </w:r>
      <w:r w:rsidRPr="00E72EFD">
        <w:rPr>
          <w:rFonts w:eastAsia="Times New Roman" w:cs="Arial"/>
          <w:color w:val="000000"/>
          <w:szCs w:val="20"/>
          <w:lang w:eastAsia="bg-BG"/>
        </w:rPr>
        <w:t>веднъж дневно, вечер. Децата и юношите трябва да бъдат на стандартна, понижаваща холестерола диета преди започване на лечението със симвастатин; тази диета трябва да продължи и по време на лечението със симвастатин.</w:t>
      </w:r>
    </w:p>
    <w:p w14:paraId="73105624" w14:textId="77777777" w:rsidR="00E72EFD" w:rsidRPr="00E72EFD" w:rsidRDefault="00E72EFD" w:rsidP="00E72EFD">
      <w:pPr>
        <w:spacing w:line="240" w:lineRule="auto"/>
        <w:rPr>
          <w:rFonts w:eastAsia="Times New Roman" w:cs="Arial"/>
          <w:color w:val="000000"/>
          <w:szCs w:val="20"/>
          <w:lang w:eastAsia="bg-BG"/>
        </w:rPr>
      </w:pPr>
    </w:p>
    <w:p w14:paraId="16FA08D6" w14:textId="34C48ADF"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 xml:space="preserve">Препоръчителният дозов интервал е 10 - 40 </w:t>
      </w:r>
      <w:r w:rsidRPr="00E72EFD">
        <w:rPr>
          <w:rFonts w:eastAsia="Times New Roman" w:cs="Arial"/>
          <w:color w:val="000000"/>
          <w:szCs w:val="20"/>
          <w:lang w:val="en-US"/>
        </w:rPr>
        <w:t>mg</w:t>
      </w:r>
      <w:r w:rsidRPr="00E72EFD">
        <w:rPr>
          <w:rFonts w:eastAsia="Times New Roman" w:cs="Arial"/>
          <w:color w:val="000000"/>
          <w:szCs w:val="20"/>
          <w:lang w:eastAsia="bg-BG"/>
        </w:rPr>
        <w:t xml:space="preserve">/дневно; максималната препоръчителна доза е 40 </w:t>
      </w:r>
      <w:r w:rsidRPr="00E72EFD">
        <w:rPr>
          <w:rFonts w:eastAsia="Times New Roman" w:cs="Arial"/>
          <w:color w:val="000000"/>
          <w:szCs w:val="20"/>
          <w:lang w:val="en-US"/>
        </w:rPr>
        <w:t>mg</w:t>
      </w:r>
      <w:r w:rsidRPr="00E72EFD">
        <w:rPr>
          <w:rFonts w:eastAsia="Times New Roman" w:cs="Arial"/>
          <w:color w:val="000000"/>
          <w:szCs w:val="20"/>
          <w:lang w:eastAsia="bg-BG"/>
        </w:rPr>
        <w:t>/дневно. Дозите трябва да бъдат индивидуализирани, в зависимост от препоръчаната цел на лечението, съгласно педиатричните препоръки за лечение (вж. точки 4.4 и 5.1). Корекции трябва да се правят на интервали от 4 или повече седмици.</w:t>
      </w:r>
    </w:p>
    <w:p w14:paraId="0A84CB48" w14:textId="77777777" w:rsidR="00E72EFD" w:rsidRPr="00E72EFD" w:rsidRDefault="00E72EFD" w:rsidP="00E72EFD">
      <w:pPr>
        <w:spacing w:line="240" w:lineRule="auto"/>
        <w:rPr>
          <w:rFonts w:eastAsia="Times New Roman" w:cs="Arial"/>
          <w:color w:val="000000"/>
          <w:szCs w:val="20"/>
          <w:lang w:eastAsia="bg-BG"/>
        </w:rPr>
      </w:pPr>
    </w:p>
    <w:p w14:paraId="1131B52A" w14:textId="04109084"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Опитът със симвастатин при деца в предпубертетна възраст е ограничен.</w:t>
      </w:r>
    </w:p>
    <w:p w14:paraId="38F4027F" w14:textId="77777777" w:rsidR="00E72EFD" w:rsidRPr="00E72EFD" w:rsidRDefault="00E72EFD" w:rsidP="00E72EFD">
      <w:pPr>
        <w:spacing w:line="240" w:lineRule="auto"/>
        <w:rPr>
          <w:rFonts w:eastAsia="Times New Roman" w:cs="Arial"/>
          <w:color w:val="000000"/>
          <w:szCs w:val="20"/>
          <w:u w:val="single"/>
          <w:lang w:eastAsia="bg-BG"/>
        </w:rPr>
      </w:pPr>
    </w:p>
    <w:p w14:paraId="3AFFC14F" w14:textId="54C587B5" w:rsidR="00E72EFD" w:rsidRPr="00E72EFD" w:rsidRDefault="00E72EFD" w:rsidP="00E72EFD">
      <w:pPr>
        <w:pStyle w:val="Heading3"/>
        <w:rPr>
          <w:rFonts w:eastAsia="Times New Roman"/>
          <w:sz w:val="28"/>
          <w:u w:val="single"/>
        </w:rPr>
      </w:pPr>
      <w:r w:rsidRPr="00E72EFD">
        <w:rPr>
          <w:rFonts w:eastAsia="Times New Roman"/>
          <w:u w:val="single"/>
          <w:lang w:eastAsia="bg-BG"/>
        </w:rPr>
        <w:t>Начин на приложение</w:t>
      </w:r>
    </w:p>
    <w:p w14:paraId="00A7BE42" w14:textId="77777777" w:rsidR="00E72EFD" w:rsidRPr="00E72EFD" w:rsidRDefault="00E72EFD" w:rsidP="00E72EFD">
      <w:pPr>
        <w:spacing w:line="240" w:lineRule="auto"/>
        <w:rPr>
          <w:rFonts w:eastAsia="Times New Roman" w:cs="Arial"/>
          <w:sz w:val="28"/>
          <w:szCs w:val="24"/>
        </w:rPr>
      </w:pPr>
      <w:r w:rsidRPr="00E72EFD">
        <w:rPr>
          <w:rFonts w:eastAsia="Times New Roman" w:cs="Arial"/>
          <w:color w:val="000000"/>
          <w:szCs w:val="20"/>
          <w:lang w:eastAsia="bg-BG"/>
        </w:rPr>
        <w:t>Акталипид е предназначен за перорално приложение. Акталипид може да се прилага като еднократна доза вечер.</w:t>
      </w:r>
    </w:p>
    <w:p w14:paraId="0BCF2D91" w14:textId="7870B881" w:rsidR="00E72EFD" w:rsidRPr="00E72EFD" w:rsidRDefault="00E72EFD" w:rsidP="00E72EFD"/>
    <w:p w14:paraId="28C984E8" w14:textId="16C48459" w:rsidR="008134C8" w:rsidRDefault="002C50EE" w:rsidP="004A448E">
      <w:pPr>
        <w:pStyle w:val="Heading2"/>
      </w:pPr>
      <w:r>
        <w:t>4.3. Противопоказания</w:t>
      </w:r>
    </w:p>
    <w:p w14:paraId="0C15F6C5" w14:textId="41A88C07" w:rsidR="00E72EFD" w:rsidRDefault="00E72EFD" w:rsidP="00E72EFD"/>
    <w:p w14:paraId="2D9182D7" w14:textId="77777777" w:rsidR="00E72EFD" w:rsidRDefault="00E72EFD" w:rsidP="00E72EFD">
      <w:pPr>
        <w:pStyle w:val="ListParagraph"/>
        <w:numPr>
          <w:ilvl w:val="0"/>
          <w:numId w:val="35"/>
        </w:numPr>
        <w:rPr>
          <w:lang w:eastAsia="bg-BG"/>
        </w:rPr>
      </w:pPr>
      <w:r w:rsidRPr="00E72EFD">
        <w:rPr>
          <w:lang w:eastAsia="bg-BG"/>
        </w:rPr>
        <w:lastRenderedPageBreak/>
        <w:t>Свръхчувствителност към активното вещество или към някое от помощните вещества, изброени в точка 6.1.</w:t>
      </w:r>
    </w:p>
    <w:p w14:paraId="341E27B9" w14:textId="77777777" w:rsidR="00E72EFD" w:rsidRDefault="00E72EFD" w:rsidP="00E72EFD">
      <w:pPr>
        <w:pStyle w:val="ListParagraph"/>
        <w:numPr>
          <w:ilvl w:val="0"/>
          <w:numId w:val="35"/>
        </w:numPr>
        <w:rPr>
          <w:lang w:eastAsia="bg-BG"/>
        </w:rPr>
      </w:pPr>
      <w:r w:rsidRPr="00E72EFD">
        <w:rPr>
          <w:lang w:eastAsia="bg-BG"/>
        </w:rPr>
        <w:t>Активно чернодробно заболяване или необясними трайно завишени стойности на серумните трансаминази.</w:t>
      </w:r>
    </w:p>
    <w:p w14:paraId="69793781" w14:textId="77777777" w:rsidR="00E72EFD" w:rsidRDefault="00E72EFD" w:rsidP="00E72EFD">
      <w:pPr>
        <w:pStyle w:val="ListParagraph"/>
        <w:numPr>
          <w:ilvl w:val="0"/>
          <w:numId w:val="35"/>
        </w:numPr>
        <w:rPr>
          <w:lang w:eastAsia="bg-BG"/>
        </w:rPr>
      </w:pPr>
      <w:r w:rsidRPr="00E72EFD">
        <w:rPr>
          <w:lang w:eastAsia="bg-BG"/>
        </w:rPr>
        <w:t>Бременност и кърмене (вж. точка 4.6.).</w:t>
      </w:r>
    </w:p>
    <w:p w14:paraId="21A362F0" w14:textId="77777777" w:rsidR="00E72EFD" w:rsidRDefault="00E72EFD" w:rsidP="00E72EFD">
      <w:pPr>
        <w:pStyle w:val="ListParagraph"/>
        <w:numPr>
          <w:ilvl w:val="0"/>
          <w:numId w:val="35"/>
        </w:numPr>
        <w:rPr>
          <w:lang w:eastAsia="bg-BG"/>
        </w:rPr>
      </w:pPr>
      <w:r w:rsidRPr="00E72EFD">
        <w:rPr>
          <w:lang w:eastAsia="bg-BG"/>
        </w:rPr>
        <w:t xml:space="preserve">Едновременно приложение на мощни </w:t>
      </w:r>
      <w:r w:rsidRPr="00E72EFD">
        <w:rPr>
          <w:lang w:val="en-US"/>
        </w:rPr>
        <w:t>CYP</w:t>
      </w:r>
      <w:r w:rsidRPr="00E72EFD">
        <w:rPr>
          <w:lang w:val="ru-RU"/>
        </w:rPr>
        <w:t>3</w:t>
      </w:r>
      <w:r w:rsidRPr="00E72EFD">
        <w:rPr>
          <w:lang w:val="en-US"/>
        </w:rPr>
        <w:t>A</w:t>
      </w:r>
      <w:r w:rsidRPr="00E72EFD">
        <w:rPr>
          <w:lang w:val="ru-RU"/>
        </w:rPr>
        <w:t xml:space="preserve">4 </w:t>
      </w:r>
      <w:r w:rsidRPr="00E72EFD">
        <w:rPr>
          <w:lang w:eastAsia="bg-BG"/>
        </w:rPr>
        <w:t xml:space="preserve">инхибитори (вещества, които повишават </w:t>
      </w:r>
      <w:r w:rsidRPr="00E72EFD">
        <w:rPr>
          <w:lang w:val="en-US"/>
        </w:rPr>
        <w:t>AUC</w:t>
      </w:r>
      <w:r w:rsidRPr="00E72EFD">
        <w:rPr>
          <w:lang w:val="ru-RU"/>
        </w:rPr>
        <w:t xml:space="preserve"> </w:t>
      </w:r>
      <w:r w:rsidRPr="00E72EFD">
        <w:rPr>
          <w:lang w:eastAsia="bg-BG"/>
        </w:rPr>
        <w:t xml:space="preserve">приблизително 5 пъти или повече) (напр. итраконазол, кетоконазол, позаконазол, вориконазол, </w:t>
      </w:r>
      <w:r w:rsidRPr="00E72EFD">
        <w:rPr>
          <w:lang w:val="en-US"/>
        </w:rPr>
        <w:t>HIV</w:t>
      </w:r>
      <w:r w:rsidRPr="00E72EFD">
        <w:rPr>
          <w:lang w:val="ru-RU"/>
        </w:rPr>
        <w:t xml:space="preserve"> </w:t>
      </w:r>
      <w:r w:rsidRPr="00E72EFD">
        <w:rPr>
          <w:lang w:eastAsia="bg-BG"/>
        </w:rPr>
        <w:t>протеазни инхибитори (напр. нелфинавир), боцепревир, телапревир, еритромицин, кларитромицин, телитромицин, нефазодон и лекарствени продукти, които съдържат кобицистат) (вж. точки 4.4 и 4.5).</w:t>
      </w:r>
    </w:p>
    <w:p w14:paraId="055E7C14" w14:textId="77777777" w:rsidR="00E72EFD" w:rsidRDefault="00E72EFD" w:rsidP="00E72EFD">
      <w:pPr>
        <w:pStyle w:val="ListParagraph"/>
        <w:numPr>
          <w:ilvl w:val="0"/>
          <w:numId w:val="35"/>
        </w:numPr>
        <w:rPr>
          <w:lang w:eastAsia="bg-BG"/>
        </w:rPr>
      </w:pPr>
      <w:r w:rsidRPr="00E72EFD">
        <w:rPr>
          <w:lang w:eastAsia="bg-BG"/>
        </w:rPr>
        <w:t>Едновременно приложение с гемфиброзил, циклоспорин или даназол (вж. точки 4.4 и 4.5).</w:t>
      </w:r>
    </w:p>
    <w:p w14:paraId="7A10C5AD" w14:textId="7C23D2E4" w:rsidR="00E72EFD" w:rsidRDefault="00E72EFD" w:rsidP="00E72EFD">
      <w:pPr>
        <w:pStyle w:val="ListParagraph"/>
        <w:numPr>
          <w:ilvl w:val="0"/>
          <w:numId w:val="35"/>
        </w:numPr>
        <w:rPr>
          <w:lang w:eastAsia="bg-BG"/>
        </w:rPr>
      </w:pPr>
      <w:r w:rsidRPr="00E72EFD">
        <w:rPr>
          <w:lang w:eastAsia="bg-BG"/>
        </w:rPr>
        <w:t xml:space="preserve">При пациенти с </w:t>
      </w:r>
      <w:proofErr w:type="spellStart"/>
      <w:r w:rsidRPr="00E72EFD">
        <w:rPr>
          <w:lang w:val="en-US"/>
        </w:rPr>
        <w:t>HoFH</w:t>
      </w:r>
      <w:proofErr w:type="spellEnd"/>
      <w:r w:rsidRPr="00E72EFD">
        <w:rPr>
          <w:lang w:val="ru-RU"/>
        </w:rPr>
        <w:t xml:space="preserve"> </w:t>
      </w:r>
      <w:r w:rsidRPr="00E72EFD">
        <w:rPr>
          <w:lang w:eastAsia="bg-BG"/>
        </w:rPr>
        <w:t>- едновременно приложение на ломитап</w:t>
      </w:r>
      <w:r w:rsidRPr="00E72EFD">
        <w:rPr>
          <w:lang w:val="en-US"/>
        </w:rPr>
        <w:t>I</w:t>
      </w:r>
      <w:r w:rsidRPr="00E72EFD">
        <w:rPr>
          <w:lang w:eastAsia="bg-BG"/>
        </w:rPr>
        <w:t xml:space="preserve">д със симвастатин в дози &gt; 40 </w:t>
      </w:r>
      <w:r w:rsidRPr="00E72EFD">
        <w:rPr>
          <w:lang w:val="en-US"/>
        </w:rPr>
        <w:t>mg</w:t>
      </w:r>
      <w:r w:rsidRPr="00E72EFD">
        <w:rPr>
          <w:lang w:val="ru-RU"/>
        </w:rPr>
        <w:t xml:space="preserve"> </w:t>
      </w:r>
      <w:r w:rsidRPr="00E72EFD">
        <w:rPr>
          <w:lang w:eastAsia="bg-BG"/>
        </w:rPr>
        <w:t>(вж. точки 4.2,4.4 и 4.5).</w:t>
      </w:r>
    </w:p>
    <w:p w14:paraId="0B29DFEB" w14:textId="77777777" w:rsidR="00E72EFD" w:rsidRPr="00E72EFD" w:rsidRDefault="00E72EFD" w:rsidP="00E72EFD"/>
    <w:p w14:paraId="212F509C" w14:textId="14CAB980" w:rsidR="004F498A" w:rsidRDefault="002C50EE" w:rsidP="004A448E">
      <w:pPr>
        <w:pStyle w:val="Heading2"/>
      </w:pPr>
      <w:r>
        <w:t>4.4. Специални предупреждения и предпазни мерки при употреба</w:t>
      </w:r>
    </w:p>
    <w:p w14:paraId="403B19C0" w14:textId="3657A1B5" w:rsidR="00E72EFD" w:rsidRDefault="00E72EFD" w:rsidP="00E72EFD"/>
    <w:p w14:paraId="61E94102" w14:textId="77777777"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Миопатия/рабдомиолиза</w:t>
      </w:r>
    </w:p>
    <w:p w14:paraId="4C6FCFA1"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Симвастатин, както и останалите инхибитори на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редуктазата, понякога причинаява миопатия, проявена с мускулна болка, чувствителност или слабост, със стойности на</w:t>
      </w:r>
    </w:p>
    <w:p w14:paraId="787D2E86"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креатинкиназата (СК) надвишаващи 10 пъти горната граница на нормата (</w:t>
      </w:r>
      <w:r w:rsidRPr="00E72EFD">
        <w:rPr>
          <w:rFonts w:eastAsia="Times New Roman" w:cs="Arial"/>
          <w:color w:val="000000"/>
          <w:lang w:val="en-US"/>
        </w:rPr>
        <w:t>ULN</w:t>
      </w:r>
      <w:r w:rsidRPr="00E72EFD">
        <w:rPr>
          <w:rFonts w:eastAsia="Times New Roman" w:cs="Arial"/>
          <w:color w:val="000000"/>
          <w:lang w:val="ru-RU"/>
        </w:rPr>
        <w:t>)</w:t>
      </w:r>
    </w:p>
    <w:p w14:paraId="756EBF1E"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Миопатията понякога се изявява под формата на рабдомиолиза със или без остра бъбречна</w:t>
      </w:r>
    </w:p>
    <w:p w14:paraId="70FEBA28" w14:textId="77777777" w:rsidR="00E72EFD" w:rsidRPr="00E72EFD" w:rsidRDefault="00E72EFD" w:rsidP="00E72EFD">
      <w:pPr>
        <w:rPr>
          <w:rFonts w:eastAsia="Times New Roman" w:cs="Arial"/>
        </w:rPr>
      </w:pPr>
      <w:r w:rsidRPr="00E72EFD">
        <w:rPr>
          <w:rFonts w:eastAsia="Times New Roman" w:cs="Arial"/>
          <w:color w:val="000000"/>
          <w:lang w:eastAsia="bg-BG"/>
        </w:rPr>
        <w:t xml:space="preserve">недостатъчност вследствие на миоглобинурия, като в много редки случаи изходът е фатален. Рискът от миопатия се увеличава при високи нива на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редуктазна инхибиторна активност в плазмата (напр. повишени плазмени нива на симвастатин и симвастатинова киселина), което отчасти може да се дължи на взаимодействие с лекарства, които оказват влияние върху метаболизма на симвастатин и/или транспортните пътища (вж. Точка 4.5).</w:t>
      </w:r>
    </w:p>
    <w:p w14:paraId="38E71862" w14:textId="77777777" w:rsidR="00E72EFD" w:rsidRPr="00E72EFD" w:rsidRDefault="00E72EFD" w:rsidP="00E72EFD">
      <w:pPr>
        <w:spacing w:line="240" w:lineRule="auto"/>
        <w:rPr>
          <w:rFonts w:eastAsia="Times New Roman" w:cs="Arial"/>
          <w:color w:val="000000"/>
          <w:lang w:eastAsia="bg-BG"/>
        </w:rPr>
      </w:pPr>
    </w:p>
    <w:p w14:paraId="7738960D" w14:textId="7D54CA70"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Както и при други инхибитори на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 xml:space="preserve">редуктазата, рискът от миопатия/рабдомиолиза е свързан с дозата. В база данни от клинични изпитвания, където 41 413 пациенти са лекувани със симвастатин, от които 24 747 (приблизително 60 %), от които са включени в проучвания с медиана на проследяване от поне 4 години, честотата на миопатия е средно 0,03 %, 0,08 % и 0,61 % при съответно 20, 40 и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При тези изпитвания, пациентите са внимателно наблюдавани и някои взаимодействащи си лекарствени продукти са изключени.</w:t>
      </w:r>
    </w:p>
    <w:p w14:paraId="3C2B62E5" w14:textId="77777777" w:rsidR="00E72EFD" w:rsidRPr="00E72EFD" w:rsidRDefault="00E72EFD" w:rsidP="00E72EFD">
      <w:pPr>
        <w:spacing w:line="240" w:lineRule="auto"/>
        <w:rPr>
          <w:rFonts w:eastAsia="Times New Roman" w:cs="Arial"/>
          <w:color w:val="000000"/>
          <w:lang w:eastAsia="bg-BG"/>
        </w:rPr>
      </w:pPr>
    </w:p>
    <w:p w14:paraId="50E164F0" w14:textId="149F3E72"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клинично проучване, в което пациенти с анамнеза за миокарден инфаркт са лекувани със симвастатин 80 </w:t>
      </w:r>
      <w:r w:rsidRPr="00E72EFD">
        <w:rPr>
          <w:rFonts w:eastAsia="Times New Roman" w:cs="Arial"/>
          <w:color w:val="000000"/>
          <w:lang w:val="en-US"/>
        </w:rPr>
        <w:t>mg</w:t>
      </w:r>
      <w:r w:rsidRPr="00E72EFD">
        <w:rPr>
          <w:rFonts w:eastAsia="Times New Roman" w:cs="Arial"/>
          <w:color w:val="000000"/>
          <w:lang w:eastAsia="bg-BG"/>
        </w:rPr>
        <w:t xml:space="preserve">/ден (средно проследяване 6,7 години), честотата на миопатия е била приблизително 1,0 % в сравнение с 0,02 % за пациенти, лекувани с 20 </w:t>
      </w:r>
      <w:r w:rsidRPr="00E72EFD">
        <w:rPr>
          <w:rFonts w:eastAsia="Times New Roman" w:cs="Arial"/>
          <w:color w:val="000000"/>
          <w:lang w:val="en-US"/>
        </w:rPr>
        <w:t>mg</w:t>
      </w:r>
      <w:r w:rsidRPr="00E72EFD">
        <w:rPr>
          <w:rFonts w:eastAsia="Times New Roman" w:cs="Arial"/>
          <w:color w:val="000000"/>
          <w:lang w:eastAsia="bg-BG"/>
        </w:rPr>
        <w:t>/ден. Приблизително половината от тези случаи на миопатия са наблюдавани през първата година от лечението. Честотата на миопатия през всяка следваща година от лечението е била приблизително 0,1 % (вж. точки 4.8 и 5.1).</w:t>
      </w:r>
    </w:p>
    <w:p w14:paraId="60A042B2" w14:textId="77777777" w:rsidR="00E72EFD" w:rsidRPr="00E72EFD" w:rsidRDefault="00E72EFD" w:rsidP="00E72EFD">
      <w:pPr>
        <w:spacing w:line="240" w:lineRule="auto"/>
        <w:rPr>
          <w:rFonts w:eastAsia="Times New Roman" w:cs="Arial"/>
          <w:color w:val="000000"/>
          <w:lang w:eastAsia="bg-BG"/>
        </w:rPr>
      </w:pPr>
    </w:p>
    <w:p w14:paraId="71EA1A89" w14:textId="677DCFF8" w:rsidR="00E72EFD" w:rsidRPr="00E72EFD" w:rsidRDefault="00E72EFD" w:rsidP="00E72EFD">
      <w:pPr>
        <w:spacing w:line="240" w:lineRule="auto"/>
        <w:rPr>
          <w:rFonts w:eastAsia="Times New Roman" w:cs="Arial"/>
        </w:rPr>
      </w:pPr>
      <w:r w:rsidRPr="00E72EFD">
        <w:rPr>
          <w:rFonts w:eastAsia="Times New Roman" w:cs="Arial"/>
          <w:color w:val="000000"/>
          <w:lang w:eastAsia="bg-BG"/>
        </w:rPr>
        <w:lastRenderedPageBreak/>
        <w:t xml:space="preserve">Рискът от миопатия е по-висок при пациенти, приемащи симвастатин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в сравнение с други статинови терапии със сходна </w:t>
      </w:r>
      <w:r w:rsidRPr="00E72EFD">
        <w:rPr>
          <w:rFonts w:eastAsia="Times New Roman" w:cs="Arial"/>
          <w:color w:val="000000"/>
          <w:lang w:val="en-US"/>
        </w:rPr>
        <w:t>LDL</w:t>
      </w:r>
      <w:r w:rsidRPr="00E72EFD">
        <w:rPr>
          <w:rFonts w:eastAsia="Times New Roman" w:cs="Arial"/>
          <w:color w:val="000000"/>
          <w:lang w:eastAsia="bg-BG"/>
        </w:rPr>
        <w:t xml:space="preserve">-С-понижаваща ефикасност. Следователно, дозата от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може да бъде използвана само от пациенти с тежка хиперхолестеролемия и с висок риск от сърдечно-съдови усложнения, които не постигат целите на лечението си с по- ниски дози, и при които ползите се очаква да надвишат потенциалните рискове. При пациенти, приемащи симвастатин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при които е необходим приема на лекарство, взаимодействащо със симвастатин, трябва да се използва по-ниска доза симвастатин или алтернативен режим на основата на статии с по-слаб потенциал за лекарствени взаимодействия (вижте по-долу </w:t>
      </w:r>
      <w:r w:rsidRPr="00E72EFD">
        <w:rPr>
          <w:rFonts w:eastAsia="Times New Roman" w:cs="Arial"/>
          <w:i/>
          <w:iCs/>
          <w:color w:val="000000"/>
          <w:lang w:eastAsia="bg-BG"/>
        </w:rPr>
        <w:t>Мерки за намаляване на риска от миопатия, предизвикана от взаимодействия с други лекарствени продукти</w:t>
      </w:r>
      <w:r w:rsidRPr="00E72EFD">
        <w:rPr>
          <w:rFonts w:eastAsia="Times New Roman" w:cs="Arial"/>
          <w:color w:val="000000"/>
          <w:lang w:eastAsia="bg-BG"/>
        </w:rPr>
        <w:t xml:space="preserve"> и точки 4.2, 4.3 и 4.5).</w:t>
      </w:r>
    </w:p>
    <w:p w14:paraId="44AE125C" w14:textId="77777777" w:rsidR="00E72EFD" w:rsidRPr="00E72EFD" w:rsidRDefault="00E72EFD" w:rsidP="00E72EFD">
      <w:pPr>
        <w:spacing w:line="240" w:lineRule="auto"/>
        <w:rPr>
          <w:rFonts w:eastAsia="Times New Roman" w:cs="Arial"/>
          <w:color w:val="000000"/>
          <w:lang w:eastAsia="bg-BG"/>
        </w:rPr>
      </w:pPr>
    </w:p>
    <w:p w14:paraId="3D08E152" w14:textId="7F2B8C30"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клинично проучване, при което пациентите с висок риск от сърдечно-съдови заболявания са лекувани със симвастатин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(медиана на проследяването 3,9 години), честотата на миопатия е приблизително 0,05% за пациенти, които не са китайци (</w:t>
      </w:r>
      <w:r w:rsidRPr="00E72EFD">
        <w:rPr>
          <w:rFonts w:eastAsia="Times New Roman" w:cs="Arial"/>
          <w:color w:val="000000"/>
          <w:lang w:val="en-US"/>
        </w:rPr>
        <w:t>n</w:t>
      </w:r>
      <w:r w:rsidRPr="00E72EFD">
        <w:rPr>
          <w:rFonts w:eastAsia="Times New Roman" w:cs="Arial"/>
          <w:color w:val="000000"/>
          <w:lang w:eastAsia="bg-BG"/>
        </w:rPr>
        <w:t xml:space="preserve"> = 7 367) в сравнение с 0,24% при китайци (</w:t>
      </w:r>
      <w:r w:rsidRPr="00E72EFD">
        <w:rPr>
          <w:rFonts w:eastAsia="Times New Roman" w:cs="Arial"/>
          <w:color w:val="000000"/>
          <w:lang w:val="en-US"/>
        </w:rPr>
        <w:t>n</w:t>
      </w:r>
      <w:r w:rsidRPr="00E72EFD">
        <w:rPr>
          <w:rFonts w:eastAsia="Times New Roman" w:cs="Arial"/>
          <w:color w:val="000000"/>
          <w:lang w:eastAsia="bg-BG"/>
        </w:rPr>
        <w:t xml:space="preserve"> = 5 468). Въпреки, че азиатската популация в това проучване се състои само от китайци, трябва да се внимава, когато се предписва симвастатин на пациентите с азиатски произход и да се прилага най-ниската необходима доза.</w:t>
      </w:r>
    </w:p>
    <w:p w14:paraId="4745257E" w14:textId="77777777" w:rsidR="00E72EFD" w:rsidRPr="00E72EFD" w:rsidRDefault="00E72EFD" w:rsidP="00E72EFD">
      <w:pPr>
        <w:spacing w:line="240" w:lineRule="auto"/>
        <w:rPr>
          <w:rFonts w:eastAsia="Times New Roman" w:cs="Arial"/>
          <w:i/>
          <w:iCs/>
          <w:color w:val="000000"/>
          <w:lang w:eastAsia="bg-BG"/>
        </w:rPr>
      </w:pPr>
    </w:p>
    <w:p w14:paraId="18B8E1D4" w14:textId="65033640"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Намалена функция на транспортните протеини</w:t>
      </w:r>
    </w:p>
    <w:p w14:paraId="07BC5018"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Намалена функция на чернодробните ОАТР транспортни протеини може да повиши системната експозиция на симвастатин и да увеличи риска от миопатия и рабдомиолиза. Понижената функция може да се появи в резултат на инхибиране от взаимодействащи лекарства (напр. циклоспорин) или при пациенти, носители на </w:t>
      </w:r>
      <w:r w:rsidRPr="00E72EFD">
        <w:rPr>
          <w:rFonts w:eastAsia="Times New Roman" w:cs="Arial"/>
          <w:color w:val="000000"/>
          <w:lang w:val="en-US"/>
        </w:rPr>
        <w:t>SLCO</w:t>
      </w:r>
      <w:r w:rsidRPr="00E72EFD">
        <w:rPr>
          <w:rFonts w:eastAsia="Times New Roman" w:cs="Arial"/>
          <w:color w:val="000000"/>
          <w:lang w:val="ru-RU"/>
        </w:rPr>
        <w:t>1</w:t>
      </w:r>
      <w:r w:rsidRPr="00E72EFD">
        <w:rPr>
          <w:rFonts w:eastAsia="Times New Roman" w:cs="Arial"/>
          <w:color w:val="000000"/>
          <w:lang w:val="en-US"/>
        </w:rPr>
        <w:t>B</w:t>
      </w:r>
      <w:r w:rsidRPr="00E72EFD">
        <w:rPr>
          <w:rFonts w:eastAsia="Times New Roman" w:cs="Arial"/>
          <w:color w:val="000000"/>
          <w:lang w:val="ru-RU"/>
        </w:rPr>
        <w:t xml:space="preserve">1 </w:t>
      </w:r>
      <w:r w:rsidRPr="00E72EFD">
        <w:rPr>
          <w:rFonts w:eastAsia="Times New Roman" w:cs="Arial"/>
          <w:color w:val="000000"/>
          <w:lang w:eastAsia="bg-BG"/>
        </w:rPr>
        <w:t>с.521Т&gt;С генотип.</w:t>
      </w:r>
    </w:p>
    <w:p w14:paraId="48980E3E" w14:textId="77777777" w:rsidR="00E72EFD" w:rsidRPr="00E72EFD" w:rsidRDefault="00E72EFD" w:rsidP="00E72EFD">
      <w:pPr>
        <w:spacing w:line="240" w:lineRule="auto"/>
        <w:rPr>
          <w:rFonts w:eastAsia="Times New Roman" w:cs="Arial"/>
          <w:color w:val="000000"/>
          <w:lang w:eastAsia="bg-BG"/>
        </w:rPr>
      </w:pPr>
    </w:p>
    <w:p w14:paraId="5E596688" w14:textId="42BC305C"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Пациентите, носители на ген </w:t>
      </w:r>
      <w:r w:rsidRPr="00E72EFD">
        <w:rPr>
          <w:rFonts w:eastAsia="Times New Roman" w:cs="Arial"/>
          <w:color w:val="000000"/>
          <w:lang w:val="en-US"/>
        </w:rPr>
        <w:t>SLCO</w:t>
      </w:r>
      <w:r w:rsidRPr="00E72EFD">
        <w:rPr>
          <w:rFonts w:eastAsia="Times New Roman" w:cs="Arial"/>
          <w:color w:val="000000"/>
          <w:lang w:val="ru-RU"/>
        </w:rPr>
        <w:t>1</w:t>
      </w:r>
      <w:r w:rsidRPr="00E72EFD">
        <w:rPr>
          <w:rFonts w:eastAsia="Times New Roman" w:cs="Arial"/>
          <w:color w:val="000000"/>
          <w:lang w:val="en-US"/>
        </w:rPr>
        <w:t>B</w:t>
      </w:r>
      <w:r w:rsidRPr="00E72EFD">
        <w:rPr>
          <w:rFonts w:eastAsia="Times New Roman" w:cs="Arial"/>
          <w:color w:val="000000"/>
          <w:lang w:val="ru-RU"/>
        </w:rPr>
        <w:t xml:space="preserve">1 </w:t>
      </w:r>
      <w:r w:rsidRPr="00E72EFD">
        <w:rPr>
          <w:rFonts w:eastAsia="Times New Roman" w:cs="Arial"/>
          <w:color w:val="000000"/>
          <w:lang w:eastAsia="bg-BG"/>
        </w:rPr>
        <w:t xml:space="preserve">с апел (с.521Т&gt;С), кодиращ по-слабо активен ОАТР1В1 протеин, имат повишена системна експозиция на симвастатин и повишен риск от миопатия. Рискът от миопатия, предизвикана от висока доза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като цяло е около 1 %, без провеждане на генетични изследвания. Въз основата на резултатите от проучването </w:t>
      </w:r>
      <w:r w:rsidRPr="00E72EFD">
        <w:rPr>
          <w:rFonts w:eastAsia="Times New Roman" w:cs="Arial"/>
          <w:color w:val="000000"/>
          <w:lang w:val="en-US"/>
        </w:rPr>
        <w:t>SEARCH</w:t>
      </w:r>
      <w:r w:rsidRPr="00E72EFD">
        <w:rPr>
          <w:rFonts w:eastAsia="Times New Roman" w:cs="Arial"/>
          <w:color w:val="000000"/>
          <w:lang w:val="ru-RU"/>
        </w:rPr>
        <w:t xml:space="preserve">, </w:t>
      </w:r>
      <w:r w:rsidRPr="00E72EFD">
        <w:rPr>
          <w:rFonts w:eastAsia="Times New Roman" w:cs="Arial"/>
          <w:color w:val="000000"/>
          <w:lang w:eastAsia="bg-BG"/>
        </w:rPr>
        <w:t xml:space="preserve">при хомозиготните носители на С алела (наричани също СС), лекувани с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симвастатин рискът от миопатия е 15 % в рамките на една година, докато рискът при хетерозиготните носители на С алела (СТ) е 1,5 %. При пациенти, които имат най-често срещания генотип (ТТ) съответният риск е 0,3 % (вж. точка 5.2). По възможност, трябва да се обмисли определяне на генотипа за наличието на С алел като част от оценката на</w:t>
      </w:r>
    </w:p>
    <w:p w14:paraId="26BF69FE"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съотношението полза-риск преди предписването на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симвастатин на отделните пациенти и да се избягват високи дози при пациентите, носители на СС генотип. Въпреки това,</w:t>
      </w:r>
    </w:p>
    <w:p w14:paraId="1851EF0C"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отсъствието на този ген при определянето на генотипа не изключва възможността за поява на</w:t>
      </w:r>
    </w:p>
    <w:p w14:paraId="5AE3771E" w14:textId="0C672BAE" w:rsidR="00E72EFD" w:rsidRPr="00E72EFD" w:rsidRDefault="00E72EFD" w:rsidP="00E72EFD">
      <w:pPr>
        <w:rPr>
          <w:rFonts w:eastAsia="Times New Roman" w:cs="Arial"/>
          <w:color w:val="000000"/>
          <w:lang w:eastAsia="bg-BG"/>
        </w:rPr>
      </w:pPr>
      <w:r w:rsidRPr="00E72EFD">
        <w:rPr>
          <w:rFonts w:eastAsia="Times New Roman" w:cs="Arial"/>
          <w:color w:val="000000"/>
          <w:lang w:eastAsia="bg-BG"/>
        </w:rPr>
        <w:t>миопатия.</w:t>
      </w:r>
    </w:p>
    <w:p w14:paraId="6D036CCD" w14:textId="3771F653" w:rsidR="00E72EFD" w:rsidRPr="00E72EFD" w:rsidRDefault="00E72EFD" w:rsidP="00E72EFD">
      <w:pPr>
        <w:rPr>
          <w:rFonts w:eastAsia="Times New Roman" w:cs="Arial"/>
          <w:color w:val="000000"/>
          <w:lang w:eastAsia="bg-BG"/>
        </w:rPr>
      </w:pPr>
    </w:p>
    <w:p w14:paraId="5E2914C3" w14:textId="77777777"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Измерване на креатинкиназа</w:t>
      </w:r>
    </w:p>
    <w:p w14:paraId="690E540E"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Креатинкиназата (СК) не трябва да се определя след изморителни упражнения или при наличието на вероятна алтернативна причина за увеличение на СК, тъй като това прави трудно интерпретирането на стойностите. Ако стойностите на креатинкиназа са значително увеличени в началото (&gt;5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те трябва да бъдат повторно измерени в рамките на 5 до 7 дни след това за потвърждаване на резултатите.</w:t>
      </w:r>
    </w:p>
    <w:p w14:paraId="6443610E" w14:textId="77777777" w:rsidR="00E72EFD" w:rsidRPr="00E72EFD" w:rsidRDefault="00E72EFD" w:rsidP="00E72EFD">
      <w:pPr>
        <w:spacing w:line="240" w:lineRule="auto"/>
        <w:rPr>
          <w:rFonts w:eastAsia="Times New Roman" w:cs="Arial"/>
          <w:i/>
          <w:iCs/>
          <w:color w:val="000000"/>
          <w:lang w:eastAsia="bg-BG"/>
        </w:rPr>
      </w:pPr>
    </w:p>
    <w:p w14:paraId="65BB8768" w14:textId="774D1C4B"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lastRenderedPageBreak/>
        <w:t>Преди началото на лечението</w:t>
      </w:r>
    </w:p>
    <w:p w14:paraId="66469751"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Всички пациенти, които започват лечение със симвастатин или при които се повишава дозата на симвастатин, трябва да бъдат информирани за риска от миопатия и да бъдат посъветвани да съобщават незабавно за необясними мускулни болки, чувствителност или слабост.</w:t>
      </w:r>
    </w:p>
    <w:p w14:paraId="009DCB4A" w14:textId="77777777" w:rsidR="00E72EFD" w:rsidRPr="00E72EFD" w:rsidRDefault="00E72EFD" w:rsidP="00E72EFD">
      <w:pPr>
        <w:spacing w:line="240" w:lineRule="auto"/>
        <w:rPr>
          <w:rFonts w:eastAsia="Times New Roman" w:cs="Arial"/>
          <w:color w:val="000000"/>
          <w:lang w:eastAsia="bg-BG"/>
        </w:rPr>
      </w:pPr>
    </w:p>
    <w:p w14:paraId="3D27E5E7" w14:textId="408C7607" w:rsidR="00E72EFD" w:rsidRPr="00E72EFD" w:rsidRDefault="00E72EFD" w:rsidP="00E72EFD">
      <w:pPr>
        <w:spacing w:line="240" w:lineRule="auto"/>
        <w:rPr>
          <w:rFonts w:eastAsia="Times New Roman" w:cs="Arial"/>
          <w:color w:val="000000"/>
          <w:lang w:eastAsia="bg-BG"/>
        </w:rPr>
      </w:pPr>
      <w:r w:rsidRPr="00E72EFD">
        <w:rPr>
          <w:rFonts w:eastAsia="Times New Roman" w:cs="Arial"/>
          <w:color w:val="000000"/>
          <w:lang w:eastAsia="bg-BG"/>
        </w:rPr>
        <w:t>Повишено внимание е необходимо при пациенти, при които са налице предразполагащи фактори за рабдомиолиза. Нивото на креатинкиназа трябва да се измери преди започване на лечението с оглед установяване на референтна начална стойност в следните случаи:</w:t>
      </w:r>
    </w:p>
    <w:p w14:paraId="6798C175" w14:textId="77777777" w:rsidR="00E72EFD" w:rsidRPr="00E72EFD" w:rsidRDefault="00E72EFD" w:rsidP="00E72EFD">
      <w:pPr>
        <w:spacing w:line="240" w:lineRule="auto"/>
        <w:rPr>
          <w:rFonts w:eastAsia="Times New Roman" w:cs="Arial"/>
        </w:rPr>
      </w:pPr>
    </w:p>
    <w:p w14:paraId="3EABA2D7" w14:textId="77777777" w:rsidR="00E72EFD" w:rsidRPr="00E72EFD" w:rsidRDefault="00E72EFD" w:rsidP="00E72EFD">
      <w:pPr>
        <w:pStyle w:val="ListParagraph"/>
        <w:numPr>
          <w:ilvl w:val="0"/>
          <w:numId w:val="36"/>
        </w:numPr>
        <w:rPr>
          <w:lang w:eastAsia="bg-BG"/>
        </w:rPr>
      </w:pPr>
      <w:r w:rsidRPr="00E72EFD">
        <w:rPr>
          <w:lang w:eastAsia="bg-BG"/>
        </w:rPr>
        <w:t>Пациенти в старческа възраст (≥65 години).</w:t>
      </w:r>
    </w:p>
    <w:p w14:paraId="5992D65D" w14:textId="77777777" w:rsidR="00E72EFD" w:rsidRPr="00E72EFD" w:rsidRDefault="00E72EFD" w:rsidP="00E72EFD">
      <w:pPr>
        <w:pStyle w:val="ListParagraph"/>
        <w:numPr>
          <w:ilvl w:val="0"/>
          <w:numId w:val="36"/>
        </w:numPr>
        <w:rPr>
          <w:lang w:eastAsia="bg-BG"/>
        </w:rPr>
      </w:pPr>
      <w:r w:rsidRPr="00E72EFD">
        <w:rPr>
          <w:lang w:eastAsia="bg-BG"/>
        </w:rPr>
        <w:t>Женски пол</w:t>
      </w:r>
    </w:p>
    <w:p w14:paraId="713699D4" w14:textId="77777777" w:rsidR="00E72EFD" w:rsidRPr="00E72EFD" w:rsidRDefault="00E72EFD" w:rsidP="00E72EFD">
      <w:pPr>
        <w:pStyle w:val="ListParagraph"/>
        <w:numPr>
          <w:ilvl w:val="0"/>
          <w:numId w:val="36"/>
        </w:numPr>
        <w:rPr>
          <w:lang w:eastAsia="bg-BG"/>
        </w:rPr>
      </w:pPr>
      <w:r w:rsidRPr="00E72EFD">
        <w:rPr>
          <w:lang w:eastAsia="bg-BG"/>
        </w:rPr>
        <w:t>Бъбречно увреждане</w:t>
      </w:r>
    </w:p>
    <w:p w14:paraId="56B8575F" w14:textId="77777777" w:rsidR="00E72EFD" w:rsidRPr="00E72EFD" w:rsidRDefault="00E72EFD" w:rsidP="00E72EFD">
      <w:pPr>
        <w:pStyle w:val="ListParagraph"/>
        <w:numPr>
          <w:ilvl w:val="0"/>
          <w:numId w:val="36"/>
        </w:numPr>
        <w:rPr>
          <w:lang w:eastAsia="bg-BG"/>
        </w:rPr>
      </w:pPr>
      <w:r w:rsidRPr="00E72EFD">
        <w:rPr>
          <w:lang w:eastAsia="bg-BG"/>
        </w:rPr>
        <w:t>Неконтролиран хипотиреоцдизъм</w:t>
      </w:r>
    </w:p>
    <w:p w14:paraId="78FCAD00" w14:textId="77777777" w:rsidR="00E72EFD" w:rsidRPr="00E72EFD" w:rsidRDefault="00E72EFD" w:rsidP="00E72EFD">
      <w:pPr>
        <w:pStyle w:val="ListParagraph"/>
        <w:numPr>
          <w:ilvl w:val="0"/>
          <w:numId w:val="36"/>
        </w:numPr>
        <w:rPr>
          <w:lang w:eastAsia="bg-BG"/>
        </w:rPr>
      </w:pPr>
      <w:r w:rsidRPr="00E72EFD">
        <w:rPr>
          <w:lang w:eastAsia="bg-BG"/>
        </w:rPr>
        <w:t>Лична или фамилна анамнеза за наследствени мускулни заболявания</w:t>
      </w:r>
    </w:p>
    <w:p w14:paraId="1085E2DF" w14:textId="77777777" w:rsidR="00E72EFD" w:rsidRPr="00E72EFD" w:rsidRDefault="00E72EFD" w:rsidP="00E72EFD">
      <w:pPr>
        <w:pStyle w:val="ListParagraph"/>
        <w:numPr>
          <w:ilvl w:val="0"/>
          <w:numId w:val="36"/>
        </w:numPr>
        <w:rPr>
          <w:lang w:eastAsia="bg-BG"/>
        </w:rPr>
      </w:pPr>
      <w:r w:rsidRPr="00E72EFD">
        <w:rPr>
          <w:lang w:eastAsia="bg-BG"/>
        </w:rPr>
        <w:t>Анамнеза за мускулна токсичност при прилагане на статии или фибрат</w:t>
      </w:r>
    </w:p>
    <w:p w14:paraId="7B5D40E0" w14:textId="77777777" w:rsidR="00E72EFD" w:rsidRPr="00E72EFD" w:rsidRDefault="00E72EFD" w:rsidP="00E72EFD">
      <w:pPr>
        <w:pStyle w:val="ListParagraph"/>
        <w:numPr>
          <w:ilvl w:val="0"/>
          <w:numId w:val="36"/>
        </w:numPr>
        <w:rPr>
          <w:lang w:eastAsia="bg-BG"/>
        </w:rPr>
      </w:pPr>
      <w:r w:rsidRPr="00E72EFD">
        <w:rPr>
          <w:lang w:eastAsia="bg-BG"/>
        </w:rPr>
        <w:t>Злоупотреба с алкохол</w:t>
      </w:r>
    </w:p>
    <w:p w14:paraId="19DEC24D" w14:textId="77777777" w:rsidR="00E72EFD" w:rsidRPr="00E72EFD" w:rsidRDefault="00E72EFD" w:rsidP="00E72EFD">
      <w:pPr>
        <w:spacing w:line="240" w:lineRule="auto"/>
        <w:rPr>
          <w:rFonts w:eastAsia="Times New Roman" w:cs="Arial"/>
          <w:color w:val="000000"/>
          <w:lang w:eastAsia="bg-BG"/>
        </w:rPr>
      </w:pPr>
    </w:p>
    <w:p w14:paraId="438ED699" w14:textId="6A42A5C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такива случаи, рискът от лечението трябва да се оценява спрямо възможната полза, като клиничното проследяване е препоръчително. Ако пациентът е имал предишни мускулни нарушения при приемане на фибрат или статии, необходимо е повишено внимание при започване на лечение с друг лекарствен продукт от тази група. Ако стойностите на креатинкиназата са значително увеличени в началото (&gt;5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лечение не трябва да започва.</w:t>
      </w:r>
    </w:p>
    <w:p w14:paraId="0E6B3057" w14:textId="77777777" w:rsidR="00E72EFD" w:rsidRPr="00E72EFD" w:rsidRDefault="00E72EFD" w:rsidP="00E72EFD">
      <w:pPr>
        <w:spacing w:line="240" w:lineRule="auto"/>
        <w:rPr>
          <w:rFonts w:eastAsia="Times New Roman" w:cs="Arial"/>
          <w:i/>
          <w:iCs/>
          <w:color w:val="000000"/>
          <w:lang w:eastAsia="bg-BG"/>
        </w:rPr>
      </w:pPr>
    </w:p>
    <w:p w14:paraId="59CB83EC" w14:textId="11D0B2E2"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По време на лечение</w:t>
      </w:r>
    </w:p>
    <w:p w14:paraId="0D2C8C7B" w14:textId="77777777" w:rsidR="00E72EFD" w:rsidRPr="00E72EFD" w:rsidRDefault="00E72EFD" w:rsidP="00E72EFD">
      <w:pPr>
        <w:spacing w:line="240" w:lineRule="auto"/>
        <w:rPr>
          <w:rFonts w:eastAsia="Times New Roman" w:cs="Arial"/>
          <w:color w:val="000000"/>
          <w:lang w:eastAsia="bg-BG"/>
        </w:rPr>
      </w:pPr>
      <w:r w:rsidRPr="00E72EFD">
        <w:rPr>
          <w:rFonts w:eastAsia="Times New Roman" w:cs="Arial"/>
          <w:i/>
          <w:iCs/>
          <w:color w:val="000000"/>
          <w:lang w:eastAsia="bg-BG"/>
        </w:rPr>
        <w:t>Ако</w:t>
      </w:r>
      <w:r w:rsidRPr="00E72EFD">
        <w:rPr>
          <w:rFonts w:eastAsia="Times New Roman" w:cs="Arial"/>
          <w:color w:val="000000"/>
          <w:lang w:eastAsia="bg-BG"/>
        </w:rPr>
        <w:t xml:space="preserve"> се появят мускулна болка, слабост или схващания, докато пациентът провежда лечение със статии, трябва да бъдат определени стойностите на креатинкиназата. Ако се установи, че тези стойности са завишени значително (&gt;5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 xml:space="preserve">при липса на сериозно натоварване, лечението трябва да се преустанови. </w:t>
      </w:r>
    </w:p>
    <w:p w14:paraId="6F90D47D" w14:textId="1D0F990F"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Ако мускулните симптоми са тежки и причиняват ежедневен дискомфорт на пациента, дори при стойности на СК &lt; 5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може да се обмисли прекратяване на лечението. Ако се подозира миопатия поради каквато и да е друга причина, лечението трябва да се прекрати.</w:t>
      </w:r>
    </w:p>
    <w:p w14:paraId="285D30F8" w14:textId="77777777" w:rsidR="00E72EFD" w:rsidRPr="00E72EFD" w:rsidRDefault="00E72EFD" w:rsidP="00E72EFD">
      <w:pPr>
        <w:spacing w:line="240" w:lineRule="auto"/>
        <w:rPr>
          <w:rFonts w:eastAsia="Times New Roman" w:cs="Arial"/>
          <w:color w:val="000000"/>
          <w:lang w:eastAsia="bg-BG"/>
        </w:rPr>
      </w:pPr>
    </w:p>
    <w:p w14:paraId="2234C4DC" w14:textId="0C0B4B8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По време на лечение с някои статини или след това в много редки случаи се съобщава за поява на имуномедиирана некротизираща миопатия </w:t>
      </w:r>
      <w:r w:rsidRPr="00E72EFD">
        <w:rPr>
          <w:rFonts w:eastAsia="Times New Roman" w:cs="Arial"/>
          <w:color w:val="000000"/>
          <w:lang w:val="ru-RU"/>
        </w:rPr>
        <w:t>(</w:t>
      </w:r>
      <w:r w:rsidRPr="00E72EFD">
        <w:rPr>
          <w:rFonts w:eastAsia="Times New Roman" w:cs="Arial"/>
          <w:color w:val="000000"/>
          <w:lang w:val="en-US"/>
        </w:rPr>
        <w:t>IMNM</w:t>
      </w:r>
      <w:r w:rsidRPr="00E72EFD">
        <w:rPr>
          <w:rFonts w:eastAsia="Times New Roman" w:cs="Arial"/>
          <w:color w:val="000000"/>
          <w:lang w:val="ru-RU"/>
        </w:rPr>
        <w:t xml:space="preserve">). </w:t>
      </w:r>
      <w:r w:rsidRPr="00E72EFD">
        <w:rPr>
          <w:rFonts w:eastAsia="Times New Roman" w:cs="Arial"/>
          <w:color w:val="000000"/>
          <w:lang w:eastAsia="bg-BG"/>
        </w:rPr>
        <w:t xml:space="preserve">Клинично </w:t>
      </w:r>
      <w:r w:rsidRPr="00E72EFD">
        <w:rPr>
          <w:rFonts w:eastAsia="Times New Roman" w:cs="Arial"/>
          <w:color w:val="000000"/>
          <w:lang w:val="en-US"/>
        </w:rPr>
        <w:t>IMNM</w:t>
      </w:r>
      <w:r w:rsidRPr="00E72EFD">
        <w:rPr>
          <w:rFonts w:eastAsia="Times New Roman" w:cs="Arial"/>
          <w:color w:val="000000"/>
          <w:lang w:val="ru-RU"/>
        </w:rPr>
        <w:t xml:space="preserve"> </w:t>
      </w:r>
      <w:r w:rsidRPr="00E72EFD">
        <w:rPr>
          <w:rFonts w:eastAsia="Times New Roman" w:cs="Arial"/>
          <w:color w:val="000000"/>
          <w:lang w:eastAsia="bg-BG"/>
        </w:rPr>
        <w:t>се характеризира с трайна проксимална мускулна слабост и повишена серумна креатинкиназа, които персистират, въпреки прекратяването на лечението със статии (вж. точка 4.8).</w:t>
      </w:r>
    </w:p>
    <w:p w14:paraId="317A8245" w14:textId="77777777" w:rsidR="00E72EFD" w:rsidRPr="00E72EFD" w:rsidRDefault="00E72EFD" w:rsidP="00E72EFD">
      <w:pPr>
        <w:spacing w:line="240" w:lineRule="auto"/>
        <w:rPr>
          <w:rFonts w:eastAsia="Times New Roman" w:cs="Arial"/>
          <w:color w:val="000000"/>
          <w:lang w:eastAsia="bg-BG"/>
        </w:rPr>
      </w:pPr>
    </w:p>
    <w:p w14:paraId="5D70F2BA" w14:textId="1A2C530B" w:rsidR="00E72EFD" w:rsidRPr="00E72EFD" w:rsidRDefault="00E72EFD" w:rsidP="00E72EFD">
      <w:pPr>
        <w:spacing w:line="240" w:lineRule="auto"/>
        <w:rPr>
          <w:rFonts w:eastAsia="Times New Roman" w:cs="Arial"/>
        </w:rPr>
      </w:pPr>
      <w:r w:rsidRPr="00E72EFD">
        <w:rPr>
          <w:rFonts w:eastAsia="Times New Roman" w:cs="Arial"/>
          <w:color w:val="000000"/>
          <w:lang w:eastAsia="bg-BG"/>
        </w:rPr>
        <w:t>Ако симптомите отзвучат и стойностите на СК се възстановят до нормата, може да се обмисли възобновяване на приема на статина или прилагане на друг продукт, съдържащ статин, но в най-ниската доза и при внимателно наблюдение.</w:t>
      </w:r>
    </w:p>
    <w:p w14:paraId="2DBDAE41" w14:textId="77777777" w:rsidR="00E72EFD" w:rsidRPr="00E72EFD" w:rsidRDefault="00E72EFD" w:rsidP="00E72EFD">
      <w:pPr>
        <w:spacing w:line="240" w:lineRule="auto"/>
        <w:rPr>
          <w:rFonts w:eastAsia="Times New Roman" w:cs="Arial"/>
          <w:color w:val="000000"/>
          <w:lang w:eastAsia="bg-BG"/>
        </w:rPr>
      </w:pPr>
    </w:p>
    <w:p w14:paraId="511CBC5C" w14:textId="43E47086"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По-висока честота на миопатия е наблюдавана при пациенти титрирани до доза от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(вж. точка 5.1). Препоръчва се периодично определяне на креатинкиназата (СК), тъй като може да бъде от полза за идентифицирането на субклиничните случаи на миопатия. </w:t>
      </w:r>
      <w:r w:rsidRPr="00E72EFD">
        <w:rPr>
          <w:rFonts w:eastAsia="Times New Roman" w:cs="Arial"/>
          <w:color w:val="000000"/>
          <w:lang w:eastAsia="bg-BG"/>
        </w:rPr>
        <w:lastRenderedPageBreak/>
        <w:t>Въпреки това, няма гаранция, че такъв мониторинг ще предотврати развитието на миопатия.</w:t>
      </w:r>
    </w:p>
    <w:p w14:paraId="11BC1158" w14:textId="77777777" w:rsidR="00E72EFD" w:rsidRPr="00E72EFD" w:rsidRDefault="00E72EFD" w:rsidP="00E72EFD">
      <w:pPr>
        <w:spacing w:line="240" w:lineRule="auto"/>
        <w:rPr>
          <w:rFonts w:eastAsia="Times New Roman" w:cs="Arial"/>
          <w:color w:val="000000"/>
          <w:lang w:eastAsia="bg-BG"/>
        </w:rPr>
      </w:pPr>
    </w:p>
    <w:p w14:paraId="2A039FC0" w14:textId="77999D42" w:rsidR="00E72EFD" w:rsidRPr="00E72EFD" w:rsidRDefault="00E72EFD" w:rsidP="00E72EFD">
      <w:pPr>
        <w:spacing w:line="240" w:lineRule="auto"/>
        <w:rPr>
          <w:rFonts w:eastAsia="Times New Roman" w:cs="Arial"/>
        </w:rPr>
      </w:pPr>
      <w:r w:rsidRPr="00E72EFD">
        <w:rPr>
          <w:rFonts w:eastAsia="Times New Roman" w:cs="Arial"/>
          <w:color w:val="000000"/>
          <w:lang w:eastAsia="bg-BG"/>
        </w:rPr>
        <w:t>Терапията със симвастатин трябва да бъде временно прекратена няколко дни преди планирана</w:t>
      </w:r>
      <w:r>
        <w:rPr>
          <w:rFonts w:eastAsia="Times New Roman" w:cs="Arial"/>
        </w:rPr>
        <w:t xml:space="preserve"> </w:t>
      </w:r>
      <w:r w:rsidRPr="00E72EFD">
        <w:rPr>
          <w:rFonts w:eastAsia="Times New Roman" w:cs="Arial"/>
          <w:color w:val="000000"/>
          <w:lang w:eastAsia="bg-BG"/>
        </w:rPr>
        <w:t>тежка оперативна интервенция или ако настъпи сериозно медицинско или хирургично</w:t>
      </w:r>
      <w:r>
        <w:rPr>
          <w:rFonts w:eastAsia="Times New Roman" w:cs="Arial"/>
        </w:rPr>
        <w:t xml:space="preserve"> </w:t>
      </w:r>
      <w:r w:rsidRPr="00E72EFD">
        <w:rPr>
          <w:rFonts w:eastAsia="Times New Roman" w:cs="Arial"/>
          <w:color w:val="000000"/>
          <w:lang w:eastAsia="bg-BG"/>
        </w:rPr>
        <w:t>състояние.</w:t>
      </w:r>
    </w:p>
    <w:p w14:paraId="27BEE7EC" w14:textId="5B32EF0D" w:rsidR="00E72EFD" w:rsidRDefault="00E72EFD" w:rsidP="00E72EFD">
      <w:pPr>
        <w:rPr>
          <w:rFonts w:cs="Arial"/>
        </w:rPr>
      </w:pPr>
    </w:p>
    <w:p w14:paraId="66EE24CA" w14:textId="77777777"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Мерки за намаляване на риска от миопатия, предизвикана от взаимодействия с други лекарствени продукти (вж. също точка 4.5.)</w:t>
      </w:r>
    </w:p>
    <w:p w14:paraId="59064F05"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Рискът от миопатия и рабдомиолиза значително се увеличава при едновременна употреба на симвастатин с мощни инхибитори на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(като итраконазол, кетоконазол, позаконазол, вориконазол, еритромицин, кларитромицин, телитромицин, </w:t>
      </w:r>
      <w:r w:rsidRPr="00E72EFD">
        <w:rPr>
          <w:rFonts w:eastAsia="Times New Roman" w:cs="Arial"/>
          <w:color w:val="000000"/>
          <w:lang w:val="en-US"/>
        </w:rPr>
        <w:t>HIV</w:t>
      </w:r>
      <w:r w:rsidRPr="00E72EFD">
        <w:rPr>
          <w:rFonts w:eastAsia="Times New Roman" w:cs="Arial"/>
          <w:color w:val="000000"/>
          <w:lang w:eastAsia="bg-BG"/>
        </w:rP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Употребата на тези лекарствени продукти е противопоказана (вж. точка 4.3).</w:t>
      </w:r>
    </w:p>
    <w:p w14:paraId="1E694247" w14:textId="77777777" w:rsidR="00E72EFD" w:rsidRPr="00E72EFD" w:rsidRDefault="00E72EFD" w:rsidP="00E72EFD">
      <w:pPr>
        <w:spacing w:line="240" w:lineRule="auto"/>
        <w:rPr>
          <w:rFonts w:eastAsia="Times New Roman" w:cs="Arial"/>
          <w:color w:val="000000"/>
          <w:lang w:eastAsia="bg-BG"/>
        </w:rPr>
      </w:pPr>
    </w:p>
    <w:p w14:paraId="545F27D0" w14:textId="61874B86" w:rsidR="00E72EFD" w:rsidRPr="00E72EFD" w:rsidRDefault="00E72EFD" w:rsidP="00E72EFD">
      <w:pPr>
        <w:spacing w:line="240" w:lineRule="auto"/>
        <w:rPr>
          <w:rFonts w:eastAsia="Times New Roman" w:cs="Arial"/>
          <w:color w:val="000000"/>
          <w:lang w:eastAsia="bg-BG"/>
        </w:rPr>
      </w:pPr>
      <w:r w:rsidRPr="00E72EFD">
        <w:rPr>
          <w:rFonts w:eastAsia="Times New Roman" w:cs="Arial"/>
          <w:color w:val="000000"/>
          <w:lang w:eastAsia="bg-BG"/>
        </w:rPr>
        <w:t xml:space="preserve">Рискът от миопатия и рабдомиолиза също се увеличава и при едновременното приемане на амиодарон, </w:t>
      </w:r>
    </w:p>
    <w:p w14:paraId="62125366" w14:textId="5E17DBFB"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амлодипин, вераламил или дилтиазем с определени дози симвастатин (вж. точки 4.2 и 4.5). При пациенти с </w:t>
      </w:r>
      <w:proofErr w:type="spellStart"/>
      <w:r w:rsidRPr="00E72EFD">
        <w:rPr>
          <w:rFonts w:eastAsia="Times New Roman" w:cs="Arial"/>
          <w:color w:val="000000"/>
          <w:lang w:val="en-US"/>
        </w:rPr>
        <w:t>HoFH</w:t>
      </w:r>
      <w:proofErr w:type="spellEnd"/>
      <w:r w:rsidRPr="00E72EFD">
        <w:rPr>
          <w:rFonts w:eastAsia="Times New Roman" w:cs="Arial"/>
          <w:color w:val="000000"/>
          <w:lang w:val="ru-RU"/>
        </w:rPr>
        <w:t xml:space="preserve"> </w:t>
      </w:r>
      <w:r w:rsidRPr="00E72EFD">
        <w:rPr>
          <w:rFonts w:eastAsia="Times New Roman" w:cs="Arial"/>
          <w:color w:val="000000"/>
          <w:lang w:eastAsia="bg-BG"/>
        </w:rPr>
        <w:t>този риск може да бъде повишен при едновременна употреба на ломитапид със симвастатин.</w:t>
      </w:r>
    </w:p>
    <w:p w14:paraId="3E700F04" w14:textId="77777777" w:rsidR="00E72EFD" w:rsidRPr="00E72EFD" w:rsidRDefault="00E72EFD" w:rsidP="00E72EFD">
      <w:pPr>
        <w:spacing w:line="240" w:lineRule="auto"/>
        <w:rPr>
          <w:rFonts w:eastAsia="Times New Roman" w:cs="Arial"/>
          <w:color w:val="000000"/>
          <w:lang w:eastAsia="bg-BG"/>
        </w:rPr>
      </w:pPr>
    </w:p>
    <w:p w14:paraId="74164F10" w14:textId="4720552A"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Следователно, относно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инхибиторитс, използването на симвастатин заедно с итраконазол, кетоконазол, позаконазол, вориконазол, </w:t>
      </w:r>
      <w:r w:rsidRPr="00E72EFD">
        <w:rPr>
          <w:rFonts w:eastAsia="Times New Roman" w:cs="Arial"/>
          <w:color w:val="000000"/>
          <w:lang w:val="en-US"/>
        </w:rPr>
        <w:t>HIV</w:t>
      </w:r>
      <w:r w:rsidRPr="00E72EFD">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(вж. точки 4.3 и 4.5). Ако лечението с мощни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инхибитори (средства, които повишават </w:t>
      </w:r>
      <w:r w:rsidRPr="00E72EFD">
        <w:rPr>
          <w:rFonts w:eastAsia="Times New Roman" w:cs="Arial"/>
          <w:color w:val="000000"/>
          <w:lang w:val="en-US"/>
        </w:rPr>
        <w:t>AUC</w:t>
      </w:r>
      <w:r w:rsidRPr="00E72EFD">
        <w:rPr>
          <w:rFonts w:eastAsia="Times New Roman" w:cs="Arial"/>
          <w:color w:val="000000"/>
          <w:lang w:val="ru-RU"/>
        </w:rPr>
        <w:t xml:space="preserve"> </w:t>
      </w:r>
      <w:r w:rsidRPr="00E72EFD">
        <w:rPr>
          <w:rFonts w:eastAsia="Times New Roman" w:cs="Arial"/>
          <w:color w:val="000000"/>
          <w:lang w:eastAsia="bg-BG"/>
        </w:rPr>
        <w:t xml:space="preserve">приблизително 5 пъти или повече) не може да бъде избегнато, терапията със симвастатин трябва да бъде прекратена (и да се обмисли употреба на друг статии) по време на лечението с тези лекарства. Освен това е необходимо повишено внимание при едновременното приложение на симвастатин и някои други, по-малко мощни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инхибитори: флуконазол, верапамил, дилтиазем (вж. точки 4.2 и 4.5). Едновременната употреба на симвастатин и сок от грейпфрут трябва да се избягва.</w:t>
      </w:r>
    </w:p>
    <w:p w14:paraId="5CAC047D" w14:textId="77777777" w:rsidR="00E72EFD" w:rsidRPr="00E72EFD" w:rsidRDefault="00E72EFD" w:rsidP="00E72EFD">
      <w:pPr>
        <w:spacing w:line="240" w:lineRule="auto"/>
        <w:rPr>
          <w:rFonts w:eastAsia="Times New Roman" w:cs="Arial"/>
          <w:color w:val="000000"/>
          <w:lang w:eastAsia="bg-BG"/>
        </w:rPr>
      </w:pPr>
    </w:p>
    <w:p w14:paraId="16E3FEF1" w14:textId="6BFCCF5D"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Употребата на симвастатин с гемфиброзил е противопоказана (вж. точка 4.3). Поради повишения риск от миопатия и рабдомиолиза, дозата на симвастатин не трябва да надвишава 10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при пациенти, приемащи симвастатин с други фибрата, с изключение на фенофибрат (вж. точки 4.2 и 4.5).</w:t>
      </w:r>
    </w:p>
    <w:p w14:paraId="68A17504" w14:textId="77777777" w:rsidR="00E72EFD" w:rsidRPr="00E72EFD" w:rsidRDefault="00E72EFD" w:rsidP="00E72EFD">
      <w:pPr>
        <w:spacing w:line="240" w:lineRule="auto"/>
        <w:rPr>
          <w:rFonts w:eastAsia="Times New Roman" w:cs="Arial"/>
          <w:color w:val="000000"/>
          <w:lang w:eastAsia="bg-BG"/>
        </w:rPr>
      </w:pPr>
    </w:p>
    <w:p w14:paraId="43B82D35" w14:textId="4E352A38" w:rsidR="00E72EFD" w:rsidRPr="00E72EFD" w:rsidRDefault="00E72EFD" w:rsidP="00E72EFD">
      <w:pPr>
        <w:spacing w:line="240" w:lineRule="auto"/>
        <w:rPr>
          <w:rFonts w:eastAsia="Times New Roman" w:cs="Arial"/>
        </w:rPr>
      </w:pPr>
      <w:r w:rsidRPr="00E72EFD">
        <w:rPr>
          <w:rFonts w:eastAsia="Times New Roman" w:cs="Arial"/>
          <w:color w:val="000000"/>
          <w:lang w:eastAsia="bg-BG"/>
        </w:rPr>
        <w:t>Необходимо е повишено внимание при приложението на симвастатин с фенофибрат, тъй като всеки от тези лекарствени продукти може да предизвика миопатия при самостоятелно приложение.</w:t>
      </w:r>
    </w:p>
    <w:p w14:paraId="175A4312" w14:textId="77777777" w:rsidR="00E72EFD" w:rsidRPr="00E72EFD" w:rsidRDefault="00E72EFD" w:rsidP="00E72EFD">
      <w:pPr>
        <w:spacing w:line="240" w:lineRule="auto"/>
        <w:rPr>
          <w:rFonts w:eastAsia="Times New Roman" w:cs="Arial"/>
          <w:color w:val="000000"/>
          <w:lang w:eastAsia="bg-BG"/>
        </w:rPr>
      </w:pPr>
    </w:p>
    <w:p w14:paraId="0BAB12F0" w14:textId="15131005" w:rsidR="00E72EFD" w:rsidRPr="00E72EFD" w:rsidRDefault="00E72EFD" w:rsidP="00E72EFD">
      <w:pPr>
        <w:spacing w:line="240" w:lineRule="auto"/>
        <w:rPr>
          <w:rFonts w:eastAsia="Times New Roman" w:cs="Arial"/>
        </w:rPr>
      </w:pPr>
      <w:r w:rsidRPr="00E72EFD">
        <w:rPr>
          <w:rFonts w:eastAsia="Times New Roman" w:cs="Arial"/>
          <w:color w:val="000000"/>
          <w:lang w:eastAsia="bg-BG"/>
        </w:rPr>
        <w:t>Симвастатин не трябва да се прилага едновременно с продукти на фузидовата киселина за системна употреба или до 7 дни след прекратяване на лечението с фузидова киселина. При пациенти, при които системното приложение на фузидова киселина се счита за необходимо, лечението със статии трябва да се преустанови по време на лечението с фузидова киселина. При пациенти, приемащи фузидова киселина и статини в комбинация, има съобщения за рабдомиолиза (включително с фатален изход) (вж. точка 4.5). Пациентът трябва да се посъветва незабавно с лекар при поява на симптоми на мускулна слабост, болка или чувствителност.</w:t>
      </w:r>
    </w:p>
    <w:p w14:paraId="30838417" w14:textId="77777777" w:rsidR="00E72EFD" w:rsidRPr="00E72EFD" w:rsidRDefault="00E72EFD" w:rsidP="00E72EFD">
      <w:pPr>
        <w:spacing w:line="240" w:lineRule="auto"/>
        <w:rPr>
          <w:rFonts w:eastAsia="Times New Roman" w:cs="Arial"/>
          <w:color w:val="000000"/>
          <w:lang w:eastAsia="bg-BG"/>
        </w:rPr>
      </w:pPr>
    </w:p>
    <w:p w14:paraId="3D023C02" w14:textId="7CCBC64D" w:rsidR="00E72EFD" w:rsidRPr="00E72EFD" w:rsidRDefault="00E72EFD" w:rsidP="00E72EFD">
      <w:pPr>
        <w:spacing w:line="240" w:lineRule="auto"/>
        <w:rPr>
          <w:rFonts w:eastAsia="Times New Roman" w:cs="Arial"/>
        </w:rPr>
      </w:pPr>
      <w:r w:rsidRPr="00E72EFD">
        <w:rPr>
          <w:rFonts w:eastAsia="Times New Roman" w:cs="Arial"/>
          <w:color w:val="000000"/>
          <w:lang w:eastAsia="bg-BG"/>
        </w:rPr>
        <w:t>Лечението със статии може да се възобнови 7 дни след последната доза фузидова киселина.</w:t>
      </w:r>
    </w:p>
    <w:p w14:paraId="051BA591" w14:textId="77777777" w:rsidR="00E72EFD" w:rsidRPr="00E72EFD" w:rsidRDefault="00E72EFD" w:rsidP="00E72EFD">
      <w:pPr>
        <w:spacing w:line="240" w:lineRule="auto"/>
        <w:rPr>
          <w:rFonts w:eastAsia="Times New Roman" w:cs="Arial"/>
          <w:color w:val="000000"/>
          <w:lang w:eastAsia="bg-BG"/>
        </w:rPr>
      </w:pPr>
    </w:p>
    <w:p w14:paraId="19C4E2C2" w14:textId="406F339B" w:rsidR="00E72EFD" w:rsidRPr="00E72EFD" w:rsidRDefault="00E72EFD" w:rsidP="00E72EFD">
      <w:pPr>
        <w:spacing w:line="240" w:lineRule="auto"/>
        <w:rPr>
          <w:rFonts w:eastAsia="Times New Roman" w:cs="Arial"/>
        </w:rPr>
      </w:pPr>
      <w:r w:rsidRPr="00E72EFD">
        <w:rPr>
          <w:rFonts w:eastAsia="Times New Roman" w:cs="Arial"/>
          <w:color w:val="000000"/>
          <w:lang w:eastAsia="bg-BG"/>
        </w:rPr>
        <w:t>В изключителни случаи, когато е необходима продължителна системна употреба на фузидова киселина, напр. при лечение на тежки инфекции, едновременното приложение на симвастатин и фузидова киселина трябва да се обмисли индивидуално за всеки пациент и да се проведе под строго медицинско наблюдение.</w:t>
      </w:r>
    </w:p>
    <w:p w14:paraId="19A1EA84" w14:textId="77777777" w:rsidR="00E72EFD" w:rsidRPr="00E72EFD" w:rsidRDefault="00E72EFD" w:rsidP="00E72EFD">
      <w:pPr>
        <w:spacing w:line="240" w:lineRule="auto"/>
        <w:rPr>
          <w:rFonts w:eastAsia="Times New Roman" w:cs="Arial"/>
          <w:color w:val="000000"/>
          <w:lang w:eastAsia="bg-BG"/>
        </w:rPr>
      </w:pPr>
    </w:p>
    <w:p w14:paraId="313BF1A3" w14:textId="10AB6081"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Едновременната употреба на симвастатин в дневни дози по-високи от 20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 амиодарон, амлодипин, вераламил или дилтиазем трябва да се избягва. Прии пациента с </w:t>
      </w:r>
      <w:proofErr w:type="spellStart"/>
      <w:r w:rsidRPr="00E72EFD">
        <w:rPr>
          <w:rFonts w:eastAsia="Times New Roman" w:cs="Arial"/>
          <w:color w:val="000000"/>
          <w:lang w:val="en-US"/>
        </w:rPr>
        <w:t>HoFH</w:t>
      </w:r>
      <w:proofErr w:type="spellEnd"/>
      <w:r w:rsidRPr="00E72EFD">
        <w:rPr>
          <w:rFonts w:eastAsia="Times New Roman" w:cs="Arial"/>
          <w:color w:val="000000"/>
          <w:lang w:val="ru-RU"/>
        </w:rPr>
        <w:t xml:space="preserve"> </w:t>
      </w:r>
      <w:r w:rsidRPr="00E72EFD">
        <w:rPr>
          <w:rFonts w:eastAsia="Times New Roman" w:cs="Arial"/>
          <w:color w:val="000000"/>
          <w:lang w:eastAsia="bg-BG"/>
        </w:rPr>
        <w:t>трябва да се</w:t>
      </w:r>
    </w:p>
    <w:p w14:paraId="63B1C6CA"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избягва комбинираната употреба на симвастатин в дози по-високи от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дневно с ломитапид (вж. точки 4.2,4.3 и 4.5).</w:t>
      </w:r>
    </w:p>
    <w:p w14:paraId="085F3304" w14:textId="77777777" w:rsidR="00E72EFD" w:rsidRPr="00E72EFD" w:rsidRDefault="00E72EFD" w:rsidP="00E72EFD">
      <w:pPr>
        <w:spacing w:line="240" w:lineRule="auto"/>
        <w:rPr>
          <w:rFonts w:eastAsia="Times New Roman" w:cs="Arial"/>
          <w:color w:val="000000"/>
          <w:lang w:eastAsia="bg-BG"/>
        </w:rPr>
      </w:pPr>
    </w:p>
    <w:p w14:paraId="362425A6" w14:textId="73AE7F86" w:rsidR="00E72EFD" w:rsidRPr="00E72EFD" w:rsidRDefault="00E72EFD" w:rsidP="00E72EFD">
      <w:pPr>
        <w:spacing w:line="240" w:lineRule="auto"/>
        <w:rPr>
          <w:rFonts w:eastAsia="Times New Roman" w:cs="Arial"/>
        </w:rPr>
      </w:pPr>
      <w:r w:rsidRPr="00E72EFD">
        <w:rPr>
          <w:rFonts w:eastAsia="Times New Roman" w:cs="Arial"/>
          <w:color w:val="000000"/>
          <w:lang w:eastAsia="bg-BG"/>
        </w:rPr>
        <w:t>Възможен е повишен риск от миопатия при пациенти, които приемат симвастатин</w:t>
      </w:r>
    </w:p>
    <w:p w14:paraId="4E7BEF43" w14:textId="77777777" w:rsidR="00E72EFD" w:rsidRPr="00E72EFD" w:rsidRDefault="00E72EFD" w:rsidP="00E72EFD">
      <w:pPr>
        <w:rPr>
          <w:rFonts w:eastAsia="Times New Roman" w:cs="Arial"/>
        </w:rPr>
      </w:pPr>
      <w:r w:rsidRPr="00E72EFD">
        <w:rPr>
          <w:rFonts w:eastAsia="Times New Roman" w:cs="Arial"/>
          <w:color w:val="000000"/>
          <w:lang w:eastAsia="bg-BG"/>
        </w:rPr>
        <w:t xml:space="preserve">едновременно с други лекарства, които притежават умерен инхибиторен ефект върху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особено при по-високи дози на симвастатин. Възможно е при едновременно приложение на симвастатин и умерени инхибитори на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(средства, които повишават </w:t>
      </w:r>
      <w:r w:rsidRPr="00E72EFD">
        <w:rPr>
          <w:rFonts w:eastAsia="Times New Roman" w:cs="Arial"/>
          <w:color w:val="000000"/>
          <w:lang w:val="en-US"/>
        </w:rPr>
        <w:t>AUC</w:t>
      </w:r>
      <w:r w:rsidRPr="00E72EFD">
        <w:rPr>
          <w:rFonts w:eastAsia="Times New Roman" w:cs="Arial"/>
          <w:color w:val="000000"/>
          <w:lang w:val="ru-RU"/>
        </w:rPr>
        <w:t xml:space="preserve"> </w:t>
      </w:r>
      <w:r w:rsidRPr="00E72EFD">
        <w:rPr>
          <w:rFonts w:eastAsia="Times New Roman" w:cs="Arial"/>
          <w:color w:val="000000"/>
          <w:lang w:eastAsia="bg-BG"/>
        </w:rPr>
        <w:t xml:space="preserve">приблизително 2-5 пъти) да е необходимо коригиране на дозата на симвастатин. За някои умерени инхибитори на </w:t>
      </w:r>
      <w:r w:rsidRPr="00E72EFD">
        <w:rPr>
          <w:rFonts w:eastAsia="Times New Roman" w:cs="Arial"/>
          <w:color w:val="000000"/>
          <w:lang w:val="en-US"/>
        </w:rPr>
        <w:t>CYP</w:t>
      </w:r>
      <w:r w:rsidRPr="00E72EFD">
        <w:rPr>
          <w:rFonts w:eastAsia="Times New Roman" w:cs="Arial"/>
          <w:color w:val="000000"/>
          <w:lang w:val="ru-RU"/>
        </w:rPr>
        <w:t>3</w:t>
      </w:r>
      <w:r w:rsidRPr="00E72EFD">
        <w:rPr>
          <w:rFonts w:eastAsia="Times New Roman" w:cs="Arial"/>
          <w:color w:val="000000"/>
          <w:lang w:val="en-US"/>
        </w:rPr>
        <w:t>A</w:t>
      </w:r>
      <w:r w:rsidRPr="00E72EFD">
        <w:rPr>
          <w:rFonts w:eastAsia="Times New Roman" w:cs="Arial"/>
          <w:color w:val="000000"/>
          <w:lang w:val="ru-RU"/>
        </w:rPr>
        <w:t xml:space="preserve">4, </w:t>
      </w:r>
      <w:r w:rsidRPr="00E72EFD">
        <w:rPr>
          <w:rFonts w:eastAsia="Times New Roman" w:cs="Arial"/>
          <w:color w:val="000000"/>
          <w:lang w:eastAsia="bg-BG"/>
        </w:rPr>
        <w:t xml:space="preserve">като дилтиазем, се препоръчва максимална доза симвастатин от 20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(вж. точка 4.2).</w:t>
      </w:r>
    </w:p>
    <w:p w14:paraId="21A7F317" w14:textId="77777777" w:rsidR="00E72EFD" w:rsidRPr="00E72EFD" w:rsidRDefault="00E72EFD" w:rsidP="00E72EFD">
      <w:pPr>
        <w:spacing w:line="240" w:lineRule="auto"/>
        <w:rPr>
          <w:rFonts w:eastAsia="Times New Roman" w:cs="Arial"/>
          <w:color w:val="000000"/>
          <w:lang w:eastAsia="bg-BG"/>
        </w:rPr>
      </w:pPr>
    </w:p>
    <w:p w14:paraId="0396CB43" w14:textId="7BA5C5F3"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Симвастатин е субстрат на ефлуксния транспортер на протеина на резистентност на рака на гърдата </w:t>
      </w:r>
      <w:r w:rsidRPr="00E72EFD">
        <w:rPr>
          <w:rFonts w:eastAsia="Times New Roman" w:cs="Arial"/>
          <w:color w:val="000000"/>
          <w:lang w:val="ru-RU"/>
        </w:rPr>
        <w:t>(</w:t>
      </w:r>
      <w:r w:rsidRPr="00E72EFD">
        <w:rPr>
          <w:rFonts w:eastAsia="Times New Roman" w:cs="Arial"/>
          <w:color w:val="000000"/>
          <w:lang w:val="en-US"/>
        </w:rPr>
        <w:t>Breast</w:t>
      </w:r>
      <w:r w:rsidRPr="00E72EFD">
        <w:rPr>
          <w:rFonts w:eastAsia="Times New Roman" w:cs="Arial"/>
          <w:color w:val="000000"/>
          <w:lang w:val="ru-RU"/>
        </w:rPr>
        <w:t xml:space="preserve"> </w:t>
      </w:r>
      <w:r w:rsidRPr="00E72EFD">
        <w:rPr>
          <w:rFonts w:eastAsia="Times New Roman" w:cs="Arial"/>
          <w:color w:val="000000"/>
          <w:lang w:val="en-US"/>
        </w:rPr>
        <w:t>Cancer</w:t>
      </w:r>
      <w:r w:rsidRPr="00E72EFD">
        <w:rPr>
          <w:rFonts w:eastAsia="Times New Roman" w:cs="Arial"/>
          <w:color w:val="000000"/>
          <w:lang w:val="ru-RU"/>
        </w:rPr>
        <w:t xml:space="preserve"> </w:t>
      </w:r>
      <w:r w:rsidRPr="00E72EFD">
        <w:rPr>
          <w:rFonts w:eastAsia="Times New Roman" w:cs="Arial"/>
          <w:color w:val="000000"/>
          <w:lang w:val="en-US"/>
        </w:rPr>
        <w:t>Resistant</w:t>
      </w:r>
      <w:r w:rsidRPr="00E72EFD">
        <w:rPr>
          <w:rFonts w:eastAsia="Times New Roman" w:cs="Arial"/>
          <w:color w:val="000000"/>
          <w:lang w:val="ru-RU"/>
        </w:rPr>
        <w:t xml:space="preserve"> </w:t>
      </w:r>
      <w:r w:rsidRPr="00E72EFD">
        <w:rPr>
          <w:rFonts w:eastAsia="Times New Roman" w:cs="Arial"/>
          <w:color w:val="000000"/>
          <w:lang w:val="en-US"/>
        </w:rPr>
        <w:t>Protein</w:t>
      </w:r>
      <w:r w:rsidRPr="00E72EFD">
        <w:rPr>
          <w:rFonts w:eastAsia="Times New Roman" w:cs="Arial"/>
          <w:color w:val="000000"/>
          <w:lang w:val="ru-RU"/>
        </w:rPr>
        <w:t xml:space="preserve">, </w:t>
      </w:r>
      <w:r w:rsidRPr="00E72EFD">
        <w:rPr>
          <w:rFonts w:eastAsia="Times New Roman" w:cs="Arial"/>
          <w:color w:val="000000"/>
          <w:lang w:val="en-US"/>
        </w:rPr>
        <w:t>BCRP</w:t>
      </w:r>
      <w:r w:rsidRPr="00E72EFD">
        <w:rPr>
          <w:rFonts w:eastAsia="Times New Roman" w:cs="Arial"/>
          <w:color w:val="000000"/>
          <w:lang w:val="ru-RU"/>
        </w:rPr>
        <w:t>) (</w:t>
      </w:r>
      <w:r w:rsidRPr="00E72EFD">
        <w:rPr>
          <w:rFonts w:eastAsia="Times New Roman" w:cs="Arial"/>
          <w:color w:val="000000"/>
          <w:lang w:val="en-US"/>
        </w:rPr>
        <w:t>BCRP</w:t>
      </w:r>
      <w:r w:rsidRPr="00E72EFD">
        <w:rPr>
          <w:rFonts w:eastAsia="Times New Roman" w:cs="Arial"/>
          <w:color w:val="000000"/>
          <w:lang w:val="ru-RU"/>
        </w:rPr>
        <w:t xml:space="preserve">). </w:t>
      </w:r>
      <w:r w:rsidRPr="00E72EFD">
        <w:rPr>
          <w:rFonts w:eastAsia="Times New Roman" w:cs="Arial"/>
          <w:color w:val="000000"/>
          <w:lang w:eastAsia="bg-BG"/>
        </w:rPr>
        <w:t xml:space="preserve">Едновременното приложение на продукти, които са инхибитори на </w:t>
      </w:r>
      <w:r w:rsidRPr="00E72EFD">
        <w:rPr>
          <w:rFonts w:eastAsia="Times New Roman" w:cs="Arial"/>
          <w:color w:val="000000"/>
          <w:lang w:val="en-US"/>
        </w:rPr>
        <w:t>BCRP</w:t>
      </w:r>
      <w:r w:rsidRPr="00E72EFD">
        <w:rPr>
          <w:rFonts w:eastAsia="Times New Roman" w:cs="Arial"/>
          <w:color w:val="000000"/>
          <w:lang w:val="ru-RU"/>
        </w:rPr>
        <w:t xml:space="preserve"> </w:t>
      </w:r>
      <w:r w:rsidRPr="00E72EFD">
        <w:rPr>
          <w:rFonts w:eastAsia="Times New Roman" w:cs="Arial"/>
          <w:color w:val="000000"/>
          <w:lang w:eastAsia="bg-BG"/>
        </w:rPr>
        <w:t>(например, елбасвир и гразопревир) могат да доведат до повишени плазмени концентрации на симвастатин и повишен риск от миопатия; ето защо трябва да се обмисли адаптиране на дозата на симвастатин в зависимост от предписаната доза. Едновременното приложение на елбасвир и гразопревир със симвастатин не е проучвано;</w:t>
      </w:r>
    </w:p>
    <w:p w14:paraId="4B008EB9"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въпреки това, </w:t>
      </w:r>
      <w:r w:rsidRPr="00E72EFD">
        <w:rPr>
          <w:rFonts w:eastAsia="Times New Roman" w:cs="Arial"/>
          <w:b/>
          <w:bCs/>
          <w:color w:val="000000"/>
          <w:lang w:eastAsia="bg-BG"/>
        </w:rPr>
        <w:t xml:space="preserve">дозата на симвастатин не трябва да надвишава 20 </w:t>
      </w:r>
      <w:r w:rsidRPr="00E72EFD">
        <w:rPr>
          <w:rFonts w:eastAsia="Times New Roman" w:cs="Arial"/>
          <w:b/>
          <w:bCs/>
          <w:color w:val="000000"/>
          <w:lang w:val="en-US"/>
        </w:rPr>
        <w:t>mg</w:t>
      </w:r>
      <w:r w:rsidRPr="00E72EFD">
        <w:rPr>
          <w:rFonts w:eastAsia="Times New Roman" w:cs="Arial"/>
          <w:b/>
          <w:bCs/>
          <w:color w:val="000000"/>
          <w:lang w:val="ru-RU"/>
        </w:rPr>
        <w:t xml:space="preserve"> </w:t>
      </w:r>
      <w:r w:rsidRPr="00E72EFD">
        <w:rPr>
          <w:rFonts w:eastAsia="Times New Roman" w:cs="Arial"/>
          <w:b/>
          <w:bCs/>
          <w:color w:val="000000"/>
          <w:lang w:eastAsia="bg-BG"/>
        </w:rPr>
        <w:t xml:space="preserve">дневно при пациенти, получаващи съпътстващо лечение с продукти, съдържащи елбасвир или гразопревир </w:t>
      </w:r>
      <w:r w:rsidRPr="00E72EFD">
        <w:rPr>
          <w:rFonts w:eastAsia="Times New Roman" w:cs="Arial"/>
          <w:color w:val="000000"/>
          <w:lang w:eastAsia="bg-BG"/>
        </w:rPr>
        <w:t>(вж. точка 4.5).</w:t>
      </w:r>
    </w:p>
    <w:p w14:paraId="027531FF" w14:textId="77777777" w:rsidR="00E72EFD" w:rsidRPr="00E72EFD" w:rsidRDefault="00E72EFD" w:rsidP="00E72EFD">
      <w:pPr>
        <w:spacing w:line="240" w:lineRule="auto"/>
        <w:rPr>
          <w:rFonts w:eastAsia="Times New Roman" w:cs="Arial"/>
          <w:color w:val="000000"/>
          <w:lang w:eastAsia="bg-BG"/>
        </w:rPr>
      </w:pPr>
    </w:p>
    <w:p w14:paraId="6F7030B0" w14:textId="4231902F"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Редки случаи на миопатия/рабдомиолиза са свързвани с едновременното приложение на </w:t>
      </w:r>
      <w:r w:rsidRPr="00E72EFD">
        <w:rPr>
          <w:rFonts w:eastAsia="Times New Roman" w:cs="Arial"/>
          <w:color w:val="000000"/>
          <w:lang w:val="en-US"/>
        </w:rPr>
        <w:t>HMG</w:t>
      </w:r>
      <w:r w:rsidRPr="00E72EFD">
        <w:rPr>
          <w:rFonts w:eastAsia="Times New Roman" w:cs="Arial"/>
          <w:color w:val="000000"/>
          <w:lang w:val="ru-RU"/>
        </w:rPr>
        <w:t xml:space="preserve">- </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 xml:space="preserve">редуктазни инхибитори и липидомодифициращи дози (≥1 </w:t>
      </w:r>
      <w:r w:rsidRPr="00E72EFD">
        <w:rPr>
          <w:rFonts w:eastAsia="Times New Roman" w:cs="Arial"/>
          <w:color w:val="000000"/>
          <w:lang w:val="en-US"/>
        </w:rPr>
        <w:t>g</w:t>
      </w:r>
      <w:r w:rsidRPr="00E72EFD">
        <w:rPr>
          <w:rFonts w:eastAsia="Times New Roman" w:cs="Arial"/>
          <w:color w:val="000000"/>
          <w:lang w:eastAsia="bg-BG"/>
        </w:rPr>
        <w:t>/ден) на ниацин (никотинова киселина), всеки от които може да причини миопатия при самостоятелно приложение.</w:t>
      </w:r>
    </w:p>
    <w:p w14:paraId="105C5B91" w14:textId="77777777" w:rsidR="00E72EFD" w:rsidRPr="00E72EFD" w:rsidRDefault="00E72EFD" w:rsidP="00E72EFD">
      <w:pPr>
        <w:spacing w:line="240" w:lineRule="auto"/>
        <w:rPr>
          <w:rFonts w:eastAsia="Times New Roman" w:cs="Arial"/>
          <w:color w:val="000000"/>
          <w:lang w:eastAsia="bg-BG"/>
        </w:rPr>
      </w:pPr>
    </w:p>
    <w:p w14:paraId="3E08B5D7" w14:textId="43257DEA"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клинично проучване (медиана на проследяване 3,9 години), включващо пациенти с висок риск от сърдечно-съдови заболявания и с добре контролирани стойности на </w:t>
      </w:r>
      <w:r w:rsidRPr="00E72EFD">
        <w:rPr>
          <w:rFonts w:eastAsia="Times New Roman" w:cs="Arial"/>
          <w:color w:val="000000"/>
          <w:lang w:val="en-US"/>
        </w:rPr>
        <w:t>LDL</w:t>
      </w:r>
      <w:r w:rsidRPr="00E72EFD">
        <w:rPr>
          <w:rFonts w:eastAsia="Times New Roman" w:cs="Arial"/>
          <w:color w:val="000000"/>
          <w:lang w:val="ru-RU"/>
        </w:rPr>
        <w:t>-</w:t>
      </w:r>
      <w:r w:rsidRPr="00E72EFD">
        <w:rPr>
          <w:rFonts w:eastAsia="Times New Roman" w:cs="Arial"/>
          <w:color w:val="000000"/>
          <w:lang w:val="en-US"/>
        </w:rPr>
        <w:t>C</w:t>
      </w:r>
      <w:r w:rsidRPr="00E72EFD">
        <w:rPr>
          <w:rFonts w:eastAsia="Times New Roman" w:cs="Arial"/>
          <w:color w:val="000000"/>
          <w:lang w:val="ru-RU"/>
        </w:rPr>
        <w:t xml:space="preserve">, </w:t>
      </w:r>
      <w:r w:rsidRPr="00E72EFD">
        <w:rPr>
          <w:rFonts w:eastAsia="Times New Roman" w:cs="Arial"/>
          <w:color w:val="000000"/>
          <w:lang w:eastAsia="bg-BG"/>
        </w:rPr>
        <w:t xml:space="preserve">леувани със симвастатин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дневно със или без езетимиб 10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не се наблюдава нарастваща полза за сърдечно-съдовите резултати при добавяне на липидомодифициращи дози (≥1 </w:t>
      </w:r>
      <w:r w:rsidRPr="00E72EFD">
        <w:rPr>
          <w:rFonts w:eastAsia="Times New Roman" w:cs="Arial"/>
          <w:color w:val="000000"/>
          <w:lang w:val="en-US"/>
        </w:rPr>
        <w:t>g</w:t>
      </w:r>
      <w:r w:rsidRPr="00E72EFD">
        <w:rPr>
          <w:rFonts w:eastAsia="Times New Roman" w:cs="Arial"/>
          <w:color w:val="000000"/>
          <w:lang w:eastAsia="bg-BG"/>
        </w:rPr>
        <w:t xml:space="preserve">/ден) ниацин (никотинова киселина). Поради това лекарите,, които възнамеряват да приложат лечение със симвастатин едновременно с липидомодифициращи дози (&gt; 1 </w:t>
      </w:r>
      <w:r w:rsidRPr="00E72EFD">
        <w:rPr>
          <w:rFonts w:eastAsia="Times New Roman" w:cs="Arial"/>
          <w:color w:val="000000"/>
          <w:lang w:val="en-US"/>
        </w:rPr>
        <w:t>g</w:t>
      </w:r>
      <w:r w:rsidRPr="00E72EFD">
        <w:rPr>
          <w:rFonts w:eastAsia="Times New Roman" w:cs="Arial"/>
          <w:color w:val="000000"/>
          <w:lang w:eastAsia="bg-BG"/>
        </w:rPr>
        <w:t>/ден) ниацин (никотинова киселина) или продукти съдържащи ниацин, трябва внимателно да преценят потенциалните ползи и рискове и внимателно да наблюдават пациентите за признаци и симптоми на мускулна болка, чувствителност или слабост, особено през първите месеци от лечението и при повишаване на дозата на който и да е от приеманите лекарствени продукти.</w:t>
      </w:r>
    </w:p>
    <w:p w14:paraId="4E303B52" w14:textId="77777777" w:rsidR="00E72EFD" w:rsidRPr="00E72EFD" w:rsidRDefault="00E72EFD" w:rsidP="00E72EFD">
      <w:pPr>
        <w:spacing w:line="240" w:lineRule="auto"/>
        <w:rPr>
          <w:rFonts w:eastAsia="Times New Roman" w:cs="Arial"/>
          <w:color w:val="000000"/>
          <w:lang w:eastAsia="bg-BG"/>
        </w:rPr>
      </w:pPr>
    </w:p>
    <w:p w14:paraId="6F34D424" w14:textId="4EA294B8"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допълнение, в това проучване, честотата на миопатия е приблизително 0,24% при пациенти с китайски произход, провеждащи лечение с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или 10/40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езетимиб/симвастатин, в сравнение с 1,24% при китайските пациенти, при които лечението с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симвастатин или 10/40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езетимиб/симвастатин е едновременно приложено с никотинова киселина/ларопипрант 2 000 </w:t>
      </w:r>
      <w:r w:rsidRPr="00E72EFD">
        <w:rPr>
          <w:rFonts w:eastAsia="Times New Roman" w:cs="Arial"/>
          <w:color w:val="000000"/>
          <w:lang w:val="en-US"/>
        </w:rPr>
        <w:t>mg</w:t>
      </w:r>
      <w:r w:rsidRPr="00E72EFD">
        <w:rPr>
          <w:rFonts w:eastAsia="Times New Roman" w:cs="Arial"/>
          <w:color w:val="000000"/>
          <w:lang w:val="ru-RU"/>
        </w:rPr>
        <w:t xml:space="preserve">/40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с модифицирано освобождаване. Въпреки, че азиатската популация, оценена в това проучване се състои само от китайци, тъй като честотата на миопатия е по-висока при пациенти с китайски произход, отколкото при тези, които не са китайци, не се препоръчва едновременната употреба на симвастатин с липидомодифициращи дози (≥1 </w:t>
      </w:r>
      <w:r w:rsidRPr="00E72EFD">
        <w:rPr>
          <w:rFonts w:eastAsia="Times New Roman" w:cs="Arial"/>
          <w:color w:val="000000"/>
          <w:lang w:val="en-US"/>
        </w:rPr>
        <w:t>g</w:t>
      </w:r>
      <w:r w:rsidRPr="00E72EFD">
        <w:rPr>
          <w:rFonts w:eastAsia="Times New Roman" w:cs="Arial"/>
          <w:color w:val="000000"/>
          <w:lang w:eastAsia="bg-BG"/>
        </w:rPr>
        <w:t>/ден) на ниацин (никотинова киселина) при пациенти с азиатски произход.</w:t>
      </w:r>
    </w:p>
    <w:p w14:paraId="4D8050A4" w14:textId="77777777" w:rsidR="00E72EFD" w:rsidRPr="00E72EFD" w:rsidRDefault="00E72EFD" w:rsidP="00E72EFD">
      <w:pPr>
        <w:spacing w:line="240" w:lineRule="auto"/>
        <w:rPr>
          <w:rFonts w:eastAsia="Times New Roman" w:cs="Arial"/>
          <w:color w:val="000000"/>
          <w:lang w:eastAsia="bg-BG"/>
        </w:rPr>
      </w:pPr>
    </w:p>
    <w:p w14:paraId="58BB5D84" w14:textId="080BF345" w:rsidR="00E72EFD" w:rsidRPr="00E72EFD" w:rsidRDefault="00E72EFD" w:rsidP="00E72EFD">
      <w:pPr>
        <w:spacing w:line="240" w:lineRule="auto"/>
        <w:rPr>
          <w:rFonts w:eastAsia="Times New Roman" w:cs="Arial"/>
        </w:rPr>
      </w:pPr>
      <w:r w:rsidRPr="00E72EFD">
        <w:rPr>
          <w:rFonts w:eastAsia="Times New Roman" w:cs="Arial"/>
          <w:color w:val="000000"/>
          <w:lang w:eastAsia="bg-BG"/>
        </w:rPr>
        <w:t>Аципимокс е структурно сходен с ниацин. Въпреки, че аципимокс не е проучен, рискът от токсични ефекти, свързани с мускулите, може да бъде подобен на този при ниацин.</w:t>
      </w:r>
    </w:p>
    <w:p w14:paraId="0BC7B8DF" w14:textId="77777777" w:rsidR="00E72EFD" w:rsidRPr="00E72EFD" w:rsidRDefault="00E72EFD" w:rsidP="00E72EFD">
      <w:pPr>
        <w:spacing w:line="240" w:lineRule="auto"/>
        <w:rPr>
          <w:rFonts w:eastAsia="Times New Roman" w:cs="Arial"/>
          <w:color w:val="000000"/>
          <w:u w:val="single"/>
          <w:lang w:eastAsia="bg-BG"/>
        </w:rPr>
      </w:pPr>
    </w:p>
    <w:p w14:paraId="26FF7549" w14:textId="650BABB9"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Даптомицин</w:t>
      </w:r>
    </w:p>
    <w:p w14:paraId="31432D50"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Съобщавани са случаи на миопатия и/или рабдомиолиза при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E72EFD">
        <w:rPr>
          <w:rFonts w:eastAsia="Times New Roman" w:cs="Arial"/>
          <w:color w:val="000000"/>
          <w:lang w:val="en-US"/>
        </w:rPr>
        <w:t>HMG</w:t>
      </w:r>
      <w:r w:rsidRPr="00E72EFD">
        <w:rPr>
          <w:rFonts w:eastAsia="Times New Roman" w:cs="Arial"/>
          <w:color w:val="000000"/>
          <w:lang w:val="ru-RU"/>
        </w:rPr>
        <w:t>-</w:t>
      </w:r>
      <w:r w:rsidRPr="00E72EFD">
        <w:rPr>
          <w:rFonts w:eastAsia="Times New Roman" w:cs="Arial"/>
          <w:color w:val="000000"/>
          <w:lang w:val="en-US"/>
        </w:rPr>
        <w:t>CoA</w:t>
      </w:r>
      <w:r w:rsidRPr="00E72EFD">
        <w:rPr>
          <w:rFonts w:eastAsia="Times New Roman" w:cs="Arial"/>
          <w:color w:val="000000"/>
          <w:lang w:val="ru-RU"/>
        </w:rPr>
        <w:t xml:space="preserve"> </w:t>
      </w:r>
      <w:r w:rsidRPr="00E72EFD">
        <w:rPr>
          <w:rFonts w:eastAsia="Times New Roman" w:cs="Arial"/>
          <w:color w:val="000000"/>
          <w:lang w:eastAsia="bg-BG"/>
        </w:rPr>
        <w:t>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използващи даптомицин, освен ако ползите от едновременното приложение не надхвърлят</w:t>
      </w:r>
      <w:r w:rsidRPr="00E72EFD">
        <w:rPr>
          <w:rFonts w:eastAsia="Times New Roman" w:cs="Arial"/>
          <w:color w:val="000000"/>
          <w:vertAlign w:val="superscript"/>
          <w:lang w:eastAsia="bg-BG"/>
        </w:rPr>
        <w:t xml:space="preserve"> </w:t>
      </w:r>
      <w:r w:rsidRPr="00E72EFD">
        <w:rPr>
          <w:rFonts w:eastAsia="Times New Roman" w:cs="Arial"/>
          <w:color w:val="000000"/>
          <w:lang w:eastAsia="bg-BG"/>
        </w:rPr>
        <w:t>риска. Консултирайте се с информацията за предписване на даптомицин, за да получите допълнителна информация за това потенциално взаимодействие с НМО-СоА редуктазни</w:t>
      </w:r>
    </w:p>
    <w:p w14:paraId="4C09AC26" w14:textId="2B60A8E2" w:rsidR="00E72EFD" w:rsidRPr="00E72EFD" w:rsidRDefault="00E72EFD" w:rsidP="00E72EFD">
      <w:pPr>
        <w:rPr>
          <w:rFonts w:eastAsia="Times New Roman" w:cs="Arial"/>
          <w:color w:val="000000"/>
          <w:lang w:eastAsia="bg-BG"/>
        </w:rPr>
      </w:pPr>
      <w:r w:rsidRPr="00E72EFD">
        <w:rPr>
          <w:rFonts w:eastAsia="Times New Roman" w:cs="Arial"/>
          <w:color w:val="000000"/>
          <w:lang w:eastAsia="bg-BG"/>
        </w:rPr>
        <w:t>инхибитори (напр. симвастатин) и за допълнителни указания, свързани с миниторирането (вж. точка 4.5).</w:t>
      </w:r>
    </w:p>
    <w:p w14:paraId="363BB5C0" w14:textId="2BB863D0" w:rsidR="00E72EFD" w:rsidRPr="00E72EFD" w:rsidRDefault="00E72EFD" w:rsidP="00E72EFD">
      <w:pPr>
        <w:rPr>
          <w:rFonts w:eastAsia="Times New Roman" w:cs="Arial"/>
          <w:color w:val="000000"/>
          <w:lang w:eastAsia="bg-BG"/>
        </w:rPr>
      </w:pPr>
    </w:p>
    <w:p w14:paraId="2016A337" w14:textId="77777777"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Чернодробни ефекти</w:t>
      </w:r>
    </w:p>
    <w:p w14:paraId="1F8043BB"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В клинични изпитвания, при няколко пациенти, приемали симвастатин са наблюдавани постоянни увеличения (до &gt; 3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на серумните трансаминази. Когато лечението със симвастатин при тези пациенти е прекъсвано или прекратявано, стойностите на трансаминазите обикновено са се понижавали бавно до първоначалните нива преди започване на лечението.</w:t>
      </w:r>
    </w:p>
    <w:p w14:paraId="45BB094A" w14:textId="77777777" w:rsidR="00E72EFD" w:rsidRPr="00E72EFD" w:rsidRDefault="00E72EFD" w:rsidP="00E72EFD">
      <w:pPr>
        <w:spacing w:line="240" w:lineRule="auto"/>
        <w:rPr>
          <w:rFonts w:eastAsia="Times New Roman" w:cs="Arial"/>
          <w:color w:val="000000"/>
          <w:lang w:eastAsia="bg-BG"/>
        </w:rPr>
      </w:pPr>
    </w:p>
    <w:p w14:paraId="16B3331B" w14:textId="5912EA80"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Препоръчва се да се провеждат изследвания на чернодробната функция преди началото на лечението и след това, когато това е клинично показано. Пациенти, при които дозата е титрирана до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би следвало да провеждат допълнителен тест преди лечението, 3 месеца след титрирането до 80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 xml:space="preserve">и периодично след това (напр. на полугодие) през първата година от лечението. Трябва да се обърне специално внимание на пациенти, при които се наблюдават завишени серумни нива на трансаминазите и при тези пациенти изследванията трябва да се повтарят бързо и след това да се провеждат по-често. Ако нивата на трансаминазите започнат да се покачват и особено ако достигнат 3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 xml:space="preserve">и останат трайно високи, лечението със симвастатин трябва да се преустанови. Трябва да се има предвид, че </w:t>
      </w:r>
      <w:r w:rsidRPr="00E72EFD">
        <w:rPr>
          <w:rFonts w:eastAsia="Times New Roman" w:cs="Arial"/>
          <w:color w:val="000000"/>
          <w:lang w:val="en-US"/>
        </w:rPr>
        <w:t>ALT</w:t>
      </w:r>
      <w:r w:rsidRPr="00E72EFD">
        <w:rPr>
          <w:rFonts w:eastAsia="Times New Roman" w:cs="Arial"/>
          <w:color w:val="000000"/>
          <w:lang w:val="ru-RU"/>
        </w:rPr>
        <w:t xml:space="preserve"> </w:t>
      </w:r>
      <w:r w:rsidRPr="00E72EFD">
        <w:rPr>
          <w:rFonts w:eastAsia="Times New Roman" w:cs="Arial"/>
          <w:color w:val="000000"/>
          <w:lang w:eastAsia="bg-BG"/>
        </w:rPr>
        <w:t xml:space="preserve">може да има мускулен произход, следователно нарастването на </w:t>
      </w:r>
      <w:r w:rsidRPr="00E72EFD">
        <w:rPr>
          <w:rFonts w:eastAsia="Times New Roman" w:cs="Arial"/>
          <w:color w:val="000000"/>
          <w:lang w:val="en-US"/>
        </w:rPr>
        <w:t>ALT</w:t>
      </w:r>
      <w:r w:rsidRPr="00E72EFD">
        <w:rPr>
          <w:rFonts w:eastAsia="Times New Roman" w:cs="Arial"/>
          <w:color w:val="000000"/>
          <w:lang w:val="ru-RU"/>
        </w:rPr>
        <w:t xml:space="preserve"> </w:t>
      </w:r>
      <w:r w:rsidRPr="00E72EFD">
        <w:rPr>
          <w:rFonts w:eastAsia="Times New Roman" w:cs="Arial"/>
          <w:color w:val="000000"/>
          <w:lang w:eastAsia="bg-BG"/>
        </w:rPr>
        <w:t xml:space="preserve">с СК може да е показателно за наличие на миопатия (вж. по-горе </w:t>
      </w:r>
      <w:r w:rsidRPr="00E72EFD">
        <w:rPr>
          <w:rFonts w:eastAsia="Times New Roman" w:cs="Arial"/>
          <w:i/>
          <w:iCs/>
          <w:color w:val="000000"/>
          <w:lang w:eastAsia="bg-BG"/>
        </w:rPr>
        <w:t>Миопатия/Рабдомиолиза).</w:t>
      </w:r>
    </w:p>
    <w:p w14:paraId="0E611BB7" w14:textId="77777777" w:rsidR="00E72EFD" w:rsidRPr="00E72EFD" w:rsidRDefault="00E72EFD" w:rsidP="00E72EFD">
      <w:pPr>
        <w:spacing w:line="240" w:lineRule="auto"/>
        <w:rPr>
          <w:rFonts w:eastAsia="Times New Roman" w:cs="Arial"/>
          <w:color w:val="000000"/>
          <w:lang w:eastAsia="bg-BG"/>
        </w:rPr>
      </w:pPr>
    </w:p>
    <w:p w14:paraId="73BC41F0" w14:textId="33603F1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Има редки съобщения от постмаркетинговия период за фатална и нефатална чернодробна недостатъчност при пациенти, приемащи статини, включително симвастатин. Ако по време на терапията със симвастатин се появи тежко увреждане на </w:t>
      </w:r>
      <w:r w:rsidRPr="00E72EFD">
        <w:rPr>
          <w:rFonts w:eastAsia="Times New Roman" w:cs="Arial"/>
          <w:color w:val="000000"/>
          <w:lang w:eastAsia="bg-BG"/>
        </w:rPr>
        <w:lastRenderedPageBreak/>
        <w:t>черния дроб с клинични симптоми и/или хипербилирубинемия или жълтеница, тя трябва своевременно да се прекрати.</w:t>
      </w:r>
    </w:p>
    <w:p w14:paraId="183A77B2"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В случай че не се открие друга причина, терапията със симвастатин не трябва да се възобновява.</w:t>
      </w:r>
    </w:p>
    <w:p w14:paraId="10C4F990" w14:textId="77777777" w:rsidR="00E72EFD" w:rsidRPr="00E72EFD" w:rsidRDefault="00E72EFD" w:rsidP="00E72EFD">
      <w:pPr>
        <w:spacing w:line="240" w:lineRule="auto"/>
        <w:rPr>
          <w:rFonts w:eastAsia="Times New Roman" w:cs="Arial"/>
          <w:color w:val="000000"/>
          <w:lang w:eastAsia="bg-BG"/>
        </w:rPr>
      </w:pPr>
    </w:p>
    <w:p w14:paraId="160EA389" w14:textId="3E710476" w:rsidR="00E72EFD" w:rsidRPr="00E72EFD" w:rsidRDefault="00E72EFD" w:rsidP="00E72EFD">
      <w:pPr>
        <w:spacing w:line="240" w:lineRule="auto"/>
        <w:rPr>
          <w:rFonts w:eastAsia="Times New Roman" w:cs="Arial"/>
        </w:rPr>
      </w:pPr>
      <w:r w:rsidRPr="00E72EFD">
        <w:rPr>
          <w:rFonts w:eastAsia="Times New Roman" w:cs="Arial"/>
          <w:color w:val="000000"/>
          <w:lang w:eastAsia="bg-BG"/>
        </w:rPr>
        <w:t>Лекарственият продукт трябва да се използва с повишено внимание при пациенти, които консумират значителни количества алкохол.</w:t>
      </w:r>
    </w:p>
    <w:p w14:paraId="6B8E3894" w14:textId="77777777" w:rsidR="00E72EFD" w:rsidRPr="00E72EFD" w:rsidRDefault="00E72EFD" w:rsidP="00E72EFD">
      <w:pPr>
        <w:spacing w:line="240" w:lineRule="auto"/>
        <w:rPr>
          <w:rFonts w:eastAsia="Times New Roman" w:cs="Arial"/>
          <w:color w:val="000000"/>
          <w:lang w:eastAsia="bg-BG"/>
        </w:rPr>
      </w:pPr>
    </w:p>
    <w:p w14:paraId="4AA47744" w14:textId="6FA6C2DB"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Както и при други липидопонижаващи средства, умерени увеличения (&lt; 3 х </w:t>
      </w:r>
      <w:r w:rsidRPr="00E72EFD">
        <w:rPr>
          <w:rFonts w:eastAsia="Times New Roman" w:cs="Arial"/>
          <w:color w:val="000000"/>
          <w:lang w:val="en-US"/>
        </w:rPr>
        <w:t>ULN</w:t>
      </w:r>
      <w:r w:rsidRPr="00E72EFD">
        <w:rPr>
          <w:rFonts w:eastAsia="Times New Roman" w:cs="Arial"/>
          <w:color w:val="000000"/>
          <w:lang w:val="ru-RU"/>
        </w:rPr>
        <w:t xml:space="preserve">) </w:t>
      </w:r>
      <w:r w:rsidRPr="00E72EFD">
        <w:rPr>
          <w:rFonts w:eastAsia="Times New Roman" w:cs="Arial"/>
          <w:color w:val="000000"/>
          <w:lang w:eastAsia="bg-BG"/>
        </w:rPr>
        <w:t>на серумните трансаминази са били докладвани след терапия със симвастатин. Тези промени се появяват скоро след започване на терапията със симвастатин, често са преходни, не са съпътствани от симптоми и не налагат прекратяване на лечението.</w:t>
      </w:r>
    </w:p>
    <w:p w14:paraId="6592FBEA" w14:textId="77777777" w:rsidR="00E72EFD" w:rsidRPr="00E72EFD" w:rsidRDefault="00E72EFD" w:rsidP="00E72EFD">
      <w:pPr>
        <w:spacing w:line="240" w:lineRule="auto"/>
        <w:rPr>
          <w:rFonts w:eastAsia="Times New Roman" w:cs="Arial"/>
          <w:i/>
          <w:iCs/>
          <w:color w:val="000000"/>
          <w:u w:val="single"/>
          <w:lang w:eastAsia="bg-BG"/>
        </w:rPr>
      </w:pPr>
    </w:p>
    <w:p w14:paraId="228043E5" w14:textId="4A1D6AB2" w:rsidR="00E72EFD" w:rsidRPr="00E72EFD" w:rsidRDefault="00E72EFD" w:rsidP="00E72EFD">
      <w:pPr>
        <w:spacing w:line="240" w:lineRule="auto"/>
        <w:rPr>
          <w:rFonts w:eastAsia="Times New Roman" w:cs="Arial"/>
        </w:rPr>
      </w:pPr>
      <w:r w:rsidRPr="00E72EFD">
        <w:rPr>
          <w:rFonts w:eastAsia="Times New Roman" w:cs="Arial"/>
          <w:i/>
          <w:iCs/>
          <w:color w:val="000000"/>
          <w:u w:val="single"/>
          <w:lang w:eastAsia="bg-BG"/>
        </w:rPr>
        <w:t>Захарен диабет</w:t>
      </w:r>
    </w:p>
    <w:p w14:paraId="2DB97A04"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 xml:space="preserve">Някои данни сочат, че статините като клас повишават кръвната захар и при някои пациенти с висок риск от поява на диабет могат да предизвикат хипергликемия, при която са необходими специални грижи, като при диабет. Този риск, обаче, е незначителен в сравнение с понижението на съдовия риск при употребата на статини и следователно, не трябва да бъде причина за спиране на лечението със статин. Пациентите, при които има риск (глюкоза на гладно 5,6 до 6,9 </w:t>
      </w:r>
      <w:proofErr w:type="spellStart"/>
      <w:r w:rsidRPr="00E72EFD">
        <w:rPr>
          <w:rFonts w:eastAsia="Times New Roman" w:cs="Arial"/>
          <w:color w:val="000000"/>
          <w:lang w:val="en-US"/>
        </w:rPr>
        <w:t>mmol</w:t>
      </w:r>
      <w:proofErr w:type="spellEnd"/>
      <w:r w:rsidRPr="00E72EFD">
        <w:rPr>
          <w:rFonts w:eastAsia="Times New Roman" w:cs="Arial"/>
          <w:color w:val="000000"/>
          <w:lang w:val="ru-RU"/>
        </w:rPr>
        <w:t xml:space="preserve">/1, </w:t>
      </w:r>
      <w:r w:rsidRPr="00E72EFD">
        <w:rPr>
          <w:rFonts w:eastAsia="Times New Roman" w:cs="Arial"/>
          <w:color w:val="000000"/>
          <w:lang w:val="en-US"/>
        </w:rPr>
        <w:t>BMI</w:t>
      </w:r>
      <w:r w:rsidRPr="00E72EFD">
        <w:rPr>
          <w:rFonts w:eastAsia="Times New Roman" w:cs="Arial"/>
          <w:color w:val="000000"/>
          <w:lang w:val="ru-RU"/>
        </w:rPr>
        <w:t xml:space="preserve"> </w:t>
      </w:r>
      <w:r w:rsidRPr="00E72EFD">
        <w:rPr>
          <w:rFonts w:eastAsia="Times New Roman" w:cs="Arial"/>
          <w:color w:val="000000"/>
          <w:lang w:eastAsia="bg-BG"/>
        </w:rPr>
        <w:t xml:space="preserve">&gt; 30 </w:t>
      </w:r>
      <w:r w:rsidRPr="00E72EFD">
        <w:rPr>
          <w:rFonts w:eastAsia="Times New Roman" w:cs="Arial"/>
          <w:color w:val="000000"/>
          <w:lang w:val="en-US"/>
        </w:rPr>
        <w:t>kg</w:t>
      </w:r>
      <w:r w:rsidRPr="00E72EFD">
        <w:rPr>
          <w:rFonts w:eastAsia="Times New Roman" w:cs="Arial"/>
          <w:color w:val="000000"/>
          <w:lang w:val="ru-RU"/>
        </w:rPr>
        <w:t>/</w:t>
      </w:r>
      <w:r w:rsidRPr="00E72EFD">
        <w:rPr>
          <w:rFonts w:eastAsia="Times New Roman" w:cs="Arial"/>
          <w:color w:val="000000"/>
          <w:lang w:val="en-US"/>
        </w:rPr>
        <w:t>m</w:t>
      </w:r>
      <w:r w:rsidRPr="00E72EFD">
        <w:rPr>
          <w:rFonts w:eastAsia="Times New Roman" w:cs="Arial"/>
          <w:color w:val="000000"/>
          <w:vertAlign w:val="superscript"/>
          <w:lang w:val="ru-RU"/>
        </w:rPr>
        <w:t>2</w:t>
      </w:r>
      <w:r w:rsidRPr="00E72EFD">
        <w:rPr>
          <w:rFonts w:eastAsia="Times New Roman" w:cs="Arial"/>
          <w:color w:val="000000"/>
          <w:lang w:val="ru-RU"/>
        </w:rPr>
        <w:t xml:space="preserve">, </w:t>
      </w:r>
      <w:r w:rsidRPr="00E72EFD">
        <w:rPr>
          <w:rFonts w:eastAsia="Times New Roman" w:cs="Arial"/>
          <w:color w:val="000000"/>
          <w:lang w:eastAsia="bg-BG"/>
        </w:rPr>
        <w:t>повишени триглицериди, хипертония) трябва да бъдат наблюдавани едновременно клинично и биохимично в съответствие с националните препоръки.</w:t>
      </w:r>
    </w:p>
    <w:p w14:paraId="2296F988" w14:textId="77777777" w:rsidR="00E72EFD" w:rsidRPr="00E72EFD" w:rsidRDefault="00E72EFD" w:rsidP="00E72EFD">
      <w:pPr>
        <w:spacing w:line="240" w:lineRule="auto"/>
        <w:rPr>
          <w:rFonts w:eastAsia="Times New Roman" w:cs="Arial"/>
          <w:i/>
          <w:iCs/>
          <w:color w:val="000000"/>
          <w:u w:val="single"/>
          <w:lang w:eastAsia="bg-BG"/>
        </w:rPr>
      </w:pPr>
    </w:p>
    <w:p w14:paraId="3F8AAC6B" w14:textId="52D72443" w:rsidR="00E72EFD" w:rsidRPr="00E72EFD" w:rsidRDefault="00E72EFD" w:rsidP="00E72EFD">
      <w:pPr>
        <w:spacing w:line="240" w:lineRule="auto"/>
        <w:rPr>
          <w:rFonts w:eastAsia="Times New Roman" w:cs="Arial"/>
        </w:rPr>
      </w:pPr>
      <w:r w:rsidRPr="00E72EFD">
        <w:rPr>
          <w:rFonts w:eastAsia="Times New Roman" w:cs="Arial"/>
          <w:i/>
          <w:iCs/>
          <w:color w:val="000000"/>
          <w:u w:val="single"/>
          <w:lang w:eastAsia="bg-BG"/>
        </w:rPr>
        <w:t>Интерстиииална белодробна болест</w:t>
      </w:r>
    </w:p>
    <w:p w14:paraId="46054ADB" w14:textId="77777777" w:rsidR="00E72EFD" w:rsidRPr="00E72EFD" w:rsidRDefault="00E72EFD" w:rsidP="00E72EFD">
      <w:pPr>
        <w:spacing w:line="240" w:lineRule="auto"/>
        <w:rPr>
          <w:rFonts w:eastAsia="Times New Roman" w:cs="Arial"/>
        </w:rPr>
      </w:pPr>
      <w:r w:rsidRPr="00E72EFD">
        <w:rPr>
          <w:rFonts w:eastAsia="Times New Roman" w:cs="Arial"/>
          <w:color w:val="000000"/>
          <w:lang w:eastAsia="bg-BG"/>
        </w:rPr>
        <w:t>Докладвани са случаи на интерстициална белодробна болест с някои статини, включително симвастатин, особено при продължителна терапия (вж. точка 4.8). Клиничната картина може да включва задух, непродуктивна кашлица и влошаване на общото състояние (умора, загуба на тегло и треска). При съмнение, че пациентът е развил интерстициална белодробна болест, лечението със статин трябва да се преустанови.</w:t>
      </w:r>
    </w:p>
    <w:p w14:paraId="44DCD106" w14:textId="77777777" w:rsidR="00E72EFD" w:rsidRPr="00E72EFD" w:rsidRDefault="00E72EFD" w:rsidP="00E72EFD">
      <w:pPr>
        <w:spacing w:line="240" w:lineRule="auto"/>
        <w:rPr>
          <w:rFonts w:eastAsia="Times New Roman" w:cs="Arial"/>
          <w:color w:val="000000"/>
          <w:u w:val="single"/>
          <w:lang w:eastAsia="bg-BG"/>
        </w:rPr>
      </w:pPr>
    </w:p>
    <w:p w14:paraId="5415800F" w14:textId="14EF8C0F"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Педиатрична популация</w:t>
      </w:r>
    </w:p>
    <w:p w14:paraId="64DF8CCD" w14:textId="77777777" w:rsidR="00E72EFD" w:rsidRPr="00E72EFD" w:rsidRDefault="00E72EFD" w:rsidP="00E72EFD">
      <w:pPr>
        <w:rPr>
          <w:rFonts w:eastAsia="Times New Roman" w:cs="Arial"/>
        </w:rPr>
      </w:pPr>
      <w:r w:rsidRPr="00E72EFD">
        <w:rPr>
          <w:rFonts w:eastAsia="Times New Roman" w:cs="Arial"/>
          <w:color w:val="000000"/>
          <w:lang w:eastAsia="bg-BG"/>
        </w:rPr>
        <w:t>Безопасността и ефективността на симвастатин при пациенти на 10 -17 години с хетерозиготна фамилна хиперхолестеролемия са оценени в контролирано клинично изпитване</w:t>
      </w:r>
      <w:r w:rsidRPr="00E72EFD">
        <w:rPr>
          <w:rFonts w:eastAsia="Times New Roman" w:cs="Arial"/>
          <w:color w:val="000000"/>
          <w:lang w:val="ru-RU"/>
        </w:rPr>
        <w:t xml:space="preserve"> </w:t>
      </w:r>
      <w:r w:rsidRPr="00E72EFD">
        <w:rPr>
          <w:rFonts w:eastAsia="Times New Roman" w:cs="Arial"/>
          <w:color w:val="000000"/>
          <w:lang w:eastAsia="bg-BG"/>
        </w:rPr>
        <w:t>при момчета в юношеска възраст (</w:t>
      </w:r>
      <w:r w:rsidRPr="00E72EFD">
        <w:rPr>
          <w:rFonts w:eastAsia="Times New Roman" w:cs="Arial"/>
          <w:color w:val="000000"/>
          <w:lang w:val="en-US"/>
        </w:rPr>
        <w:t>II</w:t>
      </w:r>
      <w:r w:rsidRPr="00E72EFD">
        <w:rPr>
          <w:rFonts w:eastAsia="Times New Roman" w:cs="Arial"/>
          <w:color w:val="000000"/>
          <w:lang w:eastAsia="bg-BG"/>
        </w:rPr>
        <w:t xml:space="preserve"> стадии по Танер и повече) и при момичета, които са поне една година след менархе. При пациенти, лекувани със симвастатин профилът на нежеланни реакции подобен на този на пациентите, лекувани с плацебо. Дози, по-високи от 40 </w:t>
      </w:r>
      <w:r w:rsidRPr="00E72EFD">
        <w:rPr>
          <w:rFonts w:eastAsia="Times New Roman" w:cs="Arial"/>
          <w:color w:val="000000"/>
          <w:lang w:val="en-US"/>
        </w:rPr>
        <w:t>mg</w:t>
      </w:r>
      <w:r w:rsidRPr="00E72EFD">
        <w:rPr>
          <w:rFonts w:eastAsia="Times New Roman" w:cs="Arial"/>
          <w:color w:val="000000"/>
          <w:lang w:val="ru-RU"/>
        </w:rPr>
        <w:t xml:space="preserve"> </w:t>
      </w:r>
      <w:r w:rsidRPr="00E72EFD">
        <w:rPr>
          <w:rFonts w:eastAsia="Times New Roman" w:cs="Arial"/>
          <w:color w:val="000000"/>
          <w:lang w:eastAsia="bg-BG"/>
        </w:rPr>
        <w:t>не са проучени</w:t>
      </w:r>
      <w:r w:rsidRPr="00E72EFD">
        <w:rPr>
          <w:rFonts w:eastAsia="Times New Roman" w:cs="Arial"/>
        </w:rPr>
        <w:t xml:space="preserve"> </w:t>
      </w:r>
      <w:r w:rsidRPr="00E72EFD">
        <w:rPr>
          <w:rFonts w:eastAsia="Times New Roman" w:cs="Arial"/>
          <w:color w:val="000000"/>
          <w:lang w:eastAsia="bg-BG"/>
        </w:rPr>
        <w:t>при тази популация. В това ограничено контролирано изпитване, не е наблюдаван осезаем ефект върху растежа или половото съзряване при момчетата или при момичетата или върху продължителността на менструалния цикъл при момичетата (вж. точки 4.2,4.8, и 5.1). Девойките в юношеска възраст трябва да бъдат посъветвани да използват подходящи контрацептивни методи по време на лечение със симвастатин (вж. точки 4.3 и 4.6). При пациенти под 18 години, ефикасността и безопасността при лечение над 48 седмици не са проучвани, а дългосрочните ефекти върху физическото, интелектуалното и половото съзряване не са известни. Симвастатин не е проучван при пациенти под 10-годишна възраст, нито при деца в предпубертетна възраст и момичета преди менархе.</w:t>
      </w:r>
    </w:p>
    <w:p w14:paraId="34A3B7EF" w14:textId="77777777" w:rsidR="00E72EFD" w:rsidRPr="00E72EFD" w:rsidRDefault="00E72EFD" w:rsidP="00E72EFD">
      <w:pPr>
        <w:spacing w:line="240" w:lineRule="auto"/>
        <w:rPr>
          <w:rFonts w:eastAsia="Times New Roman" w:cs="Arial"/>
          <w:color w:val="000000"/>
          <w:u w:val="single"/>
          <w:lang w:eastAsia="bg-BG"/>
        </w:rPr>
      </w:pPr>
    </w:p>
    <w:p w14:paraId="6F297AE6" w14:textId="363544F8" w:rsidR="00E72EFD" w:rsidRPr="00E72EFD" w:rsidRDefault="00E72EFD" w:rsidP="00E72EFD">
      <w:pPr>
        <w:spacing w:line="240" w:lineRule="auto"/>
        <w:rPr>
          <w:rFonts w:eastAsia="Times New Roman" w:cs="Arial"/>
        </w:rPr>
      </w:pPr>
      <w:r w:rsidRPr="00E72EFD">
        <w:rPr>
          <w:rFonts w:eastAsia="Times New Roman" w:cs="Arial"/>
          <w:color w:val="000000"/>
          <w:u w:val="single"/>
          <w:lang w:eastAsia="bg-BG"/>
        </w:rPr>
        <w:t>Помошно вещество</w:t>
      </w:r>
    </w:p>
    <w:p w14:paraId="255CAF02" w14:textId="77777777" w:rsidR="00E72EFD" w:rsidRPr="00E72EFD" w:rsidRDefault="00E72EFD" w:rsidP="00E72EFD">
      <w:pPr>
        <w:spacing w:line="240" w:lineRule="auto"/>
        <w:rPr>
          <w:rFonts w:eastAsia="Times New Roman" w:cs="Arial"/>
        </w:rPr>
      </w:pPr>
      <w:r w:rsidRPr="00E72EFD">
        <w:rPr>
          <w:rFonts w:eastAsia="Times New Roman" w:cs="Arial"/>
          <w:i/>
          <w:iCs/>
          <w:color w:val="000000"/>
          <w:lang w:eastAsia="bg-BG"/>
        </w:rPr>
        <w:t>Лактоза</w:t>
      </w:r>
    </w:p>
    <w:p w14:paraId="5BD9ECF7" w14:textId="07D41D80" w:rsidR="00E72EFD" w:rsidRPr="00E72EFD" w:rsidRDefault="00E72EFD" w:rsidP="00E72EFD">
      <w:pPr>
        <w:spacing w:line="240" w:lineRule="auto"/>
        <w:rPr>
          <w:rFonts w:eastAsia="Times New Roman" w:cs="Arial"/>
          <w:color w:val="000000"/>
          <w:lang w:eastAsia="bg-BG"/>
        </w:rPr>
      </w:pPr>
      <w:r w:rsidRPr="00E72EFD">
        <w:rPr>
          <w:rFonts w:eastAsia="Times New Roman" w:cs="Arial"/>
          <w:color w:val="000000"/>
          <w:lang w:eastAsia="bg-BG"/>
        </w:rPr>
        <w:lastRenderedPageBreak/>
        <w:t>Пациенти с редки наследствени проблеми на непоносимост към галактоза, пълен лакгазен дефицит или глюкозо-галактозна малабсорбция, не трябва да приемат този лекарствен продукт.</w:t>
      </w:r>
    </w:p>
    <w:p w14:paraId="6F7C6A86" w14:textId="77777777" w:rsidR="00E72EFD" w:rsidRPr="00E72EFD" w:rsidRDefault="00E72EFD" w:rsidP="00E72EFD">
      <w:pPr>
        <w:spacing w:line="240" w:lineRule="auto"/>
        <w:rPr>
          <w:rFonts w:ascii="Times New Roman" w:eastAsia="Times New Roman" w:hAnsi="Times New Roman" w:cs="Times New Roman"/>
          <w:sz w:val="24"/>
          <w:szCs w:val="24"/>
        </w:rPr>
      </w:pPr>
    </w:p>
    <w:p w14:paraId="619DED1E" w14:textId="68FAA6F2"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2E38EBF" w14:textId="1EE81765" w:rsidR="00C002BE" w:rsidRDefault="00C002BE" w:rsidP="00C002BE"/>
    <w:p w14:paraId="117F8BF2"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Множество механизми могат да допринесат за възможни взаимодействия с инхибитори на </w:t>
      </w:r>
      <w:r w:rsidRPr="00C002BE">
        <w:rPr>
          <w:rFonts w:eastAsia="Times New Roman" w:cs="Arial"/>
          <w:color w:val="000000"/>
          <w:szCs w:val="20"/>
          <w:lang w:val="en-US"/>
        </w:rPr>
        <w:t>HMG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Со-А редуктазата. Лекарства или билкови продукти, които инхибират определени ензими (напр. </w:t>
      </w:r>
      <w:r w:rsidRPr="00C002BE">
        <w:rPr>
          <w:rFonts w:eastAsia="Times New Roman" w:cs="Arial"/>
          <w:color w:val="000000"/>
          <w:szCs w:val="20"/>
          <w:lang w:val="en-US"/>
        </w:rPr>
        <w:t>CYP</w:t>
      </w:r>
      <w:r w:rsidRPr="00C002BE">
        <w:rPr>
          <w:rFonts w:eastAsia="Times New Roman" w:cs="Arial"/>
          <w:color w:val="000000"/>
          <w:szCs w:val="20"/>
          <w:lang w:val="ru-RU"/>
        </w:rPr>
        <w:t>3</w:t>
      </w:r>
      <w:r w:rsidRPr="00C002BE">
        <w:rPr>
          <w:rFonts w:eastAsia="Times New Roman" w:cs="Arial"/>
          <w:color w:val="000000"/>
          <w:szCs w:val="20"/>
          <w:lang w:val="en-US"/>
        </w:rPr>
        <w:t>A</w:t>
      </w:r>
      <w:r w:rsidRPr="00C002BE">
        <w:rPr>
          <w:rFonts w:eastAsia="Times New Roman" w:cs="Arial"/>
          <w:color w:val="000000"/>
          <w:szCs w:val="20"/>
          <w:lang w:val="ru-RU"/>
        </w:rPr>
        <w:t xml:space="preserve">4) </w:t>
      </w:r>
      <w:r w:rsidRPr="00C002BE">
        <w:rPr>
          <w:rFonts w:eastAsia="Times New Roman" w:cs="Arial"/>
          <w:color w:val="000000"/>
          <w:szCs w:val="20"/>
          <w:lang w:eastAsia="bg-BG"/>
        </w:rPr>
        <w:t>и/или транспортни пътища (напр. ОАТР1В), могат да повишат плазмените концентрации на симвастатин и симвастатинова киселина и могат да доведат до повишен риск от миопатия/рабдомиолиза.</w:t>
      </w:r>
    </w:p>
    <w:p w14:paraId="5EB692D5" w14:textId="77777777" w:rsidR="00C002BE" w:rsidRPr="00C002BE" w:rsidRDefault="00C002BE" w:rsidP="00C002BE">
      <w:pPr>
        <w:spacing w:line="240" w:lineRule="auto"/>
        <w:rPr>
          <w:rFonts w:eastAsia="Times New Roman" w:cs="Arial"/>
          <w:b/>
          <w:bCs/>
          <w:color w:val="000000"/>
          <w:szCs w:val="20"/>
          <w:lang w:eastAsia="bg-BG"/>
        </w:rPr>
      </w:pPr>
    </w:p>
    <w:p w14:paraId="65287C9B" w14:textId="2EDFE73B" w:rsidR="00C002BE" w:rsidRPr="00C002BE" w:rsidRDefault="00C002BE" w:rsidP="00C002BE">
      <w:pPr>
        <w:spacing w:line="240" w:lineRule="auto"/>
        <w:rPr>
          <w:rFonts w:eastAsia="Times New Roman" w:cs="Arial"/>
          <w:sz w:val="28"/>
          <w:szCs w:val="24"/>
        </w:rPr>
      </w:pPr>
      <w:r w:rsidRPr="00C002BE">
        <w:rPr>
          <w:rFonts w:eastAsia="Times New Roman" w:cs="Arial"/>
          <w:b/>
          <w:bCs/>
          <w:color w:val="000000"/>
          <w:szCs w:val="20"/>
          <w:lang w:eastAsia="bg-BG"/>
        </w:rPr>
        <w:t>Консултирайте се с продуктовата информация на всички едновременно употребявани лекарства, за да получите допълнителна информация за техните потенциални взаимодействия със симвастатин и/или възможността за ензимни или транпортерни промени и евентуалните корекции на дозата и схемите на прилагане.</w:t>
      </w:r>
    </w:p>
    <w:p w14:paraId="3426CF9D" w14:textId="77777777" w:rsidR="00C002BE" w:rsidRPr="00C002BE" w:rsidRDefault="00C002BE" w:rsidP="00C002BE">
      <w:pPr>
        <w:spacing w:line="240" w:lineRule="auto"/>
        <w:rPr>
          <w:rFonts w:eastAsia="Times New Roman" w:cs="Arial"/>
          <w:color w:val="000000"/>
          <w:szCs w:val="20"/>
          <w:lang w:eastAsia="bg-BG"/>
        </w:rPr>
      </w:pPr>
    </w:p>
    <w:p w14:paraId="5D414144" w14:textId="1D2BCB6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Проучвания за взаимодействията са провеждани само при възрастни.</w:t>
      </w:r>
    </w:p>
    <w:p w14:paraId="64E00D5A" w14:textId="77777777" w:rsidR="00C002BE" w:rsidRPr="00C002BE" w:rsidRDefault="00C002BE" w:rsidP="00C002BE">
      <w:pPr>
        <w:spacing w:line="240" w:lineRule="auto"/>
        <w:rPr>
          <w:rFonts w:eastAsia="Times New Roman" w:cs="Arial"/>
          <w:color w:val="000000"/>
          <w:szCs w:val="20"/>
          <w:u w:val="single"/>
          <w:lang w:eastAsia="bg-BG"/>
        </w:rPr>
      </w:pPr>
    </w:p>
    <w:p w14:paraId="2B71AA51" w14:textId="4FF77F6B"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Фармакодинамични взаимодействия</w:t>
      </w:r>
    </w:p>
    <w:p w14:paraId="2EC8979F" w14:textId="77777777" w:rsidR="00C002BE" w:rsidRPr="00C002BE" w:rsidRDefault="00C002BE" w:rsidP="00C002BE">
      <w:pPr>
        <w:spacing w:line="240" w:lineRule="auto"/>
        <w:rPr>
          <w:rFonts w:eastAsia="Times New Roman" w:cs="Arial"/>
          <w:i/>
          <w:iCs/>
          <w:color w:val="000000"/>
          <w:szCs w:val="20"/>
          <w:lang w:eastAsia="bg-BG"/>
        </w:rPr>
      </w:pPr>
    </w:p>
    <w:p w14:paraId="429FAC62" w14:textId="026D1B9A" w:rsidR="00C002BE" w:rsidRPr="00C002BE" w:rsidRDefault="00C002BE" w:rsidP="00C002BE">
      <w:pPr>
        <w:spacing w:line="240" w:lineRule="auto"/>
        <w:rPr>
          <w:rFonts w:eastAsia="Times New Roman" w:cs="Arial"/>
          <w:sz w:val="28"/>
          <w:szCs w:val="24"/>
        </w:rPr>
      </w:pPr>
      <w:r w:rsidRPr="00C002BE">
        <w:rPr>
          <w:rFonts w:eastAsia="Times New Roman" w:cs="Arial"/>
          <w:i/>
          <w:iCs/>
          <w:color w:val="000000"/>
          <w:szCs w:val="20"/>
          <w:lang w:eastAsia="bg-BG"/>
        </w:rPr>
        <w:t>Взаимодействия с липидопонижаващи лекарствени продукти, които могат да причинят миопатия при самостоятелно приложение.</w:t>
      </w:r>
    </w:p>
    <w:p w14:paraId="02A505F8"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Рискът от миопатия, включително рабдомиолиза се увеличава при едновременно приложение с фибрата. Освен това, съществува фармакокинетично взаимодействие с гемфиброзил, което води до увеличени плазмени концентрации на симвастатин (виж по-долу Фармакокинетични взаимодействия и точки 4.3 и 4.4). Когато симвастатин и фенофибрат се прилагат едновременно, няма доказателство, че рискът от миопатия превишава сборния риск от всеки лекарствен продукт поотделно. Няма достатъчни данни за други фибрата по отношение на лекарствената безопасност и фармакокинетиката. Редки случаи на миопатия/рабдомиолиза се свързват с едновременното приложение на симвастатин с липодопонижаващи дози (≥ 1 </w:t>
      </w:r>
      <w:r w:rsidRPr="00C002BE">
        <w:rPr>
          <w:rFonts w:eastAsia="Times New Roman" w:cs="Arial"/>
          <w:color w:val="000000"/>
          <w:szCs w:val="20"/>
          <w:lang w:val="en-US"/>
        </w:rPr>
        <w:t>g</w:t>
      </w:r>
      <w:r w:rsidRPr="00C002BE">
        <w:rPr>
          <w:rFonts w:eastAsia="Times New Roman" w:cs="Arial"/>
          <w:color w:val="000000"/>
          <w:szCs w:val="20"/>
          <w:lang w:eastAsia="bg-BG"/>
        </w:rPr>
        <w:t>/ден) ниацин (вж. точка 4.4).</w:t>
      </w:r>
    </w:p>
    <w:p w14:paraId="635B18EC" w14:textId="77777777" w:rsidR="00C002BE" w:rsidRPr="00C002BE" w:rsidRDefault="00C002BE" w:rsidP="00C002BE">
      <w:pPr>
        <w:spacing w:line="240" w:lineRule="auto"/>
        <w:rPr>
          <w:rFonts w:eastAsia="Times New Roman" w:cs="Arial"/>
          <w:color w:val="000000"/>
          <w:szCs w:val="20"/>
          <w:u w:val="single"/>
          <w:lang w:eastAsia="bg-BG"/>
        </w:rPr>
      </w:pPr>
    </w:p>
    <w:p w14:paraId="0FE2B0D2" w14:textId="606D7CD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Фармакокинетични взаимодействия</w:t>
      </w:r>
    </w:p>
    <w:p w14:paraId="48D647A5" w14:textId="38D80740" w:rsidR="00C002BE" w:rsidRPr="00C002BE" w:rsidRDefault="00C002BE" w:rsidP="00C002BE">
      <w:pPr>
        <w:rPr>
          <w:rFonts w:eastAsia="Times New Roman" w:cs="Arial"/>
          <w:color w:val="000000"/>
          <w:szCs w:val="20"/>
          <w:lang w:eastAsia="bg-BG"/>
        </w:rPr>
      </w:pPr>
      <w:r w:rsidRPr="00C002BE">
        <w:rPr>
          <w:rFonts w:eastAsia="Times New Roman" w:cs="Arial"/>
          <w:color w:val="000000"/>
          <w:szCs w:val="20"/>
          <w:lang w:eastAsia="bg-BG"/>
        </w:rPr>
        <w:t>Препоръките при предписване на вещества, които си взаимодействат са обобщени в таблицата по-долу (допълнителни данни са дадени в текста; вж. също така точки 4.2., 4.3. и 4.4).</w:t>
      </w:r>
    </w:p>
    <w:p w14:paraId="529B0335" w14:textId="1FD6E3BE" w:rsidR="00C002BE" w:rsidRPr="00C002BE" w:rsidRDefault="00C002BE" w:rsidP="00C002BE">
      <w:pPr>
        <w:rPr>
          <w:rFonts w:eastAsia="Times New Roman" w:cs="Arial"/>
          <w:color w:val="000000"/>
          <w:szCs w:val="20"/>
          <w:lang w:eastAsia="bg-BG"/>
        </w:rPr>
      </w:pPr>
    </w:p>
    <w:p w14:paraId="11EBC18C" w14:textId="0AEAF520" w:rsidR="00C002BE" w:rsidRDefault="00C002BE" w:rsidP="00C002BE">
      <w:pPr>
        <w:rPr>
          <w:rFonts w:cs="Arial"/>
          <w:b/>
          <w:bCs/>
          <w:szCs w:val="20"/>
        </w:rPr>
      </w:pPr>
      <w:r w:rsidRPr="00C002BE">
        <w:rPr>
          <w:rFonts w:cs="Arial"/>
          <w:b/>
          <w:bCs/>
          <w:szCs w:val="20"/>
        </w:rPr>
        <w:t>Лекарствени взаимодействия, свързани с повишен риск от миопатня/рабдомиолиза</w:t>
      </w:r>
    </w:p>
    <w:tbl>
      <w:tblPr>
        <w:tblStyle w:val="TableGrid"/>
        <w:tblW w:w="0" w:type="auto"/>
        <w:tblLook w:val="04A0" w:firstRow="1" w:lastRow="0" w:firstColumn="1" w:lastColumn="0" w:noHBand="0" w:noVBand="1"/>
      </w:tblPr>
      <w:tblGrid>
        <w:gridCol w:w="4671"/>
        <w:gridCol w:w="4679"/>
      </w:tblGrid>
      <w:tr w:rsidR="00C002BE" w14:paraId="2BD4FC9F" w14:textId="77777777" w:rsidTr="00C002BE">
        <w:tc>
          <w:tcPr>
            <w:tcW w:w="4788" w:type="dxa"/>
          </w:tcPr>
          <w:p w14:paraId="453C176D" w14:textId="00BC32A5" w:rsidR="00C002BE" w:rsidRPr="00C002BE" w:rsidRDefault="00C002BE" w:rsidP="00C002BE">
            <w:pPr>
              <w:rPr>
                <w:rFonts w:cs="Arial"/>
              </w:rPr>
            </w:pPr>
            <w:r w:rsidRPr="00C002BE">
              <w:rPr>
                <w:b/>
                <w:bCs/>
                <w:szCs w:val="20"/>
              </w:rPr>
              <w:t>Средства, конто си взаимодействат</w:t>
            </w:r>
          </w:p>
        </w:tc>
        <w:tc>
          <w:tcPr>
            <w:tcW w:w="4788" w:type="dxa"/>
          </w:tcPr>
          <w:p w14:paraId="2D5B8A4A" w14:textId="4EEF867C" w:rsidR="00C002BE" w:rsidRPr="00C002BE" w:rsidRDefault="00C002BE" w:rsidP="00C002BE">
            <w:pPr>
              <w:rPr>
                <w:rFonts w:cs="Arial"/>
              </w:rPr>
            </w:pPr>
            <w:r w:rsidRPr="00C002BE">
              <w:rPr>
                <w:b/>
                <w:bCs/>
                <w:szCs w:val="20"/>
              </w:rPr>
              <w:t>Препоръки зя предписване</w:t>
            </w:r>
          </w:p>
        </w:tc>
      </w:tr>
      <w:tr w:rsidR="00C002BE" w14:paraId="7581B565" w14:textId="77777777" w:rsidTr="00C002BE">
        <w:tc>
          <w:tcPr>
            <w:tcW w:w="4788" w:type="dxa"/>
          </w:tcPr>
          <w:p w14:paraId="560712C5" w14:textId="77777777" w:rsidR="00C002BE" w:rsidRPr="00C002BE" w:rsidRDefault="00C002BE" w:rsidP="00C002BE">
            <w:r w:rsidRPr="00C002BE">
              <w:rPr>
                <w:i/>
                <w:iCs/>
                <w:szCs w:val="20"/>
              </w:rPr>
              <w:t xml:space="preserve">Мощни инхибитори на </w:t>
            </w:r>
            <w:r w:rsidRPr="00C002BE">
              <w:rPr>
                <w:i/>
                <w:iCs/>
                <w:szCs w:val="20"/>
                <w:lang w:val="en-US"/>
              </w:rPr>
              <w:t>CYP</w:t>
            </w:r>
            <w:r w:rsidRPr="00C002BE">
              <w:rPr>
                <w:i/>
                <w:iCs/>
                <w:szCs w:val="20"/>
                <w:lang w:val="ru-RU"/>
              </w:rPr>
              <w:t>3</w:t>
            </w:r>
            <w:r w:rsidRPr="00C002BE">
              <w:rPr>
                <w:i/>
                <w:iCs/>
                <w:szCs w:val="20"/>
                <w:lang w:val="en-US"/>
              </w:rPr>
              <w:t>A</w:t>
            </w:r>
            <w:r w:rsidRPr="00C002BE">
              <w:rPr>
                <w:i/>
                <w:iCs/>
                <w:szCs w:val="20"/>
                <w:lang w:val="ru-RU"/>
              </w:rPr>
              <w:t xml:space="preserve">4, </w:t>
            </w:r>
            <w:r w:rsidRPr="00C002BE">
              <w:rPr>
                <w:i/>
                <w:iCs/>
                <w:szCs w:val="20"/>
              </w:rPr>
              <w:t xml:space="preserve">напр.: </w:t>
            </w:r>
            <w:r w:rsidRPr="00C002BE">
              <w:rPr>
                <w:szCs w:val="20"/>
              </w:rPr>
              <w:t>итраконазол кетоконазол позаконазол вориконазол еритромицин кларитромицин телитромицин</w:t>
            </w:r>
          </w:p>
          <w:p w14:paraId="24EC1B08" w14:textId="6867FF0F" w:rsidR="00C002BE" w:rsidRPr="00C002BE" w:rsidRDefault="00C002BE" w:rsidP="00C002BE">
            <w:pPr>
              <w:rPr>
                <w:rFonts w:cs="Arial"/>
              </w:rPr>
            </w:pPr>
            <w:r w:rsidRPr="00C002BE">
              <w:rPr>
                <w:szCs w:val="20"/>
                <w:lang w:val="en-US"/>
              </w:rPr>
              <w:t>HIV</w:t>
            </w:r>
            <w:r w:rsidRPr="00C002BE">
              <w:rPr>
                <w:szCs w:val="20"/>
              </w:rPr>
              <w:t xml:space="preserve"> протеазни инхибитори (напр. нелфинавир) боцепревир телапревир нефазодон кобицистат циклоспорин даназол гемфиброзил</w:t>
            </w:r>
          </w:p>
        </w:tc>
        <w:tc>
          <w:tcPr>
            <w:tcW w:w="4788" w:type="dxa"/>
          </w:tcPr>
          <w:p w14:paraId="10D5CF63" w14:textId="78B0C713" w:rsidR="00C002BE" w:rsidRPr="00C002BE" w:rsidRDefault="00C002BE" w:rsidP="00C002BE">
            <w:pPr>
              <w:rPr>
                <w:rFonts w:cs="Arial"/>
              </w:rPr>
            </w:pPr>
            <w:r w:rsidRPr="00C002BE">
              <w:rPr>
                <w:b/>
                <w:bCs/>
                <w:szCs w:val="20"/>
              </w:rPr>
              <w:t>Едновременното приложение със симвастатин е противопоказано.</w:t>
            </w:r>
          </w:p>
        </w:tc>
      </w:tr>
      <w:tr w:rsidR="00C002BE" w14:paraId="640BBEBF" w14:textId="77777777" w:rsidTr="00C002BE">
        <w:tc>
          <w:tcPr>
            <w:tcW w:w="4788" w:type="dxa"/>
          </w:tcPr>
          <w:p w14:paraId="0C18D8E2" w14:textId="30D221EF" w:rsidR="00C002BE" w:rsidRPr="00C002BE" w:rsidRDefault="00C002BE" w:rsidP="00C002BE">
            <w:pPr>
              <w:rPr>
                <w:rFonts w:cs="Arial"/>
              </w:rPr>
            </w:pPr>
            <w:r w:rsidRPr="00C002BE">
              <w:rPr>
                <w:szCs w:val="20"/>
              </w:rPr>
              <w:lastRenderedPageBreak/>
              <w:t>Други фибрати (с изключение на фенофибрат)</w:t>
            </w:r>
          </w:p>
        </w:tc>
        <w:tc>
          <w:tcPr>
            <w:tcW w:w="4788" w:type="dxa"/>
          </w:tcPr>
          <w:p w14:paraId="30450CE0" w14:textId="086C9562" w:rsidR="00C002BE" w:rsidRPr="00C002BE" w:rsidRDefault="00C002BE" w:rsidP="00C002BE">
            <w:pPr>
              <w:rPr>
                <w:rFonts w:cs="Arial"/>
              </w:rPr>
            </w:pPr>
            <w:r w:rsidRPr="00C002BE">
              <w:rPr>
                <w:szCs w:val="20"/>
              </w:rPr>
              <w:t xml:space="preserve">Да не се превишава дозата от 10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4FB0B0C3" w14:textId="77777777" w:rsidTr="00C002BE">
        <w:tc>
          <w:tcPr>
            <w:tcW w:w="4788" w:type="dxa"/>
          </w:tcPr>
          <w:p w14:paraId="31A18944" w14:textId="48AB95FC" w:rsidR="00C002BE" w:rsidRPr="00C002BE" w:rsidRDefault="00C002BE" w:rsidP="00C002BE">
            <w:pPr>
              <w:rPr>
                <w:rFonts w:cs="Arial"/>
              </w:rPr>
            </w:pPr>
            <w:r w:rsidRPr="00C002BE">
              <w:rPr>
                <w:szCs w:val="20"/>
              </w:rPr>
              <w:t>фузидова киселина</w:t>
            </w:r>
          </w:p>
        </w:tc>
        <w:tc>
          <w:tcPr>
            <w:tcW w:w="4788" w:type="dxa"/>
          </w:tcPr>
          <w:p w14:paraId="1D1BD46A" w14:textId="79A5C606" w:rsidR="00C002BE" w:rsidRPr="00C002BE" w:rsidRDefault="00C002BE" w:rsidP="00C002BE">
            <w:pPr>
              <w:rPr>
                <w:rFonts w:cs="Arial"/>
              </w:rPr>
            </w:pPr>
            <w:r w:rsidRPr="00C002BE">
              <w:rPr>
                <w:szCs w:val="20"/>
              </w:rPr>
              <w:t>Не се препоръчва едновременно приложение със симвастатин.</w:t>
            </w:r>
          </w:p>
        </w:tc>
      </w:tr>
      <w:tr w:rsidR="00C002BE" w14:paraId="02405B2B" w14:textId="77777777" w:rsidTr="00C002BE">
        <w:tc>
          <w:tcPr>
            <w:tcW w:w="4788" w:type="dxa"/>
          </w:tcPr>
          <w:p w14:paraId="487A02E7" w14:textId="67AAE071" w:rsidR="00C002BE" w:rsidRPr="00C002BE" w:rsidRDefault="00C002BE" w:rsidP="00C002BE">
            <w:pPr>
              <w:rPr>
                <w:rFonts w:cs="Arial"/>
              </w:rPr>
            </w:pPr>
            <w:r w:rsidRPr="00C002BE">
              <w:rPr>
                <w:szCs w:val="20"/>
              </w:rPr>
              <w:t xml:space="preserve">ниацин (никотинова киселина) (≥ 1 </w:t>
            </w:r>
            <w:r w:rsidRPr="00C002BE">
              <w:rPr>
                <w:szCs w:val="20"/>
                <w:lang w:val="en-US"/>
              </w:rPr>
              <w:t>g</w:t>
            </w:r>
            <w:r w:rsidRPr="00C002BE">
              <w:rPr>
                <w:szCs w:val="20"/>
              </w:rPr>
              <w:t>/ден)</w:t>
            </w:r>
          </w:p>
        </w:tc>
        <w:tc>
          <w:tcPr>
            <w:tcW w:w="4788" w:type="dxa"/>
          </w:tcPr>
          <w:p w14:paraId="0BCE3E80" w14:textId="21715074" w:rsidR="00C002BE" w:rsidRPr="00C002BE" w:rsidRDefault="00C002BE" w:rsidP="00C002BE">
            <w:pPr>
              <w:rPr>
                <w:rFonts w:cs="Arial"/>
              </w:rPr>
            </w:pPr>
            <w:r w:rsidRPr="00C002BE">
              <w:rPr>
                <w:szCs w:val="20"/>
              </w:rPr>
              <w:t>При азиатци не се препоръчва употребата със симвастатин</w:t>
            </w:r>
          </w:p>
        </w:tc>
      </w:tr>
      <w:tr w:rsidR="00C002BE" w14:paraId="69BF17E3" w14:textId="77777777" w:rsidTr="00C002BE">
        <w:tc>
          <w:tcPr>
            <w:tcW w:w="4788" w:type="dxa"/>
          </w:tcPr>
          <w:p w14:paraId="79F6299B" w14:textId="13284038" w:rsidR="00C002BE" w:rsidRPr="00C002BE" w:rsidRDefault="00C002BE" w:rsidP="00C002BE">
            <w:pPr>
              <w:rPr>
                <w:rFonts w:cs="Arial"/>
              </w:rPr>
            </w:pPr>
            <w:r w:rsidRPr="00C002BE">
              <w:rPr>
                <w:szCs w:val="20"/>
              </w:rPr>
              <w:t>амиодарон амлодипин верапамил дилтиазем елбасвир гразопревир</w:t>
            </w:r>
          </w:p>
        </w:tc>
        <w:tc>
          <w:tcPr>
            <w:tcW w:w="4788" w:type="dxa"/>
          </w:tcPr>
          <w:p w14:paraId="73A706DC" w14:textId="0A34622A" w:rsidR="00C002BE" w:rsidRPr="00C002BE" w:rsidRDefault="00C002BE" w:rsidP="00C002BE">
            <w:pPr>
              <w:rPr>
                <w:rFonts w:cs="Arial"/>
              </w:rPr>
            </w:pPr>
            <w:r w:rsidRPr="00C002BE">
              <w:rPr>
                <w:szCs w:val="20"/>
              </w:rPr>
              <w:t xml:space="preserve">Да не се превишава дозата от 20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24B4DD98" w14:textId="77777777" w:rsidTr="00C002BE">
        <w:tc>
          <w:tcPr>
            <w:tcW w:w="4788" w:type="dxa"/>
          </w:tcPr>
          <w:p w14:paraId="630443F1" w14:textId="16A6931E" w:rsidR="00C002BE" w:rsidRPr="00C002BE" w:rsidRDefault="00C002BE" w:rsidP="00C002BE">
            <w:pPr>
              <w:rPr>
                <w:rFonts w:cs="Arial"/>
              </w:rPr>
            </w:pPr>
            <w:r w:rsidRPr="00C002BE">
              <w:rPr>
                <w:szCs w:val="20"/>
              </w:rPr>
              <w:t>ломитапид</w:t>
            </w:r>
          </w:p>
        </w:tc>
        <w:tc>
          <w:tcPr>
            <w:tcW w:w="4788" w:type="dxa"/>
          </w:tcPr>
          <w:p w14:paraId="35AF64A5" w14:textId="0F669FAC" w:rsidR="00C002BE" w:rsidRPr="00C002BE" w:rsidRDefault="00C002BE" w:rsidP="00C002BE">
            <w:pPr>
              <w:rPr>
                <w:rFonts w:cs="Arial"/>
              </w:rPr>
            </w:pPr>
            <w:r w:rsidRPr="00C002BE">
              <w:rPr>
                <w:szCs w:val="20"/>
              </w:rPr>
              <w:t xml:space="preserve">При пациенти с </w:t>
            </w:r>
            <w:proofErr w:type="spellStart"/>
            <w:r w:rsidRPr="00C002BE">
              <w:rPr>
                <w:szCs w:val="20"/>
                <w:lang w:val="en-US"/>
              </w:rPr>
              <w:t>HoFH</w:t>
            </w:r>
            <w:proofErr w:type="spellEnd"/>
            <w:r w:rsidRPr="00C002BE">
              <w:rPr>
                <w:szCs w:val="20"/>
                <w:lang w:val="ru-RU"/>
              </w:rPr>
              <w:t xml:space="preserve"> </w:t>
            </w:r>
            <w:r w:rsidRPr="00C002BE">
              <w:rPr>
                <w:szCs w:val="20"/>
              </w:rPr>
              <w:t xml:space="preserve">да не се надвишава 40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0C1766EF" w14:textId="77777777" w:rsidTr="00C002BE">
        <w:tc>
          <w:tcPr>
            <w:tcW w:w="4788" w:type="dxa"/>
          </w:tcPr>
          <w:p w14:paraId="49A5C6EB" w14:textId="6F083EAE" w:rsidR="00C002BE" w:rsidRPr="00C002BE" w:rsidRDefault="00C002BE" w:rsidP="00C002BE">
            <w:pPr>
              <w:rPr>
                <w:rFonts w:cs="Arial"/>
              </w:rPr>
            </w:pPr>
            <w:r w:rsidRPr="00C002BE">
              <w:rPr>
                <w:szCs w:val="20"/>
              </w:rPr>
              <w:t>даптомицин</w:t>
            </w:r>
          </w:p>
        </w:tc>
        <w:tc>
          <w:tcPr>
            <w:tcW w:w="4788" w:type="dxa"/>
          </w:tcPr>
          <w:p w14:paraId="77CCEFC6" w14:textId="2A599811" w:rsidR="00C002BE" w:rsidRPr="00C002BE" w:rsidRDefault="00C002BE" w:rsidP="00C002BE">
            <w:pPr>
              <w:rPr>
                <w:rFonts w:cs="Arial"/>
              </w:rPr>
            </w:pPr>
            <w:r w:rsidRPr="00C002BE">
              <w:rPr>
                <w:szCs w:val="20"/>
              </w:rPr>
              <w:t>При пациенти, използващи даптомицин трябва да се обмисли временно спиране на симвастатин, освен ако ползите от едновременното приложение не надвишават риска (вж. точка 4.4).</w:t>
            </w:r>
          </w:p>
        </w:tc>
      </w:tr>
      <w:tr w:rsidR="00C002BE" w14:paraId="25B215EC" w14:textId="77777777" w:rsidTr="00C002BE">
        <w:tc>
          <w:tcPr>
            <w:tcW w:w="4788" w:type="dxa"/>
          </w:tcPr>
          <w:p w14:paraId="78D496CB" w14:textId="4A2B8B95" w:rsidR="00C002BE" w:rsidRPr="00C002BE" w:rsidRDefault="00C002BE" w:rsidP="00C002BE">
            <w:pPr>
              <w:rPr>
                <w:rFonts w:cs="Arial"/>
              </w:rPr>
            </w:pPr>
            <w:r w:rsidRPr="00C002BE">
              <w:rPr>
                <w:szCs w:val="20"/>
              </w:rPr>
              <w:t>тикагрелор</w:t>
            </w:r>
          </w:p>
        </w:tc>
        <w:tc>
          <w:tcPr>
            <w:tcW w:w="4788" w:type="dxa"/>
          </w:tcPr>
          <w:p w14:paraId="0EA9DDE3" w14:textId="0396B0F1" w:rsidR="00C002BE" w:rsidRPr="00C002BE" w:rsidRDefault="00C002BE" w:rsidP="00C002BE">
            <w:pPr>
              <w:rPr>
                <w:rFonts w:cs="Arial"/>
              </w:rPr>
            </w:pPr>
            <w:r w:rsidRPr="00C002BE">
              <w:rPr>
                <w:szCs w:val="20"/>
              </w:rPr>
              <w:t xml:space="preserve">Не се препоръчват дози над 40 </w:t>
            </w:r>
            <w:r w:rsidRPr="00C002BE">
              <w:rPr>
                <w:szCs w:val="20"/>
                <w:lang w:val="en-US"/>
              </w:rPr>
              <w:t>mg</w:t>
            </w:r>
            <w:r w:rsidRPr="00C002BE">
              <w:rPr>
                <w:szCs w:val="20"/>
                <w:lang w:val="ru-RU"/>
              </w:rPr>
              <w:t xml:space="preserve"> </w:t>
            </w:r>
            <w:r w:rsidRPr="00C002BE">
              <w:rPr>
                <w:szCs w:val="20"/>
              </w:rPr>
              <w:t>симвастатин дневно</w:t>
            </w:r>
          </w:p>
        </w:tc>
      </w:tr>
      <w:tr w:rsidR="00C002BE" w14:paraId="517E4115" w14:textId="77777777" w:rsidTr="00C002BE">
        <w:tc>
          <w:tcPr>
            <w:tcW w:w="4788" w:type="dxa"/>
          </w:tcPr>
          <w:p w14:paraId="3BFFCB03" w14:textId="470ED0E9" w:rsidR="00C002BE" w:rsidRPr="00C002BE" w:rsidRDefault="00C002BE" w:rsidP="00C002BE">
            <w:pPr>
              <w:rPr>
                <w:rFonts w:cs="Arial"/>
              </w:rPr>
            </w:pPr>
            <w:r w:rsidRPr="00C002BE">
              <w:rPr>
                <w:szCs w:val="20"/>
              </w:rPr>
              <w:t>сок от грейпфрут</w:t>
            </w:r>
          </w:p>
        </w:tc>
        <w:tc>
          <w:tcPr>
            <w:tcW w:w="4788" w:type="dxa"/>
          </w:tcPr>
          <w:p w14:paraId="5F1C087B" w14:textId="1E715FCD" w:rsidR="00C002BE" w:rsidRPr="00C002BE" w:rsidRDefault="00C002BE" w:rsidP="00C002BE">
            <w:pPr>
              <w:rPr>
                <w:rFonts w:cs="Arial"/>
              </w:rPr>
            </w:pPr>
            <w:r w:rsidRPr="00C002BE">
              <w:rPr>
                <w:szCs w:val="20"/>
              </w:rPr>
              <w:t>При прием на симвастатин да се избягва употребата на сок от грейпфрут</w:t>
            </w:r>
          </w:p>
        </w:tc>
      </w:tr>
    </w:tbl>
    <w:p w14:paraId="0E4FAE9A" w14:textId="77777777" w:rsidR="00C002BE" w:rsidRDefault="00C002BE" w:rsidP="00C002BE">
      <w:pPr>
        <w:spacing w:line="240" w:lineRule="auto"/>
        <w:rPr>
          <w:rFonts w:ascii="Times New Roman" w:eastAsia="Times New Roman" w:hAnsi="Times New Roman" w:cs="Times New Roman"/>
          <w:i/>
          <w:iCs/>
          <w:color w:val="000000"/>
          <w:sz w:val="20"/>
          <w:szCs w:val="20"/>
          <w:lang w:eastAsia="bg-BG"/>
        </w:rPr>
      </w:pPr>
    </w:p>
    <w:p w14:paraId="52E90314" w14:textId="0C46AC61"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Ефекти на други лекарствени продукти върху действието на симвастатин</w:t>
      </w:r>
    </w:p>
    <w:p w14:paraId="2A3D49D8" w14:textId="77777777" w:rsidR="00C002BE" w:rsidRPr="00C002BE" w:rsidRDefault="00C002BE" w:rsidP="00C002BE">
      <w:pPr>
        <w:spacing w:line="240" w:lineRule="auto"/>
        <w:rPr>
          <w:rFonts w:eastAsia="Times New Roman" w:cs="Arial"/>
          <w:i/>
          <w:iCs/>
          <w:color w:val="000000"/>
          <w:lang w:eastAsia="bg-BG"/>
        </w:rPr>
      </w:pPr>
    </w:p>
    <w:p w14:paraId="5027FE0A" w14:textId="0BC1F0BD"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Взаимодействия, включващи инхибитори на </w:t>
      </w:r>
      <w:r w:rsidRPr="00C002BE">
        <w:rPr>
          <w:rFonts w:eastAsia="Times New Roman" w:cs="Arial"/>
          <w:i/>
          <w:iCs/>
          <w:color w:val="000000"/>
          <w:lang w:val="en-US"/>
        </w:rPr>
        <w:t>CYP</w:t>
      </w:r>
      <w:r w:rsidRPr="00C002BE">
        <w:rPr>
          <w:rFonts w:eastAsia="Times New Roman" w:cs="Arial"/>
          <w:i/>
          <w:iCs/>
          <w:color w:val="000000"/>
          <w:lang w:val="ru-RU"/>
        </w:rPr>
        <w:t>3</w:t>
      </w:r>
      <w:r w:rsidRPr="00C002BE">
        <w:rPr>
          <w:rFonts w:eastAsia="Times New Roman" w:cs="Arial"/>
          <w:i/>
          <w:iCs/>
          <w:color w:val="000000"/>
          <w:lang w:val="en-US"/>
        </w:rPr>
        <w:t>A</w:t>
      </w:r>
      <w:r w:rsidRPr="00C002BE">
        <w:rPr>
          <w:rFonts w:eastAsia="Times New Roman" w:cs="Arial"/>
          <w:i/>
          <w:iCs/>
          <w:color w:val="000000"/>
          <w:lang w:val="ru-RU"/>
        </w:rPr>
        <w:t>4</w:t>
      </w:r>
    </w:p>
    <w:p w14:paraId="72CA7875" w14:textId="21EA079D" w:rsidR="00C002BE" w:rsidRPr="00C002BE" w:rsidRDefault="00C002BE" w:rsidP="00C002BE">
      <w:pPr>
        <w:rPr>
          <w:rFonts w:eastAsia="Times New Roman" w:cs="Arial"/>
          <w:color w:val="000000"/>
          <w:lang w:eastAsia="bg-BG"/>
        </w:rPr>
      </w:pPr>
      <w:r w:rsidRPr="00C002BE">
        <w:rPr>
          <w:rFonts w:eastAsia="Times New Roman" w:cs="Arial"/>
          <w:color w:val="000000"/>
          <w:lang w:eastAsia="bg-BG"/>
        </w:rPr>
        <w:t xml:space="preserve">Симвастатин е субстрат на цитохром Р450 ЗА4. Мощни инхибитори на цитохром Р450 ЗА4 увеличават риска от миопатия и рабдомиолиза, като увеличават концентрацията на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 xml:space="preserve">редуктазната инхибиторна активност в плазмата по време на терапия със симвастатин. Такива инхибитори са: итраконазол, кетоконазол, позаконазол, вориконазол, еритромицин, кларитромицин, телитромицин, </w:t>
      </w:r>
      <w:r w:rsidRPr="00C002BE">
        <w:rPr>
          <w:rFonts w:eastAsia="Times New Roman" w:cs="Arial"/>
          <w:color w:val="000000"/>
          <w:lang w:val="en-US"/>
        </w:rPr>
        <w:t>HIV</w:t>
      </w:r>
      <w:r w:rsidRPr="00C002BE">
        <w:rPr>
          <w:rFonts w:eastAsia="Times New Roman" w:cs="Arial"/>
          <w:color w:val="000000"/>
          <w:lang w:eastAsia="bg-BG"/>
        </w:rPr>
        <w:t>-протеазни инхибитори (напр. нелфинавир),</w:t>
      </w:r>
      <w:r w:rsidRPr="00C002BE">
        <w:rPr>
          <w:rFonts w:eastAsia="Times New Roman" w:cs="Arial"/>
          <w:color w:val="000000"/>
        </w:rPr>
        <w:t xml:space="preserve"> </w:t>
      </w:r>
      <w:r w:rsidRPr="00C002BE">
        <w:rPr>
          <w:rFonts w:eastAsia="Times New Roman" w:cs="Arial"/>
          <w:color w:val="000000"/>
          <w:lang w:eastAsia="bg-BG"/>
        </w:rPr>
        <w:t>боцепревир телапревир, нефазодон и лекарствени продукти, съдържащи кобицистат. Едновременно приложение на итраконазол води до повече от десетократно увеличение на експозицията спрямо симвастатиновата киселина (активният метаболит бета-хидроксикислина). Телитромицин причинява 11-кратно увеличение на експозицията спрямо симвастатиновата</w:t>
      </w:r>
      <w:r w:rsidRPr="00C002BE">
        <w:rPr>
          <w:rFonts w:eastAsia="Times New Roman" w:cs="Arial"/>
          <w:color w:val="000000"/>
          <w:vertAlign w:val="superscript"/>
          <w:lang w:eastAsia="bg-BG"/>
        </w:rPr>
        <w:t xml:space="preserve"> </w:t>
      </w:r>
      <w:r w:rsidRPr="00C002BE">
        <w:rPr>
          <w:rFonts w:eastAsia="Times New Roman" w:cs="Arial"/>
          <w:color w:val="000000"/>
          <w:lang w:eastAsia="bg-BG"/>
        </w:rPr>
        <w:t>киселина.</w:t>
      </w:r>
    </w:p>
    <w:p w14:paraId="2A32D852" w14:textId="7BA183CC" w:rsidR="00C002BE" w:rsidRPr="00C002BE" w:rsidRDefault="00C002BE" w:rsidP="00C002BE">
      <w:pPr>
        <w:rPr>
          <w:rFonts w:eastAsia="Times New Roman" w:cs="Arial"/>
          <w:color w:val="000000"/>
          <w:lang w:eastAsia="bg-BG"/>
        </w:rPr>
      </w:pPr>
    </w:p>
    <w:p w14:paraId="6689441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Комбинацията с итраконазол, кетоконазол, позаконазол, вориконазол, </w:t>
      </w:r>
      <w:r w:rsidRPr="00C002BE">
        <w:rPr>
          <w:rFonts w:eastAsia="Times New Roman" w:cs="Arial"/>
          <w:color w:val="000000"/>
          <w:lang w:val="en-US"/>
        </w:rPr>
        <w:t>HIV</w:t>
      </w:r>
      <w:r w:rsidRPr="00C002BE">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а така също и тази с гемфиброзил, циклоспорин и даназол (вж. точка 4.3). Ако не може да бъде избегнато лечение с мощни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 xml:space="preserve">инхибитори (вещества, които повишават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приблизително 5 пъти или повече), терапията със симвастатин трябва да бъде прекратена (и да се обмисли употреба на друг статин) по време на това лечение. Трябва да се подхожда с повишено внимание при комбиниране на симвастатин с други, не толкова мощни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eastAsia="bg-BG"/>
        </w:rPr>
        <w:t>А4 инхибитори: флуконазол, вераламил или дилтиазем (вж. точки 4.2 и 4.4).</w:t>
      </w:r>
    </w:p>
    <w:p w14:paraId="0F5905AF" w14:textId="77777777" w:rsidR="00C002BE" w:rsidRPr="00C002BE" w:rsidRDefault="00C002BE" w:rsidP="00C002BE">
      <w:pPr>
        <w:spacing w:line="240" w:lineRule="auto"/>
        <w:rPr>
          <w:rFonts w:eastAsia="Times New Roman" w:cs="Arial"/>
          <w:i/>
          <w:iCs/>
          <w:color w:val="000000"/>
          <w:lang w:eastAsia="bg-BG"/>
        </w:rPr>
      </w:pPr>
    </w:p>
    <w:p w14:paraId="3B063372" w14:textId="472FC9AE"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Флуконазол</w:t>
      </w:r>
    </w:p>
    <w:p w14:paraId="77F07760"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Докладвани са редки случаи на рабдомиолиза, свързана с едновременното приложение на симвастатин и флуконазол (вж. точка 4.4).</w:t>
      </w:r>
    </w:p>
    <w:p w14:paraId="5D3B4E18" w14:textId="77777777" w:rsidR="00C002BE" w:rsidRPr="00C002BE" w:rsidRDefault="00C002BE" w:rsidP="00C002BE">
      <w:pPr>
        <w:spacing w:line="240" w:lineRule="auto"/>
        <w:rPr>
          <w:rFonts w:eastAsia="Times New Roman" w:cs="Arial"/>
          <w:i/>
          <w:iCs/>
          <w:color w:val="000000"/>
          <w:lang w:eastAsia="bg-BG"/>
        </w:rPr>
      </w:pPr>
    </w:p>
    <w:p w14:paraId="5F208B58" w14:textId="394312F7"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Циклоспорин</w:t>
      </w:r>
    </w:p>
    <w:p w14:paraId="7E8E9757"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миопатия/рабдомиолиза се увеличава при едновременно приложение на циклоспорин, със симвастатин, следователно употребата на циклоспорин е противопоказана (вж. точки 4.3. и 4.4). Въпреки че механизмът не е напълно изяснен, циклоспорин увеличава </w:t>
      </w:r>
      <w:r w:rsidRPr="00C002BE">
        <w:rPr>
          <w:rFonts w:eastAsia="Times New Roman" w:cs="Arial"/>
          <w:color w:val="000000"/>
          <w:lang w:val="en-US"/>
        </w:rPr>
        <w:t>AUC</w:t>
      </w:r>
      <w:r w:rsidRPr="00C002BE">
        <w:rPr>
          <w:rFonts w:eastAsia="Times New Roman" w:cs="Arial"/>
          <w:color w:val="000000"/>
        </w:rPr>
        <w:t xml:space="preserve"> </w:t>
      </w:r>
      <w:r w:rsidRPr="00C002BE">
        <w:rPr>
          <w:rFonts w:eastAsia="Times New Roman" w:cs="Arial"/>
          <w:color w:val="000000"/>
          <w:lang w:eastAsia="bg-BG"/>
        </w:rPr>
        <w:t xml:space="preserve">на </w:t>
      </w:r>
      <w:r w:rsidRPr="00C002BE">
        <w:rPr>
          <w:rFonts w:eastAsia="Times New Roman" w:cs="Arial"/>
          <w:color w:val="000000"/>
          <w:lang w:val="en-US"/>
        </w:rPr>
        <w:t>HMG</w:t>
      </w:r>
      <w:r w:rsidRPr="00C002BE">
        <w:rPr>
          <w:rFonts w:eastAsia="Times New Roman" w:cs="Arial"/>
          <w:color w:val="000000"/>
        </w:rPr>
        <w:t>-</w:t>
      </w:r>
      <w:r w:rsidRPr="00C002BE">
        <w:rPr>
          <w:rFonts w:eastAsia="Times New Roman" w:cs="Arial"/>
          <w:color w:val="000000"/>
          <w:lang w:val="en-US"/>
        </w:rPr>
        <w:t>CoA</w:t>
      </w:r>
      <w:r w:rsidRPr="00C002BE">
        <w:rPr>
          <w:rFonts w:eastAsia="Times New Roman" w:cs="Arial"/>
          <w:color w:val="000000"/>
        </w:rPr>
        <w:t xml:space="preserve"> </w:t>
      </w:r>
      <w:r w:rsidRPr="00C002BE">
        <w:rPr>
          <w:rFonts w:eastAsia="Times New Roman" w:cs="Arial"/>
          <w:color w:val="000000"/>
          <w:lang w:eastAsia="bg-BG"/>
        </w:rPr>
        <w:t xml:space="preserve">редукгазните инхибитори. Увеличението на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на симвастатиновата киселина се дължи вероятно на потискане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и/или ОАТР1В1.</w:t>
      </w:r>
    </w:p>
    <w:p w14:paraId="6830F565" w14:textId="77777777" w:rsidR="00C002BE" w:rsidRPr="00C002BE" w:rsidRDefault="00C002BE" w:rsidP="00C002BE">
      <w:pPr>
        <w:spacing w:line="240" w:lineRule="auto"/>
        <w:rPr>
          <w:rFonts w:eastAsia="Times New Roman" w:cs="Arial"/>
          <w:i/>
          <w:iCs/>
          <w:color w:val="000000"/>
          <w:lang w:eastAsia="bg-BG"/>
        </w:rPr>
      </w:pPr>
    </w:p>
    <w:p w14:paraId="3F50E5C8" w14:textId="02DCB5A4"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Даназол</w:t>
      </w:r>
    </w:p>
    <w:p w14:paraId="1D8C0931"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Рискът от миопатия и рабдомиолиза се увеличава при едновременно приложение на даназол със симвастатин; следователно, употребата му с даназол е противопоказана (вж. точки 4.2 и 4.4).</w:t>
      </w:r>
    </w:p>
    <w:p w14:paraId="3A1190FD" w14:textId="77777777" w:rsidR="00C002BE" w:rsidRPr="00C002BE" w:rsidRDefault="00C002BE" w:rsidP="00C002BE">
      <w:pPr>
        <w:spacing w:line="240" w:lineRule="auto"/>
        <w:rPr>
          <w:rFonts w:eastAsia="Times New Roman" w:cs="Arial"/>
          <w:i/>
          <w:iCs/>
          <w:color w:val="000000"/>
          <w:lang w:eastAsia="bg-BG"/>
        </w:rPr>
      </w:pPr>
    </w:p>
    <w:p w14:paraId="204966FB" w14:textId="1CD532FB"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Гемфиброзил</w:t>
      </w:r>
    </w:p>
    <w:p w14:paraId="3B007E4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Гемфиброзил увеличава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на симвастатиновата киселина 1,9 пъти, вероятно поради потискане на глюкуронирането и/или ОАТР1В1 (вж. точки 4.3. и 4.4). Едновременното приложение с гемфиброзил е противопоказано.</w:t>
      </w:r>
    </w:p>
    <w:p w14:paraId="1CF9547E" w14:textId="77777777"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Фузидова киселина</w:t>
      </w:r>
    </w:p>
    <w:p w14:paraId="4221916F" w14:textId="77777777" w:rsidR="00C002BE" w:rsidRPr="00C002BE" w:rsidRDefault="00C002BE" w:rsidP="00C002BE">
      <w:pPr>
        <w:spacing w:line="240" w:lineRule="auto"/>
        <w:rPr>
          <w:rFonts w:eastAsia="Times New Roman" w:cs="Arial"/>
          <w:color w:val="000000"/>
          <w:lang w:eastAsia="bg-BG"/>
        </w:rPr>
      </w:pPr>
    </w:p>
    <w:p w14:paraId="242B326D" w14:textId="653BCC82" w:rsidR="00C002BE" w:rsidRPr="00C002BE" w:rsidRDefault="00C002BE" w:rsidP="00C002BE">
      <w:pPr>
        <w:spacing w:line="240" w:lineRule="auto"/>
        <w:rPr>
          <w:rFonts w:eastAsia="Times New Roman" w:cs="Arial"/>
        </w:rPr>
      </w:pPr>
      <w:r w:rsidRPr="00C002BE">
        <w:rPr>
          <w:rFonts w:eastAsia="Times New Roman" w:cs="Arial"/>
          <w:color w:val="000000"/>
          <w:lang w:eastAsia="bg-BG"/>
        </w:rPr>
        <w:t>Рискът от миопатия, включително рабдомиолиза, може да бъде повишен при едновременно системно приложение на фузидова киселина и статини.. Механизмът на това взаимодействие (фармакодинамично, фармакокинетично или и двете) все още не е изяснен. При пациенти, приемали комбинацията, е имало съобщения за рабдомиолиза (включително с фатален изход).</w:t>
      </w:r>
    </w:p>
    <w:p w14:paraId="042AE3FD" w14:textId="77777777" w:rsidR="00C002BE" w:rsidRPr="00C002BE" w:rsidRDefault="00C002BE" w:rsidP="00C002BE">
      <w:pPr>
        <w:spacing w:line="240" w:lineRule="auto"/>
        <w:rPr>
          <w:rFonts w:eastAsia="Times New Roman" w:cs="Arial"/>
          <w:color w:val="000000"/>
          <w:lang w:eastAsia="bg-BG"/>
        </w:rPr>
      </w:pPr>
    </w:p>
    <w:p w14:paraId="283A5278" w14:textId="4EF4108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Ако е необходимо лечение със системна форма на фузидова киселина, приемът на симвастатин трябва да се прекрати по време на лечението с фузидова киселина. </w:t>
      </w:r>
      <w:r w:rsidRPr="00C002BE">
        <w:rPr>
          <w:rFonts w:eastAsia="Times New Roman" w:cs="Arial"/>
          <w:b/>
          <w:bCs/>
          <w:color w:val="000000"/>
          <w:lang w:eastAsia="bg-BG"/>
        </w:rPr>
        <w:t>Вижте също точка 4.4.</w:t>
      </w:r>
    </w:p>
    <w:p w14:paraId="49CE25A2" w14:textId="77777777" w:rsidR="00C002BE" w:rsidRPr="00C002BE" w:rsidRDefault="00C002BE" w:rsidP="00C002BE">
      <w:pPr>
        <w:spacing w:line="240" w:lineRule="auto"/>
        <w:rPr>
          <w:rFonts w:eastAsia="Times New Roman" w:cs="Arial"/>
          <w:i/>
          <w:iCs/>
          <w:color w:val="000000"/>
          <w:lang w:eastAsia="bg-BG"/>
        </w:rPr>
      </w:pPr>
    </w:p>
    <w:p w14:paraId="607A9B63" w14:textId="7C790552"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Амиодарон</w:t>
      </w:r>
    </w:p>
    <w:p w14:paraId="5AA7FDFA"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 рабдомиолиза се увеличава при едновременно приложение на амиодарон със симвастатин (вж. точка 4.4). При клинично проучване е съобщено за миопатия при 6 % от пациентите, приемащи симвастатин 80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и амиодарон. Следователно, при пациенти, провеждащи съпътстващо лечение с амиодарон дневната дозата на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w:t>
      </w:r>
    </w:p>
    <w:p w14:paraId="3728E0A6" w14:textId="77777777" w:rsidR="00C002BE" w:rsidRPr="00C002BE" w:rsidRDefault="00C002BE" w:rsidP="00C002BE">
      <w:pPr>
        <w:spacing w:line="240" w:lineRule="auto"/>
        <w:rPr>
          <w:rFonts w:eastAsia="Times New Roman" w:cs="Arial"/>
          <w:i/>
          <w:iCs/>
          <w:color w:val="000000"/>
          <w:lang w:eastAsia="bg-BG"/>
        </w:rPr>
      </w:pPr>
    </w:p>
    <w:p w14:paraId="79C757ED" w14:textId="048681A9"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Калциеви антагонисти</w:t>
      </w:r>
    </w:p>
    <w:p w14:paraId="6F8525D1" w14:textId="12FB6E3D" w:rsidR="00C002BE" w:rsidRPr="00C002BE" w:rsidRDefault="00C002BE" w:rsidP="00C002BE">
      <w:pPr>
        <w:pStyle w:val="ListParagraph"/>
        <w:numPr>
          <w:ilvl w:val="0"/>
          <w:numId w:val="37"/>
        </w:numPr>
        <w:spacing w:line="240" w:lineRule="auto"/>
        <w:rPr>
          <w:rFonts w:eastAsia="Times New Roman" w:cs="Arial"/>
        </w:rPr>
      </w:pPr>
      <w:r w:rsidRPr="00C002BE">
        <w:rPr>
          <w:rFonts w:eastAsia="Times New Roman" w:cs="Arial"/>
          <w:i/>
          <w:iCs/>
          <w:color w:val="000000"/>
          <w:lang w:eastAsia="bg-BG"/>
        </w:rPr>
        <w:t>Верапамил</w:t>
      </w:r>
    </w:p>
    <w:p w14:paraId="7E4A2A48" w14:textId="4777CAD3" w:rsidR="00C002BE" w:rsidRPr="00C002BE" w:rsidRDefault="00C002BE" w:rsidP="00C002BE">
      <w:pPr>
        <w:rPr>
          <w:rFonts w:eastAsia="Times New Roman" w:cs="Arial"/>
          <w:color w:val="000000"/>
          <w:lang w:eastAsia="bg-BG"/>
        </w:rPr>
      </w:pPr>
      <w:r w:rsidRPr="00C002BE">
        <w:rPr>
          <w:rFonts w:eastAsia="Times New Roman" w:cs="Arial"/>
          <w:color w:val="000000"/>
          <w:lang w:eastAsia="bg-BG"/>
        </w:rPr>
        <w:t xml:space="preserve">Рискът от миопатия и рабдомиолиза се увеличава при едновременно приложение на верапамил със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или 80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(вж. точка 4.4). При едно фармакокинетично проучване, едновременното приложение на верапамил е довело до 2,3-кратно увеличение на експозицията на симвастатинова киселина, което вероятно отчасти се дължи на инхибирането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4.</w:t>
      </w:r>
      <w:r w:rsidRPr="00C002BE">
        <w:rPr>
          <w:rFonts w:eastAsia="Times New Roman" w:cs="Arial"/>
          <w:color w:val="000000"/>
          <w:lang w:eastAsia="bg-BG"/>
        </w:rPr>
        <w:t xml:space="preserve"> Следователно, дозата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дневно при</w:t>
      </w:r>
      <w:r w:rsidRPr="00C002BE">
        <w:rPr>
          <w:rFonts w:eastAsia="Times New Roman" w:cs="Arial"/>
          <w:color w:val="000000"/>
          <w:lang w:val="ru-RU"/>
        </w:rPr>
        <w:t xml:space="preserve"> </w:t>
      </w:r>
      <w:r w:rsidRPr="00C002BE">
        <w:rPr>
          <w:rFonts w:eastAsia="Times New Roman" w:cs="Arial"/>
          <w:color w:val="000000"/>
          <w:lang w:eastAsia="bg-BG"/>
        </w:rPr>
        <w:t>пациенти приемащи едновременно верапамил.</w:t>
      </w:r>
    </w:p>
    <w:p w14:paraId="59ACE67B" w14:textId="5912D0C0" w:rsidR="00C002BE" w:rsidRPr="00C002BE" w:rsidRDefault="00C002BE" w:rsidP="00C002BE">
      <w:pPr>
        <w:rPr>
          <w:rFonts w:eastAsia="Times New Roman" w:cs="Arial"/>
          <w:color w:val="000000"/>
          <w:lang w:eastAsia="bg-BG"/>
        </w:rPr>
      </w:pPr>
    </w:p>
    <w:p w14:paraId="575072BB" w14:textId="4F0B6D0C" w:rsidR="00C002BE" w:rsidRPr="00C002BE" w:rsidRDefault="00C002BE" w:rsidP="00C002BE">
      <w:pPr>
        <w:pStyle w:val="ListParagraph"/>
        <w:numPr>
          <w:ilvl w:val="0"/>
          <w:numId w:val="37"/>
        </w:numPr>
        <w:spacing w:line="240" w:lineRule="auto"/>
        <w:rPr>
          <w:rFonts w:eastAsia="Times New Roman" w:cs="Arial"/>
        </w:rPr>
      </w:pPr>
      <w:r w:rsidRPr="00C002BE">
        <w:rPr>
          <w:rFonts w:eastAsia="Times New Roman" w:cs="Arial"/>
          <w:i/>
          <w:iCs/>
          <w:color w:val="000000"/>
          <w:lang w:eastAsia="bg-BG"/>
        </w:rPr>
        <w:t>Дилтиазем</w:t>
      </w:r>
    </w:p>
    <w:p w14:paraId="444E4E0B"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 рабдомиолиза се увеличава при едновременно приложение на дилтиазем със симвастатин 80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(вж. точка 4.4). При едно фармакокинетично проучване, едновременното приложение на дилтиазем увеличава 2,7-пъти експозицията </w:t>
      </w:r>
      <w:r w:rsidRPr="00C002BE">
        <w:rPr>
          <w:rFonts w:eastAsia="Times New Roman" w:cs="Arial"/>
          <w:color w:val="000000"/>
          <w:lang w:eastAsia="bg-BG"/>
        </w:rPr>
        <w:lastRenderedPageBreak/>
        <w:t xml:space="preserve">на симвастатинова киселина, вероятно поради инхибиране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 xml:space="preserve">Следователно, при пациенти, провеждащи съпътстващо лечение с дилтиазем дневната дозата на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w:t>
      </w:r>
    </w:p>
    <w:p w14:paraId="722EC588" w14:textId="77777777" w:rsidR="00C002BE" w:rsidRPr="00C002BE" w:rsidRDefault="00C002BE" w:rsidP="00C002BE">
      <w:pPr>
        <w:spacing w:line="240" w:lineRule="auto"/>
        <w:rPr>
          <w:rFonts w:eastAsia="Times New Roman" w:cs="Arial"/>
          <w:i/>
          <w:iCs/>
          <w:color w:val="000000"/>
          <w:lang w:eastAsia="bg-BG"/>
        </w:rPr>
      </w:pPr>
    </w:p>
    <w:p w14:paraId="0B14DB3C" w14:textId="571DBF54" w:rsidR="00C002BE" w:rsidRPr="00C002BE" w:rsidRDefault="00C002BE" w:rsidP="00C002BE">
      <w:pPr>
        <w:pStyle w:val="ListParagraph"/>
        <w:numPr>
          <w:ilvl w:val="0"/>
          <w:numId w:val="37"/>
        </w:numPr>
        <w:spacing w:line="240" w:lineRule="auto"/>
        <w:rPr>
          <w:rFonts w:eastAsia="Times New Roman" w:cs="Arial"/>
        </w:rPr>
      </w:pPr>
      <w:r w:rsidRPr="00C002BE">
        <w:rPr>
          <w:rFonts w:eastAsia="Times New Roman" w:cs="Arial"/>
          <w:i/>
          <w:iCs/>
          <w:color w:val="000000"/>
          <w:lang w:eastAsia="bg-BG"/>
        </w:rPr>
        <w:t>Амлодипин</w:t>
      </w:r>
    </w:p>
    <w:p w14:paraId="3A2B3B1A"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При пациенти, лекувани едновременно с амлодипин и симвастатин има повишен риск от миопатия. При едно фармакокинетично проучване, едновременното приложение на амлодипин увеличава експозицията на симвастатинова киселина 1,6-пъти. Следователно, при пациенти, провеждащи едновременно лечение с амлодипин дневната дозата на симвастатин не трябва да надвишава 20 </w:t>
      </w:r>
      <w:r w:rsidRPr="00C002BE">
        <w:rPr>
          <w:rFonts w:eastAsia="Times New Roman" w:cs="Arial"/>
          <w:color w:val="000000"/>
          <w:lang w:val="en-US"/>
        </w:rPr>
        <w:t>mg</w:t>
      </w:r>
      <w:r w:rsidRPr="00C002BE">
        <w:rPr>
          <w:rFonts w:eastAsia="Times New Roman" w:cs="Arial"/>
          <w:color w:val="000000"/>
          <w:lang w:val="ru-RU"/>
        </w:rPr>
        <w:t>.</w:t>
      </w:r>
    </w:p>
    <w:p w14:paraId="0FD4CA76" w14:textId="77777777" w:rsidR="00C002BE" w:rsidRPr="00C002BE" w:rsidRDefault="00C002BE" w:rsidP="00C002BE">
      <w:pPr>
        <w:spacing w:line="240" w:lineRule="auto"/>
        <w:rPr>
          <w:rFonts w:eastAsia="Times New Roman" w:cs="Arial"/>
          <w:i/>
          <w:iCs/>
          <w:color w:val="000000"/>
          <w:lang w:eastAsia="bg-BG"/>
        </w:rPr>
      </w:pPr>
    </w:p>
    <w:p w14:paraId="27873807" w14:textId="075CD7F0"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Ломитапид</w:t>
      </w:r>
    </w:p>
    <w:p w14:paraId="097D276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 рабдомиолиза може да се увеличи при едновременно прилагане на ломитапид със симвастатин (вж. точки 4.3 и 4.4). Ето защо, при пациенти с </w:t>
      </w:r>
      <w:proofErr w:type="spellStart"/>
      <w:r w:rsidRPr="00C002BE">
        <w:rPr>
          <w:rFonts w:eastAsia="Times New Roman" w:cs="Arial"/>
          <w:color w:val="000000"/>
          <w:lang w:val="en-US"/>
        </w:rPr>
        <w:t>HoFH</w:t>
      </w:r>
      <w:proofErr w:type="spellEnd"/>
      <w:r w:rsidRPr="00C002BE">
        <w:rPr>
          <w:rFonts w:eastAsia="Times New Roman" w:cs="Arial"/>
          <w:color w:val="000000"/>
          <w:lang w:val="ru-RU"/>
        </w:rPr>
        <w:t xml:space="preserve">, </w:t>
      </w:r>
      <w:r w:rsidRPr="00C002BE">
        <w:rPr>
          <w:rFonts w:eastAsia="Times New Roman" w:cs="Arial"/>
          <w:color w:val="000000"/>
          <w:lang w:eastAsia="bg-BG"/>
        </w:rPr>
        <w:t xml:space="preserve">които получават съпътстващо лечение с ломитапид, дозата на симвастатин не трябва да надвишава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дневно.</w:t>
      </w:r>
    </w:p>
    <w:p w14:paraId="3742BA5B" w14:textId="77777777" w:rsidR="00C002BE" w:rsidRPr="00C002BE" w:rsidRDefault="00C002BE" w:rsidP="00C002BE">
      <w:pPr>
        <w:spacing w:line="240" w:lineRule="auto"/>
        <w:rPr>
          <w:rFonts w:eastAsia="Times New Roman" w:cs="Arial"/>
          <w:i/>
          <w:iCs/>
          <w:color w:val="000000"/>
          <w:lang w:eastAsia="bg-BG"/>
        </w:rPr>
      </w:pPr>
    </w:p>
    <w:p w14:paraId="215C8EFB" w14:textId="7167D426"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Умерени инхибитори на </w:t>
      </w:r>
      <w:r w:rsidRPr="00C002BE">
        <w:rPr>
          <w:rFonts w:eastAsia="Times New Roman" w:cs="Arial"/>
          <w:i/>
          <w:iCs/>
          <w:color w:val="000000"/>
          <w:lang w:val="en-US"/>
        </w:rPr>
        <w:t>CYP</w:t>
      </w:r>
      <w:r w:rsidRPr="00C002BE">
        <w:rPr>
          <w:rFonts w:eastAsia="Times New Roman" w:cs="Arial"/>
          <w:i/>
          <w:iCs/>
          <w:color w:val="000000"/>
          <w:lang w:val="ru-RU"/>
        </w:rPr>
        <w:t>3</w:t>
      </w:r>
      <w:r w:rsidRPr="00C002BE">
        <w:rPr>
          <w:rFonts w:eastAsia="Times New Roman" w:cs="Arial"/>
          <w:i/>
          <w:iCs/>
          <w:color w:val="000000"/>
          <w:lang w:val="en-US"/>
        </w:rPr>
        <w:t>A</w:t>
      </w:r>
      <w:r w:rsidRPr="00C002BE">
        <w:rPr>
          <w:rFonts w:eastAsia="Times New Roman" w:cs="Arial"/>
          <w:i/>
          <w:iCs/>
          <w:color w:val="000000"/>
          <w:lang w:val="ru-RU"/>
        </w:rPr>
        <w:t>4</w:t>
      </w:r>
    </w:p>
    <w:p w14:paraId="76E5E56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При пациенти, приемащи други лекарства, характеризиращи се с умерено изразен инхибиторен ефект върху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и по-специално при по-високи дози симвастатин, рискът от миопатия може да бъде повишен (вж. точка 4.4).</w:t>
      </w:r>
    </w:p>
    <w:p w14:paraId="4B09CBF9" w14:textId="77777777" w:rsidR="00C002BE" w:rsidRPr="00C002BE" w:rsidRDefault="00C002BE" w:rsidP="00C002BE">
      <w:pPr>
        <w:spacing w:line="240" w:lineRule="auto"/>
        <w:rPr>
          <w:rFonts w:eastAsia="Times New Roman" w:cs="Arial"/>
          <w:i/>
          <w:iCs/>
          <w:color w:val="000000"/>
          <w:lang w:eastAsia="bg-BG"/>
        </w:rPr>
      </w:pPr>
    </w:p>
    <w:p w14:paraId="6C9DD543" w14:textId="15F3F4FA"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Инхибитори на транспортния протеин ОАТР1В1</w:t>
      </w:r>
    </w:p>
    <w:p w14:paraId="7E0B647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повишени плазмени концентрации на симвастатиновата киселина и до повишен риск от миопатия (вж. точки 4.3 и 4.4).</w:t>
      </w:r>
    </w:p>
    <w:p w14:paraId="0A02CFF0" w14:textId="77777777" w:rsidR="00C002BE" w:rsidRPr="00C002BE" w:rsidRDefault="00C002BE" w:rsidP="00C002BE">
      <w:pPr>
        <w:spacing w:line="240" w:lineRule="auto"/>
        <w:rPr>
          <w:rFonts w:eastAsia="Times New Roman" w:cs="Arial"/>
          <w:i/>
          <w:iCs/>
          <w:color w:val="000000"/>
          <w:lang w:eastAsia="bg-BG"/>
        </w:rPr>
      </w:pPr>
    </w:p>
    <w:p w14:paraId="161B5167" w14:textId="51E2EF4A"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Инхибитори на </w:t>
      </w:r>
      <w:r w:rsidRPr="00C002BE">
        <w:rPr>
          <w:rFonts w:eastAsia="Times New Roman" w:cs="Arial"/>
          <w:i/>
          <w:iCs/>
          <w:color w:val="000000"/>
          <w:lang w:val="en-US"/>
        </w:rPr>
        <w:t>Breast Cancer Resistant Protein (BCRP)</w:t>
      </w:r>
    </w:p>
    <w:p w14:paraId="310E9A3C"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Едновременното приложение на лекарствени продукти, които са инхибитори на </w:t>
      </w:r>
      <w:r w:rsidRPr="00C002BE">
        <w:rPr>
          <w:rFonts w:eastAsia="Times New Roman" w:cs="Arial"/>
          <w:color w:val="000000"/>
          <w:lang w:val="en-US"/>
        </w:rPr>
        <w:t>BCRP</w:t>
      </w:r>
      <w:r w:rsidRPr="00C002BE">
        <w:rPr>
          <w:rFonts w:eastAsia="Times New Roman" w:cs="Arial"/>
          <w:color w:val="000000"/>
          <w:lang w:val="ru-RU"/>
        </w:rPr>
        <w:t xml:space="preserve">, </w:t>
      </w:r>
      <w:r w:rsidRPr="00C002BE">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175C3A4F" w14:textId="77777777" w:rsidR="00C002BE" w:rsidRPr="00C002BE" w:rsidRDefault="00C002BE" w:rsidP="00C002BE">
      <w:pPr>
        <w:spacing w:line="240" w:lineRule="auto"/>
        <w:rPr>
          <w:rFonts w:eastAsia="Times New Roman" w:cs="Arial"/>
          <w:i/>
          <w:iCs/>
          <w:color w:val="000000"/>
          <w:lang w:eastAsia="bg-BG"/>
        </w:rPr>
      </w:pPr>
    </w:p>
    <w:p w14:paraId="183FC405" w14:textId="28EFECCD"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Ниацин (никотинова киселина)</w:t>
      </w:r>
    </w:p>
    <w:p w14:paraId="614FAD96"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Наблюдавани са редки случаи на миопатия/рабдомиолиза при едновременното приложение на симвастатин с липидопонижаващи дози ниацин (≥ 1 </w:t>
      </w:r>
      <w:r w:rsidRPr="00C002BE">
        <w:rPr>
          <w:rFonts w:eastAsia="Times New Roman" w:cs="Arial"/>
          <w:color w:val="000000"/>
          <w:lang w:val="en-US"/>
        </w:rPr>
        <w:t>g</w:t>
      </w:r>
      <w:r w:rsidRPr="00C002BE">
        <w:rPr>
          <w:rFonts w:eastAsia="Times New Roman" w:cs="Arial"/>
          <w:color w:val="000000"/>
          <w:lang w:eastAsia="bg-BG"/>
        </w:rPr>
        <w:t xml:space="preserve">/ден) (никотинова киселина). При едно фармакокинетично проучване едновременното приложение на единична доза от 2 </w:t>
      </w:r>
      <w:r w:rsidRPr="00C002BE">
        <w:rPr>
          <w:rFonts w:eastAsia="Times New Roman" w:cs="Arial"/>
          <w:color w:val="000000"/>
          <w:lang w:val="en-US"/>
        </w:rPr>
        <w:t>g</w:t>
      </w:r>
      <w:r w:rsidRPr="00C002BE">
        <w:rPr>
          <w:rFonts w:eastAsia="Times New Roman" w:cs="Arial"/>
          <w:color w:val="000000"/>
          <w:lang w:val="ru-RU"/>
        </w:rPr>
        <w:t xml:space="preserve"> </w:t>
      </w:r>
      <w:r w:rsidRPr="00C002BE">
        <w:rPr>
          <w:rFonts w:eastAsia="Times New Roman" w:cs="Arial"/>
          <w:color w:val="000000"/>
          <w:lang w:eastAsia="bg-BG"/>
        </w:rPr>
        <w:t xml:space="preserve">никотинова киселина с удължено освобождаване едновременно с 20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симвастатин е довело до слабо увеличаване на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на симвастатин и симвастатинова киселина, и на максималните плазмени концентрации (С</w:t>
      </w:r>
      <w:r w:rsidRPr="00C002BE">
        <w:rPr>
          <w:rFonts w:eastAsia="Times New Roman" w:cs="Arial"/>
          <w:color w:val="000000"/>
          <w:vertAlign w:val="subscript"/>
          <w:lang w:val="en-US"/>
        </w:rPr>
        <w:t>max</w:t>
      </w:r>
      <w:r w:rsidRPr="00C002BE">
        <w:rPr>
          <w:rFonts w:eastAsia="Times New Roman" w:cs="Arial"/>
          <w:color w:val="000000"/>
          <w:lang w:eastAsia="bg-BG"/>
        </w:rPr>
        <w:t>) на симвастатинова киселина.</w:t>
      </w:r>
    </w:p>
    <w:p w14:paraId="4D5EA8E1" w14:textId="77777777" w:rsidR="00C002BE" w:rsidRPr="00C002BE" w:rsidRDefault="00C002BE" w:rsidP="00C002BE">
      <w:pPr>
        <w:spacing w:line="240" w:lineRule="auto"/>
        <w:rPr>
          <w:rFonts w:eastAsia="Times New Roman" w:cs="Arial"/>
          <w:i/>
          <w:iCs/>
          <w:color w:val="000000"/>
          <w:lang w:eastAsia="bg-BG"/>
        </w:rPr>
      </w:pPr>
    </w:p>
    <w:p w14:paraId="48C32F0E" w14:textId="4835A744"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Тикагрелор</w:t>
      </w:r>
    </w:p>
    <w:p w14:paraId="02F1049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Едновременното приложение на тикагрелор със симвастатин повишава </w:t>
      </w:r>
      <w:proofErr w:type="spellStart"/>
      <w:r w:rsidRPr="00C002BE">
        <w:rPr>
          <w:rFonts w:eastAsia="Times New Roman" w:cs="Arial"/>
          <w:color w:val="000000"/>
          <w:lang w:val="en-US"/>
        </w:rPr>
        <w:t>C</w:t>
      </w:r>
      <w:r w:rsidRPr="00C002BE">
        <w:rPr>
          <w:rFonts w:eastAsia="Times New Roman" w:cs="Arial"/>
          <w:color w:val="000000"/>
          <w:vertAlign w:val="subscript"/>
          <w:lang w:val="en-US"/>
        </w:rPr>
        <w:t>max</w:t>
      </w:r>
      <w:proofErr w:type="spellEnd"/>
      <w:r w:rsidRPr="00C002BE">
        <w:rPr>
          <w:rFonts w:eastAsia="Times New Roman" w:cs="Arial"/>
          <w:color w:val="000000"/>
          <w:lang w:eastAsia="bg-BG"/>
        </w:rPr>
        <w:t xml:space="preserve"> на симвастатин с 81% и на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с 56% и увеличава </w:t>
      </w:r>
      <w:proofErr w:type="spellStart"/>
      <w:r w:rsidRPr="00C002BE">
        <w:rPr>
          <w:rFonts w:eastAsia="Times New Roman" w:cs="Arial"/>
          <w:color w:val="000000"/>
          <w:lang w:val="en-US"/>
        </w:rPr>
        <w:t>C</w:t>
      </w:r>
      <w:r w:rsidRPr="00C002BE">
        <w:rPr>
          <w:rFonts w:eastAsia="Times New Roman" w:cs="Arial"/>
          <w:color w:val="000000"/>
          <w:vertAlign w:val="subscript"/>
          <w:lang w:val="en-US"/>
        </w:rPr>
        <w:t>max</w:t>
      </w:r>
      <w:proofErr w:type="spellEnd"/>
      <w:r w:rsidRPr="00C002BE">
        <w:rPr>
          <w:rFonts w:eastAsia="Times New Roman" w:cs="Arial"/>
          <w:color w:val="000000"/>
          <w:vertAlign w:val="subscript"/>
          <w:lang w:val="ru-RU"/>
        </w:rPr>
        <w:t xml:space="preserve"> </w:t>
      </w:r>
      <w:r w:rsidRPr="00C002BE">
        <w:rPr>
          <w:rFonts w:eastAsia="Times New Roman" w:cs="Arial"/>
          <w:color w:val="000000"/>
          <w:lang w:eastAsia="bg-BG"/>
        </w:rPr>
        <w:t xml:space="preserve">на симвастатиновата киселина с 64% и </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 xml:space="preserve">с 52%, като в отделни случаи увеличението е 2 до 3 пъти. Едновременното приложение на тикагрелор с дози симвастатин, които надвишават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дневно може да причини нежелани реакции, предизвикани от симвастатин и трябва да се прецени спрямо потенциалните ползи. Няма ефект на симвастатин върху плазмените нива на тикагрелор. </w:t>
      </w:r>
      <w:r w:rsidRPr="00C002BE">
        <w:rPr>
          <w:rFonts w:eastAsia="Times New Roman" w:cs="Arial"/>
          <w:color w:val="000000"/>
          <w:lang w:eastAsia="bg-BG"/>
        </w:rPr>
        <w:lastRenderedPageBreak/>
        <w:t xml:space="preserve">Едновременната употреба на тикагрелор с дози симвастатин надвишаващи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не се препоръчва.</w:t>
      </w:r>
      <w:bookmarkStart w:id="1" w:name="bookmark0"/>
      <w:bookmarkEnd w:id="1"/>
    </w:p>
    <w:p w14:paraId="73496918" w14:textId="77777777" w:rsidR="00C002BE" w:rsidRPr="00C002BE" w:rsidRDefault="00C002BE" w:rsidP="00C002BE">
      <w:pPr>
        <w:spacing w:line="240" w:lineRule="auto"/>
        <w:rPr>
          <w:rFonts w:eastAsia="Times New Roman" w:cs="Arial"/>
        </w:rPr>
      </w:pPr>
    </w:p>
    <w:p w14:paraId="6251BAED" w14:textId="77777777"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Сок от грейпфрут</w:t>
      </w:r>
    </w:p>
    <w:p w14:paraId="37EE4704" w14:textId="77777777" w:rsidR="00C002BE" w:rsidRPr="00C002BE" w:rsidRDefault="00C002BE" w:rsidP="00C002BE">
      <w:pPr>
        <w:rPr>
          <w:rFonts w:eastAsia="Times New Roman" w:cs="Arial"/>
        </w:rPr>
      </w:pPr>
      <w:r w:rsidRPr="00C002BE">
        <w:rPr>
          <w:rFonts w:eastAsia="Times New Roman" w:cs="Arial"/>
          <w:color w:val="000000"/>
          <w:lang w:eastAsia="bg-BG"/>
        </w:rPr>
        <w:t xml:space="preserve">Сокът от грейпфрут потиска цитохром Р450 ЗА4. Едновременното приеман на големи количества (над 1 литър дневно) сок от грейпфрут и симвастатин увеличава експозицията на симвастатиновата киселина 7 пъти. Приемането на 240 </w:t>
      </w:r>
      <w:r w:rsidRPr="00C002BE">
        <w:rPr>
          <w:rFonts w:eastAsia="Times New Roman" w:cs="Arial"/>
          <w:color w:val="000000"/>
          <w:lang w:val="en-US"/>
        </w:rPr>
        <w:t>ml</w:t>
      </w:r>
      <w:r w:rsidRPr="00C002BE">
        <w:rPr>
          <w:rFonts w:eastAsia="Times New Roman" w:cs="Arial"/>
          <w:color w:val="000000"/>
          <w:lang w:val="ru-RU"/>
        </w:rPr>
        <w:t xml:space="preserve"> </w:t>
      </w:r>
      <w:r w:rsidRPr="00C002BE">
        <w:rPr>
          <w:rFonts w:eastAsia="Times New Roman" w:cs="Arial"/>
          <w:color w:val="000000"/>
          <w:lang w:eastAsia="bg-BG"/>
        </w:rPr>
        <w:t>сок от грейпфрут сутрин и на симвастатин вечер увеличава симвастатиновата киселина 1,9 пъти. Следователно, приемането на сок от грейпфрут по време на лечение със симвастатин трябва да се избягва.</w:t>
      </w:r>
    </w:p>
    <w:p w14:paraId="48B6C42D" w14:textId="77777777" w:rsidR="00C002BE" w:rsidRPr="00C002BE" w:rsidRDefault="00C002BE" w:rsidP="00C002BE">
      <w:pPr>
        <w:spacing w:line="240" w:lineRule="auto"/>
        <w:rPr>
          <w:rFonts w:eastAsia="Times New Roman" w:cs="Arial"/>
          <w:i/>
          <w:iCs/>
          <w:color w:val="000000"/>
          <w:lang w:eastAsia="bg-BG"/>
        </w:rPr>
      </w:pPr>
    </w:p>
    <w:p w14:paraId="4B272497" w14:textId="305F07B0"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Колхицин</w:t>
      </w:r>
    </w:p>
    <w:p w14:paraId="37B3A147"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При пациенти с бъбречно увреждане са докладвани случаи на миопатия и рабдомиолиза при едновременен прием на колхицин и симвастатин. При пациенти, приемащи тази комбинация се препоръчва внимателно клинично наблюдение.</w:t>
      </w:r>
    </w:p>
    <w:p w14:paraId="1DE1A8FF" w14:textId="77777777" w:rsidR="00C002BE" w:rsidRPr="00C002BE" w:rsidRDefault="00C002BE" w:rsidP="00C002BE">
      <w:pPr>
        <w:spacing w:line="240" w:lineRule="auto"/>
        <w:rPr>
          <w:rFonts w:eastAsia="Times New Roman" w:cs="Arial"/>
          <w:i/>
          <w:iCs/>
          <w:color w:val="000000"/>
          <w:lang w:eastAsia="bg-BG"/>
        </w:rPr>
      </w:pPr>
    </w:p>
    <w:p w14:paraId="013EF444" w14:textId="2690D900"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Даптомицин</w:t>
      </w:r>
    </w:p>
    <w:p w14:paraId="672D9584"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C002BE">
        <w:rPr>
          <w:rFonts w:eastAsia="Times New Roman" w:cs="Arial"/>
          <w:color w:val="000000"/>
          <w:lang w:val="en-US"/>
        </w:rPr>
        <w:t>HMG</w:t>
      </w:r>
      <w:r w:rsidRPr="00C002BE">
        <w:rPr>
          <w:rFonts w:eastAsia="Times New Roman" w:cs="Arial"/>
          <w:color w:val="000000"/>
          <w:lang w:val="ru-RU"/>
        </w:rPr>
        <w:t xml:space="preserve">- </w:t>
      </w:r>
      <w:r w:rsidRPr="00C002BE">
        <w:rPr>
          <w:rFonts w:eastAsia="Times New Roman" w:cs="Arial"/>
          <w:color w:val="000000"/>
          <w:lang w:eastAsia="bg-BG"/>
        </w:rPr>
        <w:t>СоА редуктазни инхибитори (напр. симвастатин) и даптомицин (вж. точка 4.4).</w:t>
      </w:r>
    </w:p>
    <w:p w14:paraId="76104B35" w14:textId="77777777" w:rsidR="00C002BE" w:rsidRPr="00C002BE" w:rsidRDefault="00C002BE" w:rsidP="00C002BE">
      <w:pPr>
        <w:spacing w:line="240" w:lineRule="auto"/>
        <w:rPr>
          <w:rFonts w:eastAsia="Times New Roman" w:cs="Arial"/>
          <w:i/>
          <w:iCs/>
          <w:color w:val="000000"/>
          <w:lang w:eastAsia="bg-BG"/>
        </w:rPr>
      </w:pPr>
    </w:p>
    <w:p w14:paraId="5ACDC75D" w14:textId="751D09DD"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Рифампицин</w:t>
      </w:r>
    </w:p>
    <w:p w14:paraId="23661AF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Тъй като рифампицин е мощен индуктор на </w:t>
      </w:r>
      <w:r w:rsidRPr="00C002BE">
        <w:rPr>
          <w:rFonts w:eastAsia="Times New Roman" w:cs="Arial"/>
          <w:color w:val="000000"/>
          <w:lang w:val="en-US"/>
        </w:rPr>
        <w:t>CYP</w:t>
      </w:r>
      <w:r w:rsidRPr="00C002BE">
        <w:rPr>
          <w:rFonts w:eastAsia="Times New Roman" w:cs="Arial"/>
          <w:color w:val="000000"/>
          <w:lang w:val="ru-RU"/>
        </w:rPr>
        <w:t>3</w:t>
      </w:r>
      <w:r w:rsidRPr="00C002BE">
        <w:rPr>
          <w:rFonts w:eastAsia="Times New Roman" w:cs="Arial"/>
          <w:color w:val="000000"/>
          <w:lang w:val="en-US"/>
        </w:rPr>
        <w:t>A</w:t>
      </w:r>
      <w:r w:rsidRPr="00C002BE">
        <w:rPr>
          <w:rFonts w:eastAsia="Times New Roman" w:cs="Arial"/>
          <w:color w:val="000000"/>
          <w:lang w:val="ru-RU"/>
        </w:rPr>
        <w:t xml:space="preserve">4, </w:t>
      </w:r>
      <w:r w:rsidRPr="00C002BE">
        <w:rPr>
          <w:rFonts w:eastAsia="Times New Roman" w:cs="Arial"/>
          <w:color w:val="000000"/>
          <w:lang w:eastAsia="bg-BG"/>
        </w:rPr>
        <w:t xml:space="preserve">при пациенти, които провеждат продължително лечение с рифампицин (напр. лечение на туберкулоза) може да се наблюдава липса на ефект на симвастатин. При фармакокинетично проучване при нормални доброволци, площта под кривата на плазмена концентрация/време </w:t>
      </w:r>
      <w:r w:rsidRPr="00C002BE">
        <w:rPr>
          <w:rFonts w:eastAsia="Times New Roman" w:cs="Arial"/>
          <w:color w:val="000000"/>
          <w:lang w:val="ru-RU"/>
        </w:rPr>
        <w:t>(</w:t>
      </w:r>
      <w:r w:rsidRPr="00C002BE">
        <w:rPr>
          <w:rFonts w:eastAsia="Times New Roman" w:cs="Arial"/>
          <w:color w:val="000000"/>
          <w:lang w:val="en-US"/>
        </w:rPr>
        <w:t>AUC</w:t>
      </w:r>
      <w:r w:rsidRPr="00C002BE">
        <w:rPr>
          <w:rFonts w:eastAsia="Times New Roman" w:cs="Arial"/>
          <w:color w:val="000000"/>
          <w:lang w:val="ru-RU"/>
        </w:rPr>
        <w:t xml:space="preserve">) </w:t>
      </w:r>
      <w:r w:rsidRPr="00C002BE">
        <w:rPr>
          <w:rFonts w:eastAsia="Times New Roman" w:cs="Arial"/>
          <w:color w:val="000000"/>
          <w:lang w:eastAsia="bg-BG"/>
        </w:rPr>
        <w:t>за симвастатинова киселина е намалена с 93 % при едновременно приложение с рифампицин.</w:t>
      </w:r>
    </w:p>
    <w:p w14:paraId="3C4DCE64" w14:textId="77777777" w:rsidR="00C002BE" w:rsidRPr="00C002BE" w:rsidRDefault="00C002BE" w:rsidP="00C002BE">
      <w:pPr>
        <w:spacing w:line="240" w:lineRule="auto"/>
        <w:rPr>
          <w:rFonts w:eastAsia="Times New Roman" w:cs="Arial"/>
          <w:i/>
          <w:iCs/>
          <w:color w:val="000000"/>
          <w:lang w:eastAsia="bg-BG"/>
        </w:rPr>
      </w:pPr>
    </w:p>
    <w:p w14:paraId="1F2664CE" w14:textId="6A222E0E"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 xml:space="preserve">Ефект на симвастатин върху фармакокинетиката на други лекарствени продукти </w:t>
      </w:r>
      <w:r w:rsidRPr="00C002BE">
        <w:rPr>
          <w:rFonts w:eastAsia="Times New Roman" w:cs="Arial"/>
          <w:color w:val="000000"/>
          <w:lang w:eastAsia="bg-BG"/>
        </w:rPr>
        <w:t>Симвастатин не притежава инхибиращ ефект върху цитохром Р450 ЗА4. Следователно, не се очаква симвастатин да повлияе плазмените концентрации на вещества, метаболизиращи се чрез цитохром Р450 ЗА4.</w:t>
      </w:r>
    </w:p>
    <w:p w14:paraId="0FDEF94A" w14:textId="77777777" w:rsidR="00C002BE" w:rsidRPr="00C002BE" w:rsidRDefault="00C002BE" w:rsidP="00C002BE">
      <w:pPr>
        <w:spacing w:line="240" w:lineRule="auto"/>
        <w:rPr>
          <w:rFonts w:eastAsia="Times New Roman" w:cs="Arial"/>
          <w:i/>
          <w:iCs/>
          <w:color w:val="000000"/>
          <w:lang w:eastAsia="bg-BG"/>
        </w:rPr>
      </w:pPr>
    </w:p>
    <w:p w14:paraId="1EF60735" w14:textId="0FF39D1C" w:rsidR="00C002BE" w:rsidRPr="00C002BE" w:rsidRDefault="00C002BE" w:rsidP="00C002BE">
      <w:pPr>
        <w:spacing w:line="240" w:lineRule="auto"/>
        <w:rPr>
          <w:rFonts w:eastAsia="Times New Roman" w:cs="Arial"/>
        </w:rPr>
      </w:pPr>
      <w:r w:rsidRPr="00C002BE">
        <w:rPr>
          <w:rFonts w:eastAsia="Times New Roman" w:cs="Arial"/>
          <w:i/>
          <w:iCs/>
          <w:color w:val="000000"/>
          <w:lang w:eastAsia="bg-BG"/>
        </w:rPr>
        <w:t>Перорални антикоагуланти</w:t>
      </w:r>
    </w:p>
    <w:p w14:paraId="5F7F43F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В две клинични изпитвания, едното проведено със здрави доброволци, а другото с пациенти с хиперхолестеролемия, симвастатин приложен в дневна доза от 20 - 40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слабо засилва ефекта на кумариновите антикоагуланти: протромбиновото време, отчитано като международно нормализирано отношение </w:t>
      </w:r>
      <w:r w:rsidRPr="00C002BE">
        <w:rPr>
          <w:rFonts w:eastAsia="Times New Roman" w:cs="Arial"/>
          <w:color w:val="000000"/>
          <w:lang w:val="ru-RU"/>
        </w:rPr>
        <w:t>(</w:t>
      </w:r>
      <w:r w:rsidRPr="00C002BE">
        <w:rPr>
          <w:rFonts w:eastAsia="Times New Roman" w:cs="Arial"/>
          <w:color w:val="000000"/>
          <w:lang w:val="en-US"/>
        </w:rPr>
        <w:t>INR</w:t>
      </w:r>
      <w:r w:rsidRPr="00C002BE">
        <w:rPr>
          <w:rFonts w:eastAsia="Times New Roman" w:cs="Arial"/>
          <w:color w:val="000000"/>
          <w:lang w:val="ru-RU"/>
        </w:rPr>
        <w:t xml:space="preserve">), </w:t>
      </w:r>
      <w:r w:rsidRPr="00C002BE">
        <w:rPr>
          <w:rFonts w:eastAsia="Times New Roman" w:cs="Arial"/>
          <w:color w:val="000000"/>
          <w:lang w:eastAsia="bg-BG"/>
        </w:rPr>
        <w:t xml:space="preserve">се увеличава от 1,7 до 1,8 и от 2,6 до 3,4 съответно при доброволци и пациенти спрямо изходното. Има данни за много редки случаи на повишено </w:t>
      </w:r>
      <w:r w:rsidRPr="00C002BE">
        <w:rPr>
          <w:rFonts w:eastAsia="Times New Roman" w:cs="Arial"/>
          <w:color w:val="000000"/>
          <w:lang w:val="en-US"/>
        </w:rPr>
        <w:t>INR</w:t>
      </w:r>
      <w:r w:rsidRPr="00C002BE">
        <w:rPr>
          <w:rFonts w:eastAsia="Times New Roman" w:cs="Arial"/>
          <w:color w:val="000000"/>
          <w:lang w:val="ru-RU"/>
        </w:rPr>
        <w:t xml:space="preserve">. </w:t>
      </w:r>
      <w:r w:rsidRPr="00C002BE">
        <w:rPr>
          <w:rFonts w:eastAsia="Times New Roman" w:cs="Arial"/>
          <w:color w:val="000000"/>
          <w:lang w:eastAsia="bg-BG"/>
        </w:rPr>
        <w:t>При пациенти, приемащи кумаринови антикоагуланти, протромбиновото време трябва да бъде определяно преди началото на лечението със симвастатин и достатъчно често в началото на терапията, за да е сигурно, че няма значително отклонение в протромбиновото време. При стабилизиране на протромбиновото време, то може да бъде наблюдавано на интервали, обичайно препоръчвани за пациенти на кумаринови антикоагуланти. При промяна на дозата симвастатин или при прекратяване на лечението същата процедура трябва да се повтори. Терапията със симвастатин не води до кървене или промяна на протромбиновото време при пациента, които не приемат антикоагуланти.</w:t>
      </w:r>
    </w:p>
    <w:p w14:paraId="41DF4E4F" w14:textId="412F01E9" w:rsidR="00C002BE" w:rsidRPr="00C002BE" w:rsidRDefault="00C002BE" w:rsidP="00C002BE">
      <w:pPr>
        <w:rPr>
          <w:rFonts w:cs="Arial"/>
          <w:sz w:val="24"/>
        </w:rPr>
      </w:pPr>
    </w:p>
    <w:p w14:paraId="394A7584" w14:textId="1F2011B6" w:rsidR="004F498A" w:rsidRDefault="002C50EE" w:rsidP="004A448E">
      <w:pPr>
        <w:pStyle w:val="Heading2"/>
      </w:pPr>
      <w:r>
        <w:lastRenderedPageBreak/>
        <w:t>4.6. Фертилитет, бременност и кърмене</w:t>
      </w:r>
    </w:p>
    <w:p w14:paraId="2C54447E" w14:textId="37D4534A" w:rsidR="00C002BE" w:rsidRDefault="00C002BE" w:rsidP="00C002BE"/>
    <w:p w14:paraId="7BB4824A" w14:textId="77777777" w:rsidR="00C002BE" w:rsidRPr="00C002BE" w:rsidRDefault="00C002BE" w:rsidP="00C002BE">
      <w:pPr>
        <w:pStyle w:val="Heading3"/>
        <w:rPr>
          <w:rFonts w:eastAsia="Times New Roman"/>
          <w:u w:val="single"/>
        </w:rPr>
      </w:pPr>
      <w:r w:rsidRPr="00C002BE">
        <w:rPr>
          <w:rFonts w:eastAsia="Times New Roman"/>
          <w:u w:val="single"/>
          <w:lang w:eastAsia="bg-BG"/>
        </w:rPr>
        <w:t>Бременност</w:t>
      </w:r>
    </w:p>
    <w:p w14:paraId="56F739C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Употребата на симвастатин е противопоказана по време на бременност (вж. точка 4.3).</w:t>
      </w:r>
    </w:p>
    <w:p w14:paraId="5237B7E6" w14:textId="77777777" w:rsidR="00C002BE" w:rsidRPr="00C002BE" w:rsidRDefault="00C002BE" w:rsidP="00C002BE">
      <w:pPr>
        <w:spacing w:line="240" w:lineRule="auto"/>
        <w:rPr>
          <w:rFonts w:eastAsia="Times New Roman" w:cs="Arial"/>
          <w:color w:val="000000"/>
          <w:lang w:eastAsia="bg-BG"/>
        </w:rPr>
      </w:pPr>
    </w:p>
    <w:p w14:paraId="657092E2" w14:textId="1BC791F9"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Не е установена безопасността при бременни жени. Не са били провеждани контролирани клинични изпитвания при бременни жени. Има получени редки съобщения за вродени аномалии след интраутеринна експозиция на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 xml:space="preserve">редуктазни инхибитори по време на бременност. Въпреки това, при анализ на резултатите при приблизително 200 проспективно проследени бременности с експозиция на симвастатин или друг подобен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редуктазен инхибитор през първия триместър на бременността, честотата на вродените аномалии е сравнима с тази при общата популация. Този брой бременности е статистичеки достатъчен, за</w:t>
      </w:r>
      <w:r w:rsidRPr="00C002BE">
        <w:rPr>
          <w:rFonts w:eastAsia="Times New Roman" w:cs="Arial"/>
          <w:color w:val="000000"/>
          <w:vertAlign w:val="superscript"/>
          <w:lang w:eastAsia="bg-BG"/>
        </w:rPr>
        <w:t xml:space="preserve"> </w:t>
      </w:r>
      <w:r w:rsidRPr="00C002BE">
        <w:rPr>
          <w:rFonts w:eastAsia="Times New Roman" w:cs="Arial"/>
          <w:color w:val="000000"/>
          <w:lang w:eastAsia="bg-BG"/>
        </w:rPr>
        <w:t>да се изключи възможността от 2,5 пъти или по-голямо увеличение на вродените аномалии спрямо честотата при общата популация.</w:t>
      </w:r>
    </w:p>
    <w:p w14:paraId="3E14635C" w14:textId="77777777" w:rsidR="00C002BE" w:rsidRPr="00C002BE" w:rsidRDefault="00C002BE" w:rsidP="00C002BE">
      <w:pPr>
        <w:rPr>
          <w:rFonts w:eastAsia="Times New Roman" w:cs="Arial"/>
          <w:color w:val="000000"/>
          <w:lang w:eastAsia="bg-BG"/>
        </w:rPr>
      </w:pPr>
    </w:p>
    <w:p w14:paraId="0967C582" w14:textId="77777777" w:rsidR="00C002BE" w:rsidRPr="00C002BE" w:rsidRDefault="00C002BE" w:rsidP="00C002BE">
      <w:pPr>
        <w:rPr>
          <w:rFonts w:eastAsia="Times New Roman" w:cs="Arial"/>
        </w:rPr>
      </w:pPr>
      <w:r w:rsidRPr="00C002BE">
        <w:rPr>
          <w:rFonts w:eastAsia="Times New Roman" w:cs="Arial"/>
          <w:color w:val="000000"/>
          <w:lang w:eastAsia="bg-BG"/>
        </w:rPr>
        <w:t xml:space="preserve">Въпреки, че няма доказателства, че честотата на вродените аномалии при поколението на пациенти, приемащи симвастатин или друг подобен </w:t>
      </w:r>
      <w:r w:rsidRPr="00C002BE">
        <w:rPr>
          <w:rFonts w:eastAsia="Times New Roman" w:cs="Arial"/>
          <w:color w:val="000000"/>
          <w:lang w:val="en-US"/>
        </w:rPr>
        <w:t>HMG</w:t>
      </w:r>
      <w:r w:rsidRPr="00C002BE">
        <w:rPr>
          <w:rFonts w:eastAsia="Times New Roman" w:cs="Arial"/>
          <w:color w:val="000000"/>
          <w:lang w:val="ru-RU"/>
        </w:rPr>
        <w:t>-</w:t>
      </w:r>
      <w:r w:rsidRPr="00C002BE">
        <w:rPr>
          <w:rFonts w:eastAsia="Times New Roman" w:cs="Arial"/>
          <w:color w:val="000000"/>
          <w:lang w:val="en-US"/>
        </w:rPr>
        <w:t>CoA</w:t>
      </w:r>
      <w:r w:rsidRPr="00C002BE">
        <w:rPr>
          <w:rFonts w:eastAsia="Times New Roman" w:cs="Arial"/>
          <w:color w:val="000000"/>
          <w:lang w:val="ru-RU"/>
        </w:rPr>
        <w:t xml:space="preserve"> </w:t>
      </w:r>
      <w:r w:rsidRPr="00C002BE">
        <w:rPr>
          <w:rFonts w:eastAsia="Times New Roman" w:cs="Arial"/>
          <w:color w:val="000000"/>
          <w:lang w:eastAsia="bg-BG"/>
        </w:rPr>
        <w:t>редуктазен инхибитор, се различава от тази наблюдавана в общата популация, лечението на майките със симвастатин, може да намали феталните нива на мевалонат, който е прекурсор на биосинтеза на холестерола. Атеросклерозата е хроничен процес и прекратяването на липидопонижаващиге лекарствени продукти по време на бременност би трябвало да има пренебрежително влияние върху дългосрочния риск, свързан с първичната хиперхолестеролемия. Поради тези причини, симвастатин не трябва да се приема от бременни жени, от жени които се опитват да забременеят или се съмняват, че може да са бременни. Лечението със симвастатин трябва да се прекрати по време на бременност или докато се установи, че жената не е бременна (вж. точки 4.3 и 5.3).</w:t>
      </w:r>
    </w:p>
    <w:p w14:paraId="329E2B98" w14:textId="77777777" w:rsidR="00C002BE" w:rsidRPr="00C002BE" w:rsidRDefault="00C002BE" w:rsidP="00C002BE">
      <w:pPr>
        <w:spacing w:line="240" w:lineRule="auto"/>
        <w:rPr>
          <w:rFonts w:eastAsia="Times New Roman" w:cs="Arial"/>
          <w:color w:val="000000"/>
          <w:u w:val="single"/>
          <w:lang w:eastAsia="bg-BG"/>
        </w:rPr>
      </w:pPr>
    </w:p>
    <w:p w14:paraId="6D10C984" w14:textId="6B36DBE1" w:rsidR="00C002BE" w:rsidRPr="00C002BE" w:rsidRDefault="00C002BE" w:rsidP="00C002BE">
      <w:pPr>
        <w:pStyle w:val="Heading3"/>
        <w:rPr>
          <w:rFonts w:eastAsia="Times New Roman"/>
          <w:u w:val="single"/>
        </w:rPr>
      </w:pPr>
      <w:r w:rsidRPr="00C002BE">
        <w:rPr>
          <w:rFonts w:eastAsia="Times New Roman"/>
          <w:u w:val="single"/>
          <w:lang w:eastAsia="bg-BG"/>
        </w:rPr>
        <w:t>Кърмене</w:t>
      </w:r>
    </w:p>
    <w:p w14:paraId="380FBD1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Не е известно дали симвастатин или неговите метаболити се екскретират в кърмата при хора. Тъй като много лекарствени продукти се екскретират в кърмата и поради потенциалния риск от поява на тежки нежелани лекарствени реакции, жени, приемащи симвастатин, не трябва да кърмят децата си (вж. точка 4.3).</w:t>
      </w:r>
    </w:p>
    <w:p w14:paraId="0ECBBBCA" w14:textId="77777777" w:rsidR="00C002BE" w:rsidRPr="00C002BE" w:rsidRDefault="00C002BE" w:rsidP="00C002BE">
      <w:pPr>
        <w:spacing w:line="240" w:lineRule="auto"/>
        <w:rPr>
          <w:rFonts w:eastAsia="Times New Roman" w:cs="Arial"/>
          <w:color w:val="000000"/>
          <w:u w:val="single"/>
          <w:lang w:eastAsia="bg-BG"/>
        </w:rPr>
      </w:pPr>
    </w:p>
    <w:p w14:paraId="4ED724F4" w14:textId="24027EEB" w:rsidR="00C002BE" w:rsidRPr="00C002BE" w:rsidRDefault="00C002BE" w:rsidP="00C002BE">
      <w:pPr>
        <w:pStyle w:val="Heading3"/>
        <w:rPr>
          <w:rFonts w:eastAsia="Times New Roman"/>
          <w:u w:val="single"/>
        </w:rPr>
      </w:pPr>
      <w:r w:rsidRPr="00C002BE">
        <w:rPr>
          <w:rFonts w:eastAsia="Times New Roman"/>
          <w:u w:val="single"/>
          <w:lang w:eastAsia="bg-BG"/>
        </w:rPr>
        <w:t>Фертилитет</w:t>
      </w:r>
    </w:p>
    <w:p w14:paraId="2EB1848D" w14:textId="6812603A" w:rsidR="00C002BE" w:rsidRPr="00C002BE" w:rsidRDefault="00C002BE" w:rsidP="00C002BE">
      <w:pPr>
        <w:spacing w:line="240" w:lineRule="auto"/>
        <w:rPr>
          <w:rFonts w:eastAsia="Times New Roman" w:cs="Arial"/>
        </w:rPr>
      </w:pPr>
      <w:r w:rsidRPr="00C002BE">
        <w:rPr>
          <w:rFonts w:eastAsia="Times New Roman" w:cs="Arial"/>
          <w:color w:val="000000"/>
          <w:lang w:eastAsia="bg-BG"/>
        </w:rPr>
        <w:t>Няма данни от клинични проучвания за ефектите на симвастатин върху фертилитета при хора. Симвастатин не оказва влияние върху фертилитета на мъжки или женски плъхове (вж. точка 5.3).</w:t>
      </w:r>
    </w:p>
    <w:p w14:paraId="678C1C97" w14:textId="2F348B20" w:rsidR="00C002BE" w:rsidRPr="00C002BE" w:rsidRDefault="00C002BE" w:rsidP="00C002BE"/>
    <w:p w14:paraId="064DF1DE" w14:textId="12B1F572" w:rsidR="00CF77F7" w:rsidRDefault="002C50EE" w:rsidP="004A448E">
      <w:pPr>
        <w:pStyle w:val="Heading2"/>
      </w:pPr>
      <w:r>
        <w:t>4.7. Ефекти върху способността за шофиране и работа с машини</w:t>
      </w:r>
    </w:p>
    <w:p w14:paraId="5021D2BB" w14:textId="3C9E323D" w:rsidR="00C002BE" w:rsidRDefault="00C002BE" w:rsidP="00C002BE"/>
    <w:p w14:paraId="00E78CB8" w14:textId="77777777" w:rsidR="00C002BE" w:rsidRPr="00C002BE" w:rsidRDefault="00C002BE" w:rsidP="00C002BE">
      <w:pPr>
        <w:rPr>
          <w:sz w:val="24"/>
          <w:szCs w:val="24"/>
        </w:rPr>
      </w:pPr>
      <w:r w:rsidRPr="00C002BE">
        <w:rPr>
          <w:lang w:eastAsia="bg-BG"/>
        </w:rPr>
        <w:t>Симвастатин не повлиява или повлиява пренебрежимо способността за шофиране и работа с машини. Въпреки това при шофиране или работа с машини, трябва да се има предвид, че по време на постмаркетинговия период в редки случаи се съобщава за замаяност.</w:t>
      </w:r>
    </w:p>
    <w:p w14:paraId="1BFA33FD" w14:textId="77777777" w:rsidR="00C002BE" w:rsidRPr="00C002BE" w:rsidRDefault="00C002BE" w:rsidP="00C002BE"/>
    <w:p w14:paraId="37A3FD9F" w14:textId="4E0E1535" w:rsidR="00CF77F7" w:rsidRDefault="002C50EE" w:rsidP="004A448E">
      <w:pPr>
        <w:pStyle w:val="Heading2"/>
      </w:pPr>
      <w:r>
        <w:lastRenderedPageBreak/>
        <w:t>4.8. Нежелани лекарствени реакции</w:t>
      </w:r>
    </w:p>
    <w:p w14:paraId="0D506C19" w14:textId="614FB1DA" w:rsidR="00C002BE" w:rsidRDefault="00C002BE" w:rsidP="00C002BE"/>
    <w:p w14:paraId="7D89188B"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Честотата на следните нежелани събития, които са докладвани по време на клинични изпитвания и/или при постмаркетинговага употреба са категоризирани въз основа на оценката на честотите им, наблюдавани в големи, дългосрочни, плацебо-контролирани клинични изпитвания, включително </w:t>
      </w:r>
      <w:r w:rsidRPr="00C002BE">
        <w:rPr>
          <w:rFonts w:eastAsia="Times New Roman" w:cs="Arial"/>
          <w:color w:val="000000"/>
          <w:lang w:val="en-US"/>
        </w:rPr>
        <w:t>Heart</w:t>
      </w:r>
      <w:r w:rsidRPr="00C002BE">
        <w:rPr>
          <w:rFonts w:eastAsia="Times New Roman" w:cs="Arial"/>
          <w:color w:val="000000"/>
          <w:lang w:val="ru-RU"/>
        </w:rPr>
        <w:t xml:space="preserve"> </w:t>
      </w:r>
      <w:r w:rsidRPr="00C002BE">
        <w:rPr>
          <w:rFonts w:eastAsia="Times New Roman" w:cs="Arial"/>
          <w:color w:val="000000"/>
          <w:lang w:val="en-US"/>
        </w:rPr>
        <w:t>Protection</w:t>
      </w:r>
      <w:r w:rsidRPr="00C002BE">
        <w:rPr>
          <w:rFonts w:eastAsia="Times New Roman" w:cs="Arial"/>
          <w:color w:val="000000"/>
          <w:lang w:val="ru-RU"/>
        </w:rPr>
        <w:t xml:space="preserve"> </w:t>
      </w:r>
      <w:r w:rsidRPr="00C002BE">
        <w:rPr>
          <w:rFonts w:eastAsia="Times New Roman" w:cs="Arial"/>
          <w:color w:val="000000"/>
          <w:lang w:val="en-US"/>
        </w:rPr>
        <w:t>Study</w:t>
      </w:r>
      <w:r w:rsidRPr="00C002BE">
        <w:rPr>
          <w:rFonts w:eastAsia="Times New Roman" w:cs="Arial"/>
          <w:color w:val="000000"/>
          <w:lang w:val="ru-RU"/>
        </w:rPr>
        <w:t xml:space="preserve"> (</w:t>
      </w:r>
      <w:r w:rsidRPr="00C002BE">
        <w:rPr>
          <w:rFonts w:eastAsia="Times New Roman" w:cs="Arial"/>
          <w:color w:val="000000"/>
          <w:lang w:val="en-US"/>
        </w:rPr>
        <w:t>HPS</w:t>
      </w:r>
      <w:r w:rsidRPr="00C002BE">
        <w:rPr>
          <w:rFonts w:eastAsia="Times New Roman" w:cs="Arial"/>
          <w:color w:val="000000"/>
          <w:lang w:val="ru-RU"/>
        </w:rPr>
        <w:t xml:space="preserve">) </w:t>
      </w:r>
      <w:r w:rsidRPr="00C002BE">
        <w:rPr>
          <w:rFonts w:eastAsia="Times New Roman" w:cs="Arial"/>
          <w:color w:val="000000"/>
          <w:lang w:eastAsia="bg-BG"/>
        </w:rPr>
        <w:t xml:space="preserve">и </w:t>
      </w:r>
      <w:r w:rsidRPr="00C002BE">
        <w:rPr>
          <w:rFonts w:eastAsia="Times New Roman" w:cs="Arial"/>
          <w:color w:val="000000"/>
          <w:lang w:val="en-US"/>
        </w:rPr>
        <w:t>Scandinavian</w:t>
      </w:r>
      <w:r w:rsidRPr="00C002BE">
        <w:rPr>
          <w:rFonts w:eastAsia="Times New Roman" w:cs="Arial"/>
          <w:color w:val="000000"/>
          <w:lang w:val="ru-RU"/>
        </w:rPr>
        <w:t xml:space="preserve"> </w:t>
      </w:r>
      <w:r w:rsidRPr="00C002BE">
        <w:rPr>
          <w:rFonts w:eastAsia="Times New Roman" w:cs="Arial"/>
          <w:color w:val="000000"/>
          <w:lang w:val="en-US"/>
        </w:rPr>
        <w:t>Simvastatin</w:t>
      </w:r>
      <w:r w:rsidRPr="00C002BE">
        <w:rPr>
          <w:rFonts w:eastAsia="Times New Roman" w:cs="Arial"/>
          <w:color w:val="000000"/>
          <w:lang w:val="ru-RU"/>
        </w:rPr>
        <w:t xml:space="preserve"> </w:t>
      </w:r>
      <w:r w:rsidRPr="00C002BE">
        <w:rPr>
          <w:rFonts w:eastAsia="Times New Roman" w:cs="Arial"/>
          <w:color w:val="000000"/>
          <w:lang w:val="en-US"/>
        </w:rPr>
        <w:t>Survival</w:t>
      </w:r>
      <w:r w:rsidRPr="00C002BE">
        <w:rPr>
          <w:rFonts w:eastAsia="Times New Roman" w:cs="Arial"/>
          <w:color w:val="000000"/>
          <w:lang w:val="ru-RU"/>
        </w:rPr>
        <w:t xml:space="preserve"> </w:t>
      </w:r>
      <w:r w:rsidRPr="00C002BE">
        <w:rPr>
          <w:rFonts w:eastAsia="Times New Roman" w:cs="Arial"/>
          <w:color w:val="000000"/>
          <w:lang w:val="en-US"/>
        </w:rPr>
        <w:t>Study</w:t>
      </w:r>
      <w:r w:rsidRPr="00C002BE">
        <w:rPr>
          <w:rFonts w:eastAsia="Times New Roman" w:cs="Arial"/>
          <w:color w:val="000000"/>
          <w:lang w:val="ru-RU"/>
        </w:rPr>
        <w:t xml:space="preserve"> (4</w:t>
      </w:r>
      <w:r w:rsidRPr="00C002BE">
        <w:rPr>
          <w:rFonts w:eastAsia="Times New Roman" w:cs="Arial"/>
          <w:color w:val="000000"/>
          <w:lang w:val="en-US"/>
        </w:rPr>
        <w:t>S</w:t>
      </w:r>
      <w:r w:rsidRPr="00C002BE">
        <w:rPr>
          <w:rFonts w:eastAsia="Times New Roman" w:cs="Arial"/>
          <w:color w:val="000000"/>
          <w:lang w:val="ru-RU"/>
        </w:rPr>
        <w:t xml:space="preserve">), </w:t>
      </w:r>
      <w:r w:rsidRPr="00C002BE">
        <w:rPr>
          <w:rFonts w:eastAsia="Times New Roman" w:cs="Arial"/>
          <w:color w:val="000000"/>
          <w:lang w:eastAsia="bg-BG"/>
        </w:rPr>
        <w:t xml:space="preserve">проведени съответно </w:t>
      </w:r>
      <w:r w:rsidRPr="00C002BE">
        <w:rPr>
          <w:rFonts w:eastAsia="Times New Roman" w:cs="Arial"/>
          <w:color w:val="000000"/>
          <w:lang w:val="en-US"/>
        </w:rPr>
        <w:t>c</w:t>
      </w:r>
      <w:r w:rsidRPr="00C002BE">
        <w:rPr>
          <w:rFonts w:eastAsia="Times New Roman" w:cs="Arial"/>
          <w:color w:val="000000"/>
          <w:lang w:val="ru-RU"/>
        </w:rPr>
        <w:t xml:space="preserve"> 20 536 </w:t>
      </w:r>
      <w:r w:rsidRPr="00C002BE">
        <w:rPr>
          <w:rFonts w:eastAsia="Times New Roman" w:cs="Arial"/>
          <w:color w:val="000000"/>
          <w:lang w:eastAsia="bg-BG"/>
        </w:rPr>
        <w:t xml:space="preserve">и </w:t>
      </w:r>
      <w:r w:rsidRPr="00C002BE">
        <w:rPr>
          <w:rFonts w:eastAsia="Times New Roman" w:cs="Arial"/>
          <w:color w:val="000000"/>
          <w:lang w:val="ru-RU"/>
        </w:rPr>
        <w:t xml:space="preserve">4 444 </w:t>
      </w:r>
      <w:r w:rsidRPr="00C002BE">
        <w:rPr>
          <w:rFonts w:eastAsia="Times New Roman" w:cs="Arial"/>
          <w:color w:val="000000"/>
          <w:lang w:eastAsia="bg-BG"/>
        </w:rPr>
        <w:t xml:space="preserve">пациенти (вж. точка 5.1). В </w:t>
      </w:r>
      <w:r w:rsidRPr="00C002BE">
        <w:rPr>
          <w:rFonts w:eastAsia="Times New Roman" w:cs="Arial"/>
          <w:color w:val="000000"/>
          <w:lang w:val="en-US"/>
        </w:rPr>
        <w:t>HPS</w:t>
      </w:r>
      <w:r w:rsidRPr="00C002BE">
        <w:rPr>
          <w:rFonts w:eastAsia="Times New Roman" w:cs="Arial"/>
          <w:color w:val="000000"/>
          <w:lang w:val="ru-RU"/>
        </w:rPr>
        <w:t xml:space="preserve"> </w:t>
      </w:r>
      <w:r w:rsidRPr="00C002BE">
        <w:rPr>
          <w:rFonts w:eastAsia="Times New Roman" w:cs="Arial"/>
          <w:color w:val="000000"/>
          <w:lang w:eastAsia="bg-BG"/>
        </w:rPr>
        <w:t xml:space="preserve">са били документирани само сериозните нежелани събития, като миалгия, увеличение на серумните трансаминази и СК. В </w:t>
      </w:r>
      <w:r w:rsidRPr="00C002BE">
        <w:rPr>
          <w:rFonts w:eastAsia="Times New Roman" w:cs="Arial"/>
          <w:color w:val="000000"/>
          <w:lang w:val="ru-RU"/>
        </w:rPr>
        <w:t>4</w:t>
      </w:r>
      <w:r w:rsidRPr="00C002BE">
        <w:rPr>
          <w:rFonts w:eastAsia="Times New Roman" w:cs="Arial"/>
          <w:color w:val="000000"/>
          <w:lang w:val="en-US"/>
        </w:rPr>
        <w:t>S</w:t>
      </w:r>
      <w:r w:rsidRPr="00C002BE">
        <w:rPr>
          <w:rFonts w:eastAsia="Times New Roman" w:cs="Arial"/>
          <w:color w:val="000000"/>
          <w:lang w:val="ru-RU"/>
        </w:rPr>
        <w:t xml:space="preserve">, </w:t>
      </w:r>
      <w:r w:rsidRPr="00C002BE">
        <w:rPr>
          <w:rFonts w:eastAsia="Times New Roman" w:cs="Arial"/>
          <w:color w:val="000000"/>
          <w:lang w:eastAsia="bg-BG"/>
        </w:rPr>
        <w:t>всички изброени по-долу нежелани реакции са били документирани. Ако честотата на нежеланите събития, предизвикани от симвастатин, в тези клинични изпитвания е била по-ниска или подобна на тази при плацебо, както и ако са били налице подобни причинно-следствени връзки при спонтанно докладваните събития, тези събития са категоризирани като „редки”.</w:t>
      </w:r>
    </w:p>
    <w:p w14:paraId="774FCF5A" w14:textId="77777777" w:rsidR="00C002BE" w:rsidRPr="00C002BE" w:rsidRDefault="00C002BE" w:rsidP="00C002BE">
      <w:pPr>
        <w:spacing w:line="240" w:lineRule="auto"/>
        <w:rPr>
          <w:rFonts w:eastAsia="Times New Roman" w:cs="Arial"/>
          <w:color w:val="000000"/>
          <w:lang w:eastAsia="bg-BG"/>
        </w:rPr>
      </w:pPr>
    </w:p>
    <w:p w14:paraId="0F7F776C" w14:textId="3BB3AF10"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За </w:t>
      </w:r>
      <w:r w:rsidRPr="00C002BE">
        <w:rPr>
          <w:rFonts w:eastAsia="Times New Roman" w:cs="Arial"/>
          <w:color w:val="000000"/>
          <w:lang w:val="en-US"/>
        </w:rPr>
        <w:t>HPS</w:t>
      </w:r>
      <w:r w:rsidRPr="00C002BE">
        <w:rPr>
          <w:rFonts w:eastAsia="Times New Roman" w:cs="Arial"/>
          <w:color w:val="000000"/>
          <w:lang w:val="ru-RU"/>
        </w:rPr>
        <w:t xml:space="preserve"> </w:t>
      </w:r>
      <w:r w:rsidRPr="00C002BE">
        <w:rPr>
          <w:rFonts w:eastAsia="Times New Roman" w:cs="Arial"/>
          <w:color w:val="000000"/>
          <w:lang w:eastAsia="bg-BG"/>
        </w:rPr>
        <w:t xml:space="preserve">(вж. точка 5.1), включващо 20 536 пациенти, лекувани с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дневно симвастатин (</w:t>
      </w:r>
      <w:r w:rsidRPr="00C002BE">
        <w:rPr>
          <w:rFonts w:eastAsia="Times New Roman" w:cs="Arial"/>
          <w:color w:val="000000"/>
          <w:lang w:val="en-US"/>
        </w:rPr>
        <w:t>n</w:t>
      </w:r>
      <w:r w:rsidRPr="00C002BE">
        <w:rPr>
          <w:rFonts w:eastAsia="Times New Roman" w:cs="Arial"/>
          <w:color w:val="000000"/>
          <w:lang w:eastAsia="bg-BG"/>
        </w:rPr>
        <w:t>= 10 269) или плацебо (</w:t>
      </w:r>
      <w:r w:rsidRPr="00C002BE">
        <w:rPr>
          <w:rFonts w:eastAsia="Times New Roman" w:cs="Arial"/>
          <w:color w:val="000000"/>
          <w:lang w:val="en-US"/>
        </w:rPr>
        <w:t>n</w:t>
      </w:r>
      <w:r w:rsidRPr="00C002BE">
        <w:rPr>
          <w:rFonts w:eastAsia="Times New Roman" w:cs="Arial"/>
          <w:color w:val="000000"/>
          <w:lang w:eastAsia="bg-BG"/>
        </w:rPr>
        <w:t xml:space="preserve">= 10 267), профилите на безопасност са сравними при пациентите, приемащи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и тези, приемащи плацебо при средна продължителност на проучването над 5 години. Честотата на прекратяване поради настъпване на нежелани ефекти е сравнима (4,8 % при пациентите, приемащи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в сравнение с 5,1 % при пациентите, приемащи плацебо). При пациентите, приемащи симвастатин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 xml:space="preserve">случаите на миопатия са &lt; 0,1%. Повишени трансаминази (&gt; 3 х </w:t>
      </w:r>
      <w:r w:rsidRPr="00C002BE">
        <w:rPr>
          <w:rFonts w:eastAsia="Times New Roman" w:cs="Arial"/>
          <w:color w:val="000000"/>
          <w:lang w:val="en-US"/>
        </w:rPr>
        <w:t>ULN</w:t>
      </w:r>
      <w:r w:rsidRPr="00C002BE">
        <w:rPr>
          <w:rFonts w:eastAsia="Times New Roman" w:cs="Arial"/>
          <w:color w:val="000000"/>
          <w:lang w:val="ru-RU"/>
        </w:rPr>
        <w:t xml:space="preserve">, </w:t>
      </w:r>
      <w:r w:rsidRPr="00C002BE">
        <w:rPr>
          <w:rFonts w:eastAsia="Times New Roman" w:cs="Arial"/>
          <w:color w:val="000000"/>
          <w:lang w:eastAsia="bg-BG"/>
        </w:rPr>
        <w:t>потвърдено с повторно изследване) са наблюдавани при 0,21 % (</w:t>
      </w:r>
      <w:r w:rsidRPr="00C002BE">
        <w:rPr>
          <w:rFonts w:eastAsia="Times New Roman" w:cs="Arial"/>
          <w:color w:val="000000"/>
          <w:lang w:val="en-US"/>
        </w:rPr>
        <w:t>n</w:t>
      </w:r>
      <w:r w:rsidRPr="00C002BE">
        <w:rPr>
          <w:rFonts w:eastAsia="Times New Roman" w:cs="Arial"/>
          <w:color w:val="000000"/>
          <w:lang w:val="ru-RU"/>
        </w:rPr>
        <w:t>=</w:t>
      </w:r>
      <w:r w:rsidRPr="00C002BE">
        <w:rPr>
          <w:rFonts w:eastAsia="Times New Roman" w:cs="Arial"/>
          <w:color w:val="000000"/>
          <w:lang w:eastAsia="bg-BG"/>
        </w:rPr>
        <w:t xml:space="preserve"> 21) от пациентите, приемали 40 </w:t>
      </w:r>
      <w:r w:rsidRPr="00C002BE">
        <w:rPr>
          <w:rFonts w:eastAsia="Times New Roman" w:cs="Arial"/>
          <w:color w:val="000000"/>
          <w:lang w:val="en-US"/>
        </w:rPr>
        <w:t>mg</w:t>
      </w:r>
      <w:r w:rsidRPr="00C002BE">
        <w:rPr>
          <w:rFonts w:eastAsia="Times New Roman" w:cs="Arial"/>
          <w:color w:val="000000"/>
          <w:lang w:val="ru-RU"/>
        </w:rPr>
        <w:t xml:space="preserve"> </w:t>
      </w:r>
      <w:r w:rsidRPr="00C002BE">
        <w:rPr>
          <w:rFonts w:eastAsia="Times New Roman" w:cs="Arial"/>
          <w:color w:val="000000"/>
          <w:lang w:eastAsia="bg-BG"/>
        </w:rPr>
        <w:t>симвастатин, в сравнение с 0,09 % (</w:t>
      </w:r>
      <w:r w:rsidRPr="00C002BE">
        <w:rPr>
          <w:rFonts w:eastAsia="Times New Roman" w:cs="Arial"/>
          <w:color w:val="000000"/>
          <w:lang w:val="en-US"/>
        </w:rPr>
        <w:t>n</w:t>
      </w:r>
      <w:r w:rsidRPr="00C002BE">
        <w:rPr>
          <w:rFonts w:eastAsia="Times New Roman" w:cs="Arial"/>
          <w:color w:val="000000"/>
          <w:lang w:eastAsia="bg-BG"/>
        </w:rPr>
        <w:t>= 9) от пациентите, приемали плацебо.</w:t>
      </w:r>
    </w:p>
    <w:p w14:paraId="157B713B" w14:textId="77777777" w:rsidR="00C002BE" w:rsidRPr="00C002BE" w:rsidRDefault="00C002BE" w:rsidP="00C002BE">
      <w:pPr>
        <w:spacing w:line="240" w:lineRule="auto"/>
        <w:rPr>
          <w:rFonts w:eastAsia="Times New Roman" w:cs="Arial"/>
          <w:color w:val="000000"/>
          <w:lang w:eastAsia="bg-BG"/>
        </w:rPr>
      </w:pPr>
    </w:p>
    <w:p w14:paraId="28152581" w14:textId="3605BEF4" w:rsidR="00C002BE" w:rsidRPr="00C002BE" w:rsidRDefault="00C002BE" w:rsidP="00C002BE">
      <w:pPr>
        <w:spacing w:line="240" w:lineRule="auto"/>
        <w:rPr>
          <w:rFonts w:eastAsia="Times New Roman" w:cs="Arial"/>
        </w:rPr>
      </w:pPr>
      <w:r w:rsidRPr="00C002BE">
        <w:rPr>
          <w:rFonts w:eastAsia="Times New Roman" w:cs="Arial"/>
          <w:color w:val="000000"/>
          <w:lang w:eastAsia="bg-BG"/>
        </w:rPr>
        <w:t>Честотите на нежеланите събития са подредени както следва: много чести (&gt;1/10);</w:t>
      </w:r>
      <w:r w:rsidRPr="00C002BE">
        <w:rPr>
          <w:rFonts w:eastAsia="Times New Roman" w:cs="Arial"/>
          <w:color w:val="000000"/>
          <w:lang w:val="ru-RU"/>
        </w:rPr>
        <w:t xml:space="preserve"> </w:t>
      </w:r>
      <w:r w:rsidRPr="00C002BE">
        <w:rPr>
          <w:rFonts w:eastAsia="Times New Roman" w:cs="Arial"/>
          <w:color w:val="000000"/>
          <w:lang w:eastAsia="bg-BG"/>
        </w:rPr>
        <w:t>чести</w:t>
      </w:r>
      <w:r w:rsidRPr="00C002BE">
        <w:rPr>
          <w:rFonts w:eastAsia="Times New Roman" w:cs="Arial"/>
          <w:i/>
          <w:iCs/>
          <w:color w:val="000000"/>
          <w:vertAlign w:val="subscript"/>
          <w:lang w:eastAsia="bg-BG"/>
        </w:rPr>
        <w:t xml:space="preserve"> </w:t>
      </w:r>
      <w:r w:rsidRPr="00C002BE">
        <w:rPr>
          <w:rFonts w:eastAsia="Times New Roman" w:cs="Arial"/>
          <w:color w:val="000000"/>
          <w:lang w:eastAsia="bg-BG"/>
        </w:rPr>
        <w:t>(≥ 1/100, &lt; 1/10); нечести (≥ 1/1 000, &lt; 1/100); редки (≥1/10 000, &lt; 1/1 000); много редки (&lt;1/10 000); с неизвестна честота (честотата не може да бъде оценена от наличните данни</w:t>
      </w:r>
    </w:p>
    <w:p w14:paraId="79CF953D" w14:textId="77777777" w:rsidR="00C002BE" w:rsidRPr="00C002BE" w:rsidRDefault="00C002BE" w:rsidP="00C002BE">
      <w:pPr>
        <w:spacing w:line="240" w:lineRule="auto"/>
        <w:rPr>
          <w:rFonts w:eastAsia="Times New Roman" w:cs="Arial"/>
          <w:color w:val="000000"/>
          <w:u w:val="single"/>
          <w:lang w:eastAsia="bg-BG"/>
        </w:rPr>
      </w:pPr>
    </w:p>
    <w:p w14:paraId="4BF94CD7" w14:textId="77777777" w:rsidR="00C002BE" w:rsidRPr="00C002BE" w:rsidRDefault="00C002BE" w:rsidP="00C002BE">
      <w:pPr>
        <w:spacing w:line="240" w:lineRule="auto"/>
        <w:rPr>
          <w:rFonts w:eastAsia="Times New Roman" w:cs="Arial"/>
          <w:color w:val="000000"/>
          <w:u w:val="single"/>
          <w:lang w:eastAsia="bg-BG"/>
        </w:rPr>
      </w:pPr>
      <w:r w:rsidRPr="00C002BE">
        <w:rPr>
          <w:rFonts w:eastAsia="Times New Roman" w:cs="Arial"/>
          <w:color w:val="000000"/>
          <w:u w:val="single"/>
          <w:lang w:eastAsia="bg-BG"/>
        </w:rPr>
        <w:t xml:space="preserve">Нарушения на кръвта и лимфната система </w:t>
      </w:r>
    </w:p>
    <w:p w14:paraId="4E4C9357" w14:textId="4BD2A808" w:rsidR="00C002BE" w:rsidRPr="00C002BE" w:rsidRDefault="00C002BE" w:rsidP="00C002BE">
      <w:pPr>
        <w:spacing w:line="240" w:lineRule="auto"/>
        <w:rPr>
          <w:rFonts w:eastAsia="Times New Roman" w:cs="Arial"/>
          <w:color w:val="000000"/>
          <w:lang w:eastAsia="bg-BG"/>
        </w:rPr>
      </w:pPr>
      <w:r w:rsidRPr="00C002BE">
        <w:rPr>
          <w:rFonts w:eastAsia="Times New Roman" w:cs="Arial"/>
          <w:color w:val="000000"/>
          <w:lang w:eastAsia="bg-BG"/>
        </w:rPr>
        <w:t>Редки: анемия</w:t>
      </w:r>
    </w:p>
    <w:p w14:paraId="6B8509F4" w14:textId="69DBC7AE" w:rsidR="00C002BE" w:rsidRPr="00C002BE" w:rsidRDefault="00C002BE" w:rsidP="00C002BE">
      <w:pPr>
        <w:spacing w:line="240" w:lineRule="auto"/>
        <w:rPr>
          <w:rFonts w:eastAsia="Times New Roman" w:cs="Arial"/>
          <w:color w:val="000000"/>
          <w:lang w:eastAsia="bg-BG"/>
        </w:rPr>
      </w:pPr>
    </w:p>
    <w:p w14:paraId="08966957" w14:textId="77777777"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имунната система</w:t>
      </w:r>
    </w:p>
    <w:p w14:paraId="0D53D679"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анафилаксия</w:t>
      </w:r>
    </w:p>
    <w:p w14:paraId="6098F08D" w14:textId="77777777" w:rsidR="00C002BE" w:rsidRPr="00C002BE" w:rsidRDefault="00C002BE" w:rsidP="00C002BE">
      <w:pPr>
        <w:spacing w:line="240" w:lineRule="auto"/>
        <w:rPr>
          <w:rFonts w:eastAsia="Times New Roman" w:cs="Arial"/>
          <w:color w:val="000000"/>
          <w:u w:val="single"/>
          <w:lang w:eastAsia="bg-BG"/>
        </w:rPr>
      </w:pPr>
    </w:p>
    <w:p w14:paraId="64578558" w14:textId="02D5D6AA"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Психични нарушения</w:t>
      </w:r>
    </w:p>
    <w:p w14:paraId="0CA37350"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безсъние</w:t>
      </w:r>
    </w:p>
    <w:p w14:paraId="758B7E94"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депресия</w:t>
      </w:r>
    </w:p>
    <w:p w14:paraId="56DC0039" w14:textId="77777777" w:rsidR="00C002BE" w:rsidRPr="00C002BE" w:rsidRDefault="00C002BE" w:rsidP="00C002BE">
      <w:pPr>
        <w:spacing w:line="240" w:lineRule="auto"/>
        <w:rPr>
          <w:rFonts w:eastAsia="Times New Roman" w:cs="Arial"/>
          <w:color w:val="000000"/>
          <w:u w:val="single"/>
          <w:lang w:eastAsia="bg-BG"/>
        </w:rPr>
      </w:pPr>
    </w:p>
    <w:p w14:paraId="0383EEA7" w14:textId="6651454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нервната система</w:t>
      </w:r>
    </w:p>
    <w:p w14:paraId="77672BF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главоболие, парестезия, замаяност, периферна невропатия</w:t>
      </w:r>
    </w:p>
    <w:p w14:paraId="4C0DD45B"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нарушение на паметта</w:t>
      </w:r>
    </w:p>
    <w:p w14:paraId="3E5E3651" w14:textId="77777777" w:rsidR="00C002BE" w:rsidRPr="00C002BE" w:rsidRDefault="00C002BE" w:rsidP="00C002BE">
      <w:pPr>
        <w:spacing w:line="240" w:lineRule="auto"/>
        <w:rPr>
          <w:rFonts w:eastAsia="Times New Roman" w:cs="Arial"/>
          <w:color w:val="000000"/>
          <w:u w:val="single"/>
          <w:lang w:eastAsia="bg-BG"/>
        </w:rPr>
      </w:pPr>
    </w:p>
    <w:p w14:paraId="49988132" w14:textId="51016A77"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окото:</w:t>
      </w:r>
    </w:p>
    <w:p w14:paraId="7AA148B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замъглено зрение, зрително увреждане</w:t>
      </w:r>
    </w:p>
    <w:p w14:paraId="75B2525A" w14:textId="77777777" w:rsidR="00C002BE" w:rsidRPr="00C002BE" w:rsidRDefault="00C002BE" w:rsidP="00C002BE">
      <w:pPr>
        <w:spacing w:line="240" w:lineRule="auto"/>
        <w:rPr>
          <w:rFonts w:eastAsia="Times New Roman" w:cs="Arial"/>
          <w:color w:val="000000"/>
          <w:u w:val="single"/>
          <w:lang w:eastAsia="bg-BG"/>
        </w:rPr>
      </w:pPr>
    </w:p>
    <w:p w14:paraId="186F3706" w14:textId="3F56882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Респираторни, гръдни и медиастинални нарушения</w:t>
      </w:r>
    </w:p>
    <w:p w14:paraId="7D9EB0FA"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интерстициална белодробна болест (вж. точка 4.4)</w:t>
      </w:r>
    </w:p>
    <w:p w14:paraId="00B0AAFC" w14:textId="77777777" w:rsidR="00C002BE" w:rsidRPr="00C002BE" w:rsidRDefault="00C002BE" w:rsidP="00C002BE">
      <w:pPr>
        <w:spacing w:line="240" w:lineRule="auto"/>
        <w:rPr>
          <w:rFonts w:eastAsia="Times New Roman" w:cs="Arial"/>
          <w:color w:val="000000"/>
          <w:u w:val="single"/>
          <w:lang w:eastAsia="bg-BG"/>
        </w:rPr>
      </w:pPr>
    </w:p>
    <w:p w14:paraId="4BF851D1" w14:textId="2577D19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lastRenderedPageBreak/>
        <w:t>Стомашно-чревни нарушения</w:t>
      </w:r>
    </w:p>
    <w:p w14:paraId="1067A774" w14:textId="7ED0A5DB"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запек, болка в областта на корема, флатуленция, диспепсия, диария, гадене, повръщане, панкреатит</w:t>
      </w:r>
    </w:p>
    <w:p w14:paraId="47B1D373" w14:textId="77777777" w:rsidR="00C002BE" w:rsidRPr="00C002BE" w:rsidRDefault="00C002BE" w:rsidP="00C002BE">
      <w:pPr>
        <w:spacing w:line="240" w:lineRule="auto"/>
        <w:rPr>
          <w:rFonts w:eastAsia="Times New Roman" w:cs="Arial"/>
          <w:color w:val="000000"/>
          <w:u w:val="single"/>
          <w:lang w:eastAsia="bg-BG"/>
        </w:rPr>
      </w:pPr>
    </w:p>
    <w:p w14:paraId="738FCF86" w14:textId="149C3534"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Хепатобилиарни нарушения</w:t>
      </w:r>
    </w:p>
    <w:p w14:paraId="6F19455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хепатит/жълтеница.</w:t>
      </w:r>
    </w:p>
    <w:p w14:paraId="3785BF3F"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фатална и нефатална чернодробна недостатъчност</w:t>
      </w:r>
    </w:p>
    <w:p w14:paraId="6B3E4A7C" w14:textId="77777777" w:rsidR="00C002BE" w:rsidRPr="00C002BE" w:rsidRDefault="00C002BE" w:rsidP="00C002BE">
      <w:pPr>
        <w:spacing w:line="240" w:lineRule="auto"/>
        <w:rPr>
          <w:rFonts w:eastAsia="Times New Roman" w:cs="Arial"/>
          <w:color w:val="000000"/>
          <w:u w:val="single"/>
          <w:lang w:eastAsia="bg-BG"/>
        </w:rPr>
      </w:pPr>
    </w:p>
    <w:p w14:paraId="2106A6FC" w14:textId="0C09B3AA"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кожата и подкожната тъкан</w:t>
      </w:r>
    </w:p>
    <w:p w14:paraId="1740D5E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обрив, пруритус, алопеция</w:t>
      </w:r>
    </w:p>
    <w:p w14:paraId="2D5A0BC1"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лихеноидни лекарствени ерупции</w:t>
      </w:r>
    </w:p>
    <w:p w14:paraId="0AB0B597" w14:textId="77777777" w:rsidR="00C002BE" w:rsidRPr="00C002BE" w:rsidRDefault="00C002BE" w:rsidP="00C002BE">
      <w:pPr>
        <w:spacing w:line="240" w:lineRule="auto"/>
        <w:rPr>
          <w:rFonts w:eastAsia="Times New Roman" w:cs="Arial"/>
          <w:color w:val="000000"/>
          <w:u w:val="single"/>
          <w:lang w:eastAsia="bg-BG"/>
        </w:rPr>
      </w:pPr>
    </w:p>
    <w:p w14:paraId="7281BDFB" w14:textId="4FBC6D0F"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мускулно-скелетната система и съединителната тъкан</w:t>
      </w:r>
    </w:p>
    <w:p w14:paraId="76624256"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миопатия* (включително миозит), рабдомиолиза със или без остра бъбречна недостатъчност (вж. точка 4.4.), миалгия, мускулни крампи.</w:t>
      </w:r>
    </w:p>
    <w:p w14:paraId="3297DCB2" w14:textId="7436A758" w:rsidR="00C002BE" w:rsidRPr="00C002BE" w:rsidRDefault="00C002BE" w:rsidP="00C002BE">
      <w:pPr>
        <w:spacing w:line="240" w:lineRule="auto"/>
        <w:rPr>
          <w:rFonts w:eastAsia="Times New Roman" w:cs="Arial"/>
          <w:color w:val="000000"/>
          <w:lang w:eastAsia="bg-BG"/>
        </w:rPr>
      </w:pPr>
      <w:r w:rsidRPr="00C002BE">
        <w:rPr>
          <w:rFonts w:eastAsia="Times New Roman" w:cs="Arial"/>
          <w:color w:val="000000"/>
          <w:lang w:eastAsia="bg-BG"/>
        </w:rPr>
        <w:t xml:space="preserve">*В едно клинично проучване, миопатия се наблюдава по-често при пациенти, лекувани със симвастатин 80 </w:t>
      </w:r>
      <w:r w:rsidRPr="00C002BE">
        <w:rPr>
          <w:rFonts w:eastAsia="Times New Roman" w:cs="Arial"/>
          <w:color w:val="000000"/>
          <w:lang w:val="en-US"/>
        </w:rPr>
        <w:t>mg</w:t>
      </w:r>
      <w:r w:rsidRPr="00C002BE">
        <w:rPr>
          <w:rFonts w:eastAsia="Times New Roman" w:cs="Arial"/>
          <w:color w:val="000000"/>
          <w:lang w:eastAsia="bg-BG"/>
        </w:rPr>
        <w:t xml:space="preserve">/ден в сравнение с пациенти, лекувани с 20 </w:t>
      </w:r>
      <w:r w:rsidRPr="00C002BE">
        <w:rPr>
          <w:rFonts w:eastAsia="Times New Roman" w:cs="Arial"/>
          <w:color w:val="000000"/>
          <w:lang w:val="en-US"/>
        </w:rPr>
        <w:t>mg</w:t>
      </w:r>
      <w:r w:rsidRPr="00C002BE">
        <w:rPr>
          <w:rFonts w:eastAsia="Times New Roman" w:cs="Arial"/>
          <w:color w:val="000000"/>
          <w:lang w:eastAsia="bg-BG"/>
        </w:rPr>
        <w:t>/ден (1,0 % спрямо 0,02 %, съответно) (вж. точки 4.4 и 4.5).</w:t>
      </w:r>
    </w:p>
    <w:p w14:paraId="06FA7175"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мускулна руптура.</w:t>
      </w:r>
    </w:p>
    <w:p w14:paraId="50DF5258"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тендинопатия, понякога усложнена от руптура, имуномедиирана некротизираща миопатия (вж. точка 4.4)</w:t>
      </w:r>
    </w:p>
    <w:p w14:paraId="07F3986C" w14:textId="77777777" w:rsidR="00C002BE" w:rsidRPr="00C002BE" w:rsidRDefault="00C002BE" w:rsidP="00C002BE">
      <w:pPr>
        <w:spacing w:line="240" w:lineRule="auto"/>
        <w:rPr>
          <w:rFonts w:eastAsia="Times New Roman" w:cs="Arial"/>
          <w:color w:val="000000"/>
          <w:u w:val="single"/>
          <w:lang w:eastAsia="bg-BG"/>
        </w:rPr>
      </w:pPr>
    </w:p>
    <w:p w14:paraId="2266E6B1" w14:textId="6FBEDB65"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Нарушения на възпроизводителната система и гърдата</w:t>
      </w:r>
    </w:p>
    <w:p w14:paraId="60ACDD47"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Много редки: гинекомастия.</w:t>
      </w:r>
    </w:p>
    <w:p w14:paraId="62B1E9D9"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С неизвестна честота: еректилна дисфункция</w:t>
      </w:r>
    </w:p>
    <w:p w14:paraId="3BDA87B8" w14:textId="77777777" w:rsidR="00C002BE" w:rsidRPr="00C002BE" w:rsidRDefault="00C002BE" w:rsidP="00C002BE">
      <w:pPr>
        <w:spacing w:line="240" w:lineRule="auto"/>
        <w:rPr>
          <w:rFonts w:eastAsia="Times New Roman" w:cs="Arial"/>
          <w:color w:val="000000"/>
          <w:u w:val="single"/>
          <w:lang w:eastAsia="bg-BG"/>
        </w:rPr>
      </w:pPr>
    </w:p>
    <w:p w14:paraId="5E6509BD" w14:textId="272B1BE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Обши нарушения и ефекти на мястото на приложение</w:t>
      </w:r>
    </w:p>
    <w:p w14:paraId="653384AE"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астения</w:t>
      </w:r>
    </w:p>
    <w:p w14:paraId="2BF98600" w14:textId="77777777" w:rsidR="00C002BE" w:rsidRPr="00C002BE" w:rsidRDefault="00C002BE" w:rsidP="00C002BE">
      <w:pPr>
        <w:spacing w:line="240" w:lineRule="auto"/>
        <w:rPr>
          <w:rFonts w:eastAsia="Times New Roman" w:cs="Arial"/>
          <w:color w:val="000000"/>
          <w:lang w:eastAsia="bg-BG"/>
        </w:rPr>
      </w:pPr>
    </w:p>
    <w:p w14:paraId="0475EC12" w14:textId="1E11CD31" w:rsidR="00C002BE" w:rsidRPr="00C002BE" w:rsidRDefault="00C002BE" w:rsidP="00C002BE">
      <w:pPr>
        <w:spacing w:line="240" w:lineRule="auto"/>
        <w:rPr>
          <w:rFonts w:eastAsia="Times New Roman" w:cs="Arial"/>
        </w:rPr>
      </w:pPr>
      <w:r w:rsidRPr="00C002BE">
        <w:rPr>
          <w:rFonts w:eastAsia="Times New Roman" w:cs="Arial"/>
          <w:color w:val="000000"/>
          <w:lang w:eastAsia="bg-BG"/>
        </w:rPr>
        <w:t>Има редки съобщения за изявен синдром на свръхчувствителност, с някой от следните признаци: ангиоедем, лупус-подобен синдром, полимиалгия ревматика, дерматомиозит, васкулит, тромбоцитопения, еозинофилия, ускорена СУЕ, артрит и артралгия, уртикария, фоточувствителност, треска, зачервяване на лицето, дисплея и неразположение.</w:t>
      </w:r>
    </w:p>
    <w:p w14:paraId="07A9F467" w14:textId="77777777" w:rsidR="00C002BE" w:rsidRPr="00C002BE" w:rsidRDefault="00C002BE" w:rsidP="00C002BE">
      <w:pPr>
        <w:spacing w:line="240" w:lineRule="auto"/>
        <w:rPr>
          <w:rFonts w:eastAsia="Times New Roman" w:cs="Arial"/>
          <w:color w:val="000000"/>
          <w:u w:val="single"/>
          <w:lang w:eastAsia="bg-BG"/>
        </w:rPr>
      </w:pPr>
    </w:p>
    <w:p w14:paraId="3AEE0E62" w14:textId="49958206"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Изследвания:</w:t>
      </w:r>
    </w:p>
    <w:p w14:paraId="59AAA702"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Редки: увеличение на серумните трансаминази (аланин аминотрансфераза, аспартат аминотрансфераза, у-глутамил транспептидаза) (вж. точка 4.4. Чернодробни ефекти), увеличена алкална фосфатаза, увеличени нива на серумната креатинкиназа (вж. точка 4.4)</w:t>
      </w:r>
    </w:p>
    <w:p w14:paraId="2F8849BC" w14:textId="1E96867E" w:rsidR="00C002BE" w:rsidRPr="00C002BE" w:rsidRDefault="00C002BE" w:rsidP="00C002BE">
      <w:pPr>
        <w:spacing w:line="240" w:lineRule="auto"/>
        <w:rPr>
          <w:rFonts w:eastAsia="Times New Roman" w:cs="Arial"/>
        </w:rPr>
      </w:pPr>
    </w:p>
    <w:p w14:paraId="06F350BC"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Съобщени са повишени стойности на </w:t>
      </w:r>
      <w:proofErr w:type="spellStart"/>
      <w:r w:rsidRPr="00C002BE">
        <w:rPr>
          <w:rFonts w:eastAsia="Times New Roman" w:cs="Arial"/>
          <w:color w:val="000000"/>
          <w:lang w:val="en-US"/>
        </w:rPr>
        <w:t>HbAlc</w:t>
      </w:r>
      <w:proofErr w:type="spellEnd"/>
      <w:r w:rsidRPr="00C002BE">
        <w:rPr>
          <w:rFonts w:eastAsia="Times New Roman" w:cs="Arial"/>
          <w:color w:val="000000"/>
          <w:lang w:val="ru-RU"/>
        </w:rPr>
        <w:t xml:space="preserve"> </w:t>
      </w:r>
      <w:r w:rsidRPr="00C002BE">
        <w:rPr>
          <w:rFonts w:eastAsia="Times New Roman" w:cs="Arial"/>
          <w:color w:val="000000"/>
          <w:lang w:eastAsia="bg-BG"/>
        </w:rPr>
        <w:t>и серумната глюкоза на гладно при прием на статини, включително симвастатин.</w:t>
      </w:r>
    </w:p>
    <w:p w14:paraId="77F22BBF" w14:textId="77777777" w:rsidR="00C002BE" w:rsidRPr="00C002BE" w:rsidRDefault="00C002BE" w:rsidP="00C002BE">
      <w:pPr>
        <w:spacing w:line="240" w:lineRule="auto"/>
        <w:rPr>
          <w:rFonts w:eastAsia="Times New Roman" w:cs="Arial"/>
          <w:color w:val="000000"/>
          <w:lang w:eastAsia="bg-BG"/>
        </w:rPr>
      </w:pPr>
    </w:p>
    <w:p w14:paraId="3F6CF3E5" w14:textId="732BF20F" w:rsidR="00C002BE" w:rsidRPr="00C002BE" w:rsidRDefault="00C002BE" w:rsidP="00C002BE">
      <w:pPr>
        <w:spacing w:line="240" w:lineRule="auto"/>
        <w:rPr>
          <w:rFonts w:eastAsia="Times New Roman" w:cs="Arial"/>
        </w:rPr>
      </w:pPr>
      <w:r w:rsidRPr="00C002BE">
        <w:rPr>
          <w:rFonts w:eastAsia="Times New Roman" w:cs="Arial"/>
          <w:color w:val="000000"/>
          <w:lang w:eastAsia="bg-BG"/>
        </w:rPr>
        <w:t>При употребата на статини, включително симвастатин, има редки постмаркетингови съобщения за когнитивни нарушения (напр.загуба на паметта, лесно забравяне, амнезия, нарушения на паметта, обърканост). Като цяло съобщенията са били несериозни и обратими при прекратяване на лечението със статин, с различно време до поява на симптомите (от 1 ден до 1 година) и на отзвучаване (средно 3 седмици) на симптомите.</w:t>
      </w:r>
    </w:p>
    <w:p w14:paraId="6E24F0A9" w14:textId="77777777" w:rsidR="00C002BE" w:rsidRPr="00C002BE" w:rsidRDefault="00C002BE" w:rsidP="00C002BE">
      <w:pPr>
        <w:spacing w:line="240" w:lineRule="auto"/>
        <w:rPr>
          <w:rFonts w:eastAsia="Times New Roman" w:cs="Arial"/>
          <w:color w:val="000000"/>
          <w:lang w:eastAsia="bg-BG"/>
        </w:rPr>
      </w:pPr>
    </w:p>
    <w:p w14:paraId="51D5697D" w14:textId="33CA2CC9" w:rsidR="00C002BE" w:rsidRPr="00C002BE" w:rsidRDefault="00C002BE" w:rsidP="00C002BE">
      <w:pPr>
        <w:spacing w:line="240" w:lineRule="auto"/>
        <w:rPr>
          <w:rFonts w:eastAsia="Times New Roman" w:cs="Arial"/>
        </w:rPr>
      </w:pPr>
      <w:r w:rsidRPr="00C002BE">
        <w:rPr>
          <w:rFonts w:eastAsia="Times New Roman" w:cs="Arial"/>
          <w:color w:val="000000"/>
          <w:lang w:eastAsia="bg-BG"/>
        </w:rPr>
        <w:t>Следните допълнителни нежелани събития са съобщавани с някои статини:</w:t>
      </w:r>
    </w:p>
    <w:p w14:paraId="033CBD53" w14:textId="77777777" w:rsidR="00C002BE" w:rsidRPr="00C002BE" w:rsidRDefault="00C002BE" w:rsidP="00C002BE">
      <w:pPr>
        <w:pStyle w:val="ListParagraph"/>
        <w:numPr>
          <w:ilvl w:val="0"/>
          <w:numId w:val="39"/>
        </w:numPr>
        <w:rPr>
          <w:lang w:eastAsia="bg-BG"/>
        </w:rPr>
      </w:pPr>
      <w:r w:rsidRPr="00C002BE">
        <w:rPr>
          <w:lang w:eastAsia="bg-BG"/>
        </w:rPr>
        <w:t>нарушения на съня, включително кошмари</w:t>
      </w:r>
    </w:p>
    <w:p w14:paraId="4C37D59E" w14:textId="77777777" w:rsidR="00C002BE" w:rsidRPr="00C002BE" w:rsidRDefault="00C002BE" w:rsidP="00C002BE">
      <w:pPr>
        <w:pStyle w:val="ListParagraph"/>
        <w:numPr>
          <w:ilvl w:val="0"/>
          <w:numId w:val="39"/>
        </w:numPr>
        <w:rPr>
          <w:lang w:eastAsia="bg-BG"/>
        </w:rPr>
      </w:pPr>
      <w:r w:rsidRPr="00C002BE">
        <w:rPr>
          <w:lang w:eastAsia="bg-BG"/>
        </w:rPr>
        <w:lastRenderedPageBreak/>
        <w:t>сексуална дисфункция</w:t>
      </w:r>
    </w:p>
    <w:p w14:paraId="150AFEA5" w14:textId="77777777" w:rsidR="00C002BE" w:rsidRPr="00C002BE" w:rsidRDefault="00C002BE" w:rsidP="00C002BE">
      <w:pPr>
        <w:pStyle w:val="ListParagraph"/>
        <w:numPr>
          <w:ilvl w:val="0"/>
          <w:numId w:val="39"/>
        </w:numPr>
        <w:rPr>
          <w:lang w:eastAsia="bg-BG"/>
        </w:rPr>
      </w:pPr>
      <w:r w:rsidRPr="00C002BE">
        <w:rPr>
          <w:lang w:eastAsia="bg-BG"/>
        </w:rPr>
        <w:t xml:space="preserve">захарен диабет: честотата зависи от наличието или отсъствието на рискови фактори (глюкоза на гладно ≥ 5,6 </w:t>
      </w:r>
      <w:proofErr w:type="spellStart"/>
      <w:r w:rsidRPr="00C002BE">
        <w:rPr>
          <w:lang w:val="en-US"/>
        </w:rPr>
        <w:t>mmol</w:t>
      </w:r>
      <w:proofErr w:type="spellEnd"/>
      <w:r w:rsidRPr="00C002BE">
        <w:rPr>
          <w:lang w:val="ru-RU"/>
        </w:rPr>
        <w:t xml:space="preserve">/1, </w:t>
      </w:r>
      <w:r w:rsidRPr="00C002BE">
        <w:rPr>
          <w:lang w:eastAsia="bg-BG"/>
        </w:rPr>
        <w:t xml:space="preserve">ИТТ&gt;30 </w:t>
      </w:r>
      <w:r w:rsidRPr="00C002BE">
        <w:rPr>
          <w:lang w:val="en-US"/>
        </w:rPr>
        <w:t>kg</w:t>
      </w:r>
      <w:r w:rsidRPr="00C002BE">
        <w:rPr>
          <w:lang w:val="ru-RU"/>
        </w:rPr>
        <w:t>/</w:t>
      </w:r>
      <w:r w:rsidRPr="00C002BE">
        <w:rPr>
          <w:lang w:val="en-US"/>
        </w:rPr>
        <w:t>m</w:t>
      </w:r>
      <w:r w:rsidRPr="00C002BE">
        <w:rPr>
          <w:vertAlign w:val="superscript"/>
          <w:lang w:val="ru-RU"/>
        </w:rPr>
        <w:t>2</w:t>
      </w:r>
      <w:r w:rsidRPr="00C002BE">
        <w:rPr>
          <w:lang w:val="ru-RU"/>
        </w:rPr>
        <w:t xml:space="preserve">, </w:t>
      </w:r>
      <w:r w:rsidRPr="00C002BE">
        <w:rPr>
          <w:lang w:eastAsia="bg-BG"/>
        </w:rPr>
        <w:t>повишени триглицериди, анамнеза за хипертония).</w:t>
      </w:r>
    </w:p>
    <w:p w14:paraId="765C0FE1" w14:textId="77777777" w:rsidR="00C002BE" w:rsidRPr="00C002BE" w:rsidRDefault="00C002BE" w:rsidP="00C002BE">
      <w:pPr>
        <w:spacing w:line="240" w:lineRule="auto"/>
        <w:rPr>
          <w:rFonts w:eastAsia="Times New Roman" w:cs="Arial"/>
          <w:color w:val="000000"/>
          <w:u w:val="single"/>
          <w:lang w:eastAsia="bg-BG"/>
        </w:rPr>
      </w:pPr>
    </w:p>
    <w:p w14:paraId="61D7CE2A" w14:textId="1A3174D7"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Педиатрична популация</w:t>
      </w:r>
    </w:p>
    <w:p w14:paraId="2F0D1360" w14:textId="77777777" w:rsidR="00C002BE" w:rsidRPr="00C002BE" w:rsidRDefault="00C002BE" w:rsidP="00C002BE">
      <w:pPr>
        <w:spacing w:line="240" w:lineRule="auto"/>
        <w:rPr>
          <w:rFonts w:eastAsia="Times New Roman" w:cs="Arial"/>
        </w:rPr>
      </w:pPr>
      <w:r w:rsidRPr="00C002BE">
        <w:rPr>
          <w:rFonts w:eastAsia="Times New Roman" w:cs="Arial"/>
          <w:color w:val="000000"/>
          <w:lang w:eastAsia="bg-BG"/>
        </w:rPr>
        <w:t xml:space="preserve">В 48-седмично изпитване, включващо деца и юноши (момчета </w:t>
      </w:r>
      <w:r w:rsidRPr="00C002BE">
        <w:rPr>
          <w:rFonts w:eastAsia="Times New Roman" w:cs="Arial"/>
          <w:color w:val="000000"/>
          <w:lang w:val="en-US"/>
        </w:rPr>
        <w:t>II</w:t>
      </w:r>
      <w:r w:rsidRPr="00C002BE">
        <w:rPr>
          <w:rFonts w:eastAsia="Times New Roman" w:cs="Arial"/>
          <w:color w:val="000000"/>
          <w:lang w:eastAsia="bg-BG"/>
        </w:rPr>
        <w:t xml:space="preserve"> стадий по Танер и повече и момичета с поне една година след менархе) 10 17 години с хетерозиготна фамилна хиперхолестеролемия (</w:t>
      </w:r>
      <w:r w:rsidRPr="00C002BE">
        <w:rPr>
          <w:rFonts w:eastAsia="Times New Roman" w:cs="Arial"/>
          <w:color w:val="000000"/>
          <w:lang w:val="en-US"/>
        </w:rPr>
        <w:t>n</w:t>
      </w:r>
      <w:r w:rsidRPr="00C002BE">
        <w:rPr>
          <w:rFonts w:eastAsia="Times New Roman" w:cs="Arial"/>
          <w:color w:val="000000"/>
          <w:lang w:eastAsia="bg-BG"/>
        </w:rPr>
        <w:t xml:space="preserve"> = 175), профилът на безопасност и поносимост на групата, лекувана със симвастатин, е подобен на този в групата, приемала плацебо. Дългосрочните ефекти върху физическото, интелектуалното и половото съзряване са неизвестни. Понастоящем няма достатъчно налични данни след лечение в продължение на 1 година (вж. точки 4.2, 4.4 и 5.1).</w:t>
      </w:r>
    </w:p>
    <w:p w14:paraId="7DE27192" w14:textId="77777777" w:rsidR="00C002BE" w:rsidRPr="00C002BE" w:rsidRDefault="00C002BE" w:rsidP="00C002BE">
      <w:pPr>
        <w:spacing w:line="240" w:lineRule="auto"/>
        <w:rPr>
          <w:rFonts w:eastAsia="Times New Roman" w:cs="Arial"/>
          <w:color w:val="000000"/>
          <w:u w:val="single"/>
          <w:lang w:eastAsia="bg-BG"/>
        </w:rPr>
      </w:pPr>
    </w:p>
    <w:p w14:paraId="23AD15DB" w14:textId="44DA1849" w:rsidR="00C002BE" w:rsidRPr="00C002BE" w:rsidRDefault="00C002BE" w:rsidP="00C002BE">
      <w:pPr>
        <w:spacing w:line="240" w:lineRule="auto"/>
        <w:rPr>
          <w:rFonts w:eastAsia="Times New Roman" w:cs="Arial"/>
        </w:rPr>
      </w:pPr>
      <w:r w:rsidRPr="00C002BE">
        <w:rPr>
          <w:rFonts w:eastAsia="Times New Roman" w:cs="Arial"/>
          <w:color w:val="000000"/>
          <w:u w:val="single"/>
          <w:lang w:eastAsia="bg-BG"/>
        </w:rPr>
        <w:t>Съобщаване на подозирани нежелани реакции</w:t>
      </w:r>
    </w:p>
    <w:p w14:paraId="0FB2571C" w14:textId="422C2D14" w:rsidR="00C002BE" w:rsidRPr="00C002BE" w:rsidRDefault="00C002BE" w:rsidP="00C002BE">
      <w:pPr>
        <w:spacing w:line="240" w:lineRule="auto"/>
        <w:rPr>
          <w:rFonts w:eastAsia="Times New Roman" w:cs="Arial"/>
          <w:lang w:val="ru-RU"/>
        </w:rPr>
      </w:pPr>
      <w:r w:rsidRPr="00C002B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№8,1303 София, тел.: 02 8903417, уебсайт: </w:t>
      </w:r>
      <w:r w:rsidRPr="00C002BE">
        <w:rPr>
          <w:rFonts w:eastAsia="Times New Roman" w:cs="Arial"/>
        </w:rPr>
        <w:fldChar w:fldCharType="begin"/>
      </w:r>
      <w:r w:rsidRPr="00C002BE">
        <w:rPr>
          <w:rFonts w:eastAsia="Times New Roman" w:cs="Arial"/>
        </w:rPr>
        <w:instrText xml:space="preserve"> HYPERLINK "http://www.bda.bg" </w:instrText>
      </w:r>
      <w:r w:rsidRPr="00C002BE">
        <w:rPr>
          <w:rFonts w:eastAsia="Times New Roman" w:cs="Arial"/>
        </w:rPr>
      </w:r>
      <w:r w:rsidRPr="00C002BE">
        <w:rPr>
          <w:rFonts w:eastAsia="Times New Roman" w:cs="Arial"/>
        </w:rPr>
        <w:fldChar w:fldCharType="separate"/>
      </w:r>
      <w:r w:rsidRPr="00C002BE">
        <w:rPr>
          <w:rFonts w:eastAsia="Times New Roman" w:cs="Arial"/>
          <w:color w:val="000000"/>
          <w:lang w:val="en-US"/>
        </w:rPr>
        <w:t>www</w:t>
      </w:r>
      <w:r w:rsidRPr="00C002BE">
        <w:rPr>
          <w:rFonts w:eastAsia="Times New Roman" w:cs="Arial"/>
          <w:color w:val="000000"/>
          <w:lang w:val="ru-RU"/>
        </w:rPr>
        <w:t>.</w:t>
      </w:r>
      <w:proofErr w:type="spellStart"/>
      <w:r w:rsidRPr="00C002BE">
        <w:rPr>
          <w:rFonts w:eastAsia="Times New Roman" w:cs="Arial"/>
          <w:color w:val="000000"/>
          <w:lang w:val="en-US"/>
        </w:rPr>
        <w:t>bda</w:t>
      </w:r>
      <w:proofErr w:type="spellEnd"/>
      <w:r w:rsidRPr="00C002BE">
        <w:rPr>
          <w:rFonts w:eastAsia="Times New Roman" w:cs="Arial"/>
          <w:color w:val="000000"/>
          <w:lang w:val="ru-RU"/>
        </w:rPr>
        <w:t>.</w:t>
      </w:r>
      <w:proofErr w:type="spellStart"/>
      <w:r w:rsidRPr="00C002BE">
        <w:rPr>
          <w:rFonts w:eastAsia="Times New Roman" w:cs="Arial"/>
          <w:color w:val="000000"/>
          <w:lang w:val="en-US"/>
        </w:rPr>
        <w:t>bg</w:t>
      </w:r>
      <w:proofErr w:type="spellEnd"/>
      <w:r w:rsidRPr="00C002BE">
        <w:rPr>
          <w:rFonts w:eastAsia="Times New Roman" w:cs="Arial"/>
        </w:rPr>
        <w:fldChar w:fldCharType="end"/>
      </w:r>
      <w:r w:rsidRPr="00C002BE">
        <w:rPr>
          <w:rFonts w:eastAsia="Times New Roman" w:cs="Arial"/>
          <w:color w:val="000000"/>
          <w:lang w:val="ru-RU"/>
        </w:rPr>
        <w:t>.</w:t>
      </w:r>
    </w:p>
    <w:p w14:paraId="4966EFEE" w14:textId="77777777" w:rsidR="00C002BE" w:rsidRPr="00C002BE" w:rsidRDefault="00C002BE" w:rsidP="00C002BE"/>
    <w:p w14:paraId="0A023CE0" w14:textId="6E2E02FE" w:rsidR="00CF77F7" w:rsidRDefault="002C50EE" w:rsidP="004A448E">
      <w:pPr>
        <w:pStyle w:val="Heading2"/>
      </w:pPr>
      <w:r>
        <w:t>4.9. Предозиране</w:t>
      </w:r>
    </w:p>
    <w:p w14:paraId="7635B69E" w14:textId="05ABBE6B" w:rsidR="00C002BE" w:rsidRDefault="00C002BE" w:rsidP="00C002BE"/>
    <w:p w14:paraId="28B4BB75" w14:textId="75CADB20" w:rsidR="00C002BE" w:rsidRPr="00C002BE" w:rsidRDefault="00C002BE" w:rsidP="00C002BE">
      <w:r>
        <w:t xml:space="preserve">До момента са докладвани единични случаи на предозиране; максималната приета доза е 3,6 </w:t>
      </w:r>
      <w:r>
        <w:rPr>
          <w:lang w:val="en-US"/>
        </w:rPr>
        <w:t>g</w:t>
      </w:r>
      <w:r w:rsidRPr="00C002BE">
        <w:rPr>
          <w:lang w:val="ru-RU"/>
        </w:rPr>
        <w:t xml:space="preserve">. </w:t>
      </w:r>
      <w:r>
        <w:t>Всички пациенти са се възстановили без последствия. Няма специфично лечение при предозиране. В такива случаи трябва да се предприеме симптоматично и поддържащо лечение.</w:t>
      </w:r>
    </w:p>
    <w:p w14:paraId="02081B24" w14:textId="1F46E296" w:rsidR="00395555" w:rsidRPr="00395555" w:rsidRDefault="002C50EE" w:rsidP="008A6AF2">
      <w:pPr>
        <w:pStyle w:val="Heading1"/>
      </w:pPr>
      <w:r>
        <w:t>5. ФАРМАКОЛОГИЧНИ СВОЙСТВА</w:t>
      </w:r>
    </w:p>
    <w:p w14:paraId="32B6DE66" w14:textId="024542EE" w:rsidR="00CF77F7" w:rsidRDefault="002C50EE" w:rsidP="004A448E">
      <w:pPr>
        <w:pStyle w:val="Heading2"/>
      </w:pPr>
      <w:r>
        <w:t>5.1. Фармакодинамични свойства</w:t>
      </w:r>
    </w:p>
    <w:p w14:paraId="362551F1" w14:textId="50C56E35" w:rsidR="00C002BE" w:rsidRDefault="00C002BE" w:rsidP="00C002BE"/>
    <w:p w14:paraId="34AE678C"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Фармакотерапевтична група: </w:t>
      </w:r>
      <w:r w:rsidRPr="00C002BE">
        <w:rPr>
          <w:rFonts w:eastAsia="Times New Roman" w:cs="Arial"/>
          <w:color w:val="000000"/>
          <w:szCs w:val="20"/>
          <w:lang w:val="en-US"/>
        </w:rPr>
        <w:t>HMG</w:t>
      </w:r>
      <w:r w:rsidRPr="00C002BE">
        <w:rPr>
          <w:rFonts w:eastAsia="Times New Roman" w:cs="Arial"/>
          <w:color w:val="000000"/>
          <w:szCs w:val="20"/>
          <w:lang w:val="ru-RU"/>
        </w:rPr>
        <w:t>-</w:t>
      </w:r>
      <w:r w:rsidRPr="00C002BE">
        <w:rPr>
          <w:rFonts w:eastAsia="Times New Roman" w:cs="Arial"/>
          <w:color w:val="000000"/>
          <w:szCs w:val="20"/>
          <w:lang w:val="en-US"/>
        </w:rPr>
        <w:t>CoA</w:t>
      </w:r>
      <w:r w:rsidRPr="00C002BE">
        <w:rPr>
          <w:rFonts w:eastAsia="Times New Roman" w:cs="Arial"/>
          <w:color w:val="000000"/>
          <w:szCs w:val="20"/>
          <w:lang w:val="ru-RU"/>
        </w:rPr>
        <w:t xml:space="preserve"> </w:t>
      </w:r>
      <w:r w:rsidRPr="00C002BE">
        <w:rPr>
          <w:rFonts w:eastAsia="Times New Roman" w:cs="Arial"/>
          <w:color w:val="000000"/>
          <w:szCs w:val="20"/>
          <w:lang w:eastAsia="bg-BG"/>
        </w:rPr>
        <w:t>редуктазни инхибитори, АТС код: С10А А01</w:t>
      </w:r>
    </w:p>
    <w:p w14:paraId="47B0EFF4" w14:textId="77777777" w:rsidR="00C002BE" w:rsidRPr="00C002BE" w:rsidRDefault="00C002BE" w:rsidP="00C002BE">
      <w:pPr>
        <w:spacing w:line="240" w:lineRule="auto"/>
        <w:rPr>
          <w:rFonts w:eastAsia="Times New Roman" w:cs="Arial"/>
          <w:color w:val="000000"/>
          <w:szCs w:val="20"/>
          <w:u w:val="single"/>
          <w:lang w:eastAsia="bg-BG"/>
        </w:rPr>
      </w:pPr>
    </w:p>
    <w:p w14:paraId="21C7367C" w14:textId="473E9A44"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Механизъм на действие</w:t>
      </w:r>
    </w:p>
    <w:p w14:paraId="7281F79A"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След перорално приложение, симвастатин, който е неактивен лактон, се хидролизира в черния дроб до съответната активна бета-хидроксикиселина, която има мощна потискаща активност спрямо </w:t>
      </w:r>
      <w:r w:rsidRPr="00C002BE">
        <w:rPr>
          <w:rFonts w:eastAsia="Times New Roman" w:cs="Arial"/>
          <w:color w:val="000000"/>
          <w:szCs w:val="20"/>
          <w:lang w:val="en-US"/>
        </w:rPr>
        <w:t>HMG</w:t>
      </w:r>
      <w:r w:rsidRPr="00C002BE">
        <w:rPr>
          <w:rFonts w:eastAsia="Times New Roman" w:cs="Arial"/>
          <w:color w:val="000000"/>
          <w:szCs w:val="20"/>
          <w:lang w:val="ru-RU"/>
        </w:rPr>
        <w:t>-</w:t>
      </w:r>
      <w:r w:rsidRPr="00C002BE">
        <w:rPr>
          <w:rFonts w:eastAsia="Times New Roman" w:cs="Arial"/>
          <w:color w:val="000000"/>
          <w:szCs w:val="20"/>
          <w:lang w:val="en-US"/>
        </w:rPr>
        <w:t>CoA</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редуктазата (3 хидрокси - 3 метилглутарил СоА редуктаза). Този ензим катализира превръщането на </w:t>
      </w:r>
      <w:r w:rsidRPr="00C002BE">
        <w:rPr>
          <w:rFonts w:eastAsia="Times New Roman" w:cs="Arial"/>
          <w:color w:val="000000"/>
          <w:szCs w:val="20"/>
          <w:lang w:val="en-US"/>
        </w:rPr>
        <w:t>HMG</w:t>
      </w:r>
      <w:r w:rsidRPr="00C002BE">
        <w:rPr>
          <w:rFonts w:eastAsia="Times New Roman" w:cs="Arial"/>
          <w:color w:val="000000"/>
          <w:szCs w:val="20"/>
          <w:lang w:val="ru-RU"/>
        </w:rPr>
        <w:t>-</w:t>
      </w:r>
      <w:r w:rsidRPr="00C002BE">
        <w:rPr>
          <w:rFonts w:eastAsia="Times New Roman" w:cs="Arial"/>
          <w:color w:val="000000"/>
          <w:szCs w:val="20"/>
          <w:lang w:val="en-US"/>
        </w:rPr>
        <w:t>CoA</w:t>
      </w:r>
      <w:r w:rsidRPr="00C002BE">
        <w:rPr>
          <w:rFonts w:eastAsia="Times New Roman" w:cs="Arial"/>
          <w:color w:val="000000"/>
          <w:szCs w:val="20"/>
          <w:lang w:val="ru-RU"/>
        </w:rPr>
        <w:t xml:space="preserve"> </w:t>
      </w:r>
      <w:r w:rsidRPr="00C002BE">
        <w:rPr>
          <w:rFonts w:eastAsia="Times New Roman" w:cs="Arial"/>
          <w:color w:val="000000"/>
          <w:szCs w:val="20"/>
          <w:lang w:eastAsia="bg-BG"/>
        </w:rPr>
        <w:t>в мевалонат, ранна и скоростоопределяща стъпка в биосинтезата на холестерол.</w:t>
      </w:r>
    </w:p>
    <w:p w14:paraId="0EBCF762" w14:textId="77777777" w:rsidR="00C002BE" w:rsidRPr="00C002BE" w:rsidRDefault="00C002BE" w:rsidP="00C002BE">
      <w:pPr>
        <w:spacing w:line="240" w:lineRule="auto"/>
        <w:rPr>
          <w:rFonts w:eastAsia="Times New Roman" w:cs="Arial"/>
          <w:color w:val="000000"/>
          <w:szCs w:val="20"/>
          <w:lang w:eastAsia="bg-BG"/>
        </w:rPr>
      </w:pPr>
    </w:p>
    <w:p w14:paraId="7F04D6DD" w14:textId="69F247E4"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Има данни, че симвастатин намалява нормални и повишени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концентрации.</w:t>
      </w:r>
      <w:r w:rsidRPr="00C002BE">
        <w:rPr>
          <w:rFonts w:eastAsia="Times New Roman" w:cs="Arial"/>
          <w:color w:val="000000"/>
          <w:szCs w:val="20"/>
          <w:lang w:val="ru-RU"/>
        </w:rPr>
        <w:t xml:space="preserve">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се образуват от липопротеините с много ниска плътност </w:t>
      </w:r>
      <w:r w:rsidRPr="00C002BE">
        <w:rPr>
          <w:rFonts w:eastAsia="Times New Roman" w:cs="Arial"/>
          <w:color w:val="000000"/>
          <w:szCs w:val="20"/>
          <w:lang w:val="ru-RU"/>
        </w:rPr>
        <w:t>(</w:t>
      </w:r>
      <w:r w:rsidRPr="00C002BE">
        <w:rPr>
          <w:rFonts w:eastAsia="Times New Roman" w:cs="Arial"/>
          <w:color w:val="000000"/>
          <w:szCs w:val="20"/>
          <w:lang w:val="en-US"/>
        </w:rPr>
        <w:t>VLDL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се катаболизират основно от високо афинитетния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рецептор. Механизмът на </w:t>
      </w:r>
      <w:r w:rsidRPr="00C002BE">
        <w:rPr>
          <w:rFonts w:eastAsia="Times New Roman" w:cs="Arial"/>
          <w:color w:val="000000"/>
          <w:szCs w:val="20"/>
          <w:lang w:val="en-US"/>
        </w:rPr>
        <w:t>LDL</w:t>
      </w:r>
      <w:r w:rsidRPr="00C002BE">
        <w:rPr>
          <w:rFonts w:eastAsia="Times New Roman" w:cs="Arial"/>
          <w:color w:val="000000"/>
          <w:szCs w:val="20"/>
          <w:lang w:eastAsia="bg-BG"/>
        </w:rPr>
        <w:t xml:space="preserve">-понижаващия ефект на симвастатин, може да включва едновременно редукция на </w:t>
      </w:r>
      <w:r w:rsidRPr="00C002BE">
        <w:rPr>
          <w:rFonts w:eastAsia="Times New Roman" w:cs="Arial"/>
          <w:color w:val="000000"/>
          <w:szCs w:val="20"/>
          <w:lang w:val="en-US"/>
        </w:rPr>
        <w:t>VLDL</w:t>
      </w:r>
      <w:r w:rsidRPr="00C002BE">
        <w:rPr>
          <w:rFonts w:eastAsia="Times New Roman" w:cs="Arial"/>
          <w:color w:val="000000"/>
          <w:szCs w:val="20"/>
          <w:lang w:eastAsia="bg-BG"/>
        </w:rPr>
        <w:t>-холестероловата (</w:t>
      </w:r>
      <w:r w:rsidRPr="00C002BE">
        <w:rPr>
          <w:rFonts w:eastAsia="Times New Roman" w:cs="Arial"/>
          <w:color w:val="000000"/>
          <w:szCs w:val="20"/>
          <w:lang w:val="en-US"/>
        </w:rPr>
        <w:t>VLDL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концентрация и</w:t>
      </w:r>
    </w:p>
    <w:p w14:paraId="5F0C41B9" w14:textId="77777777" w:rsidR="00C002BE" w:rsidRPr="00C002BE" w:rsidRDefault="00C002BE" w:rsidP="00C002BE">
      <w:pPr>
        <w:rPr>
          <w:rFonts w:eastAsia="Times New Roman" w:cs="Arial"/>
          <w:sz w:val="28"/>
          <w:szCs w:val="24"/>
        </w:rPr>
      </w:pPr>
      <w:r w:rsidRPr="00C002BE">
        <w:rPr>
          <w:rFonts w:eastAsia="Times New Roman" w:cs="Arial"/>
          <w:color w:val="000000"/>
          <w:szCs w:val="20"/>
          <w:lang w:eastAsia="bg-BG"/>
        </w:rPr>
        <w:t xml:space="preserve">индукция на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рецептора, което води до намалено образуване и повишен катаболизъм на</w:t>
      </w:r>
      <w:r w:rsidRPr="00C002BE">
        <w:rPr>
          <w:rFonts w:eastAsia="Times New Roman" w:cs="Arial"/>
          <w:color w:val="000000"/>
          <w:szCs w:val="20"/>
          <w:vertAlign w:val="superscript"/>
          <w:lang w:eastAsia="bg-BG"/>
        </w:rPr>
        <w:t xml:space="preserve"> </w:t>
      </w:r>
      <w:r w:rsidRPr="00C002BE">
        <w:rPr>
          <w:rFonts w:eastAsia="Times New Roman" w:cs="Arial"/>
          <w:color w:val="000000"/>
          <w:szCs w:val="20"/>
          <w:lang w:val="en-US"/>
        </w:rPr>
        <w:t>LDL</w:t>
      </w:r>
      <w:r w:rsidRPr="00C002BE">
        <w:rPr>
          <w:rFonts w:eastAsia="Times New Roman" w:cs="Arial"/>
          <w:color w:val="000000"/>
          <w:szCs w:val="20"/>
          <w:lang w:eastAsia="bg-BG"/>
        </w:rPr>
        <w:t xml:space="preserve">-С. Аполипопротеин В също спада значително по време на лечение със </w:t>
      </w:r>
      <w:r w:rsidRPr="00C002BE">
        <w:rPr>
          <w:rFonts w:eastAsia="Times New Roman" w:cs="Arial"/>
          <w:color w:val="000000"/>
          <w:szCs w:val="20"/>
          <w:lang w:eastAsia="bg-BG"/>
        </w:rPr>
        <w:lastRenderedPageBreak/>
        <w:t xml:space="preserve">симвастатин. В допълнение, симвастатин умерено увеличава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намалява плазмения </w:t>
      </w:r>
      <w:r w:rsidRPr="00C002BE">
        <w:rPr>
          <w:rFonts w:eastAsia="Times New Roman" w:cs="Arial"/>
          <w:color w:val="000000"/>
          <w:szCs w:val="20"/>
          <w:lang w:val="en-US"/>
        </w:rPr>
        <w:t>TG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В резултат на тези изменения, съотношението между общия холестерол спрямо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w:t>
      </w:r>
      <w:r w:rsidRPr="00C002BE">
        <w:rPr>
          <w:rFonts w:eastAsia="Times New Roman" w:cs="Arial"/>
          <w:color w:val="000000"/>
          <w:szCs w:val="20"/>
          <w:lang w:val="en-US"/>
        </w:rPr>
        <w:t>LDL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към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се намалява.</w:t>
      </w:r>
    </w:p>
    <w:p w14:paraId="07A7F593" w14:textId="77777777" w:rsidR="00C002BE" w:rsidRPr="00C002BE" w:rsidRDefault="00C002BE" w:rsidP="00C002BE">
      <w:pPr>
        <w:spacing w:line="240" w:lineRule="auto"/>
        <w:rPr>
          <w:rFonts w:eastAsia="Times New Roman" w:cs="Arial"/>
          <w:color w:val="000000"/>
          <w:szCs w:val="20"/>
          <w:u w:val="single"/>
          <w:lang w:eastAsia="bg-BG"/>
        </w:rPr>
      </w:pPr>
    </w:p>
    <w:p w14:paraId="74423344" w14:textId="2BCD8D0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Клинична ефикасност и безопасност</w:t>
      </w:r>
    </w:p>
    <w:p w14:paraId="2AB5A879" w14:textId="77777777" w:rsidR="00C002BE" w:rsidRPr="00C002BE" w:rsidRDefault="00C002BE" w:rsidP="00C002BE">
      <w:pPr>
        <w:spacing w:line="240" w:lineRule="auto"/>
        <w:rPr>
          <w:rFonts w:eastAsia="Times New Roman" w:cs="Arial"/>
          <w:sz w:val="28"/>
          <w:szCs w:val="24"/>
        </w:rPr>
      </w:pPr>
      <w:r w:rsidRPr="00C002BE">
        <w:rPr>
          <w:rFonts w:eastAsia="Times New Roman" w:cs="Arial"/>
          <w:i/>
          <w:iCs/>
          <w:color w:val="000000"/>
          <w:szCs w:val="20"/>
          <w:lang w:eastAsia="bg-BG"/>
        </w:rPr>
        <w:t>Висок риск от исхемична болест на сърцето (ИБС) или съществуваща исхемична болест на сърцето</w:t>
      </w:r>
    </w:p>
    <w:p w14:paraId="160CEBAC"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w:t>
      </w:r>
      <w:r w:rsidRPr="00C002BE">
        <w:rPr>
          <w:rFonts w:eastAsia="Times New Roman" w:cs="Arial"/>
          <w:color w:val="000000"/>
          <w:szCs w:val="20"/>
          <w:lang w:val="en-US"/>
        </w:rPr>
        <w:t>Heart</w:t>
      </w:r>
      <w:r w:rsidRPr="00C002BE">
        <w:rPr>
          <w:rFonts w:eastAsia="Times New Roman" w:cs="Arial"/>
          <w:color w:val="000000"/>
          <w:szCs w:val="20"/>
          <w:lang w:val="ru-RU"/>
        </w:rPr>
        <w:t xml:space="preserve"> </w:t>
      </w:r>
      <w:r w:rsidRPr="00C002BE">
        <w:rPr>
          <w:rFonts w:eastAsia="Times New Roman" w:cs="Arial"/>
          <w:color w:val="000000"/>
          <w:szCs w:val="20"/>
          <w:lang w:val="en-US"/>
        </w:rPr>
        <w:t>Protection</w:t>
      </w:r>
      <w:r w:rsidRPr="00C002BE">
        <w:rPr>
          <w:rFonts w:eastAsia="Times New Roman" w:cs="Arial"/>
          <w:color w:val="000000"/>
          <w:szCs w:val="20"/>
          <w:lang w:val="ru-RU"/>
        </w:rPr>
        <w:t xml:space="preserve"> </w:t>
      </w:r>
      <w:r w:rsidRPr="00C002BE">
        <w:rPr>
          <w:rFonts w:eastAsia="Times New Roman" w:cs="Arial"/>
          <w:color w:val="000000"/>
          <w:szCs w:val="20"/>
          <w:lang w:val="en-US"/>
        </w:rPr>
        <w:t>Study</w:t>
      </w:r>
      <w:r w:rsidRPr="00C002BE">
        <w:rPr>
          <w:rFonts w:eastAsia="Times New Roman" w:cs="Arial"/>
          <w:color w:val="000000"/>
          <w:szCs w:val="20"/>
          <w:lang w:val="ru-RU"/>
        </w:rPr>
        <w:t xml:space="preserve"> (</w:t>
      </w:r>
      <w:r w:rsidRPr="00C002BE">
        <w:rPr>
          <w:rFonts w:eastAsia="Times New Roman" w:cs="Arial"/>
          <w:color w:val="000000"/>
          <w:szCs w:val="20"/>
          <w:lang w:val="en-US"/>
        </w:rPr>
        <w:t>HPS</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ефектите от терапия със симвастатин са оценени при 20 536 пациенти (на възраст 40 - 80 години), които са със или без хиперлипидемия и с исхемична болест на сърцето, друго оклузивно артериално заболяване или захарен диабет. В това изследване 10 269 пациенти са приемали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дневно, а 10 267 пациенти са приемали плацебо със средна продължителност на лечението от 5 години. В началото, 6 793 пациенти (33 %) са имали стойности на </w:t>
      </w:r>
      <w:r w:rsidRPr="00C002BE">
        <w:rPr>
          <w:rFonts w:eastAsia="Times New Roman" w:cs="Arial"/>
          <w:color w:val="000000"/>
          <w:szCs w:val="20"/>
          <w:lang w:val="en-US"/>
        </w:rPr>
        <w:t>LDL</w:t>
      </w:r>
      <w:r w:rsidRPr="00C002BE">
        <w:rPr>
          <w:rFonts w:eastAsia="Times New Roman" w:cs="Arial"/>
          <w:color w:val="000000"/>
          <w:szCs w:val="20"/>
          <w:lang w:eastAsia="bg-BG"/>
        </w:rPr>
        <w:t xml:space="preserve">-С под 116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5 063 пациенти (25 %) са били със стойности между 116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135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8 680 пациенти (42 %) са имали стойности над 135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w:t>
      </w:r>
    </w:p>
    <w:p w14:paraId="6EA3BBD4" w14:textId="77777777" w:rsidR="00C002BE" w:rsidRPr="00C002BE" w:rsidRDefault="00C002BE" w:rsidP="00C002BE">
      <w:pPr>
        <w:spacing w:line="240" w:lineRule="auto"/>
        <w:rPr>
          <w:rFonts w:eastAsia="Times New Roman" w:cs="Arial"/>
          <w:color w:val="000000"/>
          <w:szCs w:val="20"/>
          <w:lang w:eastAsia="bg-BG"/>
        </w:rPr>
      </w:pPr>
    </w:p>
    <w:p w14:paraId="08B9E46E" w14:textId="5184CC70"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Лечението със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дневно, в сравнение с плацебо, значително намалява риска от обща смъртност (1 328 [12,9 %] при пациенти, лекувани със симвастатин, в сравнение с 1 507 [14,7 %] при пациентите, лекувани с плацебо; р = 0,003), което се дължи на намаление на смъртността вследствие на коронарни инциденти с 18 % (587 [5,7 %] срещу 707 [6,9 %]; р = 0,0005; абсолютно намаляване на риска от 1,2 %). Намаляването на смъртните случаи, вследствие на причини, които не са свързани с кръвоносните съдове не е статистически значимо. Симвастатин също така намалява риска от големи коронарни инциденти (комбинирана крайна точка, състояща се от нефатален миокарден инфаркт или </w:t>
      </w:r>
      <w:r w:rsidRPr="00C002BE">
        <w:rPr>
          <w:rFonts w:eastAsia="Times New Roman" w:cs="Arial"/>
          <w:color w:val="000000"/>
          <w:szCs w:val="20"/>
          <w:lang w:val="en-US"/>
        </w:rPr>
        <w:t>CHD</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смърт) с 27 % (р &lt; 0,0001). Симвастатин намалява необходимостта от коронарни реваскуларизационни процедури (включително коронарен артериален байпас или перкутанна транслуминална коронарна ангиопластика) и периферни или друг вид некоронарни реваскуларизационни процедури с 30 % (р &lt; 0,0001) и 16 % (р = 0,006) съответно. Симвастатин намалява риска от мозъчен инсулт с 25 % (р &lt; 0,0001), което се дължи на намаляване на исхемичния инсулт с 30%. Освен това, в подгрупата на пациенти с диабет, симвастатин намалява риска от поява на макроваскуларни усложнения, включително периферни реваскуларизационни процедури (операции или ангиопластика), ампутации на долен крайник или язви на краката с 21 % (р = 0,0293). Пропорционалното намаление на съответните събития е подобно при всяка подгрупа изследвани пациенти, включително тези без исхемична болест, които са имали цереброваскуларно или периферно артериално заболяване (мъже и жени, на възраст под и над 70 години при включване в проучването, със или без хипертония, особено тези с </w:t>
      </w:r>
      <w:r w:rsidRPr="00C002BE">
        <w:rPr>
          <w:rFonts w:eastAsia="Times New Roman" w:cs="Arial"/>
          <w:color w:val="000000"/>
          <w:szCs w:val="20"/>
          <w:lang w:val="en-US"/>
        </w:rPr>
        <w:t>LDL</w:t>
      </w:r>
      <w:r w:rsidRPr="00C002BE">
        <w:rPr>
          <w:rFonts w:eastAsia="Times New Roman" w:cs="Arial"/>
          <w:color w:val="000000"/>
          <w:szCs w:val="20"/>
          <w:lang w:eastAsia="bg-BG"/>
        </w:rPr>
        <w:t xml:space="preserve">- холестерол под 3,0 </w:t>
      </w:r>
      <w:proofErr w:type="spellStart"/>
      <w:r w:rsidRPr="00C002BE">
        <w:rPr>
          <w:rFonts w:eastAsia="Times New Roman" w:cs="Arial"/>
          <w:color w:val="000000"/>
          <w:szCs w:val="20"/>
          <w:lang w:val="en-US"/>
        </w:rPr>
        <w:t>mmol</w:t>
      </w:r>
      <w:proofErr w:type="spellEnd"/>
      <w:r w:rsidRPr="00C002BE">
        <w:rPr>
          <w:rFonts w:eastAsia="Times New Roman" w:cs="Arial"/>
          <w:color w:val="000000"/>
          <w:szCs w:val="20"/>
          <w:lang w:val="ru-RU"/>
        </w:rPr>
        <w:t xml:space="preserve">/1 </w:t>
      </w:r>
      <w:r w:rsidRPr="00C002BE">
        <w:rPr>
          <w:rFonts w:eastAsia="Times New Roman" w:cs="Arial"/>
          <w:color w:val="000000"/>
          <w:szCs w:val="20"/>
          <w:lang w:eastAsia="bg-BG"/>
        </w:rPr>
        <w:t>при включване).</w:t>
      </w:r>
    </w:p>
    <w:p w14:paraId="5FE0EBF4" w14:textId="77777777" w:rsidR="00C002BE" w:rsidRPr="00C002BE" w:rsidRDefault="00C002BE" w:rsidP="00C002BE">
      <w:pPr>
        <w:spacing w:line="240" w:lineRule="auto"/>
        <w:rPr>
          <w:rFonts w:eastAsia="Times New Roman" w:cs="Arial"/>
          <w:color w:val="000000"/>
          <w:szCs w:val="20"/>
          <w:lang w:eastAsia="bg-BG"/>
        </w:rPr>
      </w:pPr>
    </w:p>
    <w:p w14:paraId="5E7CF340" w14:textId="1A699760"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w:t>
      </w:r>
      <w:r w:rsidRPr="00C002BE">
        <w:rPr>
          <w:rFonts w:eastAsia="Times New Roman" w:cs="Arial"/>
          <w:color w:val="000000"/>
          <w:szCs w:val="20"/>
          <w:lang w:val="en-US"/>
        </w:rPr>
        <w:t>Scandinavian</w:t>
      </w:r>
      <w:r w:rsidRPr="00C002BE">
        <w:rPr>
          <w:rFonts w:eastAsia="Times New Roman" w:cs="Arial"/>
          <w:color w:val="000000"/>
          <w:szCs w:val="20"/>
        </w:rPr>
        <w:t xml:space="preserve"> </w:t>
      </w:r>
      <w:r w:rsidRPr="00C002BE">
        <w:rPr>
          <w:rFonts w:eastAsia="Times New Roman" w:cs="Arial"/>
          <w:color w:val="000000"/>
          <w:szCs w:val="20"/>
          <w:lang w:val="en-US"/>
        </w:rPr>
        <w:t>Simvastatin</w:t>
      </w:r>
      <w:r w:rsidRPr="00C002BE">
        <w:rPr>
          <w:rFonts w:eastAsia="Times New Roman" w:cs="Arial"/>
          <w:color w:val="000000"/>
          <w:szCs w:val="20"/>
        </w:rPr>
        <w:t xml:space="preserve"> </w:t>
      </w:r>
      <w:r w:rsidRPr="00C002BE">
        <w:rPr>
          <w:rFonts w:eastAsia="Times New Roman" w:cs="Arial"/>
          <w:color w:val="000000"/>
          <w:szCs w:val="20"/>
          <w:lang w:val="en-US"/>
        </w:rPr>
        <w:t>Survival</w:t>
      </w:r>
      <w:r w:rsidRPr="00C002BE">
        <w:rPr>
          <w:rFonts w:eastAsia="Times New Roman" w:cs="Arial"/>
          <w:color w:val="000000"/>
          <w:szCs w:val="20"/>
        </w:rPr>
        <w:t xml:space="preserve"> </w:t>
      </w:r>
      <w:r w:rsidRPr="00C002BE">
        <w:rPr>
          <w:rFonts w:eastAsia="Times New Roman" w:cs="Arial"/>
          <w:color w:val="000000"/>
          <w:szCs w:val="20"/>
          <w:lang w:val="en-US"/>
        </w:rPr>
        <w:t>Study</w:t>
      </w:r>
      <w:r w:rsidRPr="00C002BE">
        <w:rPr>
          <w:rFonts w:eastAsia="Times New Roman" w:cs="Arial"/>
          <w:color w:val="000000"/>
          <w:szCs w:val="20"/>
        </w:rPr>
        <w:t xml:space="preserve"> (4</w:t>
      </w:r>
      <w:r w:rsidRPr="00C002BE">
        <w:rPr>
          <w:rFonts w:eastAsia="Times New Roman" w:cs="Arial"/>
          <w:color w:val="000000"/>
          <w:szCs w:val="20"/>
          <w:lang w:val="en-US"/>
        </w:rPr>
        <w:t>S</w:t>
      </w:r>
      <w:r w:rsidRPr="00C002BE">
        <w:rPr>
          <w:rFonts w:eastAsia="Times New Roman" w:cs="Arial"/>
          <w:color w:val="000000"/>
          <w:szCs w:val="20"/>
        </w:rPr>
        <w:t xml:space="preserve">), </w:t>
      </w:r>
      <w:r w:rsidRPr="00C002BE">
        <w:rPr>
          <w:rFonts w:eastAsia="Times New Roman" w:cs="Arial"/>
          <w:color w:val="000000"/>
          <w:szCs w:val="20"/>
          <w:lang w:eastAsia="bg-BG"/>
        </w:rPr>
        <w:t xml:space="preserve">ефектът от терапията със симвастатин върху общата смъртност е оценен при 4 444 пациенти с ИБС и изходни стойности на общия холестерол 212 - 309 </w:t>
      </w:r>
      <w:r w:rsidRPr="00C002BE">
        <w:rPr>
          <w:rFonts w:eastAsia="Times New Roman" w:cs="Arial"/>
          <w:color w:val="000000"/>
          <w:szCs w:val="20"/>
          <w:lang w:val="en-US"/>
        </w:rPr>
        <w:t>mg</w:t>
      </w:r>
      <w:r w:rsidRPr="00C002BE">
        <w:rPr>
          <w:rFonts w:eastAsia="Times New Roman" w:cs="Arial"/>
          <w:color w:val="000000"/>
          <w:szCs w:val="20"/>
        </w:rPr>
        <w:t>/</w:t>
      </w:r>
      <w:r w:rsidRPr="00C002BE">
        <w:rPr>
          <w:rFonts w:eastAsia="Times New Roman" w:cs="Arial"/>
          <w:color w:val="000000"/>
          <w:szCs w:val="20"/>
          <w:lang w:val="en-US"/>
        </w:rPr>
        <w:t>dl</w:t>
      </w:r>
      <w:r w:rsidRPr="00C002BE">
        <w:rPr>
          <w:rFonts w:eastAsia="Times New Roman" w:cs="Arial"/>
          <w:color w:val="000000"/>
          <w:szCs w:val="20"/>
        </w:rPr>
        <w:t xml:space="preserve"> </w:t>
      </w:r>
      <w:r w:rsidRPr="00C002BE">
        <w:rPr>
          <w:rFonts w:eastAsia="Times New Roman" w:cs="Arial"/>
          <w:color w:val="000000"/>
          <w:szCs w:val="20"/>
          <w:lang w:eastAsia="bg-BG"/>
        </w:rPr>
        <w:t xml:space="preserve">(5,5 - 8,0 </w:t>
      </w:r>
      <w:proofErr w:type="spellStart"/>
      <w:r w:rsidRPr="00C002BE">
        <w:rPr>
          <w:rFonts w:eastAsia="Times New Roman" w:cs="Arial"/>
          <w:color w:val="000000"/>
          <w:szCs w:val="20"/>
          <w:lang w:val="en-US"/>
        </w:rPr>
        <w:t>mmol</w:t>
      </w:r>
      <w:proofErr w:type="spellEnd"/>
      <w:r w:rsidRPr="00C002BE">
        <w:rPr>
          <w:rFonts w:eastAsia="Times New Roman" w:cs="Arial"/>
          <w:color w:val="000000"/>
          <w:szCs w:val="20"/>
        </w:rPr>
        <w:t>/</w:t>
      </w:r>
      <w:r w:rsidRPr="00C002BE">
        <w:rPr>
          <w:rFonts w:eastAsia="Times New Roman" w:cs="Arial"/>
          <w:color w:val="000000"/>
          <w:szCs w:val="20"/>
          <w:lang w:val="en-US"/>
        </w:rPr>
        <w:t>L</w:t>
      </w:r>
      <w:r w:rsidRPr="00C002BE">
        <w:rPr>
          <w:rFonts w:eastAsia="Times New Roman" w:cs="Arial"/>
          <w:color w:val="000000"/>
          <w:szCs w:val="20"/>
        </w:rPr>
        <w:t xml:space="preserve">). </w:t>
      </w:r>
      <w:r w:rsidRPr="00C002BE">
        <w:rPr>
          <w:rFonts w:eastAsia="Times New Roman" w:cs="Arial"/>
          <w:color w:val="000000"/>
          <w:szCs w:val="20"/>
          <w:lang w:eastAsia="bg-BG"/>
        </w:rPr>
        <w:t xml:space="preserve">В това многоцентрово, рандомизирано, двойно- сляпо, плацебо-контролирано клинично изследване, пациенти със стенокардия или претърпели миокарден инфаркт </w:t>
      </w:r>
      <w:r w:rsidRPr="00C002BE">
        <w:rPr>
          <w:rFonts w:eastAsia="Times New Roman" w:cs="Arial"/>
          <w:color w:val="000000"/>
          <w:szCs w:val="20"/>
          <w:lang w:val="ru-RU"/>
        </w:rPr>
        <w:t>(</w:t>
      </w:r>
      <w:r w:rsidRPr="00C002BE">
        <w:rPr>
          <w:rFonts w:eastAsia="Times New Roman" w:cs="Arial"/>
          <w:color w:val="000000"/>
          <w:szCs w:val="20"/>
          <w:lang w:val="en-US"/>
        </w:rPr>
        <w:t>MI</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са лекувани с диета, стандартни грижи и или със симвастатин 20 - 40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дневно (</w:t>
      </w:r>
      <w:r w:rsidRPr="00C002BE">
        <w:rPr>
          <w:rFonts w:eastAsia="Times New Roman" w:cs="Arial"/>
          <w:color w:val="000000"/>
          <w:szCs w:val="20"/>
          <w:lang w:val="en-US"/>
        </w:rPr>
        <w:t>n</w:t>
      </w:r>
      <w:r w:rsidRPr="00C002BE">
        <w:rPr>
          <w:rFonts w:eastAsia="Times New Roman" w:cs="Arial"/>
          <w:color w:val="000000"/>
          <w:szCs w:val="20"/>
          <w:lang w:eastAsia="bg-BG"/>
        </w:rPr>
        <w:t xml:space="preserve"> = 2 221) или с плацебо (</w:t>
      </w:r>
      <w:r w:rsidRPr="00C002BE">
        <w:rPr>
          <w:rFonts w:eastAsia="Times New Roman" w:cs="Arial"/>
          <w:color w:val="000000"/>
          <w:szCs w:val="20"/>
          <w:lang w:val="en-US"/>
        </w:rPr>
        <w:t>n</w:t>
      </w:r>
      <w:r w:rsidRPr="00C002BE">
        <w:rPr>
          <w:rFonts w:eastAsia="Times New Roman" w:cs="Arial"/>
          <w:color w:val="000000"/>
          <w:szCs w:val="20"/>
          <w:lang w:eastAsia="bg-BG"/>
        </w:rPr>
        <w:t xml:space="preserve"> = 2 223) в продължение на средно 5,4 години. Симвастатин намалява риска от смъртни случаи с 30 % (абсолютно намаление на риска от 3,3 %). Рискът от смърт поради ИБС се намалява с 42 % (абсолютно намаление на риска с 3,5 %). Симвастатин също така намалява риска от големи коронарни инциденти (смърт вследствие на ИБС и доказан в болница тих, нефатален миокарден инфаркт) с 34 %. Освен това, симвастатин значително намалява риска от фатални и нефатални мозъчносъдови събития (инсулт и </w:t>
      </w:r>
      <w:r w:rsidRPr="00C002BE">
        <w:rPr>
          <w:rFonts w:eastAsia="Times New Roman" w:cs="Arial"/>
          <w:color w:val="000000"/>
          <w:szCs w:val="20"/>
          <w:lang w:eastAsia="bg-BG"/>
        </w:rPr>
        <w:lastRenderedPageBreak/>
        <w:t>преходни исхемични пристъпи) с 28 %. Не е наблюдавана статистически значима разлика между групите по отношение на несърдечно-съдовата смъртност.</w:t>
      </w:r>
    </w:p>
    <w:p w14:paraId="29D7B3C3" w14:textId="77777777" w:rsidR="00C002BE" w:rsidRPr="00C002BE" w:rsidRDefault="00C002BE" w:rsidP="00C002BE">
      <w:pPr>
        <w:spacing w:line="240" w:lineRule="auto"/>
        <w:rPr>
          <w:rFonts w:eastAsia="Times New Roman" w:cs="Arial"/>
          <w:sz w:val="28"/>
          <w:szCs w:val="24"/>
        </w:rPr>
      </w:pPr>
    </w:p>
    <w:p w14:paraId="06AC976F" w14:textId="7FF9B668"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Проучването за ефективността на допълнително намаление на холестерол и</w:t>
      </w:r>
      <w:r w:rsidRPr="00C002BE">
        <w:rPr>
          <w:rFonts w:eastAsia="Times New Roman" w:cs="Arial"/>
          <w:color w:val="000000"/>
          <w:szCs w:val="20"/>
          <w:lang w:val="ru-RU"/>
        </w:rPr>
        <w:t xml:space="preserve"> </w:t>
      </w:r>
      <w:r w:rsidRPr="00C002BE">
        <w:rPr>
          <w:rFonts w:eastAsia="Times New Roman" w:cs="Arial"/>
          <w:color w:val="000000"/>
          <w:szCs w:val="20"/>
          <w:lang w:eastAsia="bg-BG"/>
        </w:rPr>
        <w:t>хомоцистеин</w:t>
      </w:r>
    </w:p>
    <w:p w14:paraId="263A2111"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val="en-US"/>
        </w:rPr>
        <w:t>(Study of the Effectiveness of Additional Reductions in Cholesterol and H</w:t>
      </w:r>
      <w:r w:rsidRPr="00C002BE">
        <w:rPr>
          <w:rFonts w:eastAsia="Times New Roman" w:cs="Arial"/>
          <w:color w:val="000000"/>
          <w:szCs w:val="20"/>
          <w:lang w:eastAsia="bg-BG"/>
        </w:rPr>
        <w:t>omocysteine</w:t>
      </w:r>
      <w:r w:rsidRPr="00C002BE">
        <w:rPr>
          <w:rFonts w:eastAsia="Times New Roman" w:cs="Arial"/>
          <w:color w:val="000000"/>
          <w:szCs w:val="20"/>
          <w:lang w:val="en-US"/>
        </w:rPr>
        <w:t xml:space="preserve"> (SEARCH)) </w:t>
      </w:r>
      <w:r w:rsidRPr="00C002BE">
        <w:rPr>
          <w:rFonts w:eastAsia="Times New Roman" w:cs="Arial"/>
          <w:color w:val="000000"/>
          <w:szCs w:val="20"/>
          <w:lang w:eastAsia="bg-BG"/>
        </w:rPr>
        <w:t xml:space="preserve">оценява ефекта от лечението със симвастатин 80 </w:t>
      </w:r>
      <w:r w:rsidRPr="00C002BE">
        <w:rPr>
          <w:rFonts w:eastAsia="Times New Roman" w:cs="Arial"/>
          <w:color w:val="000000"/>
          <w:szCs w:val="20"/>
          <w:lang w:val="en-US"/>
        </w:rPr>
        <w:t xml:space="preserve">mg </w:t>
      </w:r>
      <w:r w:rsidRPr="00C002BE">
        <w:rPr>
          <w:rFonts w:eastAsia="Times New Roman" w:cs="Arial"/>
          <w:color w:val="000000"/>
          <w:szCs w:val="20"/>
          <w:lang w:eastAsia="bg-BG"/>
        </w:rPr>
        <w:t xml:space="preserve">спрямо 20 </w:t>
      </w:r>
      <w:r w:rsidRPr="00C002BE">
        <w:rPr>
          <w:rFonts w:eastAsia="Times New Roman" w:cs="Arial"/>
          <w:color w:val="000000"/>
          <w:szCs w:val="20"/>
          <w:lang w:val="en-US"/>
        </w:rPr>
        <w:t xml:space="preserve">mg </w:t>
      </w:r>
      <w:r w:rsidRPr="00C002BE">
        <w:rPr>
          <w:rFonts w:eastAsia="Times New Roman" w:cs="Arial"/>
          <w:color w:val="000000"/>
          <w:szCs w:val="20"/>
          <w:lang w:eastAsia="bg-BG"/>
        </w:rPr>
        <w:t>(средно</w:t>
      </w:r>
      <w:r w:rsidRPr="00C002BE">
        <w:rPr>
          <w:rFonts w:eastAsia="Times New Roman" w:cs="Arial"/>
          <w:color w:val="000000"/>
          <w:szCs w:val="20"/>
          <w:lang w:val="en-US"/>
        </w:rPr>
        <w:t xml:space="preserve"> </w:t>
      </w:r>
      <w:r w:rsidRPr="00C002BE">
        <w:rPr>
          <w:rFonts w:eastAsia="Times New Roman" w:cs="Arial"/>
          <w:color w:val="000000"/>
          <w:szCs w:val="20"/>
          <w:lang w:eastAsia="bg-BG"/>
        </w:rPr>
        <w:t>проследяване</w:t>
      </w:r>
    </w:p>
    <w:p w14:paraId="1F13554E"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6,7 години) върху големи съдови събития (големи съдови събития </w:t>
      </w:r>
      <w:r w:rsidRPr="00C002BE">
        <w:rPr>
          <w:rFonts w:eastAsia="Times New Roman" w:cs="Arial"/>
          <w:color w:val="000000"/>
          <w:szCs w:val="20"/>
          <w:lang w:val="ru-RU"/>
        </w:rPr>
        <w:t>(</w:t>
      </w:r>
      <w:r w:rsidRPr="00C002BE">
        <w:rPr>
          <w:rFonts w:eastAsia="Times New Roman" w:cs="Arial"/>
          <w:color w:val="000000"/>
          <w:szCs w:val="20"/>
          <w:lang w:val="en-US"/>
        </w:rPr>
        <w:t>MVEs</w:t>
      </w:r>
      <w:r w:rsidRPr="00C002BE">
        <w:rPr>
          <w:rFonts w:eastAsia="Times New Roman" w:cs="Arial"/>
          <w:color w:val="000000"/>
          <w:szCs w:val="20"/>
          <w:lang w:val="ru-RU"/>
        </w:rPr>
        <w:t>);</w:t>
      </w:r>
      <w:r w:rsidRPr="00C002BE">
        <w:rPr>
          <w:rFonts w:eastAsia="Times New Roman" w:cs="Arial"/>
          <w:color w:val="000000"/>
          <w:szCs w:val="20"/>
          <w:lang w:eastAsia="bg-BG"/>
        </w:rPr>
        <w:t xml:space="preserve"> дефинирани като</w:t>
      </w:r>
    </w:p>
    <w:p w14:paraId="48C78C43" w14:textId="77777777" w:rsidR="00C002BE" w:rsidRPr="00C002BE" w:rsidRDefault="00C002BE" w:rsidP="00C002BE">
      <w:pPr>
        <w:rPr>
          <w:rFonts w:eastAsia="Times New Roman" w:cs="Arial"/>
          <w:sz w:val="28"/>
          <w:szCs w:val="24"/>
        </w:rPr>
      </w:pPr>
      <w:r w:rsidRPr="00C002BE">
        <w:rPr>
          <w:rFonts w:eastAsia="Times New Roman" w:cs="Arial"/>
          <w:color w:val="000000"/>
          <w:szCs w:val="20"/>
          <w:lang w:eastAsia="bg-BG"/>
        </w:rPr>
        <w:t xml:space="preserve">фатална ИБС, нефатален миокарден инфаркт </w:t>
      </w:r>
      <w:r w:rsidRPr="00C002BE">
        <w:rPr>
          <w:rFonts w:eastAsia="Times New Roman" w:cs="Arial"/>
          <w:color w:val="000000"/>
          <w:szCs w:val="20"/>
          <w:lang w:val="ru-RU"/>
        </w:rPr>
        <w:t>(</w:t>
      </w:r>
      <w:r w:rsidRPr="00C002BE">
        <w:rPr>
          <w:rFonts w:eastAsia="Times New Roman" w:cs="Arial"/>
          <w:color w:val="000000"/>
          <w:szCs w:val="20"/>
          <w:lang w:val="en-US"/>
        </w:rPr>
        <w:t>MI</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процедура за коронарна реваскуларизация, нефатален или фатален инсулт или периферна реваскуларизационна процедура) при 12 064 пациенти с анамнеза за миокарден инфаркт. Няма значима разлика в честотата на големи съдови събития </w:t>
      </w:r>
      <w:r w:rsidRPr="00C002BE">
        <w:rPr>
          <w:rFonts w:eastAsia="Times New Roman" w:cs="Arial"/>
          <w:color w:val="000000"/>
          <w:szCs w:val="20"/>
          <w:lang w:val="ru-RU"/>
        </w:rPr>
        <w:t>(</w:t>
      </w:r>
      <w:r w:rsidRPr="00C002BE">
        <w:rPr>
          <w:rFonts w:eastAsia="Times New Roman" w:cs="Arial"/>
          <w:color w:val="000000"/>
          <w:szCs w:val="20"/>
          <w:lang w:val="en-US"/>
        </w:rPr>
        <w:t>MVEs</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между двете групи; симвастатин 20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w:t>
      </w:r>
      <w:r w:rsidRPr="00C002BE">
        <w:rPr>
          <w:rFonts w:eastAsia="Times New Roman" w:cs="Arial"/>
          <w:color w:val="000000"/>
          <w:szCs w:val="20"/>
          <w:lang w:val="en-US"/>
        </w:rPr>
        <w:t>n</w:t>
      </w:r>
      <w:r w:rsidRPr="00C002BE">
        <w:rPr>
          <w:rFonts w:eastAsia="Times New Roman" w:cs="Arial"/>
          <w:color w:val="000000"/>
          <w:szCs w:val="20"/>
          <w:lang w:eastAsia="bg-BG"/>
        </w:rPr>
        <w:t xml:space="preserve"> = 1553; 25,7 %) спрямо симвастатин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w:t>
      </w:r>
      <w:r w:rsidRPr="00C002BE">
        <w:rPr>
          <w:rFonts w:eastAsia="Times New Roman" w:cs="Arial"/>
          <w:color w:val="000000"/>
          <w:szCs w:val="20"/>
          <w:lang w:val="en-US"/>
        </w:rPr>
        <w:t>n</w:t>
      </w:r>
      <w:r w:rsidRPr="00C002BE">
        <w:rPr>
          <w:rFonts w:eastAsia="Times New Roman" w:cs="Arial"/>
          <w:color w:val="000000"/>
          <w:szCs w:val="20"/>
          <w:lang w:eastAsia="bg-BG"/>
        </w:rPr>
        <w:t xml:space="preserve"> = 1477; 24,5 %); </w:t>
      </w:r>
      <w:r w:rsidRPr="00C002BE">
        <w:rPr>
          <w:rFonts w:eastAsia="Times New Roman" w:cs="Arial"/>
          <w:color w:val="000000"/>
          <w:szCs w:val="20"/>
          <w:lang w:val="en-US"/>
        </w:rPr>
        <w:t>RR</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0,94, 95 % </w:t>
      </w:r>
      <w:r w:rsidRPr="00C002BE">
        <w:rPr>
          <w:rFonts w:eastAsia="Times New Roman" w:cs="Arial"/>
          <w:color w:val="000000"/>
          <w:szCs w:val="20"/>
          <w:lang w:val="en-US"/>
        </w:rPr>
        <w:t>CI</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0,88 до 1,01. Абсолютната разлика в стойностите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между двете групи по време на курса на проучване е била 0,35 ± 0,01 </w:t>
      </w:r>
      <w:proofErr w:type="spellStart"/>
      <w:r w:rsidRPr="00C002BE">
        <w:rPr>
          <w:rFonts w:eastAsia="Times New Roman" w:cs="Arial"/>
          <w:color w:val="000000"/>
          <w:szCs w:val="20"/>
          <w:lang w:val="en-US"/>
        </w:rPr>
        <w:t>mmol</w:t>
      </w:r>
      <w:proofErr w:type="spellEnd"/>
      <w:r w:rsidRPr="00C002BE">
        <w:rPr>
          <w:rFonts w:eastAsia="Times New Roman" w:cs="Arial"/>
          <w:color w:val="000000"/>
          <w:szCs w:val="20"/>
          <w:lang w:val="ru-RU"/>
        </w:rPr>
        <w:t xml:space="preserve">/1. </w:t>
      </w:r>
      <w:r w:rsidRPr="00C002BE">
        <w:rPr>
          <w:rFonts w:eastAsia="Times New Roman" w:cs="Arial"/>
          <w:color w:val="000000"/>
          <w:szCs w:val="20"/>
          <w:lang w:eastAsia="bg-BG"/>
        </w:rPr>
        <w:t xml:space="preserve">Профилът на безопасност е бил подобен при двете лекувани групи, с изключение на честотата на миопатия, която е била около 1,0 % при пациенти, лекувани с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симвастатин в сравнение с 0,2 % при пациенти, лекувани с 20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симвастатин. Около половината от случаите на миопатия са възникнали през първата година от лечението.</w:t>
      </w:r>
    </w:p>
    <w:p w14:paraId="2A5CBE15"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Честотата на миопатия през всяка следваща година на лечение е била около 0,1 %.</w:t>
      </w:r>
    </w:p>
    <w:p w14:paraId="00E33F1F" w14:textId="77777777" w:rsidR="00C002BE" w:rsidRPr="00C002BE" w:rsidRDefault="00C002BE" w:rsidP="00C002BE">
      <w:pPr>
        <w:spacing w:line="240" w:lineRule="auto"/>
        <w:rPr>
          <w:rFonts w:eastAsia="Times New Roman" w:cs="Arial"/>
          <w:i/>
          <w:iCs/>
          <w:color w:val="000000"/>
          <w:szCs w:val="20"/>
          <w:lang w:eastAsia="bg-BG"/>
        </w:rPr>
      </w:pPr>
    </w:p>
    <w:p w14:paraId="42F4FA01" w14:textId="7ACC0B87" w:rsidR="00C002BE" w:rsidRPr="00C002BE" w:rsidRDefault="00C002BE" w:rsidP="00C002BE">
      <w:pPr>
        <w:spacing w:line="240" w:lineRule="auto"/>
        <w:rPr>
          <w:rFonts w:eastAsia="Times New Roman" w:cs="Arial"/>
          <w:sz w:val="28"/>
          <w:szCs w:val="24"/>
        </w:rPr>
      </w:pPr>
      <w:r w:rsidRPr="00C002BE">
        <w:rPr>
          <w:rFonts w:eastAsia="Times New Roman" w:cs="Arial"/>
          <w:i/>
          <w:iCs/>
          <w:color w:val="000000"/>
          <w:szCs w:val="20"/>
          <w:lang w:eastAsia="bg-BG"/>
        </w:rPr>
        <w:t>Първична хиперхолестеролемия и комбинирана хиперлипидемия.</w:t>
      </w:r>
    </w:p>
    <w:p w14:paraId="4B27D20D"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изследвания, сравняващи ефикасността и безопасността при приложение на симвастатин в дневни дози от 10,20,40 и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при пациенти с хиперхолестеролемия, средното намаление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е съответно 30, 38,41 и 47 %. В изследвания, сравняващи пациенти с комбинирана (смесена) хиперлипидемия, приемащи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80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медианата на понижението на триглицеридите е съответно 28 и 33 % (плацебо: 2 %), като средното увеличение на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е съответно 13 и 16 % (плацебо: 3 %).</w:t>
      </w:r>
    </w:p>
    <w:p w14:paraId="25F31DD4" w14:textId="77777777" w:rsidR="00C002BE" w:rsidRPr="00C002BE" w:rsidRDefault="00C002BE" w:rsidP="00C002BE">
      <w:pPr>
        <w:spacing w:line="240" w:lineRule="auto"/>
        <w:rPr>
          <w:rFonts w:eastAsia="Times New Roman" w:cs="Arial"/>
          <w:color w:val="000000"/>
          <w:szCs w:val="20"/>
          <w:u w:val="single"/>
          <w:lang w:eastAsia="bg-BG"/>
        </w:rPr>
      </w:pPr>
    </w:p>
    <w:p w14:paraId="51B226D2" w14:textId="0C5B4F05"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u w:val="single"/>
          <w:lang w:eastAsia="bg-BG"/>
        </w:rPr>
        <w:t>Педиатрична популация</w:t>
      </w:r>
    </w:p>
    <w:p w14:paraId="3A8827EC" w14:textId="7777777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В двойно-сляпо, плацебо-контролирано изпитване, 175 пациенти (99 момчета </w:t>
      </w:r>
      <w:r w:rsidRPr="00C002BE">
        <w:rPr>
          <w:rFonts w:eastAsia="Times New Roman" w:cs="Arial"/>
          <w:color w:val="000000"/>
          <w:szCs w:val="20"/>
          <w:lang w:val="en-US"/>
        </w:rPr>
        <w:t>II</w:t>
      </w:r>
      <w:r w:rsidRPr="00C002BE">
        <w:rPr>
          <w:rFonts w:eastAsia="Times New Roman" w:cs="Arial"/>
          <w:color w:val="000000"/>
          <w:szCs w:val="20"/>
          <w:lang w:eastAsia="bg-BG"/>
        </w:rPr>
        <w:t xml:space="preserve"> стадий по Танер и повече и 76 момичета, които са поне една година след поява на първа менструация) 10 -17 години (средна възраст 14,1 години ) с хетерозиготна фамилна хиперхолестеролемия </w:t>
      </w:r>
      <w:r w:rsidRPr="00C002BE">
        <w:rPr>
          <w:rFonts w:eastAsia="Times New Roman" w:cs="Arial"/>
          <w:color w:val="000000"/>
          <w:szCs w:val="20"/>
          <w:lang w:val="ru-RU"/>
        </w:rPr>
        <w:t>(</w:t>
      </w:r>
      <w:proofErr w:type="spellStart"/>
      <w:r w:rsidRPr="00C002BE">
        <w:rPr>
          <w:rFonts w:eastAsia="Times New Roman" w:cs="Arial"/>
          <w:color w:val="000000"/>
          <w:szCs w:val="20"/>
          <w:lang w:val="en-US"/>
        </w:rPr>
        <w:t>heFH</w:t>
      </w:r>
      <w:proofErr w:type="spellEnd"/>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са рандомизирани да приемат симвастатин или плацебо в продължение на 24 седмици (основно изпитване). За включване в изпитването са се изисквали изходни стойности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между 160 и 400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поне един родител със стойности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&gt; 189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Дозата на симвастатин (веднъж дневно вечер) е 10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през първите 8 седмици, 20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за вторите 8 седмици и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след това. В 24-седмичното удължаване, 144 пациенти са предпочели да продължат лечението и са получили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или плацебо.</w:t>
      </w:r>
    </w:p>
    <w:p w14:paraId="7A1FAE3B" w14:textId="77777777" w:rsidR="00C002BE" w:rsidRPr="00C002BE" w:rsidRDefault="00C002BE" w:rsidP="00C002BE">
      <w:pPr>
        <w:spacing w:line="240" w:lineRule="auto"/>
        <w:rPr>
          <w:rFonts w:eastAsia="Times New Roman" w:cs="Arial"/>
          <w:color w:val="000000"/>
          <w:szCs w:val="20"/>
          <w:lang w:eastAsia="bg-BG"/>
        </w:rPr>
      </w:pPr>
    </w:p>
    <w:p w14:paraId="14705637" w14:textId="28F92C27"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Симвастатин е понижил значително плазмените концентрации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val="en-US"/>
        </w:rPr>
        <w:t>TG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и Аро В. Резултатите от удължаването на 48-та седмица са сравними с тези, наблюдавани в основното изпитване. След лечение в продължение на 24-седмици, средната достигната стойност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е 124,9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(диапазон: 64,0 - 289,0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в групата на лечение със симвастатин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в сравнение с 207,8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(диапазон: 128,0-334,0 </w:t>
      </w:r>
      <w:r w:rsidRPr="00C002BE">
        <w:rPr>
          <w:rFonts w:eastAsia="Times New Roman" w:cs="Arial"/>
          <w:color w:val="000000"/>
          <w:szCs w:val="20"/>
          <w:lang w:val="en-US"/>
        </w:rPr>
        <w:t>mg</w:t>
      </w:r>
      <w:r w:rsidRPr="00C002BE">
        <w:rPr>
          <w:rFonts w:eastAsia="Times New Roman" w:cs="Arial"/>
          <w:color w:val="000000"/>
          <w:szCs w:val="20"/>
          <w:lang w:val="ru-RU"/>
        </w:rPr>
        <w:t>/</w:t>
      </w:r>
      <w:r w:rsidRPr="00C002BE">
        <w:rPr>
          <w:rFonts w:eastAsia="Times New Roman" w:cs="Arial"/>
          <w:color w:val="000000"/>
          <w:szCs w:val="20"/>
          <w:lang w:val="en-US"/>
        </w:rPr>
        <w:t>dl</w:t>
      </w:r>
      <w:r w:rsidRPr="00C002BE">
        <w:rPr>
          <w:rFonts w:eastAsia="Times New Roman" w:cs="Arial"/>
          <w:color w:val="000000"/>
          <w:szCs w:val="20"/>
          <w:lang w:val="ru-RU"/>
        </w:rPr>
        <w:t xml:space="preserve">) </w:t>
      </w:r>
      <w:r w:rsidRPr="00C002BE">
        <w:rPr>
          <w:rFonts w:eastAsia="Times New Roman" w:cs="Arial"/>
          <w:color w:val="000000"/>
          <w:szCs w:val="20"/>
          <w:lang w:eastAsia="bg-BG"/>
        </w:rPr>
        <w:t>в плацебо групата.</w:t>
      </w:r>
    </w:p>
    <w:p w14:paraId="46362060" w14:textId="77777777" w:rsidR="00C002BE" w:rsidRPr="00C002BE" w:rsidRDefault="00C002BE" w:rsidP="00C002BE">
      <w:pPr>
        <w:spacing w:line="240" w:lineRule="auto"/>
        <w:rPr>
          <w:rFonts w:eastAsia="Times New Roman" w:cs="Arial"/>
          <w:color w:val="000000"/>
          <w:szCs w:val="20"/>
          <w:lang w:eastAsia="bg-BG"/>
        </w:rPr>
      </w:pPr>
    </w:p>
    <w:p w14:paraId="34A8286A" w14:textId="2C6BFF83"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lastRenderedPageBreak/>
        <w:t xml:space="preserve">След лечение със симвастатин в продължение на 24-седмици (с дози, нарастващи от 10,20 и до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дневно на 8-седмични интервали), симвастатин е понижил средната стойност на </w:t>
      </w:r>
      <w:r w:rsidRPr="00C002BE">
        <w:rPr>
          <w:rFonts w:eastAsia="Times New Roman" w:cs="Arial"/>
          <w:color w:val="000000"/>
          <w:szCs w:val="20"/>
          <w:lang w:val="en-US"/>
        </w:rPr>
        <w:t>LDL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 36,8 % (плацебо: 1,1 % повишение от началното ниво), Аро В с 32,4 % (плацебо: 0,5 %), и средните нива на </w:t>
      </w:r>
      <w:r w:rsidRPr="00C002BE">
        <w:rPr>
          <w:rFonts w:eastAsia="Times New Roman" w:cs="Arial"/>
          <w:color w:val="000000"/>
          <w:szCs w:val="20"/>
          <w:lang w:val="en-US"/>
        </w:rPr>
        <w:t>TG</w:t>
      </w:r>
      <w:r w:rsidRPr="00C002BE">
        <w:rPr>
          <w:rFonts w:eastAsia="Times New Roman" w:cs="Arial"/>
          <w:color w:val="000000"/>
          <w:szCs w:val="20"/>
          <w:lang w:val="ru-RU"/>
        </w:rPr>
        <w:t xml:space="preserve"> </w:t>
      </w:r>
      <w:r w:rsidRPr="00C002BE">
        <w:rPr>
          <w:rFonts w:eastAsia="Times New Roman" w:cs="Arial"/>
          <w:color w:val="000000"/>
          <w:szCs w:val="20"/>
          <w:lang w:eastAsia="bg-BG"/>
        </w:rPr>
        <w:t xml:space="preserve">с 7,9 % (плацебо: 3,2 %) и е повишил средните стойности на </w:t>
      </w:r>
      <w:r w:rsidRPr="00C002BE">
        <w:rPr>
          <w:rFonts w:eastAsia="Times New Roman" w:cs="Arial"/>
          <w:color w:val="000000"/>
          <w:szCs w:val="20"/>
          <w:lang w:val="en-US"/>
        </w:rPr>
        <w:t>HDL</w:t>
      </w:r>
      <w:r w:rsidRPr="00C002BE">
        <w:rPr>
          <w:rFonts w:eastAsia="Times New Roman" w:cs="Arial"/>
          <w:color w:val="000000"/>
          <w:szCs w:val="20"/>
          <w:lang w:val="ru-RU"/>
        </w:rPr>
        <w:t>-</w:t>
      </w:r>
      <w:r w:rsidRPr="00C002BE">
        <w:rPr>
          <w:rFonts w:eastAsia="Times New Roman" w:cs="Arial"/>
          <w:color w:val="000000"/>
          <w:szCs w:val="20"/>
          <w:lang w:val="en-US"/>
        </w:rPr>
        <w:t>C</w:t>
      </w:r>
      <w:r w:rsidRPr="00C002BE">
        <w:rPr>
          <w:rFonts w:eastAsia="Times New Roman" w:cs="Arial"/>
          <w:color w:val="000000"/>
          <w:szCs w:val="20"/>
          <w:lang w:val="ru-RU"/>
        </w:rPr>
        <w:t xml:space="preserve"> </w:t>
      </w:r>
      <w:r w:rsidRPr="00C002BE">
        <w:rPr>
          <w:rFonts w:eastAsia="Times New Roman" w:cs="Arial"/>
          <w:color w:val="000000"/>
          <w:szCs w:val="20"/>
          <w:lang w:eastAsia="bg-BG"/>
        </w:rPr>
        <w:t>с 8,3 % (плацебо: 3,6 %). Дългосрочните ползи от симвастатин върху сърдечно-съдовите събития при деца с хетерозиготна фамилна хиперхолестеролемия са неизвестни.</w:t>
      </w:r>
    </w:p>
    <w:p w14:paraId="78026865" w14:textId="77777777" w:rsidR="00C002BE" w:rsidRPr="00C002BE" w:rsidRDefault="00C002BE" w:rsidP="00C002BE">
      <w:pPr>
        <w:spacing w:line="240" w:lineRule="auto"/>
        <w:rPr>
          <w:rFonts w:eastAsia="Times New Roman" w:cs="Arial"/>
          <w:color w:val="000000"/>
          <w:szCs w:val="20"/>
          <w:lang w:eastAsia="bg-BG"/>
        </w:rPr>
      </w:pPr>
    </w:p>
    <w:p w14:paraId="32233955" w14:textId="2584F046" w:rsidR="00C002BE" w:rsidRPr="00C002BE" w:rsidRDefault="00C002BE" w:rsidP="00C002BE">
      <w:pPr>
        <w:spacing w:line="240" w:lineRule="auto"/>
        <w:rPr>
          <w:rFonts w:eastAsia="Times New Roman" w:cs="Arial"/>
          <w:sz w:val="28"/>
          <w:szCs w:val="24"/>
        </w:rPr>
      </w:pPr>
      <w:r w:rsidRPr="00C002BE">
        <w:rPr>
          <w:rFonts w:eastAsia="Times New Roman" w:cs="Arial"/>
          <w:color w:val="000000"/>
          <w:szCs w:val="20"/>
          <w:lang w:eastAsia="bg-BG"/>
        </w:rPr>
        <w:t xml:space="preserve">Безопасността и ефикасността на дози над 40 </w:t>
      </w:r>
      <w:r w:rsidRPr="00C002BE">
        <w:rPr>
          <w:rFonts w:eastAsia="Times New Roman" w:cs="Arial"/>
          <w:color w:val="000000"/>
          <w:szCs w:val="20"/>
          <w:lang w:val="en-US"/>
        </w:rPr>
        <w:t>mg</w:t>
      </w:r>
      <w:r w:rsidRPr="00C002BE">
        <w:rPr>
          <w:rFonts w:eastAsia="Times New Roman" w:cs="Arial"/>
          <w:color w:val="000000"/>
          <w:szCs w:val="20"/>
          <w:lang w:val="ru-RU"/>
        </w:rPr>
        <w:t xml:space="preserve"> </w:t>
      </w:r>
      <w:r w:rsidRPr="00C002BE">
        <w:rPr>
          <w:rFonts w:eastAsia="Times New Roman" w:cs="Arial"/>
          <w:color w:val="000000"/>
          <w:szCs w:val="20"/>
          <w:lang w:eastAsia="bg-BG"/>
        </w:rPr>
        <w:t>дневно при деца с хетерозиготна фамилна хиперхолестеролемия не са проучени. Дългосрочната ефикасност на лечението със симвастатин в детска възраст за намаляване на заболеваемостта и смъртността при възрастните не е установена.</w:t>
      </w:r>
    </w:p>
    <w:p w14:paraId="4121C810" w14:textId="5317FC9B" w:rsidR="00C002BE" w:rsidRPr="00C002BE" w:rsidRDefault="00C002BE" w:rsidP="00C002BE"/>
    <w:p w14:paraId="35F84B81" w14:textId="48C49F6B" w:rsidR="00CF77F7" w:rsidRDefault="002C50EE" w:rsidP="004A448E">
      <w:pPr>
        <w:pStyle w:val="Heading2"/>
      </w:pPr>
      <w:r>
        <w:t>5.2. Фармакокинетични свойства</w:t>
      </w:r>
    </w:p>
    <w:p w14:paraId="3A24B213" w14:textId="2CD05374" w:rsidR="00F42C68" w:rsidRDefault="00F42C68" w:rsidP="00F42C68"/>
    <w:p w14:paraId="3BC77F84"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Симвастатин е неактивен лактон, който лесно се хидролизира </w:t>
      </w:r>
      <w:r w:rsidRPr="00F42C68">
        <w:rPr>
          <w:rFonts w:eastAsia="Times New Roman" w:cs="Arial"/>
          <w:i/>
          <w:iCs/>
          <w:color w:val="000000"/>
          <w:szCs w:val="20"/>
          <w:lang w:val="en-US"/>
        </w:rPr>
        <w:t>in</w:t>
      </w:r>
      <w:r w:rsidRPr="00F42C68">
        <w:rPr>
          <w:rFonts w:eastAsia="Times New Roman" w:cs="Arial"/>
          <w:i/>
          <w:iCs/>
          <w:color w:val="000000"/>
          <w:szCs w:val="20"/>
        </w:rPr>
        <w:t xml:space="preserve"> </w:t>
      </w:r>
      <w:r w:rsidRPr="00F42C68">
        <w:rPr>
          <w:rFonts w:eastAsia="Times New Roman" w:cs="Arial"/>
          <w:i/>
          <w:iCs/>
          <w:color w:val="000000"/>
          <w:szCs w:val="20"/>
          <w:lang w:val="en-US"/>
        </w:rPr>
        <w:t>vivo</w:t>
      </w:r>
      <w:r w:rsidRPr="00F42C68">
        <w:rPr>
          <w:rFonts w:eastAsia="Times New Roman" w:cs="Arial"/>
          <w:color w:val="000000"/>
          <w:szCs w:val="20"/>
        </w:rPr>
        <w:t xml:space="preserve"> </w:t>
      </w:r>
      <w:r w:rsidRPr="00F42C68">
        <w:rPr>
          <w:rFonts w:eastAsia="Times New Roman" w:cs="Arial"/>
          <w:color w:val="000000"/>
          <w:szCs w:val="20"/>
          <w:lang w:eastAsia="bg-BG"/>
        </w:rPr>
        <w:t>до съответната</w:t>
      </w:r>
      <w:r w:rsidRPr="00F42C68">
        <w:rPr>
          <w:rFonts w:eastAsia="Times New Roman" w:cs="Arial"/>
          <w:color w:val="000000"/>
          <w:szCs w:val="20"/>
        </w:rPr>
        <w:t xml:space="preserve"> </w:t>
      </w:r>
      <w:r w:rsidRPr="00F42C68">
        <w:rPr>
          <w:rFonts w:eastAsia="Times New Roman" w:cs="Arial"/>
          <w:color w:val="000000"/>
          <w:szCs w:val="20"/>
          <w:lang w:eastAsia="bg-BG"/>
        </w:rPr>
        <w:t xml:space="preserve">бета хидроксикиселина, мощен инхибитор на </w:t>
      </w:r>
      <w:r w:rsidRPr="00F42C68">
        <w:rPr>
          <w:rFonts w:eastAsia="Times New Roman" w:cs="Arial"/>
          <w:color w:val="000000"/>
          <w:szCs w:val="20"/>
          <w:lang w:val="en-US"/>
        </w:rPr>
        <w:t>HMG</w:t>
      </w:r>
      <w:r w:rsidRPr="00F42C68">
        <w:rPr>
          <w:rFonts w:eastAsia="Times New Roman" w:cs="Arial"/>
          <w:color w:val="000000"/>
          <w:szCs w:val="20"/>
        </w:rPr>
        <w:t>-</w:t>
      </w:r>
      <w:r w:rsidRPr="00F42C68">
        <w:rPr>
          <w:rFonts w:eastAsia="Times New Roman" w:cs="Arial"/>
          <w:color w:val="000000"/>
          <w:szCs w:val="20"/>
          <w:lang w:val="en-US"/>
        </w:rPr>
        <w:t>CoA</w:t>
      </w:r>
      <w:r w:rsidRPr="00F42C68">
        <w:rPr>
          <w:rFonts w:eastAsia="Times New Roman" w:cs="Arial"/>
          <w:color w:val="000000"/>
          <w:szCs w:val="20"/>
        </w:rPr>
        <w:t xml:space="preserve"> </w:t>
      </w:r>
      <w:r w:rsidRPr="00F42C68">
        <w:rPr>
          <w:rFonts w:eastAsia="Times New Roman" w:cs="Arial"/>
          <w:color w:val="000000"/>
          <w:szCs w:val="20"/>
          <w:lang w:eastAsia="bg-BG"/>
        </w:rPr>
        <w:t>редуктазата. Хидролизата се извършва основно в черния дроб; скоростта на хидролиза в човешката плазма е много ниска.</w:t>
      </w:r>
    </w:p>
    <w:p w14:paraId="1A78EF6A" w14:textId="77777777" w:rsidR="00F42C68" w:rsidRPr="00F42C68" w:rsidRDefault="00F42C68" w:rsidP="00F42C68">
      <w:pPr>
        <w:rPr>
          <w:rFonts w:eastAsia="Times New Roman" w:cs="Arial"/>
          <w:color w:val="000000"/>
          <w:szCs w:val="20"/>
          <w:lang w:eastAsia="bg-BG"/>
        </w:rPr>
      </w:pPr>
    </w:p>
    <w:p w14:paraId="4F1E46BB" w14:textId="2C856B4F" w:rsidR="00F42C68" w:rsidRPr="00F42C68" w:rsidRDefault="00F42C68" w:rsidP="00F42C68">
      <w:pPr>
        <w:rPr>
          <w:rFonts w:eastAsia="Times New Roman" w:cs="Arial"/>
          <w:color w:val="000000"/>
          <w:szCs w:val="20"/>
          <w:lang w:eastAsia="bg-BG"/>
        </w:rPr>
      </w:pPr>
      <w:r w:rsidRPr="00F42C68">
        <w:rPr>
          <w:rFonts w:eastAsia="Times New Roman" w:cs="Arial"/>
          <w:color w:val="000000"/>
          <w:szCs w:val="20"/>
          <w:lang w:eastAsia="bg-BG"/>
        </w:rPr>
        <w:t>Фармакокинетичните свойства са оценени при възрастни. Няма налични фармакокинетични данни при деца и юноши.</w:t>
      </w:r>
    </w:p>
    <w:p w14:paraId="15727936" w14:textId="63A0D958" w:rsidR="00F42C68" w:rsidRPr="00F42C68" w:rsidRDefault="00F42C68" w:rsidP="00F42C68">
      <w:pPr>
        <w:rPr>
          <w:rFonts w:eastAsia="Times New Roman" w:cs="Arial"/>
          <w:color w:val="000000"/>
          <w:szCs w:val="20"/>
          <w:lang w:eastAsia="bg-BG"/>
        </w:rPr>
      </w:pPr>
    </w:p>
    <w:p w14:paraId="0EE7953D" w14:textId="77777777" w:rsidR="00F42C68" w:rsidRPr="00F42C68" w:rsidRDefault="00F42C68" w:rsidP="00F42C68">
      <w:pPr>
        <w:pStyle w:val="Heading3"/>
        <w:rPr>
          <w:rFonts w:eastAsia="Times New Roman"/>
          <w:sz w:val="28"/>
          <w:u w:val="single"/>
        </w:rPr>
      </w:pPr>
      <w:r w:rsidRPr="00F42C68">
        <w:rPr>
          <w:rFonts w:eastAsia="Times New Roman"/>
          <w:u w:val="single"/>
          <w:lang w:eastAsia="bg-BG"/>
        </w:rPr>
        <w:t>Абсорбция</w:t>
      </w:r>
    </w:p>
    <w:p w14:paraId="6554F137"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При хора симвастатин се абсорбира добре и претърпява екстензивна първоначална чернодробна екстракция. Екстракцията в черния дроб зависи от кръвообращението в черния дроб. Черният дроб е и основното място на действие на активната форма. Наличността на бета- хидроксикиселина в системната циркулация след перорална доза симвастатин е по-малко от 5 % от дозата. Максимална плазмена концентрация на активни инхибитори се достига приблизително 1-2 часа след приложението на симвастатин. Едновременната консумация на храна не влияе на резорбцията.</w:t>
      </w:r>
    </w:p>
    <w:p w14:paraId="06B6C3B2"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Фармакокинетиката на единична и многократни дози симвастатин показва, че лекарственият продукт не кумулира след многократно дозиране.</w:t>
      </w:r>
    </w:p>
    <w:p w14:paraId="1A95283E" w14:textId="77777777" w:rsidR="00F42C68" w:rsidRPr="00F42C68" w:rsidRDefault="00F42C68" w:rsidP="00F42C68">
      <w:pPr>
        <w:spacing w:line="240" w:lineRule="auto"/>
        <w:rPr>
          <w:rFonts w:eastAsia="Times New Roman" w:cs="Arial"/>
          <w:color w:val="000000"/>
          <w:szCs w:val="20"/>
          <w:u w:val="single"/>
          <w:lang w:eastAsia="bg-BG"/>
        </w:rPr>
      </w:pPr>
    </w:p>
    <w:p w14:paraId="2C7E28AE" w14:textId="1805337E" w:rsidR="00F42C68" w:rsidRPr="00F42C68" w:rsidRDefault="00F42C68" w:rsidP="00F42C68">
      <w:pPr>
        <w:pStyle w:val="Heading3"/>
        <w:rPr>
          <w:rFonts w:eastAsia="Times New Roman"/>
          <w:sz w:val="28"/>
          <w:u w:val="single"/>
        </w:rPr>
      </w:pPr>
      <w:r w:rsidRPr="00F42C68">
        <w:rPr>
          <w:rFonts w:eastAsia="Times New Roman"/>
          <w:u w:val="single"/>
          <w:lang w:eastAsia="bg-BG"/>
        </w:rPr>
        <w:t>Разпределение</w:t>
      </w:r>
    </w:p>
    <w:p w14:paraId="7EEB6AB5"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Симвастатин и неговият активен метаболит се свързват с плазмените протеини над 95 %.</w:t>
      </w:r>
    </w:p>
    <w:p w14:paraId="0A8529A2" w14:textId="77777777" w:rsidR="00F42C68" w:rsidRPr="00F42C68" w:rsidRDefault="00F42C68" w:rsidP="00F42C68">
      <w:pPr>
        <w:spacing w:line="240" w:lineRule="auto"/>
        <w:rPr>
          <w:rFonts w:eastAsia="Times New Roman" w:cs="Arial"/>
          <w:color w:val="000000"/>
          <w:szCs w:val="20"/>
          <w:u w:val="single"/>
          <w:lang w:eastAsia="bg-BG"/>
        </w:rPr>
      </w:pPr>
    </w:p>
    <w:p w14:paraId="2869973E" w14:textId="6735803A" w:rsidR="00F42C68" w:rsidRPr="00F42C68" w:rsidRDefault="00F42C68" w:rsidP="00F42C68">
      <w:pPr>
        <w:pStyle w:val="Heading3"/>
        <w:rPr>
          <w:rFonts w:eastAsia="Times New Roman"/>
          <w:sz w:val="28"/>
          <w:u w:val="single"/>
        </w:rPr>
      </w:pPr>
      <w:r w:rsidRPr="00F42C68">
        <w:rPr>
          <w:rFonts w:eastAsia="Times New Roman"/>
          <w:u w:val="single"/>
          <w:lang w:eastAsia="bg-BG"/>
        </w:rPr>
        <w:t>Елиминиране</w:t>
      </w:r>
    </w:p>
    <w:p w14:paraId="75DBF82B"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Симвастатин е субстрат на </w:t>
      </w:r>
      <w:r w:rsidRPr="00F42C68">
        <w:rPr>
          <w:rFonts w:eastAsia="Times New Roman" w:cs="Arial"/>
          <w:color w:val="000000"/>
          <w:szCs w:val="20"/>
          <w:lang w:val="en-US"/>
        </w:rPr>
        <w:t>CYP</w:t>
      </w:r>
      <w:r w:rsidRPr="00F42C68">
        <w:rPr>
          <w:rFonts w:eastAsia="Times New Roman" w:cs="Arial"/>
          <w:color w:val="000000"/>
          <w:szCs w:val="20"/>
          <w:lang w:val="ru-RU"/>
        </w:rPr>
        <w:t>3</w:t>
      </w:r>
      <w:r w:rsidRPr="00F42C68">
        <w:rPr>
          <w:rFonts w:eastAsia="Times New Roman" w:cs="Arial"/>
          <w:color w:val="000000"/>
          <w:szCs w:val="20"/>
          <w:lang w:val="en-US"/>
        </w:rPr>
        <w:t>A</w:t>
      </w:r>
      <w:r w:rsidRPr="00F42C68">
        <w:rPr>
          <w:rFonts w:eastAsia="Times New Roman" w:cs="Arial"/>
          <w:color w:val="000000"/>
          <w:szCs w:val="20"/>
          <w:lang w:val="ru-RU"/>
        </w:rPr>
        <w:t xml:space="preserve">4 </w:t>
      </w:r>
      <w:r w:rsidRPr="00F42C68">
        <w:rPr>
          <w:rFonts w:eastAsia="Times New Roman" w:cs="Arial"/>
          <w:color w:val="000000"/>
          <w:szCs w:val="20"/>
          <w:lang w:eastAsia="bg-BG"/>
        </w:rPr>
        <w:t xml:space="preserve">(вж. точки 4.3 и 4.5). Главните метаболити на симвастатин, откриващи се в човешката плазма са бета-хидроксикиселина и 4 допълнителни активни метаболита. След перорално приложение на доза радиоактивно белязан симвастатин при хора, 13 % от радиоактивността се отделя чрез урината, а 60 % чрез изпражненията, в рамките на 96 часа. Количеството, открито в изпражненията представлява абсорбирани лекарствени еквиваленти, екскретирани чрез жлъчния сок, както и неабсорбиран лекарствен продукт. След интравенозно инжектиране на метаболита бета-хидроксикиселина, полуживотьт му е средно 1,9 часа. Средно само 0,3 % от </w:t>
      </w:r>
      <w:proofErr w:type="spellStart"/>
      <w:r w:rsidRPr="00F42C68">
        <w:rPr>
          <w:rFonts w:eastAsia="Times New Roman" w:cs="Arial"/>
          <w:color w:val="000000"/>
          <w:szCs w:val="20"/>
          <w:lang w:val="en-US"/>
        </w:rPr>
        <w:t>i</w:t>
      </w:r>
      <w:proofErr w:type="spellEnd"/>
      <w:r w:rsidRPr="00F42C68">
        <w:rPr>
          <w:rFonts w:eastAsia="Times New Roman" w:cs="Arial"/>
          <w:color w:val="000000"/>
          <w:szCs w:val="20"/>
          <w:lang w:val="ru-RU"/>
        </w:rPr>
        <w:t>.</w:t>
      </w:r>
      <w:r w:rsidRPr="00F42C68">
        <w:rPr>
          <w:rFonts w:eastAsia="Times New Roman" w:cs="Arial"/>
          <w:color w:val="000000"/>
          <w:szCs w:val="20"/>
          <w:lang w:val="en-US"/>
        </w:rPr>
        <w:t>v</w:t>
      </w:r>
      <w:r w:rsidRPr="00F42C68">
        <w:rPr>
          <w:rFonts w:eastAsia="Times New Roman" w:cs="Arial"/>
          <w:color w:val="000000"/>
          <w:szCs w:val="20"/>
          <w:lang w:val="ru-RU"/>
        </w:rPr>
        <w:t xml:space="preserve">. </w:t>
      </w:r>
      <w:r w:rsidRPr="00F42C68">
        <w:rPr>
          <w:rFonts w:eastAsia="Times New Roman" w:cs="Arial"/>
          <w:color w:val="000000"/>
          <w:szCs w:val="20"/>
          <w:lang w:eastAsia="bg-BG"/>
        </w:rPr>
        <w:t xml:space="preserve"> приложената доза се екскретира в урината като инхибитори.</w:t>
      </w:r>
    </w:p>
    <w:p w14:paraId="1EF4B9FD" w14:textId="77777777" w:rsidR="00F42C68" w:rsidRPr="00F42C68" w:rsidRDefault="00F42C68" w:rsidP="00F42C68">
      <w:pPr>
        <w:spacing w:line="240" w:lineRule="auto"/>
        <w:rPr>
          <w:rFonts w:eastAsia="Times New Roman" w:cs="Arial"/>
          <w:color w:val="000000"/>
          <w:szCs w:val="20"/>
          <w:lang w:eastAsia="bg-BG"/>
        </w:rPr>
      </w:pPr>
    </w:p>
    <w:p w14:paraId="12CC70E0" w14:textId="319AE94B"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Симвастатин се поема активно в хепатоцитите от транспортера ОАТР1В1. Симвастатин е субстрат на ефлуксния транспортер </w:t>
      </w:r>
      <w:r w:rsidRPr="00F42C68">
        <w:rPr>
          <w:rFonts w:eastAsia="Times New Roman" w:cs="Arial"/>
          <w:color w:val="000000"/>
          <w:szCs w:val="20"/>
          <w:lang w:val="en-US"/>
        </w:rPr>
        <w:t>BCRP</w:t>
      </w:r>
      <w:r w:rsidRPr="00F42C68">
        <w:rPr>
          <w:rFonts w:eastAsia="Times New Roman" w:cs="Arial"/>
          <w:color w:val="000000"/>
          <w:szCs w:val="20"/>
          <w:lang w:val="ru-RU"/>
        </w:rPr>
        <w:t>.</w:t>
      </w:r>
    </w:p>
    <w:p w14:paraId="058EE336" w14:textId="77777777" w:rsidR="00F42C68" w:rsidRPr="00F42C68" w:rsidRDefault="00F42C68" w:rsidP="00F42C68">
      <w:pPr>
        <w:spacing w:line="240" w:lineRule="auto"/>
        <w:rPr>
          <w:rFonts w:eastAsia="Times New Roman" w:cs="Arial"/>
          <w:color w:val="000000"/>
          <w:szCs w:val="20"/>
          <w:u w:val="single"/>
          <w:lang w:eastAsia="bg-BG"/>
        </w:rPr>
      </w:pPr>
    </w:p>
    <w:p w14:paraId="4813008A" w14:textId="2D8FED49"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u w:val="single"/>
          <w:lang w:eastAsia="bg-BG"/>
        </w:rPr>
        <w:t>Специални популации</w:t>
      </w:r>
    </w:p>
    <w:p w14:paraId="1C088CB2" w14:textId="77777777" w:rsidR="00F42C68" w:rsidRPr="00F42C68" w:rsidRDefault="00F42C68" w:rsidP="00F42C68">
      <w:pPr>
        <w:spacing w:line="240" w:lineRule="auto"/>
        <w:rPr>
          <w:rFonts w:eastAsia="Times New Roman" w:cs="Arial"/>
          <w:sz w:val="28"/>
          <w:szCs w:val="24"/>
        </w:rPr>
      </w:pPr>
      <w:r w:rsidRPr="00F42C68">
        <w:rPr>
          <w:rFonts w:eastAsia="Times New Roman" w:cs="Arial"/>
          <w:i/>
          <w:iCs/>
          <w:color w:val="000000"/>
          <w:szCs w:val="20"/>
          <w:lang w:val="en-US"/>
        </w:rPr>
        <w:t>SLCO</w:t>
      </w:r>
      <w:r w:rsidRPr="00F42C68">
        <w:rPr>
          <w:rFonts w:eastAsia="Times New Roman" w:cs="Arial"/>
          <w:i/>
          <w:iCs/>
          <w:color w:val="000000"/>
          <w:szCs w:val="20"/>
          <w:lang w:val="ru-RU"/>
        </w:rPr>
        <w:t>1</w:t>
      </w:r>
      <w:r w:rsidRPr="00F42C68">
        <w:rPr>
          <w:rFonts w:eastAsia="Times New Roman" w:cs="Arial"/>
          <w:i/>
          <w:iCs/>
          <w:color w:val="000000"/>
          <w:szCs w:val="20"/>
          <w:lang w:val="en-US"/>
        </w:rPr>
        <w:t>B</w:t>
      </w:r>
      <w:r w:rsidRPr="00F42C68">
        <w:rPr>
          <w:rFonts w:eastAsia="Times New Roman" w:cs="Arial"/>
          <w:i/>
          <w:iCs/>
          <w:color w:val="000000"/>
          <w:szCs w:val="20"/>
          <w:lang w:val="ru-RU"/>
        </w:rPr>
        <w:t xml:space="preserve">1 </w:t>
      </w:r>
      <w:r w:rsidRPr="00F42C68">
        <w:rPr>
          <w:rFonts w:eastAsia="Times New Roman" w:cs="Arial"/>
          <w:i/>
          <w:iCs/>
          <w:color w:val="000000"/>
          <w:szCs w:val="20"/>
          <w:lang w:eastAsia="bg-BG"/>
        </w:rPr>
        <w:t>полиморфизъм</w:t>
      </w:r>
    </w:p>
    <w:p w14:paraId="0F0A44FC" w14:textId="77777777" w:rsidR="00F42C68" w:rsidRPr="00F42C68" w:rsidRDefault="00F42C68" w:rsidP="00F42C68">
      <w:pPr>
        <w:spacing w:line="240" w:lineRule="auto"/>
        <w:rPr>
          <w:rFonts w:eastAsia="Times New Roman" w:cs="Arial"/>
          <w:sz w:val="28"/>
          <w:szCs w:val="24"/>
        </w:rPr>
      </w:pPr>
      <w:r w:rsidRPr="00F42C68">
        <w:rPr>
          <w:rFonts w:eastAsia="Times New Roman" w:cs="Arial"/>
          <w:color w:val="000000"/>
          <w:szCs w:val="20"/>
          <w:lang w:eastAsia="bg-BG"/>
        </w:rPr>
        <w:t xml:space="preserve">Носителите на </w:t>
      </w:r>
      <w:r w:rsidRPr="00F42C68">
        <w:rPr>
          <w:rFonts w:eastAsia="Times New Roman" w:cs="Arial"/>
          <w:color w:val="000000"/>
          <w:szCs w:val="20"/>
          <w:lang w:val="en-US"/>
        </w:rPr>
        <w:t>SLCO</w:t>
      </w:r>
      <w:r w:rsidRPr="00F42C68">
        <w:rPr>
          <w:rFonts w:eastAsia="Times New Roman" w:cs="Arial"/>
          <w:color w:val="000000"/>
          <w:szCs w:val="20"/>
          <w:lang w:val="ru-RU"/>
        </w:rPr>
        <w:t>1</w:t>
      </w:r>
      <w:r w:rsidRPr="00F42C68">
        <w:rPr>
          <w:rFonts w:eastAsia="Times New Roman" w:cs="Arial"/>
          <w:color w:val="000000"/>
          <w:szCs w:val="20"/>
          <w:lang w:val="en-US"/>
        </w:rPr>
        <w:t>B</w:t>
      </w:r>
      <w:r w:rsidRPr="00F42C68">
        <w:rPr>
          <w:rFonts w:eastAsia="Times New Roman" w:cs="Arial"/>
          <w:color w:val="000000"/>
          <w:szCs w:val="20"/>
          <w:lang w:val="ru-RU"/>
        </w:rPr>
        <w:t xml:space="preserve">1 </w:t>
      </w:r>
      <w:r w:rsidRPr="00F42C68">
        <w:rPr>
          <w:rFonts w:eastAsia="Times New Roman" w:cs="Arial"/>
          <w:color w:val="000000"/>
          <w:szCs w:val="20"/>
          <w:lang w:eastAsia="bg-BG"/>
        </w:rPr>
        <w:t xml:space="preserve">ген, с.521Т&gt;С алел имат по-ниска ОАТР1В1 активност. Средната експозиция </w:t>
      </w:r>
      <w:r w:rsidRPr="00F42C68">
        <w:rPr>
          <w:rFonts w:eastAsia="Times New Roman" w:cs="Arial"/>
          <w:color w:val="000000"/>
          <w:szCs w:val="20"/>
          <w:lang w:val="ru-RU"/>
        </w:rPr>
        <w:t>(</w:t>
      </w:r>
      <w:r w:rsidRPr="00F42C68">
        <w:rPr>
          <w:rFonts w:eastAsia="Times New Roman" w:cs="Arial"/>
          <w:color w:val="000000"/>
          <w:szCs w:val="20"/>
          <w:lang w:val="en-US"/>
        </w:rPr>
        <w:t>AUC</w:t>
      </w:r>
      <w:r w:rsidRPr="00F42C68">
        <w:rPr>
          <w:rFonts w:eastAsia="Times New Roman" w:cs="Arial"/>
          <w:color w:val="000000"/>
          <w:szCs w:val="20"/>
          <w:lang w:val="ru-RU"/>
        </w:rPr>
        <w:t xml:space="preserve">) </w:t>
      </w:r>
      <w:r w:rsidRPr="00F42C68">
        <w:rPr>
          <w:rFonts w:eastAsia="Times New Roman" w:cs="Arial"/>
          <w:color w:val="000000"/>
          <w:szCs w:val="20"/>
          <w:lang w:eastAsia="bg-BG"/>
        </w:rPr>
        <w:t xml:space="preserve">на главния активен метаболит симвастатинова киселина е 120 % при хетерозиготните носители (СТ) на С алела и 221 % при хомозиготните (СС) носители в сравнение с пациентите, които имат най-често срещания генотип (ТТ). В европейската популация С алелът се среща с честота от 18 %. При пациенти със </w:t>
      </w:r>
      <w:r w:rsidRPr="00F42C68">
        <w:rPr>
          <w:rFonts w:eastAsia="Times New Roman" w:cs="Arial"/>
          <w:color w:val="000000"/>
          <w:szCs w:val="20"/>
          <w:lang w:val="en-US"/>
        </w:rPr>
        <w:t>SLCO</w:t>
      </w:r>
      <w:r w:rsidRPr="00F42C68">
        <w:rPr>
          <w:rFonts w:eastAsia="Times New Roman" w:cs="Arial"/>
          <w:color w:val="000000"/>
          <w:szCs w:val="20"/>
          <w:lang w:val="ru-RU"/>
        </w:rPr>
        <w:t>1</w:t>
      </w:r>
      <w:r w:rsidRPr="00F42C68">
        <w:rPr>
          <w:rFonts w:eastAsia="Times New Roman" w:cs="Arial"/>
          <w:color w:val="000000"/>
          <w:szCs w:val="20"/>
          <w:lang w:val="en-US"/>
        </w:rPr>
        <w:t>B</w:t>
      </w:r>
      <w:r w:rsidRPr="00F42C68">
        <w:rPr>
          <w:rFonts w:eastAsia="Times New Roman" w:cs="Arial"/>
          <w:color w:val="000000"/>
          <w:szCs w:val="20"/>
          <w:lang w:val="ru-RU"/>
        </w:rPr>
        <w:t xml:space="preserve">1 </w:t>
      </w:r>
      <w:r w:rsidRPr="00F42C68">
        <w:rPr>
          <w:rFonts w:eastAsia="Times New Roman" w:cs="Arial"/>
          <w:color w:val="000000"/>
          <w:szCs w:val="20"/>
          <w:lang w:eastAsia="bg-BG"/>
        </w:rPr>
        <w:t>полиморфизъм има риск от повишена експозиция на симвастатин, което може да доведе до повишен риск от рабдомиолиза (вж. точка 4.4).</w:t>
      </w:r>
    </w:p>
    <w:p w14:paraId="2CBEDECF" w14:textId="77777777" w:rsidR="00F42C68" w:rsidRPr="00F42C68" w:rsidRDefault="00F42C68" w:rsidP="00F42C68"/>
    <w:p w14:paraId="648E39DA" w14:textId="41D2EBFE" w:rsidR="00CF77F7" w:rsidRDefault="002C50EE" w:rsidP="004A448E">
      <w:pPr>
        <w:pStyle w:val="Heading2"/>
      </w:pPr>
      <w:r>
        <w:t>5.3. Предклинични данни за безопасност</w:t>
      </w:r>
    </w:p>
    <w:p w14:paraId="53B44211" w14:textId="45577B5D" w:rsidR="00F42C68" w:rsidRDefault="00F42C68" w:rsidP="00F42C68"/>
    <w:p w14:paraId="2468ED17" w14:textId="77777777" w:rsidR="00F42C68" w:rsidRPr="00F42C68" w:rsidRDefault="00F42C68" w:rsidP="00F42C68">
      <w:pPr>
        <w:rPr>
          <w:sz w:val="24"/>
          <w:szCs w:val="24"/>
        </w:rPr>
      </w:pPr>
      <w:r w:rsidRPr="00F42C68">
        <w:rPr>
          <w:lang w:eastAsia="bg-BG"/>
        </w:rPr>
        <w:t>На базата на конвенционални животински изследвания, относно фармакодинамика, токсичност при многократно прилагане, генотоксичност и карциногенност, не съществуват други рискове за пациентите, които да могат да се очакват въз основа на фармакологичния механизъм. При максимални поносими дози при зайци и плъхове, симвастатин не предизвиква фетални малформации и не оказва влияние върху фертилитета, репродуктивностга или неонаталното развитие.</w:t>
      </w:r>
    </w:p>
    <w:p w14:paraId="48247BEC" w14:textId="77777777" w:rsidR="00F42C68" w:rsidRPr="00F42C68" w:rsidRDefault="00F42C68" w:rsidP="00F42C68"/>
    <w:p w14:paraId="6A7820AB" w14:textId="685C53CF" w:rsidR="008A6AF2" w:rsidRDefault="002C50EE" w:rsidP="00395555">
      <w:pPr>
        <w:pStyle w:val="Heading1"/>
      </w:pPr>
      <w:r>
        <w:t>7. ПРИТЕЖАТЕЛ НА РАЗРЕШЕНИЕТО ЗА УПОТРЕБА</w:t>
      </w:r>
    </w:p>
    <w:p w14:paraId="39081ED7" w14:textId="0793F480" w:rsidR="00F42C68" w:rsidRDefault="00F42C68" w:rsidP="00F42C68"/>
    <w:p w14:paraId="383C79CE" w14:textId="77777777" w:rsidR="00F42C68" w:rsidRPr="00F42C68" w:rsidRDefault="00F42C68" w:rsidP="00F42C68">
      <w:pPr>
        <w:rPr>
          <w:sz w:val="24"/>
          <w:szCs w:val="24"/>
          <w:lang w:val="en-US"/>
        </w:rPr>
      </w:pPr>
      <w:proofErr w:type="spellStart"/>
      <w:r w:rsidRPr="00F42C68">
        <w:rPr>
          <w:lang w:val="en-US"/>
        </w:rPr>
        <w:t>Teva</w:t>
      </w:r>
      <w:proofErr w:type="spellEnd"/>
      <w:r w:rsidRPr="00F42C68">
        <w:rPr>
          <w:lang w:eastAsia="bg-BG"/>
        </w:rPr>
        <w:t xml:space="preserve"> </w:t>
      </w:r>
      <w:r w:rsidRPr="00F42C68">
        <w:rPr>
          <w:lang w:val="en-US"/>
        </w:rPr>
        <w:t>B.V.</w:t>
      </w:r>
    </w:p>
    <w:p w14:paraId="61FF2A45" w14:textId="77777777" w:rsidR="00F42C68" w:rsidRDefault="00F42C68" w:rsidP="00F42C68">
      <w:pPr>
        <w:rPr>
          <w:lang w:val="en-US"/>
        </w:rPr>
      </w:pPr>
      <w:proofErr w:type="spellStart"/>
      <w:r w:rsidRPr="00F42C68">
        <w:rPr>
          <w:lang w:val="en-US"/>
        </w:rPr>
        <w:t>Swensweg</w:t>
      </w:r>
      <w:proofErr w:type="spellEnd"/>
      <w:r w:rsidRPr="00F42C68">
        <w:rPr>
          <w:lang w:val="en-US"/>
        </w:rPr>
        <w:t xml:space="preserve"> 5 </w:t>
      </w:r>
    </w:p>
    <w:p w14:paraId="0319A01E" w14:textId="3780C480" w:rsidR="00F42C68" w:rsidRPr="00F42C68" w:rsidRDefault="00F42C68" w:rsidP="00F42C68">
      <w:pPr>
        <w:rPr>
          <w:sz w:val="24"/>
          <w:szCs w:val="24"/>
          <w:lang w:val="en-US"/>
        </w:rPr>
      </w:pPr>
      <w:r w:rsidRPr="00F42C68">
        <w:rPr>
          <w:lang w:val="en-US"/>
        </w:rPr>
        <w:t>2031 GA Haarlem</w:t>
      </w:r>
    </w:p>
    <w:p w14:paraId="09204EEE" w14:textId="77777777" w:rsidR="00F42C68" w:rsidRPr="00F42C68" w:rsidRDefault="00F42C68" w:rsidP="00F42C68">
      <w:pPr>
        <w:rPr>
          <w:sz w:val="24"/>
          <w:szCs w:val="24"/>
          <w:lang w:val="ru-RU"/>
        </w:rPr>
      </w:pPr>
      <w:r w:rsidRPr="00F42C68">
        <w:rPr>
          <w:lang w:eastAsia="bg-BG"/>
        </w:rPr>
        <w:t>Нидерландия</w:t>
      </w:r>
    </w:p>
    <w:p w14:paraId="52179689" w14:textId="77777777" w:rsidR="00F42C68" w:rsidRPr="00F42C68" w:rsidRDefault="00F42C68" w:rsidP="00F42C68">
      <w:pPr>
        <w:rPr>
          <w:lang w:val="ru-RU"/>
        </w:rPr>
      </w:pPr>
    </w:p>
    <w:p w14:paraId="7BA1BA64" w14:textId="15058A70" w:rsidR="00CF77F7" w:rsidRDefault="002C50EE" w:rsidP="004A448E">
      <w:pPr>
        <w:pStyle w:val="Heading1"/>
      </w:pPr>
      <w:r>
        <w:t>8. НОМЕР НА РАЗРЕШЕНИЕТО ЗА УПОТРЕБА</w:t>
      </w:r>
    </w:p>
    <w:p w14:paraId="109C9759" w14:textId="6266EEB2" w:rsidR="00F42C68" w:rsidRDefault="00F42C68" w:rsidP="00F42C68"/>
    <w:p w14:paraId="0C049577" w14:textId="77777777" w:rsidR="00F42C68" w:rsidRPr="00F42C68" w:rsidRDefault="00F42C68" w:rsidP="00F42C68">
      <w:pPr>
        <w:rPr>
          <w:sz w:val="24"/>
          <w:szCs w:val="24"/>
        </w:rPr>
      </w:pPr>
      <w:r w:rsidRPr="00F42C68">
        <w:rPr>
          <w:lang w:eastAsia="bg-BG"/>
        </w:rPr>
        <w:t xml:space="preserve">Акталипид 10 </w:t>
      </w:r>
      <w:r w:rsidRPr="00F42C68">
        <w:rPr>
          <w:lang w:val="en-US"/>
        </w:rPr>
        <w:t>mg</w:t>
      </w:r>
      <w:r w:rsidRPr="00F42C68">
        <w:rPr>
          <w:lang w:val="ru-RU"/>
        </w:rPr>
        <w:t xml:space="preserve"> </w:t>
      </w:r>
      <w:r w:rsidRPr="00F42C68">
        <w:rPr>
          <w:lang w:eastAsia="bg-BG"/>
        </w:rPr>
        <w:t xml:space="preserve">филмирани таблетки - </w:t>
      </w:r>
      <w:r w:rsidRPr="00F42C68">
        <w:rPr>
          <w:lang w:val="en-US"/>
        </w:rPr>
        <w:t>per</w:t>
      </w:r>
      <w:r w:rsidRPr="00F42C68">
        <w:rPr>
          <w:lang w:val="ru-RU"/>
        </w:rPr>
        <w:t xml:space="preserve">. </w:t>
      </w:r>
      <w:r w:rsidRPr="00F42C68">
        <w:rPr>
          <w:lang w:eastAsia="bg-BG"/>
        </w:rPr>
        <w:t>№ 20080031</w:t>
      </w:r>
    </w:p>
    <w:p w14:paraId="26E6A98F" w14:textId="77777777" w:rsidR="00F42C68" w:rsidRPr="00F42C68" w:rsidRDefault="00F42C68" w:rsidP="00F42C68">
      <w:pPr>
        <w:rPr>
          <w:sz w:val="24"/>
          <w:szCs w:val="24"/>
        </w:rPr>
      </w:pPr>
      <w:r w:rsidRPr="00F42C68">
        <w:rPr>
          <w:lang w:eastAsia="bg-BG"/>
        </w:rPr>
        <w:t xml:space="preserve">Акталипид 20 </w:t>
      </w:r>
      <w:r w:rsidRPr="00F42C68">
        <w:rPr>
          <w:lang w:val="en-US"/>
        </w:rPr>
        <w:t>mg</w:t>
      </w:r>
      <w:r w:rsidRPr="00F42C68">
        <w:rPr>
          <w:lang w:val="ru-RU"/>
        </w:rPr>
        <w:t xml:space="preserve"> </w:t>
      </w:r>
      <w:r w:rsidRPr="00F42C68">
        <w:rPr>
          <w:lang w:eastAsia="bg-BG"/>
        </w:rPr>
        <w:t xml:space="preserve">филмирани таблетки - </w:t>
      </w:r>
      <w:r w:rsidRPr="00F42C68">
        <w:rPr>
          <w:lang w:val="en-US"/>
        </w:rPr>
        <w:t>per</w:t>
      </w:r>
      <w:r w:rsidRPr="00F42C68">
        <w:rPr>
          <w:lang w:val="ru-RU"/>
        </w:rPr>
        <w:t xml:space="preserve">. </w:t>
      </w:r>
      <w:r w:rsidRPr="00F42C68">
        <w:rPr>
          <w:lang w:eastAsia="bg-BG"/>
        </w:rPr>
        <w:t>№ 20080032</w:t>
      </w:r>
    </w:p>
    <w:p w14:paraId="21E019CD" w14:textId="7A0396AE" w:rsidR="00F42C68" w:rsidRPr="00F42C68" w:rsidRDefault="00F42C68" w:rsidP="00F42C68">
      <w:r w:rsidRPr="00F42C68">
        <w:rPr>
          <w:lang w:eastAsia="bg-BG"/>
        </w:rPr>
        <w:t xml:space="preserve">Акталипид 40 </w:t>
      </w:r>
      <w:r w:rsidRPr="00F42C68">
        <w:rPr>
          <w:lang w:val="en-US"/>
        </w:rPr>
        <w:t>mg</w:t>
      </w:r>
      <w:r w:rsidRPr="00F42C68">
        <w:rPr>
          <w:lang w:val="ru-RU"/>
        </w:rPr>
        <w:t xml:space="preserve"> </w:t>
      </w:r>
      <w:r w:rsidRPr="00F42C68">
        <w:rPr>
          <w:lang w:eastAsia="bg-BG"/>
        </w:rPr>
        <w:t xml:space="preserve">филмирани таблетки - </w:t>
      </w:r>
      <w:r w:rsidRPr="00F42C68">
        <w:rPr>
          <w:lang w:val="en-US"/>
        </w:rPr>
        <w:t>per</w:t>
      </w:r>
      <w:r w:rsidRPr="00F42C68">
        <w:rPr>
          <w:lang w:val="ru-RU"/>
        </w:rPr>
        <w:t xml:space="preserve">. </w:t>
      </w:r>
      <w:r w:rsidRPr="00F42C68">
        <w:rPr>
          <w:lang w:eastAsia="bg-BG"/>
        </w:rPr>
        <w:t>№ 20080033</w:t>
      </w:r>
    </w:p>
    <w:p w14:paraId="2CCB5832" w14:textId="76B89934" w:rsidR="007C605B" w:rsidRDefault="002C50EE" w:rsidP="007C605B">
      <w:pPr>
        <w:pStyle w:val="Heading1"/>
      </w:pPr>
      <w:r>
        <w:t>9. ДАТА НА ПЪРВО РАЗРЕШАВАНЕ/ПОДНОВЯВАНЕ НА РАЗРЕШЕНИЕТО ЗА УПОТРЕБА</w:t>
      </w:r>
    </w:p>
    <w:p w14:paraId="22DA53CF" w14:textId="2CCDDFAD" w:rsidR="00F42C68" w:rsidRDefault="00F42C68" w:rsidP="00F42C68"/>
    <w:p w14:paraId="38EB5A1C" w14:textId="77777777" w:rsidR="00F42C68" w:rsidRPr="00F42C68" w:rsidRDefault="00F42C68" w:rsidP="00F42C68">
      <w:pPr>
        <w:rPr>
          <w:sz w:val="24"/>
          <w:szCs w:val="24"/>
        </w:rPr>
      </w:pPr>
      <w:r w:rsidRPr="00F42C68">
        <w:rPr>
          <w:lang w:eastAsia="bg-BG"/>
        </w:rPr>
        <w:t>Дата на първо разрешаване: 18.02.2008 г.</w:t>
      </w:r>
    </w:p>
    <w:p w14:paraId="710AC184" w14:textId="37ECBC23" w:rsidR="00F42C68" w:rsidRPr="00F42C68" w:rsidRDefault="00F42C68" w:rsidP="00F42C68">
      <w:r w:rsidRPr="00F42C68">
        <w:rPr>
          <w:lang w:eastAsia="bg-BG"/>
        </w:rPr>
        <w:t>Дата на последно подновяване: 19.09.2012 г.</w:t>
      </w:r>
    </w:p>
    <w:p w14:paraId="0E9D0119" w14:textId="0245C6D7" w:rsidR="002C50EE" w:rsidRDefault="002C50EE" w:rsidP="002C50EE">
      <w:pPr>
        <w:pStyle w:val="Heading1"/>
      </w:pPr>
      <w:r>
        <w:t>10. ДАТА НА АКТУАЛИЗИРАНЕ НА ТЕКСТА</w:t>
      </w:r>
    </w:p>
    <w:p w14:paraId="43FB38A2" w14:textId="5500C507" w:rsidR="007C605B" w:rsidRPr="003E3126" w:rsidRDefault="007C605B" w:rsidP="00CF77F7">
      <w:bookmarkStart w:id="2" w:name="_GoBack"/>
      <w:bookmarkEnd w:id="0"/>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EF4"/>
    <w:multiLevelType w:val="hybridMultilevel"/>
    <w:tmpl w:val="516C1DB2"/>
    <w:lvl w:ilvl="0" w:tplc="04090001">
      <w:start w:val="1"/>
      <w:numFmt w:val="bullet"/>
      <w:lvlText w:val=""/>
      <w:lvlJc w:val="left"/>
      <w:pPr>
        <w:ind w:left="720" w:hanging="360"/>
      </w:pPr>
      <w:rPr>
        <w:rFonts w:ascii="Symbol" w:hAnsi="Symbol"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04CF2"/>
    <w:multiLevelType w:val="hybridMultilevel"/>
    <w:tmpl w:val="A370AEA8"/>
    <w:lvl w:ilvl="0" w:tplc="81E46E96">
      <w:start w:val="4"/>
      <w:numFmt w:val="bullet"/>
      <w:lvlText w:val="-"/>
      <w:lvlJc w:val="left"/>
      <w:pPr>
        <w:ind w:left="720" w:hanging="360"/>
      </w:pPr>
      <w:rPr>
        <w:rFonts w:ascii="Times New Roman" w:eastAsia="Times New Roman" w:hAnsi="Times New Roman" w:cs="Times New Roman"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468F8"/>
    <w:multiLevelType w:val="hybridMultilevel"/>
    <w:tmpl w:val="80B88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990245"/>
    <w:multiLevelType w:val="hybridMultilevel"/>
    <w:tmpl w:val="5E1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F2997"/>
    <w:multiLevelType w:val="hybridMultilevel"/>
    <w:tmpl w:val="6CDE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4"/>
  </w:num>
  <w:num w:numId="12">
    <w:abstractNumId w:val="14"/>
  </w:num>
  <w:num w:numId="13">
    <w:abstractNumId w:val="19"/>
  </w:num>
  <w:num w:numId="14">
    <w:abstractNumId w:val="11"/>
  </w:num>
  <w:num w:numId="15">
    <w:abstractNumId w:val="33"/>
  </w:num>
  <w:num w:numId="16">
    <w:abstractNumId w:val="9"/>
  </w:num>
  <w:num w:numId="17">
    <w:abstractNumId w:val="24"/>
  </w:num>
  <w:num w:numId="18">
    <w:abstractNumId w:val="7"/>
  </w:num>
  <w:num w:numId="19">
    <w:abstractNumId w:val="27"/>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5"/>
  </w:num>
  <w:num w:numId="28">
    <w:abstractNumId w:val="6"/>
  </w:num>
  <w:num w:numId="29">
    <w:abstractNumId w:val="20"/>
  </w:num>
  <w:num w:numId="30">
    <w:abstractNumId w:val="38"/>
  </w:num>
  <w:num w:numId="31">
    <w:abstractNumId w:val="5"/>
  </w:num>
  <w:num w:numId="32">
    <w:abstractNumId w:val="37"/>
  </w:num>
  <w:num w:numId="33">
    <w:abstractNumId w:val="31"/>
  </w:num>
  <w:num w:numId="34">
    <w:abstractNumId w:val="36"/>
  </w:num>
  <w:num w:numId="35">
    <w:abstractNumId w:val="32"/>
  </w:num>
  <w:num w:numId="36">
    <w:abstractNumId w:val="30"/>
  </w:num>
  <w:num w:numId="37">
    <w:abstractNumId w:val="26"/>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63003"/>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2BE"/>
    <w:rsid w:val="00C0049F"/>
    <w:rsid w:val="00C07B84"/>
    <w:rsid w:val="00C33464"/>
    <w:rsid w:val="00C40420"/>
    <w:rsid w:val="00C809A7"/>
    <w:rsid w:val="00C83063"/>
    <w:rsid w:val="00C87E90"/>
    <w:rsid w:val="00CA1B57"/>
    <w:rsid w:val="00CF77F7"/>
    <w:rsid w:val="00D86297"/>
    <w:rsid w:val="00DD466D"/>
    <w:rsid w:val="00E72EFD"/>
    <w:rsid w:val="00EB6364"/>
    <w:rsid w:val="00F37B64"/>
    <w:rsid w:val="00F42C6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9098</Words>
  <Characters>51859</Characters>
  <Application>Microsoft Office Word</Application>
  <DocSecurity>0</DocSecurity>
  <Lines>432</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2022-05-24T13:30:00Z</dcterms:created>
  <dcterms:modified xsi:type="dcterms:W3CDTF">2022-05-24T13:30:00Z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