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7F41DDDC" w:rsidR="00F53FB7" w:rsidRDefault="00DD466D" w:rsidP="00A93499">
      <w:pPr>
        <w:pStyle w:val="Heading1"/>
      </w:pPr>
      <w:r>
        <w:t>1.ИМЕ НА ЛЕКАРСТВЕНИЯ ПРОДУКТ</w:t>
      </w:r>
    </w:p>
    <w:p w14:paraId="1CE93BA8" w14:textId="3AA263E3" w:rsidR="00507887" w:rsidRDefault="00507887" w:rsidP="00507887"/>
    <w:p w14:paraId="242759C4" w14:textId="77777777" w:rsidR="00507887" w:rsidRDefault="00507887" w:rsidP="00507887">
      <w:pPr>
        <w:rPr>
          <w:lang w:eastAsia="bg-BG"/>
        </w:rPr>
      </w:pPr>
      <w:r w:rsidRPr="00507887">
        <w:rPr>
          <w:lang w:eastAsia="bg-BG"/>
        </w:rPr>
        <w:t xml:space="preserve">АЕРАН течност за инхалация с пара </w:t>
      </w:r>
    </w:p>
    <w:p w14:paraId="03EB2B80" w14:textId="3A1DCBFC" w:rsidR="00507887" w:rsidRPr="00507887" w:rsidRDefault="00507887" w:rsidP="00507887">
      <w:pPr>
        <w:rPr>
          <w:sz w:val="24"/>
          <w:szCs w:val="24"/>
          <w:lang w:eastAsia="bg-BG"/>
        </w:rPr>
      </w:pPr>
      <w:r w:rsidRPr="00507887">
        <w:rPr>
          <w:lang w:val="en-US"/>
        </w:rPr>
        <w:t xml:space="preserve">AERRANE inhalation </w:t>
      </w:r>
      <w:proofErr w:type="spellStart"/>
      <w:r w:rsidRPr="00507887">
        <w:rPr>
          <w:lang w:val="en-US"/>
        </w:rPr>
        <w:t>vapour</w:t>
      </w:r>
      <w:proofErr w:type="spellEnd"/>
      <w:r w:rsidRPr="00507887">
        <w:rPr>
          <w:lang w:val="en-US"/>
        </w:rPr>
        <w:t>, liquid</w:t>
      </w:r>
    </w:p>
    <w:p w14:paraId="02DEDCBA" w14:textId="77777777" w:rsidR="00507887" w:rsidRPr="00507887" w:rsidRDefault="00507887" w:rsidP="00507887"/>
    <w:p w14:paraId="0DF202EC" w14:textId="4D413945" w:rsidR="00F53FB7" w:rsidRDefault="00DD466D" w:rsidP="00A93499">
      <w:pPr>
        <w:pStyle w:val="Heading1"/>
      </w:pPr>
      <w:r>
        <w:t>2. КАЧЕСТВЕН И КОЛИЧЕСТВЕН СЪСТАВ</w:t>
      </w:r>
    </w:p>
    <w:p w14:paraId="5A3EF198" w14:textId="3BC732C7" w:rsidR="00507887" w:rsidRDefault="00507887" w:rsidP="00507887"/>
    <w:p w14:paraId="63F3DEF9" w14:textId="7DE6FDBC" w:rsidR="00507887" w:rsidRPr="00507887" w:rsidRDefault="00507887" w:rsidP="00507887">
      <w:pPr>
        <w:rPr>
          <w:sz w:val="24"/>
          <w:szCs w:val="24"/>
          <w:lang w:val="en-US" w:eastAsia="bg-BG"/>
        </w:rPr>
      </w:pPr>
      <w:r w:rsidRPr="00507887">
        <w:rPr>
          <w:lang w:eastAsia="bg-BG"/>
        </w:rPr>
        <w:t xml:space="preserve">Изофлуран </w:t>
      </w:r>
      <w:r w:rsidRPr="00507887">
        <w:rPr>
          <w:lang w:val="en-US"/>
        </w:rPr>
        <w:t xml:space="preserve">(isoflurane) </w:t>
      </w:r>
      <w:r w:rsidRPr="00507887">
        <w:rPr>
          <w:lang w:eastAsia="bg-BG"/>
        </w:rPr>
        <w:t xml:space="preserve">100 % </w:t>
      </w:r>
      <w:r w:rsidRPr="00507887">
        <w:rPr>
          <w:lang w:val="en-US"/>
        </w:rPr>
        <w:t>v/v.</w:t>
      </w:r>
    </w:p>
    <w:p w14:paraId="4CABB9ED" w14:textId="60BDFE9B" w:rsidR="00F53FB7" w:rsidRDefault="00DD466D" w:rsidP="00A93499">
      <w:pPr>
        <w:pStyle w:val="Heading1"/>
      </w:pPr>
      <w:r>
        <w:t>3. ЛЕКАРСТВЕНА ФОРМА</w:t>
      </w:r>
    </w:p>
    <w:p w14:paraId="73DD61DD" w14:textId="0F004829" w:rsidR="00507887" w:rsidRDefault="00507887" w:rsidP="00507887"/>
    <w:p w14:paraId="18DCFD87" w14:textId="748BB338" w:rsidR="00507887" w:rsidRPr="00507887" w:rsidRDefault="00507887" w:rsidP="00507887">
      <w:pPr>
        <w:rPr>
          <w:sz w:val="24"/>
          <w:szCs w:val="24"/>
          <w:lang w:eastAsia="bg-BG"/>
        </w:rPr>
      </w:pPr>
      <w:r w:rsidRPr="00507887">
        <w:rPr>
          <w:lang w:eastAsia="bg-BG"/>
        </w:rPr>
        <w:t>Течност за инхалация с пара.</w:t>
      </w:r>
    </w:p>
    <w:p w14:paraId="490FC2C4" w14:textId="6899DE43" w:rsidR="002C50EE" w:rsidRDefault="002C50EE" w:rsidP="002C50EE">
      <w:pPr>
        <w:pStyle w:val="Heading1"/>
      </w:pPr>
      <w:r>
        <w:t>4. КЛИНИЧНИ ДАННИ</w:t>
      </w:r>
    </w:p>
    <w:p w14:paraId="1AEF7FB6" w14:textId="344D5EFD" w:rsidR="00A428B7" w:rsidRDefault="002C50EE" w:rsidP="00340E8D">
      <w:pPr>
        <w:pStyle w:val="Heading2"/>
      </w:pPr>
      <w:r>
        <w:t>4.1. Терапевтични показания</w:t>
      </w:r>
    </w:p>
    <w:p w14:paraId="6181A1B6" w14:textId="77777777" w:rsidR="00507887" w:rsidRDefault="00507887" w:rsidP="00507887"/>
    <w:p w14:paraId="26291010" w14:textId="68127CCB" w:rsidR="00507887" w:rsidRDefault="00507887" w:rsidP="00507887">
      <w:pPr>
        <w:rPr>
          <w:lang w:eastAsia="bg-BG"/>
        </w:rPr>
      </w:pPr>
      <w:r w:rsidRPr="00507887">
        <w:rPr>
          <w:lang w:eastAsia="bg-BG"/>
        </w:rPr>
        <w:t>Въвеждане и поддържане на обща анестезия при деца и възрастни.</w:t>
      </w:r>
    </w:p>
    <w:p w14:paraId="284A5748" w14:textId="77777777" w:rsidR="00507887" w:rsidRPr="00507887" w:rsidRDefault="00507887" w:rsidP="00507887">
      <w:pPr>
        <w:rPr>
          <w:sz w:val="24"/>
          <w:szCs w:val="24"/>
          <w:lang w:eastAsia="bg-BG"/>
        </w:rPr>
      </w:pPr>
    </w:p>
    <w:p w14:paraId="4EC58B12" w14:textId="213998AA" w:rsidR="00A428B7" w:rsidRDefault="002C50EE" w:rsidP="00340E8D">
      <w:pPr>
        <w:pStyle w:val="Heading2"/>
      </w:pPr>
      <w:r>
        <w:t>4.2. Дозировка и начин на приложение</w:t>
      </w:r>
    </w:p>
    <w:p w14:paraId="39A27AAA" w14:textId="47032F56" w:rsidR="00507887" w:rsidRDefault="00507887" w:rsidP="00507887"/>
    <w:p w14:paraId="6A06B09D"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За да се поддържа и контролира прецизна концентрация на изофлуран, се използват изпарители, които са специфично калибрирани за изофлуран.</w:t>
      </w:r>
    </w:p>
    <w:p w14:paraId="18ACDCF6" w14:textId="77777777" w:rsidR="00507887" w:rsidRPr="00507887" w:rsidRDefault="00507887" w:rsidP="00507887">
      <w:pPr>
        <w:spacing w:line="240" w:lineRule="auto"/>
        <w:rPr>
          <w:rFonts w:eastAsia="Times New Roman" w:cs="Arial"/>
          <w:color w:val="000000"/>
          <w:u w:val="single"/>
          <w:lang w:eastAsia="bg-BG"/>
        </w:rPr>
      </w:pPr>
    </w:p>
    <w:p w14:paraId="1DB2707F" w14:textId="3093298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u w:val="single"/>
          <w:lang w:eastAsia="bg-BG"/>
        </w:rPr>
        <w:t>Въвеждане в анестезия</w:t>
      </w:r>
    </w:p>
    <w:p w14:paraId="7D92EF85" w14:textId="77777777" w:rsidR="00507887" w:rsidRPr="00507887" w:rsidRDefault="00507887" w:rsidP="00507887">
      <w:pPr>
        <w:spacing w:line="240" w:lineRule="auto"/>
        <w:rPr>
          <w:rFonts w:eastAsia="Times New Roman" w:cs="Arial"/>
          <w:color w:val="000000"/>
          <w:lang w:eastAsia="bg-BG"/>
        </w:rPr>
      </w:pPr>
    </w:p>
    <w:p w14:paraId="61927C78" w14:textId="3AA596B2"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Ако изофлуран се използва за въвеждане в анестезия, се препоръчва начална концентрация от 0,5%. Концентрации от 1,3 - 3,0% обичайно осиуряват хирургическа анестезия в рамките на 7 до 10 минути.</w:t>
      </w:r>
    </w:p>
    <w:p w14:paraId="3CD181EC" w14:textId="77777777" w:rsidR="00507887" w:rsidRPr="00507887" w:rsidRDefault="00507887" w:rsidP="00507887">
      <w:pPr>
        <w:spacing w:line="240" w:lineRule="auto"/>
        <w:rPr>
          <w:rFonts w:eastAsia="Times New Roman" w:cs="Arial"/>
          <w:color w:val="000000"/>
          <w:lang w:eastAsia="bg-BG"/>
        </w:rPr>
      </w:pPr>
    </w:p>
    <w:p w14:paraId="4BBDFA9C" w14:textId="08FBBEC0"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Препоръчително е да се прилага краткодействащ барбитурат или друг лекарствен продукт като пропофол, етомидат или мидазолам с цел да се избегне появата на кашлица или ларингоспазъм, което може да се очаква когато въвеждането в анестезия се осъществава само с изофлуран или в комбинация с кислород или смес от кислород и азотен окис.</w:t>
      </w:r>
    </w:p>
    <w:p w14:paraId="516C277A" w14:textId="77777777" w:rsidR="00507887" w:rsidRPr="00507887" w:rsidRDefault="00507887" w:rsidP="00507887">
      <w:pPr>
        <w:spacing w:line="240" w:lineRule="auto"/>
        <w:rPr>
          <w:rFonts w:eastAsia="Times New Roman" w:cs="Arial"/>
          <w:color w:val="000000"/>
          <w:u w:val="single"/>
          <w:lang w:eastAsia="bg-BG"/>
        </w:rPr>
      </w:pPr>
    </w:p>
    <w:p w14:paraId="5244058B" w14:textId="4C722116"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u w:val="single"/>
          <w:lang w:eastAsia="bg-BG"/>
        </w:rPr>
        <w:t>Поддържане на анестезия</w:t>
      </w:r>
    </w:p>
    <w:p w14:paraId="16957B4B"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По време на хирургическа операция анестезията може да бъде поддържана като се използва концентрация от 1,0 — 2,5% на АЕРАН с едновременно приложение на диазотен оксид и кислород.</w:t>
      </w:r>
    </w:p>
    <w:p w14:paraId="746BCC55" w14:textId="77777777" w:rsidR="00507887" w:rsidRPr="00507887" w:rsidRDefault="00507887" w:rsidP="00507887">
      <w:pPr>
        <w:spacing w:line="240" w:lineRule="auto"/>
        <w:rPr>
          <w:rFonts w:eastAsia="Times New Roman" w:cs="Arial"/>
          <w:color w:val="000000"/>
          <w:lang w:eastAsia="bg-BG"/>
        </w:rPr>
      </w:pPr>
    </w:p>
    <w:p w14:paraId="7FA79EE5" w14:textId="3D334F08"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По-висока концентрация от 1,5 - 3,5% на АЕРАН е необходима, когато АЕРАН се прилага в комбинация с чист кислород.</w:t>
      </w:r>
    </w:p>
    <w:p w14:paraId="73B49A9E" w14:textId="77777777" w:rsidR="00507887" w:rsidRPr="00507887" w:rsidRDefault="00507887" w:rsidP="00507887">
      <w:pPr>
        <w:spacing w:line="240" w:lineRule="auto"/>
        <w:rPr>
          <w:rFonts w:eastAsia="Times New Roman" w:cs="Arial"/>
          <w:color w:val="000000"/>
          <w:u w:val="single"/>
          <w:lang w:eastAsia="bg-BG"/>
        </w:rPr>
      </w:pPr>
    </w:p>
    <w:p w14:paraId="5C87AF4D" w14:textId="668ABE54"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u w:val="single"/>
          <w:lang w:eastAsia="bg-BG"/>
        </w:rPr>
        <w:t>Извеждане от анестезия</w:t>
      </w:r>
    </w:p>
    <w:p w14:paraId="5C5CFD67" w14:textId="729C9422" w:rsidR="00507887" w:rsidRPr="00507887" w:rsidRDefault="00507887" w:rsidP="00507887">
      <w:pPr>
        <w:spacing w:line="240" w:lineRule="auto"/>
        <w:rPr>
          <w:rFonts w:eastAsia="Times New Roman" w:cs="Arial"/>
          <w:color w:val="000000"/>
          <w:lang w:eastAsia="bg-BG"/>
        </w:rPr>
      </w:pPr>
      <w:r w:rsidRPr="00507887">
        <w:rPr>
          <w:rFonts w:eastAsia="Times New Roman" w:cs="Arial"/>
          <w:color w:val="000000"/>
          <w:lang w:eastAsia="bg-BG"/>
        </w:rPr>
        <w:t>Концентрацията на АЕРАН трябва да бъде редуцирана до 0,5% в края на хирурхическата операция или до 0% по време на затваряне на оперативната рана, за да се осигури бързо и навременно извеждане от анестезия.</w:t>
      </w:r>
    </w:p>
    <w:p w14:paraId="7BEBDC8D" w14:textId="22790556" w:rsidR="00507887" w:rsidRPr="00507887" w:rsidRDefault="00507887" w:rsidP="00507887">
      <w:pPr>
        <w:spacing w:line="240" w:lineRule="auto"/>
        <w:rPr>
          <w:rFonts w:eastAsia="Times New Roman" w:cs="Arial"/>
          <w:color w:val="000000"/>
          <w:lang w:eastAsia="bg-BG"/>
        </w:rPr>
      </w:pPr>
    </w:p>
    <w:p w14:paraId="59D224B6"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След спиране на подаването на всякакви анестетици, дихателните пътища на пациента трябва да бъдат вентилирани няколко пъти със 100 % кислород до пълното събуждане.</w:t>
      </w:r>
    </w:p>
    <w:p w14:paraId="4B505034" w14:textId="77777777" w:rsidR="00507887" w:rsidRPr="00507887" w:rsidRDefault="00507887" w:rsidP="00507887">
      <w:pPr>
        <w:spacing w:line="240" w:lineRule="auto"/>
        <w:rPr>
          <w:rFonts w:eastAsia="Times New Roman" w:cs="Arial"/>
          <w:color w:val="000000"/>
          <w:lang w:eastAsia="bg-BG"/>
        </w:rPr>
      </w:pPr>
    </w:p>
    <w:p w14:paraId="6DD74975" w14:textId="0610BDDC"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Ако носещият газ е смес от 50% О</w:t>
      </w:r>
      <w:r w:rsidRPr="00507887">
        <w:rPr>
          <w:rFonts w:eastAsia="Times New Roman" w:cs="Arial"/>
          <w:color w:val="000000"/>
          <w:vertAlign w:val="subscript"/>
          <w:lang w:eastAsia="bg-BG"/>
        </w:rPr>
        <w:t>2</w:t>
      </w:r>
      <w:r w:rsidRPr="00507887">
        <w:rPr>
          <w:rFonts w:eastAsia="Times New Roman" w:cs="Arial"/>
          <w:color w:val="000000"/>
          <w:lang w:eastAsia="bg-BG"/>
        </w:rPr>
        <w:t xml:space="preserve"> и 50% </w:t>
      </w:r>
      <w:r w:rsidRPr="00507887">
        <w:rPr>
          <w:rFonts w:eastAsia="Times New Roman" w:cs="Arial"/>
          <w:color w:val="000000"/>
          <w:lang w:val="en-US"/>
        </w:rPr>
        <w:t>N</w:t>
      </w:r>
      <w:r w:rsidRPr="00507887">
        <w:rPr>
          <w:rFonts w:eastAsia="Times New Roman" w:cs="Arial"/>
          <w:color w:val="000000"/>
          <w:vertAlign w:val="subscript"/>
          <w:lang w:val="en-US"/>
        </w:rPr>
        <w:t>2</w:t>
      </w:r>
      <w:r w:rsidRPr="00507887">
        <w:rPr>
          <w:rFonts w:eastAsia="Times New Roman" w:cs="Arial"/>
          <w:color w:val="000000"/>
          <w:lang w:val="en-US"/>
        </w:rPr>
        <w:t xml:space="preserve">O, </w:t>
      </w:r>
      <w:r w:rsidRPr="00507887">
        <w:rPr>
          <w:rFonts w:eastAsia="Times New Roman" w:cs="Arial"/>
          <w:color w:val="000000"/>
          <w:lang w:eastAsia="bg-BG"/>
        </w:rPr>
        <w:t>стойността на минималната алвеоларна концентрация на изофлуран е приблизително 0,65%.</w:t>
      </w:r>
    </w:p>
    <w:p w14:paraId="1CE8F516" w14:textId="77777777" w:rsidR="00507887" w:rsidRPr="00507887" w:rsidRDefault="00507887" w:rsidP="00507887">
      <w:pPr>
        <w:spacing w:line="240" w:lineRule="auto"/>
        <w:rPr>
          <w:rFonts w:eastAsia="Times New Roman" w:cs="Arial"/>
          <w:color w:val="000000"/>
          <w:lang w:eastAsia="bg-BG"/>
        </w:rPr>
      </w:pPr>
    </w:p>
    <w:p w14:paraId="772A0A8E" w14:textId="6321A5F8"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Премедикация:</w:t>
      </w:r>
    </w:p>
    <w:p w14:paraId="22E3EFEF"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При всеки пациент е необходим индивидуален избор на средствата за премедикация, имайки предвид потискащият дишането ефект на АЕРАН. Антихолинергичните средства са възможен избор и могат да бъдат препоръчани за увод в инхалаторната анестезия при деца.</w:t>
      </w:r>
    </w:p>
    <w:p w14:paraId="4B6F234F" w14:textId="77777777" w:rsidR="00507887" w:rsidRPr="00507887" w:rsidRDefault="00507887" w:rsidP="00507887">
      <w:pPr>
        <w:spacing w:line="240" w:lineRule="auto"/>
        <w:rPr>
          <w:rFonts w:eastAsia="Times New Roman" w:cs="Arial"/>
          <w:color w:val="000000"/>
          <w:u w:val="single"/>
          <w:lang w:eastAsia="bg-BG"/>
        </w:rPr>
      </w:pPr>
    </w:p>
    <w:p w14:paraId="1D787187" w14:textId="300F063D"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u w:val="single"/>
          <w:lang w:eastAsia="bg-BG"/>
        </w:rPr>
        <w:t>Въвеждане в анестезия при деца:</w:t>
      </w:r>
    </w:p>
    <w:p w14:paraId="30A80962" w14:textId="77777777" w:rsidR="00507887" w:rsidRPr="00507887" w:rsidRDefault="00507887" w:rsidP="00507887">
      <w:pPr>
        <w:spacing w:line="240" w:lineRule="auto"/>
        <w:rPr>
          <w:rFonts w:ascii="Times New Roman" w:eastAsia="Times New Roman" w:hAnsi="Times New Roman" w:cs="Times New Roman"/>
          <w:sz w:val="24"/>
          <w:szCs w:val="24"/>
          <w:lang w:eastAsia="bg-BG"/>
        </w:rPr>
      </w:pPr>
      <w:r w:rsidRPr="00507887">
        <w:rPr>
          <w:rFonts w:eastAsia="Times New Roman" w:cs="Arial"/>
          <w:color w:val="000000"/>
          <w:u w:val="single"/>
          <w:lang w:eastAsia="bg-BG"/>
        </w:rPr>
        <w:t>АЕРАН не е показан като инхалаторен анестетик за въвеждане в анестезия при кърмачета и деца поради възникване на кятплипа. задръжка на дишането, десатурапия. повишена секреция и ларингоспазъм (вж. точка 4.4).</w:t>
      </w:r>
    </w:p>
    <w:p w14:paraId="603BC956" w14:textId="77777777" w:rsidR="00507887" w:rsidRPr="00507887" w:rsidRDefault="00507887" w:rsidP="00507887"/>
    <w:p w14:paraId="6158ADF5" w14:textId="2E2D486D" w:rsidR="00A428B7" w:rsidRDefault="002C50EE" w:rsidP="00340E8D">
      <w:pPr>
        <w:pStyle w:val="Heading2"/>
      </w:pPr>
      <w:r>
        <w:t>4.3. Противопоказания</w:t>
      </w:r>
    </w:p>
    <w:p w14:paraId="1A4050FF" w14:textId="3070007C" w:rsidR="00507887" w:rsidRDefault="00507887" w:rsidP="00507887"/>
    <w:p w14:paraId="1F901B13" w14:textId="77777777" w:rsidR="00507887" w:rsidRPr="00507887" w:rsidRDefault="00507887" w:rsidP="00507887">
      <w:pPr>
        <w:pStyle w:val="ListParagraph"/>
        <w:numPr>
          <w:ilvl w:val="0"/>
          <w:numId w:val="40"/>
        </w:numPr>
        <w:spacing w:line="240" w:lineRule="auto"/>
        <w:rPr>
          <w:rFonts w:eastAsia="Times New Roman" w:cs="Arial"/>
          <w:sz w:val="28"/>
          <w:szCs w:val="28"/>
          <w:lang w:eastAsia="bg-BG"/>
        </w:rPr>
      </w:pPr>
      <w:r w:rsidRPr="00507887">
        <w:rPr>
          <w:rFonts w:eastAsia="Times New Roman" w:cs="Arial"/>
          <w:color w:val="000000"/>
          <w:lang w:eastAsia="bg-BG"/>
        </w:rPr>
        <w:t>АЕРАН е противополазан при пациенти със свръхчувствителност към изофлуран и други халогенни анестетици</w:t>
      </w:r>
    </w:p>
    <w:p w14:paraId="35228302" w14:textId="5CBED221" w:rsidR="00507887" w:rsidRPr="00507887" w:rsidRDefault="00507887" w:rsidP="00507887">
      <w:pPr>
        <w:pStyle w:val="ListParagraph"/>
        <w:numPr>
          <w:ilvl w:val="0"/>
          <w:numId w:val="40"/>
        </w:numPr>
        <w:spacing w:line="240" w:lineRule="auto"/>
        <w:rPr>
          <w:rFonts w:eastAsia="Times New Roman" w:cs="Arial"/>
          <w:sz w:val="28"/>
          <w:szCs w:val="28"/>
          <w:lang w:eastAsia="bg-BG"/>
        </w:rPr>
      </w:pPr>
      <w:r w:rsidRPr="00507887">
        <w:rPr>
          <w:rFonts w:eastAsia="Times New Roman" w:cs="Arial"/>
          <w:color w:val="000000"/>
          <w:lang w:eastAsia="bg-BG"/>
        </w:rPr>
        <w:t>Противопоказан е и при пациенти с известна или подозирана генетична предразположеност към малигнена хипертермия</w:t>
      </w:r>
    </w:p>
    <w:p w14:paraId="53CF5137" w14:textId="77777777" w:rsidR="00507887" w:rsidRPr="00507887" w:rsidRDefault="00507887" w:rsidP="00507887"/>
    <w:p w14:paraId="45176B5B" w14:textId="77D5115E" w:rsidR="00A428B7" w:rsidRDefault="002C50EE" w:rsidP="00340E8D">
      <w:pPr>
        <w:pStyle w:val="Heading2"/>
      </w:pPr>
      <w:r>
        <w:t>4.4. Специални предупреждения и предпазни мерки при употреба</w:t>
      </w:r>
    </w:p>
    <w:p w14:paraId="44084021" w14:textId="0B910AEF" w:rsidR="00507887" w:rsidRDefault="00507887" w:rsidP="00507887"/>
    <w:p w14:paraId="57B0CA48" w14:textId="77777777"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Както всеки мощен общ анестетик, изофлуран трябва да бъде прилаган само в подходящо оборудвано помещение за анестезия и да се прилага от специалисти със съответната квалификация, които са запознати с фармакологията на продукта и квалифицирани чрез обучение и опит в поведение по отношение на анестезиран пациент.</w:t>
      </w:r>
    </w:p>
    <w:p w14:paraId="4FCE2562" w14:textId="77777777" w:rsidR="00507887" w:rsidRPr="00507887" w:rsidRDefault="00507887" w:rsidP="00507887">
      <w:pPr>
        <w:spacing w:line="240" w:lineRule="auto"/>
        <w:rPr>
          <w:rFonts w:eastAsia="Times New Roman" w:cs="Arial"/>
          <w:color w:val="000000"/>
          <w:lang w:eastAsia="bg-BG"/>
        </w:rPr>
      </w:pPr>
    </w:p>
    <w:p w14:paraId="344D16C8" w14:textId="320047C5"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Трябва да се използват изпарители, които са специфично калибрирани за изофлуран, за да се осигури надежден контрол на доставяния анестетик. Със задълбочаване на анестезията се повишават хипотонията и дихателната депресия.</w:t>
      </w:r>
    </w:p>
    <w:p w14:paraId="032CE9DC" w14:textId="77777777" w:rsidR="00507887" w:rsidRPr="00507887" w:rsidRDefault="00507887" w:rsidP="00507887">
      <w:pPr>
        <w:spacing w:line="240" w:lineRule="auto"/>
        <w:rPr>
          <w:rFonts w:eastAsia="Times New Roman" w:cs="Arial"/>
          <w:color w:val="000000"/>
          <w:lang w:eastAsia="bg-BG"/>
        </w:rPr>
      </w:pPr>
    </w:p>
    <w:p w14:paraId="3F9C67E2" w14:textId="77777777" w:rsidR="00507887" w:rsidRPr="00507887" w:rsidRDefault="00507887" w:rsidP="00507887">
      <w:pPr>
        <w:spacing w:line="240" w:lineRule="auto"/>
        <w:rPr>
          <w:rFonts w:eastAsia="Times New Roman" w:cs="Arial"/>
          <w:color w:val="000000"/>
          <w:lang w:eastAsia="bg-BG"/>
        </w:rPr>
      </w:pPr>
      <w:r w:rsidRPr="00507887">
        <w:rPr>
          <w:rFonts w:eastAsia="Times New Roman" w:cs="Arial"/>
          <w:color w:val="000000"/>
          <w:lang w:eastAsia="bg-BG"/>
        </w:rPr>
        <w:t xml:space="preserve">Тъй като при прилагането на изофлуран нивата при анестезия могат лесно и бързо да бъдат променяни, трябва да се използват само изпарители, осигуряващи надежден контрол на притока, както и техники, позволяващи проследяване на издишваните и вдишвани концентрации. Степента на хипотонията и потискане на дихателната функция може да послужат като известен ориентир за </w:t>
      </w:r>
    </w:p>
    <w:p w14:paraId="0C6FBC58" w14:textId="6D14520B"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дълбочината на анестезията.</w:t>
      </w:r>
    </w:p>
    <w:p w14:paraId="2E78BA39" w14:textId="77777777" w:rsidR="00507887" w:rsidRPr="00507887" w:rsidRDefault="00507887" w:rsidP="00507887">
      <w:pPr>
        <w:spacing w:line="240" w:lineRule="auto"/>
        <w:rPr>
          <w:rFonts w:eastAsia="Times New Roman" w:cs="Arial"/>
          <w:color w:val="000000"/>
          <w:lang w:eastAsia="bg-BG"/>
        </w:rPr>
      </w:pPr>
    </w:p>
    <w:p w14:paraId="35992C99" w14:textId="6E4A2BA1"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lastRenderedPageBreak/>
        <w:t xml:space="preserve">Получени са съобщения за удължаване на </w:t>
      </w:r>
      <w:r w:rsidRPr="00507887">
        <w:rPr>
          <w:rFonts w:eastAsia="Times New Roman" w:cs="Arial"/>
          <w:color w:val="000000"/>
          <w:lang w:val="en-US"/>
        </w:rPr>
        <w:t xml:space="preserve">QT </w:t>
      </w:r>
      <w:r w:rsidRPr="00507887">
        <w:rPr>
          <w:rFonts w:eastAsia="Times New Roman" w:cs="Arial"/>
          <w:color w:val="000000"/>
          <w:lang w:eastAsia="bg-BG"/>
        </w:rPr>
        <w:t xml:space="preserve">интервала, свързано с </w:t>
      </w:r>
      <w:r w:rsidRPr="00507887">
        <w:rPr>
          <w:rFonts w:eastAsia="Times New Roman" w:cs="Arial"/>
          <w:color w:val="000000"/>
          <w:lang w:val="en-US"/>
        </w:rPr>
        <w:t xml:space="preserve">torsade de pointes </w:t>
      </w:r>
      <w:r w:rsidRPr="00507887">
        <w:rPr>
          <w:rFonts w:eastAsia="Times New Roman" w:cs="Arial"/>
          <w:color w:val="000000"/>
          <w:lang w:eastAsia="bg-BG"/>
        </w:rPr>
        <w:t xml:space="preserve">(в изключителни случаи, фатално). Следва да се внимава при приложение на изофлуран на пациенти с риск от удължаване на </w:t>
      </w:r>
      <w:r w:rsidRPr="00507887">
        <w:rPr>
          <w:rFonts w:eastAsia="Times New Roman" w:cs="Arial"/>
          <w:color w:val="000000"/>
          <w:lang w:val="en-US"/>
        </w:rPr>
        <w:t xml:space="preserve">QT </w:t>
      </w:r>
      <w:r w:rsidRPr="00507887">
        <w:rPr>
          <w:rFonts w:eastAsia="Times New Roman" w:cs="Arial"/>
          <w:color w:val="000000"/>
          <w:lang w:eastAsia="bg-BG"/>
        </w:rPr>
        <w:t>интервала.</w:t>
      </w:r>
    </w:p>
    <w:p w14:paraId="00294993" w14:textId="77777777" w:rsidR="00507887" w:rsidRPr="00507887" w:rsidRDefault="00507887" w:rsidP="00507887">
      <w:pPr>
        <w:spacing w:line="240" w:lineRule="auto"/>
        <w:rPr>
          <w:rFonts w:eastAsia="Times New Roman" w:cs="Arial"/>
          <w:color w:val="000000"/>
          <w:lang w:eastAsia="bg-BG"/>
        </w:rPr>
      </w:pPr>
    </w:p>
    <w:p w14:paraId="5050BF00" w14:textId="688CE490"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С повишено внимание следва да се прилага обща анестезия, включително и с изофлуран, на пациенти с митохондриални нарушения.</w:t>
      </w:r>
    </w:p>
    <w:p w14:paraId="2F643BAC" w14:textId="77777777" w:rsidR="00507887" w:rsidRPr="00507887" w:rsidRDefault="00507887" w:rsidP="00507887">
      <w:pPr>
        <w:spacing w:line="240" w:lineRule="auto"/>
        <w:rPr>
          <w:rFonts w:eastAsia="Times New Roman" w:cs="Arial"/>
          <w:color w:val="000000"/>
          <w:lang w:eastAsia="bg-BG"/>
        </w:rPr>
      </w:pPr>
    </w:p>
    <w:p w14:paraId="3A1FA45A" w14:textId="6AF0E9B5" w:rsidR="00507887" w:rsidRPr="00507887" w:rsidRDefault="00507887" w:rsidP="00507887">
      <w:pPr>
        <w:spacing w:line="240" w:lineRule="auto"/>
        <w:rPr>
          <w:rFonts w:eastAsia="Times New Roman" w:cs="Arial"/>
          <w:color w:val="000000"/>
          <w:lang w:eastAsia="bg-BG"/>
        </w:rPr>
      </w:pPr>
      <w:r w:rsidRPr="00507887">
        <w:rPr>
          <w:rFonts w:eastAsia="Times New Roman" w:cs="Arial"/>
          <w:color w:val="000000"/>
          <w:lang w:eastAsia="bg-BG"/>
        </w:rPr>
        <w:t>Повишена кръвозагуба, сравнима с тази след анестезия с други инхалационни продукти, е регистрирана при изофлуран, прилаган на пациенти по време на акушеро-гине</w:t>
      </w:r>
      <w:r w:rsidRPr="00507887">
        <w:rPr>
          <w:rFonts w:eastAsia="Times New Roman" w:cs="Arial"/>
          <w:color w:val="000000"/>
          <w:u w:val="single"/>
          <w:lang w:eastAsia="bg-BG"/>
        </w:rPr>
        <w:t>колог</w:t>
      </w:r>
      <w:r w:rsidRPr="00507887">
        <w:rPr>
          <w:rFonts w:eastAsia="Times New Roman" w:cs="Arial"/>
          <w:color w:val="000000"/>
          <w:lang w:eastAsia="bg-BG"/>
        </w:rPr>
        <w:t>ични операции (вж. точка 4.6).</w:t>
      </w:r>
    </w:p>
    <w:p w14:paraId="6E5C323C" w14:textId="77777777" w:rsidR="00507887" w:rsidRPr="00507887" w:rsidRDefault="00507887" w:rsidP="00507887">
      <w:pPr>
        <w:rPr>
          <w:rFonts w:eastAsia="Times New Roman" w:cs="Arial"/>
          <w:color w:val="000000"/>
          <w:lang w:eastAsia="bg-BG"/>
        </w:rPr>
      </w:pPr>
    </w:p>
    <w:p w14:paraId="565D173D" w14:textId="3742BCDD" w:rsidR="00507887" w:rsidRPr="00507887" w:rsidRDefault="00507887" w:rsidP="00507887">
      <w:pPr>
        <w:rPr>
          <w:rFonts w:eastAsia="Times New Roman" w:cs="Arial"/>
          <w:color w:val="000000"/>
          <w:lang w:eastAsia="bg-BG"/>
        </w:rPr>
      </w:pPr>
      <w:r w:rsidRPr="00507887">
        <w:rPr>
          <w:rFonts w:eastAsia="Times New Roman" w:cs="Arial"/>
          <w:color w:val="000000"/>
          <w:lang w:eastAsia="bg-BG"/>
        </w:rPr>
        <w:t>Изофлуран може да причини чернодробно увреждане, вариращо от леко повишение на чернодробните ензими до фатална чернодробна некроза, в много редки случаи.</w:t>
      </w:r>
    </w:p>
    <w:p w14:paraId="16544AB9" w14:textId="3AC345EB" w:rsidR="00507887" w:rsidRPr="00507887" w:rsidRDefault="00507887" w:rsidP="00507887">
      <w:pPr>
        <w:rPr>
          <w:rFonts w:eastAsia="Times New Roman" w:cs="Arial"/>
          <w:color w:val="000000"/>
          <w:lang w:eastAsia="bg-BG"/>
        </w:rPr>
      </w:pPr>
    </w:p>
    <w:p w14:paraId="76E1BD5E" w14:textId="77777777"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Има съобщения, че предишна експозиция с халогенирани хидрокарбонови анестетици, особено в интервал под три месеца, може да повиши вероятността от чернодробно увреждане. Цироза, вирусен хепатит или друго предшестващо чернодробно заболяване могат да бъдат причина за избор на друг анестетик, различен от халогенните анестетици.</w:t>
      </w:r>
    </w:p>
    <w:p w14:paraId="04624E1D" w14:textId="77777777" w:rsidR="00507887" w:rsidRPr="00507887" w:rsidRDefault="00507887" w:rsidP="00507887">
      <w:pPr>
        <w:spacing w:line="240" w:lineRule="auto"/>
        <w:rPr>
          <w:rFonts w:eastAsia="Times New Roman" w:cs="Arial"/>
          <w:color w:val="000000"/>
          <w:lang w:eastAsia="bg-BG"/>
        </w:rPr>
      </w:pPr>
    </w:p>
    <w:p w14:paraId="4D2AC917" w14:textId="4555B735"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Изофлуран може да предизвика дихателна депресия, чийто ефект се усилва от премедикация с наркотични лекарствени продукти или други продукти, предизвикващи дихателна депресия. Дишането трябва да бъде наблюдавано и при необходимост поддържано (вж. точка 4.8).</w:t>
      </w:r>
    </w:p>
    <w:p w14:paraId="30139005" w14:textId="77777777" w:rsidR="00507887" w:rsidRPr="00507887" w:rsidRDefault="00507887" w:rsidP="00507887">
      <w:pPr>
        <w:spacing w:line="240" w:lineRule="auto"/>
        <w:rPr>
          <w:rFonts w:eastAsia="Times New Roman" w:cs="Arial"/>
          <w:color w:val="000000"/>
          <w:lang w:eastAsia="bg-BG"/>
        </w:rPr>
      </w:pPr>
    </w:p>
    <w:p w14:paraId="7D7160A0" w14:textId="4A5B6A8D"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Няма достатъчно опит от използването на повторна анестезия, за да се правят определени препоръки в тази посока. Както всички халогенирани анестетици, повторната анестезия след кратък период от време, трябва да се прави с внимание.</w:t>
      </w:r>
    </w:p>
    <w:p w14:paraId="12FD34C7" w14:textId="77777777" w:rsidR="00507887" w:rsidRPr="00507887" w:rsidRDefault="00507887" w:rsidP="00507887">
      <w:pPr>
        <w:spacing w:line="240" w:lineRule="auto"/>
        <w:rPr>
          <w:rFonts w:eastAsia="Times New Roman" w:cs="Arial"/>
          <w:color w:val="000000"/>
          <w:lang w:eastAsia="bg-BG"/>
        </w:rPr>
      </w:pPr>
    </w:p>
    <w:p w14:paraId="0194E233" w14:textId="7988DFC3"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При пациенти с невромускулни заболявания като миастения гравис може да бъде наблюдавано усилване на невромускулната слабост. Изофлуран трябва да се използва с повишено внимание при такива пациенти. Изофлуран определено повишава церебралният кръвоток със задълбочаване на анестезията. Може да се наблюдава преходно повишаване на налягането на гръбначно-мозъчната течност, което е напълно обратимо чрез хипервентилиране.</w:t>
      </w:r>
    </w:p>
    <w:p w14:paraId="6E8970DB" w14:textId="77777777" w:rsidR="00507887" w:rsidRPr="00507887" w:rsidRDefault="00507887" w:rsidP="00507887">
      <w:pPr>
        <w:spacing w:line="240" w:lineRule="auto"/>
        <w:rPr>
          <w:rFonts w:eastAsia="Times New Roman" w:cs="Arial"/>
          <w:color w:val="000000"/>
          <w:lang w:eastAsia="bg-BG"/>
        </w:rPr>
      </w:pPr>
    </w:p>
    <w:p w14:paraId="47B66C9C" w14:textId="16DE705E"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Изофлуран трябва да се използва с внимание при пациенти с повишено вътречерепно налягане. В тези случаи може да е необходимо хипервентилиране.</w:t>
      </w:r>
    </w:p>
    <w:p w14:paraId="16C1C65E" w14:textId="77777777" w:rsidR="00507887" w:rsidRPr="00507887" w:rsidRDefault="00507887" w:rsidP="00507887">
      <w:pPr>
        <w:spacing w:line="240" w:lineRule="auto"/>
        <w:rPr>
          <w:rFonts w:eastAsia="Times New Roman" w:cs="Arial"/>
          <w:color w:val="000000"/>
          <w:lang w:eastAsia="bg-BG"/>
        </w:rPr>
      </w:pPr>
    </w:p>
    <w:p w14:paraId="3C716B59" w14:textId="29BB6FEE"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Изофлуран трябва да се прилага внимателно при пациенти, които биха могли да развият бронхоконстрикция, тъй като може да настъпи бронхоспазъм (вж. точка 4.8).</w:t>
      </w:r>
    </w:p>
    <w:p w14:paraId="1943F60B" w14:textId="77777777" w:rsidR="00507887" w:rsidRPr="00507887" w:rsidRDefault="00507887" w:rsidP="00507887">
      <w:pPr>
        <w:spacing w:line="240" w:lineRule="auto"/>
        <w:rPr>
          <w:rFonts w:eastAsia="Times New Roman" w:cs="Arial"/>
          <w:color w:val="000000"/>
          <w:lang w:eastAsia="bg-BG"/>
        </w:rPr>
      </w:pPr>
    </w:p>
    <w:p w14:paraId="66300FFE" w14:textId="22E3D3E0"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Независимо от използваният анестетик е важно поддържането на нормална хемодинамика, за да се избегне миокардна исхемия при пациенти със заболяване на коронарните артерии.</w:t>
      </w:r>
    </w:p>
    <w:p w14:paraId="2056EE2C" w14:textId="77777777" w:rsidR="00507887" w:rsidRPr="00507887" w:rsidRDefault="00507887" w:rsidP="00507887">
      <w:pPr>
        <w:spacing w:line="240" w:lineRule="auto"/>
        <w:rPr>
          <w:rFonts w:eastAsia="Times New Roman" w:cs="Arial"/>
          <w:color w:val="000000"/>
          <w:lang w:eastAsia="bg-BG"/>
        </w:rPr>
      </w:pPr>
    </w:p>
    <w:p w14:paraId="5CE27B3B" w14:textId="5F42CA47"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Като се изхожда от факта, че изофлуран действа дразнещо на лигавиците, е трудно продуктът да бъде използван, когато инхалационната анестезия се прилага през маска. По време на въвеждане в анестезия се отделя повече слюнка и има повишена трахеобронхиална секреция, и това може да бъде причина за настъпване на ларингоспазъм, особено при деца (вж. точка 4.8).</w:t>
      </w:r>
    </w:p>
    <w:p w14:paraId="725EFBDB" w14:textId="77777777" w:rsidR="00507887" w:rsidRPr="00507887" w:rsidRDefault="00507887" w:rsidP="00507887">
      <w:pPr>
        <w:spacing w:line="240" w:lineRule="auto"/>
        <w:rPr>
          <w:rFonts w:eastAsia="Times New Roman" w:cs="Arial"/>
          <w:color w:val="000000"/>
          <w:lang w:eastAsia="bg-BG"/>
        </w:rPr>
      </w:pPr>
    </w:p>
    <w:p w14:paraId="779E7F37" w14:textId="41FBC26F"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Били са регистрирани повишени кръвозагуби сравними с тези, установени след анестезия с други инхалаторни средства при пациенти с предизвикан аборт.</w:t>
      </w:r>
    </w:p>
    <w:p w14:paraId="765E45B0" w14:textId="77777777" w:rsidR="00507887" w:rsidRPr="00507887" w:rsidRDefault="00507887" w:rsidP="00507887">
      <w:pPr>
        <w:spacing w:line="240" w:lineRule="auto"/>
        <w:rPr>
          <w:rFonts w:eastAsia="Times New Roman" w:cs="Arial"/>
          <w:color w:val="000000"/>
          <w:lang w:eastAsia="bg-BG"/>
        </w:rPr>
      </w:pPr>
    </w:p>
    <w:p w14:paraId="168359B1" w14:textId="40F0F11A"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Изофлуран трябва да се използва при акушерски операции във възможно най-ниска концентрация, тъй като релаксира маточната мускулатура (вж. точка 4.6).</w:t>
      </w:r>
    </w:p>
    <w:p w14:paraId="5372F0F6" w14:textId="77777777" w:rsidR="00507887" w:rsidRPr="00507887" w:rsidRDefault="00507887" w:rsidP="00507887">
      <w:pPr>
        <w:spacing w:line="240" w:lineRule="auto"/>
        <w:rPr>
          <w:rFonts w:eastAsia="Times New Roman" w:cs="Arial"/>
          <w:i/>
          <w:iCs/>
          <w:color w:val="000000"/>
          <w:lang w:eastAsia="bg-BG"/>
        </w:rPr>
      </w:pPr>
    </w:p>
    <w:p w14:paraId="4814A6C1" w14:textId="19A46993" w:rsidR="00507887" w:rsidRPr="00507887" w:rsidRDefault="00507887" w:rsidP="00507887">
      <w:pPr>
        <w:spacing w:line="240" w:lineRule="auto"/>
        <w:rPr>
          <w:rFonts w:eastAsia="Times New Roman" w:cs="Arial"/>
          <w:lang w:eastAsia="bg-BG"/>
        </w:rPr>
      </w:pPr>
      <w:r w:rsidRPr="00507887">
        <w:rPr>
          <w:rFonts w:eastAsia="Times New Roman" w:cs="Arial"/>
          <w:i/>
          <w:iCs/>
          <w:color w:val="000000"/>
          <w:lang w:eastAsia="bg-BG"/>
        </w:rPr>
        <w:t>Злокачествена хипертермия</w:t>
      </w:r>
    </w:p>
    <w:p w14:paraId="2A9AE0D2" w14:textId="77777777" w:rsidR="00507887" w:rsidRPr="00507887" w:rsidRDefault="00507887" w:rsidP="00507887">
      <w:pPr>
        <w:rPr>
          <w:rFonts w:eastAsia="Times New Roman" w:cs="Arial"/>
          <w:lang w:eastAsia="bg-BG"/>
        </w:rPr>
      </w:pPr>
      <w:r w:rsidRPr="00507887">
        <w:rPr>
          <w:rFonts w:eastAsia="Times New Roman" w:cs="Arial"/>
          <w:color w:val="000000"/>
          <w:lang w:eastAsia="bg-BG"/>
        </w:rPr>
        <w:t>При чувствителни пациенти, анестезията с изофлуран може да отключи хиперметаболитно състояние на скелетната мускулатура, водещо до повишен разход на кислород и клиничен синдром известен като малигнена (злокачествена) хипертермия. Синдромът включва неспецифични признаци като мускулна ригидност, тахикардия, тахипнея, цианоза, аритмия и нестабилно артериално налягане. (Трябва да се отбележи, че много от тези неспецифични признаци може да възникнат и при лека анестезия, остра хипоксия, т.н.). Увеличението в общия метаболизъм може да рефлектира в повишена телесна температура (която може да се повиши рязко на по-ранен или по-късен етап, но обикновено не е първият признак на повишен метаболизъм), както и повишената употреба на абсорбери на СО</w:t>
      </w:r>
      <w:r w:rsidRPr="00507887">
        <w:rPr>
          <w:rFonts w:eastAsia="Times New Roman" w:cs="Arial"/>
          <w:color w:val="000000"/>
          <w:vertAlign w:val="subscript"/>
          <w:lang w:eastAsia="bg-BG"/>
        </w:rPr>
        <w:t>2</w:t>
      </w:r>
      <w:r w:rsidRPr="00507887">
        <w:rPr>
          <w:rFonts w:eastAsia="Times New Roman" w:cs="Arial"/>
          <w:color w:val="000000"/>
          <w:lang w:eastAsia="bg-BG"/>
        </w:rPr>
        <w:t xml:space="preserve"> (горещи касети). Може да настъпи намаление на РаО</w:t>
      </w:r>
      <w:r w:rsidRPr="00507887">
        <w:rPr>
          <w:rFonts w:eastAsia="Times New Roman" w:cs="Arial"/>
          <w:color w:val="000000"/>
          <w:vertAlign w:val="subscript"/>
          <w:lang w:eastAsia="bg-BG"/>
        </w:rPr>
        <w:t>2</w:t>
      </w:r>
      <w:r w:rsidRPr="00507887">
        <w:rPr>
          <w:rFonts w:eastAsia="Times New Roman" w:cs="Arial"/>
          <w:color w:val="000000"/>
          <w:lang w:eastAsia="bg-BG"/>
        </w:rPr>
        <w:t xml:space="preserve"> и </w:t>
      </w:r>
      <w:r w:rsidRPr="00507887">
        <w:rPr>
          <w:rFonts w:eastAsia="Times New Roman" w:cs="Arial"/>
          <w:color w:val="000000"/>
          <w:lang w:val="en-US"/>
        </w:rPr>
        <w:t xml:space="preserve">pH, </w:t>
      </w:r>
      <w:r w:rsidRPr="00507887">
        <w:rPr>
          <w:rFonts w:eastAsia="Times New Roman" w:cs="Arial"/>
          <w:color w:val="000000"/>
          <w:lang w:eastAsia="bg-BG"/>
        </w:rPr>
        <w:t>както и възникване на хиперкалиемия и базов дефицит. Докладван е случай на злокачествена хипертермия при прилагане на изофлуран. Лечението включва прекъсване прилагането на провокиращи средства (напр. изофлуран), интравенозно приложение на дантролен натрий и приложение на поддържаща терапия. Таква терапия включва енергични усилия за възстановяване на телесната температура до нормална дихателна и циркулаторна поддръжка в зависимост от показанията, и преодоляване на</w:t>
      </w:r>
      <w:r w:rsidRPr="00507887">
        <w:rPr>
          <w:rFonts w:eastAsia="Times New Roman" w:cs="Arial"/>
          <w:color w:val="000000"/>
          <w:lang w:eastAsia="bg-BG"/>
        </w:rPr>
        <w:t xml:space="preserve"> </w:t>
      </w:r>
      <w:r w:rsidRPr="00507887">
        <w:rPr>
          <w:rFonts w:eastAsia="Times New Roman" w:cs="Arial"/>
          <w:color w:val="000000"/>
          <w:lang w:eastAsia="bg-BG"/>
        </w:rPr>
        <w:t>отклоненията в електролитните нива на течностите и нарушенията в киселинно-алкалното равновесие. (Прочетете информацията за предписване на интравенозен дантролен натрий за допълнителна информация относно лечението на пациента.) По-късно може да настъпи бъбречна недостатъчност.</w:t>
      </w:r>
    </w:p>
    <w:p w14:paraId="1626C75B" w14:textId="77777777" w:rsidR="00507887" w:rsidRPr="00507887" w:rsidRDefault="00507887" w:rsidP="00507887">
      <w:pPr>
        <w:spacing w:line="240" w:lineRule="auto"/>
        <w:rPr>
          <w:rFonts w:eastAsia="Times New Roman" w:cs="Arial"/>
          <w:color w:val="000000"/>
          <w:lang w:eastAsia="bg-BG"/>
        </w:rPr>
      </w:pPr>
    </w:p>
    <w:p w14:paraId="12AFA3D2" w14:textId="7FDE81CE"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 xml:space="preserve">В изолирани случаи увеличение на нивото на карбоксихемоглобин е съобщено при използване на халогенирани инхалаторни средства, съдържащи в молекулата си </w:t>
      </w:r>
      <w:r w:rsidRPr="00507887">
        <w:rPr>
          <w:rFonts w:eastAsia="Times New Roman" w:cs="Arial"/>
          <w:color w:val="000000"/>
          <w:lang w:val="en-US"/>
        </w:rPr>
        <w:t>-CF</w:t>
      </w:r>
      <w:r w:rsidRPr="00507887">
        <w:rPr>
          <w:rFonts w:eastAsia="Times New Roman" w:cs="Arial"/>
          <w:color w:val="000000"/>
          <w:vertAlign w:val="subscript"/>
          <w:lang w:val="en-US"/>
        </w:rPr>
        <w:t>2</w:t>
      </w:r>
      <w:r w:rsidRPr="00507887">
        <w:rPr>
          <w:rFonts w:eastAsia="Times New Roman" w:cs="Arial"/>
          <w:color w:val="000000"/>
          <w:lang w:val="en-US"/>
        </w:rPr>
        <w:t xml:space="preserve">H </w:t>
      </w:r>
      <w:r w:rsidRPr="00507887">
        <w:rPr>
          <w:rFonts w:eastAsia="Times New Roman" w:cs="Arial"/>
          <w:color w:val="000000"/>
          <w:lang w:eastAsia="bg-BG"/>
        </w:rPr>
        <w:t>частица (напр. дезфлуран, енфлуран и изофлуран). Никакви клинично значими концентрации на въглероден монооксид не възникват при наличието на нормално хидратирани абсорбенти. Трябва внимателно да се следват препоръките на производителя на абсорбери на СО</w:t>
      </w:r>
      <w:r w:rsidRPr="00507887">
        <w:rPr>
          <w:rFonts w:eastAsia="Times New Roman" w:cs="Arial"/>
          <w:color w:val="000000"/>
          <w:vertAlign w:val="subscript"/>
          <w:lang w:eastAsia="bg-BG"/>
        </w:rPr>
        <w:t>2</w:t>
      </w:r>
      <w:r w:rsidRPr="00507887">
        <w:rPr>
          <w:rFonts w:eastAsia="Times New Roman" w:cs="Arial"/>
          <w:color w:val="000000"/>
          <w:lang w:eastAsia="bg-BG"/>
        </w:rPr>
        <w:t>.</w:t>
      </w:r>
    </w:p>
    <w:p w14:paraId="772C665C" w14:textId="77777777"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Приложението на изофлуран при пациенти с хиповолемия, хипотензия и понижено общо състояние не е обстойно проучвано. При тези пациенти се препоръчва използване на по-ниска концентрация.</w:t>
      </w:r>
    </w:p>
    <w:p w14:paraId="5C15C7F5" w14:textId="77777777" w:rsidR="00507887" w:rsidRPr="00507887" w:rsidRDefault="00507887" w:rsidP="00507887">
      <w:pPr>
        <w:spacing w:line="240" w:lineRule="auto"/>
        <w:rPr>
          <w:rFonts w:eastAsia="Times New Roman" w:cs="Arial"/>
          <w:color w:val="000000"/>
          <w:lang w:eastAsia="bg-BG"/>
        </w:rPr>
      </w:pPr>
    </w:p>
    <w:p w14:paraId="7D5FC4AA" w14:textId="68BAA9ED"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 xml:space="preserve">Използването на инхалаторни анестетици рядко е свързано с увеличение на серумните нива на калий, които следват от сърдечни аритмии и смърт на педиатрични пациенти по време на следоперативния период. Пациенти с латентно, както и с изявено невромускулно заболяване, и особено прогресивна мускулна дистрофия (болест на Дюшен), са най- уязвими. Едновременното приложение на сукцинилхолин е свързано с повечето, но не с всички случаи. При тези пациенти са наблюдавани също значително повишение на нивата на серумна креатинкиназа и в някои случаи промените в урината отговарят на миоглобинурия. Въпреки сходството с проявите на злокачествена хипертермия, нито един от тези пациенти не показва белези или симптоми на мускулна ригидност или хиперметаболитно състояние. Препоръчва се ранна и агресивна </w:t>
      </w:r>
      <w:r w:rsidRPr="00507887">
        <w:rPr>
          <w:rFonts w:eastAsia="Times New Roman" w:cs="Arial"/>
          <w:color w:val="000000"/>
          <w:lang w:eastAsia="bg-BG"/>
        </w:rPr>
        <w:lastRenderedPageBreak/>
        <w:t>интервенция за лечение на хиперкалиемия и резистентни аритмии, както и последваща преценка за латентно невромускулно заболяване.</w:t>
      </w:r>
    </w:p>
    <w:p w14:paraId="315381FD" w14:textId="77777777" w:rsidR="00507887" w:rsidRPr="00507887" w:rsidRDefault="00507887" w:rsidP="00507887">
      <w:pPr>
        <w:spacing w:line="240" w:lineRule="auto"/>
        <w:rPr>
          <w:rFonts w:eastAsia="Times New Roman" w:cs="Arial"/>
          <w:color w:val="000000"/>
          <w:lang w:eastAsia="bg-BG"/>
        </w:rPr>
      </w:pPr>
    </w:p>
    <w:p w14:paraId="5E08A7AA" w14:textId="4AA4DA32"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Има съобщения за редки случаи на прегряване, дим и/или самовъзпламеняване в анестезиологичния апарат по време на прилагане на обща анестезия с лекарства от този клас, когато се използват в комбинация с пресушени абсорбери на СО</w:t>
      </w:r>
      <w:r w:rsidRPr="00507887">
        <w:rPr>
          <w:rFonts w:eastAsia="Times New Roman" w:cs="Arial"/>
          <w:color w:val="000000"/>
          <w:vertAlign w:val="subscript"/>
          <w:lang w:eastAsia="bg-BG"/>
        </w:rPr>
        <w:t>2</w:t>
      </w:r>
      <w:r w:rsidRPr="00507887">
        <w:rPr>
          <w:rFonts w:eastAsia="Times New Roman" w:cs="Arial"/>
          <w:color w:val="000000"/>
          <w:lang w:eastAsia="bg-BG"/>
        </w:rPr>
        <w:t xml:space="preserve">, и особено такива, които съдържат калиев хидроксид (напр. </w:t>
      </w:r>
      <w:r w:rsidRPr="00507887">
        <w:rPr>
          <w:rFonts w:eastAsia="Times New Roman" w:cs="Arial"/>
          <w:color w:val="000000"/>
          <w:lang w:val="en-US"/>
        </w:rPr>
        <w:t xml:space="preserve">Baralyme). </w:t>
      </w:r>
      <w:r w:rsidRPr="00507887">
        <w:rPr>
          <w:rFonts w:eastAsia="Times New Roman" w:cs="Arial"/>
          <w:color w:val="000000"/>
          <w:lang w:eastAsia="bg-BG"/>
        </w:rPr>
        <w:t>Когато клиницистьт подозира, че абсорберът на СОг може да е пресушен, той трябва да бъде подменен преди приложението на изофлуран. Цветният индикатор на повечето абсорбери на СО</w:t>
      </w:r>
      <w:r w:rsidRPr="00507887">
        <w:rPr>
          <w:rFonts w:eastAsia="Times New Roman" w:cs="Arial"/>
          <w:color w:val="000000"/>
          <w:vertAlign w:val="subscript"/>
          <w:lang w:eastAsia="bg-BG"/>
        </w:rPr>
        <w:t>2</w:t>
      </w:r>
      <w:r w:rsidRPr="00507887">
        <w:rPr>
          <w:rFonts w:eastAsia="Times New Roman" w:cs="Arial"/>
          <w:color w:val="000000"/>
          <w:lang w:eastAsia="bg-BG"/>
        </w:rPr>
        <w:t xml:space="preserve"> не се променя задължително при превръщането в прахообразно вещество. Следователно липсата на значителна промяна в цвета не трябва да се приема като белег за адекватна влажност. Абсорберите на С</w:t>
      </w:r>
      <w:r w:rsidRPr="00507887">
        <w:rPr>
          <w:rFonts w:eastAsia="Times New Roman" w:cs="Arial"/>
          <w:color w:val="000000"/>
          <w:lang w:val="en-US"/>
        </w:rPr>
        <w:t>O</w:t>
      </w:r>
      <w:r w:rsidRPr="00507887">
        <w:rPr>
          <w:rFonts w:eastAsia="Times New Roman" w:cs="Arial"/>
          <w:color w:val="000000"/>
          <w:vertAlign w:val="subscript"/>
          <w:lang w:val="en-US"/>
        </w:rPr>
        <w:t>2</w:t>
      </w:r>
      <w:r w:rsidRPr="00507887">
        <w:rPr>
          <w:rFonts w:eastAsia="Times New Roman" w:cs="Arial"/>
          <w:color w:val="000000"/>
          <w:lang w:eastAsia="bg-BG"/>
        </w:rPr>
        <w:t xml:space="preserve"> трябва да се подменят рутинно независимо от състоянието на цветния индикатор.</w:t>
      </w:r>
    </w:p>
    <w:p w14:paraId="219F625C" w14:textId="77777777" w:rsidR="00507887" w:rsidRPr="00507887" w:rsidRDefault="00507887" w:rsidP="00507887">
      <w:pPr>
        <w:spacing w:line="240" w:lineRule="auto"/>
        <w:rPr>
          <w:rFonts w:eastAsia="Times New Roman" w:cs="Arial"/>
          <w:color w:val="000000"/>
          <w:lang w:eastAsia="bg-BG"/>
        </w:rPr>
      </w:pPr>
    </w:p>
    <w:p w14:paraId="157A1BC7" w14:textId="77777777" w:rsidR="00507887" w:rsidRPr="00507887" w:rsidRDefault="00507887" w:rsidP="00507887">
      <w:pPr>
        <w:spacing w:line="240" w:lineRule="auto"/>
        <w:rPr>
          <w:rFonts w:eastAsia="Times New Roman" w:cs="Arial"/>
          <w:color w:val="000000"/>
          <w:lang w:eastAsia="bg-BG"/>
        </w:rPr>
      </w:pPr>
      <w:r w:rsidRPr="00507887">
        <w:rPr>
          <w:rFonts w:eastAsia="Times New Roman" w:cs="Arial"/>
          <w:color w:val="000000"/>
          <w:lang w:eastAsia="bg-BG"/>
        </w:rPr>
        <w:t xml:space="preserve">Изофлуран може да предизвика леко отслабване на интелектуалната функция за 2 до 4 дни след анестезията. Леки промени в настроението и в симптомите могат да продължат до 6 дни след приложението. Това трябва да се вземе предвид, когато пациентите подновят нормалните си </w:t>
      </w:r>
    </w:p>
    <w:p w14:paraId="0D1512FB" w14:textId="7A8D3012"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ежедневни дейности, включително шофиране и работа с тежки машини (вж. точка 4.7).</w:t>
      </w:r>
    </w:p>
    <w:p w14:paraId="709361F6" w14:textId="77777777" w:rsidR="00507887" w:rsidRPr="00507887" w:rsidRDefault="00507887" w:rsidP="00507887">
      <w:pPr>
        <w:spacing w:line="240" w:lineRule="auto"/>
        <w:rPr>
          <w:rFonts w:eastAsia="Times New Roman" w:cs="Arial"/>
          <w:color w:val="000000"/>
          <w:lang w:eastAsia="bg-BG"/>
        </w:rPr>
      </w:pPr>
    </w:p>
    <w:p w14:paraId="7C85E213" w14:textId="088850E0"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Изофлуран отпуска маточната мускулатура, поради което възможно най-ниската възможна концентрация изофлуран трябва да се използва в акушерската практика (вж. точка 4.6).</w:t>
      </w:r>
    </w:p>
    <w:p w14:paraId="71EF80FA" w14:textId="77777777" w:rsidR="00507887" w:rsidRPr="00507887" w:rsidRDefault="00507887" w:rsidP="00507887">
      <w:pPr>
        <w:spacing w:line="240" w:lineRule="auto"/>
        <w:rPr>
          <w:rFonts w:eastAsia="Times New Roman" w:cs="Arial"/>
          <w:color w:val="000000"/>
          <w:lang w:eastAsia="bg-BG"/>
        </w:rPr>
      </w:pPr>
    </w:p>
    <w:p w14:paraId="373EEA44" w14:textId="61220A3C"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Всички често използвани мускулни релаксанти се потенцират значително от изофуран, като ефектът е най-силно изразен при недеполяризиращи релаксанти.</w:t>
      </w:r>
    </w:p>
    <w:p w14:paraId="3E39EE24" w14:textId="77777777" w:rsidR="00507887" w:rsidRPr="00507887" w:rsidRDefault="00507887" w:rsidP="00507887">
      <w:pPr>
        <w:spacing w:line="240" w:lineRule="auto"/>
        <w:rPr>
          <w:rFonts w:eastAsia="Times New Roman" w:cs="Arial"/>
          <w:color w:val="000000"/>
          <w:lang w:eastAsia="bg-BG"/>
        </w:rPr>
      </w:pPr>
    </w:p>
    <w:p w14:paraId="03ADF3D2" w14:textId="0C33E737" w:rsidR="00507887" w:rsidRPr="00507887" w:rsidRDefault="00507887" w:rsidP="00507887">
      <w:pPr>
        <w:spacing w:line="240" w:lineRule="auto"/>
        <w:rPr>
          <w:rFonts w:eastAsia="Times New Roman" w:cs="Arial"/>
          <w:lang w:eastAsia="bg-BG"/>
        </w:rPr>
      </w:pPr>
      <w:r w:rsidRPr="00507887">
        <w:rPr>
          <w:rFonts w:eastAsia="Times New Roman" w:cs="Arial"/>
          <w:color w:val="000000"/>
          <w:lang w:eastAsia="bg-BG"/>
        </w:rPr>
        <w:t>Деца под двегодишна възраст - Прилагането на изофлуран при малки деца трябва да се извършва с повишено внимание поради ограничения опит с тази група пациенти.</w:t>
      </w:r>
    </w:p>
    <w:p w14:paraId="705E1060" w14:textId="436F6CD8" w:rsidR="00507887" w:rsidRPr="00507887" w:rsidRDefault="00507887" w:rsidP="00507887"/>
    <w:p w14:paraId="3A35B3F5" w14:textId="5D01C32A"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7A90B02" w14:textId="1B182305" w:rsidR="00507887" w:rsidRDefault="00507887" w:rsidP="00507887"/>
    <w:p w14:paraId="16F484BE"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Едновременното приложение на изофлуран и следните лекарствени продукти изисква</w:t>
      </w:r>
    </w:p>
    <w:p w14:paraId="3D951F27"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стриктен контрол и проследяване на клиничните и биологични параметри на пациента.</w:t>
      </w:r>
    </w:p>
    <w:p w14:paraId="080441C0" w14:textId="51D4FEA2" w:rsidR="00507887" w:rsidRPr="00507887" w:rsidRDefault="00507887" w:rsidP="00507887">
      <w:pPr>
        <w:rPr>
          <w:rFonts w:cs="Arial"/>
          <w:sz w:val="24"/>
          <w:szCs w:val="24"/>
        </w:rPr>
      </w:pPr>
    </w:p>
    <w:p w14:paraId="6F147774"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Противопоказани комбинации:</w:t>
      </w:r>
    </w:p>
    <w:p w14:paraId="66326695" w14:textId="77777777" w:rsidR="00507887" w:rsidRPr="00507887" w:rsidRDefault="00507887" w:rsidP="00507887">
      <w:pPr>
        <w:pStyle w:val="ListParagraph"/>
        <w:numPr>
          <w:ilvl w:val="0"/>
          <w:numId w:val="42"/>
        </w:numPr>
        <w:spacing w:line="240" w:lineRule="auto"/>
        <w:rPr>
          <w:rFonts w:eastAsia="Times New Roman" w:cs="Arial"/>
          <w:color w:val="000000"/>
          <w:lang w:eastAsia="bg-BG"/>
        </w:rPr>
      </w:pPr>
      <w:r w:rsidRPr="00507887">
        <w:rPr>
          <w:rFonts w:eastAsia="Times New Roman" w:cs="Arial"/>
          <w:color w:val="000000"/>
          <w:lang w:eastAsia="bg-BG"/>
        </w:rPr>
        <w:t>Бета-симпатикомиметици като изопреналин и алфа- и бета-симпатикомометици като адреналин и норадреналин трябва да се използват внимателно при наркоза с изофлуран поради потенциален риск от вентрикуларна аритмия.</w:t>
      </w:r>
    </w:p>
    <w:p w14:paraId="13A78A34" w14:textId="07947AA9" w:rsidR="00507887" w:rsidRPr="00507887" w:rsidRDefault="00507887" w:rsidP="00507887">
      <w:pPr>
        <w:pStyle w:val="ListParagraph"/>
        <w:numPr>
          <w:ilvl w:val="0"/>
          <w:numId w:val="42"/>
        </w:numPr>
        <w:spacing w:line="240" w:lineRule="auto"/>
        <w:rPr>
          <w:rFonts w:eastAsia="Times New Roman" w:cs="Arial"/>
          <w:color w:val="000000"/>
          <w:lang w:eastAsia="bg-BG"/>
        </w:rPr>
      </w:pPr>
      <w:r w:rsidRPr="00507887">
        <w:rPr>
          <w:rFonts w:eastAsia="Times New Roman" w:cs="Arial"/>
          <w:color w:val="000000"/>
          <w:lang w:eastAsia="bg-BG"/>
        </w:rPr>
        <w:t>Неселективни моноаминооксидазни (МАО) инхибитори: риск от криза и хемодинамична нестабилност по време на хирургическата операция или медицински процедури. Лечението трябва да бъде прекратено 15 дни преди операцията.</w:t>
      </w:r>
    </w:p>
    <w:p w14:paraId="3CAFA8F5" w14:textId="77777777" w:rsidR="00507887" w:rsidRPr="00507887" w:rsidRDefault="00507887" w:rsidP="00507887">
      <w:pPr>
        <w:spacing w:line="240" w:lineRule="auto"/>
        <w:rPr>
          <w:rFonts w:eastAsia="Times New Roman" w:cs="Arial"/>
          <w:color w:val="000000"/>
          <w:lang w:eastAsia="bg-BG"/>
        </w:rPr>
      </w:pPr>
    </w:p>
    <w:p w14:paraId="1D6D967A" w14:textId="36963D05"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Комбинации, изискващи предпазни мерки при използването ям:</w:t>
      </w:r>
    </w:p>
    <w:p w14:paraId="5F8AE7B9"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Бета-блокери: едновременното приложение на бета-блокери може да усили сърдечносъдовите ефекти на инхалационните анестетици, включително хипотония и негативни инотропни ефекти. Сърдечносъдовите реакции на компенсация може да бъдат нарушени с бета-блокери.</w:t>
      </w:r>
    </w:p>
    <w:p w14:paraId="289CA881"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lastRenderedPageBreak/>
        <w:t>Използването на изофлуран и изониазид може да увеличи риска от потенциране на хепатотоксичните ефекти.</w:t>
      </w:r>
    </w:p>
    <w:p w14:paraId="0AF3F28C"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 xml:space="preserve">Адреналин прилаган чрез подкожни или гингивални инжекции: риск от сериозна вентрикуларна аритмия като последица от ускорен съдечен ритъм, въпреки че миокардната сензитивност по отношение не епинефрин е по-ниска при приложението на изофлуран, отколкото на халотан. Дози адреналин по-високи от 5 </w:t>
      </w:r>
      <w:r w:rsidRPr="00507887">
        <w:rPr>
          <w:rFonts w:eastAsia="Times New Roman" w:cs="Arial"/>
          <w:color w:val="000000"/>
          <w:lang w:val="en-US"/>
        </w:rPr>
        <w:t xml:space="preserve">mcg/kg </w:t>
      </w:r>
      <w:r w:rsidRPr="00507887">
        <w:rPr>
          <w:rFonts w:eastAsia="Times New Roman" w:cs="Arial"/>
          <w:color w:val="000000"/>
          <w:lang w:eastAsia="bg-BG"/>
        </w:rPr>
        <w:t>приложени подлигавично можеп да причинят множествени венгрикуларни аритмии.</w:t>
      </w:r>
    </w:p>
    <w:p w14:paraId="2AA8184E"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Непряко действащите симпатикомиметици (амфетамини и техните производни: психостимуланти, подтискащи апетита продукти, ефедрин и производните му): риск от периоперативна хипертония. При планирана хирургична интервенция е препоръчително спиране на приложението на тези продукти няколко дни преди операцията.</w:t>
      </w:r>
    </w:p>
    <w:p w14:paraId="130E64DE"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В повечето от случаите, когато лечението с някакъв лекарствен продукт е наложително, няма основание то да бъде прекъсвано преди общата анестезия. Достатъчно и важно е анестезиологът да бъде информиран за неговото провеждане.</w:t>
      </w:r>
    </w:p>
    <w:p w14:paraId="3958525D"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Всички често използвани мускулни релаксанти се потенцират значително от изофлуран, като ефектът е най-изразен в при недеполяризиращи продукти. Неостигмин има ефект върху недеполяризиращите релаксанти, но няма ефект върху релаксиращото действие на самия изофлуран. Препоръчва се в тези случаи да се прилага приблизително една трета до една втора от обичайната доза на тези продукти. Изчезването на мионевралния ефект отнема по-дълго време с изофлуран, отколкото с други конвенционални анестетици.</w:t>
      </w:r>
    </w:p>
    <w:p w14:paraId="664FADD5"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Опиати, бензодиазепини и други седативи се свързват с респираторна депресия и трябва да се внимава при едновременното им приложение с изофлуран.</w:t>
      </w:r>
    </w:p>
    <w:p w14:paraId="01E8456A" w14:textId="77777777"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Калциеви антагонисти и най-вече дихидроперидинови производни: изофлуран може да доведе до значителна хипотензия при пациенти, лекувани с калциеви антагонисти. Калциевите антагонисти трябва да се прилагат внимателно в комбианация с инхалаторни анестетици поради риска от добавен отрицателен инотропен ефект.</w:t>
      </w:r>
    </w:p>
    <w:p w14:paraId="3E546209" w14:textId="673546C1" w:rsidR="00507887" w:rsidRPr="00507887" w:rsidRDefault="00507887" w:rsidP="00507887">
      <w:pPr>
        <w:pStyle w:val="ListParagraph"/>
        <w:numPr>
          <w:ilvl w:val="0"/>
          <w:numId w:val="43"/>
        </w:numPr>
        <w:spacing w:line="240" w:lineRule="auto"/>
        <w:rPr>
          <w:rFonts w:eastAsia="Times New Roman" w:cs="Arial"/>
          <w:color w:val="000000"/>
          <w:lang w:eastAsia="bg-BG"/>
        </w:rPr>
      </w:pPr>
      <w:r w:rsidRPr="00507887">
        <w:rPr>
          <w:rFonts w:eastAsia="Times New Roman" w:cs="Arial"/>
          <w:color w:val="000000"/>
          <w:lang w:eastAsia="bg-BG"/>
        </w:rPr>
        <w:t xml:space="preserve">Минималната алвеоларна концентрация (МАК) намалява с едновременното приложение на </w:t>
      </w:r>
      <w:r w:rsidRPr="00507887">
        <w:rPr>
          <w:rFonts w:eastAsia="Times New Roman" w:cs="Arial"/>
          <w:color w:val="000000"/>
          <w:lang w:val="en-US"/>
        </w:rPr>
        <w:t>N</w:t>
      </w:r>
      <w:r w:rsidRPr="00507887">
        <w:rPr>
          <w:rFonts w:eastAsia="Times New Roman" w:cs="Arial"/>
          <w:color w:val="000000"/>
          <w:vertAlign w:val="subscript"/>
          <w:lang w:val="en-US"/>
        </w:rPr>
        <w:t>2</w:t>
      </w:r>
      <w:r w:rsidRPr="00507887">
        <w:rPr>
          <w:rFonts w:eastAsia="Times New Roman" w:cs="Arial"/>
          <w:color w:val="000000"/>
          <w:lang w:val="en-US"/>
        </w:rPr>
        <w:t xml:space="preserve">O </w:t>
      </w:r>
      <w:r w:rsidRPr="00507887">
        <w:rPr>
          <w:rFonts w:eastAsia="Times New Roman" w:cs="Arial"/>
          <w:color w:val="000000"/>
          <w:lang w:eastAsia="bg-BG"/>
        </w:rPr>
        <w:t>при възрастни (вж. точка 4.2).</w:t>
      </w:r>
    </w:p>
    <w:p w14:paraId="73397287" w14:textId="77777777" w:rsidR="00507887" w:rsidRPr="00507887" w:rsidRDefault="00507887" w:rsidP="00507887"/>
    <w:p w14:paraId="6085D4F7" w14:textId="5DA0E8B4" w:rsidR="00A428B7" w:rsidRDefault="002C50EE" w:rsidP="00340E8D">
      <w:pPr>
        <w:pStyle w:val="Heading2"/>
      </w:pPr>
      <w:r>
        <w:t>4.6. Фертилитет, бременност и кърмене</w:t>
      </w:r>
    </w:p>
    <w:p w14:paraId="010C1996" w14:textId="483E3AF3" w:rsidR="00507887" w:rsidRDefault="00507887" w:rsidP="00507887"/>
    <w:p w14:paraId="37F1DFF6"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i/>
          <w:iCs/>
          <w:color w:val="000000"/>
          <w:lang w:eastAsia="bg-BG"/>
        </w:rPr>
        <w:t>Употреба по време на бременност</w:t>
      </w:r>
    </w:p>
    <w:p w14:paraId="5529AD18"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 xml:space="preserve">Няма достатъчно данни за употребата на изофлуран при бременни жени. Експерименталните проучвания при животни са показали репродуктивна токсичност. Вижте точка 5.3. </w:t>
      </w:r>
      <w:r w:rsidRPr="00507887">
        <w:rPr>
          <w:rFonts w:eastAsia="Times New Roman" w:cs="Arial"/>
          <w:color w:val="000000"/>
          <w:u w:val="single"/>
          <w:lang w:eastAsia="bg-BG"/>
        </w:rPr>
        <w:t>Изофл</w:t>
      </w:r>
      <w:r w:rsidRPr="00507887">
        <w:rPr>
          <w:rFonts w:eastAsia="Times New Roman" w:cs="Arial"/>
          <w:color w:val="000000"/>
          <w:lang w:eastAsia="bg-BG"/>
        </w:rPr>
        <w:t>уран трябва да се използва по време на бременност само, ако -ползата надхвърля възможният риск.</w:t>
      </w:r>
    </w:p>
    <w:p w14:paraId="4697C0A5" w14:textId="77777777" w:rsidR="00507887" w:rsidRPr="00507887" w:rsidRDefault="00507887" w:rsidP="00507887">
      <w:pPr>
        <w:spacing w:line="240" w:lineRule="auto"/>
        <w:rPr>
          <w:rFonts w:eastAsia="Times New Roman" w:cs="Arial"/>
          <w:i/>
          <w:iCs/>
          <w:color w:val="000000"/>
          <w:lang w:eastAsia="bg-BG"/>
        </w:rPr>
      </w:pPr>
    </w:p>
    <w:p w14:paraId="3AE24B8F" w14:textId="3FA8B796" w:rsidR="00507887" w:rsidRPr="00507887" w:rsidRDefault="00507887" w:rsidP="00507887">
      <w:pPr>
        <w:spacing w:line="240" w:lineRule="auto"/>
        <w:rPr>
          <w:rFonts w:eastAsia="Times New Roman" w:cs="Arial"/>
          <w:sz w:val="28"/>
          <w:szCs w:val="28"/>
          <w:lang w:eastAsia="bg-BG"/>
        </w:rPr>
      </w:pPr>
      <w:r w:rsidRPr="00507887">
        <w:rPr>
          <w:rFonts w:eastAsia="Times New Roman" w:cs="Arial"/>
          <w:i/>
          <w:iCs/>
          <w:color w:val="000000"/>
          <w:lang w:eastAsia="bg-BG"/>
        </w:rPr>
        <w:t>Употреба при цезароео сечение</w:t>
      </w:r>
    </w:p>
    <w:p w14:paraId="1668639C" w14:textId="46C65AE6" w:rsidR="00507887" w:rsidRPr="00507887" w:rsidRDefault="00507887" w:rsidP="00507887">
      <w:pPr>
        <w:rPr>
          <w:rFonts w:eastAsia="Times New Roman" w:cs="Arial"/>
          <w:color w:val="000000"/>
          <w:lang w:eastAsia="bg-BG"/>
        </w:rPr>
      </w:pPr>
      <w:r w:rsidRPr="00507887">
        <w:rPr>
          <w:rFonts w:eastAsia="Times New Roman" w:cs="Arial"/>
          <w:color w:val="000000"/>
          <w:lang w:eastAsia="bg-BG"/>
        </w:rPr>
        <w:t>Доказано е, че концентрации до 0,75% на изофлуран са безопасни за поддържането на анестезия при цезарово сечение (моля, реферирайте към т. 4.4).</w:t>
      </w:r>
    </w:p>
    <w:p w14:paraId="429A050B" w14:textId="29C04885" w:rsidR="00507887" w:rsidRPr="00507887" w:rsidRDefault="00507887" w:rsidP="00507887">
      <w:pPr>
        <w:rPr>
          <w:rFonts w:eastAsia="Times New Roman" w:cs="Arial"/>
          <w:color w:val="000000"/>
          <w:lang w:eastAsia="bg-BG"/>
        </w:rPr>
      </w:pPr>
    </w:p>
    <w:p w14:paraId="2AB0AC48" w14:textId="77777777"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Изофлуран отпуска маточната мускулатура, ето защо трябва да се използва възможно най- ниската концентрация по време на акушерски операции.</w:t>
      </w:r>
    </w:p>
    <w:p w14:paraId="1DFC2F4E" w14:textId="77777777" w:rsidR="00507887" w:rsidRPr="00507887" w:rsidRDefault="00507887" w:rsidP="00507887">
      <w:pPr>
        <w:spacing w:line="240" w:lineRule="auto"/>
        <w:rPr>
          <w:rFonts w:eastAsia="Times New Roman" w:cs="Arial"/>
          <w:i/>
          <w:iCs/>
          <w:color w:val="000000"/>
          <w:lang w:eastAsia="bg-BG"/>
        </w:rPr>
      </w:pPr>
    </w:p>
    <w:p w14:paraId="56CE1D72" w14:textId="51680106" w:rsidR="00507887" w:rsidRPr="00507887" w:rsidRDefault="00507887" w:rsidP="00507887">
      <w:pPr>
        <w:spacing w:line="240" w:lineRule="auto"/>
        <w:rPr>
          <w:rFonts w:eastAsia="Times New Roman" w:cs="Arial"/>
          <w:sz w:val="28"/>
          <w:szCs w:val="28"/>
          <w:lang w:eastAsia="bg-BG"/>
        </w:rPr>
      </w:pPr>
      <w:r w:rsidRPr="00507887">
        <w:rPr>
          <w:rFonts w:eastAsia="Times New Roman" w:cs="Arial"/>
          <w:i/>
          <w:iCs/>
          <w:color w:val="000000"/>
          <w:lang w:eastAsia="bg-BG"/>
        </w:rPr>
        <w:lastRenderedPageBreak/>
        <w:t>Кърмачки</w:t>
      </w:r>
    </w:p>
    <w:p w14:paraId="50AAE1C5" w14:textId="6EAF7AEE" w:rsidR="00507887" w:rsidRPr="00507887" w:rsidRDefault="00507887" w:rsidP="00507887">
      <w:pPr>
        <w:rPr>
          <w:rFonts w:eastAsia="Times New Roman" w:cs="Arial"/>
          <w:color w:val="000000"/>
          <w:lang w:eastAsia="bg-BG"/>
        </w:rPr>
      </w:pPr>
      <w:r w:rsidRPr="00507887">
        <w:rPr>
          <w:rFonts w:eastAsia="Times New Roman" w:cs="Arial"/>
          <w:color w:val="000000"/>
          <w:lang w:eastAsia="bg-BG"/>
        </w:rPr>
        <w:t>Не е известно дали изофлуран и неговите метаболити се екскретират с кърмата. Тъй като много лекарствени продукти се екскретират с човешката кърма, трябва да се внимава, когато се прилага изофлуран на кърмачки.</w:t>
      </w:r>
    </w:p>
    <w:p w14:paraId="5D0BF41F" w14:textId="77777777" w:rsidR="00507887" w:rsidRPr="00507887" w:rsidRDefault="00507887" w:rsidP="00507887"/>
    <w:p w14:paraId="4CE899F3" w14:textId="226FD05A" w:rsidR="00A428B7" w:rsidRDefault="002C50EE" w:rsidP="00340E8D">
      <w:pPr>
        <w:pStyle w:val="Heading2"/>
      </w:pPr>
      <w:r>
        <w:t>4.7. Ефекти върху способността за шофиране и работа с машини</w:t>
      </w:r>
    </w:p>
    <w:p w14:paraId="3698CC76" w14:textId="1EE89473" w:rsidR="00507887" w:rsidRDefault="00507887" w:rsidP="00507887"/>
    <w:p w14:paraId="66F2045D" w14:textId="77777777" w:rsidR="00507887" w:rsidRPr="00507887" w:rsidRDefault="00507887" w:rsidP="00507887">
      <w:pPr>
        <w:rPr>
          <w:sz w:val="24"/>
          <w:szCs w:val="24"/>
          <w:lang w:eastAsia="bg-BG"/>
        </w:rPr>
      </w:pPr>
      <w:r w:rsidRPr="00507887">
        <w:rPr>
          <w:lang w:eastAsia="bg-BG"/>
        </w:rPr>
        <w:t>След анестезия с изофлуран пациентът не трябва да шофира или да работи с машини за период от 24 часа. Може да има промени в поведението и интелектуалните способности до 6 дни след приложението. Това трябва да се вземе под внимание когато пациентите се върнат към нормалните си занимания, включително шофиране или работа с тежки машини.</w:t>
      </w:r>
    </w:p>
    <w:p w14:paraId="5B93C17D" w14:textId="77777777" w:rsidR="00507887" w:rsidRPr="00507887" w:rsidRDefault="00507887" w:rsidP="00507887"/>
    <w:p w14:paraId="6D9C6606" w14:textId="6291FBA7" w:rsidR="00A428B7" w:rsidRDefault="002C50EE" w:rsidP="00340E8D">
      <w:pPr>
        <w:pStyle w:val="Heading2"/>
      </w:pPr>
      <w:r>
        <w:t>4.8. Нежелани лекарствени реакции</w:t>
      </w:r>
    </w:p>
    <w:p w14:paraId="15702EC1" w14:textId="0BBE69F9" w:rsidR="00507887" w:rsidRDefault="00507887" w:rsidP="00507887"/>
    <w:p w14:paraId="6FA43FC3" w14:textId="1D3BF323" w:rsidR="00507887" w:rsidRPr="00507887" w:rsidRDefault="00507887" w:rsidP="00507887">
      <w:pPr>
        <w:spacing w:line="240" w:lineRule="auto"/>
        <w:rPr>
          <w:rFonts w:eastAsia="Times New Roman" w:cs="Arial"/>
          <w:i/>
          <w:iCs/>
          <w:color w:val="000000"/>
          <w:lang w:eastAsia="bg-BG"/>
        </w:rPr>
      </w:pPr>
      <w:r w:rsidRPr="00507887">
        <w:rPr>
          <w:rFonts w:eastAsia="Times New Roman" w:cs="Arial"/>
          <w:i/>
          <w:iCs/>
          <w:color w:val="000000"/>
          <w:lang w:eastAsia="bg-BG"/>
        </w:rPr>
        <w:t xml:space="preserve">а. </w:t>
      </w:r>
      <w:r w:rsidRPr="00507887">
        <w:rPr>
          <w:rFonts w:eastAsia="Times New Roman" w:cs="Arial"/>
          <w:i/>
          <w:iCs/>
          <w:color w:val="000000"/>
          <w:lang w:eastAsia="bg-BG"/>
        </w:rPr>
        <w:t>Обобщение на профила на безопасност</w:t>
      </w:r>
    </w:p>
    <w:p w14:paraId="3ADFC7F9" w14:textId="77777777" w:rsidR="00507887" w:rsidRPr="00507887" w:rsidRDefault="00507887" w:rsidP="00507887">
      <w:pPr>
        <w:spacing w:line="240" w:lineRule="auto"/>
        <w:rPr>
          <w:rFonts w:eastAsia="Times New Roman" w:cs="Arial"/>
          <w:color w:val="000000"/>
          <w:lang w:eastAsia="bg-BG"/>
        </w:rPr>
      </w:pPr>
    </w:p>
    <w:p w14:paraId="0B2F0F62" w14:textId="02D83116"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Нежеланите лекарствени реакции, наблюдавани при приложението на изофлуран, най-общо са дозозависимо следствие от фармако-физиологичните ефекти и включва дихателна депресия, хипотония и аритмии. Потенциалните сериозни нежелани реакции включват злокачествена хипертермия, анафилактични реакции и нежелани реакции от страна на черния дроб (вж. точки 4.4 и 4.8). Треска, гадене, повръщане и илеус са били наблюдавани в следоперативния период.</w:t>
      </w:r>
    </w:p>
    <w:p w14:paraId="1E821887" w14:textId="77777777" w:rsidR="00507887" w:rsidRPr="00507887" w:rsidRDefault="00507887" w:rsidP="00507887">
      <w:pPr>
        <w:spacing w:line="240" w:lineRule="auto"/>
        <w:rPr>
          <w:rFonts w:eastAsia="Times New Roman" w:cs="Arial"/>
          <w:color w:val="000000"/>
          <w:lang w:eastAsia="bg-BG"/>
        </w:rPr>
      </w:pPr>
    </w:p>
    <w:p w14:paraId="276DD9AD" w14:textId="1FEB3CA4" w:rsidR="00507887" w:rsidRPr="00507887" w:rsidRDefault="00507887" w:rsidP="00507887">
      <w:pPr>
        <w:spacing w:line="240" w:lineRule="auto"/>
        <w:rPr>
          <w:rFonts w:eastAsia="Times New Roman" w:cs="Arial"/>
          <w:sz w:val="28"/>
          <w:szCs w:val="28"/>
          <w:lang w:eastAsia="bg-BG"/>
        </w:rPr>
      </w:pPr>
      <w:r w:rsidRPr="00507887">
        <w:rPr>
          <w:rFonts w:eastAsia="Times New Roman" w:cs="Arial"/>
          <w:color w:val="000000"/>
          <w:lang w:eastAsia="bg-BG"/>
        </w:rPr>
        <w:t>Сърдечен арест е наблюдаван при лекарства за обща анестезия, включително изофлуран.</w:t>
      </w:r>
    </w:p>
    <w:p w14:paraId="0B040648" w14:textId="77777777" w:rsidR="00507887" w:rsidRPr="00507887" w:rsidRDefault="00507887" w:rsidP="00507887">
      <w:pPr>
        <w:spacing w:line="240" w:lineRule="auto"/>
        <w:rPr>
          <w:rFonts w:eastAsia="Times New Roman" w:cs="Arial"/>
          <w:i/>
          <w:iCs/>
          <w:color w:val="000000"/>
          <w:lang w:eastAsia="bg-BG"/>
        </w:rPr>
      </w:pPr>
    </w:p>
    <w:p w14:paraId="3C4488BB" w14:textId="282430B2" w:rsidR="00507887" w:rsidRPr="00507887" w:rsidRDefault="00507887" w:rsidP="00507887">
      <w:pPr>
        <w:spacing w:line="240" w:lineRule="auto"/>
        <w:rPr>
          <w:rFonts w:eastAsia="Times New Roman" w:cs="Arial"/>
          <w:i/>
          <w:iCs/>
          <w:color w:val="000000"/>
          <w:lang w:eastAsia="bg-BG"/>
        </w:rPr>
      </w:pPr>
      <w:r w:rsidRPr="00507887">
        <w:rPr>
          <w:rFonts w:eastAsia="Times New Roman" w:cs="Arial"/>
          <w:i/>
          <w:iCs/>
          <w:color w:val="000000"/>
          <w:lang w:eastAsia="bg-BG"/>
        </w:rPr>
        <w:t xml:space="preserve">б. </w:t>
      </w:r>
      <w:r w:rsidRPr="00507887">
        <w:rPr>
          <w:rFonts w:eastAsia="Times New Roman" w:cs="Arial"/>
          <w:i/>
          <w:iCs/>
          <w:color w:val="000000"/>
          <w:lang w:eastAsia="bg-BG"/>
        </w:rPr>
        <w:t>Обобщение на нежеланите лекарствени реакции в табличен вид</w:t>
      </w:r>
    </w:p>
    <w:p w14:paraId="62702213" w14:textId="77777777" w:rsidR="00507887" w:rsidRPr="00507887" w:rsidRDefault="00507887" w:rsidP="00507887">
      <w:pPr>
        <w:rPr>
          <w:rFonts w:eastAsia="Times New Roman" w:cs="Arial"/>
          <w:color w:val="000000"/>
          <w:lang w:eastAsia="bg-BG"/>
        </w:rPr>
      </w:pPr>
    </w:p>
    <w:p w14:paraId="22F4305A" w14:textId="5752608A" w:rsidR="00507887" w:rsidRDefault="00507887" w:rsidP="00507887">
      <w:pPr>
        <w:rPr>
          <w:rFonts w:eastAsia="Times New Roman" w:cs="Arial"/>
          <w:color w:val="000000"/>
          <w:lang w:eastAsia="bg-BG"/>
        </w:rPr>
      </w:pPr>
      <w:r w:rsidRPr="00507887">
        <w:rPr>
          <w:rFonts w:eastAsia="Times New Roman" w:cs="Arial"/>
          <w:color w:val="000000"/>
          <w:lang w:eastAsia="bg-BG"/>
        </w:rPr>
        <w:t>Таблица по-долу представя информация за нежеланите лекарствени реакции, съобщени от клиничните изпитвания и постмаркетинговия период. Честотата не може да бъде оцененеа възоснова на наличните данни и следователно е „неизвестна”.</w:t>
      </w:r>
    </w:p>
    <w:p w14:paraId="0E4E70BE" w14:textId="7247DDFF" w:rsidR="00507887" w:rsidRDefault="00507887" w:rsidP="00507887">
      <w:pPr>
        <w:rPr>
          <w:rFonts w:eastAsia="Times New Roman" w:cs="Arial"/>
          <w:color w:val="000000"/>
          <w:lang w:eastAsia="bg-BG"/>
        </w:rPr>
      </w:pPr>
    </w:p>
    <w:tbl>
      <w:tblPr>
        <w:tblStyle w:val="TableGrid"/>
        <w:tblW w:w="0" w:type="auto"/>
        <w:tblLook w:val="04A0" w:firstRow="1" w:lastRow="0" w:firstColumn="1" w:lastColumn="0" w:noHBand="0" w:noVBand="1"/>
      </w:tblPr>
      <w:tblGrid>
        <w:gridCol w:w="3108"/>
        <w:gridCol w:w="3084"/>
        <w:gridCol w:w="3158"/>
      </w:tblGrid>
      <w:tr w:rsidR="00507887" w14:paraId="11A98D7B" w14:textId="77777777" w:rsidTr="001D0472">
        <w:tc>
          <w:tcPr>
            <w:tcW w:w="9500" w:type="dxa"/>
            <w:gridSpan w:val="3"/>
          </w:tcPr>
          <w:p w14:paraId="00B3ED77" w14:textId="06948F2D" w:rsidR="00507887" w:rsidRDefault="00507887" w:rsidP="00507887">
            <w:pPr>
              <w:rPr>
                <w:rFonts w:cs="Arial"/>
                <w:sz w:val="24"/>
                <w:szCs w:val="24"/>
              </w:rPr>
            </w:pPr>
            <w:r>
              <w:rPr>
                <w:b/>
                <w:bCs/>
                <w:sz w:val="20"/>
                <w:szCs w:val="20"/>
              </w:rPr>
              <w:t>Обобщение на най-честите нежелани лекарствени реакции</w:t>
            </w:r>
          </w:p>
        </w:tc>
      </w:tr>
      <w:tr w:rsidR="00507887" w14:paraId="76967F04" w14:textId="77777777" w:rsidTr="00507887">
        <w:tc>
          <w:tcPr>
            <w:tcW w:w="3166" w:type="dxa"/>
          </w:tcPr>
          <w:p w14:paraId="30A55159" w14:textId="3472F21D" w:rsidR="00507887" w:rsidRPr="00507887" w:rsidRDefault="00507887" w:rsidP="00507887">
            <w:pPr>
              <w:rPr>
                <w:rFonts w:cs="Arial"/>
              </w:rPr>
            </w:pPr>
            <w:r w:rsidRPr="00507887">
              <w:t>Системо-органен клас</w:t>
            </w:r>
          </w:p>
        </w:tc>
        <w:tc>
          <w:tcPr>
            <w:tcW w:w="3167" w:type="dxa"/>
          </w:tcPr>
          <w:p w14:paraId="512E8202" w14:textId="38BF17F4" w:rsidR="00507887" w:rsidRPr="00507887" w:rsidRDefault="00507887" w:rsidP="00507887">
            <w:pPr>
              <w:rPr>
                <w:rFonts w:cs="Arial"/>
              </w:rPr>
            </w:pPr>
            <w:r w:rsidRPr="00507887">
              <w:t>Честота</w:t>
            </w:r>
          </w:p>
        </w:tc>
        <w:tc>
          <w:tcPr>
            <w:tcW w:w="3167" w:type="dxa"/>
          </w:tcPr>
          <w:p w14:paraId="003E718B" w14:textId="1606C82E" w:rsidR="00507887" w:rsidRPr="00507887" w:rsidRDefault="00507887" w:rsidP="00507887">
            <w:pPr>
              <w:rPr>
                <w:rFonts w:cs="Arial"/>
              </w:rPr>
            </w:pPr>
            <w:r w:rsidRPr="00507887">
              <w:t>Нежелани реакции</w:t>
            </w:r>
          </w:p>
        </w:tc>
      </w:tr>
      <w:tr w:rsidR="00507887" w14:paraId="07D372C5" w14:textId="77777777" w:rsidTr="00507887">
        <w:tc>
          <w:tcPr>
            <w:tcW w:w="3166" w:type="dxa"/>
          </w:tcPr>
          <w:p w14:paraId="0693AC07" w14:textId="1D3A4CB4" w:rsidR="00507887" w:rsidRPr="00507887" w:rsidRDefault="00507887" w:rsidP="00507887">
            <w:pPr>
              <w:rPr>
                <w:rFonts w:cs="Arial"/>
              </w:rPr>
            </w:pPr>
            <w:r w:rsidRPr="00507887">
              <w:t>Нарушения на кръвта и лимфната система</w:t>
            </w:r>
          </w:p>
        </w:tc>
        <w:tc>
          <w:tcPr>
            <w:tcW w:w="3167" w:type="dxa"/>
          </w:tcPr>
          <w:p w14:paraId="6A3B35DF" w14:textId="609D4D83" w:rsidR="00507887" w:rsidRPr="00507887" w:rsidRDefault="00507887" w:rsidP="00507887">
            <w:pPr>
              <w:rPr>
                <w:rFonts w:cs="Arial"/>
              </w:rPr>
            </w:pPr>
            <w:r w:rsidRPr="00507887">
              <w:t>Неизвестна</w:t>
            </w:r>
          </w:p>
        </w:tc>
        <w:tc>
          <w:tcPr>
            <w:tcW w:w="3167" w:type="dxa"/>
          </w:tcPr>
          <w:p w14:paraId="7C8EA817" w14:textId="0DB3764E" w:rsidR="00507887" w:rsidRPr="00507887" w:rsidRDefault="00507887" w:rsidP="00507887">
            <w:pPr>
              <w:rPr>
                <w:rFonts w:cs="Arial"/>
              </w:rPr>
            </w:pPr>
            <w:r w:rsidRPr="00507887">
              <w:t>Карбоксихемоглобинемия</w:t>
            </w:r>
            <w:r w:rsidRPr="00507887">
              <w:rPr>
                <w:vertAlign w:val="superscript"/>
              </w:rPr>
              <w:t>2</w:t>
            </w:r>
          </w:p>
        </w:tc>
      </w:tr>
      <w:tr w:rsidR="00507887" w14:paraId="6D9FB845" w14:textId="77777777" w:rsidTr="00507887">
        <w:tc>
          <w:tcPr>
            <w:tcW w:w="3166" w:type="dxa"/>
          </w:tcPr>
          <w:p w14:paraId="55E69F25" w14:textId="38CE4E67" w:rsidR="00507887" w:rsidRPr="00507887" w:rsidRDefault="00507887" w:rsidP="00507887">
            <w:pPr>
              <w:rPr>
                <w:rFonts w:cs="Arial"/>
              </w:rPr>
            </w:pPr>
            <w:r w:rsidRPr="00507887">
              <w:t>Нарушения на имунната система</w:t>
            </w:r>
          </w:p>
        </w:tc>
        <w:tc>
          <w:tcPr>
            <w:tcW w:w="3167" w:type="dxa"/>
          </w:tcPr>
          <w:p w14:paraId="5FAE53BE" w14:textId="77777777" w:rsidR="00507887" w:rsidRDefault="00507887" w:rsidP="00507887">
            <w:r w:rsidRPr="00507887">
              <w:t xml:space="preserve">Неизвестна </w:t>
            </w:r>
          </w:p>
          <w:p w14:paraId="0B743565" w14:textId="3296D677" w:rsidR="00507887" w:rsidRPr="00507887" w:rsidRDefault="00507887" w:rsidP="00507887">
            <w:pPr>
              <w:rPr>
                <w:rFonts w:cs="Arial"/>
              </w:rPr>
            </w:pPr>
            <w:r w:rsidRPr="00507887">
              <w:t>Неизвестна</w:t>
            </w:r>
          </w:p>
        </w:tc>
        <w:tc>
          <w:tcPr>
            <w:tcW w:w="3167" w:type="dxa"/>
          </w:tcPr>
          <w:p w14:paraId="04312D33" w14:textId="3EC246D1" w:rsidR="00507887" w:rsidRPr="00507887" w:rsidRDefault="00507887" w:rsidP="00507887">
            <w:pPr>
              <w:rPr>
                <w:rFonts w:cs="Arial"/>
              </w:rPr>
            </w:pPr>
            <w:r w:rsidRPr="00507887">
              <w:t>Анафилактична реакция</w:t>
            </w:r>
            <w:r w:rsidRPr="00507887">
              <w:rPr>
                <w:vertAlign w:val="superscript"/>
              </w:rPr>
              <w:t xml:space="preserve">1 </w:t>
            </w:r>
            <w:r w:rsidRPr="00507887">
              <w:t>Свръхчувствителност</w:t>
            </w:r>
            <w:r w:rsidRPr="00507887">
              <w:rPr>
                <w:vertAlign w:val="superscript"/>
              </w:rPr>
              <w:t>1</w:t>
            </w:r>
          </w:p>
        </w:tc>
      </w:tr>
      <w:tr w:rsidR="00507887" w14:paraId="09C33C33" w14:textId="77777777" w:rsidTr="00507887">
        <w:tc>
          <w:tcPr>
            <w:tcW w:w="3166" w:type="dxa"/>
            <w:vMerge w:val="restart"/>
          </w:tcPr>
          <w:p w14:paraId="236D187E" w14:textId="3E23A6BA" w:rsidR="00507887" w:rsidRPr="00507887" w:rsidRDefault="00507887" w:rsidP="00507887">
            <w:pPr>
              <w:rPr>
                <w:rFonts w:cs="Arial"/>
              </w:rPr>
            </w:pPr>
            <w:r w:rsidRPr="00507887">
              <w:t>Нарушения на метаболизма и храненето</w:t>
            </w:r>
          </w:p>
        </w:tc>
        <w:tc>
          <w:tcPr>
            <w:tcW w:w="3167" w:type="dxa"/>
            <w:vMerge w:val="restart"/>
          </w:tcPr>
          <w:p w14:paraId="77166E6A" w14:textId="77777777" w:rsidR="00507887" w:rsidRDefault="00507887" w:rsidP="00507887">
            <w:r w:rsidRPr="00507887">
              <w:t xml:space="preserve">Неизвестна </w:t>
            </w:r>
          </w:p>
          <w:p w14:paraId="2B516321" w14:textId="46744F63" w:rsidR="00507887" w:rsidRPr="00507887" w:rsidRDefault="00507887" w:rsidP="00507887">
            <w:pPr>
              <w:rPr>
                <w:rFonts w:cs="Arial"/>
              </w:rPr>
            </w:pPr>
            <w:r w:rsidRPr="00507887">
              <w:t>Неизвестна</w:t>
            </w:r>
          </w:p>
        </w:tc>
        <w:tc>
          <w:tcPr>
            <w:tcW w:w="3167" w:type="dxa"/>
          </w:tcPr>
          <w:p w14:paraId="6C54BC28" w14:textId="7B1F8AD9" w:rsidR="00507887" w:rsidRPr="00507887" w:rsidRDefault="00507887" w:rsidP="00507887">
            <w:pPr>
              <w:rPr>
                <w:rFonts w:cs="Arial"/>
              </w:rPr>
            </w:pPr>
            <w:r w:rsidRPr="00507887">
              <w:t>Хиперкалиемия</w:t>
            </w:r>
            <w:r w:rsidRPr="00507887">
              <w:rPr>
                <w:vertAlign w:val="superscript"/>
              </w:rPr>
              <w:t>2</w:t>
            </w:r>
          </w:p>
        </w:tc>
      </w:tr>
      <w:tr w:rsidR="00507887" w14:paraId="7EBF10CC" w14:textId="77777777" w:rsidTr="00507887">
        <w:tc>
          <w:tcPr>
            <w:tcW w:w="3166" w:type="dxa"/>
            <w:vMerge/>
          </w:tcPr>
          <w:p w14:paraId="21E93923" w14:textId="77777777" w:rsidR="00507887" w:rsidRPr="00507887" w:rsidRDefault="00507887" w:rsidP="00507887">
            <w:pPr>
              <w:rPr>
                <w:rFonts w:cs="Arial"/>
              </w:rPr>
            </w:pPr>
          </w:p>
        </w:tc>
        <w:tc>
          <w:tcPr>
            <w:tcW w:w="3167" w:type="dxa"/>
            <w:vMerge/>
          </w:tcPr>
          <w:p w14:paraId="0B41A792" w14:textId="77777777" w:rsidR="00507887" w:rsidRPr="00507887" w:rsidRDefault="00507887" w:rsidP="00507887">
            <w:pPr>
              <w:rPr>
                <w:rFonts w:cs="Arial"/>
              </w:rPr>
            </w:pPr>
          </w:p>
        </w:tc>
        <w:tc>
          <w:tcPr>
            <w:tcW w:w="3167" w:type="dxa"/>
          </w:tcPr>
          <w:p w14:paraId="70C633D3" w14:textId="041E8FA9" w:rsidR="00507887" w:rsidRPr="00507887" w:rsidRDefault="00507887" w:rsidP="00507887">
            <w:pPr>
              <w:rPr>
                <w:rFonts w:cs="Arial"/>
              </w:rPr>
            </w:pPr>
            <w:r w:rsidRPr="00507887">
              <w:t>Увеличение на кръвната глюкоза</w:t>
            </w:r>
          </w:p>
        </w:tc>
      </w:tr>
      <w:tr w:rsidR="00507887" w14:paraId="61D00E2D" w14:textId="77777777" w:rsidTr="00507887">
        <w:tc>
          <w:tcPr>
            <w:tcW w:w="3166" w:type="dxa"/>
          </w:tcPr>
          <w:p w14:paraId="02F458BA" w14:textId="2379FE5E" w:rsidR="00507887" w:rsidRPr="00507887" w:rsidRDefault="00507887" w:rsidP="00507887">
            <w:pPr>
              <w:rPr>
                <w:rFonts w:cs="Arial"/>
              </w:rPr>
            </w:pPr>
            <w:r w:rsidRPr="00507887">
              <w:t>Психични нарушения</w:t>
            </w:r>
          </w:p>
        </w:tc>
        <w:tc>
          <w:tcPr>
            <w:tcW w:w="3167" w:type="dxa"/>
          </w:tcPr>
          <w:p w14:paraId="5DC4AAF6" w14:textId="77777777" w:rsidR="00507887" w:rsidRDefault="00507887" w:rsidP="00507887">
            <w:r w:rsidRPr="00507887">
              <w:t xml:space="preserve">Неизвестна </w:t>
            </w:r>
          </w:p>
          <w:p w14:paraId="06813DAD" w14:textId="77777777" w:rsidR="00507887" w:rsidRDefault="00507887" w:rsidP="00507887">
            <w:r w:rsidRPr="00507887">
              <w:t xml:space="preserve">Неизвестна </w:t>
            </w:r>
          </w:p>
          <w:p w14:paraId="72FC795C" w14:textId="5CDF886A" w:rsidR="00507887" w:rsidRPr="00507887" w:rsidRDefault="00507887" w:rsidP="00507887">
            <w:pPr>
              <w:rPr>
                <w:rFonts w:cs="Arial"/>
              </w:rPr>
            </w:pPr>
            <w:r w:rsidRPr="00507887">
              <w:t>Неизвестна</w:t>
            </w:r>
          </w:p>
        </w:tc>
        <w:tc>
          <w:tcPr>
            <w:tcW w:w="3167" w:type="dxa"/>
          </w:tcPr>
          <w:p w14:paraId="5EF53167" w14:textId="77777777" w:rsidR="00507887" w:rsidRPr="00507887" w:rsidRDefault="00507887" w:rsidP="00507887">
            <w:r w:rsidRPr="00507887">
              <w:t>Тревожност</w:t>
            </w:r>
          </w:p>
          <w:p w14:paraId="7F75211E" w14:textId="77777777" w:rsidR="00507887" w:rsidRPr="00507887" w:rsidRDefault="00507887" w:rsidP="00507887">
            <w:r w:rsidRPr="00507887">
              <w:t>Делириум</w:t>
            </w:r>
          </w:p>
          <w:p w14:paraId="5AC8BB8E" w14:textId="4B8480E5" w:rsidR="00507887" w:rsidRPr="00507887" w:rsidRDefault="00507887" w:rsidP="00507887">
            <w:pPr>
              <w:rPr>
                <w:rFonts w:cs="Arial"/>
              </w:rPr>
            </w:pPr>
            <w:r w:rsidRPr="00507887">
              <w:t>Промяна на настроениет</w:t>
            </w:r>
            <w:r w:rsidRPr="00507887">
              <w:rPr>
                <w:u w:val="single"/>
              </w:rPr>
              <w:t>о</w:t>
            </w:r>
            <w:r w:rsidRPr="00507887">
              <w:rPr>
                <w:u w:val="single"/>
                <w:vertAlign w:val="superscript"/>
              </w:rPr>
              <w:t>5</w:t>
            </w:r>
          </w:p>
        </w:tc>
      </w:tr>
      <w:tr w:rsidR="00507887" w14:paraId="6714559D" w14:textId="77777777" w:rsidTr="00507887">
        <w:tc>
          <w:tcPr>
            <w:tcW w:w="3166" w:type="dxa"/>
          </w:tcPr>
          <w:p w14:paraId="05BCBB27" w14:textId="3551BAEB" w:rsidR="00507887" w:rsidRPr="00507887" w:rsidRDefault="00507887" w:rsidP="00507887">
            <w:pPr>
              <w:rPr>
                <w:rFonts w:cs="Arial"/>
              </w:rPr>
            </w:pPr>
            <w:r w:rsidRPr="00507887">
              <w:t>Нарушения на нервната система</w:t>
            </w:r>
          </w:p>
        </w:tc>
        <w:tc>
          <w:tcPr>
            <w:tcW w:w="3167" w:type="dxa"/>
          </w:tcPr>
          <w:p w14:paraId="3D6E9ACC" w14:textId="77777777" w:rsidR="00507887" w:rsidRDefault="00507887" w:rsidP="00507887">
            <w:r w:rsidRPr="00507887">
              <w:t xml:space="preserve">Неизвестна </w:t>
            </w:r>
          </w:p>
          <w:p w14:paraId="346482BD" w14:textId="2727D04B" w:rsidR="00507887" w:rsidRPr="00507887" w:rsidRDefault="00507887" w:rsidP="00507887">
            <w:pPr>
              <w:rPr>
                <w:rFonts w:cs="Arial"/>
              </w:rPr>
            </w:pPr>
            <w:r w:rsidRPr="00507887">
              <w:t>Неизвестна</w:t>
            </w:r>
          </w:p>
        </w:tc>
        <w:tc>
          <w:tcPr>
            <w:tcW w:w="3167" w:type="dxa"/>
          </w:tcPr>
          <w:p w14:paraId="13806EFB" w14:textId="77777777" w:rsidR="00507887" w:rsidRPr="00507887" w:rsidRDefault="00507887" w:rsidP="00507887">
            <w:r w:rsidRPr="00507887">
              <w:t>Конвулсия</w:t>
            </w:r>
          </w:p>
          <w:p w14:paraId="0EF84FA6" w14:textId="412E3DBE" w:rsidR="00507887" w:rsidRPr="00507887" w:rsidRDefault="00507887" w:rsidP="00507887">
            <w:pPr>
              <w:rPr>
                <w:rFonts w:cs="Arial"/>
              </w:rPr>
            </w:pPr>
            <w:r w:rsidRPr="00507887">
              <w:t>Психично разстройство</w:t>
            </w:r>
            <w:r w:rsidRPr="00507887">
              <w:rPr>
                <w:vertAlign w:val="superscript"/>
              </w:rPr>
              <w:t>4</w:t>
            </w:r>
          </w:p>
        </w:tc>
      </w:tr>
      <w:tr w:rsidR="00507887" w14:paraId="0DC3230B" w14:textId="77777777" w:rsidTr="00507887">
        <w:tc>
          <w:tcPr>
            <w:tcW w:w="3166" w:type="dxa"/>
          </w:tcPr>
          <w:p w14:paraId="12255EBA" w14:textId="26038275" w:rsidR="00507887" w:rsidRPr="00507887" w:rsidRDefault="00507887" w:rsidP="00507887">
            <w:pPr>
              <w:rPr>
                <w:rFonts w:cs="Arial"/>
              </w:rPr>
            </w:pPr>
            <w:r w:rsidRPr="00507887">
              <w:lastRenderedPageBreak/>
              <w:t>Сърдечни нарушения</w:t>
            </w:r>
          </w:p>
        </w:tc>
        <w:tc>
          <w:tcPr>
            <w:tcW w:w="3167" w:type="dxa"/>
          </w:tcPr>
          <w:p w14:paraId="355F2514" w14:textId="77777777" w:rsidR="00507887" w:rsidRDefault="00507887" w:rsidP="00507887">
            <w:r w:rsidRPr="00507887">
              <w:t xml:space="preserve">Неизвестна </w:t>
            </w:r>
          </w:p>
          <w:p w14:paraId="0B9A9926" w14:textId="77777777" w:rsidR="00507887" w:rsidRDefault="00507887" w:rsidP="00507887">
            <w:r w:rsidRPr="00507887">
              <w:t xml:space="preserve">Неизвестна </w:t>
            </w:r>
          </w:p>
          <w:p w14:paraId="12BF326B" w14:textId="77777777" w:rsidR="00507887" w:rsidRDefault="00507887" w:rsidP="00507887">
            <w:r w:rsidRPr="00507887">
              <w:t xml:space="preserve">Неизвестна </w:t>
            </w:r>
          </w:p>
          <w:p w14:paraId="69CAAFDA" w14:textId="77777777" w:rsidR="00507887" w:rsidRDefault="00507887" w:rsidP="00507887">
            <w:r w:rsidRPr="00507887">
              <w:t xml:space="preserve">Неизвестна </w:t>
            </w:r>
          </w:p>
          <w:p w14:paraId="10862011" w14:textId="4BFDFC73" w:rsidR="00507887" w:rsidRDefault="00507887" w:rsidP="00507887">
            <w:r w:rsidRPr="00507887">
              <w:t xml:space="preserve">Неизвестна </w:t>
            </w:r>
          </w:p>
          <w:p w14:paraId="3EAFAE42" w14:textId="44F1EFB7" w:rsidR="00507887" w:rsidRPr="00507887" w:rsidRDefault="00507887" w:rsidP="00507887">
            <w:pPr>
              <w:rPr>
                <w:rFonts w:cs="Arial"/>
              </w:rPr>
            </w:pPr>
            <w:r w:rsidRPr="00507887">
              <w:t>Неизвестна</w:t>
            </w:r>
          </w:p>
        </w:tc>
        <w:tc>
          <w:tcPr>
            <w:tcW w:w="3167" w:type="dxa"/>
          </w:tcPr>
          <w:p w14:paraId="641A5CC5" w14:textId="77777777" w:rsidR="00507887" w:rsidRPr="00507887" w:rsidRDefault="00507887" w:rsidP="00507887">
            <w:r w:rsidRPr="00507887">
              <w:t>Аритмия</w:t>
            </w:r>
          </w:p>
          <w:p w14:paraId="6265E0D5" w14:textId="77777777" w:rsidR="00507887" w:rsidRPr="00507887" w:rsidRDefault="00507887" w:rsidP="00507887">
            <w:r w:rsidRPr="00507887">
              <w:t>Брадикардия</w:t>
            </w:r>
          </w:p>
          <w:p w14:paraId="796F4176" w14:textId="77777777" w:rsidR="00507887" w:rsidRPr="00507887" w:rsidRDefault="00507887" w:rsidP="00507887">
            <w:r w:rsidRPr="00507887">
              <w:t>Сърдечен арест</w:t>
            </w:r>
          </w:p>
          <w:p w14:paraId="3C2F5643" w14:textId="77777777" w:rsidR="00507887" w:rsidRPr="00507887" w:rsidRDefault="00507887" w:rsidP="00507887">
            <w:r w:rsidRPr="00507887">
              <w:t xml:space="preserve">ЕКГ удължен </w:t>
            </w:r>
            <w:r w:rsidRPr="00507887">
              <w:rPr>
                <w:lang w:val="en-US"/>
              </w:rPr>
              <w:t>QT</w:t>
            </w:r>
            <w:r w:rsidRPr="00507887">
              <w:t xml:space="preserve"> интервал</w:t>
            </w:r>
          </w:p>
          <w:p w14:paraId="7F0D0EB2" w14:textId="77777777" w:rsidR="00507887" w:rsidRPr="00507887" w:rsidRDefault="00507887" w:rsidP="00507887">
            <w:r w:rsidRPr="00507887">
              <w:t>Тахикардия</w:t>
            </w:r>
          </w:p>
          <w:p w14:paraId="74BCE5A7" w14:textId="32F9B202" w:rsidR="00507887" w:rsidRPr="00507887" w:rsidRDefault="00507887" w:rsidP="00507887">
            <w:pPr>
              <w:rPr>
                <w:rFonts w:cs="Arial"/>
              </w:rPr>
            </w:pPr>
            <w:r w:rsidRPr="00507887">
              <w:rPr>
                <w:u w:val="single"/>
                <w:lang w:val="en-US"/>
              </w:rPr>
              <w:t>Torsade de pointe</w:t>
            </w:r>
          </w:p>
        </w:tc>
      </w:tr>
      <w:tr w:rsidR="00507887" w14:paraId="0C321462" w14:textId="77777777" w:rsidTr="00507887">
        <w:tc>
          <w:tcPr>
            <w:tcW w:w="3166" w:type="dxa"/>
          </w:tcPr>
          <w:p w14:paraId="12241BB7" w14:textId="302ECD92" w:rsidR="00507887" w:rsidRPr="00507887" w:rsidRDefault="00507887" w:rsidP="00507887">
            <w:pPr>
              <w:rPr>
                <w:rFonts w:cs="Arial"/>
              </w:rPr>
            </w:pPr>
            <w:r w:rsidRPr="00507887">
              <w:t>Системо-органен клас</w:t>
            </w:r>
          </w:p>
        </w:tc>
        <w:tc>
          <w:tcPr>
            <w:tcW w:w="3167" w:type="dxa"/>
          </w:tcPr>
          <w:p w14:paraId="0E47F03C" w14:textId="0E912186" w:rsidR="00507887" w:rsidRPr="00507887" w:rsidRDefault="00507887" w:rsidP="00507887">
            <w:pPr>
              <w:rPr>
                <w:rFonts w:cs="Arial"/>
              </w:rPr>
            </w:pPr>
            <w:r w:rsidRPr="00507887">
              <w:t>Честота</w:t>
            </w:r>
          </w:p>
        </w:tc>
        <w:tc>
          <w:tcPr>
            <w:tcW w:w="3167" w:type="dxa"/>
          </w:tcPr>
          <w:p w14:paraId="78D7DC79" w14:textId="70BFD018" w:rsidR="00507887" w:rsidRPr="00507887" w:rsidRDefault="00507887" w:rsidP="00507887">
            <w:pPr>
              <w:rPr>
                <w:rFonts w:cs="Arial"/>
              </w:rPr>
            </w:pPr>
            <w:r w:rsidRPr="00507887">
              <w:t>Нежелани реакции</w:t>
            </w:r>
          </w:p>
        </w:tc>
      </w:tr>
      <w:tr w:rsidR="00507887" w14:paraId="17489106" w14:textId="77777777" w:rsidTr="00507887">
        <w:tc>
          <w:tcPr>
            <w:tcW w:w="3166" w:type="dxa"/>
          </w:tcPr>
          <w:p w14:paraId="7844A1FB" w14:textId="5D5385CD" w:rsidR="00507887" w:rsidRPr="00507887" w:rsidRDefault="00507887" w:rsidP="00507887">
            <w:pPr>
              <w:rPr>
                <w:rFonts w:cs="Arial"/>
              </w:rPr>
            </w:pPr>
            <w:r w:rsidRPr="00507887">
              <w:t>Съдови нарушения</w:t>
            </w:r>
          </w:p>
        </w:tc>
        <w:tc>
          <w:tcPr>
            <w:tcW w:w="3167" w:type="dxa"/>
          </w:tcPr>
          <w:p w14:paraId="3A888E4B" w14:textId="77777777" w:rsidR="00507887" w:rsidRDefault="00507887" w:rsidP="00507887">
            <w:r w:rsidRPr="00507887">
              <w:t xml:space="preserve">Неизвестна </w:t>
            </w:r>
          </w:p>
          <w:p w14:paraId="7C0704BA" w14:textId="01F1F675" w:rsidR="00507887" w:rsidRPr="00507887" w:rsidRDefault="00507887" w:rsidP="00507887">
            <w:pPr>
              <w:rPr>
                <w:rFonts w:cs="Arial"/>
              </w:rPr>
            </w:pPr>
            <w:r w:rsidRPr="00507887">
              <w:t>Неизвестна</w:t>
            </w:r>
          </w:p>
        </w:tc>
        <w:tc>
          <w:tcPr>
            <w:tcW w:w="3167" w:type="dxa"/>
          </w:tcPr>
          <w:p w14:paraId="1DCD352F" w14:textId="77777777" w:rsidR="00507887" w:rsidRPr="00507887" w:rsidRDefault="00507887" w:rsidP="00507887">
            <w:r w:rsidRPr="00507887">
              <w:t>Хипотония</w:t>
            </w:r>
            <w:r w:rsidRPr="00507887">
              <w:rPr>
                <w:vertAlign w:val="superscript"/>
              </w:rPr>
              <w:t>2</w:t>
            </w:r>
          </w:p>
          <w:p w14:paraId="344D5F2A" w14:textId="647E08B0" w:rsidR="00507887" w:rsidRPr="00507887" w:rsidRDefault="00507887" w:rsidP="00507887">
            <w:pPr>
              <w:rPr>
                <w:rFonts w:cs="Arial"/>
              </w:rPr>
            </w:pPr>
            <w:r w:rsidRPr="00507887">
              <w:t>Хеморагия</w:t>
            </w:r>
            <w:r w:rsidRPr="00507887">
              <w:rPr>
                <w:vertAlign w:val="superscript"/>
              </w:rPr>
              <w:t>3</w:t>
            </w:r>
          </w:p>
        </w:tc>
      </w:tr>
      <w:tr w:rsidR="00507887" w14:paraId="4C647C75" w14:textId="77777777" w:rsidTr="00507887">
        <w:tc>
          <w:tcPr>
            <w:tcW w:w="3166" w:type="dxa"/>
          </w:tcPr>
          <w:p w14:paraId="55F04096" w14:textId="5220461E" w:rsidR="00507887" w:rsidRPr="00507887" w:rsidRDefault="00507887" w:rsidP="00507887">
            <w:pPr>
              <w:rPr>
                <w:rFonts w:cs="Arial"/>
              </w:rPr>
            </w:pPr>
            <w:r w:rsidRPr="00507887">
              <w:t>Респираторни, гръдни и медиастинални нарушения</w:t>
            </w:r>
          </w:p>
        </w:tc>
        <w:tc>
          <w:tcPr>
            <w:tcW w:w="3167" w:type="dxa"/>
          </w:tcPr>
          <w:p w14:paraId="3B205202" w14:textId="77777777" w:rsidR="00507887" w:rsidRDefault="00507887" w:rsidP="00507887">
            <w:r w:rsidRPr="00507887">
              <w:t xml:space="preserve">Неизвестна </w:t>
            </w:r>
          </w:p>
          <w:p w14:paraId="591BC07C" w14:textId="77777777" w:rsidR="00507887" w:rsidRDefault="00507887" w:rsidP="00507887">
            <w:r w:rsidRPr="00507887">
              <w:t xml:space="preserve">Неизвестна </w:t>
            </w:r>
          </w:p>
          <w:p w14:paraId="55EA2FF1" w14:textId="77777777" w:rsidR="00507887" w:rsidRDefault="00507887" w:rsidP="00507887">
            <w:r w:rsidRPr="00507887">
              <w:t xml:space="preserve">Неизвестна </w:t>
            </w:r>
          </w:p>
          <w:p w14:paraId="7CEA972D" w14:textId="18B43F39" w:rsidR="00507887" w:rsidRPr="00507887" w:rsidRDefault="00507887" w:rsidP="00507887">
            <w:pPr>
              <w:rPr>
                <w:rFonts w:cs="Arial"/>
              </w:rPr>
            </w:pPr>
            <w:r w:rsidRPr="00507887">
              <w:t>Неизвестна Неизвестна</w:t>
            </w:r>
          </w:p>
        </w:tc>
        <w:tc>
          <w:tcPr>
            <w:tcW w:w="3167" w:type="dxa"/>
          </w:tcPr>
          <w:p w14:paraId="0BDE9A18" w14:textId="77777777" w:rsidR="00507887" w:rsidRPr="00507887" w:rsidRDefault="00507887" w:rsidP="00507887">
            <w:r w:rsidRPr="00507887">
              <w:t>Бронхоспазъм</w:t>
            </w:r>
            <w:r w:rsidRPr="00507887">
              <w:rPr>
                <w:vertAlign w:val="superscript"/>
              </w:rPr>
              <w:t>2</w:t>
            </w:r>
          </w:p>
          <w:p w14:paraId="75CA4ED3" w14:textId="77777777" w:rsidR="00507887" w:rsidRPr="00507887" w:rsidRDefault="00507887" w:rsidP="00507887">
            <w:r w:rsidRPr="00507887">
              <w:t>Диспнея</w:t>
            </w:r>
            <w:r w:rsidRPr="00507887">
              <w:rPr>
                <w:vertAlign w:val="superscript"/>
              </w:rPr>
              <w:t>1</w:t>
            </w:r>
          </w:p>
          <w:p w14:paraId="6D3EF920" w14:textId="77777777" w:rsidR="00507887" w:rsidRPr="00507887" w:rsidRDefault="00507887" w:rsidP="00507887">
            <w:r w:rsidRPr="00507887">
              <w:t>Хриптене</w:t>
            </w:r>
            <w:r w:rsidRPr="00507887">
              <w:rPr>
                <w:vertAlign w:val="superscript"/>
              </w:rPr>
              <w:t>1</w:t>
            </w:r>
          </w:p>
          <w:p w14:paraId="23E81FDC" w14:textId="77777777" w:rsidR="00507887" w:rsidRPr="00507887" w:rsidRDefault="00507887" w:rsidP="00507887">
            <w:r w:rsidRPr="00507887">
              <w:t>Дихателна депресия</w:t>
            </w:r>
            <w:r w:rsidRPr="00507887">
              <w:rPr>
                <w:vertAlign w:val="superscript"/>
              </w:rPr>
              <w:t>2</w:t>
            </w:r>
          </w:p>
          <w:p w14:paraId="4EB68DA3" w14:textId="1B1B0FAB" w:rsidR="00507887" w:rsidRPr="00507887" w:rsidRDefault="00507887" w:rsidP="00507887">
            <w:pPr>
              <w:rPr>
                <w:rFonts w:cs="Arial"/>
              </w:rPr>
            </w:pPr>
            <w:r w:rsidRPr="00507887">
              <w:t>Ларингоспазъм</w:t>
            </w:r>
            <w:r w:rsidRPr="00507887">
              <w:rPr>
                <w:vertAlign w:val="superscript"/>
              </w:rPr>
              <w:t>2</w:t>
            </w:r>
          </w:p>
        </w:tc>
      </w:tr>
      <w:tr w:rsidR="00507887" w14:paraId="087E1A6B" w14:textId="77777777" w:rsidTr="00507887">
        <w:tc>
          <w:tcPr>
            <w:tcW w:w="3166" w:type="dxa"/>
          </w:tcPr>
          <w:p w14:paraId="460770F7" w14:textId="7834D74E" w:rsidR="00507887" w:rsidRPr="00507887" w:rsidRDefault="00507887" w:rsidP="00507887">
            <w:pPr>
              <w:rPr>
                <w:rFonts w:cs="Arial"/>
              </w:rPr>
            </w:pPr>
            <w:r w:rsidRPr="00507887">
              <w:t>Стомашно-чревни нарушения</w:t>
            </w:r>
          </w:p>
        </w:tc>
        <w:tc>
          <w:tcPr>
            <w:tcW w:w="3167" w:type="dxa"/>
          </w:tcPr>
          <w:p w14:paraId="2E68CA3D" w14:textId="77777777" w:rsidR="00507887" w:rsidRDefault="00507887" w:rsidP="00507887">
            <w:r w:rsidRPr="00507887">
              <w:t xml:space="preserve">Неизвестна </w:t>
            </w:r>
          </w:p>
          <w:p w14:paraId="36F90AC3" w14:textId="77777777" w:rsidR="00507887" w:rsidRDefault="00507887" w:rsidP="00507887">
            <w:r w:rsidRPr="00507887">
              <w:t xml:space="preserve">Неизвестна </w:t>
            </w:r>
          </w:p>
          <w:p w14:paraId="2685931E" w14:textId="05235178" w:rsidR="00507887" w:rsidRPr="00507887" w:rsidRDefault="00507887" w:rsidP="00507887">
            <w:pPr>
              <w:rPr>
                <w:rFonts w:cs="Arial"/>
              </w:rPr>
            </w:pPr>
            <w:r w:rsidRPr="00507887">
              <w:t>Неизвестна</w:t>
            </w:r>
          </w:p>
        </w:tc>
        <w:tc>
          <w:tcPr>
            <w:tcW w:w="3167" w:type="dxa"/>
          </w:tcPr>
          <w:p w14:paraId="0F3D7737" w14:textId="77777777" w:rsidR="00507887" w:rsidRDefault="00507887" w:rsidP="00507887">
            <w:r w:rsidRPr="00507887">
              <w:t xml:space="preserve">Илеус </w:t>
            </w:r>
          </w:p>
          <w:p w14:paraId="2D4185D3" w14:textId="77777777" w:rsidR="00507887" w:rsidRDefault="00507887" w:rsidP="00507887">
            <w:r w:rsidRPr="00507887">
              <w:t xml:space="preserve">Повръщане </w:t>
            </w:r>
          </w:p>
          <w:p w14:paraId="6D69A223" w14:textId="44132364" w:rsidR="00507887" w:rsidRPr="00507887" w:rsidRDefault="00507887" w:rsidP="00507887">
            <w:pPr>
              <w:rPr>
                <w:rFonts w:cs="Arial"/>
              </w:rPr>
            </w:pPr>
            <w:r w:rsidRPr="00507887">
              <w:t>Гадене</w:t>
            </w:r>
          </w:p>
        </w:tc>
      </w:tr>
      <w:tr w:rsidR="00507887" w14:paraId="6E0A5722" w14:textId="77777777" w:rsidTr="00507887">
        <w:tc>
          <w:tcPr>
            <w:tcW w:w="3166" w:type="dxa"/>
          </w:tcPr>
          <w:p w14:paraId="68C83E87" w14:textId="25F461AE" w:rsidR="00507887" w:rsidRPr="00507887" w:rsidRDefault="00507887" w:rsidP="00507887">
            <w:pPr>
              <w:rPr>
                <w:rFonts w:cs="Arial"/>
              </w:rPr>
            </w:pPr>
            <w:r w:rsidRPr="00507887">
              <w:t>Хепатобилиарни нарушения</w:t>
            </w:r>
          </w:p>
        </w:tc>
        <w:tc>
          <w:tcPr>
            <w:tcW w:w="3167" w:type="dxa"/>
          </w:tcPr>
          <w:p w14:paraId="33095444" w14:textId="77777777" w:rsidR="00507887" w:rsidRDefault="00507887" w:rsidP="00507887">
            <w:r w:rsidRPr="00507887">
              <w:t xml:space="preserve">Неизвестна </w:t>
            </w:r>
          </w:p>
          <w:p w14:paraId="2B5405C9" w14:textId="0B1EAE17" w:rsidR="00507887" w:rsidRPr="00507887" w:rsidRDefault="00507887" w:rsidP="00507887">
            <w:r w:rsidRPr="00507887">
              <w:t>Неизвестна</w:t>
            </w:r>
          </w:p>
          <w:p w14:paraId="6513C211" w14:textId="516EC4FD" w:rsidR="00507887" w:rsidRPr="00507887" w:rsidRDefault="00507887" w:rsidP="00507887">
            <w:pPr>
              <w:rPr>
                <w:rFonts w:cs="Arial"/>
              </w:rPr>
            </w:pPr>
            <w:r w:rsidRPr="00507887">
              <w:t>Неизвестна</w:t>
            </w:r>
          </w:p>
        </w:tc>
        <w:tc>
          <w:tcPr>
            <w:tcW w:w="3167" w:type="dxa"/>
          </w:tcPr>
          <w:p w14:paraId="2187F701" w14:textId="77777777" w:rsidR="00507887" w:rsidRPr="00507887" w:rsidRDefault="00507887" w:rsidP="00507887">
            <w:r w:rsidRPr="00507887">
              <w:t>Чернодробна некроза</w:t>
            </w:r>
            <w:r w:rsidRPr="00507887">
              <w:rPr>
                <w:vertAlign w:val="superscript"/>
              </w:rPr>
              <w:t>2</w:t>
            </w:r>
          </w:p>
          <w:p w14:paraId="781B93B6" w14:textId="77777777" w:rsidR="00507887" w:rsidRPr="00507887" w:rsidRDefault="00507887" w:rsidP="00507887">
            <w:r w:rsidRPr="00507887">
              <w:t>Увреждане на чернодробните клетки</w:t>
            </w:r>
            <w:r w:rsidRPr="00507887">
              <w:rPr>
                <w:vertAlign w:val="superscript"/>
              </w:rPr>
              <w:t>2</w:t>
            </w:r>
          </w:p>
          <w:p w14:paraId="4208FE23" w14:textId="54FEAFB7" w:rsidR="00507887" w:rsidRPr="00507887" w:rsidRDefault="00507887" w:rsidP="00507887">
            <w:pPr>
              <w:rPr>
                <w:rFonts w:cs="Arial"/>
              </w:rPr>
            </w:pPr>
            <w:r w:rsidRPr="00507887">
              <w:t>Повишение на кръвния билирубин</w:t>
            </w:r>
          </w:p>
        </w:tc>
      </w:tr>
      <w:tr w:rsidR="00507887" w14:paraId="69A9C2FC" w14:textId="77777777" w:rsidTr="00507887">
        <w:tc>
          <w:tcPr>
            <w:tcW w:w="3166" w:type="dxa"/>
          </w:tcPr>
          <w:p w14:paraId="1DBDAC10" w14:textId="49A7F066" w:rsidR="00507887" w:rsidRPr="00507887" w:rsidRDefault="00507887" w:rsidP="00507887">
            <w:pPr>
              <w:rPr>
                <w:rFonts w:cs="Arial"/>
              </w:rPr>
            </w:pPr>
            <w:r w:rsidRPr="00507887">
              <w:t>Нарушения на кожата и подкожната тъкан</w:t>
            </w:r>
          </w:p>
        </w:tc>
        <w:tc>
          <w:tcPr>
            <w:tcW w:w="3167" w:type="dxa"/>
          </w:tcPr>
          <w:p w14:paraId="7C1D2127" w14:textId="77777777" w:rsidR="00507887" w:rsidRDefault="00507887" w:rsidP="00507887">
            <w:r w:rsidRPr="00507887">
              <w:t xml:space="preserve">Неизвестна </w:t>
            </w:r>
          </w:p>
          <w:p w14:paraId="4E960266" w14:textId="77777777" w:rsidR="00507887" w:rsidRDefault="00507887" w:rsidP="00507887">
            <w:r w:rsidRPr="00507887">
              <w:t xml:space="preserve">Неизвестна </w:t>
            </w:r>
          </w:p>
          <w:p w14:paraId="107EAD45" w14:textId="048DCA49" w:rsidR="00507887" w:rsidRPr="00507887" w:rsidRDefault="00507887" w:rsidP="00507887">
            <w:pPr>
              <w:rPr>
                <w:rFonts w:cs="Arial"/>
              </w:rPr>
            </w:pPr>
            <w:r w:rsidRPr="00507887">
              <w:t>Неизвестна</w:t>
            </w:r>
          </w:p>
        </w:tc>
        <w:tc>
          <w:tcPr>
            <w:tcW w:w="3167" w:type="dxa"/>
          </w:tcPr>
          <w:p w14:paraId="1D1B9E3A" w14:textId="77777777" w:rsidR="00507887" w:rsidRDefault="00507887" w:rsidP="00507887">
            <w:pPr>
              <w:rPr>
                <w:vertAlign w:val="superscript"/>
              </w:rPr>
            </w:pPr>
            <w:r w:rsidRPr="00507887">
              <w:t>Оток на лицето</w:t>
            </w:r>
            <w:r w:rsidRPr="00507887">
              <w:rPr>
                <w:vertAlign w:val="superscript"/>
              </w:rPr>
              <w:t xml:space="preserve">1 </w:t>
            </w:r>
          </w:p>
          <w:p w14:paraId="3E92D45A" w14:textId="77777777" w:rsidR="00507887" w:rsidRDefault="00507887" w:rsidP="00507887">
            <w:pPr>
              <w:rPr>
                <w:vertAlign w:val="superscript"/>
              </w:rPr>
            </w:pPr>
            <w:r w:rsidRPr="00507887">
              <w:t>Контактен дерматит</w:t>
            </w:r>
            <w:r w:rsidRPr="00507887">
              <w:rPr>
                <w:vertAlign w:val="superscript"/>
              </w:rPr>
              <w:t xml:space="preserve">1 </w:t>
            </w:r>
          </w:p>
          <w:p w14:paraId="66C9E02B" w14:textId="4791C72D" w:rsidR="00507887" w:rsidRPr="00507887" w:rsidRDefault="00507887" w:rsidP="00507887">
            <w:pPr>
              <w:rPr>
                <w:rFonts w:cs="Arial"/>
              </w:rPr>
            </w:pPr>
            <w:r w:rsidRPr="00507887">
              <w:t>Обрив</w:t>
            </w:r>
            <w:r w:rsidRPr="00507887">
              <w:rPr>
                <w:vertAlign w:val="superscript"/>
              </w:rPr>
              <w:t>1</w:t>
            </w:r>
          </w:p>
        </w:tc>
      </w:tr>
      <w:tr w:rsidR="00507887" w14:paraId="02DDEDE7" w14:textId="77777777" w:rsidTr="00507887">
        <w:tc>
          <w:tcPr>
            <w:tcW w:w="3166" w:type="dxa"/>
          </w:tcPr>
          <w:p w14:paraId="30AA36EF" w14:textId="56A308A7" w:rsidR="00507887" w:rsidRPr="00507887" w:rsidRDefault="00507887" w:rsidP="00507887">
            <w:pPr>
              <w:rPr>
                <w:rFonts w:cs="Arial"/>
              </w:rPr>
            </w:pPr>
            <w:r w:rsidRPr="00507887">
              <w:t>Наруешения на бъбреците и пикочните пътища</w:t>
            </w:r>
          </w:p>
        </w:tc>
        <w:tc>
          <w:tcPr>
            <w:tcW w:w="3167" w:type="dxa"/>
          </w:tcPr>
          <w:p w14:paraId="478FD64B" w14:textId="77777777" w:rsidR="00507887" w:rsidRPr="00507887" w:rsidRDefault="00507887" w:rsidP="00507887">
            <w:r w:rsidRPr="00507887">
              <w:t>Неизвестна</w:t>
            </w:r>
          </w:p>
          <w:p w14:paraId="0D0A2C32" w14:textId="741CE890" w:rsidR="00507887" w:rsidRPr="00507887" w:rsidRDefault="00507887" w:rsidP="00507887">
            <w:pPr>
              <w:rPr>
                <w:rFonts w:cs="Arial"/>
              </w:rPr>
            </w:pPr>
            <w:r w:rsidRPr="00507887">
              <w:t>Неизвестна</w:t>
            </w:r>
          </w:p>
        </w:tc>
        <w:tc>
          <w:tcPr>
            <w:tcW w:w="3167" w:type="dxa"/>
          </w:tcPr>
          <w:p w14:paraId="36A5995A" w14:textId="77777777" w:rsidR="00507887" w:rsidRDefault="00507887" w:rsidP="00507887">
            <w:r w:rsidRPr="00507887">
              <w:t xml:space="preserve">Повишение на кръвния креатинин </w:t>
            </w:r>
          </w:p>
          <w:p w14:paraId="5A4E2492" w14:textId="45B7C8F8" w:rsidR="00507887" w:rsidRPr="00507887" w:rsidRDefault="00507887" w:rsidP="00507887">
            <w:pPr>
              <w:rPr>
                <w:rFonts w:cs="Arial"/>
              </w:rPr>
            </w:pPr>
            <w:r w:rsidRPr="00507887">
              <w:t>Повишение на кръвната урея</w:t>
            </w:r>
          </w:p>
        </w:tc>
      </w:tr>
      <w:tr w:rsidR="00507887" w14:paraId="55D57E86" w14:textId="77777777" w:rsidTr="00507887">
        <w:tc>
          <w:tcPr>
            <w:tcW w:w="3166" w:type="dxa"/>
          </w:tcPr>
          <w:p w14:paraId="16FC69DF" w14:textId="32B6A4DF" w:rsidR="00507887" w:rsidRPr="00507887" w:rsidRDefault="00507887" w:rsidP="00507887">
            <w:pPr>
              <w:rPr>
                <w:rFonts w:cs="Arial"/>
              </w:rPr>
            </w:pPr>
            <w:r w:rsidRPr="00507887">
              <w:t>Общи нарушения и ефекти на мястото на приложение</w:t>
            </w:r>
          </w:p>
        </w:tc>
        <w:tc>
          <w:tcPr>
            <w:tcW w:w="3167" w:type="dxa"/>
          </w:tcPr>
          <w:p w14:paraId="1319AA57" w14:textId="77777777" w:rsidR="00507887" w:rsidRDefault="00507887" w:rsidP="00507887">
            <w:r w:rsidRPr="00507887">
              <w:t xml:space="preserve">Неизвестна </w:t>
            </w:r>
          </w:p>
          <w:p w14:paraId="7E3C16EF" w14:textId="77777777" w:rsidR="00507887" w:rsidRDefault="00507887" w:rsidP="00507887">
            <w:r w:rsidRPr="00507887">
              <w:t xml:space="preserve">Неизвестна </w:t>
            </w:r>
          </w:p>
          <w:p w14:paraId="6C765745" w14:textId="7812A475" w:rsidR="00507887" w:rsidRPr="00507887" w:rsidRDefault="00507887" w:rsidP="00507887">
            <w:pPr>
              <w:rPr>
                <w:rFonts w:cs="Arial"/>
              </w:rPr>
            </w:pPr>
            <w:r w:rsidRPr="00507887">
              <w:t>Неизвестна</w:t>
            </w:r>
          </w:p>
        </w:tc>
        <w:tc>
          <w:tcPr>
            <w:tcW w:w="3167" w:type="dxa"/>
          </w:tcPr>
          <w:p w14:paraId="2BF269A5" w14:textId="77777777" w:rsidR="00507887" w:rsidRDefault="00507887" w:rsidP="00507887">
            <w:pPr>
              <w:rPr>
                <w:vertAlign w:val="superscript"/>
              </w:rPr>
            </w:pPr>
            <w:r w:rsidRPr="00507887">
              <w:t>Злокачествена хипертермия</w:t>
            </w:r>
            <w:r w:rsidRPr="00507887">
              <w:rPr>
                <w:vertAlign w:val="superscript"/>
              </w:rPr>
              <w:t xml:space="preserve">2 </w:t>
            </w:r>
          </w:p>
          <w:p w14:paraId="12FED8F2" w14:textId="09F8E193" w:rsidR="00507887" w:rsidRPr="00507887" w:rsidRDefault="00507887" w:rsidP="00507887">
            <w:pPr>
              <w:rPr>
                <w:rFonts w:cs="Arial"/>
              </w:rPr>
            </w:pPr>
            <w:r w:rsidRPr="00507887">
              <w:t>Гръден дискомфорт</w:t>
            </w:r>
            <w:r w:rsidRPr="00507887">
              <w:rPr>
                <w:vertAlign w:val="superscript"/>
              </w:rPr>
              <w:t xml:space="preserve">1 </w:t>
            </w:r>
            <w:r w:rsidRPr="00507887">
              <w:t>Втрисане</w:t>
            </w:r>
          </w:p>
        </w:tc>
      </w:tr>
      <w:tr w:rsidR="00507887" w14:paraId="4CD24BBF" w14:textId="77777777" w:rsidTr="00507887">
        <w:tc>
          <w:tcPr>
            <w:tcW w:w="3166" w:type="dxa"/>
            <w:vMerge w:val="restart"/>
          </w:tcPr>
          <w:p w14:paraId="7A63C6DF" w14:textId="6E848BD4" w:rsidR="00507887" w:rsidRPr="00507887" w:rsidRDefault="00507887" w:rsidP="00507887">
            <w:pPr>
              <w:rPr>
                <w:rFonts w:cs="Arial"/>
              </w:rPr>
            </w:pPr>
            <w:r w:rsidRPr="00507887">
              <w:t>Изследвания</w:t>
            </w:r>
          </w:p>
        </w:tc>
        <w:tc>
          <w:tcPr>
            <w:tcW w:w="3167" w:type="dxa"/>
            <w:vMerge w:val="restart"/>
          </w:tcPr>
          <w:p w14:paraId="6DF54677" w14:textId="77777777" w:rsidR="00507887" w:rsidRPr="00507887" w:rsidRDefault="00507887" w:rsidP="00507887">
            <w:r w:rsidRPr="00507887">
              <w:t>Неизвестна</w:t>
            </w:r>
          </w:p>
          <w:p w14:paraId="759D2635" w14:textId="77777777" w:rsidR="00507887" w:rsidRPr="00507887" w:rsidRDefault="00507887" w:rsidP="00507887">
            <w:r w:rsidRPr="00507887">
              <w:t>Неизвестна</w:t>
            </w:r>
          </w:p>
          <w:p w14:paraId="6DA20EEA" w14:textId="77777777" w:rsidR="00507887" w:rsidRDefault="00507887" w:rsidP="00507887">
            <w:r w:rsidRPr="00507887">
              <w:t xml:space="preserve">Неизвестна </w:t>
            </w:r>
          </w:p>
          <w:p w14:paraId="28CFBD83" w14:textId="329A89B7" w:rsidR="00507887" w:rsidRPr="00507887" w:rsidRDefault="00507887" w:rsidP="00507887">
            <w:r w:rsidRPr="00507887">
              <w:t>Неизвестна</w:t>
            </w:r>
          </w:p>
          <w:p w14:paraId="44A6009D" w14:textId="77777777" w:rsidR="00507887" w:rsidRPr="00507887" w:rsidRDefault="00507887" w:rsidP="00507887">
            <w:r w:rsidRPr="00507887">
              <w:t>Неизвестна</w:t>
            </w:r>
          </w:p>
          <w:p w14:paraId="2F725F74" w14:textId="77777777" w:rsidR="00507887" w:rsidRPr="00507887" w:rsidRDefault="00507887" w:rsidP="00507887">
            <w:r w:rsidRPr="00507887">
              <w:t>Неизвестна</w:t>
            </w:r>
          </w:p>
          <w:p w14:paraId="60D1644D" w14:textId="51C4A581" w:rsidR="00507887" w:rsidRPr="00507887" w:rsidRDefault="00507887" w:rsidP="00507887">
            <w:pPr>
              <w:rPr>
                <w:rFonts w:cs="Arial"/>
              </w:rPr>
            </w:pPr>
            <w:r w:rsidRPr="00507887">
              <w:t>Неизвестна</w:t>
            </w:r>
          </w:p>
        </w:tc>
        <w:tc>
          <w:tcPr>
            <w:tcW w:w="3167" w:type="dxa"/>
          </w:tcPr>
          <w:p w14:paraId="5C01D196" w14:textId="000E20D5" w:rsidR="00507887" w:rsidRPr="00507887" w:rsidRDefault="00507887" w:rsidP="00507887">
            <w:pPr>
              <w:rPr>
                <w:rFonts w:cs="Arial"/>
              </w:rPr>
            </w:pPr>
            <w:r w:rsidRPr="00507887">
              <w:t>Повишение на броя на белите кръвни клетки*</w:t>
            </w:r>
          </w:p>
        </w:tc>
      </w:tr>
      <w:tr w:rsidR="00507887" w14:paraId="56B9C862" w14:textId="77777777" w:rsidTr="00507887">
        <w:tc>
          <w:tcPr>
            <w:tcW w:w="3166" w:type="dxa"/>
            <w:vMerge/>
          </w:tcPr>
          <w:p w14:paraId="3AB0B993" w14:textId="77777777" w:rsidR="00507887" w:rsidRPr="00507887" w:rsidRDefault="00507887" w:rsidP="00507887">
            <w:pPr>
              <w:rPr>
                <w:rFonts w:cs="Arial"/>
              </w:rPr>
            </w:pPr>
          </w:p>
        </w:tc>
        <w:tc>
          <w:tcPr>
            <w:tcW w:w="3167" w:type="dxa"/>
            <w:vMerge/>
          </w:tcPr>
          <w:p w14:paraId="28CC186B" w14:textId="77777777" w:rsidR="00507887" w:rsidRPr="00507887" w:rsidRDefault="00507887" w:rsidP="00507887">
            <w:pPr>
              <w:rPr>
                <w:rFonts w:cs="Arial"/>
              </w:rPr>
            </w:pPr>
          </w:p>
        </w:tc>
        <w:tc>
          <w:tcPr>
            <w:tcW w:w="3167" w:type="dxa"/>
          </w:tcPr>
          <w:p w14:paraId="390E2C20" w14:textId="77777777" w:rsidR="00507887" w:rsidRPr="00507887" w:rsidRDefault="00507887" w:rsidP="00507887">
            <w:r w:rsidRPr="00507887">
              <w:t>Повишение на чернодробните ензими</w:t>
            </w:r>
            <w:r w:rsidRPr="00507887">
              <w:rPr>
                <w:vertAlign w:val="superscript"/>
              </w:rPr>
              <w:t>2</w:t>
            </w:r>
          </w:p>
          <w:p w14:paraId="6FBF8990" w14:textId="77777777" w:rsidR="00507887" w:rsidRPr="00507887" w:rsidRDefault="00507887" w:rsidP="00507887">
            <w:r w:rsidRPr="00507887">
              <w:t>Повишение на флуорида</w:t>
            </w:r>
            <w:r w:rsidRPr="00507887">
              <w:rPr>
                <w:vertAlign w:val="superscript"/>
              </w:rPr>
              <w:t>1</w:t>
            </w:r>
          </w:p>
          <w:p w14:paraId="220D3ACC" w14:textId="77777777" w:rsidR="00507887" w:rsidRPr="00507887" w:rsidRDefault="00507887" w:rsidP="00507887">
            <w:r w:rsidRPr="00507887">
              <w:t>Абнормна електроенцефалограма</w:t>
            </w:r>
          </w:p>
          <w:p w14:paraId="4CC0B0EE" w14:textId="77777777" w:rsidR="0047427D" w:rsidRDefault="00507887" w:rsidP="00507887">
            <w:r w:rsidRPr="00507887">
              <w:t xml:space="preserve">Понижение на кръвния холестерол </w:t>
            </w:r>
          </w:p>
          <w:p w14:paraId="709563B9" w14:textId="08CA1CD4" w:rsidR="00507887" w:rsidRPr="00507887" w:rsidRDefault="00507887" w:rsidP="00507887">
            <w:r w:rsidRPr="00507887">
              <w:t>Понижение на кръвната алкална фосфатаза</w:t>
            </w:r>
          </w:p>
          <w:p w14:paraId="38D17672" w14:textId="2E1F9237" w:rsidR="00507887" w:rsidRPr="00507887" w:rsidRDefault="00507887" w:rsidP="00507887">
            <w:pPr>
              <w:rPr>
                <w:rFonts w:cs="Arial"/>
              </w:rPr>
            </w:pPr>
            <w:r w:rsidRPr="00507887">
              <w:t>Повишена креатин фосфокиназа в кръвта</w:t>
            </w:r>
          </w:p>
        </w:tc>
      </w:tr>
      <w:tr w:rsidR="00507887" w14:paraId="0BB01A8D" w14:textId="77777777" w:rsidTr="00507887">
        <w:tc>
          <w:tcPr>
            <w:tcW w:w="3166" w:type="dxa"/>
          </w:tcPr>
          <w:p w14:paraId="28C3DC48" w14:textId="0C3911F0" w:rsidR="00507887" w:rsidRPr="00507887" w:rsidRDefault="00507887" w:rsidP="00507887">
            <w:pPr>
              <w:rPr>
                <w:rFonts w:cs="Arial"/>
              </w:rPr>
            </w:pPr>
            <w:r w:rsidRPr="00507887">
              <w:t xml:space="preserve">Нарушения на мускулно- </w:t>
            </w:r>
            <w:r w:rsidRPr="00507887">
              <w:lastRenderedPageBreak/>
              <w:t>скелетната система и съединителната тъкан</w:t>
            </w:r>
          </w:p>
        </w:tc>
        <w:tc>
          <w:tcPr>
            <w:tcW w:w="3167" w:type="dxa"/>
          </w:tcPr>
          <w:p w14:paraId="7CE68414" w14:textId="0471E262" w:rsidR="00507887" w:rsidRPr="00507887" w:rsidRDefault="00507887" w:rsidP="00507887">
            <w:pPr>
              <w:rPr>
                <w:rFonts w:cs="Arial"/>
              </w:rPr>
            </w:pPr>
            <w:r w:rsidRPr="00507887">
              <w:lastRenderedPageBreak/>
              <w:t>Неизвестна Неизвестна</w:t>
            </w:r>
          </w:p>
        </w:tc>
        <w:tc>
          <w:tcPr>
            <w:tcW w:w="3167" w:type="dxa"/>
          </w:tcPr>
          <w:p w14:paraId="3265EFDF" w14:textId="200673F0" w:rsidR="00507887" w:rsidRPr="00507887" w:rsidRDefault="00507887" w:rsidP="00507887">
            <w:pPr>
              <w:rPr>
                <w:rFonts w:cs="Arial"/>
              </w:rPr>
            </w:pPr>
            <w:r w:rsidRPr="00507887">
              <w:t xml:space="preserve">Миоглобинурия </w:t>
            </w:r>
            <w:r w:rsidRPr="00507887">
              <w:lastRenderedPageBreak/>
              <w:t>Рабдомиолиза</w:t>
            </w:r>
          </w:p>
        </w:tc>
      </w:tr>
    </w:tbl>
    <w:p w14:paraId="569CB24F"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vertAlign w:val="superscript"/>
          <w:lang w:eastAsia="bg-BG"/>
        </w:rPr>
        <w:lastRenderedPageBreak/>
        <w:t>1</w:t>
      </w:r>
      <w:r w:rsidRPr="0047427D">
        <w:rPr>
          <w:rFonts w:eastAsia="Times New Roman" w:cs="Arial"/>
          <w:color w:val="000000"/>
          <w:lang w:eastAsia="bg-BG"/>
        </w:rPr>
        <w:t xml:space="preserve"> Вижте точка 4.8 (в).</w:t>
      </w:r>
    </w:p>
    <w:p w14:paraId="54715FA2"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vertAlign w:val="superscript"/>
          <w:lang w:eastAsia="bg-BG"/>
        </w:rPr>
        <w:t>2</w:t>
      </w:r>
      <w:r w:rsidRPr="0047427D">
        <w:rPr>
          <w:rFonts w:eastAsia="Times New Roman" w:cs="Arial"/>
          <w:color w:val="000000"/>
          <w:lang w:eastAsia="bg-BG"/>
        </w:rPr>
        <w:t xml:space="preserve"> Вижте точка 4.4.</w:t>
      </w:r>
    </w:p>
    <w:p w14:paraId="1C6EA903"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vertAlign w:val="superscript"/>
          <w:lang w:eastAsia="bg-BG"/>
        </w:rPr>
        <w:t>3</w:t>
      </w:r>
      <w:r w:rsidRPr="0047427D">
        <w:rPr>
          <w:rFonts w:eastAsia="Times New Roman" w:cs="Arial"/>
          <w:color w:val="000000"/>
          <w:lang w:eastAsia="bg-BG"/>
        </w:rPr>
        <w:t xml:space="preserve"> При пациенти, подложени на предизвикан аборт. Вижте точка 4.4.</w:t>
      </w:r>
    </w:p>
    <w:p w14:paraId="5C56A5CA"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vertAlign w:val="superscript"/>
          <w:lang w:eastAsia="bg-BG"/>
        </w:rPr>
        <w:t>4</w:t>
      </w:r>
      <w:r w:rsidRPr="0047427D">
        <w:rPr>
          <w:rFonts w:eastAsia="Times New Roman" w:cs="Arial"/>
          <w:color w:val="000000"/>
          <w:lang w:eastAsia="bg-BG"/>
        </w:rPr>
        <w:t xml:space="preserve"> Може да предизвика леко понижение на интелектуалната функция за 2 до 4 дни след анестезията. Вижте точка 4.4.</w:t>
      </w:r>
    </w:p>
    <w:p w14:paraId="03231E16"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vertAlign w:val="superscript"/>
          <w:lang w:eastAsia="bg-BG"/>
        </w:rPr>
        <w:t>5</w:t>
      </w:r>
      <w:r w:rsidRPr="0047427D">
        <w:rPr>
          <w:rFonts w:eastAsia="Times New Roman" w:cs="Arial"/>
          <w:color w:val="000000"/>
          <w:lang w:eastAsia="bg-BG"/>
        </w:rPr>
        <w:t>Леки промени в настроението и симптоми могат да се задържат до около 6 дни. Вижте точка 4.4.</w:t>
      </w:r>
    </w:p>
    <w:p w14:paraId="5664AD49" w14:textId="77777777" w:rsidR="0047427D" w:rsidRPr="0047427D" w:rsidRDefault="0047427D" w:rsidP="0047427D">
      <w:pPr>
        <w:spacing w:line="240" w:lineRule="auto"/>
        <w:rPr>
          <w:rFonts w:eastAsia="Times New Roman" w:cs="Arial"/>
          <w:color w:val="000000"/>
          <w:lang w:eastAsia="bg-BG"/>
        </w:rPr>
      </w:pPr>
    </w:p>
    <w:p w14:paraId="7545F473" w14:textId="128D6B93"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Честотата при определяне на нежеланите лекрствени реакция се основава на следната скала: Много чести (≥1/10); Чести (≥1/100 - &lt;1/10); Нечести (≥1/1000 - &lt;1/100); Редки (≥1/10 000 - &lt;1/1 000); Много редки (&lt;1/10 000);</w:t>
      </w:r>
    </w:p>
    <w:p w14:paraId="2E83B4E9" w14:textId="77777777" w:rsidR="0047427D" w:rsidRPr="0047427D" w:rsidRDefault="0047427D" w:rsidP="0047427D">
      <w:pPr>
        <w:spacing w:line="240" w:lineRule="auto"/>
        <w:rPr>
          <w:rFonts w:eastAsia="Times New Roman" w:cs="Arial"/>
          <w:i/>
          <w:iCs/>
          <w:color w:val="000000"/>
          <w:lang w:eastAsia="bg-BG"/>
        </w:rPr>
      </w:pPr>
    </w:p>
    <w:p w14:paraId="17BFE468" w14:textId="538EF617" w:rsidR="0047427D" w:rsidRPr="0047427D" w:rsidRDefault="0047427D" w:rsidP="0047427D">
      <w:pPr>
        <w:spacing w:line="240" w:lineRule="auto"/>
        <w:rPr>
          <w:rFonts w:eastAsia="Times New Roman" w:cs="Arial"/>
          <w:lang w:eastAsia="bg-BG"/>
        </w:rPr>
      </w:pPr>
      <w:r w:rsidRPr="0047427D">
        <w:rPr>
          <w:rFonts w:eastAsia="Times New Roman" w:cs="Arial"/>
          <w:i/>
          <w:iCs/>
          <w:color w:val="000000"/>
          <w:lang w:eastAsia="bg-BG"/>
        </w:rPr>
        <w:t>в)</w:t>
      </w:r>
      <w:r w:rsidRPr="0047427D">
        <w:rPr>
          <w:rFonts w:eastAsia="Times New Roman" w:cs="Arial"/>
          <w:i/>
          <w:iCs/>
          <w:color w:val="000000"/>
          <w:lang w:eastAsia="bg-BG"/>
        </w:rPr>
        <w:t xml:space="preserve"> </w:t>
      </w:r>
      <w:r w:rsidRPr="0047427D">
        <w:rPr>
          <w:rFonts w:eastAsia="Times New Roman" w:cs="Arial"/>
          <w:i/>
          <w:iCs/>
          <w:color w:val="000000"/>
          <w:lang w:eastAsia="bg-BG"/>
        </w:rPr>
        <w:t>Описание на определени нежелани реакции</w:t>
      </w:r>
    </w:p>
    <w:p w14:paraId="1E7F3E80" w14:textId="77777777" w:rsidR="0047427D" w:rsidRPr="0047427D" w:rsidRDefault="0047427D" w:rsidP="0047427D">
      <w:pPr>
        <w:spacing w:line="240" w:lineRule="auto"/>
        <w:rPr>
          <w:rFonts w:eastAsia="Times New Roman" w:cs="Arial"/>
          <w:color w:val="000000"/>
          <w:lang w:eastAsia="bg-BG"/>
        </w:rPr>
      </w:pPr>
    </w:p>
    <w:p w14:paraId="37AA214E" w14:textId="0FEA3895" w:rsidR="0047427D" w:rsidRDefault="0047427D" w:rsidP="0047427D">
      <w:pPr>
        <w:spacing w:line="240" w:lineRule="auto"/>
        <w:rPr>
          <w:rFonts w:eastAsia="Times New Roman" w:cs="Arial"/>
          <w:color w:val="000000"/>
          <w:lang w:eastAsia="bg-BG"/>
        </w:rPr>
      </w:pPr>
      <w:r w:rsidRPr="0047427D">
        <w:rPr>
          <w:rFonts w:eastAsia="Times New Roman" w:cs="Arial"/>
          <w:color w:val="000000"/>
          <w:lang w:eastAsia="bg-BG"/>
        </w:rPr>
        <w:t>Преходно повишение на броя на белите кръвни клетки е наблюдавано дори при отсъствие на хирургичен стрес.</w:t>
      </w:r>
    </w:p>
    <w:p w14:paraId="27897064" w14:textId="5EA97203" w:rsidR="0047427D" w:rsidRDefault="0047427D" w:rsidP="0047427D">
      <w:pPr>
        <w:spacing w:line="240" w:lineRule="auto"/>
        <w:rPr>
          <w:rFonts w:eastAsia="Times New Roman" w:cs="Arial"/>
          <w:color w:val="000000"/>
          <w:lang w:eastAsia="bg-BG"/>
        </w:rPr>
      </w:pPr>
    </w:p>
    <w:p w14:paraId="36216F31"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Получени са редки съобщения за свръхчувствителност (включително контактен дерматит, обрив, диспнея, хриптене, дискомфорт в областта на гърдите, оток на лицето или анафилактична реакция), особено във връзка с продължително професионално излагане на инхалаторни средства, включително изофлуран. Тези реакции са били потвърдени чрез клинично тестване (напр. провокационен тест с метахолин). Етиологията на анафилактичните реакции, развили се при инхалаторно прилагане на анестетици, обаче е неясна, тъй като има данни, че много от едновременно прилаганите с тях лекарства причиняват такива реакции.</w:t>
      </w:r>
    </w:p>
    <w:p w14:paraId="1D0FF141" w14:textId="77777777" w:rsidR="0047427D" w:rsidRPr="0047427D" w:rsidRDefault="0047427D" w:rsidP="0047427D">
      <w:pPr>
        <w:spacing w:line="240" w:lineRule="auto"/>
        <w:rPr>
          <w:rFonts w:eastAsia="Times New Roman" w:cs="Arial"/>
          <w:color w:val="000000"/>
          <w:lang w:eastAsia="bg-BG"/>
        </w:rPr>
      </w:pPr>
    </w:p>
    <w:p w14:paraId="3BB3864A" w14:textId="0644EB9F"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Минимално повишение на нивата на серумния неорганичен флуорид настъпва по време и след анестезия с изофлуран поради биоразграждането на анестетика. Малко вероятно е наблюдаваните ниски нива на серумния неорганичен флуорид (средно 4,4 μ</w:t>
      </w:r>
      <w:r w:rsidRPr="0047427D">
        <w:rPr>
          <w:rFonts w:eastAsia="Times New Roman" w:cs="Arial"/>
          <w:color w:val="000000"/>
          <w:lang w:val="en-US"/>
        </w:rPr>
        <w:t xml:space="preserve">mol/l </w:t>
      </w:r>
      <w:r w:rsidRPr="0047427D">
        <w:rPr>
          <w:rFonts w:eastAsia="Times New Roman" w:cs="Arial"/>
          <w:color w:val="000000"/>
          <w:lang w:eastAsia="bg-BG"/>
        </w:rPr>
        <w:t>в едно проучване) да причинят бъбречна токсичност, тъй като те са доста под предположенията за прагови нива за такава токсичност.</w:t>
      </w:r>
    </w:p>
    <w:p w14:paraId="58757099" w14:textId="77777777" w:rsidR="0047427D" w:rsidRPr="0047427D" w:rsidRDefault="0047427D" w:rsidP="0047427D">
      <w:pPr>
        <w:spacing w:line="240" w:lineRule="auto"/>
        <w:rPr>
          <w:rFonts w:eastAsia="Times New Roman" w:cs="Arial"/>
          <w:i/>
          <w:iCs/>
          <w:color w:val="000000"/>
          <w:lang w:eastAsia="bg-BG"/>
        </w:rPr>
      </w:pPr>
    </w:p>
    <w:p w14:paraId="71339667" w14:textId="2F3D29B2" w:rsidR="0047427D" w:rsidRPr="0047427D" w:rsidRDefault="0047427D" w:rsidP="0047427D">
      <w:pPr>
        <w:spacing w:line="240" w:lineRule="auto"/>
        <w:rPr>
          <w:rFonts w:eastAsia="Times New Roman" w:cs="Arial"/>
          <w:lang w:eastAsia="bg-BG"/>
        </w:rPr>
      </w:pPr>
      <w:r w:rsidRPr="0047427D">
        <w:rPr>
          <w:rFonts w:eastAsia="Times New Roman" w:cs="Arial"/>
          <w:i/>
          <w:iCs/>
          <w:color w:val="000000"/>
          <w:lang w:eastAsia="bg-BG"/>
        </w:rPr>
        <w:t>г)Педиатрична популация</w:t>
      </w:r>
    </w:p>
    <w:p w14:paraId="7F5752B8" w14:textId="77777777" w:rsidR="0047427D" w:rsidRPr="0047427D" w:rsidRDefault="0047427D" w:rsidP="0047427D">
      <w:pPr>
        <w:spacing w:line="240" w:lineRule="auto"/>
        <w:rPr>
          <w:rFonts w:eastAsia="Times New Roman" w:cs="Arial"/>
          <w:color w:val="000000"/>
          <w:lang w:eastAsia="bg-BG"/>
        </w:rPr>
      </w:pPr>
    </w:p>
    <w:p w14:paraId="631DDF3B" w14:textId="2C6D7CBE"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Приложението на инхалаторни анестетици е било свързвано с редки повишения на серумните нива на калий, които са довели до сърдечни аритмии и смърт при педиатрични пациенти по време на следоперативния период (вж. точка 4.4).</w:t>
      </w:r>
    </w:p>
    <w:p w14:paraId="21CB2F1C" w14:textId="77777777" w:rsidR="0047427D" w:rsidRPr="0047427D" w:rsidRDefault="0047427D" w:rsidP="0047427D">
      <w:pPr>
        <w:spacing w:line="240" w:lineRule="auto"/>
        <w:rPr>
          <w:rFonts w:eastAsia="Times New Roman" w:cs="Arial"/>
          <w:color w:val="000000"/>
          <w:lang w:eastAsia="bg-BG"/>
        </w:rPr>
      </w:pPr>
    </w:p>
    <w:p w14:paraId="0C09D758" w14:textId="540D6AE8"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По време на въвеждането в анестезия може да настъпи увеличение на слюнкоотделянето и трахеобронхиалната секреция, както и ларингоспазъм (вж. точка 4.4).</w:t>
      </w:r>
    </w:p>
    <w:p w14:paraId="0E2B625A" w14:textId="77777777" w:rsidR="0047427D" w:rsidRPr="0047427D" w:rsidRDefault="0047427D" w:rsidP="0047427D">
      <w:pPr>
        <w:spacing w:line="240" w:lineRule="auto"/>
        <w:rPr>
          <w:rFonts w:eastAsia="Times New Roman" w:cs="Arial"/>
          <w:i/>
          <w:iCs/>
          <w:color w:val="000000"/>
          <w:lang w:eastAsia="bg-BG"/>
        </w:rPr>
      </w:pPr>
    </w:p>
    <w:p w14:paraId="7096F693" w14:textId="0ADAFD12" w:rsidR="0047427D" w:rsidRPr="0047427D" w:rsidRDefault="0047427D" w:rsidP="0047427D">
      <w:pPr>
        <w:spacing w:line="240" w:lineRule="auto"/>
        <w:rPr>
          <w:rFonts w:eastAsia="Times New Roman" w:cs="Arial"/>
          <w:lang w:eastAsia="bg-BG"/>
        </w:rPr>
      </w:pPr>
      <w:r w:rsidRPr="0047427D">
        <w:rPr>
          <w:rFonts w:eastAsia="Times New Roman" w:cs="Arial"/>
          <w:i/>
          <w:iCs/>
          <w:color w:val="000000"/>
          <w:lang w:eastAsia="bg-BG"/>
        </w:rPr>
        <w:t>д)</w:t>
      </w:r>
      <w:r w:rsidRPr="0047427D">
        <w:rPr>
          <w:rFonts w:eastAsia="Times New Roman" w:cs="Arial"/>
          <w:i/>
          <w:iCs/>
          <w:color w:val="000000"/>
          <w:lang w:val="en-US"/>
        </w:rPr>
        <w:t xml:space="preserve"> </w:t>
      </w:r>
      <w:r w:rsidRPr="0047427D">
        <w:rPr>
          <w:rFonts w:eastAsia="Times New Roman" w:cs="Arial"/>
          <w:i/>
          <w:iCs/>
          <w:color w:val="000000"/>
          <w:lang w:eastAsia="bg-BG"/>
        </w:rPr>
        <w:t>Други специфични популации</w:t>
      </w:r>
    </w:p>
    <w:p w14:paraId="1A1E42CF" w14:textId="77777777" w:rsidR="0047427D" w:rsidRPr="0047427D" w:rsidRDefault="0047427D" w:rsidP="0047427D">
      <w:pPr>
        <w:spacing w:line="240" w:lineRule="auto"/>
        <w:rPr>
          <w:rFonts w:eastAsia="Times New Roman" w:cs="Arial"/>
          <w:color w:val="000000"/>
          <w:lang w:eastAsia="bg-BG"/>
        </w:rPr>
      </w:pPr>
    </w:p>
    <w:p w14:paraId="6A7E5AAA" w14:textId="3168BCC3"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Невромускулнн заболявания:</w:t>
      </w:r>
    </w:p>
    <w:p w14:paraId="0C690FF1"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Използването на инхалаторни анестетици е било свързано с редки повишения на серумните нива на калий, които са довели до сърдечни аритмии и смърт при педиатрични пациенти по време на следоперативния период. Пациенти с латентно, както и с невромускулно заболяване, и особено с прогресивна мускулна дистрофия (болест на Дюшен), изглежда са най-уязвими (вж. точка 4.4).</w:t>
      </w:r>
    </w:p>
    <w:p w14:paraId="0F137A2B" w14:textId="77777777" w:rsidR="0047427D" w:rsidRPr="0047427D" w:rsidRDefault="0047427D" w:rsidP="0047427D">
      <w:pPr>
        <w:spacing w:line="240" w:lineRule="auto"/>
        <w:rPr>
          <w:rFonts w:eastAsia="Times New Roman" w:cs="Arial"/>
          <w:color w:val="000000"/>
          <w:lang w:eastAsia="bg-BG"/>
        </w:rPr>
      </w:pPr>
    </w:p>
    <w:p w14:paraId="35953E68" w14:textId="15F5BAFF"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Пациенти в напреднала възраст:</w:t>
      </w:r>
    </w:p>
    <w:p w14:paraId="3987FBEA"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По-ниски концентрации на изофлуран се изискват за поддържане на хирургична анестезия при пациенти в напреднала възраст (вж. точка 4.2).</w:t>
      </w:r>
    </w:p>
    <w:p w14:paraId="063EA77D" w14:textId="77777777" w:rsidR="0047427D" w:rsidRPr="0047427D" w:rsidRDefault="0047427D" w:rsidP="0047427D">
      <w:pPr>
        <w:spacing w:line="240" w:lineRule="auto"/>
        <w:rPr>
          <w:rFonts w:eastAsia="Times New Roman" w:cs="Arial"/>
          <w:color w:val="000000"/>
          <w:u w:val="single"/>
          <w:lang w:eastAsia="bg-BG"/>
        </w:rPr>
      </w:pPr>
    </w:p>
    <w:p w14:paraId="30D81B92" w14:textId="79427991" w:rsidR="0047427D" w:rsidRPr="0047427D" w:rsidRDefault="0047427D" w:rsidP="0047427D">
      <w:pPr>
        <w:spacing w:line="240" w:lineRule="auto"/>
        <w:rPr>
          <w:rFonts w:eastAsia="Times New Roman" w:cs="Arial"/>
          <w:lang w:eastAsia="bg-BG"/>
        </w:rPr>
      </w:pPr>
      <w:r w:rsidRPr="0047427D">
        <w:rPr>
          <w:rFonts w:eastAsia="Times New Roman" w:cs="Arial"/>
          <w:color w:val="000000"/>
          <w:u w:val="single"/>
          <w:lang w:eastAsia="bg-BG"/>
        </w:rPr>
        <w:t>Съобщаване на подозирани нежелани реакции</w:t>
      </w:r>
    </w:p>
    <w:p w14:paraId="6DA68887" w14:textId="77777777" w:rsidR="0047427D" w:rsidRPr="0047427D" w:rsidRDefault="0047427D" w:rsidP="0047427D">
      <w:pPr>
        <w:spacing w:line="240" w:lineRule="auto"/>
        <w:rPr>
          <w:rFonts w:eastAsia="Times New Roman" w:cs="Arial"/>
          <w:lang w:eastAsia="bg-BG"/>
        </w:rPr>
      </w:pPr>
      <w:r w:rsidRPr="0047427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 Изпълнителна агенция по лекарствата, ул. ,Дамян Груев“ № 8, 1303 София, тел.: +35928903417, уебсайт: </w:t>
      </w:r>
      <w:r w:rsidRPr="0047427D">
        <w:rPr>
          <w:rFonts w:eastAsia="Times New Roman" w:cs="Arial"/>
          <w:lang w:eastAsia="bg-BG"/>
        </w:rPr>
        <w:fldChar w:fldCharType="begin"/>
      </w:r>
      <w:r w:rsidRPr="0047427D">
        <w:rPr>
          <w:rFonts w:eastAsia="Times New Roman" w:cs="Arial"/>
          <w:lang w:eastAsia="bg-BG"/>
        </w:rPr>
        <w:instrText xml:space="preserve"> HYPERLINK "http://www.bda.bg" </w:instrText>
      </w:r>
      <w:r w:rsidRPr="0047427D">
        <w:rPr>
          <w:rFonts w:eastAsia="Times New Roman" w:cs="Arial"/>
          <w:lang w:eastAsia="bg-BG"/>
        </w:rPr>
      </w:r>
      <w:r w:rsidRPr="0047427D">
        <w:rPr>
          <w:rFonts w:eastAsia="Times New Roman" w:cs="Arial"/>
          <w:lang w:eastAsia="bg-BG"/>
        </w:rPr>
        <w:fldChar w:fldCharType="separate"/>
      </w:r>
      <w:r w:rsidRPr="0047427D">
        <w:rPr>
          <w:rFonts w:eastAsia="Times New Roman" w:cs="Arial"/>
          <w:color w:val="000000"/>
          <w:u w:val="single"/>
          <w:lang w:val="en-US"/>
        </w:rPr>
        <w:t>www.bda.bg</w:t>
      </w:r>
      <w:r w:rsidRPr="0047427D">
        <w:rPr>
          <w:rFonts w:eastAsia="Times New Roman" w:cs="Arial"/>
          <w:lang w:eastAsia="bg-BG"/>
        </w:rPr>
        <w:fldChar w:fldCharType="end"/>
      </w:r>
    </w:p>
    <w:p w14:paraId="4A1C6996" w14:textId="77777777" w:rsidR="00507887" w:rsidRPr="00507887" w:rsidRDefault="00507887" w:rsidP="00507887">
      <w:pPr>
        <w:rPr>
          <w:rFonts w:cs="Arial"/>
          <w:sz w:val="24"/>
          <w:szCs w:val="24"/>
        </w:rPr>
      </w:pPr>
    </w:p>
    <w:p w14:paraId="378A0F20" w14:textId="16BD9A7E" w:rsidR="001D095A" w:rsidRDefault="002C50EE" w:rsidP="00340E8D">
      <w:pPr>
        <w:pStyle w:val="Heading2"/>
      </w:pPr>
      <w:r>
        <w:t>4.9. Предозиране</w:t>
      </w:r>
    </w:p>
    <w:p w14:paraId="02DC8DFA" w14:textId="623F7050" w:rsidR="0047427D" w:rsidRDefault="0047427D" w:rsidP="0047427D"/>
    <w:p w14:paraId="62E88355" w14:textId="77777777"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В случай на предозиране, употребата на анестетика трябва да бъде преустановена.</w:t>
      </w:r>
    </w:p>
    <w:p w14:paraId="57BBD306" w14:textId="77777777" w:rsidR="0047427D" w:rsidRPr="0047427D" w:rsidRDefault="0047427D" w:rsidP="0047427D">
      <w:pPr>
        <w:rPr>
          <w:rFonts w:eastAsia="Times New Roman" w:cs="Arial"/>
          <w:color w:val="000000"/>
          <w:lang w:eastAsia="bg-BG"/>
        </w:rPr>
      </w:pPr>
    </w:p>
    <w:p w14:paraId="36C49DD0" w14:textId="5436DCA7" w:rsidR="0047427D" w:rsidRPr="0047427D" w:rsidRDefault="0047427D" w:rsidP="0047427D">
      <w:pPr>
        <w:rPr>
          <w:rFonts w:cs="Arial"/>
          <w:sz w:val="24"/>
          <w:szCs w:val="24"/>
        </w:rPr>
      </w:pPr>
      <w:r w:rsidRPr="0047427D">
        <w:rPr>
          <w:rFonts w:eastAsia="Times New Roman" w:cs="Arial"/>
          <w:color w:val="000000"/>
          <w:lang w:eastAsia="bg-BG"/>
        </w:rPr>
        <w:t>Наблюдавани са хипотония и респираторна депресия. Препоръчва се в</w:t>
      </w:r>
      <w:r w:rsidRPr="0047427D">
        <w:rPr>
          <w:rFonts w:eastAsia="Times New Roman" w:cs="Arial"/>
          <w:color w:val="000000"/>
          <w:u w:val="single"/>
          <w:lang w:eastAsia="bg-BG"/>
        </w:rPr>
        <w:t>нимат</w:t>
      </w:r>
      <w:r w:rsidRPr="0047427D">
        <w:rPr>
          <w:rFonts w:eastAsia="Times New Roman" w:cs="Arial"/>
          <w:color w:val="000000"/>
          <w:lang w:eastAsia="bg-BG"/>
        </w:rPr>
        <w:t>елно проследяване на кръвното налягане и дишането. Поддържащи мерки могат да бъдат необходими за коригиране на хипотонията и дихателната депресия в резултат на особено дълбоко ниво на анестезия.</w:t>
      </w:r>
    </w:p>
    <w:p w14:paraId="02081B24" w14:textId="36FE76F4" w:rsidR="00395555" w:rsidRPr="00395555" w:rsidRDefault="002C50EE" w:rsidP="008A6AF2">
      <w:pPr>
        <w:pStyle w:val="Heading1"/>
      </w:pPr>
      <w:r>
        <w:t>5. ФАРМАКОЛОГИЧНИ СВОЙСТВА</w:t>
      </w:r>
    </w:p>
    <w:p w14:paraId="1A152A95" w14:textId="33AF8DAC" w:rsidR="001D095A" w:rsidRDefault="002C50EE" w:rsidP="00340E8D">
      <w:pPr>
        <w:pStyle w:val="Heading2"/>
      </w:pPr>
      <w:r>
        <w:t>5.1. Фармакодинамични свойства</w:t>
      </w:r>
    </w:p>
    <w:p w14:paraId="70DACE62" w14:textId="152C69B5" w:rsidR="0047427D" w:rsidRDefault="0047427D" w:rsidP="0047427D"/>
    <w:p w14:paraId="71E12BE1" w14:textId="7CB28BFE" w:rsidR="0047427D" w:rsidRPr="0047427D" w:rsidRDefault="0047427D" w:rsidP="0047427D">
      <w:pPr>
        <w:spacing w:line="240" w:lineRule="auto"/>
        <w:rPr>
          <w:rFonts w:eastAsia="Times New Roman" w:cs="Arial"/>
          <w:color w:val="000000"/>
          <w:lang w:eastAsia="bg-BG"/>
        </w:rPr>
      </w:pPr>
      <w:r w:rsidRPr="0047427D">
        <w:rPr>
          <w:rFonts w:eastAsia="Times New Roman" w:cs="Arial"/>
          <w:color w:val="000000"/>
          <w:lang w:eastAsia="bg-BG"/>
        </w:rPr>
        <w:t>Изофлуран е инхалаторен вид анестетик от групата на халогеннираните анестетици. Уводът и извеждането от анестезия е бързо под въздействието на исофлуран.</w:t>
      </w:r>
    </w:p>
    <w:p w14:paraId="5824279E" w14:textId="77777777" w:rsidR="0047427D" w:rsidRPr="0047427D" w:rsidRDefault="0047427D" w:rsidP="0047427D">
      <w:pPr>
        <w:spacing w:line="240" w:lineRule="auto"/>
        <w:rPr>
          <w:rFonts w:eastAsia="Times New Roman" w:cs="Arial"/>
          <w:color w:val="000000"/>
          <w:lang w:eastAsia="bg-BG"/>
        </w:rPr>
      </w:pPr>
    </w:p>
    <w:p w14:paraId="665D463B" w14:textId="09994621"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Изофлуран има леко дразнещата миризма на етер, което може да ограничи скоростта на въвеждането в анестезия.</w:t>
      </w:r>
    </w:p>
    <w:p w14:paraId="654CF4E5" w14:textId="77777777" w:rsidR="0047427D" w:rsidRPr="0047427D" w:rsidRDefault="0047427D" w:rsidP="0047427D">
      <w:pPr>
        <w:spacing w:line="240" w:lineRule="auto"/>
        <w:rPr>
          <w:rFonts w:eastAsia="Times New Roman" w:cs="Arial"/>
          <w:color w:val="000000"/>
          <w:lang w:eastAsia="bg-BG"/>
        </w:rPr>
      </w:pPr>
    </w:p>
    <w:p w14:paraId="235C2A10" w14:textId="7E10CB1C"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Фарингеалните и ларингеалните рефлекси бързо отслабват, което улеснява трахеалната интубация.</w:t>
      </w:r>
    </w:p>
    <w:p w14:paraId="630521D9" w14:textId="77777777" w:rsidR="0047427D" w:rsidRPr="0047427D" w:rsidRDefault="0047427D" w:rsidP="0047427D">
      <w:pPr>
        <w:spacing w:line="240" w:lineRule="auto"/>
        <w:rPr>
          <w:rFonts w:eastAsia="Times New Roman" w:cs="Arial"/>
          <w:color w:val="000000"/>
          <w:lang w:eastAsia="bg-BG"/>
        </w:rPr>
      </w:pPr>
    </w:p>
    <w:p w14:paraId="21C67F7B" w14:textId="545BDB9E"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Минимална алвеоларна концентрация ( МАС ) на изофлуран при човека:</w:t>
      </w:r>
    </w:p>
    <w:p w14:paraId="63E01201" w14:textId="68B17B78" w:rsidR="0047427D" w:rsidRDefault="0047427D" w:rsidP="0047427D"/>
    <w:tbl>
      <w:tblPr>
        <w:tblStyle w:val="TableGrid"/>
        <w:tblW w:w="0" w:type="auto"/>
        <w:tblLook w:val="04A0" w:firstRow="1" w:lastRow="0" w:firstColumn="1" w:lastColumn="0" w:noHBand="0" w:noVBand="1"/>
      </w:tblPr>
      <w:tblGrid>
        <w:gridCol w:w="2660"/>
        <w:gridCol w:w="1417"/>
        <w:gridCol w:w="1843"/>
      </w:tblGrid>
      <w:tr w:rsidR="0047427D" w14:paraId="376F77D2" w14:textId="77777777" w:rsidTr="0047427D">
        <w:tc>
          <w:tcPr>
            <w:tcW w:w="2660" w:type="dxa"/>
          </w:tcPr>
          <w:p w14:paraId="07429185" w14:textId="3B3A0F79" w:rsidR="0047427D" w:rsidRPr="0047427D" w:rsidRDefault="0047427D" w:rsidP="0047427D">
            <w:r w:rsidRPr="0047427D">
              <w:t>Възраст ( в години)</w:t>
            </w:r>
          </w:p>
        </w:tc>
        <w:tc>
          <w:tcPr>
            <w:tcW w:w="1417" w:type="dxa"/>
          </w:tcPr>
          <w:p w14:paraId="1FD54A4C" w14:textId="3D706F05" w:rsidR="0047427D" w:rsidRPr="0047427D" w:rsidRDefault="0047427D" w:rsidP="0047427D">
            <w:r w:rsidRPr="0047427D">
              <w:t>О</w:t>
            </w:r>
            <w:r w:rsidRPr="0047427D">
              <w:rPr>
                <w:vertAlign w:val="subscript"/>
              </w:rPr>
              <w:t>2</w:t>
            </w:r>
            <w:r w:rsidRPr="0047427D">
              <w:t>-100%</w:t>
            </w:r>
          </w:p>
        </w:tc>
        <w:tc>
          <w:tcPr>
            <w:tcW w:w="1843" w:type="dxa"/>
          </w:tcPr>
          <w:p w14:paraId="54901B2D" w14:textId="4D6D3585" w:rsidR="0047427D" w:rsidRPr="0047427D" w:rsidRDefault="0047427D" w:rsidP="0047427D">
            <w:r w:rsidRPr="0047427D">
              <w:rPr>
                <w:lang w:val="en-US"/>
              </w:rPr>
              <w:t>O</w:t>
            </w:r>
            <w:r w:rsidRPr="0047427D">
              <w:rPr>
                <w:vertAlign w:val="subscript"/>
                <w:lang w:val="en-US"/>
              </w:rPr>
              <w:t xml:space="preserve">2 </w:t>
            </w:r>
            <w:r w:rsidRPr="0047427D">
              <w:rPr>
                <w:lang w:val="en-US"/>
              </w:rPr>
              <w:t>+ N</w:t>
            </w:r>
            <w:r w:rsidRPr="0047427D">
              <w:rPr>
                <w:vertAlign w:val="subscript"/>
                <w:lang w:val="en-US"/>
              </w:rPr>
              <w:t>2</w:t>
            </w:r>
            <w:r w:rsidRPr="0047427D">
              <w:rPr>
                <w:lang w:val="en-US"/>
              </w:rPr>
              <w:t>O</w:t>
            </w:r>
            <w:r>
              <w:t xml:space="preserve"> </w:t>
            </w:r>
            <w:r w:rsidRPr="0047427D">
              <w:rPr>
                <w:lang w:val="en-US"/>
              </w:rPr>
              <w:t>(60%)</w:t>
            </w:r>
          </w:p>
        </w:tc>
      </w:tr>
      <w:tr w:rsidR="0047427D" w14:paraId="7246A0CD" w14:textId="77777777" w:rsidTr="0047427D">
        <w:tc>
          <w:tcPr>
            <w:tcW w:w="2660" w:type="dxa"/>
          </w:tcPr>
          <w:p w14:paraId="4A549166" w14:textId="05EF64B9" w:rsidR="0047427D" w:rsidRPr="0047427D" w:rsidRDefault="0047427D" w:rsidP="0047427D">
            <w:r w:rsidRPr="0047427D">
              <w:t>Новородени</w:t>
            </w:r>
          </w:p>
        </w:tc>
        <w:tc>
          <w:tcPr>
            <w:tcW w:w="1417" w:type="dxa"/>
          </w:tcPr>
          <w:p w14:paraId="295AD54A" w14:textId="4BF7B631" w:rsidR="0047427D" w:rsidRPr="0047427D" w:rsidRDefault="0047427D" w:rsidP="0047427D">
            <w:r w:rsidRPr="0047427D">
              <w:t>1,60</w:t>
            </w:r>
          </w:p>
        </w:tc>
        <w:tc>
          <w:tcPr>
            <w:tcW w:w="1843" w:type="dxa"/>
          </w:tcPr>
          <w:p w14:paraId="1CB54C8E" w14:textId="79155D59" w:rsidR="0047427D" w:rsidRPr="0047427D" w:rsidRDefault="0047427D" w:rsidP="0047427D">
            <w:r w:rsidRPr="0047427D">
              <w:t>-</w:t>
            </w:r>
          </w:p>
        </w:tc>
      </w:tr>
      <w:tr w:rsidR="0047427D" w14:paraId="1A6A70BB" w14:textId="77777777" w:rsidTr="0047427D">
        <w:tc>
          <w:tcPr>
            <w:tcW w:w="2660" w:type="dxa"/>
          </w:tcPr>
          <w:p w14:paraId="1A93C1AD" w14:textId="43AB2095" w:rsidR="0047427D" w:rsidRPr="0047427D" w:rsidRDefault="0047427D" w:rsidP="0047427D">
            <w:r w:rsidRPr="0047427D">
              <w:t>1 - 6 месеца</w:t>
            </w:r>
          </w:p>
        </w:tc>
        <w:tc>
          <w:tcPr>
            <w:tcW w:w="1417" w:type="dxa"/>
          </w:tcPr>
          <w:p w14:paraId="3179BE39" w14:textId="170DDAB5" w:rsidR="0047427D" w:rsidRPr="0047427D" w:rsidRDefault="0047427D" w:rsidP="0047427D">
            <w:r w:rsidRPr="0047427D">
              <w:t>1,87</w:t>
            </w:r>
          </w:p>
        </w:tc>
        <w:tc>
          <w:tcPr>
            <w:tcW w:w="1843" w:type="dxa"/>
          </w:tcPr>
          <w:p w14:paraId="26836946" w14:textId="098C1EC9" w:rsidR="0047427D" w:rsidRPr="0047427D" w:rsidRDefault="0047427D" w:rsidP="0047427D">
            <w:r w:rsidRPr="0047427D">
              <w:t>-</w:t>
            </w:r>
          </w:p>
        </w:tc>
      </w:tr>
      <w:tr w:rsidR="0047427D" w14:paraId="2FA202BF" w14:textId="77777777" w:rsidTr="0047427D">
        <w:tc>
          <w:tcPr>
            <w:tcW w:w="2660" w:type="dxa"/>
          </w:tcPr>
          <w:p w14:paraId="007388A9" w14:textId="5F85AE01" w:rsidR="0047427D" w:rsidRPr="0047427D" w:rsidRDefault="0047427D" w:rsidP="0047427D">
            <w:r w:rsidRPr="0047427D">
              <w:t>7- месеца</w:t>
            </w:r>
          </w:p>
        </w:tc>
        <w:tc>
          <w:tcPr>
            <w:tcW w:w="1417" w:type="dxa"/>
          </w:tcPr>
          <w:p w14:paraId="6B4E5CE3" w14:textId="267143EB" w:rsidR="0047427D" w:rsidRPr="0047427D" w:rsidRDefault="0047427D" w:rsidP="0047427D">
            <w:r w:rsidRPr="0047427D">
              <w:t>1,80</w:t>
            </w:r>
          </w:p>
        </w:tc>
        <w:tc>
          <w:tcPr>
            <w:tcW w:w="1843" w:type="dxa"/>
          </w:tcPr>
          <w:p w14:paraId="384E51B9" w14:textId="624742E5" w:rsidR="0047427D" w:rsidRPr="0047427D" w:rsidRDefault="0047427D" w:rsidP="0047427D">
            <w:r w:rsidRPr="0047427D">
              <w:t>-</w:t>
            </w:r>
          </w:p>
        </w:tc>
      </w:tr>
      <w:tr w:rsidR="0047427D" w14:paraId="47BC55A6" w14:textId="77777777" w:rsidTr="0047427D">
        <w:tc>
          <w:tcPr>
            <w:tcW w:w="2660" w:type="dxa"/>
          </w:tcPr>
          <w:p w14:paraId="7550195F" w14:textId="62DE31B1" w:rsidR="0047427D" w:rsidRPr="0047427D" w:rsidRDefault="0047427D" w:rsidP="0047427D">
            <w:r w:rsidRPr="0047427D">
              <w:t>1 -2 години</w:t>
            </w:r>
          </w:p>
        </w:tc>
        <w:tc>
          <w:tcPr>
            <w:tcW w:w="1417" w:type="dxa"/>
          </w:tcPr>
          <w:p w14:paraId="1CEA565D" w14:textId="01253FBA" w:rsidR="0047427D" w:rsidRPr="0047427D" w:rsidRDefault="0047427D" w:rsidP="0047427D">
            <w:r w:rsidRPr="0047427D">
              <w:t>1,60</w:t>
            </w:r>
          </w:p>
        </w:tc>
        <w:tc>
          <w:tcPr>
            <w:tcW w:w="1843" w:type="dxa"/>
          </w:tcPr>
          <w:p w14:paraId="64FFE335" w14:textId="0D0A6FAE" w:rsidR="0047427D" w:rsidRPr="0047427D" w:rsidRDefault="0047427D" w:rsidP="0047427D">
            <w:r w:rsidRPr="0047427D">
              <w:t>-</w:t>
            </w:r>
          </w:p>
        </w:tc>
      </w:tr>
      <w:tr w:rsidR="0047427D" w14:paraId="40997F9A" w14:textId="77777777" w:rsidTr="0047427D">
        <w:tc>
          <w:tcPr>
            <w:tcW w:w="2660" w:type="dxa"/>
          </w:tcPr>
          <w:p w14:paraId="1F2EA2A4" w14:textId="646B2706" w:rsidR="0047427D" w:rsidRPr="0047427D" w:rsidRDefault="0047427D" w:rsidP="0047427D">
            <w:r w:rsidRPr="0047427D">
              <w:t>3-5 години</w:t>
            </w:r>
          </w:p>
        </w:tc>
        <w:tc>
          <w:tcPr>
            <w:tcW w:w="1417" w:type="dxa"/>
          </w:tcPr>
          <w:p w14:paraId="5B221F2E" w14:textId="7DC4FB16" w:rsidR="0047427D" w:rsidRPr="0047427D" w:rsidRDefault="0047427D" w:rsidP="0047427D">
            <w:r w:rsidRPr="0047427D">
              <w:t>1,62</w:t>
            </w:r>
          </w:p>
        </w:tc>
        <w:tc>
          <w:tcPr>
            <w:tcW w:w="1843" w:type="dxa"/>
          </w:tcPr>
          <w:p w14:paraId="47130AFE" w14:textId="77777777" w:rsidR="0047427D" w:rsidRPr="0047427D" w:rsidRDefault="0047427D" w:rsidP="0047427D"/>
        </w:tc>
      </w:tr>
      <w:tr w:rsidR="0047427D" w14:paraId="1C42DEC1" w14:textId="77777777" w:rsidTr="0047427D">
        <w:tc>
          <w:tcPr>
            <w:tcW w:w="2660" w:type="dxa"/>
          </w:tcPr>
          <w:p w14:paraId="5BC0FBCE" w14:textId="08E184B7" w:rsidR="0047427D" w:rsidRPr="0047427D" w:rsidRDefault="0047427D" w:rsidP="0047427D">
            <w:r w:rsidRPr="0047427D">
              <w:t>6-10 години</w:t>
            </w:r>
          </w:p>
        </w:tc>
        <w:tc>
          <w:tcPr>
            <w:tcW w:w="1417" w:type="dxa"/>
          </w:tcPr>
          <w:p w14:paraId="1588E4E8" w14:textId="4EAD0E90" w:rsidR="0047427D" w:rsidRPr="0047427D" w:rsidRDefault="0047427D" w:rsidP="0047427D">
            <w:r w:rsidRPr="0047427D">
              <w:t>1,40</w:t>
            </w:r>
          </w:p>
        </w:tc>
        <w:tc>
          <w:tcPr>
            <w:tcW w:w="1843" w:type="dxa"/>
          </w:tcPr>
          <w:p w14:paraId="3FC24E4E" w14:textId="601478FC" w:rsidR="0047427D" w:rsidRPr="0047427D" w:rsidRDefault="0047427D" w:rsidP="0047427D">
            <w:r w:rsidRPr="0047427D">
              <w:t>0,58</w:t>
            </w:r>
          </w:p>
        </w:tc>
      </w:tr>
      <w:tr w:rsidR="0047427D" w14:paraId="714F726C" w14:textId="77777777" w:rsidTr="0047427D">
        <w:tc>
          <w:tcPr>
            <w:tcW w:w="2660" w:type="dxa"/>
          </w:tcPr>
          <w:p w14:paraId="4C68527A" w14:textId="0C72511D" w:rsidR="0047427D" w:rsidRPr="0047427D" w:rsidRDefault="0047427D" w:rsidP="0047427D">
            <w:r w:rsidRPr="0047427D">
              <w:t>10- 15 години</w:t>
            </w:r>
          </w:p>
        </w:tc>
        <w:tc>
          <w:tcPr>
            <w:tcW w:w="1417" w:type="dxa"/>
          </w:tcPr>
          <w:p w14:paraId="5930ED48" w14:textId="189E78CA" w:rsidR="0047427D" w:rsidRPr="0047427D" w:rsidRDefault="0047427D" w:rsidP="0047427D">
            <w:r w:rsidRPr="0047427D">
              <w:t>1,16</w:t>
            </w:r>
          </w:p>
        </w:tc>
        <w:tc>
          <w:tcPr>
            <w:tcW w:w="1843" w:type="dxa"/>
          </w:tcPr>
          <w:p w14:paraId="450BD0A0" w14:textId="128C9A27" w:rsidR="0047427D" w:rsidRPr="0047427D" w:rsidRDefault="0047427D" w:rsidP="0047427D">
            <w:r w:rsidRPr="0047427D">
              <w:t>0,53</w:t>
            </w:r>
          </w:p>
        </w:tc>
      </w:tr>
    </w:tbl>
    <w:p w14:paraId="7BDA8F85" w14:textId="520BE276" w:rsidR="0047427D" w:rsidRDefault="0047427D" w:rsidP="0047427D"/>
    <w:tbl>
      <w:tblPr>
        <w:tblStyle w:val="TableGrid"/>
        <w:tblW w:w="0" w:type="auto"/>
        <w:tblLook w:val="04A0" w:firstRow="1" w:lastRow="0" w:firstColumn="1" w:lastColumn="0" w:noHBand="0" w:noVBand="1"/>
      </w:tblPr>
      <w:tblGrid>
        <w:gridCol w:w="2660"/>
        <w:gridCol w:w="1417"/>
        <w:gridCol w:w="1843"/>
      </w:tblGrid>
      <w:tr w:rsidR="0047427D" w14:paraId="061DB5AA" w14:textId="77777777" w:rsidTr="0047427D">
        <w:tc>
          <w:tcPr>
            <w:tcW w:w="2660" w:type="dxa"/>
          </w:tcPr>
          <w:p w14:paraId="2CAF87D6" w14:textId="6A982E4E" w:rsidR="0047427D" w:rsidRPr="0047427D" w:rsidRDefault="0047427D" w:rsidP="0047427D">
            <w:r w:rsidRPr="0047427D">
              <w:t>Възраст ( години )</w:t>
            </w:r>
          </w:p>
        </w:tc>
        <w:tc>
          <w:tcPr>
            <w:tcW w:w="1417" w:type="dxa"/>
          </w:tcPr>
          <w:p w14:paraId="64FAF767" w14:textId="6B355407" w:rsidR="0047427D" w:rsidRPr="0047427D" w:rsidRDefault="0047427D" w:rsidP="0047427D">
            <w:r w:rsidRPr="0047427D">
              <w:t>О</w:t>
            </w:r>
            <w:r w:rsidRPr="0047427D">
              <w:rPr>
                <w:vertAlign w:val="subscript"/>
              </w:rPr>
              <w:t>2</w:t>
            </w:r>
            <w:r w:rsidRPr="0047427D">
              <w:t>-100%</w:t>
            </w:r>
          </w:p>
        </w:tc>
        <w:tc>
          <w:tcPr>
            <w:tcW w:w="1843" w:type="dxa"/>
          </w:tcPr>
          <w:p w14:paraId="0AF22262" w14:textId="71AB184A" w:rsidR="0047427D" w:rsidRPr="0047427D" w:rsidRDefault="0047427D" w:rsidP="0047427D">
            <w:r w:rsidRPr="0047427D">
              <w:rPr>
                <w:smallCaps/>
                <w:lang w:val="en-US"/>
              </w:rPr>
              <w:t>O</w:t>
            </w:r>
            <w:r w:rsidRPr="0047427D">
              <w:rPr>
                <w:smallCaps/>
                <w:vertAlign w:val="subscript"/>
                <w:lang w:val="en-US"/>
              </w:rPr>
              <w:t>2</w:t>
            </w:r>
            <w:r w:rsidRPr="0047427D">
              <w:rPr>
                <w:smallCaps/>
                <w:lang w:val="en-US"/>
              </w:rPr>
              <w:t xml:space="preserve"> + N</w:t>
            </w:r>
            <w:r w:rsidRPr="0047427D">
              <w:rPr>
                <w:smallCaps/>
                <w:vertAlign w:val="subscript"/>
                <w:lang w:val="en-US"/>
              </w:rPr>
              <w:t>2</w:t>
            </w:r>
            <w:r w:rsidRPr="0047427D">
              <w:rPr>
                <w:smallCaps/>
                <w:lang w:val="en-US"/>
              </w:rPr>
              <w:t>O</w:t>
            </w:r>
            <w:r>
              <w:rPr>
                <w:smallCaps/>
              </w:rPr>
              <w:t xml:space="preserve"> </w:t>
            </w:r>
            <w:r w:rsidRPr="0047427D">
              <w:rPr>
                <w:smallCaps/>
                <w:lang w:val="en-US"/>
              </w:rPr>
              <w:t>(70%)</w:t>
            </w:r>
          </w:p>
        </w:tc>
      </w:tr>
      <w:tr w:rsidR="0047427D" w14:paraId="11FB6E80" w14:textId="77777777" w:rsidTr="0047427D">
        <w:tc>
          <w:tcPr>
            <w:tcW w:w="2660" w:type="dxa"/>
          </w:tcPr>
          <w:p w14:paraId="3CCEE6BE" w14:textId="3C7BC64F" w:rsidR="0047427D" w:rsidRPr="0047427D" w:rsidRDefault="0047427D" w:rsidP="0047427D">
            <w:r w:rsidRPr="0047427D">
              <w:t>26±4</w:t>
            </w:r>
          </w:p>
        </w:tc>
        <w:tc>
          <w:tcPr>
            <w:tcW w:w="1417" w:type="dxa"/>
          </w:tcPr>
          <w:p w14:paraId="6876D266" w14:textId="73738A28" w:rsidR="0047427D" w:rsidRPr="0047427D" w:rsidRDefault="0047427D" w:rsidP="0047427D">
            <w:r w:rsidRPr="0047427D">
              <w:t>1,28</w:t>
            </w:r>
          </w:p>
        </w:tc>
        <w:tc>
          <w:tcPr>
            <w:tcW w:w="1843" w:type="dxa"/>
          </w:tcPr>
          <w:p w14:paraId="317288EB" w14:textId="328808FC" w:rsidR="0047427D" w:rsidRPr="0047427D" w:rsidRDefault="0047427D" w:rsidP="0047427D">
            <w:r w:rsidRPr="0047427D">
              <w:t>0,56</w:t>
            </w:r>
          </w:p>
        </w:tc>
      </w:tr>
      <w:tr w:rsidR="0047427D" w14:paraId="1A546FC3" w14:textId="77777777" w:rsidTr="0047427D">
        <w:tc>
          <w:tcPr>
            <w:tcW w:w="2660" w:type="dxa"/>
          </w:tcPr>
          <w:p w14:paraId="75CAD0C8" w14:textId="27CD671E" w:rsidR="0047427D" w:rsidRPr="0047427D" w:rsidRDefault="0047427D" w:rsidP="0047427D">
            <w:r w:rsidRPr="0047427D">
              <w:lastRenderedPageBreak/>
              <w:t>44 ±7</w:t>
            </w:r>
          </w:p>
        </w:tc>
        <w:tc>
          <w:tcPr>
            <w:tcW w:w="1417" w:type="dxa"/>
          </w:tcPr>
          <w:p w14:paraId="00B86FE9" w14:textId="0DF9ACE3" w:rsidR="0047427D" w:rsidRPr="0047427D" w:rsidRDefault="0047427D" w:rsidP="0047427D">
            <w:r w:rsidRPr="0047427D">
              <w:t>1,15</w:t>
            </w:r>
          </w:p>
        </w:tc>
        <w:tc>
          <w:tcPr>
            <w:tcW w:w="1843" w:type="dxa"/>
          </w:tcPr>
          <w:p w14:paraId="3EA9FCCF" w14:textId="1B3EA5D9" w:rsidR="0047427D" w:rsidRPr="0047427D" w:rsidRDefault="0047427D" w:rsidP="0047427D">
            <w:r w:rsidRPr="0047427D">
              <w:t>0,50</w:t>
            </w:r>
          </w:p>
        </w:tc>
      </w:tr>
      <w:tr w:rsidR="0047427D" w14:paraId="06C1A723" w14:textId="77777777" w:rsidTr="0047427D">
        <w:tc>
          <w:tcPr>
            <w:tcW w:w="2660" w:type="dxa"/>
          </w:tcPr>
          <w:p w14:paraId="3450539F" w14:textId="0D909C9F" w:rsidR="0047427D" w:rsidRPr="0047427D" w:rsidRDefault="0047427D" w:rsidP="0047427D">
            <w:r w:rsidRPr="0047427D">
              <w:t>64 ±5</w:t>
            </w:r>
          </w:p>
        </w:tc>
        <w:tc>
          <w:tcPr>
            <w:tcW w:w="1417" w:type="dxa"/>
          </w:tcPr>
          <w:p w14:paraId="08A4D50E" w14:textId="7FD52872" w:rsidR="0047427D" w:rsidRPr="0047427D" w:rsidRDefault="0047427D" w:rsidP="0047427D">
            <w:r w:rsidRPr="0047427D">
              <w:t>1,05</w:t>
            </w:r>
          </w:p>
        </w:tc>
        <w:tc>
          <w:tcPr>
            <w:tcW w:w="1843" w:type="dxa"/>
          </w:tcPr>
          <w:p w14:paraId="368E28D8" w14:textId="2F7D8F75" w:rsidR="0047427D" w:rsidRPr="0047427D" w:rsidRDefault="0047427D" w:rsidP="0047427D">
            <w:r w:rsidRPr="0047427D">
              <w:t>0,37</w:t>
            </w:r>
          </w:p>
        </w:tc>
      </w:tr>
    </w:tbl>
    <w:p w14:paraId="2CFBB73D" w14:textId="77777777" w:rsidR="0047427D" w:rsidRPr="0047427D" w:rsidRDefault="0047427D" w:rsidP="0047427D"/>
    <w:p w14:paraId="7C8C9C46" w14:textId="4BCFBB14" w:rsidR="00E9184E" w:rsidRDefault="002C50EE" w:rsidP="00340E8D">
      <w:pPr>
        <w:pStyle w:val="Heading2"/>
      </w:pPr>
      <w:r>
        <w:t>5.2. Фармакокинетични свойства</w:t>
      </w:r>
    </w:p>
    <w:p w14:paraId="7B48D331" w14:textId="33DAF257" w:rsidR="0047427D" w:rsidRDefault="0047427D" w:rsidP="0047427D"/>
    <w:p w14:paraId="34A8D26A" w14:textId="77777777"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 xml:space="preserve">АЕРАН се метаболизира в минимална степен в организма в сравнение с другите халогенни анестетици. Средно около 95% от АЕРАН се отделя с издишвания въздух; 0,2% от АЕРАН, който е постъпил в организма, се метаболизира. Основният метаболит е трифлуорооцетна киселина. Средното плазмено ниво на неорганичен флуорид при пациенти, при които е приложена анестезия с АЕРАН, е между 3 и 4 </w:t>
      </w:r>
      <w:proofErr w:type="spellStart"/>
      <w:r w:rsidRPr="0047427D">
        <w:rPr>
          <w:rFonts w:eastAsia="Times New Roman" w:cs="Arial"/>
          <w:color w:val="000000"/>
          <w:lang w:val="en-US"/>
        </w:rPr>
        <w:t>micromol</w:t>
      </w:r>
      <w:proofErr w:type="spellEnd"/>
      <w:r w:rsidRPr="0047427D">
        <w:rPr>
          <w:rFonts w:eastAsia="Times New Roman" w:cs="Arial"/>
          <w:color w:val="000000"/>
          <w:lang w:val="en-US"/>
        </w:rPr>
        <w:t>/1.</w:t>
      </w:r>
    </w:p>
    <w:p w14:paraId="1890CEF1" w14:textId="77777777" w:rsidR="0047427D" w:rsidRPr="0047427D" w:rsidRDefault="0047427D" w:rsidP="0047427D">
      <w:pPr>
        <w:spacing w:line="240" w:lineRule="auto"/>
        <w:rPr>
          <w:rFonts w:eastAsia="Times New Roman" w:cs="Arial"/>
          <w:color w:val="000000"/>
          <w:lang w:eastAsia="bg-BG"/>
        </w:rPr>
      </w:pPr>
    </w:p>
    <w:p w14:paraId="4B9D0EF7" w14:textId="4AE043AB"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 xml:space="preserve">При пациенти под анестезия с изофлуран, средната серумна концентрация на неорганични флуориди обичайно е по-малка от 5 </w:t>
      </w:r>
      <w:proofErr w:type="spellStart"/>
      <w:r w:rsidRPr="0047427D">
        <w:rPr>
          <w:rFonts w:eastAsia="Times New Roman" w:cs="Arial"/>
          <w:color w:val="000000"/>
          <w:lang w:val="en-US"/>
        </w:rPr>
        <w:t>micromol</w:t>
      </w:r>
      <w:proofErr w:type="spellEnd"/>
      <w:r w:rsidRPr="0047427D">
        <w:rPr>
          <w:rFonts w:eastAsia="Times New Roman" w:cs="Arial"/>
          <w:color w:val="000000"/>
          <w:lang w:val="en-US"/>
        </w:rPr>
        <w:t xml:space="preserve">/1 </w:t>
      </w:r>
      <w:r w:rsidRPr="0047427D">
        <w:rPr>
          <w:rFonts w:eastAsia="Times New Roman" w:cs="Arial"/>
          <w:color w:val="000000"/>
          <w:lang w:eastAsia="bg-BG"/>
        </w:rPr>
        <w:t>и се проявява около 4 часа след анестезия, която се възвръща до нормалните си стойности в рамките на 24 часа.</w:t>
      </w:r>
    </w:p>
    <w:p w14:paraId="4A737870" w14:textId="77777777" w:rsidR="0047427D" w:rsidRPr="0047427D" w:rsidRDefault="0047427D" w:rsidP="0047427D">
      <w:pPr>
        <w:spacing w:line="240" w:lineRule="auto"/>
        <w:rPr>
          <w:rFonts w:eastAsia="Times New Roman" w:cs="Arial"/>
          <w:color w:val="000000"/>
          <w:lang w:eastAsia="bg-BG"/>
        </w:rPr>
      </w:pPr>
    </w:p>
    <w:p w14:paraId="6353E721" w14:textId="2E714511" w:rsidR="0047427D" w:rsidRPr="0047427D" w:rsidRDefault="0047427D" w:rsidP="0047427D">
      <w:pPr>
        <w:spacing w:line="240" w:lineRule="auto"/>
        <w:rPr>
          <w:rFonts w:eastAsia="Times New Roman" w:cs="Arial"/>
          <w:sz w:val="28"/>
          <w:szCs w:val="28"/>
          <w:lang w:eastAsia="bg-BG"/>
        </w:rPr>
      </w:pPr>
      <w:r w:rsidRPr="0047427D">
        <w:rPr>
          <w:rFonts w:eastAsia="Times New Roman" w:cs="Arial"/>
          <w:color w:val="000000"/>
          <w:lang w:eastAsia="bg-BG"/>
        </w:rPr>
        <w:t>Макар че пиковите неорганични концентрации на флуор в резултат на разграждането на изофлурана са обикновено много по-ниски от считаните за нефротоксични, няма информация за нивата при пациенти с компрометирана бъбречна функция, поради това лекарството следва да се използва изключително внимателно при тези пациенти, както и при получаващите едновременно нефротоксични продукти.</w:t>
      </w:r>
    </w:p>
    <w:p w14:paraId="718FD10A" w14:textId="77777777" w:rsidR="0047427D" w:rsidRPr="0047427D" w:rsidRDefault="0047427D" w:rsidP="0047427D"/>
    <w:p w14:paraId="0BD5B037" w14:textId="61C09B57" w:rsidR="008F7F23" w:rsidRDefault="002C50EE" w:rsidP="00340E8D">
      <w:pPr>
        <w:pStyle w:val="Heading2"/>
      </w:pPr>
      <w:r>
        <w:t>5.3. Предклинични данни за безопасност</w:t>
      </w:r>
    </w:p>
    <w:p w14:paraId="35144FF8" w14:textId="674CA998" w:rsidR="0047427D" w:rsidRDefault="0047427D" w:rsidP="0047427D"/>
    <w:p w14:paraId="03131785" w14:textId="746C0FF0" w:rsidR="0047427D" w:rsidRPr="0047427D" w:rsidRDefault="0047427D" w:rsidP="0047427D">
      <w:r>
        <w:t>Публикувани проучвания при животни (включително примати) при дози, водещи до лека до умерена анестезия, показват, че приложението на анестетици в периода на бърз растеж на мозъка или синаптогенеза води до загуба на клетки в развиващия се мозък, която може да бъде свързана с дългосрочни когнитивни дефицити. Клиничното значение на тези неклинични откития не е известно.</w:t>
      </w:r>
    </w:p>
    <w:p w14:paraId="357049A8" w14:textId="42C1E69A" w:rsidR="00BB22B4" w:rsidRDefault="002C50EE" w:rsidP="00471F10">
      <w:pPr>
        <w:pStyle w:val="Heading1"/>
      </w:pPr>
      <w:r>
        <w:t>7. ПРИТЕЖАТЕЛ НА РАЗРЕШЕНИЕТО ЗА УПОТРЕБА</w:t>
      </w:r>
    </w:p>
    <w:p w14:paraId="23B88D2B" w14:textId="7A0C81AF" w:rsidR="0047427D" w:rsidRDefault="0047427D" w:rsidP="0047427D"/>
    <w:p w14:paraId="4683C829" w14:textId="77777777" w:rsidR="0047427D" w:rsidRDefault="0047427D" w:rsidP="0047427D">
      <w:pPr>
        <w:rPr>
          <w:lang w:eastAsia="bg-BG"/>
        </w:rPr>
      </w:pPr>
      <w:r w:rsidRPr="0047427D">
        <w:rPr>
          <w:lang w:eastAsia="bg-BG"/>
        </w:rPr>
        <w:t xml:space="preserve">Бакстер България ЕООД </w:t>
      </w:r>
    </w:p>
    <w:p w14:paraId="24281D5B" w14:textId="77777777" w:rsidR="0047427D" w:rsidRDefault="0047427D" w:rsidP="0047427D">
      <w:pPr>
        <w:rPr>
          <w:lang w:eastAsia="bg-BG"/>
        </w:rPr>
      </w:pPr>
      <w:r w:rsidRPr="0047427D">
        <w:rPr>
          <w:lang w:eastAsia="bg-BG"/>
        </w:rPr>
        <w:t xml:space="preserve">бул. България ЕООД </w:t>
      </w:r>
    </w:p>
    <w:p w14:paraId="3DE4815D" w14:textId="48A2AF33" w:rsidR="0047427D" w:rsidRPr="0047427D" w:rsidRDefault="0047427D" w:rsidP="0047427D">
      <w:pPr>
        <w:rPr>
          <w:sz w:val="24"/>
          <w:szCs w:val="24"/>
          <w:lang w:eastAsia="bg-BG"/>
        </w:rPr>
      </w:pPr>
      <w:r w:rsidRPr="0047427D">
        <w:rPr>
          <w:lang w:eastAsia="bg-BG"/>
        </w:rPr>
        <w:t>1404 София</w:t>
      </w:r>
    </w:p>
    <w:p w14:paraId="4CD81953" w14:textId="0243988B" w:rsidR="0047427D" w:rsidRPr="0047427D" w:rsidRDefault="0047427D" w:rsidP="0047427D">
      <w:r w:rsidRPr="0047427D">
        <w:rPr>
          <w:lang w:eastAsia="bg-BG"/>
        </w:rPr>
        <w:t>България</w:t>
      </w:r>
    </w:p>
    <w:p w14:paraId="0A53321D" w14:textId="418A5CBE" w:rsidR="00EE6C97" w:rsidRDefault="00936AD0" w:rsidP="00A93499">
      <w:pPr>
        <w:pStyle w:val="Heading1"/>
      </w:pPr>
      <w:r>
        <w:t>8.</w:t>
      </w:r>
      <w:r w:rsidR="002C50EE">
        <w:t>НОМЕР НА РАЗРЕШЕНИЕТО ЗА УПОТРЕБА</w:t>
      </w:r>
    </w:p>
    <w:p w14:paraId="7414C18F" w14:textId="5B52714D" w:rsidR="0047427D" w:rsidRDefault="0047427D" w:rsidP="0047427D"/>
    <w:p w14:paraId="04D1759C" w14:textId="2255EC06" w:rsidR="0047427D" w:rsidRPr="0047427D" w:rsidRDefault="0047427D" w:rsidP="0047427D">
      <w:r>
        <w:t>Регистрационен номер: 20020030</w:t>
      </w:r>
    </w:p>
    <w:p w14:paraId="3715C10B" w14:textId="6F544058" w:rsidR="00BB22B4" w:rsidRDefault="002C50EE" w:rsidP="00471F10">
      <w:pPr>
        <w:pStyle w:val="Heading1"/>
      </w:pPr>
      <w:r>
        <w:t>9. ДАТА НА ПЪРВО РАЗРЕШАВАНЕ/ПОДНОВЯВАНЕ НА РАЗРЕШЕНИЕТО ЗА УПОТРЕБА</w:t>
      </w:r>
    </w:p>
    <w:p w14:paraId="0E355739" w14:textId="2F5FE4DF" w:rsidR="0047427D" w:rsidRDefault="0047427D" w:rsidP="0047427D"/>
    <w:p w14:paraId="78166D1B" w14:textId="77777777" w:rsidR="0047427D" w:rsidRPr="0047427D" w:rsidRDefault="0047427D" w:rsidP="0047427D">
      <w:pPr>
        <w:rPr>
          <w:sz w:val="24"/>
          <w:szCs w:val="24"/>
          <w:lang w:eastAsia="bg-BG"/>
        </w:rPr>
      </w:pPr>
      <w:r w:rsidRPr="0047427D">
        <w:rPr>
          <w:lang w:eastAsia="bg-BG"/>
        </w:rPr>
        <w:t>Дата на първо разрешаване: 08 януари 2002 г.</w:t>
      </w:r>
    </w:p>
    <w:p w14:paraId="0CDC1D93" w14:textId="0F6490A2" w:rsidR="0047427D" w:rsidRPr="0047427D" w:rsidRDefault="0047427D" w:rsidP="0047427D">
      <w:r w:rsidRPr="0047427D">
        <w:rPr>
          <w:lang w:eastAsia="bg-BG"/>
        </w:rPr>
        <w:t>Дата на последно подновяване: 08 август 2007 г.</w:t>
      </w:r>
    </w:p>
    <w:p w14:paraId="43FB38A2" w14:textId="0C18A683" w:rsidR="007C605B" w:rsidRDefault="002C50EE" w:rsidP="005726E3">
      <w:pPr>
        <w:pStyle w:val="Heading1"/>
      </w:pPr>
      <w:r>
        <w:lastRenderedPageBreak/>
        <w:t>10. ДАТА НА АКТУАЛИЗИРАНЕ НА ТЕКСТА</w:t>
      </w:r>
      <w:bookmarkEnd w:id="0"/>
    </w:p>
    <w:p w14:paraId="472617BD" w14:textId="08DB63B5" w:rsidR="00BB22B4" w:rsidRPr="00BB22B4" w:rsidRDefault="0047427D" w:rsidP="0047427D">
      <w:r>
        <w:t>11/2021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C08B0"/>
    <w:multiLevelType w:val="hybridMultilevel"/>
    <w:tmpl w:val="1CB24762"/>
    <w:lvl w:ilvl="0" w:tplc="C3B81342">
      <w:start w:val="4"/>
      <w:numFmt w:val="bullet"/>
      <w:lvlText w:val="-"/>
      <w:lvlJc w:val="left"/>
      <w:pPr>
        <w:ind w:left="720" w:hanging="360"/>
      </w:pPr>
      <w:rPr>
        <w:rFonts w:ascii="Times New Roman" w:eastAsia="Times New Roman" w:hAnsi="Times New Roman" w:cs="Times New Roman" w:hint="default"/>
        <w:b/>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729"/>
    <w:multiLevelType w:val="hybridMultilevel"/>
    <w:tmpl w:val="C6FADD32"/>
    <w:lvl w:ilvl="0" w:tplc="C3B81342">
      <w:start w:val="4"/>
      <w:numFmt w:val="bullet"/>
      <w:lvlText w:val="-"/>
      <w:lvlJc w:val="left"/>
      <w:pPr>
        <w:ind w:left="720" w:hanging="360"/>
      </w:pPr>
      <w:rPr>
        <w:rFonts w:ascii="Times New Roman" w:eastAsia="Times New Roman" w:hAnsi="Times New Roman" w:cs="Times New Roman" w:hint="default"/>
        <w:b/>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0A0638"/>
    <w:multiLevelType w:val="hybridMultilevel"/>
    <w:tmpl w:val="631ED9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141AA"/>
    <w:multiLevelType w:val="hybridMultilevel"/>
    <w:tmpl w:val="A52028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2"/>
  </w:num>
  <w:num w:numId="7" w16cid:durableId="1241988161">
    <w:abstractNumId w:val="12"/>
  </w:num>
  <w:num w:numId="8" w16cid:durableId="2102022361">
    <w:abstractNumId w:val="21"/>
  </w:num>
  <w:num w:numId="9" w16cid:durableId="1154613663">
    <w:abstractNumId w:val="2"/>
  </w:num>
  <w:num w:numId="10" w16cid:durableId="1733848127">
    <w:abstractNumId w:val="4"/>
  </w:num>
  <w:num w:numId="11" w16cid:durableId="1861704680">
    <w:abstractNumId w:val="36"/>
  </w:num>
  <w:num w:numId="12" w16cid:durableId="1434934028">
    <w:abstractNumId w:val="17"/>
  </w:num>
  <w:num w:numId="13" w16cid:durableId="479157895">
    <w:abstractNumId w:val="25"/>
  </w:num>
  <w:num w:numId="14" w16cid:durableId="1670476636">
    <w:abstractNumId w:val="14"/>
  </w:num>
  <w:num w:numId="15" w16cid:durableId="1000155783">
    <w:abstractNumId w:val="35"/>
  </w:num>
  <w:num w:numId="16" w16cid:durableId="2056420707">
    <w:abstractNumId w:val="11"/>
  </w:num>
  <w:num w:numId="17" w16cid:durableId="1787119182">
    <w:abstractNumId w:val="30"/>
  </w:num>
  <w:num w:numId="18" w16cid:durableId="722945139">
    <w:abstractNumId w:val="8"/>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9"/>
  </w:num>
  <w:num w:numId="25" w16cid:durableId="50930855">
    <w:abstractNumId w:val="28"/>
  </w:num>
  <w:num w:numId="26" w16cid:durableId="176701536">
    <w:abstractNumId w:val="27"/>
  </w:num>
  <w:num w:numId="27" w16cid:durableId="2050564750">
    <w:abstractNumId w:val="38"/>
  </w:num>
  <w:num w:numId="28" w16cid:durableId="1820733422">
    <w:abstractNumId w:val="6"/>
  </w:num>
  <w:num w:numId="29" w16cid:durableId="973678124">
    <w:abstractNumId w:val="26"/>
  </w:num>
  <w:num w:numId="30" w16cid:durableId="154884452">
    <w:abstractNumId w:val="42"/>
  </w:num>
  <w:num w:numId="31" w16cid:durableId="1053964910">
    <w:abstractNumId w:val="5"/>
  </w:num>
  <w:num w:numId="32" w16cid:durableId="2073575793">
    <w:abstractNumId w:val="40"/>
  </w:num>
  <w:num w:numId="33" w16cid:durableId="1566643170">
    <w:abstractNumId w:val="34"/>
  </w:num>
  <w:num w:numId="34" w16cid:durableId="2060787732">
    <w:abstractNumId w:val="39"/>
  </w:num>
  <w:num w:numId="35" w16cid:durableId="34161354">
    <w:abstractNumId w:val="7"/>
  </w:num>
  <w:num w:numId="36" w16cid:durableId="1976908676">
    <w:abstractNumId w:val="10"/>
  </w:num>
  <w:num w:numId="37" w16cid:durableId="758528303">
    <w:abstractNumId w:val="18"/>
  </w:num>
  <w:num w:numId="38" w16cid:durableId="178396561">
    <w:abstractNumId w:val="41"/>
  </w:num>
  <w:num w:numId="39" w16cid:durableId="934825996">
    <w:abstractNumId w:val="13"/>
  </w:num>
  <w:num w:numId="40" w16cid:durableId="13309114">
    <w:abstractNumId w:val="16"/>
  </w:num>
  <w:num w:numId="41" w16cid:durableId="1589537570">
    <w:abstractNumId w:val="19"/>
  </w:num>
  <w:num w:numId="42" w16cid:durableId="974066016">
    <w:abstractNumId w:val="20"/>
  </w:num>
  <w:num w:numId="43" w16cid:durableId="106922576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7427D"/>
    <w:rsid w:val="004A448E"/>
    <w:rsid w:val="004D4D6B"/>
    <w:rsid w:val="004F1CE7"/>
    <w:rsid w:val="004F498A"/>
    <w:rsid w:val="00507887"/>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3720</Words>
  <Characters>21204</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2023-01-26T11:06:00Z</dcterms:created>
  <dcterms:modified xsi:type="dcterms:W3CDTF">2023-01-26T11:06:00Z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