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28AF99B" w:rsidR="00C40420" w:rsidRDefault="00DD466D" w:rsidP="004A448E">
      <w:pPr>
        <w:pStyle w:val="Heading1"/>
      </w:pPr>
      <w:r>
        <w:t>1.ИМЕ НА ЛЕКАРСТВЕНИЯ ПРОДУКТ</w:t>
      </w:r>
    </w:p>
    <w:p w14:paraId="08968F4C" w14:textId="13040957" w:rsidR="00E474C6" w:rsidRDefault="00E474C6" w:rsidP="00E474C6"/>
    <w:p w14:paraId="05F14F3B" w14:textId="77777777" w:rsidR="00E474C6" w:rsidRPr="00E474C6" w:rsidRDefault="00E474C6" w:rsidP="00E474C6">
      <w:pPr>
        <w:rPr>
          <w:sz w:val="24"/>
          <w:szCs w:val="24"/>
          <w:lang w:val="en-US"/>
        </w:rPr>
      </w:pPr>
      <w:r w:rsidRPr="00E474C6">
        <w:rPr>
          <w:lang w:eastAsia="bg-BG"/>
        </w:rPr>
        <w:t xml:space="preserve">Аген 5 </w:t>
      </w:r>
      <w:r w:rsidRPr="00E474C6">
        <w:rPr>
          <w:lang w:val="en-US"/>
        </w:rPr>
        <w:t xml:space="preserve">mg </w:t>
      </w:r>
      <w:r w:rsidRPr="00E474C6">
        <w:rPr>
          <w:lang w:eastAsia="bg-BG"/>
        </w:rPr>
        <w:t>таблетки</w:t>
      </w:r>
    </w:p>
    <w:p w14:paraId="1CE700F6" w14:textId="15794FD2" w:rsidR="00E474C6" w:rsidRPr="00E474C6" w:rsidRDefault="00E474C6" w:rsidP="00E474C6">
      <w:proofErr w:type="spellStart"/>
      <w:r w:rsidRPr="00E474C6">
        <w:rPr>
          <w:lang w:val="en-US"/>
        </w:rPr>
        <w:t>Agen</w:t>
      </w:r>
      <w:proofErr w:type="spellEnd"/>
      <w:r w:rsidRPr="00E474C6">
        <w:rPr>
          <w:lang w:val="en-US"/>
        </w:rPr>
        <w:t xml:space="preserve"> </w:t>
      </w:r>
      <w:r w:rsidRPr="00E474C6">
        <w:rPr>
          <w:lang w:eastAsia="bg-BG"/>
        </w:rPr>
        <w:t xml:space="preserve">5 </w:t>
      </w:r>
      <w:r w:rsidRPr="00E474C6">
        <w:rPr>
          <w:lang w:val="en-US"/>
        </w:rPr>
        <w:t>mg tablets</w:t>
      </w:r>
    </w:p>
    <w:p w14:paraId="6920A680" w14:textId="69F7E668" w:rsidR="00C40420" w:rsidRDefault="00DD466D" w:rsidP="004A448E">
      <w:pPr>
        <w:pStyle w:val="Heading1"/>
      </w:pPr>
      <w:r>
        <w:t>2. КАЧЕСТВЕН И КОЛИЧЕСТВЕН СЪСТАВ</w:t>
      </w:r>
    </w:p>
    <w:p w14:paraId="664F09AF" w14:textId="0133599E" w:rsidR="00E474C6" w:rsidRDefault="00E474C6" w:rsidP="00E474C6"/>
    <w:p w14:paraId="2A01AA1D" w14:textId="5BFF5E45" w:rsidR="00E474C6" w:rsidRPr="00E474C6" w:rsidRDefault="00E474C6" w:rsidP="00E474C6">
      <w:pPr>
        <w:rPr>
          <w:sz w:val="24"/>
          <w:szCs w:val="24"/>
        </w:rPr>
      </w:pPr>
      <w:r w:rsidRPr="00E474C6">
        <w:rPr>
          <w:lang w:eastAsia="bg-BG"/>
        </w:rPr>
        <w:t xml:space="preserve">Всяка таблетка съдържа амлодипин безилат 6,935 </w:t>
      </w:r>
      <w:r w:rsidRPr="00E474C6">
        <w:rPr>
          <w:lang w:val="en-US"/>
        </w:rPr>
        <w:t>mg</w:t>
      </w:r>
      <w:r w:rsidRPr="00E474C6">
        <w:t xml:space="preserve">, </w:t>
      </w:r>
      <w:r w:rsidRPr="00E474C6">
        <w:rPr>
          <w:lang w:eastAsia="bg-BG"/>
        </w:rPr>
        <w:t xml:space="preserve">които отговарят на 5 </w:t>
      </w:r>
      <w:r w:rsidRPr="00E474C6">
        <w:rPr>
          <w:lang w:val="en-US"/>
        </w:rPr>
        <w:t>mg</w:t>
      </w:r>
      <w:r w:rsidRPr="00E474C6">
        <w:t xml:space="preserve"> </w:t>
      </w:r>
      <w:r w:rsidRPr="00E474C6">
        <w:rPr>
          <w:lang w:eastAsia="bg-BG"/>
        </w:rPr>
        <w:t>амлодипин.</w:t>
      </w:r>
    </w:p>
    <w:p w14:paraId="614984C4" w14:textId="6ED05375" w:rsidR="008A6AF2" w:rsidRDefault="00DD466D" w:rsidP="002C50EE">
      <w:pPr>
        <w:pStyle w:val="Heading1"/>
      </w:pPr>
      <w:r>
        <w:t>3. ЛЕКАРСТВЕНА ФОРМА</w:t>
      </w:r>
    </w:p>
    <w:p w14:paraId="491E99E7" w14:textId="36030A0F" w:rsidR="00E474C6" w:rsidRDefault="00E474C6" w:rsidP="00E474C6"/>
    <w:p w14:paraId="2D9881DD" w14:textId="77777777" w:rsidR="00E474C6" w:rsidRPr="00E474C6" w:rsidRDefault="00E474C6" w:rsidP="00E474C6">
      <w:pPr>
        <w:rPr>
          <w:sz w:val="24"/>
          <w:szCs w:val="24"/>
        </w:rPr>
      </w:pPr>
      <w:r w:rsidRPr="00E474C6">
        <w:rPr>
          <w:lang w:eastAsia="bg-BG"/>
        </w:rPr>
        <w:t>Таблетка</w:t>
      </w:r>
    </w:p>
    <w:p w14:paraId="4EBABDBF" w14:textId="77777777" w:rsidR="00E474C6" w:rsidRPr="00E474C6" w:rsidRDefault="00E474C6" w:rsidP="00E474C6">
      <w:pPr>
        <w:rPr>
          <w:sz w:val="24"/>
          <w:szCs w:val="24"/>
        </w:rPr>
      </w:pPr>
      <w:r w:rsidRPr="00E474C6">
        <w:rPr>
          <w:u w:val="single"/>
          <w:lang w:eastAsia="bg-BG"/>
        </w:rPr>
        <w:t xml:space="preserve">Аген 5 </w:t>
      </w:r>
      <w:r w:rsidRPr="00E474C6">
        <w:rPr>
          <w:u w:val="single"/>
          <w:lang w:val="en-US"/>
        </w:rPr>
        <w:t>mg</w:t>
      </w:r>
      <w:r w:rsidRPr="00E474C6">
        <w:rPr>
          <w:u w:val="single"/>
          <w:lang w:val="ru-RU"/>
        </w:rPr>
        <w:t xml:space="preserve"> </w:t>
      </w:r>
      <w:r w:rsidRPr="00E474C6">
        <w:rPr>
          <w:u w:val="single"/>
          <w:lang w:eastAsia="bg-BG"/>
        </w:rPr>
        <w:t>таблетки:</w:t>
      </w:r>
      <w:r w:rsidRPr="00E474C6">
        <w:rPr>
          <w:lang w:eastAsia="bg-BG"/>
        </w:rPr>
        <w:t xml:space="preserve"> бели до почти бели овални таблетки с делител на черта от едната страна на всяка таблетка, гравирани с „А” и ”5” отляво и отдясно на делителната черта.</w:t>
      </w:r>
    </w:p>
    <w:p w14:paraId="6D0E26A5" w14:textId="77777777" w:rsidR="00E474C6" w:rsidRPr="00E474C6" w:rsidRDefault="00E474C6" w:rsidP="00E474C6">
      <w:pPr>
        <w:rPr>
          <w:sz w:val="24"/>
          <w:szCs w:val="24"/>
        </w:rPr>
      </w:pPr>
      <w:r w:rsidRPr="00E474C6">
        <w:rPr>
          <w:lang w:eastAsia="bg-BG"/>
        </w:rPr>
        <w:t>Таблетката може да бъде разделена на</w:t>
      </w:r>
      <w:r w:rsidRPr="00E474C6">
        <w:rPr>
          <w:lang w:val="ru-RU"/>
        </w:rPr>
        <w:t xml:space="preserve"> </w:t>
      </w:r>
      <w:r w:rsidRPr="00E474C6">
        <w:rPr>
          <w:lang w:eastAsia="bg-BG"/>
        </w:rPr>
        <w:t>две равни дози.</w:t>
      </w:r>
    </w:p>
    <w:p w14:paraId="2DA5C4CE" w14:textId="77777777" w:rsidR="00E474C6" w:rsidRPr="00E474C6" w:rsidRDefault="00E474C6" w:rsidP="00E474C6"/>
    <w:p w14:paraId="490FC2C4" w14:textId="32682B15" w:rsidR="002C50EE" w:rsidRDefault="002C50EE" w:rsidP="002C50EE">
      <w:pPr>
        <w:pStyle w:val="Heading1"/>
      </w:pPr>
      <w:r>
        <w:t>4. КЛИНИЧНИ ДАННИ</w:t>
      </w:r>
    </w:p>
    <w:p w14:paraId="0C8E6903" w14:textId="52ED751C" w:rsidR="008134C8" w:rsidRDefault="002C50EE" w:rsidP="004A448E">
      <w:pPr>
        <w:pStyle w:val="Heading2"/>
      </w:pPr>
      <w:r>
        <w:t>4.1. Терапевтични показания</w:t>
      </w:r>
    </w:p>
    <w:p w14:paraId="7AB2A609" w14:textId="32989291" w:rsidR="00E474C6" w:rsidRDefault="00E474C6" w:rsidP="00E474C6"/>
    <w:p w14:paraId="709B1555" w14:textId="77777777" w:rsidR="00E474C6" w:rsidRPr="00E474C6" w:rsidRDefault="00E474C6" w:rsidP="00E474C6">
      <w:pPr>
        <w:pStyle w:val="ListParagraph"/>
        <w:numPr>
          <w:ilvl w:val="0"/>
          <w:numId w:val="35"/>
        </w:numPr>
        <w:rPr>
          <w:lang w:eastAsia="bg-BG"/>
        </w:rPr>
      </w:pPr>
      <w:r w:rsidRPr="00E474C6">
        <w:rPr>
          <w:lang w:eastAsia="bg-BG"/>
        </w:rPr>
        <w:t>Хипертония</w:t>
      </w:r>
    </w:p>
    <w:p w14:paraId="088E540B" w14:textId="77777777" w:rsidR="00E474C6" w:rsidRPr="00E474C6" w:rsidRDefault="00E474C6" w:rsidP="00E474C6">
      <w:pPr>
        <w:pStyle w:val="ListParagraph"/>
        <w:numPr>
          <w:ilvl w:val="0"/>
          <w:numId w:val="35"/>
        </w:numPr>
        <w:rPr>
          <w:lang w:eastAsia="bg-BG"/>
        </w:rPr>
      </w:pPr>
      <w:r w:rsidRPr="00E474C6">
        <w:rPr>
          <w:lang w:eastAsia="bg-BG"/>
        </w:rPr>
        <w:t>Хронична стабилна стенокардия</w:t>
      </w:r>
    </w:p>
    <w:p w14:paraId="573AEEB4" w14:textId="77777777" w:rsidR="00E474C6" w:rsidRPr="00E474C6" w:rsidRDefault="00E474C6" w:rsidP="00E474C6">
      <w:pPr>
        <w:pStyle w:val="ListParagraph"/>
        <w:numPr>
          <w:ilvl w:val="0"/>
          <w:numId w:val="35"/>
        </w:numPr>
        <w:rPr>
          <w:lang w:eastAsia="bg-BG"/>
        </w:rPr>
      </w:pPr>
      <w:r w:rsidRPr="00E474C6">
        <w:rPr>
          <w:lang w:eastAsia="bg-BG"/>
        </w:rPr>
        <w:t xml:space="preserve">Вазоспастична стенокардия (стенокардия на </w:t>
      </w:r>
      <w:proofErr w:type="spellStart"/>
      <w:r w:rsidRPr="00E474C6">
        <w:rPr>
          <w:lang w:val="en-US"/>
        </w:rPr>
        <w:t>Prinzmetal</w:t>
      </w:r>
      <w:proofErr w:type="spellEnd"/>
      <w:r w:rsidRPr="00E474C6">
        <w:rPr>
          <w:lang w:val="ru-RU"/>
        </w:rPr>
        <w:t>)</w:t>
      </w:r>
    </w:p>
    <w:p w14:paraId="223BA2B7" w14:textId="77777777" w:rsidR="00E474C6" w:rsidRPr="00E474C6" w:rsidRDefault="00E474C6" w:rsidP="00E474C6"/>
    <w:p w14:paraId="30BE2C7B" w14:textId="3CEDA1CC" w:rsidR="008134C8" w:rsidRDefault="002C50EE" w:rsidP="004A448E">
      <w:pPr>
        <w:pStyle w:val="Heading2"/>
      </w:pPr>
      <w:r>
        <w:t>4.2. Дозировка и начин на приложение</w:t>
      </w:r>
    </w:p>
    <w:p w14:paraId="0364F6E4" w14:textId="53602BE5" w:rsidR="00E474C6" w:rsidRDefault="00E474C6" w:rsidP="00E474C6"/>
    <w:p w14:paraId="0F563D6C" w14:textId="77777777" w:rsidR="00E474C6" w:rsidRPr="00E474C6" w:rsidRDefault="00E474C6" w:rsidP="00E474C6">
      <w:pPr>
        <w:pStyle w:val="Heading3"/>
        <w:rPr>
          <w:u w:val="single"/>
        </w:rPr>
      </w:pPr>
      <w:r w:rsidRPr="00E474C6">
        <w:rPr>
          <w:u w:val="single"/>
        </w:rPr>
        <w:t>Дозировка</w:t>
      </w:r>
    </w:p>
    <w:p w14:paraId="267035F8" w14:textId="77777777" w:rsidR="00E474C6" w:rsidRPr="00E474C6" w:rsidRDefault="00E474C6" w:rsidP="00E474C6">
      <w:pPr>
        <w:spacing w:line="240" w:lineRule="auto"/>
        <w:rPr>
          <w:rFonts w:eastAsia="Times New Roman" w:cs="Arial"/>
          <w:color w:val="000000"/>
          <w:lang w:eastAsia="bg-BG"/>
        </w:rPr>
      </w:pPr>
    </w:p>
    <w:p w14:paraId="7A7F0BC8" w14:textId="21F09AD2" w:rsidR="00E474C6" w:rsidRPr="00E474C6" w:rsidRDefault="00E474C6" w:rsidP="00E474C6">
      <w:pPr>
        <w:spacing w:line="240" w:lineRule="auto"/>
        <w:rPr>
          <w:rFonts w:eastAsia="Times New Roman" w:cs="Arial"/>
        </w:rPr>
      </w:pPr>
      <w:r w:rsidRPr="00E474C6">
        <w:rPr>
          <w:rFonts w:eastAsia="Times New Roman" w:cs="Arial"/>
          <w:color w:val="000000"/>
          <w:lang w:eastAsia="bg-BG"/>
        </w:rPr>
        <w:t>Възрастни</w:t>
      </w:r>
    </w:p>
    <w:p w14:paraId="76F3F6A8"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Обичайната начална доза при хипертония и при стенокардия е 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Аген един път дневно, като може да се увеличи до максимална доза от 10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според индивидуалната реакция на пациента.</w:t>
      </w:r>
    </w:p>
    <w:p w14:paraId="75E93A72" w14:textId="77777777" w:rsidR="00E474C6" w:rsidRPr="00E474C6" w:rsidRDefault="00E474C6" w:rsidP="00E474C6">
      <w:pPr>
        <w:spacing w:line="240" w:lineRule="auto"/>
        <w:rPr>
          <w:rFonts w:eastAsia="Times New Roman" w:cs="Arial"/>
          <w:color w:val="000000"/>
          <w:lang w:eastAsia="bg-BG"/>
        </w:rPr>
      </w:pPr>
    </w:p>
    <w:p w14:paraId="754633F9" w14:textId="77777777" w:rsidR="00E474C6" w:rsidRPr="00E474C6" w:rsidRDefault="00E474C6" w:rsidP="00E474C6">
      <w:pPr>
        <w:spacing w:line="240" w:lineRule="auto"/>
        <w:rPr>
          <w:rFonts w:eastAsia="Times New Roman" w:cs="Arial"/>
          <w:color w:val="000000"/>
          <w:lang w:eastAsia="bg-BG"/>
        </w:rPr>
      </w:pPr>
      <w:r w:rsidRPr="00E474C6">
        <w:rPr>
          <w:rFonts w:eastAsia="Times New Roman" w:cs="Arial"/>
          <w:color w:val="000000"/>
          <w:lang w:eastAsia="bg-BG"/>
        </w:rPr>
        <w:t xml:space="preserve">При пациенти с хипертония Аген се използва в комбинация с тиазиден диуретик, алфа-блокер, бета-блокер или инхибитор на ангиотензин-конвертиращия ензим. При стенокардия Аген може да се използва като монотерапия или в комбинация с други антистенокардни лекарствени продукти при пациенти със стенокардия, която не се повлиява от нитрати и/ или съответни дози бета </w:t>
      </w:r>
    </w:p>
    <w:p w14:paraId="084A86BE" w14:textId="0F7421ED" w:rsidR="00E474C6" w:rsidRPr="00E474C6" w:rsidRDefault="00E474C6" w:rsidP="00E474C6">
      <w:pPr>
        <w:spacing w:line="240" w:lineRule="auto"/>
        <w:rPr>
          <w:rFonts w:eastAsia="Times New Roman" w:cs="Arial"/>
        </w:rPr>
      </w:pPr>
      <w:r w:rsidRPr="00E474C6">
        <w:rPr>
          <w:rFonts w:eastAsia="Times New Roman" w:cs="Arial"/>
          <w:color w:val="000000"/>
          <w:lang w:eastAsia="bg-BG"/>
        </w:rPr>
        <w:t>блокери.</w:t>
      </w:r>
    </w:p>
    <w:p w14:paraId="653E0C50" w14:textId="77777777" w:rsidR="00E474C6" w:rsidRPr="00E474C6" w:rsidRDefault="00E474C6" w:rsidP="00E474C6">
      <w:pPr>
        <w:spacing w:line="240" w:lineRule="auto"/>
        <w:rPr>
          <w:rFonts w:eastAsia="Times New Roman" w:cs="Arial"/>
          <w:color w:val="000000"/>
          <w:lang w:eastAsia="bg-BG"/>
        </w:rPr>
      </w:pPr>
    </w:p>
    <w:p w14:paraId="2E1FD64E" w14:textId="2144BE1C" w:rsidR="00E474C6" w:rsidRPr="00E474C6" w:rsidRDefault="00E474C6" w:rsidP="00E474C6">
      <w:pPr>
        <w:spacing w:line="240" w:lineRule="auto"/>
        <w:rPr>
          <w:rFonts w:eastAsia="Times New Roman" w:cs="Arial"/>
        </w:rPr>
      </w:pPr>
      <w:r w:rsidRPr="00E474C6">
        <w:rPr>
          <w:rFonts w:eastAsia="Times New Roman" w:cs="Arial"/>
          <w:color w:val="000000"/>
          <w:lang w:eastAsia="bg-BG"/>
        </w:rPr>
        <w:t>Не се налага корекция на дозата на Аген при едновременното приложение с тиазидни диуретици, бета-блокери и инхибитори на ангиотензин-конвертиращия ензим.</w:t>
      </w:r>
    </w:p>
    <w:p w14:paraId="69327889" w14:textId="77777777" w:rsidR="00E474C6" w:rsidRPr="00E474C6" w:rsidRDefault="00E474C6" w:rsidP="00E474C6">
      <w:pPr>
        <w:spacing w:line="240" w:lineRule="auto"/>
        <w:rPr>
          <w:rFonts w:eastAsia="Times New Roman" w:cs="Arial"/>
          <w:color w:val="000000"/>
          <w:u w:val="single"/>
          <w:lang w:eastAsia="bg-BG"/>
        </w:rPr>
      </w:pPr>
    </w:p>
    <w:p w14:paraId="166D396B" w14:textId="186B5898" w:rsidR="00E474C6" w:rsidRPr="00E474C6" w:rsidRDefault="00E474C6" w:rsidP="00E474C6">
      <w:pPr>
        <w:spacing w:line="240" w:lineRule="auto"/>
        <w:rPr>
          <w:rFonts w:eastAsia="Times New Roman" w:cs="Arial"/>
        </w:rPr>
      </w:pPr>
      <w:r w:rsidRPr="00E474C6">
        <w:rPr>
          <w:rFonts w:eastAsia="Times New Roman" w:cs="Arial"/>
          <w:color w:val="000000"/>
          <w:u w:val="single"/>
          <w:lang w:eastAsia="bg-BG"/>
        </w:rPr>
        <w:t>Специални популации</w:t>
      </w:r>
    </w:p>
    <w:p w14:paraId="5360481A" w14:textId="77777777" w:rsidR="00E474C6" w:rsidRPr="00E474C6" w:rsidRDefault="00E474C6" w:rsidP="00E474C6">
      <w:pPr>
        <w:spacing w:line="240" w:lineRule="auto"/>
        <w:rPr>
          <w:rFonts w:eastAsia="Times New Roman" w:cs="Arial"/>
          <w:i/>
          <w:iCs/>
          <w:color w:val="000000"/>
          <w:lang w:eastAsia="bg-BG"/>
        </w:rPr>
      </w:pPr>
    </w:p>
    <w:p w14:paraId="7740717E" w14:textId="50471E3F" w:rsidR="00E474C6" w:rsidRPr="00E474C6" w:rsidRDefault="00E474C6" w:rsidP="00E474C6">
      <w:pPr>
        <w:spacing w:line="240" w:lineRule="auto"/>
        <w:rPr>
          <w:rFonts w:eastAsia="Times New Roman" w:cs="Arial"/>
        </w:rPr>
      </w:pPr>
      <w:r w:rsidRPr="00E474C6">
        <w:rPr>
          <w:rFonts w:eastAsia="Times New Roman" w:cs="Arial"/>
          <w:i/>
          <w:iCs/>
          <w:color w:val="000000"/>
          <w:lang w:eastAsia="bg-BG"/>
        </w:rPr>
        <w:t>Старческа възраст</w:t>
      </w:r>
    </w:p>
    <w:p w14:paraId="7E4EF4BE"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Амлодипин, използван в сходни дози при пациенти в старческа възраст или при по-млади пациенти, се понася еднакво добре. При пациенти в старческа възраст се препоръчва обичайния дозов режим, но повишаването на дозата трябва да става внимателно (вж. т. 4.4 и 5.2)</w:t>
      </w:r>
    </w:p>
    <w:p w14:paraId="32EB2ECD" w14:textId="77777777" w:rsidR="00E474C6" w:rsidRPr="00E474C6" w:rsidRDefault="00E474C6" w:rsidP="00E474C6">
      <w:pPr>
        <w:spacing w:line="240" w:lineRule="auto"/>
        <w:rPr>
          <w:rFonts w:eastAsia="Times New Roman" w:cs="Arial"/>
          <w:i/>
          <w:iCs/>
          <w:color w:val="000000"/>
          <w:lang w:eastAsia="bg-BG"/>
        </w:rPr>
      </w:pPr>
    </w:p>
    <w:p w14:paraId="36101489" w14:textId="2FBAF8E5" w:rsidR="00E474C6" w:rsidRPr="00E474C6" w:rsidRDefault="00E474C6" w:rsidP="00E474C6">
      <w:pPr>
        <w:spacing w:line="240" w:lineRule="auto"/>
        <w:rPr>
          <w:rFonts w:eastAsia="Times New Roman" w:cs="Arial"/>
        </w:rPr>
      </w:pPr>
      <w:r w:rsidRPr="00E474C6">
        <w:rPr>
          <w:rFonts w:eastAsia="Times New Roman" w:cs="Arial"/>
          <w:i/>
          <w:iCs/>
          <w:color w:val="000000"/>
          <w:lang w:eastAsia="bg-BG"/>
        </w:rPr>
        <w:t>Чернодробно увреждане</w:t>
      </w:r>
    </w:p>
    <w:p w14:paraId="2FC6254C"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Дозировъчният режим при пациенти с леко до умерено чернодробно увреждане не е установен; затова изборът на доза трябва да бъде направен внимателно, като трябва да се започне с най- ниската възможна доза (вж. т. 4.4 и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най-ниската доза и да се титрира бавно.</w:t>
      </w:r>
    </w:p>
    <w:p w14:paraId="3A8A1DFA" w14:textId="77777777" w:rsidR="00E474C6" w:rsidRPr="00E474C6" w:rsidRDefault="00E474C6" w:rsidP="00E474C6">
      <w:pPr>
        <w:spacing w:line="240" w:lineRule="auto"/>
        <w:rPr>
          <w:rFonts w:eastAsia="Times New Roman" w:cs="Arial"/>
          <w:i/>
          <w:iCs/>
          <w:color w:val="000000"/>
          <w:lang w:eastAsia="bg-BG"/>
        </w:rPr>
      </w:pPr>
    </w:p>
    <w:p w14:paraId="5F91969F" w14:textId="38128BCE" w:rsidR="00E474C6" w:rsidRPr="00E474C6" w:rsidRDefault="00E474C6" w:rsidP="00E474C6">
      <w:pPr>
        <w:spacing w:line="240" w:lineRule="auto"/>
        <w:rPr>
          <w:rFonts w:eastAsia="Times New Roman" w:cs="Arial"/>
        </w:rPr>
      </w:pPr>
      <w:r w:rsidRPr="00E474C6">
        <w:rPr>
          <w:rFonts w:eastAsia="Times New Roman" w:cs="Arial"/>
          <w:i/>
          <w:iCs/>
          <w:color w:val="000000"/>
          <w:lang w:eastAsia="bg-BG"/>
        </w:rPr>
        <w:t>Бъбречно увреждане</w:t>
      </w:r>
    </w:p>
    <w:p w14:paraId="6F4C2C92"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Промените в плазмените концентрации на амлодипин не корелират със степента на бъбречно увреждане, затова се препоръчва обичайна дозировка. Амлодипин не може да се диализира.</w:t>
      </w:r>
    </w:p>
    <w:p w14:paraId="02301C36" w14:textId="77777777" w:rsidR="00E474C6" w:rsidRPr="00E474C6" w:rsidRDefault="00E474C6" w:rsidP="00E474C6">
      <w:pPr>
        <w:spacing w:line="240" w:lineRule="auto"/>
        <w:rPr>
          <w:rFonts w:eastAsia="Times New Roman" w:cs="Arial"/>
          <w:i/>
          <w:iCs/>
          <w:color w:val="000000"/>
          <w:lang w:eastAsia="bg-BG"/>
        </w:rPr>
      </w:pPr>
    </w:p>
    <w:p w14:paraId="5856E2EF" w14:textId="5FACC5E0" w:rsidR="00E474C6" w:rsidRPr="00E474C6" w:rsidRDefault="00E474C6" w:rsidP="00E474C6">
      <w:pPr>
        <w:spacing w:line="240" w:lineRule="auto"/>
        <w:rPr>
          <w:rFonts w:eastAsia="Times New Roman" w:cs="Arial"/>
        </w:rPr>
      </w:pPr>
      <w:r w:rsidRPr="00E474C6">
        <w:rPr>
          <w:rFonts w:eastAsia="Times New Roman" w:cs="Arial"/>
          <w:i/>
          <w:iCs/>
          <w:color w:val="000000"/>
          <w:lang w:eastAsia="bg-BG"/>
        </w:rPr>
        <w:t>Педиатрична популация</w:t>
      </w:r>
    </w:p>
    <w:p w14:paraId="2A31CE60" w14:textId="77777777" w:rsidR="00E474C6" w:rsidRPr="00E474C6" w:rsidRDefault="00E474C6" w:rsidP="00E474C6">
      <w:pPr>
        <w:spacing w:line="240" w:lineRule="auto"/>
        <w:rPr>
          <w:rFonts w:eastAsia="Times New Roman" w:cs="Arial"/>
          <w:color w:val="000000"/>
          <w:lang w:eastAsia="bg-BG"/>
        </w:rPr>
      </w:pPr>
    </w:p>
    <w:p w14:paraId="184CDB72" w14:textId="0AB7046F" w:rsidR="00E474C6" w:rsidRPr="00E474C6" w:rsidRDefault="00E474C6" w:rsidP="00E474C6">
      <w:pPr>
        <w:spacing w:line="240" w:lineRule="auto"/>
        <w:rPr>
          <w:rFonts w:eastAsia="Times New Roman" w:cs="Arial"/>
        </w:rPr>
      </w:pPr>
      <w:r w:rsidRPr="00E474C6">
        <w:rPr>
          <w:rFonts w:eastAsia="Times New Roman" w:cs="Arial"/>
          <w:color w:val="000000"/>
          <w:lang w:eastAsia="bg-BG"/>
        </w:rPr>
        <w:t>Деца и юноши с хипертония на възраст от 6 до 17 години</w:t>
      </w:r>
    </w:p>
    <w:p w14:paraId="578B581D"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Препоръчителната антихипертензивна перорална доза при педиатрични пациенти на възраст 6-17 години е 2,5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еднократно дневно като начална доза, титрирана впоследствие до 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еднократно дневно, ако след 4 седмици не се достигне желаното кръвно налягане. Дози над 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дневно не са проучвани при педиатрични пациенти (вж. т. 5.1 и 5.2).</w:t>
      </w:r>
    </w:p>
    <w:p w14:paraId="1414AF7D" w14:textId="77777777" w:rsidR="00E474C6" w:rsidRPr="00E474C6" w:rsidRDefault="00E474C6" w:rsidP="00E474C6">
      <w:pPr>
        <w:spacing w:line="240" w:lineRule="auto"/>
        <w:rPr>
          <w:rFonts w:eastAsia="Times New Roman" w:cs="Arial"/>
          <w:color w:val="000000"/>
          <w:lang w:eastAsia="bg-BG"/>
        </w:rPr>
      </w:pPr>
    </w:p>
    <w:p w14:paraId="17C0371D" w14:textId="53C6FE40" w:rsidR="00E474C6" w:rsidRPr="00E474C6" w:rsidRDefault="00E474C6" w:rsidP="00E474C6">
      <w:pPr>
        <w:spacing w:line="240" w:lineRule="auto"/>
        <w:rPr>
          <w:rFonts w:eastAsia="Times New Roman" w:cs="Arial"/>
        </w:rPr>
      </w:pPr>
      <w:r w:rsidRPr="00E474C6">
        <w:rPr>
          <w:rFonts w:eastAsia="Times New Roman" w:cs="Arial"/>
          <w:color w:val="000000"/>
          <w:lang w:eastAsia="bg-BG"/>
        </w:rPr>
        <w:t>Деца на възраст под 6 годишна възраст</w:t>
      </w:r>
    </w:p>
    <w:p w14:paraId="440F2090"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Няма налични данни.</w:t>
      </w:r>
    </w:p>
    <w:p w14:paraId="3980DD18" w14:textId="77777777" w:rsidR="00E474C6" w:rsidRPr="00E474C6" w:rsidRDefault="00E474C6" w:rsidP="00E474C6">
      <w:pPr>
        <w:spacing w:line="240" w:lineRule="auto"/>
        <w:rPr>
          <w:rFonts w:eastAsia="Times New Roman" w:cs="Arial"/>
          <w:color w:val="000000"/>
          <w:lang w:eastAsia="bg-BG"/>
        </w:rPr>
      </w:pPr>
    </w:p>
    <w:p w14:paraId="136103AA" w14:textId="789CFC1D" w:rsidR="00E474C6" w:rsidRPr="00E474C6" w:rsidRDefault="00E474C6" w:rsidP="00E474C6">
      <w:pPr>
        <w:pStyle w:val="Heading3"/>
        <w:rPr>
          <w:u w:val="single"/>
        </w:rPr>
      </w:pPr>
      <w:r w:rsidRPr="00E474C6">
        <w:rPr>
          <w:u w:val="single"/>
        </w:rPr>
        <w:t>Начин на приложение</w:t>
      </w:r>
    </w:p>
    <w:p w14:paraId="2B80CA55" w14:textId="6502B2E3" w:rsidR="00E474C6" w:rsidRDefault="00E474C6" w:rsidP="00E474C6">
      <w:pPr>
        <w:rPr>
          <w:rFonts w:ascii="Times New Roman" w:eastAsia="Times New Roman" w:hAnsi="Times New Roman" w:cs="Times New Roman"/>
          <w:color w:val="000000"/>
          <w:lang w:eastAsia="bg-BG"/>
        </w:rPr>
      </w:pPr>
      <w:r w:rsidRPr="00E474C6">
        <w:rPr>
          <w:rFonts w:eastAsia="Times New Roman" w:cs="Arial"/>
          <w:color w:val="000000"/>
          <w:lang w:eastAsia="bg-BG"/>
        </w:rPr>
        <w:t>Таблетка за перорално приложение.</w:t>
      </w:r>
    </w:p>
    <w:p w14:paraId="3395A1EE" w14:textId="77777777" w:rsidR="00E474C6" w:rsidRPr="00E474C6" w:rsidRDefault="00E474C6" w:rsidP="00E474C6"/>
    <w:p w14:paraId="28C984E8" w14:textId="1FAEC59A" w:rsidR="008134C8" w:rsidRDefault="002C50EE" w:rsidP="004A448E">
      <w:pPr>
        <w:pStyle w:val="Heading2"/>
      </w:pPr>
      <w:r>
        <w:t>4.3. Противопоказания</w:t>
      </w:r>
    </w:p>
    <w:p w14:paraId="0EDF5D4B" w14:textId="2A0AD080" w:rsidR="00E474C6" w:rsidRDefault="00E474C6" w:rsidP="00E474C6"/>
    <w:p w14:paraId="33B352C9" w14:textId="77777777" w:rsidR="00E474C6" w:rsidRPr="00E474C6" w:rsidRDefault="00E474C6" w:rsidP="00E474C6">
      <w:pPr>
        <w:rPr>
          <w:sz w:val="24"/>
          <w:szCs w:val="24"/>
        </w:rPr>
      </w:pPr>
      <w:r w:rsidRPr="00E474C6">
        <w:rPr>
          <w:lang w:eastAsia="bg-BG"/>
        </w:rPr>
        <w:t>Амлодипин е противопоказан при пациенти със:</w:t>
      </w:r>
    </w:p>
    <w:p w14:paraId="017BA75D" w14:textId="77777777" w:rsidR="00E474C6" w:rsidRPr="00E474C6" w:rsidRDefault="00E474C6" w:rsidP="00E474C6">
      <w:pPr>
        <w:pStyle w:val="ListParagraph"/>
        <w:numPr>
          <w:ilvl w:val="0"/>
          <w:numId w:val="36"/>
        </w:numPr>
        <w:rPr>
          <w:lang w:eastAsia="bg-BG"/>
        </w:rPr>
      </w:pPr>
      <w:r w:rsidRPr="00E474C6">
        <w:rPr>
          <w:lang w:eastAsia="bg-BG"/>
        </w:rPr>
        <w:t>Свръхчувствителност към дихидропиридинови производни, амлодипин или някое от помощните вещества, изброени в т. 6.1</w:t>
      </w:r>
    </w:p>
    <w:p w14:paraId="7FD0530E" w14:textId="77777777" w:rsidR="00E474C6" w:rsidRPr="00E474C6" w:rsidRDefault="00E474C6" w:rsidP="00E474C6">
      <w:pPr>
        <w:pStyle w:val="ListParagraph"/>
        <w:numPr>
          <w:ilvl w:val="0"/>
          <w:numId w:val="36"/>
        </w:numPr>
        <w:rPr>
          <w:lang w:eastAsia="bg-BG"/>
        </w:rPr>
      </w:pPr>
      <w:r w:rsidRPr="00E474C6">
        <w:rPr>
          <w:lang w:eastAsia="bg-BG"/>
        </w:rPr>
        <w:t>Тежка хипотония.</w:t>
      </w:r>
    </w:p>
    <w:p w14:paraId="760F29BC" w14:textId="77777777" w:rsidR="00E474C6" w:rsidRPr="00E474C6" w:rsidRDefault="00E474C6" w:rsidP="00E474C6">
      <w:pPr>
        <w:pStyle w:val="ListParagraph"/>
        <w:numPr>
          <w:ilvl w:val="0"/>
          <w:numId w:val="36"/>
        </w:numPr>
        <w:rPr>
          <w:lang w:eastAsia="bg-BG"/>
        </w:rPr>
      </w:pPr>
      <w:r w:rsidRPr="00E474C6">
        <w:rPr>
          <w:lang w:eastAsia="bg-BG"/>
        </w:rPr>
        <w:t>Шок (включително кардиогенен шок).</w:t>
      </w:r>
    </w:p>
    <w:p w14:paraId="3EC0FB05" w14:textId="77777777" w:rsidR="00E474C6" w:rsidRPr="00E474C6" w:rsidRDefault="00E474C6" w:rsidP="00E474C6">
      <w:pPr>
        <w:pStyle w:val="ListParagraph"/>
        <w:numPr>
          <w:ilvl w:val="0"/>
          <w:numId w:val="36"/>
        </w:numPr>
        <w:rPr>
          <w:lang w:eastAsia="bg-BG"/>
        </w:rPr>
      </w:pPr>
      <w:r w:rsidRPr="00E474C6">
        <w:rPr>
          <w:lang w:eastAsia="bg-BG"/>
        </w:rPr>
        <w:t>Обструкция на изхода на лява камера (напр. високостепенна аортна стеноза).</w:t>
      </w:r>
    </w:p>
    <w:p w14:paraId="7BED988F" w14:textId="0C6AD40C" w:rsidR="00E474C6" w:rsidRPr="00E474C6" w:rsidRDefault="00E474C6" w:rsidP="00E474C6">
      <w:pPr>
        <w:pStyle w:val="ListParagraph"/>
        <w:numPr>
          <w:ilvl w:val="0"/>
          <w:numId w:val="36"/>
        </w:numPr>
      </w:pPr>
      <w:r w:rsidRPr="00E474C6">
        <w:rPr>
          <w:lang w:eastAsia="bg-BG"/>
        </w:rPr>
        <w:t>Хемодинамично нестабилна сърдечна недостатъчност след остър миокарден инфаркт.</w:t>
      </w:r>
    </w:p>
    <w:p w14:paraId="212F509C" w14:textId="5ACF412A" w:rsidR="004F498A" w:rsidRDefault="002C50EE" w:rsidP="004A448E">
      <w:pPr>
        <w:pStyle w:val="Heading2"/>
      </w:pPr>
      <w:r>
        <w:lastRenderedPageBreak/>
        <w:t>4.4. Специални предупреждения и предпазни мерки при употреба</w:t>
      </w:r>
    </w:p>
    <w:p w14:paraId="5C03E04B" w14:textId="1BC076A3" w:rsidR="00E474C6" w:rsidRDefault="00E474C6" w:rsidP="00E474C6"/>
    <w:p w14:paraId="76411C57"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Безопасността и ефикасността на амлодипин при хипертонична криза не е установена.</w:t>
      </w:r>
    </w:p>
    <w:p w14:paraId="171D33BC" w14:textId="77777777" w:rsidR="00E474C6" w:rsidRPr="00E474C6" w:rsidRDefault="00E474C6" w:rsidP="00E474C6">
      <w:pPr>
        <w:spacing w:line="240" w:lineRule="auto"/>
        <w:rPr>
          <w:rFonts w:eastAsia="Times New Roman" w:cs="Arial"/>
          <w:i/>
          <w:iCs/>
          <w:color w:val="000000"/>
          <w:lang w:eastAsia="bg-BG"/>
        </w:rPr>
      </w:pPr>
    </w:p>
    <w:p w14:paraId="3AE93AFA" w14:textId="70661414"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lang w:eastAsia="bg-BG"/>
        </w:rPr>
        <w:t>Сърдечна недостатъчност</w:t>
      </w:r>
    </w:p>
    <w:p w14:paraId="20886EF3"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E474C6">
        <w:rPr>
          <w:rFonts w:eastAsia="Times New Roman" w:cs="Arial"/>
          <w:color w:val="000000"/>
          <w:lang w:val="ru-RU"/>
        </w:rPr>
        <w:t>(</w:t>
      </w:r>
      <w:r w:rsidRPr="00E474C6">
        <w:rPr>
          <w:rFonts w:eastAsia="Times New Roman" w:cs="Arial"/>
          <w:color w:val="000000"/>
          <w:lang w:val="en-US"/>
        </w:rPr>
        <w:t>NYHA</w:t>
      </w:r>
      <w:r w:rsidRPr="00E474C6">
        <w:rPr>
          <w:rFonts w:eastAsia="Times New Roman" w:cs="Arial"/>
          <w:color w:val="000000"/>
          <w:lang w:val="ru-RU"/>
        </w:rPr>
        <w:t xml:space="preserve"> </w:t>
      </w:r>
      <w:r w:rsidRPr="00E474C6">
        <w:rPr>
          <w:rFonts w:eastAsia="Times New Roman" w:cs="Arial"/>
          <w:color w:val="000000"/>
          <w:lang w:eastAsia="bg-BG"/>
        </w:rPr>
        <w:t>клас III и IV) съобщаваната честота на белодробен оток е била по-висока в групата, лекувана с амлодипин, отколкото в плацебо-групата (вж. т. 5.1). Блокери на калциевите канали, включително амлодипин, трябва да се използват е повишено внимание при пациенти със застойна сърдечна недостатъчност, тъй като могат да повишат риска от бъдещи сърдечно</w:t>
      </w:r>
      <w:r w:rsidRPr="00E474C6">
        <w:rPr>
          <w:rFonts w:eastAsia="Times New Roman" w:cs="Arial"/>
          <w:color w:val="000000"/>
          <w:lang w:eastAsia="bg-BG"/>
        </w:rPr>
        <w:softHyphen/>
        <w:t>съдови събития и смъртност.</w:t>
      </w:r>
    </w:p>
    <w:p w14:paraId="4F6620EC" w14:textId="77777777" w:rsidR="00E474C6" w:rsidRPr="00E474C6" w:rsidRDefault="00E474C6" w:rsidP="00E474C6">
      <w:pPr>
        <w:spacing w:line="240" w:lineRule="auto"/>
        <w:rPr>
          <w:rFonts w:eastAsia="Times New Roman" w:cs="Arial"/>
          <w:i/>
          <w:iCs/>
          <w:color w:val="000000"/>
          <w:lang w:eastAsia="bg-BG"/>
        </w:rPr>
      </w:pPr>
    </w:p>
    <w:p w14:paraId="2D1529DC" w14:textId="56567F7F"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lang w:eastAsia="bg-BG"/>
        </w:rPr>
        <w:t>Нарушена чернодробна функция</w:t>
      </w:r>
    </w:p>
    <w:p w14:paraId="1FF39EA3"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Полуживотът на амлодипин е удължен, а стойностите на </w:t>
      </w:r>
      <w:r w:rsidRPr="00E474C6">
        <w:rPr>
          <w:rFonts w:eastAsia="Times New Roman" w:cs="Arial"/>
          <w:color w:val="000000"/>
          <w:lang w:val="en-US"/>
        </w:rPr>
        <w:t>AUC</w:t>
      </w:r>
      <w:r w:rsidRPr="00E474C6">
        <w:rPr>
          <w:rFonts w:eastAsia="Times New Roman" w:cs="Arial"/>
          <w:color w:val="000000"/>
          <w:lang w:val="ru-RU"/>
        </w:rPr>
        <w:t xml:space="preserve"> </w:t>
      </w:r>
      <w:r w:rsidRPr="00E474C6">
        <w:rPr>
          <w:rFonts w:eastAsia="Times New Roman" w:cs="Arial"/>
          <w:color w:val="000000"/>
          <w:lang w:eastAsia="bg-BG"/>
        </w:rPr>
        <w:t>са по-високи при па</w:t>
      </w:r>
      <w:r w:rsidRPr="00E474C6">
        <w:rPr>
          <w:rFonts w:eastAsia="Times New Roman" w:cs="Arial"/>
          <w:color w:val="000000"/>
          <w:u w:val="single"/>
          <w:lang w:eastAsia="bg-BG"/>
        </w:rPr>
        <w:t>циент</w:t>
      </w:r>
      <w:r w:rsidRPr="00E474C6">
        <w:rPr>
          <w:rFonts w:eastAsia="Times New Roman" w:cs="Arial"/>
          <w:color w:val="000000"/>
          <w:lang w:eastAsia="bg-BG"/>
        </w:rPr>
        <w:t>и с нарушена чернодробна функция; не са установени препоръки за дозиране. Следователно</w:t>
      </w:r>
    </w:p>
    <w:p w14:paraId="60199227"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амлодипин трябва да се започне с най-ниската доза и да се прояви внимание, както в началото</w:t>
      </w:r>
    </w:p>
    <w:p w14:paraId="5008D22F"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3B95061" w14:textId="77777777" w:rsidR="00E474C6" w:rsidRPr="00E474C6" w:rsidRDefault="00E474C6" w:rsidP="00E474C6">
      <w:pPr>
        <w:spacing w:line="240" w:lineRule="auto"/>
        <w:rPr>
          <w:rFonts w:eastAsia="Times New Roman" w:cs="Arial"/>
          <w:i/>
          <w:iCs/>
          <w:color w:val="000000"/>
          <w:lang w:eastAsia="bg-BG"/>
        </w:rPr>
      </w:pPr>
    </w:p>
    <w:p w14:paraId="7D74441D" w14:textId="1C09EC42"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lang w:eastAsia="bg-BG"/>
        </w:rPr>
        <w:t>Старческа възраст</w:t>
      </w:r>
    </w:p>
    <w:p w14:paraId="7F65C036"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Повишаване на дозата при пациенти в старческа възраст трябва да се извършва с внимание (вж. т. 4.2 и 5.2).</w:t>
      </w:r>
    </w:p>
    <w:p w14:paraId="11BB4B4C" w14:textId="77777777" w:rsidR="00E474C6" w:rsidRPr="00E474C6" w:rsidRDefault="00E474C6" w:rsidP="00E474C6">
      <w:pPr>
        <w:spacing w:line="240" w:lineRule="auto"/>
        <w:rPr>
          <w:rFonts w:eastAsia="Times New Roman" w:cs="Arial"/>
          <w:i/>
          <w:iCs/>
          <w:color w:val="000000"/>
          <w:lang w:eastAsia="bg-BG"/>
        </w:rPr>
      </w:pPr>
    </w:p>
    <w:p w14:paraId="7D8BD891" w14:textId="2712A7C7"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lang w:eastAsia="bg-BG"/>
        </w:rPr>
        <w:t>Бъбречна недостатъчност</w:t>
      </w:r>
    </w:p>
    <w:p w14:paraId="790023BD"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193F28F3" w14:textId="77777777" w:rsidR="00E474C6" w:rsidRPr="00E474C6" w:rsidRDefault="00E474C6" w:rsidP="00E474C6">
      <w:pPr>
        <w:spacing w:line="240" w:lineRule="auto"/>
        <w:rPr>
          <w:rFonts w:eastAsia="Times New Roman" w:cs="Arial"/>
          <w:i/>
          <w:iCs/>
          <w:color w:val="000000"/>
          <w:lang w:eastAsia="bg-BG"/>
        </w:rPr>
      </w:pPr>
    </w:p>
    <w:p w14:paraId="15680D9D" w14:textId="2A7302CD"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lang w:eastAsia="bg-BG"/>
        </w:rPr>
        <w:t>Предупреждения за помощните вещества</w:t>
      </w:r>
    </w:p>
    <w:p w14:paraId="53DEEE91"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Това лекарство съдържа по-малко от </w:t>
      </w:r>
      <w:r w:rsidRPr="00E474C6">
        <w:rPr>
          <w:rFonts w:eastAsia="Times New Roman" w:cs="Arial"/>
          <w:color w:val="000000"/>
          <w:lang w:val="en-US"/>
        </w:rPr>
        <w:t>l</w:t>
      </w:r>
      <w:r w:rsidRPr="00E474C6">
        <w:rPr>
          <w:rFonts w:eastAsia="Times New Roman" w:cs="Arial"/>
          <w:color w:val="000000"/>
          <w:lang w:eastAsia="bg-BG"/>
        </w:rPr>
        <w:t xml:space="preserve"> </w:t>
      </w:r>
      <w:proofErr w:type="spellStart"/>
      <w:r w:rsidRPr="00E474C6">
        <w:rPr>
          <w:rFonts w:eastAsia="Times New Roman" w:cs="Arial"/>
          <w:color w:val="000000"/>
          <w:lang w:val="en-US"/>
        </w:rPr>
        <w:t>mmol</w:t>
      </w:r>
      <w:proofErr w:type="spellEnd"/>
      <w:r w:rsidRPr="00E474C6">
        <w:rPr>
          <w:rFonts w:eastAsia="Times New Roman" w:cs="Arial"/>
          <w:color w:val="000000"/>
          <w:lang w:val="ru-RU"/>
        </w:rPr>
        <w:t xml:space="preserve"> </w:t>
      </w:r>
      <w:r w:rsidRPr="00E474C6">
        <w:rPr>
          <w:rFonts w:eastAsia="Times New Roman" w:cs="Arial"/>
          <w:color w:val="000000"/>
          <w:lang w:eastAsia="bg-BG"/>
        </w:rPr>
        <w:t xml:space="preserve">натрий (23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в таблетка,</w:t>
      </w:r>
      <w:r w:rsidRPr="00E474C6">
        <w:rPr>
          <w:rFonts w:eastAsia="Times New Roman" w:cs="Arial"/>
          <w:color w:val="000000"/>
          <w:lang w:val="ru-RU"/>
        </w:rPr>
        <w:t xml:space="preserve"> </w:t>
      </w:r>
      <w:r w:rsidRPr="00E474C6">
        <w:rPr>
          <w:rFonts w:eastAsia="Times New Roman" w:cs="Arial"/>
          <w:color w:val="000000"/>
          <w:lang w:eastAsia="bg-BG"/>
        </w:rPr>
        <w:t>така че на практика е „без натрий“.</w:t>
      </w:r>
    </w:p>
    <w:p w14:paraId="41941971" w14:textId="77777777" w:rsidR="00E474C6" w:rsidRPr="00E474C6" w:rsidRDefault="00E474C6" w:rsidP="00E474C6"/>
    <w:p w14:paraId="619DED1E" w14:textId="07C74C5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3C87209" w14:textId="3BCB813C" w:rsidR="00E474C6" w:rsidRDefault="00E474C6" w:rsidP="00E474C6"/>
    <w:p w14:paraId="465A131A"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u w:val="single"/>
          <w:lang w:eastAsia="bg-BG"/>
        </w:rPr>
        <w:t>Ефекти на други лекарствени продукти върху амлодипин</w:t>
      </w:r>
    </w:p>
    <w:p w14:paraId="06D78C1C" w14:textId="77777777" w:rsidR="00E474C6" w:rsidRDefault="00E474C6" w:rsidP="00E474C6">
      <w:pPr>
        <w:spacing w:line="240" w:lineRule="auto"/>
        <w:rPr>
          <w:rFonts w:ascii="Times New Roman" w:eastAsia="Times New Roman" w:hAnsi="Times New Roman" w:cs="Times New Roman"/>
          <w:i/>
          <w:iCs/>
          <w:color w:val="000000"/>
          <w:lang w:val="en-US"/>
        </w:rPr>
      </w:pPr>
    </w:p>
    <w:p w14:paraId="089BA2D7" w14:textId="55DFD412"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val="en-US"/>
        </w:rPr>
        <w:t>CYP</w:t>
      </w:r>
      <w:r w:rsidRPr="00E474C6">
        <w:rPr>
          <w:rFonts w:ascii="Times New Roman" w:eastAsia="Times New Roman" w:hAnsi="Times New Roman" w:cs="Times New Roman"/>
          <w:i/>
          <w:iCs/>
          <w:color w:val="000000"/>
          <w:lang w:val="ru-RU"/>
        </w:rPr>
        <w:t>3</w:t>
      </w:r>
      <w:r w:rsidRPr="00E474C6">
        <w:rPr>
          <w:rFonts w:ascii="Times New Roman" w:eastAsia="Times New Roman" w:hAnsi="Times New Roman" w:cs="Times New Roman"/>
          <w:i/>
          <w:iCs/>
          <w:color w:val="000000"/>
          <w:lang w:val="en-US"/>
        </w:rPr>
        <w:t>A</w:t>
      </w:r>
      <w:r w:rsidRPr="00E474C6">
        <w:rPr>
          <w:rFonts w:ascii="Times New Roman" w:eastAsia="Times New Roman" w:hAnsi="Times New Roman" w:cs="Times New Roman"/>
          <w:i/>
          <w:iCs/>
          <w:color w:val="000000"/>
          <w:lang w:val="ru-RU"/>
        </w:rPr>
        <w:t xml:space="preserve">4 </w:t>
      </w:r>
      <w:r w:rsidRPr="00E474C6">
        <w:rPr>
          <w:rFonts w:ascii="Times New Roman" w:eastAsia="Times New Roman" w:hAnsi="Times New Roman" w:cs="Times New Roman"/>
          <w:i/>
          <w:iCs/>
          <w:color w:val="000000"/>
          <w:lang w:eastAsia="bg-BG"/>
        </w:rPr>
        <w:t>инхибитори</w:t>
      </w:r>
    </w:p>
    <w:p w14:paraId="55C2D624"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 xml:space="preserve">Едновременното приложение на амлодипин със силни или умерени </w:t>
      </w:r>
      <w:r w:rsidRPr="00E474C6">
        <w:rPr>
          <w:rFonts w:ascii="Times New Roman" w:eastAsia="Times New Roman" w:hAnsi="Times New Roman" w:cs="Times New Roman"/>
          <w:color w:val="000000"/>
          <w:lang w:val="en-US"/>
        </w:rPr>
        <w:t>CYP</w:t>
      </w:r>
      <w:r w:rsidRPr="00E474C6">
        <w:rPr>
          <w:rFonts w:ascii="Times New Roman" w:eastAsia="Times New Roman" w:hAnsi="Times New Roman" w:cs="Times New Roman"/>
          <w:color w:val="000000"/>
          <w:lang w:val="ru-RU"/>
        </w:rPr>
        <w:t>3</w:t>
      </w:r>
      <w:r w:rsidRPr="00E474C6">
        <w:rPr>
          <w:rFonts w:ascii="Times New Roman" w:eastAsia="Times New Roman" w:hAnsi="Times New Roman" w:cs="Times New Roman"/>
          <w:color w:val="000000"/>
          <w:lang w:val="en-US"/>
        </w:rPr>
        <w:t>A</w:t>
      </w:r>
      <w:r w:rsidRPr="00E474C6">
        <w:rPr>
          <w:rFonts w:ascii="Times New Roman" w:eastAsia="Times New Roman" w:hAnsi="Times New Roman" w:cs="Times New Roman"/>
          <w:color w:val="000000"/>
          <w:lang w:val="ru-RU"/>
        </w:rPr>
        <w:t xml:space="preserve">4 </w:t>
      </w:r>
      <w:r w:rsidRPr="00E474C6">
        <w:rPr>
          <w:rFonts w:ascii="Times New Roman" w:eastAsia="Times New Roman" w:hAnsi="Times New Roman" w:cs="Times New Roman"/>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Препоръчва се внимателно клинично проследяване на пациента и може да се изисква корекция на дозата.</w:t>
      </w:r>
    </w:p>
    <w:p w14:paraId="6A5DF244" w14:textId="77777777" w:rsidR="00E474C6" w:rsidRDefault="00E474C6" w:rsidP="00E474C6">
      <w:pPr>
        <w:spacing w:line="240" w:lineRule="auto"/>
        <w:rPr>
          <w:rFonts w:ascii="Times New Roman" w:eastAsia="Times New Roman" w:hAnsi="Times New Roman" w:cs="Times New Roman"/>
          <w:i/>
          <w:iCs/>
          <w:color w:val="000000"/>
          <w:lang w:val="en-US"/>
        </w:rPr>
      </w:pPr>
    </w:p>
    <w:p w14:paraId="2E9DFA39" w14:textId="1626D249"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val="en-US"/>
        </w:rPr>
        <w:lastRenderedPageBreak/>
        <w:t>CYP</w:t>
      </w:r>
      <w:r w:rsidRPr="00E474C6">
        <w:rPr>
          <w:rFonts w:ascii="Times New Roman" w:eastAsia="Times New Roman" w:hAnsi="Times New Roman" w:cs="Times New Roman"/>
          <w:i/>
          <w:iCs/>
          <w:color w:val="000000"/>
          <w:lang w:val="ru-RU"/>
        </w:rPr>
        <w:t>3</w:t>
      </w:r>
      <w:r w:rsidRPr="00E474C6">
        <w:rPr>
          <w:rFonts w:ascii="Times New Roman" w:eastAsia="Times New Roman" w:hAnsi="Times New Roman" w:cs="Times New Roman"/>
          <w:i/>
          <w:iCs/>
          <w:color w:val="000000"/>
          <w:lang w:val="en-US"/>
        </w:rPr>
        <w:t>A</w:t>
      </w:r>
      <w:r w:rsidRPr="00E474C6">
        <w:rPr>
          <w:rFonts w:ascii="Times New Roman" w:eastAsia="Times New Roman" w:hAnsi="Times New Roman" w:cs="Times New Roman"/>
          <w:i/>
          <w:iCs/>
          <w:color w:val="000000"/>
          <w:lang w:val="ru-RU"/>
        </w:rPr>
        <w:t xml:space="preserve">4 </w:t>
      </w:r>
      <w:r w:rsidRPr="00E474C6">
        <w:rPr>
          <w:rFonts w:ascii="Times New Roman" w:eastAsia="Times New Roman" w:hAnsi="Times New Roman" w:cs="Times New Roman"/>
          <w:i/>
          <w:iCs/>
          <w:color w:val="000000"/>
          <w:lang w:eastAsia="bg-BG"/>
        </w:rPr>
        <w:t>индуктори</w:t>
      </w:r>
    </w:p>
    <w:p w14:paraId="7D9519B2"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 xml:space="preserve">При едновременно приложение на известни индуктори на </w:t>
      </w:r>
      <w:r w:rsidRPr="00E474C6">
        <w:rPr>
          <w:rFonts w:ascii="Times New Roman" w:eastAsia="Times New Roman" w:hAnsi="Times New Roman" w:cs="Times New Roman"/>
          <w:color w:val="000000"/>
          <w:lang w:val="en-US"/>
        </w:rPr>
        <w:t>CYP</w:t>
      </w:r>
      <w:r w:rsidRPr="00E474C6">
        <w:rPr>
          <w:rFonts w:ascii="Times New Roman" w:eastAsia="Times New Roman" w:hAnsi="Times New Roman" w:cs="Times New Roman"/>
          <w:color w:val="000000"/>
          <w:lang w:val="ru-RU"/>
        </w:rPr>
        <w:t>3</w:t>
      </w:r>
      <w:r w:rsidRPr="00E474C6">
        <w:rPr>
          <w:rFonts w:ascii="Times New Roman" w:eastAsia="Times New Roman" w:hAnsi="Times New Roman" w:cs="Times New Roman"/>
          <w:color w:val="000000"/>
          <w:lang w:val="en-US"/>
        </w:rPr>
        <w:t>A</w:t>
      </w:r>
      <w:r w:rsidRPr="00E474C6">
        <w:rPr>
          <w:rFonts w:ascii="Times New Roman" w:eastAsia="Times New Roman" w:hAnsi="Times New Roman" w:cs="Times New Roman"/>
          <w:color w:val="000000"/>
          <w:lang w:val="ru-RU"/>
        </w:rPr>
        <w:t xml:space="preserve">4 </w:t>
      </w:r>
      <w:r w:rsidRPr="00E474C6">
        <w:rPr>
          <w:rFonts w:ascii="Times New Roman" w:eastAsia="Times New Roman" w:hAnsi="Times New Roman" w:cs="Times New Roman"/>
          <w:color w:val="000000"/>
          <w:lang w:eastAsia="bg-BG"/>
        </w:rPr>
        <w:t xml:space="preserve">, плазмената концентрация на амлодипин може да варира.Поради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E474C6">
        <w:rPr>
          <w:rFonts w:ascii="Times New Roman" w:eastAsia="Times New Roman" w:hAnsi="Times New Roman" w:cs="Times New Roman"/>
          <w:color w:val="000000"/>
          <w:lang w:val="en-US"/>
        </w:rPr>
        <w:t>CYP</w:t>
      </w:r>
      <w:r w:rsidRPr="00E474C6">
        <w:rPr>
          <w:rFonts w:ascii="Times New Roman" w:eastAsia="Times New Roman" w:hAnsi="Times New Roman" w:cs="Times New Roman"/>
          <w:color w:val="000000"/>
          <w:lang w:val="ru-RU"/>
        </w:rPr>
        <w:t>3</w:t>
      </w:r>
      <w:r w:rsidRPr="00E474C6">
        <w:rPr>
          <w:rFonts w:ascii="Times New Roman" w:eastAsia="Times New Roman" w:hAnsi="Times New Roman" w:cs="Times New Roman"/>
          <w:color w:val="000000"/>
          <w:lang w:val="en-US"/>
        </w:rPr>
        <w:t>A</w:t>
      </w:r>
      <w:r w:rsidRPr="00E474C6">
        <w:rPr>
          <w:rFonts w:ascii="Times New Roman" w:eastAsia="Times New Roman" w:hAnsi="Times New Roman" w:cs="Times New Roman"/>
          <w:color w:val="000000"/>
          <w:lang w:val="ru-RU"/>
        </w:rPr>
        <w:t xml:space="preserve">4 </w:t>
      </w:r>
      <w:r w:rsidRPr="00E474C6">
        <w:rPr>
          <w:rFonts w:ascii="Times New Roman" w:eastAsia="Times New Roman" w:hAnsi="Times New Roman" w:cs="Times New Roman"/>
          <w:color w:val="000000"/>
          <w:lang w:eastAsia="bg-BG"/>
        </w:rPr>
        <w:t>индуктори (напр. рифампицин, жълт кантарион)</w:t>
      </w:r>
    </w:p>
    <w:p w14:paraId="5C07BC52"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4C3840DB" w14:textId="77777777" w:rsidR="00E474C6" w:rsidRDefault="00E474C6" w:rsidP="00E474C6">
      <w:pPr>
        <w:spacing w:line="240" w:lineRule="auto"/>
        <w:rPr>
          <w:rFonts w:ascii="Times New Roman" w:eastAsia="Times New Roman" w:hAnsi="Times New Roman" w:cs="Times New Roman"/>
          <w:i/>
          <w:iCs/>
          <w:color w:val="000000"/>
          <w:lang w:eastAsia="bg-BG"/>
        </w:rPr>
      </w:pPr>
    </w:p>
    <w:p w14:paraId="2FD07CF7" w14:textId="3123F9F0"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eastAsia="bg-BG"/>
        </w:rPr>
        <w:t>Дантролен (инфузия)</w:t>
      </w:r>
    </w:p>
    <w:p w14:paraId="6C56EE23"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62F528EA" w14:textId="77777777" w:rsidR="00E474C6" w:rsidRDefault="00E474C6" w:rsidP="00E474C6">
      <w:pPr>
        <w:spacing w:line="240" w:lineRule="auto"/>
        <w:rPr>
          <w:rFonts w:ascii="Times New Roman" w:eastAsia="Times New Roman" w:hAnsi="Times New Roman" w:cs="Times New Roman"/>
          <w:i/>
          <w:iCs/>
          <w:color w:val="000000"/>
          <w:u w:val="single"/>
          <w:lang w:eastAsia="bg-BG"/>
        </w:rPr>
      </w:pPr>
    </w:p>
    <w:p w14:paraId="5DFAAFD2" w14:textId="251CF524"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u w:val="single"/>
          <w:lang w:eastAsia="bg-BG"/>
        </w:rPr>
        <w:t>Ефекти на амлодипин върху други лекарствени продукти</w:t>
      </w:r>
    </w:p>
    <w:p w14:paraId="7537F5E9"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21783EF4" w14:textId="77777777" w:rsidR="00E474C6" w:rsidRDefault="00E474C6" w:rsidP="00E474C6">
      <w:pPr>
        <w:spacing w:line="240" w:lineRule="auto"/>
        <w:rPr>
          <w:rFonts w:ascii="Times New Roman" w:eastAsia="Times New Roman" w:hAnsi="Times New Roman" w:cs="Times New Roman"/>
          <w:i/>
          <w:iCs/>
          <w:color w:val="000000"/>
          <w:lang w:eastAsia="bg-BG"/>
        </w:rPr>
      </w:pPr>
    </w:p>
    <w:p w14:paraId="7EE1D7B0" w14:textId="722F73BE"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eastAsia="bg-BG"/>
        </w:rPr>
        <w:t>Такролимус</w:t>
      </w:r>
    </w:p>
    <w:p w14:paraId="391C7871"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Съществува риск от повишени нива на такролимус в кръвта при едновременно приложение с амлодипин.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1F488404" w14:textId="77777777" w:rsidR="00E474C6" w:rsidRDefault="00E474C6" w:rsidP="00E474C6">
      <w:pPr>
        <w:spacing w:line="240" w:lineRule="auto"/>
        <w:rPr>
          <w:rFonts w:ascii="Times New Roman" w:eastAsia="Times New Roman" w:hAnsi="Times New Roman" w:cs="Times New Roman"/>
          <w:i/>
          <w:iCs/>
          <w:color w:val="000000"/>
          <w:lang w:eastAsia="bg-BG"/>
        </w:rPr>
      </w:pPr>
    </w:p>
    <w:p w14:paraId="14456A7C" w14:textId="1D13E518"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eastAsia="bg-BG"/>
        </w:rPr>
        <w:t xml:space="preserve">Мишена на рапамицин </w:t>
      </w:r>
      <w:r w:rsidRPr="00E474C6">
        <w:rPr>
          <w:rFonts w:ascii="Times New Roman" w:eastAsia="Times New Roman" w:hAnsi="Times New Roman" w:cs="Times New Roman"/>
          <w:i/>
          <w:iCs/>
          <w:color w:val="000000"/>
          <w:lang w:val="ru-RU"/>
        </w:rPr>
        <w:t>(</w:t>
      </w:r>
      <w:proofErr w:type="spellStart"/>
      <w:r w:rsidRPr="00E474C6">
        <w:rPr>
          <w:rFonts w:ascii="Times New Roman" w:eastAsia="Times New Roman" w:hAnsi="Times New Roman" w:cs="Times New Roman"/>
          <w:i/>
          <w:iCs/>
          <w:color w:val="000000"/>
          <w:lang w:val="en-US"/>
        </w:rPr>
        <w:t>mTOR</w:t>
      </w:r>
      <w:proofErr w:type="spellEnd"/>
      <w:r w:rsidRPr="00E474C6">
        <w:rPr>
          <w:rFonts w:ascii="Times New Roman" w:eastAsia="Times New Roman" w:hAnsi="Times New Roman" w:cs="Times New Roman"/>
          <w:i/>
          <w:iCs/>
          <w:color w:val="000000"/>
          <w:lang w:val="ru-RU"/>
        </w:rPr>
        <w:t xml:space="preserve">) </w:t>
      </w:r>
      <w:r w:rsidRPr="00E474C6">
        <w:rPr>
          <w:rFonts w:ascii="Times New Roman" w:eastAsia="Times New Roman" w:hAnsi="Times New Roman" w:cs="Times New Roman"/>
          <w:i/>
          <w:iCs/>
          <w:color w:val="000000"/>
          <w:lang w:eastAsia="bg-BG"/>
        </w:rPr>
        <w:t>инхибитори</w:t>
      </w:r>
    </w:p>
    <w:p w14:paraId="4612CBF2" w14:textId="77777777" w:rsidR="00E474C6" w:rsidRPr="00E474C6" w:rsidRDefault="00E474C6" w:rsidP="00E474C6">
      <w:pPr>
        <w:spacing w:line="240" w:lineRule="auto"/>
        <w:rPr>
          <w:rFonts w:ascii="Times New Roman" w:eastAsia="Times New Roman" w:hAnsi="Times New Roman" w:cs="Times New Roman"/>
          <w:sz w:val="24"/>
          <w:szCs w:val="24"/>
        </w:rPr>
      </w:pPr>
      <w:proofErr w:type="spellStart"/>
      <w:proofErr w:type="gramStart"/>
      <w:r w:rsidRPr="00E474C6">
        <w:rPr>
          <w:rFonts w:ascii="Times New Roman" w:eastAsia="Times New Roman" w:hAnsi="Times New Roman" w:cs="Times New Roman"/>
          <w:color w:val="000000"/>
          <w:lang w:val="en-US"/>
        </w:rPr>
        <w:t>mTOR</w:t>
      </w:r>
      <w:proofErr w:type="spellEnd"/>
      <w:proofErr w:type="gramEnd"/>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 xml:space="preserve">инхибитори като сиролимус, темсиролимус и еверолимус са субстрати на </w:t>
      </w:r>
      <w:r w:rsidRPr="00E474C6">
        <w:rPr>
          <w:rFonts w:ascii="Times New Roman" w:eastAsia="Times New Roman" w:hAnsi="Times New Roman" w:cs="Times New Roman"/>
          <w:color w:val="000000"/>
          <w:lang w:val="en-US"/>
        </w:rPr>
        <w:t>CYP</w:t>
      </w:r>
      <w:r w:rsidRPr="00E474C6">
        <w:rPr>
          <w:rFonts w:ascii="Times New Roman" w:eastAsia="Times New Roman" w:hAnsi="Times New Roman" w:cs="Times New Roman"/>
          <w:color w:val="000000"/>
          <w:lang w:val="ru-RU"/>
        </w:rPr>
        <w:t>3</w:t>
      </w:r>
      <w:r w:rsidRPr="00E474C6">
        <w:rPr>
          <w:rFonts w:ascii="Times New Roman" w:eastAsia="Times New Roman" w:hAnsi="Times New Roman" w:cs="Times New Roman"/>
          <w:color w:val="000000"/>
          <w:lang w:val="en-US"/>
        </w:rPr>
        <w:t>A</w:t>
      </w:r>
    </w:p>
    <w:p w14:paraId="5A26E5E5"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 xml:space="preserve">Амлодипин е слаб </w:t>
      </w:r>
      <w:r w:rsidRPr="00E474C6">
        <w:rPr>
          <w:rFonts w:ascii="Times New Roman" w:eastAsia="Times New Roman" w:hAnsi="Times New Roman" w:cs="Times New Roman"/>
          <w:color w:val="000000"/>
          <w:lang w:val="en-US"/>
        </w:rPr>
        <w:t>CYP</w:t>
      </w:r>
      <w:r w:rsidRPr="00E474C6">
        <w:rPr>
          <w:rFonts w:ascii="Times New Roman" w:eastAsia="Times New Roman" w:hAnsi="Times New Roman" w:cs="Times New Roman"/>
          <w:color w:val="000000"/>
        </w:rPr>
        <w:t>3</w:t>
      </w:r>
      <w:r w:rsidRPr="00E474C6">
        <w:rPr>
          <w:rFonts w:ascii="Times New Roman" w:eastAsia="Times New Roman" w:hAnsi="Times New Roman" w:cs="Times New Roman"/>
          <w:color w:val="000000"/>
          <w:lang w:val="en-US"/>
        </w:rPr>
        <w:t>A</w:t>
      </w:r>
      <w:r w:rsidRPr="00E474C6">
        <w:rPr>
          <w:rFonts w:ascii="Times New Roman" w:eastAsia="Times New Roman" w:hAnsi="Times New Roman" w:cs="Times New Roman"/>
          <w:color w:val="000000"/>
        </w:rPr>
        <w:t xml:space="preserve"> </w:t>
      </w:r>
      <w:r w:rsidRPr="00E474C6">
        <w:rPr>
          <w:rFonts w:ascii="Times New Roman" w:eastAsia="Times New Roman" w:hAnsi="Times New Roman" w:cs="Times New Roman"/>
          <w:color w:val="000000"/>
          <w:lang w:eastAsia="bg-BG"/>
        </w:rPr>
        <w:t xml:space="preserve">инхибитор. При едновременна употреба с </w:t>
      </w:r>
      <w:proofErr w:type="spellStart"/>
      <w:r w:rsidRPr="00E474C6">
        <w:rPr>
          <w:rFonts w:ascii="Times New Roman" w:eastAsia="Times New Roman" w:hAnsi="Times New Roman" w:cs="Times New Roman"/>
          <w:color w:val="000000"/>
          <w:lang w:val="en-US"/>
        </w:rPr>
        <w:t>mTOR</w:t>
      </w:r>
      <w:proofErr w:type="spellEnd"/>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инхибитори,</w:t>
      </w:r>
    </w:p>
    <w:p w14:paraId="0929BCF5" w14:textId="3BFD4D11" w:rsidR="00E474C6" w:rsidRDefault="00E474C6" w:rsidP="00E474C6">
      <w:pPr>
        <w:rPr>
          <w:rFonts w:ascii="Times New Roman" w:eastAsia="Times New Roman" w:hAnsi="Times New Roman" w:cs="Times New Roman"/>
          <w:color w:val="000000"/>
          <w:lang w:eastAsia="bg-BG"/>
        </w:rPr>
      </w:pPr>
      <w:r w:rsidRPr="00E474C6">
        <w:rPr>
          <w:rFonts w:ascii="Times New Roman" w:eastAsia="Times New Roman" w:hAnsi="Times New Roman" w:cs="Times New Roman"/>
          <w:color w:val="000000"/>
          <w:lang w:eastAsia="bg-BG"/>
        </w:rPr>
        <w:t xml:space="preserve">амлодипин може да увеличи излагането на </w:t>
      </w:r>
      <w:proofErr w:type="spellStart"/>
      <w:r w:rsidRPr="00E474C6">
        <w:rPr>
          <w:rFonts w:ascii="Times New Roman" w:eastAsia="Times New Roman" w:hAnsi="Times New Roman" w:cs="Times New Roman"/>
          <w:color w:val="000000"/>
          <w:lang w:val="en-US"/>
        </w:rPr>
        <w:t>mTOR</w:t>
      </w:r>
      <w:proofErr w:type="spellEnd"/>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инхибитори.</w:t>
      </w:r>
    </w:p>
    <w:p w14:paraId="7F82672E" w14:textId="48BD4007" w:rsidR="00E474C6" w:rsidRDefault="00E474C6" w:rsidP="00E474C6">
      <w:pPr>
        <w:rPr>
          <w:rFonts w:ascii="Times New Roman" w:eastAsia="Times New Roman" w:hAnsi="Times New Roman" w:cs="Times New Roman"/>
          <w:color w:val="000000"/>
          <w:lang w:eastAsia="bg-BG"/>
        </w:rPr>
      </w:pPr>
    </w:p>
    <w:p w14:paraId="02C80527"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u w:val="single"/>
          <w:lang w:eastAsia="bg-BG"/>
        </w:rPr>
        <w:t>Циклоспорин</w:t>
      </w:r>
    </w:p>
    <w:p w14:paraId="4E7A55E6" w14:textId="77777777"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Няма проведени проучвания за лекарствени взаимодействия на циклоспорин и амлодипин при здрави доброволци или други популации с изключение при пациенти с бъбречна трансплантация, при които се наблюдава променлива с повишени концентрации на циклоспорин (средно 0% - 40%). Трябва да се обмисли за контрол на нивата на циклоспорин при пациенти с бъбречна трансплантация на терапия с амлодипин и при необходимост да се редуцира дозата на циклоспорин.</w:t>
      </w:r>
    </w:p>
    <w:p w14:paraId="368599A1" w14:textId="77777777" w:rsidR="00E474C6" w:rsidRDefault="00E474C6" w:rsidP="00E474C6">
      <w:pPr>
        <w:spacing w:line="240" w:lineRule="auto"/>
        <w:rPr>
          <w:rFonts w:ascii="Times New Roman" w:eastAsia="Times New Roman" w:hAnsi="Times New Roman" w:cs="Times New Roman"/>
          <w:i/>
          <w:iCs/>
          <w:color w:val="000000"/>
          <w:lang w:eastAsia="bg-BG"/>
        </w:rPr>
      </w:pPr>
    </w:p>
    <w:p w14:paraId="463E4341" w14:textId="698F38DE"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i/>
          <w:iCs/>
          <w:color w:val="000000"/>
          <w:lang w:eastAsia="bg-BG"/>
        </w:rPr>
        <w:t>Симвастатин:</w:t>
      </w:r>
      <w:r w:rsidRPr="00E474C6">
        <w:rPr>
          <w:rFonts w:ascii="Times New Roman" w:eastAsia="Times New Roman" w:hAnsi="Times New Roman" w:cs="Times New Roman"/>
          <w:color w:val="000000"/>
          <w:lang w:eastAsia="bg-BG"/>
        </w:rPr>
        <w:t xml:space="preserve"> Едновременият прием на многократни дози на 10 </w:t>
      </w:r>
      <w:r w:rsidRPr="00E474C6">
        <w:rPr>
          <w:rFonts w:ascii="Times New Roman" w:eastAsia="Times New Roman" w:hAnsi="Times New Roman" w:cs="Times New Roman"/>
          <w:color w:val="000000"/>
          <w:lang w:val="en-US"/>
        </w:rPr>
        <w:t>mg</w:t>
      </w:r>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 xml:space="preserve">амлодипин с 80 </w:t>
      </w:r>
      <w:r w:rsidRPr="00E474C6">
        <w:rPr>
          <w:rFonts w:ascii="Times New Roman" w:eastAsia="Times New Roman" w:hAnsi="Times New Roman" w:cs="Times New Roman"/>
          <w:color w:val="000000"/>
          <w:lang w:val="en-US"/>
        </w:rPr>
        <w:t>mg</w:t>
      </w:r>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 xml:space="preserve">симвастатин повишава експозицията на симвастатин със 77 % в сравнение със симвастатин монотерапия. При пациенти, приемащи амлодипин, пределната доза симвастатин е 20 </w:t>
      </w:r>
      <w:r w:rsidRPr="00E474C6">
        <w:rPr>
          <w:rFonts w:ascii="Times New Roman" w:eastAsia="Times New Roman" w:hAnsi="Times New Roman" w:cs="Times New Roman"/>
          <w:color w:val="000000"/>
          <w:lang w:val="en-US"/>
        </w:rPr>
        <w:t>mg</w:t>
      </w:r>
      <w:r w:rsidRPr="00E474C6">
        <w:rPr>
          <w:rFonts w:ascii="Times New Roman" w:eastAsia="Times New Roman" w:hAnsi="Times New Roman" w:cs="Times New Roman"/>
          <w:color w:val="000000"/>
          <w:lang w:val="ru-RU"/>
        </w:rPr>
        <w:t xml:space="preserve"> </w:t>
      </w:r>
      <w:r w:rsidRPr="00E474C6">
        <w:rPr>
          <w:rFonts w:ascii="Times New Roman" w:eastAsia="Times New Roman" w:hAnsi="Times New Roman" w:cs="Times New Roman"/>
          <w:color w:val="000000"/>
          <w:lang w:eastAsia="bg-BG"/>
        </w:rPr>
        <w:t>дневно.</w:t>
      </w:r>
    </w:p>
    <w:p w14:paraId="0C5BDCBE" w14:textId="77777777" w:rsidR="00E474C6" w:rsidRDefault="00E474C6" w:rsidP="00E474C6">
      <w:pPr>
        <w:spacing w:line="240" w:lineRule="auto"/>
        <w:rPr>
          <w:rFonts w:ascii="Times New Roman" w:eastAsia="Times New Roman" w:hAnsi="Times New Roman" w:cs="Times New Roman"/>
          <w:color w:val="000000"/>
          <w:lang w:eastAsia="bg-BG"/>
        </w:rPr>
      </w:pPr>
    </w:p>
    <w:p w14:paraId="5DA6F844" w14:textId="3E638E6E" w:rsidR="00E474C6" w:rsidRPr="00E474C6" w:rsidRDefault="00E474C6" w:rsidP="00E474C6">
      <w:pPr>
        <w:spacing w:line="240" w:lineRule="auto"/>
        <w:rPr>
          <w:rFonts w:ascii="Times New Roman" w:eastAsia="Times New Roman" w:hAnsi="Times New Roman" w:cs="Times New Roman"/>
          <w:sz w:val="24"/>
          <w:szCs w:val="24"/>
        </w:rPr>
      </w:pPr>
      <w:r w:rsidRPr="00E474C6">
        <w:rPr>
          <w:rFonts w:ascii="Times New Roman" w:eastAsia="Times New Roman" w:hAnsi="Times New Roman" w:cs="Times New Roman"/>
          <w:color w:val="000000"/>
          <w:lang w:eastAsia="bg-BG"/>
        </w:rPr>
        <w:t>При клинични изпитвания за взаимодействия амлодипин не повлиява фармакокинетиката на аторвастатин, дигоксин или варфарин.</w:t>
      </w:r>
    </w:p>
    <w:p w14:paraId="1F4E312D" w14:textId="77777777" w:rsidR="00E474C6" w:rsidRPr="00E474C6" w:rsidRDefault="00E474C6" w:rsidP="00E474C6"/>
    <w:p w14:paraId="394A7584" w14:textId="3B302324" w:rsidR="004F498A" w:rsidRDefault="002C50EE" w:rsidP="004A448E">
      <w:pPr>
        <w:pStyle w:val="Heading2"/>
      </w:pPr>
      <w:r>
        <w:t>4.6. Фертилитет, бременност и кърмене</w:t>
      </w:r>
    </w:p>
    <w:p w14:paraId="40C0E5CF" w14:textId="433D05D9" w:rsidR="00E474C6" w:rsidRDefault="00E474C6" w:rsidP="00E474C6"/>
    <w:p w14:paraId="46F5AB7F" w14:textId="77777777" w:rsidR="00E474C6" w:rsidRPr="00E474C6" w:rsidRDefault="00E474C6" w:rsidP="00E474C6">
      <w:pPr>
        <w:pStyle w:val="Heading3"/>
        <w:rPr>
          <w:rFonts w:eastAsia="Times New Roman"/>
          <w:u w:val="single"/>
        </w:rPr>
      </w:pPr>
      <w:r w:rsidRPr="00E474C6">
        <w:rPr>
          <w:rFonts w:eastAsia="Times New Roman"/>
          <w:u w:val="single"/>
          <w:lang w:eastAsia="bg-BG"/>
        </w:rPr>
        <w:lastRenderedPageBreak/>
        <w:t>Бременност</w:t>
      </w:r>
    </w:p>
    <w:p w14:paraId="59C0F536"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Безопасността на амлодипин по време на бременност при хора не е установена.</w:t>
      </w:r>
    </w:p>
    <w:p w14:paraId="0C64B7FB" w14:textId="77777777" w:rsidR="00E474C6" w:rsidRPr="00E474C6" w:rsidRDefault="00E474C6" w:rsidP="00E474C6">
      <w:pPr>
        <w:spacing w:line="240" w:lineRule="auto"/>
        <w:rPr>
          <w:rFonts w:eastAsia="Times New Roman" w:cs="Arial"/>
          <w:color w:val="000000"/>
          <w:lang w:eastAsia="bg-BG"/>
        </w:rPr>
      </w:pPr>
    </w:p>
    <w:p w14:paraId="5A8BFCCC" w14:textId="653063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В проучвания при животни, при високи дози е наблюдавана репродуктивна токсичност (вж.точка 5.3).</w:t>
      </w:r>
    </w:p>
    <w:p w14:paraId="14A116E1" w14:textId="77777777" w:rsidR="00E474C6" w:rsidRPr="00E474C6" w:rsidRDefault="00E474C6" w:rsidP="00E474C6">
      <w:pPr>
        <w:spacing w:line="240" w:lineRule="auto"/>
        <w:rPr>
          <w:rFonts w:eastAsia="Times New Roman" w:cs="Arial"/>
          <w:color w:val="000000"/>
          <w:lang w:eastAsia="bg-BG"/>
        </w:rPr>
      </w:pPr>
    </w:p>
    <w:p w14:paraId="476DF254" w14:textId="0EF2D34E"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Приложение по време на бременност се препоръчва само когато няма безопасна алтернатива и когато болестта сама по себе си носи по-голям риск за майката и плода.</w:t>
      </w:r>
    </w:p>
    <w:p w14:paraId="68BA3295" w14:textId="77777777" w:rsidR="00E474C6" w:rsidRPr="00E474C6" w:rsidRDefault="00E474C6" w:rsidP="00E474C6">
      <w:pPr>
        <w:spacing w:line="240" w:lineRule="auto"/>
        <w:rPr>
          <w:rFonts w:eastAsia="Times New Roman" w:cs="Arial"/>
          <w:color w:val="000000"/>
          <w:u w:val="single"/>
          <w:lang w:eastAsia="bg-BG"/>
        </w:rPr>
      </w:pPr>
    </w:p>
    <w:p w14:paraId="5FF660A6" w14:textId="02F76A6B" w:rsidR="00E474C6" w:rsidRPr="00E474C6" w:rsidRDefault="00E474C6" w:rsidP="00E474C6">
      <w:pPr>
        <w:pStyle w:val="Heading3"/>
        <w:rPr>
          <w:rFonts w:eastAsia="Times New Roman"/>
          <w:u w:val="single"/>
        </w:rPr>
      </w:pPr>
      <w:r w:rsidRPr="00E474C6">
        <w:rPr>
          <w:rFonts w:eastAsia="Times New Roman"/>
          <w:u w:val="single"/>
          <w:lang w:eastAsia="bg-BG"/>
        </w:rPr>
        <w:t>Кърмене</w:t>
      </w:r>
    </w:p>
    <w:p w14:paraId="09E69BDF"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 с максимум 15 %. Ефектът на амлодипин върху кърмачетата е неизвестен.</w:t>
      </w:r>
    </w:p>
    <w:p w14:paraId="6EF66C23"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Решение дали да се продължи/прекъсне кърменето или да се продължи/прекъсне терапията с амлодипин трябва да се взема като се има предвид ползата от кърменето на детето и ползата от терапията с амлодипин за майката.</w:t>
      </w:r>
    </w:p>
    <w:p w14:paraId="304F5BEC" w14:textId="77777777" w:rsidR="00E474C6" w:rsidRPr="00E474C6" w:rsidRDefault="00E474C6" w:rsidP="00E474C6">
      <w:pPr>
        <w:spacing w:line="240" w:lineRule="auto"/>
        <w:rPr>
          <w:rFonts w:eastAsia="Times New Roman" w:cs="Arial"/>
          <w:color w:val="000000"/>
          <w:u w:val="single"/>
          <w:lang w:eastAsia="bg-BG"/>
        </w:rPr>
      </w:pPr>
    </w:p>
    <w:p w14:paraId="7E9F6868" w14:textId="4A33624F" w:rsidR="00E474C6" w:rsidRPr="00E474C6" w:rsidRDefault="00E474C6" w:rsidP="00E474C6">
      <w:pPr>
        <w:pStyle w:val="Heading3"/>
        <w:rPr>
          <w:rFonts w:eastAsia="Times New Roman"/>
          <w:u w:val="single"/>
        </w:rPr>
      </w:pPr>
      <w:r w:rsidRPr="00E474C6">
        <w:rPr>
          <w:rFonts w:eastAsia="Times New Roman"/>
          <w:u w:val="single"/>
          <w:lang w:eastAsia="bg-BG"/>
        </w:rPr>
        <w:t>Фертилитет</w:t>
      </w:r>
    </w:p>
    <w:p w14:paraId="44755AFD"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171632E5" w14:textId="77777777" w:rsidR="00E474C6" w:rsidRPr="00E474C6" w:rsidRDefault="00E474C6" w:rsidP="00E474C6"/>
    <w:p w14:paraId="064DF1DE" w14:textId="10405AF3" w:rsidR="00CF77F7" w:rsidRDefault="002C50EE" w:rsidP="004A448E">
      <w:pPr>
        <w:pStyle w:val="Heading2"/>
      </w:pPr>
      <w:r>
        <w:t>4.7. Ефекти върху способността за шофиране и работа с машини</w:t>
      </w:r>
    </w:p>
    <w:p w14:paraId="0FEDE3C3" w14:textId="34477BE9" w:rsidR="00E474C6" w:rsidRDefault="00E474C6" w:rsidP="00E474C6"/>
    <w:p w14:paraId="51966700" w14:textId="77777777" w:rsidR="00E474C6" w:rsidRPr="00E474C6" w:rsidRDefault="00E474C6" w:rsidP="00E474C6">
      <w:pPr>
        <w:rPr>
          <w:sz w:val="24"/>
          <w:szCs w:val="24"/>
        </w:rPr>
      </w:pPr>
      <w:r w:rsidRPr="00E474C6">
        <w:rPr>
          <w:lang w:eastAsia="bg-BG"/>
        </w:rPr>
        <w:t>Амлодопин може да оказва слаб до умерен ефект върху способността за шофиране и работа с машини. Ако пациентите, получаващи амлодипин, имат оплаквания от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356979A6" w14:textId="77777777" w:rsidR="00E474C6" w:rsidRPr="00E474C6" w:rsidRDefault="00E474C6" w:rsidP="00E474C6"/>
    <w:p w14:paraId="37A3FD9F" w14:textId="11FA4F42" w:rsidR="00CF77F7" w:rsidRDefault="002C50EE" w:rsidP="004A448E">
      <w:pPr>
        <w:pStyle w:val="Heading2"/>
      </w:pPr>
      <w:r>
        <w:t>4.8. Нежелани лекарствени реакции</w:t>
      </w:r>
    </w:p>
    <w:p w14:paraId="4ABF4BCD" w14:textId="27CBD37D" w:rsidR="00E474C6" w:rsidRDefault="00E474C6" w:rsidP="00E474C6"/>
    <w:p w14:paraId="5519531A"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u w:val="single"/>
          <w:lang w:eastAsia="bg-BG"/>
        </w:rPr>
        <w:t>Обобщение на профила на безопасност</w:t>
      </w:r>
    </w:p>
    <w:p w14:paraId="4795E29D"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Най-често съобщаваните нежеланите лекарствени реакции по време на лечение са сомнолентност,, замаяност, главоболие, палпитации, зачервяване, коремна болка, гадене, отоци на глезените, оток и умора.</w:t>
      </w:r>
    </w:p>
    <w:p w14:paraId="70936916" w14:textId="77777777" w:rsidR="00E474C6" w:rsidRPr="00E474C6" w:rsidRDefault="00E474C6" w:rsidP="00E474C6">
      <w:pPr>
        <w:spacing w:line="240" w:lineRule="auto"/>
        <w:rPr>
          <w:rFonts w:eastAsia="Times New Roman" w:cs="Arial"/>
          <w:color w:val="000000"/>
          <w:lang w:eastAsia="bg-BG"/>
        </w:rPr>
      </w:pPr>
    </w:p>
    <w:p w14:paraId="5C237687" w14:textId="5786FC8C"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Табличен списък на нежеланите лекарствени реакции</w:t>
      </w:r>
    </w:p>
    <w:p w14:paraId="4EB11E6A" w14:textId="77777777" w:rsidR="00E474C6" w:rsidRPr="00E474C6" w:rsidRDefault="00E474C6" w:rsidP="00E474C6">
      <w:pPr>
        <w:spacing w:line="240" w:lineRule="auto"/>
        <w:rPr>
          <w:rFonts w:eastAsia="Times New Roman" w:cs="Arial"/>
          <w:color w:val="000000"/>
          <w:lang w:eastAsia="bg-BG"/>
        </w:rPr>
      </w:pPr>
    </w:p>
    <w:p w14:paraId="6A964CC7" w14:textId="2DDB3C9D"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Следните нежелани лекарствени реакции са били наблюдавани и съобщавани по време на лечение с амлодипин със следните честоти: Много чести (≥1/10); Чести (≥1/100 до &lt; 1/10); Нечести (≥1/1 000 до &lt; 1/100); Редки (≥1/10 000 до &lt; 1/1 000); Много редки ( &lt; 1/10 000), с неизвестна честота (от наличните данни не може да бъде направена оценка).</w:t>
      </w:r>
    </w:p>
    <w:p w14:paraId="251C53DA" w14:textId="77777777" w:rsidR="00E474C6" w:rsidRPr="00E474C6" w:rsidRDefault="00E474C6" w:rsidP="00E474C6">
      <w:pPr>
        <w:spacing w:line="240" w:lineRule="auto"/>
        <w:rPr>
          <w:rFonts w:eastAsia="Times New Roman" w:cs="Arial"/>
          <w:color w:val="000000"/>
          <w:lang w:eastAsia="bg-BG"/>
        </w:rPr>
      </w:pPr>
    </w:p>
    <w:p w14:paraId="230C6714" w14:textId="7BE89801"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517D17FC" w14:textId="34809D9F" w:rsidR="00E474C6" w:rsidRDefault="00E474C6" w:rsidP="00E474C6"/>
    <w:tbl>
      <w:tblPr>
        <w:tblStyle w:val="TableGrid"/>
        <w:tblW w:w="0" w:type="auto"/>
        <w:tblLook w:val="04A0" w:firstRow="1" w:lastRow="0" w:firstColumn="1" w:lastColumn="0" w:noHBand="0" w:noVBand="1"/>
      </w:tblPr>
      <w:tblGrid>
        <w:gridCol w:w="2838"/>
        <w:gridCol w:w="2672"/>
        <w:gridCol w:w="3840"/>
      </w:tblGrid>
      <w:tr w:rsidR="00E474C6" w14:paraId="5BFC5D63" w14:textId="77777777" w:rsidTr="00E474C6">
        <w:tc>
          <w:tcPr>
            <w:tcW w:w="2888" w:type="dxa"/>
          </w:tcPr>
          <w:p w14:paraId="70FA2A0C" w14:textId="6F6744B0" w:rsidR="00E474C6" w:rsidRDefault="00E474C6" w:rsidP="00E474C6">
            <w:r>
              <w:rPr>
                <w:b/>
                <w:bCs/>
              </w:rPr>
              <w:lastRenderedPageBreak/>
              <w:t>Система Орган Клас</w:t>
            </w:r>
          </w:p>
        </w:tc>
        <w:tc>
          <w:tcPr>
            <w:tcW w:w="2848" w:type="dxa"/>
          </w:tcPr>
          <w:p w14:paraId="482C0EF0" w14:textId="67C2F8DD" w:rsidR="00E474C6" w:rsidRDefault="00E474C6" w:rsidP="00E474C6">
            <w:r>
              <w:rPr>
                <w:b/>
                <w:bCs/>
              </w:rPr>
              <w:t>Честота</w:t>
            </w:r>
          </w:p>
        </w:tc>
        <w:tc>
          <w:tcPr>
            <w:tcW w:w="3840" w:type="dxa"/>
          </w:tcPr>
          <w:p w14:paraId="5D45DB56" w14:textId="3DD229E6" w:rsidR="00E474C6" w:rsidRDefault="00E474C6" w:rsidP="00E474C6">
            <w:r>
              <w:rPr>
                <w:b/>
                <w:bCs/>
              </w:rPr>
              <w:t>Нежелани лекарствени реакции</w:t>
            </w:r>
          </w:p>
        </w:tc>
      </w:tr>
      <w:tr w:rsidR="00E474C6" w14:paraId="3C2D3515" w14:textId="77777777" w:rsidTr="00E474C6">
        <w:tc>
          <w:tcPr>
            <w:tcW w:w="2888" w:type="dxa"/>
          </w:tcPr>
          <w:p w14:paraId="7B97956C" w14:textId="429E40CF" w:rsidR="00E474C6" w:rsidRDefault="00E474C6" w:rsidP="00E474C6">
            <w:r>
              <w:t>Нарушения на кръвта и лимфната система</w:t>
            </w:r>
          </w:p>
        </w:tc>
        <w:tc>
          <w:tcPr>
            <w:tcW w:w="2848" w:type="dxa"/>
          </w:tcPr>
          <w:p w14:paraId="014C571C" w14:textId="4C292063" w:rsidR="00E474C6" w:rsidRDefault="00E474C6" w:rsidP="00E474C6">
            <w:r>
              <w:t>Много редки</w:t>
            </w:r>
          </w:p>
        </w:tc>
        <w:tc>
          <w:tcPr>
            <w:tcW w:w="3840" w:type="dxa"/>
          </w:tcPr>
          <w:p w14:paraId="68B67ED9" w14:textId="60CC51FA" w:rsidR="00E474C6" w:rsidRDefault="00E474C6" w:rsidP="00E474C6">
            <w:r>
              <w:t>Левкоцитопения,тромбоцитопения.</w:t>
            </w:r>
          </w:p>
        </w:tc>
      </w:tr>
      <w:tr w:rsidR="00E474C6" w14:paraId="1AA49FF5" w14:textId="77777777" w:rsidTr="00E474C6">
        <w:tc>
          <w:tcPr>
            <w:tcW w:w="2888" w:type="dxa"/>
          </w:tcPr>
          <w:p w14:paraId="2D5A3B4D" w14:textId="1971BFC3" w:rsidR="00E474C6" w:rsidRDefault="00E474C6" w:rsidP="00E474C6">
            <w:r>
              <w:t>Нарушения на имунната система</w:t>
            </w:r>
          </w:p>
        </w:tc>
        <w:tc>
          <w:tcPr>
            <w:tcW w:w="2848" w:type="dxa"/>
          </w:tcPr>
          <w:p w14:paraId="79A1B630" w14:textId="3BD64A72" w:rsidR="00E474C6" w:rsidRDefault="00E474C6" w:rsidP="00E474C6">
            <w:r>
              <w:t>Много редки</w:t>
            </w:r>
          </w:p>
        </w:tc>
        <w:tc>
          <w:tcPr>
            <w:tcW w:w="3840" w:type="dxa"/>
          </w:tcPr>
          <w:p w14:paraId="4BD738A3" w14:textId="26F2D081" w:rsidR="00E474C6" w:rsidRDefault="00E474C6" w:rsidP="00E474C6">
            <w:r>
              <w:t>Алергични реакции</w:t>
            </w:r>
          </w:p>
        </w:tc>
      </w:tr>
      <w:tr w:rsidR="00E474C6" w14:paraId="2502E38F" w14:textId="77777777" w:rsidTr="00E474C6">
        <w:tc>
          <w:tcPr>
            <w:tcW w:w="2888" w:type="dxa"/>
          </w:tcPr>
          <w:p w14:paraId="38992C35" w14:textId="4C35BD94" w:rsidR="00E474C6" w:rsidRDefault="00E474C6" w:rsidP="00E474C6">
            <w:r>
              <w:t>Нарушения на метаболизма и храненето</w:t>
            </w:r>
          </w:p>
        </w:tc>
        <w:tc>
          <w:tcPr>
            <w:tcW w:w="2848" w:type="dxa"/>
          </w:tcPr>
          <w:p w14:paraId="6741BB8D" w14:textId="44B6B301" w:rsidR="00E474C6" w:rsidRDefault="00E474C6" w:rsidP="00E474C6">
            <w:r>
              <w:t>Много редки</w:t>
            </w:r>
          </w:p>
        </w:tc>
        <w:tc>
          <w:tcPr>
            <w:tcW w:w="3840" w:type="dxa"/>
          </w:tcPr>
          <w:p w14:paraId="5FC5094E" w14:textId="2FFDF7D8" w:rsidR="00E474C6" w:rsidRDefault="00E474C6" w:rsidP="00E474C6">
            <w:r>
              <w:t>Хипергликемия</w:t>
            </w:r>
          </w:p>
        </w:tc>
      </w:tr>
      <w:tr w:rsidR="00E474C6" w14:paraId="380241AD" w14:textId="77777777" w:rsidTr="00E474C6">
        <w:tc>
          <w:tcPr>
            <w:tcW w:w="2888" w:type="dxa"/>
            <w:vMerge w:val="restart"/>
          </w:tcPr>
          <w:p w14:paraId="7AE09FD7" w14:textId="3D19E213" w:rsidR="00E474C6" w:rsidRDefault="00E474C6" w:rsidP="00E474C6">
            <w:r>
              <w:t>Психични нарушения</w:t>
            </w:r>
          </w:p>
        </w:tc>
        <w:tc>
          <w:tcPr>
            <w:tcW w:w="2848" w:type="dxa"/>
          </w:tcPr>
          <w:p w14:paraId="1660F278" w14:textId="2502CD1E" w:rsidR="00E474C6" w:rsidRDefault="00E474C6" w:rsidP="00E474C6">
            <w:r>
              <w:t>Нечести</w:t>
            </w:r>
          </w:p>
        </w:tc>
        <w:tc>
          <w:tcPr>
            <w:tcW w:w="3840" w:type="dxa"/>
          </w:tcPr>
          <w:p w14:paraId="7783C60C" w14:textId="77777777" w:rsidR="00E474C6" w:rsidRDefault="00E474C6" w:rsidP="00E474C6">
            <w:r>
              <w:t>Депресия, промени в настроението (включително тревожност),</w:t>
            </w:r>
          </w:p>
          <w:p w14:paraId="2042A6B5" w14:textId="1551A583" w:rsidR="00E474C6" w:rsidRDefault="00E474C6" w:rsidP="00E474C6">
            <w:r>
              <w:t>безсъние</w:t>
            </w:r>
          </w:p>
        </w:tc>
      </w:tr>
      <w:tr w:rsidR="00E474C6" w14:paraId="385C73A4" w14:textId="77777777" w:rsidTr="00E474C6">
        <w:tc>
          <w:tcPr>
            <w:tcW w:w="2888" w:type="dxa"/>
            <w:vMerge/>
          </w:tcPr>
          <w:p w14:paraId="499E4E1B" w14:textId="77777777" w:rsidR="00E474C6" w:rsidRDefault="00E474C6" w:rsidP="00E474C6"/>
        </w:tc>
        <w:tc>
          <w:tcPr>
            <w:tcW w:w="2848" w:type="dxa"/>
          </w:tcPr>
          <w:p w14:paraId="59274DDB" w14:textId="78473C79" w:rsidR="00E474C6" w:rsidRDefault="00E474C6" w:rsidP="00E474C6">
            <w:r>
              <w:t>Редки</w:t>
            </w:r>
          </w:p>
        </w:tc>
        <w:tc>
          <w:tcPr>
            <w:tcW w:w="3840" w:type="dxa"/>
          </w:tcPr>
          <w:p w14:paraId="53E2A18D" w14:textId="5FE7DC66" w:rsidR="00E474C6" w:rsidRDefault="00E474C6" w:rsidP="00E474C6">
            <w:r>
              <w:t>Обърканост</w:t>
            </w:r>
          </w:p>
        </w:tc>
      </w:tr>
      <w:tr w:rsidR="00E474C6" w14:paraId="5B0F20FD" w14:textId="77777777" w:rsidTr="00E474C6">
        <w:tc>
          <w:tcPr>
            <w:tcW w:w="2888" w:type="dxa"/>
            <w:vMerge w:val="restart"/>
          </w:tcPr>
          <w:p w14:paraId="4DCD371D" w14:textId="5CFF2B5D" w:rsidR="00E474C6" w:rsidRDefault="00E474C6" w:rsidP="00E474C6">
            <w:r>
              <w:t>Нарушения на нервната система</w:t>
            </w:r>
          </w:p>
        </w:tc>
        <w:tc>
          <w:tcPr>
            <w:tcW w:w="2848" w:type="dxa"/>
          </w:tcPr>
          <w:p w14:paraId="54C839E3" w14:textId="442F87B8" w:rsidR="00E474C6" w:rsidRDefault="00E474C6" w:rsidP="00E474C6">
            <w:r>
              <w:t>Чести</w:t>
            </w:r>
          </w:p>
        </w:tc>
        <w:tc>
          <w:tcPr>
            <w:tcW w:w="3840" w:type="dxa"/>
          </w:tcPr>
          <w:p w14:paraId="206197F4" w14:textId="6E767E20" w:rsidR="00E474C6" w:rsidRDefault="00E474C6" w:rsidP="00E474C6">
            <w:r>
              <w:t>Сомнолентност, замаяност, главоболие (особено в началото на лечението)</w:t>
            </w:r>
          </w:p>
        </w:tc>
      </w:tr>
      <w:tr w:rsidR="00E474C6" w14:paraId="75AC9027" w14:textId="77777777" w:rsidTr="00E474C6">
        <w:tc>
          <w:tcPr>
            <w:tcW w:w="2888" w:type="dxa"/>
            <w:vMerge/>
          </w:tcPr>
          <w:p w14:paraId="6E717056" w14:textId="77777777" w:rsidR="00E474C6" w:rsidRDefault="00E474C6" w:rsidP="00E474C6"/>
        </w:tc>
        <w:tc>
          <w:tcPr>
            <w:tcW w:w="2848" w:type="dxa"/>
          </w:tcPr>
          <w:p w14:paraId="10EF78B3" w14:textId="52D17B20" w:rsidR="00E474C6" w:rsidRDefault="00E474C6" w:rsidP="00E474C6">
            <w:r>
              <w:t>Нечести</w:t>
            </w:r>
          </w:p>
        </w:tc>
        <w:tc>
          <w:tcPr>
            <w:tcW w:w="3840" w:type="dxa"/>
          </w:tcPr>
          <w:p w14:paraId="4DF61C68" w14:textId="496D4ADF" w:rsidR="00E474C6" w:rsidRDefault="00E474C6" w:rsidP="00E474C6">
            <w:r>
              <w:t>Тремор, дисгеузия, синкоп, , хипестазия, парастезия</w:t>
            </w:r>
          </w:p>
        </w:tc>
      </w:tr>
      <w:tr w:rsidR="00E474C6" w14:paraId="4864E6E3" w14:textId="77777777" w:rsidTr="00E474C6">
        <w:tc>
          <w:tcPr>
            <w:tcW w:w="2888" w:type="dxa"/>
            <w:vMerge/>
          </w:tcPr>
          <w:p w14:paraId="78232838" w14:textId="77777777" w:rsidR="00E474C6" w:rsidRDefault="00E474C6" w:rsidP="00E474C6"/>
        </w:tc>
        <w:tc>
          <w:tcPr>
            <w:tcW w:w="2848" w:type="dxa"/>
          </w:tcPr>
          <w:p w14:paraId="77CAD684" w14:textId="00DE3B76" w:rsidR="00E474C6" w:rsidRDefault="00E474C6" w:rsidP="00E474C6">
            <w:r>
              <w:t>Много редки</w:t>
            </w:r>
          </w:p>
        </w:tc>
        <w:tc>
          <w:tcPr>
            <w:tcW w:w="3840" w:type="dxa"/>
          </w:tcPr>
          <w:p w14:paraId="689BC74D" w14:textId="77777777" w:rsidR="00E474C6" w:rsidRDefault="00E474C6" w:rsidP="00E474C6">
            <w:r>
              <w:t>Хипертония, периферна</w:t>
            </w:r>
          </w:p>
          <w:p w14:paraId="3B946EA1" w14:textId="3B39BFF9" w:rsidR="00E474C6" w:rsidRDefault="00E474C6" w:rsidP="00E474C6">
            <w:r>
              <w:t>невропатия</w:t>
            </w:r>
          </w:p>
        </w:tc>
      </w:tr>
      <w:tr w:rsidR="00E474C6" w14:paraId="28C44EC9" w14:textId="77777777" w:rsidTr="00E474C6">
        <w:tc>
          <w:tcPr>
            <w:tcW w:w="2888" w:type="dxa"/>
            <w:vMerge/>
          </w:tcPr>
          <w:p w14:paraId="61FA687B" w14:textId="77777777" w:rsidR="00E474C6" w:rsidRDefault="00E474C6" w:rsidP="00E474C6"/>
        </w:tc>
        <w:tc>
          <w:tcPr>
            <w:tcW w:w="2848" w:type="dxa"/>
          </w:tcPr>
          <w:p w14:paraId="5E87249A" w14:textId="31868115" w:rsidR="00E474C6" w:rsidRDefault="00E474C6" w:rsidP="00E474C6">
            <w:r>
              <w:t>С неизвестна честота</w:t>
            </w:r>
          </w:p>
        </w:tc>
        <w:tc>
          <w:tcPr>
            <w:tcW w:w="3840" w:type="dxa"/>
          </w:tcPr>
          <w:p w14:paraId="019413B2" w14:textId="1012E35D" w:rsidR="00E474C6" w:rsidRDefault="00E474C6" w:rsidP="00E474C6">
            <w:r>
              <w:t>Екстрадирам идни нарушения</w:t>
            </w:r>
          </w:p>
        </w:tc>
      </w:tr>
      <w:tr w:rsidR="00E474C6" w14:paraId="7B002CFA" w14:textId="77777777" w:rsidTr="00E474C6">
        <w:tc>
          <w:tcPr>
            <w:tcW w:w="2888" w:type="dxa"/>
          </w:tcPr>
          <w:p w14:paraId="0E0F3490" w14:textId="2E3280A2" w:rsidR="00E474C6" w:rsidRDefault="00E474C6" w:rsidP="00E474C6">
            <w:r>
              <w:t>Нарушения на очите</w:t>
            </w:r>
          </w:p>
        </w:tc>
        <w:tc>
          <w:tcPr>
            <w:tcW w:w="2848" w:type="dxa"/>
          </w:tcPr>
          <w:p w14:paraId="7860387C" w14:textId="627D8976" w:rsidR="00E474C6" w:rsidRDefault="00E474C6" w:rsidP="00E474C6">
            <w:r>
              <w:t>Чести</w:t>
            </w:r>
          </w:p>
        </w:tc>
        <w:tc>
          <w:tcPr>
            <w:tcW w:w="3840" w:type="dxa"/>
          </w:tcPr>
          <w:p w14:paraId="1E63F023" w14:textId="050F6011" w:rsidR="00E474C6" w:rsidRDefault="00E474C6" w:rsidP="00E474C6">
            <w:r>
              <w:t>Зрителни нарушения (включително диплопия)</w:t>
            </w:r>
          </w:p>
        </w:tc>
      </w:tr>
      <w:tr w:rsidR="00E474C6" w14:paraId="26D7E89F" w14:textId="77777777" w:rsidTr="00E474C6">
        <w:tc>
          <w:tcPr>
            <w:tcW w:w="2888" w:type="dxa"/>
          </w:tcPr>
          <w:p w14:paraId="50CA70D9" w14:textId="39E52ABE" w:rsidR="00E474C6" w:rsidRDefault="00E474C6" w:rsidP="00E474C6">
            <w:r>
              <w:t>Нарушения на ухото и лабиринта</w:t>
            </w:r>
          </w:p>
        </w:tc>
        <w:tc>
          <w:tcPr>
            <w:tcW w:w="2848" w:type="dxa"/>
          </w:tcPr>
          <w:p w14:paraId="015822C2" w14:textId="27A58834" w:rsidR="00E474C6" w:rsidRDefault="00E474C6" w:rsidP="00E474C6">
            <w:r>
              <w:t>Нечести</w:t>
            </w:r>
          </w:p>
        </w:tc>
        <w:tc>
          <w:tcPr>
            <w:tcW w:w="3840" w:type="dxa"/>
          </w:tcPr>
          <w:p w14:paraId="2D3A0B80" w14:textId="1466E9D1" w:rsidR="00E474C6" w:rsidRDefault="00E474C6" w:rsidP="00E474C6">
            <w:r>
              <w:t>Тинитус</w:t>
            </w:r>
          </w:p>
        </w:tc>
      </w:tr>
      <w:tr w:rsidR="00E474C6" w14:paraId="1CB0E780" w14:textId="77777777" w:rsidTr="00E474C6">
        <w:tc>
          <w:tcPr>
            <w:tcW w:w="2888" w:type="dxa"/>
            <w:vMerge w:val="restart"/>
          </w:tcPr>
          <w:p w14:paraId="4403E6CD" w14:textId="4B24AFDF" w:rsidR="00E474C6" w:rsidRDefault="00E474C6" w:rsidP="00E474C6">
            <w:r>
              <w:t>Сърдечни нарушения</w:t>
            </w:r>
          </w:p>
        </w:tc>
        <w:tc>
          <w:tcPr>
            <w:tcW w:w="2848" w:type="dxa"/>
          </w:tcPr>
          <w:p w14:paraId="64BA3028" w14:textId="597BD9A6" w:rsidR="00E474C6" w:rsidRDefault="00E474C6" w:rsidP="00E474C6">
            <w:r>
              <w:t>Чести</w:t>
            </w:r>
          </w:p>
        </w:tc>
        <w:tc>
          <w:tcPr>
            <w:tcW w:w="3840" w:type="dxa"/>
          </w:tcPr>
          <w:p w14:paraId="55D6636B" w14:textId="7F5994C3" w:rsidR="00E474C6" w:rsidRDefault="00E474C6" w:rsidP="00E474C6">
            <w:r>
              <w:t>Сърцебиене</w:t>
            </w:r>
          </w:p>
        </w:tc>
      </w:tr>
      <w:tr w:rsidR="00E474C6" w14:paraId="19A9122E" w14:textId="77777777" w:rsidTr="00E474C6">
        <w:tc>
          <w:tcPr>
            <w:tcW w:w="2888" w:type="dxa"/>
            <w:vMerge/>
          </w:tcPr>
          <w:p w14:paraId="49ADD4FE" w14:textId="77777777" w:rsidR="00E474C6" w:rsidRDefault="00E474C6" w:rsidP="00E474C6"/>
        </w:tc>
        <w:tc>
          <w:tcPr>
            <w:tcW w:w="2848" w:type="dxa"/>
          </w:tcPr>
          <w:p w14:paraId="2CD0F6A8" w14:textId="2AACE66A" w:rsidR="00E474C6" w:rsidRDefault="00E474C6" w:rsidP="00E474C6">
            <w:r>
              <w:t>Нечести</w:t>
            </w:r>
          </w:p>
        </w:tc>
        <w:tc>
          <w:tcPr>
            <w:tcW w:w="3840" w:type="dxa"/>
          </w:tcPr>
          <w:p w14:paraId="67935176" w14:textId="461047CD" w:rsidR="00E474C6" w:rsidRDefault="00E474C6" w:rsidP="00E474C6">
            <w:r>
              <w:t>Аритмия (включително брадикардия камерна тахикардия и предсърдно мъждене)</w:t>
            </w:r>
          </w:p>
        </w:tc>
      </w:tr>
      <w:tr w:rsidR="00E474C6" w14:paraId="6E006AAF" w14:textId="77777777" w:rsidTr="00E474C6">
        <w:tc>
          <w:tcPr>
            <w:tcW w:w="2888" w:type="dxa"/>
            <w:vMerge/>
          </w:tcPr>
          <w:p w14:paraId="062B4149" w14:textId="77777777" w:rsidR="00E474C6" w:rsidRDefault="00E474C6" w:rsidP="00E474C6"/>
        </w:tc>
        <w:tc>
          <w:tcPr>
            <w:tcW w:w="2848" w:type="dxa"/>
          </w:tcPr>
          <w:p w14:paraId="44744770" w14:textId="799F4E66" w:rsidR="00E474C6" w:rsidRDefault="00E474C6" w:rsidP="00E474C6">
            <w:r>
              <w:t>Много редки</w:t>
            </w:r>
          </w:p>
        </w:tc>
        <w:tc>
          <w:tcPr>
            <w:tcW w:w="3840" w:type="dxa"/>
          </w:tcPr>
          <w:p w14:paraId="3BE57D30" w14:textId="6F8F9178" w:rsidR="00E474C6" w:rsidRDefault="00E474C6" w:rsidP="00E474C6">
            <w:r>
              <w:t>Миокарден инфаркт</w:t>
            </w:r>
          </w:p>
        </w:tc>
      </w:tr>
      <w:tr w:rsidR="00E474C6" w14:paraId="7DFCF236" w14:textId="77777777" w:rsidTr="00E474C6">
        <w:tc>
          <w:tcPr>
            <w:tcW w:w="2888" w:type="dxa"/>
            <w:vMerge w:val="restart"/>
          </w:tcPr>
          <w:p w14:paraId="2109AA05" w14:textId="71CC9084" w:rsidR="00E474C6" w:rsidRDefault="00E474C6" w:rsidP="00E474C6">
            <w:r>
              <w:t>Съдови нарушения</w:t>
            </w:r>
          </w:p>
        </w:tc>
        <w:tc>
          <w:tcPr>
            <w:tcW w:w="2848" w:type="dxa"/>
          </w:tcPr>
          <w:p w14:paraId="0ACC51C5" w14:textId="4FD115C2" w:rsidR="00E474C6" w:rsidRDefault="00E474C6" w:rsidP="00E474C6">
            <w:r>
              <w:t>Чести</w:t>
            </w:r>
          </w:p>
        </w:tc>
        <w:tc>
          <w:tcPr>
            <w:tcW w:w="3840" w:type="dxa"/>
          </w:tcPr>
          <w:p w14:paraId="5B699EC6" w14:textId="233C8C6B" w:rsidR="00E474C6" w:rsidRDefault="00E474C6" w:rsidP="00E474C6">
            <w:r>
              <w:t>Зачервяване</w:t>
            </w:r>
          </w:p>
        </w:tc>
      </w:tr>
      <w:tr w:rsidR="00E474C6" w14:paraId="4BD84722" w14:textId="77777777" w:rsidTr="00E474C6">
        <w:tc>
          <w:tcPr>
            <w:tcW w:w="2888" w:type="dxa"/>
            <w:vMerge/>
          </w:tcPr>
          <w:p w14:paraId="6BE4EB1D" w14:textId="77777777" w:rsidR="00E474C6" w:rsidRDefault="00E474C6" w:rsidP="00E474C6"/>
        </w:tc>
        <w:tc>
          <w:tcPr>
            <w:tcW w:w="2848" w:type="dxa"/>
          </w:tcPr>
          <w:p w14:paraId="481CAE25" w14:textId="64E3AFA6" w:rsidR="00E474C6" w:rsidRDefault="00E474C6" w:rsidP="00E474C6">
            <w:r>
              <w:t>Нечести</w:t>
            </w:r>
          </w:p>
        </w:tc>
        <w:tc>
          <w:tcPr>
            <w:tcW w:w="3840" w:type="dxa"/>
          </w:tcPr>
          <w:p w14:paraId="0F51AFF7" w14:textId="0DD657C9" w:rsidR="00E474C6" w:rsidRDefault="00E474C6" w:rsidP="00E474C6">
            <w:r>
              <w:t>Хипотония</w:t>
            </w:r>
          </w:p>
        </w:tc>
      </w:tr>
      <w:tr w:rsidR="00E474C6" w14:paraId="5B21B8D6" w14:textId="77777777" w:rsidTr="00E474C6">
        <w:tc>
          <w:tcPr>
            <w:tcW w:w="2888" w:type="dxa"/>
            <w:vMerge/>
          </w:tcPr>
          <w:p w14:paraId="432DCA3A" w14:textId="77777777" w:rsidR="00E474C6" w:rsidRDefault="00E474C6" w:rsidP="00E474C6"/>
        </w:tc>
        <w:tc>
          <w:tcPr>
            <w:tcW w:w="2848" w:type="dxa"/>
          </w:tcPr>
          <w:p w14:paraId="4EB3FBF8" w14:textId="72F283BF" w:rsidR="00E474C6" w:rsidRDefault="00E474C6" w:rsidP="00E474C6">
            <w:r>
              <w:t>Много редки</w:t>
            </w:r>
          </w:p>
        </w:tc>
        <w:tc>
          <w:tcPr>
            <w:tcW w:w="3840" w:type="dxa"/>
          </w:tcPr>
          <w:p w14:paraId="69D63E52" w14:textId="5CB52C66" w:rsidR="00E474C6" w:rsidRDefault="00E474C6" w:rsidP="00E474C6">
            <w:r>
              <w:t>Васкулит</w:t>
            </w:r>
          </w:p>
        </w:tc>
      </w:tr>
      <w:tr w:rsidR="00E474C6" w14:paraId="703A5A0B" w14:textId="77777777" w:rsidTr="00E474C6">
        <w:tc>
          <w:tcPr>
            <w:tcW w:w="2888" w:type="dxa"/>
            <w:vMerge w:val="restart"/>
          </w:tcPr>
          <w:p w14:paraId="581F3105" w14:textId="77777777" w:rsidR="00E474C6" w:rsidRDefault="00E474C6" w:rsidP="00E474C6">
            <w:r>
              <w:t>Респираторни, гръдни и</w:t>
            </w:r>
          </w:p>
          <w:p w14:paraId="37BCDCE8" w14:textId="3FA881EE" w:rsidR="00E474C6" w:rsidRDefault="00E474C6" w:rsidP="00E474C6">
            <w:r>
              <w:t>медиастинални нарушения</w:t>
            </w:r>
          </w:p>
        </w:tc>
        <w:tc>
          <w:tcPr>
            <w:tcW w:w="2848" w:type="dxa"/>
          </w:tcPr>
          <w:p w14:paraId="63739116" w14:textId="3E8D5DA1" w:rsidR="00E474C6" w:rsidRDefault="00E474C6" w:rsidP="00E474C6">
            <w:r>
              <w:t>Чести</w:t>
            </w:r>
          </w:p>
        </w:tc>
        <w:tc>
          <w:tcPr>
            <w:tcW w:w="3840" w:type="dxa"/>
          </w:tcPr>
          <w:p w14:paraId="6391ECE8" w14:textId="504DBEFB" w:rsidR="00E474C6" w:rsidRDefault="00E474C6" w:rsidP="00E474C6">
            <w:r>
              <w:t>Диспнея</w:t>
            </w:r>
          </w:p>
        </w:tc>
      </w:tr>
      <w:tr w:rsidR="00E474C6" w14:paraId="5D3FED87" w14:textId="77777777" w:rsidTr="00E474C6">
        <w:tc>
          <w:tcPr>
            <w:tcW w:w="2888" w:type="dxa"/>
            <w:vMerge/>
          </w:tcPr>
          <w:p w14:paraId="099D4911" w14:textId="77777777" w:rsidR="00E474C6" w:rsidRDefault="00E474C6" w:rsidP="00E474C6"/>
        </w:tc>
        <w:tc>
          <w:tcPr>
            <w:tcW w:w="2848" w:type="dxa"/>
          </w:tcPr>
          <w:p w14:paraId="7208C865" w14:textId="51A486B0" w:rsidR="00E474C6" w:rsidRDefault="00E474C6" w:rsidP="00E474C6">
            <w:r>
              <w:t>Нечести</w:t>
            </w:r>
          </w:p>
        </w:tc>
        <w:tc>
          <w:tcPr>
            <w:tcW w:w="3840" w:type="dxa"/>
          </w:tcPr>
          <w:p w14:paraId="55FCC5DF" w14:textId="2FCFF02B" w:rsidR="00E474C6" w:rsidRDefault="00E474C6" w:rsidP="00E474C6">
            <w:r>
              <w:t>Кашлица, ринити</w:t>
            </w:r>
          </w:p>
        </w:tc>
      </w:tr>
      <w:tr w:rsidR="00E474C6" w14:paraId="37495426" w14:textId="77777777" w:rsidTr="00E474C6">
        <w:tc>
          <w:tcPr>
            <w:tcW w:w="2888" w:type="dxa"/>
            <w:vMerge w:val="restart"/>
          </w:tcPr>
          <w:p w14:paraId="788834FF" w14:textId="573D807B" w:rsidR="00E474C6" w:rsidRDefault="00E474C6" w:rsidP="00E474C6">
            <w:r>
              <w:t>Стомашно-чревни нарушения</w:t>
            </w:r>
          </w:p>
        </w:tc>
        <w:tc>
          <w:tcPr>
            <w:tcW w:w="2848" w:type="dxa"/>
          </w:tcPr>
          <w:p w14:paraId="1C661C7D" w14:textId="6D76C6DF" w:rsidR="00E474C6" w:rsidRDefault="00E474C6" w:rsidP="00E474C6">
            <w:r>
              <w:t>Чести</w:t>
            </w:r>
          </w:p>
        </w:tc>
        <w:tc>
          <w:tcPr>
            <w:tcW w:w="3840" w:type="dxa"/>
          </w:tcPr>
          <w:p w14:paraId="00B85133" w14:textId="77777777" w:rsidR="00E474C6" w:rsidRDefault="00E474C6" w:rsidP="00E474C6">
            <w:r>
              <w:t>Абдоминална болка, гадене, диспепсия, променени чревни навици</w:t>
            </w:r>
            <w:r>
              <w:tab/>
              <w:t>на</w:t>
            </w:r>
            <w:r>
              <w:tab/>
              <w:t>обичайната</w:t>
            </w:r>
          </w:p>
          <w:p w14:paraId="3A0FD27E" w14:textId="77777777" w:rsidR="00E474C6" w:rsidRDefault="00E474C6" w:rsidP="00E474C6">
            <w:r>
              <w:t>перисталтика</w:t>
            </w:r>
            <w:r>
              <w:tab/>
              <w:t>на</w:t>
            </w:r>
            <w:r>
              <w:tab/>
              <w:t>червата</w:t>
            </w:r>
          </w:p>
          <w:p w14:paraId="145FB903" w14:textId="0C0AF1C3" w:rsidR="00E474C6" w:rsidRDefault="00E474C6" w:rsidP="00E474C6">
            <w:r>
              <w:t>(включително диария и запек),</w:t>
            </w:r>
          </w:p>
        </w:tc>
      </w:tr>
      <w:tr w:rsidR="00E474C6" w14:paraId="097C1D8D" w14:textId="77777777" w:rsidTr="00E474C6">
        <w:tc>
          <w:tcPr>
            <w:tcW w:w="2888" w:type="dxa"/>
            <w:vMerge/>
          </w:tcPr>
          <w:p w14:paraId="132E0827" w14:textId="77777777" w:rsidR="00E474C6" w:rsidRDefault="00E474C6" w:rsidP="00E474C6"/>
        </w:tc>
        <w:tc>
          <w:tcPr>
            <w:tcW w:w="2848" w:type="dxa"/>
          </w:tcPr>
          <w:p w14:paraId="67FB8B8B" w14:textId="1AE97772" w:rsidR="00E474C6" w:rsidRDefault="00E474C6" w:rsidP="00E474C6">
            <w:r>
              <w:t>Нечести</w:t>
            </w:r>
          </w:p>
        </w:tc>
        <w:tc>
          <w:tcPr>
            <w:tcW w:w="3840" w:type="dxa"/>
          </w:tcPr>
          <w:p w14:paraId="3825495C" w14:textId="09980D56" w:rsidR="00E474C6" w:rsidRDefault="00E474C6" w:rsidP="00E474C6">
            <w:r>
              <w:t>Повръщане, сухота в устата</w:t>
            </w:r>
          </w:p>
        </w:tc>
      </w:tr>
      <w:tr w:rsidR="00E474C6" w14:paraId="10F19460" w14:textId="77777777" w:rsidTr="00E474C6">
        <w:tc>
          <w:tcPr>
            <w:tcW w:w="2888" w:type="dxa"/>
            <w:vMerge/>
          </w:tcPr>
          <w:p w14:paraId="79865681" w14:textId="77777777" w:rsidR="00E474C6" w:rsidRDefault="00E474C6" w:rsidP="00E474C6"/>
        </w:tc>
        <w:tc>
          <w:tcPr>
            <w:tcW w:w="2848" w:type="dxa"/>
          </w:tcPr>
          <w:p w14:paraId="31B17A1E" w14:textId="29444335" w:rsidR="00E474C6" w:rsidRDefault="00E474C6" w:rsidP="00E474C6">
            <w:r>
              <w:t>Много редки</w:t>
            </w:r>
          </w:p>
        </w:tc>
        <w:tc>
          <w:tcPr>
            <w:tcW w:w="3840" w:type="dxa"/>
          </w:tcPr>
          <w:p w14:paraId="00A69011" w14:textId="3AD30D1D" w:rsidR="00E474C6" w:rsidRDefault="00E474C6" w:rsidP="00E474C6">
            <w:r>
              <w:t>Панкреатит, гастрит, хиперплазия на венците</w:t>
            </w:r>
          </w:p>
        </w:tc>
      </w:tr>
      <w:tr w:rsidR="00E474C6" w14:paraId="57844580" w14:textId="77777777" w:rsidTr="00E474C6">
        <w:tc>
          <w:tcPr>
            <w:tcW w:w="2888" w:type="dxa"/>
          </w:tcPr>
          <w:p w14:paraId="1ED5E332" w14:textId="4DAAE89A" w:rsidR="00E474C6" w:rsidRDefault="00E474C6" w:rsidP="00E474C6">
            <w:r>
              <w:t>Хепатобилиарни нарушения</w:t>
            </w:r>
          </w:p>
        </w:tc>
        <w:tc>
          <w:tcPr>
            <w:tcW w:w="2848" w:type="dxa"/>
          </w:tcPr>
          <w:p w14:paraId="0E79BC9D" w14:textId="30AA3855" w:rsidR="00E474C6" w:rsidRDefault="00E474C6" w:rsidP="00E474C6">
            <w:r>
              <w:t>Много редки</w:t>
            </w:r>
          </w:p>
        </w:tc>
        <w:tc>
          <w:tcPr>
            <w:tcW w:w="3840" w:type="dxa"/>
          </w:tcPr>
          <w:p w14:paraId="6F457AC8" w14:textId="0D3FED4C" w:rsidR="00E474C6" w:rsidRDefault="00E474C6" w:rsidP="00E474C6">
            <w:r>
              <w:t>Хепатит, жълтеница, чернодробни ензими*</w:t>
            </w:r>
          </w:p>
        </w:tc>
      </w:tr>
      <w:tr w:rsidR="00E474C6" w14:paraId="1EADF187" w14:textId="77777777" w:rsidTr="00E474C6">
        <w:tc>
          <w:tcPr>
            <w:tcW w:w="2888" w:type="dxa"/>
            <w:vMerge w:val="restart"/>
          </w:tcPr>
          <w:p w14:paraId="086B24E2" w14:textId="687F3CF8" w:rsidR="00E474C6" w:rsidRDefault="00E474C6" w:rsidP="00E474C6">
            <w:r>
              <w:lastRenderedPageBreak/>
              <w:t>Нарушения на кожата и подкожната тъкан</w:t>
            </w:r>
          </w:p>
        </w:tc>
        <w:tc>
          <w:tcPr>
            <w:tcW w:w="2848" w:type="dxa"/>
          </w:tcPr>
          <w:p w14:paraId="11729C5D" w14:textId="7452F76B" w:rsidR="00E474C6" w:rsidRDefault="00E474C6" w:rsidP="00E474C6">
            <w:r>
              <w:t>Нечести</w:t>
            </w:r>
          </w:p>
        </w:tc>
        <w:tc>
          <w:tcPr>
            <w:tcW w:w="3840" w:type="dxa"/>
          </w:tcPr>
          <w:p w14:paraId="74E56057" w14:textId="2DEAB158" w:rsidR="00E474C6" w:rsidRDefault="00E474C6" w:rsidP="00E474C6">
            <w:r>
              <w:t>Алопеция, пурпура, промяна в цвета на кожата, хиперхидроза, пруритус, обрив, екзантема уртикария</w:t>
            </w:r>
          </w:p>
        </w:tc>
      </w:tr>
      <w:tr w:rsidR="00E474C6" w14:paraId="6011C11B" w14:textId="77777777" w:rsidTr="00E474C6">
        <w:tc>
          <w:tcPr>
            <w:tcW w:w="2888" w:type="dxa"/>
            <w:vMerge/>
          </w:tcPr>
          <w:p w14:paraId="12178EB4" w14:textId="77777777" w:rsidR="00E474C6" w:rsidRDefault="00E474C6" w:rsidP="00E474C6"/>
        </w:tc>
        <w:tc>
          <w:tcPr>
            <w:tcW w:w="2848" w:type="dxa"/>
          </w:tcPr>
          <w:p w14:paraId="2CCA4DE2" w14:textId="35EBCFE9" w:rsidR="00E474C6" w:rsidRDefault="00E474C6" w:rsidP="00E474C6">
            <w:r>
              <w:t>Много редки</w:t>
            </w:r>
          </w:p>
        </w:tc>
        <w:tc>
          <w:tcPr>
            <w:tcW w:w="3840" w:type="dxa"/>
          </w:tcPr>
          <w:p w14:paraId="681A9D4F" w14:textId="3293E38E" w:rsidR="00E474C6" w:rsidRDefault="00E474C6" w:rsidP="00E474C6">
            <w:r>
              <w:t xml:space="preserve">Ангиоедем, еритема мултиформе, ексфолиативен дерматит, синдром на </w:t>
            </w:r>
            <w:r>
              <w:rPr>
                <w:lang w:val="en-US"/>
              </w:rPr>
              <w:t>Stevens</w:t>
            </w:r>
            <w:r w:rsidRPr="00E474C6">
              <w:rPr>
                <w:lang w:val="ru-RU"/>
              </w:rPr>
              <w:t>-</w:t>
            </w:r>
            <w:r>
              <w:rPr>
                <w:lang w:val="en-US"/>
              </w:rPr>
              <w:t>Johnson</w:t>
            </w:r>
            <w:r w:rsidRPr="00E474C6">
              <w:rPr>
                <w:lang w:val="ru-RU"/>
              </w:rPr>
              <w:t xml:space="preserve">, </w:t>
            </w:r>
            <w:r>
              <w:t xml:space="preserve">оток на </w:t>
            </w:r>
            <w:proofErr w:type="spellStart"/>
            <w:r>
              <w:rPr>
                <w:lang w:val="en-US"/>
              </w:rPr>
              <w:t>Quincke</w:t>
            </w:r>
            <w:proofErr w:type="spellEnd"/>
            <w:r w:rsidRPr="00E474C6">
              <w:rPr>
                <w:lang w:val="ru-RU"/>
              </w:rPr>
              <w:t>,</w:t>
            </w:r>
          </w:p>
        </w:tc>
      </w:tr>
      <w:tr w:rsidR="00E474C6" w14:paraId="342846B5" w14:textId="77777777" w:rsidTr="00E474C6">
        <w:tc>
          <w:tcPr>
            <w:tcW w:w="2888" w:type="dxa"/>
            <w:vMerge/>
          </w:tcPr>
          <w:p w14:paraId="242A07BF" w14:textId="77777777" w:rsidR="00E474C6" w:rsidRDefault="00E474C6" w:rsidP="00E474C6"/>
        </w:tc>
        <w:tc>
          <w:tcPr>
            <w:tcW w:w="2848" w:type="dxa"/>
          </w:tcPr>
          <w:p w14:paraId="7B77E32E" w14:textId="6E8D841E" w:rsidR="00E474C6" w:rsidRDefault="00E474C6" w:rsidP="00E474C6">
            <w:r>
              <w:t>С неизвестна честота</w:t>
            </w:r>
          </w:p>
        </w:tc>
        <w:tc>
          <w:tcPr>
            <w:tcW w:w="3840" w:type="dxa"/>
          </w:tcPr>
          <w:p w14:paraId="41534FC6" w14:textId="46126251" w:rsidR="00E474C6" w:rsidRDefault="00E474C6" w:rsidP="00E474C6">
            <w:r>
              <w:t>Токсична епидермална некролиза</w:t>
            </w:r>
          </w:p>
        </w:tc>
      </w:tr>
      <w:tr w:rsidR="00E474C6" w14:paraId="27FE652A" w14:textId="77777777" w:rsidTr="00E474C6">
        <w:tc>
          <w:tcPr>
            <w:tcW w:w="2888" w:type="dxa"/>
            <w:vMerge w:val="restart"/>
          </w:tcPr>
          <w:p w14:paraId="082D5730" w14:textId="0153BA1B" w:rsidR="00E474C6" w:rsidRDefault="00E474C6" w:rsidP="00E474C6">
            <w:r>
              <w:t>Нарушения</w:t>
            </w:r>
            <w:r>
              <w:tab/>
              <w:t>на мускулно- скелетната система и съединителната тъкан</w:t>
            </w:r>
          </w:p>
        </w:tc>
        <w:tc>
          <w:tcPr>
            <w:tcW w:w="2848" w:type="dxa"/>
          </w:tcPr>
          <w:p w14:paraId="4E768036" w14:textId="421730FC" w:rsidR="00E474C6" w:rsidRDefault="00E474C6" w:rsidP="00E474C6">
            <w:r>
              <w:t>Чести</w:t>
            </w:r>
          </w:p>
        </w:tc>
        <w:tc>
          <w:tcPr>
            <w:tcW w:w="3840" w:type="dxa"/>
          </w:tcPr>
          <w:p w14:paraId="3321852A" w14:textId="0EBF0CB7" w:rsidR="00E474C6" w:rsidRDefault="00E474C6" w:rsidP="00E474C6">
            <w:r>
              <w:t>Оток на глезена, мускулен спазъм</w:t>
            </w:r>
          </w:p>
        </w:tc>
      </w:tr>
      <w:tr w:rsidR="00E474C6" w14:paraId="7638A6B6" w14:textId="77777777" w:rsidTr="00E474C6">
        <w:tc>
          <w:tcPr>
            <w:tcW w:w="2888" w:type="dxa"/>
            <w:vMerge/>
          </w:tcPr>
          <w:p w14:paraId="657BCBFB" w14:textId="77777777" w:rsidR="00E474C6" w:rsidRDefault="00E474C6" w:rsidP="00E474C6"/>
        </w:tc>
        <w:tc>
          <w:tcPr>
            <w:tcW w:w="2848" w:type="dxa"/>
          </w:tcPr>
          <w:p w14:paraId="594D4036" w14:textId="525781CD" w:rsidR="00E474C6" w:rsidRDefault="00E474C6" w:rsidP="00E474C6">
            <w:r>
              <w:t>Нечести</w:t>
            </w:r>
          </w:p>
        </w:tc>
        <w:tc>
          <w:tcPr>
            <w:tcW w:w="3840" w:type="dxa"/>
          </w:tcPr>
          <w:p w14:paraId="03A54444" w14:textId="021B6D98" w:rsidR="00E474C6" w:rsidRDefault="00E474C6" w:rsidP="00E474C6">
            <w:r>
              <w:t>Артралгия, миалгия, болка в гърба</w:t>
            </w:r>
          </w:p>
        </w:tc>
      </w:tr>
      <w:tr w:rsidR="00E474C6" w14:paraId="5C6923C8" w14:textId="77777777" w:rsidTr="00E474C6">
        <w:tc>
          <w:tcPr>
            <w:tcW w:w="2888" w:type="dxa"/>
          </w:tcPr>
          <w:p w14:paraId="7660954A" w14:textId="714804B5" w:rsidR="00E474C6" w:rsidRDefault="00E474C6" w:rsidP="00E474C6">
            <w:r>
              <w:t>Нарушения на бъбреците и пикочните пътища</w:t>
            </w:r>
          </w:p>
        </w:tc>
        <w:tc>
          <w:tcPr>
            <w:tcW w:w="2848" w:type="dxa"/>
          </w:tcPr>
          <w:p w14:paraId="724C3DC7" w14:textId="72E97F33" w:rsidR="00E474C6" w:rsidRDefault="00E474C6" w:rsidP="00E474C6">
            <w:r>
              <w:t>Нечести</w:t>
            </w:r>
          </w:p>
        </w:tc>
        <w:tc>
          <w:tcPr>
            <w:tcW w:w="3840" w:type="dxa"/>
          </w:tcPr>
          <w:p w14:paraId="71EAEBE8" w14:textId="02C1CA95" w:rsidR="00E474C6" w:rsidRDefault="00E474C6" w:rsidP="00E474C6">
            <w:r>
              <w:t>Нарушено уриниране, нощно уриниране, увеличена честота на уриниране</w:t>
            </w:r>
          </w:p>
        </w:tc>
      </w:tr>
      <w:tr w:rsidR="00E474C6" w14:paraId="4AC0D89C" w14:textId="77777777" w:rsidTr="00E474C6">
        <w:tc>
          <w:tcPr>
            <w:tcW w:w="2888" w:type="dxa"/>
          </w:tcPr>
          <w:p w14:paraId="5F855DC4" w14:textId="0CB0F615" w:rsidR="00E474C6" w:rsidRDefault="00E474C6" w:rsidP="00E474C6">
            <w:r>
              <w:t>Нарушения на</w:t>
            </w:r>
          </w:p>
          <w:p w14:paraId="488E9D47" w14:textId="1A6B056B" w:rsidR="00E474C6" w:rsidRDefault="00E474C6" w:rsidP="00E474C6">
            <w:r>
              <w:t>възпроизводителната система и гърдата</w:t>
            </w:r>
          </w:p>
        </w:tc>
        <w:tc>
          <w:tcPr>
            <w:tcW w:w="2848" w:type="dxa"/>
          </w:tcPr>
          <w:p w14:paraId="22347CAB" w14:textId="16BBA2DB" w:rsidR="00E474C6" w:rsidRDefault="00E474C6" w:rsidP="00E474C6">
            <w:r>
              <w:t>Нечести</w:t>
            </w:r>
          </w:p>
        </w:tc>
        <w:tc>
          <w:tcPr>
            <w:tcW w:w="3840" w:type="dxa"/>
          </w:tcPr>
          <w:p w14:paraId="529F77B9" w14:textId="37635BE3" w:rsidR="00E474C6" w:rsidRDefault="00E474C6" w:rsidP="00E474C6">
            <w:r>
              <w:t>Импотентност, гинекомастия</w:t>
            </w:r>
          </w:p>
        </w:tc>
      </w:tr>
      <w:tr w:rsidR="00E474C6" w14:paraId="48B9F986" w14:textId="77777777" w:rsidTr="00E474C6">
        <w:tc>
          <w:tcPr>
            <w:tcW w:w="2888" w:type="dxa"/>
            <w:vMerge w:val="restart"/>
          </w:tcPr>
          <w:p w14:paraId="6342C1CB" w14:textId="79C8F35F" w:rsidR="00E474C6" w:rsidRDefault="00E474C6" w:rsidP="00E474C6">
            <w:r>
              <w:t>Общи нарушения и нарушения на мястото на приложение</w:t>
            </w:r>
          </w:p>
        </w:tc>
        <w:tc>
          <w:tcPr>
            <w:tcW w:w="2848" w:type="dxa"/>
          </w:tcPr>
          <w:p w14:paraId="131182E2" w14:textId="2D2D7089" w:rsidR="00E474C6" w:rsidRDefault="00E474C6" w:rsidP="00E474C6">
            <w:r>
              <w:t>Много чести</w:t>
            </w:r>
          </w:p>
        </w:tc>
        <w:tc>
          <w:tcPr>
            <w:tcW w:w="3840" w:type="dxa"/>
          </w:tcPr>
          <w:p w14:paraId="21D6CE6D" w14:textId="4342F656" w:rsidR="00E474C6" w:rsidRDefault="00E474C6" w:rsidP="00E474C6">
            <w:r>
              <w:t>Оток</w:t>
            </w:r>
          </w:p>
        </w:tc>
      </w:tr>
      <w:tr w:rsidR="00E474C6" w14:paraId="207D0B78" w14:textId="77777777" w:rsidTr="00E474C6">
        <w:tc>
          <w:tcPr>
            <w:tcW w:w="2888" w:type="dxa"/>
            <w:vMerge/>
          </w:tcPr>
          <w:p w14:paraId="21A65FED" w14:textId="77777777" w:rsidR="00E474C6" w:rsidRDefault="00E474C6" w:rsidP="00E474C6"/>
        </w:tc>
        <w:tc>
          <w:tcPr>
            <w:tcW w:w="2848" w:type="dxa"/>
          </w:tcPr>
          <w:p w14:paraId="06BABD33" w14:textId="7AF10E6A" w:rsidR="00E474C6" w:rsidRDefault="00E474C6" w:rsidP="00E474C6">
            <w:r>
              <w:t>Чести</w:t>
            </w:r>
          </w:p>
        </w:tc>
        <w:tc>
          <w:tcPr>
            <w:tcW w:w="3840" w:type="dxa"/>
          </w:tcPr>
          <w:p w14:paraId="44F9068C" w14:textId="0CC2FC29" w:rsidR="00E474C6" w:rsidRDefault="00E474C6" w:rsidP="00E474C6">
            <w:r>
              <w:t>Умора, астения</w:t>
            </w:r>
          </w:p>
        </w:tc>
      </w:tr>
      <w:tr w:rsidR="00E474C6" w14:paraId="71E1B5BF" w14:textId="77777777" w:rsidTr="00E474C6">
        <w:tc>
          <w:tcPr>
            <w:tcW w:w="2888" w:type="dxa"/>
            <w:vMerge/>
          </w:tcPr>
          <w:p w14:paraId="782DAF91" w14:textId="77777777" w:rsidR="00E474C6" w:rsidRDefault="00E474C6" w:rsidP="00E474C6"/>
        </w:tc>
        <w:tc>
          <w:tcPr>
            <w:tcW w:w="2848" w:type="dxa"/>
          </w:tcPr>
          <w:p w14:paraId="0BB537A1" w14:textId="2F5069EB" w:rsidR="00E474C6" w:rsidRDefault="00E474C6" w:rsidP="00E474C6">
            <w:r>
              <w:t>Нечести</w:t>
            </w:r>
          </w:p>
        </w:tc>
        <w:tc>
          <w:tcPr>
            <w:tcW w:w="3840" w:type="dxa"/>
          </w:tcPr>
          <w:p w14:paraId="4223C8F8" w14:textId="3AFC189D" w:rsidR="00E474C6" w:rsidRDefault="00E474C6" w:rsidP="00E474C6">
            <w:r>
              <w:t>Гръдна болка, болка, неразположение</w:t>
            </w:r>
          </w:p>
        </w:tc>
      </w:tr>
      <w:tr w:rsidR="00E474C6" w14:paraId="15B654EC" w14:textId="77777777" w:rsidTr="00E474C6">
        <w:tc>
          <w:tcPr>
            <w:tcW w:w="2888" w:type="dxa"/>
          </w:tcPr>
          <w:p w14:paraId="7B06508D" w14:textId="74491A5F" w:rsidR="00E474C6" w:rsidRDefault="00E474C6" w:rsidP="00E474C6">
            <w:r>
              <w:t>Изследвания</w:t>
            </w:r>
          </w:p>
        </w:tc>
        <w:tc>
          <w:tcPr>
            <w:tcW w:w="2848" w:type="dxa"/>
          </w:tcPr>
          <w:p w14:paraId="3C4D2E47" w14:textId="33859876" w:rsidR="00E474C6" w:rsidRDefault="00E474C6" w:rsidP="00E474C6">
            <w:r>
              <w:t>Нечести</w:t>
            </w:r>
          </w:p>
        </w:tc>
        <w:tc>
          <w:tcPr>
            <w:tcW w:w="3840" w:type="dxa"/>
          </w:tcPr>
          <w:p w14:paraId="77F539C6" w14:textId="2736BAB7" w:rsidR="00E474C6" w:rsidRDefault="00E474C6" w:rsidP="00E474C6">
            <w:r>
              <w:t>Увеличено телесно тегло, намалено телесно тегло</w:t>
            </w:r>
          </w:p>
        </w:tc>
      </w:tr>
    </w:tbl>
    <w:p w14:paraId="629A640E"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*Най-често свързано с холестаза</w:t>
      </w:r>
    </w:p>
    <w:p w14:paraId="267388AA" w14:textId="77777777" w:rsidR="00E474C6" w:rsidRPr="00E474C6" w:rsidRDefault="00E474C6" w:rsidP="00E474C6">
      <w:pPr>
        <w:spacing w:line="240" w:lineRule="auto"/>
        <w:rPr>
          <w:rFonts w:eastAsia="Times New Roman" w:cs="Arial"/>
          <w:color w:val="000000"/>
          <w:u w:val="single"/>
          <w:lang w:eastAsia="bg-BG"/>
        </w:rPr>
      </w:pPr>
    </w:p>
    <w:p w14:paraId="57FD47D3" w14:textId="202E2CA5" w:rsidR="00E474C6" w:rsidRPr="00E474C6" w:rsidRDefault="00E474C6" w:rsidP="00E474C6">
      <w:pPr>
        <w:spacing w:line="240" w:lineRule="auto"/>
        <w:rPr>
          <w:rFonts w:eastAsia="Times New Roman" w:cs="Arial"/>
        </w:rPr>
      </w:pPr>
      <w:r w:rsidRPr="00E474C6">
        <w:rPr>
          <w:rFonts w:eastAsia="Times New Roman" w:cs="Arial"/>
          <w:color w:val="000000"/>
          <w:u w:val="single"/>
          <w:lang w:eastAsia="bg-BG"/>
        </w:rPr>
        <w:t>Съобщаване на подозирани нежелани реакции</w:t>
      </w:r>
    </w:p>
    <w:p w14:paraId="2AB94238"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E474C6">
        <w:rPr>
          <w:rFonts w:eastAsia="Times New Roman" w:cs="Arial"/>
        </w:rPr>
        <w:fldChar w:fldCharType="begin"/>
      </w:r>
      <w:r w:rsidRPr="00E474C6">
        <w:rPr>
          <w:rFonts w:eastAsia="Times New Roman" w:cs="Arial"/>
        </w:rPr>
        <w:instrText xml:space="preserve"> HYPERLINK "http://www.bda.bg" </w:instrText>
      </w:r>
      <w:r w:rsidRPr="00E474C6">
        <w:rPr>
          <w:rFonts w:eastAsia="Times New Roman" w:cs="Arial"/>
        </w:rPr>
      </w:r>
      <w:r w:rsidRPr="00E474C6">
        <w:rPr>
          <w:rFonts w:eastAsia="Times New Roman" w:cs="Arial"/>
        </w:rPr>
        <w:fldChar w:fldCharType="separate"/>
      </w:r>
      <w:r w:rsidRPr="00E474C6">
        <w:rPr>
          <w:rFonts w:eastAsia="Times New Roman" w:cs="Arial"/>
          <w:color w:val="000000"/>
          <w:lang w:val="en-US"/>
        </w:rPr>
        <w:t>www.bda.bg</w:t>
      </w:r>
      <w:r w:rsidRPr="00E474C6">
        <w:rPr>
          <w:rFonts w:eastAsia="Times New Roman" w:cs="Arial"/>
        </w:rPr>
        <w:fldChar w:fldCharType="end"/>
      </w:r>
      <w:r w:rsidRPr="00E474C6">
        <w:rPr>
          <w:rFonts w:eastAsia="Times New Roman" w:cs="Arial"/>
          <w:color w:val="000000"/>
          <w:lang w:val="en-US"/>
        </w:rPr>
        <w:t>.</w:t>
      </w:r>
    </w:p>
    <w:p w14:paraId="452BBE52" w14:textId="77777777" w:rsidR="00E474C6" w:rsidRPr="00E474C6" w:rsidRDefault="00E474C6" w:rsidP="00E474C6"/>
    <w:p w14:paraId="0A023CE0" w14:textId="0749873F" w:rsidR="00CF77F7" w:rsidRDefault="002C50EE" w:rsidP="004A448E">
      <w:pPr>
        <w:pStyle w:val="Heading2"/>
      </w:pPr>
      <w:r>
        <w:t>4.9. Предозиране</w:t>
      </w:r>
    </w:p>
    <w:p w14:paraId="2AD63CED" w14:textId="77EC1D0C" w:rsidR="00E474C6" w:rsidRDefault="00E474C6" w:rsidP="00E474C6"/>
    <w:p w14:paraId="282AE72B"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Опитът при хора с предумишлено предозиране е ограничен.</w:t>
      </w:r>
    </w:p>
    <w:p w14:paraId="02631A1D" w14:textId="77777777" w:rsidR="00E474C6" w:rsidRPr="00E474C6" w:rsidRDefault="00E474C6" w:rsidP="00E474C6">
      <w:pPr>
        <w:spacing w:line="240" w:lineRule="auto"/>
        <w:rPr>
          <w:rFonts w:eastAsia="Times New Roman" w:cs="Arial"/>
          <w:i/>
          <w:iCs/>
          <w:color w:val="000000"/>
          <w:lang w:eastAsia="bg-BG"/>
        </w:rPr>
      </w:pPr>
    </w:p>
    <w:p w14:paraId="10F32D06" w14:textId="28633E8B" w:rsidR="00E474C6" w:rsidRPr="00E474C6" w:rsidRDefault="00E474C6" w:rsidP="00E474C6">
      <w:pPr>
        <w:pStyle w:val="Heading3"/>
        <w:rPr>
          <w:rFonts w:eastAsia="Times New Roman"/>
          <w:i/>
        </w:rPr>
      </w:pPr>
      <w:r w:rsidRPr="00E474C6">
        <w:rPr>
          <w:rFonts w:eastAsia="Times New Roman"/>
          <w:i/>
          <w:lang w:eastAsia="bg-BG"/>
        </w:rPr>
        <w:t>Симптом</w:t>
      </w:r>
    </w:p>
    <w:p w14:paraId="5C12EED5"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вероятно продължителна системна хипотония до шок, включително с фатален изход.</w:t>
      </w:r>
    </w:p>
    <w:p w14:paraId="69415CAA" w14:textId="77777777" w:rsidR="00E474C6" w:rsidRPr="00E474C6" w:rsidRDefault="00E474C6" w:rsidP="00E474C6">
      <w:pPr>
        <w:spacing w:line="240" w:lineRule="auto"/>
        <w:rPr>
          <w:rFonts w:eastAsia="Times New Roman" w:cs="Arial"/>
          <w:i/>
          <w:iCs/>
          <w:color w:val="000000"/>
          <w:lang w:eastAsia="bg-BG"/>
        </w:rPr>
      </w:pPr>
    </w:p>
    <w:p w14:paraId="5D614F4C" w14:textId="2EED862E" w:rsidR="00E474C6" w:rsidRPr="00E474C6" w:rsidRDefault="00E474C6" w:rsidP="00E474C6">
      <w:pPr>
        <w:pStyle w:val="Heading3"/>
        <w:rPr>
          <w:rFonts w:eastAsia="Times New Roman"/>
          <w:i/>
        </w:rPr>
      </w:pPr>
      <w:r w:rsidRPr="00E474C6">
        <w:rPr>
          <w:rFonts w:eastAsia="Times New Roman"/>
          <w:i/>
          <w:lang w:eastAsia="bg-BG"/>
        </w:rPr>
        <w:lastRenderedPageBreak/>
        <w:t>Лечение</w:t>
      </w:r>
    </w:p>
    <w:p w14:paraId="3823441B" w14:textId="0B8CE151" w:rsidR="00E474C6" w:rsidRPr="00E474C6" w:rsidRDefault="00E474C6" w:rsidP="00E474C6">
      <w:pPr>
        <w:rPr>
          <w:rFonts w:eastAsia="Times New Roman" w:cs="Arial"/>
          <w:color w:val="000000"/>
          <w:lang w:eastAsia="bg-BG"/>
        </w:rPr>
      </w:pPr>
      <w:r w:rsidRPr="00E474C6">
        <w:rPr>
          <w:rFonts w:eastAsia="Times New Roman" w:cs="Arial"/>
          <w:color w:val="000000"/>
          <w:lang w:eastAsia="bg-BG"/>
        </w:rPr>
        <w:t>Клинично значимата хипотония, дължаща се на предозиране с амлодипин, изисква активно поддържане на сърдечно-съдовите функции, включително често мониториране на сърдечната и дихателната функции, повдигане на крайниците и поддържане на циркулаторния обем и диурезата.</w:t>
      </w:r>
    </w:p>
    <w:p w14:paraId="36ACA80F" w14:textId="18B813CE" w:rsidR="00E474C6" w:rsidRPr="00E474C6" w:rsidRDefault="00E474C6" w:rsidP="00E474C6">
      <w:pPr>
        <w:rPr>
          <w:rFonts w:eastAsia="Times New Roman" w:cs="Arial"/>
          <w:color w:val="000000"/>
          <w:lang w:eastAsia="bg-BG"/>
        </w:rPr>
      </w:pPr>
    </w:p>
    <w:p w14:paraId="38ECE1E4"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вазоконстрикгор. Интравенозен калциев глюконат може да е от полза за преодоляване на ефекта на блокада на калциевите канали.</w:t>
      </w:r>
    </w:p>
    <w:p w14:paraId="057059E6" w14:textId="77777777" w:rsidR="00E474C6" w:rsidRPr="00E474C6" w:rsidRDefault="00E474C6" w:rsidP="00E474C6">
      <w:pPr>
        <w:spacing w:line="240" w:lineRule="auto"/>
        <w:rPr>
          <w:rFonts w:eastAsia="Times New Roman" w:cs="Arial"/>
          <w:color w:val="000000"/>
          <w:lang w:eastAsia="bg-BG"/>
        </w:rPr>
      </w:pPr>
    </w:p>
    <w:p w14:paraId="72A2C868" w14:textId="1A8BEF84"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В някои случаи стомашна промивка може да бъде полезна. Приложението на активен въглен при здрави доброволци до два часа след прием на 10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амлодипин е намалило степента на абсорбция на амлодипин.</w:t>
      </w:r>
    </w:p>
    <w:p w14:paraId="076DCE31" w14:textId="77777777" w:rsidR="00E474C6" w:rsidRPr="00E474C6" w:rsidRDefault="00E474C6" w:rsidP="00E474C6">
      <w:pPr>
        <w:spacing w:line="240" w:lineRule="auto"/>
        <w:rPr>
          <w:rFonts w:eastAsia="Times New Roman" w:cs="Arial"/>
          <w:color w:val="000000"/>
          <w:lang w:eastAsia="bg-BG"/>
        </w:rPr>
      </w:pPr>
    </w:p>
    <w:p w14:paraId="69EF4327" w14:textId="1AF0154C" w:rsidR="00E474C6" w:rsidRPr="00E474C6" w:rsidRDefault="00E474C6" w:rsidP="00E474C6">
      <w:pPr>
        <w:spacing w:line="240" w:lineRule="auto"/>
        <w:rPr>
          <w:rFonts w:ascii="Times New Roman" w:eastAsia="Times New Roman" w:hAnsi="Times New Roman" w:cs="Times New Roman"/>
          <w:sz w:val="24"/>
          <w:szCs w:val="24"/>
        </w:rPr>
      </w:pPr>
      <w:r w:rsidRPr="00E474C6">
        <w:rPr>
          <w:rFonts w:eastAsia="Times New Roman" w:cs="Arial"/>
          <w:color w:val="000000"/>
          <w:lang w:eastAsia="bg-BG"/>
        </w:rPr>
        <w:t>Тъй като амлодипин се свързва във висок процент с плазмените протеини, диализата не е от голямо значение при предозиране.</w:t>
      </w:r>
    </w:p>
    <w:p w14:paraId="68DC7CD5" w14:textId="77777777" w:rsidR="00E474C6" w:rsidRPr="00E474C6" w:rsidRDefault="00E474C6" w:rsidP="00E474C6"/>
    <w:p w14:paraId="02081B24" w14:textId="1F46E296" w:rsidR="00395555" w:rsidRPr="00395555" w:rsidRDefault="002C50EE" w:rsidP="008A6AF2">
      <w:pPr>
        <w:pStyle w:val="Heading1"/>
      </w:pPr>
      <w:r>
        <w:t>5. ФАРМАКОЛОГИЧНИ СВОЙСТВА</w:t>
      </w:r>
    </w:p>
    <w:p w14:paraId="32B6DE66" w14:textId="73EAA2C5" w:rsidR="00CF77F7" w:rsidRDefault="002C50EE" w:rsidP="004A448E">
      <w:pPr>
        <w:pStyle w:val="Heading2"/>
      </w:pPr>
      <w:r>
        <w:t>5.1. Фармакодинамични свойства</w:t>
      </w:r>
    </w:p>
    <w:p w14:paraId="0B734FF6" w14:textId="61CF5586" w:rsidR="00E474C6" w:rsidRDefault="00E474C6" w:rsidP="00E474C6"/>
    <w:p w14:paraId="729CA990"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Фармакотерапевтична група: калциеви антагонисти, селективни калциевите антагонисти с предимно съдово действие, дихидропиридинови производни. АТС код: С08СА01</w:t>
      </w:r>
    </w:p>
    <w:p w14:paraId="3379C515" w14:textId="77777777" w:rsidR="00E474C6" w:rsidRPr="00E474C6" w:rsidRDefault="00E474C6" w:rsidP="00E474C6">
      <w:pPr>
        <w:spacing w:line="240" w:lineRule="auto"/>
        <w:rPr>
          <w:rFonts w:eastAsia="Times New Roman" w:cs="Arial"/>
          <w:color w:val="000000"/>
          <w:lang w:eastAsia="bg-BG"/>
        </w:rPr>
      </w:pPr>
    </w:p>
    <w:p w14:paraId="7F21FE88" w14:textId="03717A9F"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1B67E22F" w14:textId="77777777" w:rsidR="00E474C6" w:rsidRPr="00E474C6" w:rsidRDefault="00E474C6" w:rsidP="00E474C6">
      <w:pPr>
        <w:spacing w:line="240" w:lineRule="auto"/>
        <w:rPr>
          <w:rFonts w:eastAsia="Times New Roman" w:cs="Arial"/>
          <w:color w:val="000000"/>
          <w:lang w:eastAsia="bg-BG"/>
        </w:rPr>
      </w:pPr>
    </w:p>
    <w:p w14:paraId="562EB458" w14:textId="618A8D9E"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3453E63D" w14:textId="77777777" w:rsidR="00E474C6" w:rsidRPr="00E474C6" w:rsidRDefault="00E474C6" w:rsidP="00E474C6">
      <w:pPr>
        <w:spacing w:line="240" w:lineRule="auto"/>
        <w:rPr>
          <w:rFonts w:eastAsia="Times New Roman" w:cs="Arial"/>
          <w:color w:val="000000"/>
          <w:lang w:eastAsia="bg-BG"/>
        </w:rPr>
      </w:pPr>
    </w:p>
    <w:p w14:paraId="63728DEC" w14:textId="6E7DB7F2" w:rsidR="00E474C6" w:rsidRDefault="00E474C6" w:rsidP="00E474C6">
      <w:pPr>
        <w:pStyle w:val="ListParagraph"/>
        <w:numPr>
          <w:ilvl w:val="0"/>
          <w:numId w:val="2"/>
        </w:numPr>
        <w:spacing w:line="240" w:lineRule="auto"/>
        <w:rPr>
          <w:rFonts w:eastAsia="Times New Roman" w:cs="Arial"/>
          <w:color w:val="000000"/>
          <w:lang w:eastAsia="bg-BG"/>
        </w:rPr>
      </w:pPr>
      <w:r w:rsidRPr="00E474C6">
        <w:rPr>
          <w:rFonts w:eastAsia="Times New Roman" w:cs="Arial"/>
          <w:color w:val="00000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6806C123" w14:textId="77777777" w:rsidR="00E474C6" w:rsidRPr="00E474C6" w:rsidRDefault="00E474C6" w:rsidP="00E474C6">
      <w:pPr>
        <w:spacing w:line="240" w:lineRule="auto"/>
        <w:rPr>
          <w:rFonts w:eastAsia="Times New Roman" w:cs="Arial"/>
          <w:color w:val="000000"/>
          <w:lang w:eastAsia="bg-BG"/>
        </w:rPr>
      </w:pPr>
    </w:p>
    <w:p w14:paraId="465D83A4" w14:textId="5502B1F9" w:rsidR="00E474C6" w:rsidRPr="00E474C6" w:rsidRDefault="00E474C6" w:rsidP="00E474C6">
      <w:pPr>
        <w:pStyle w:val="ListParagraph"/>
        <w:numPr>
          <w:ilvl w:val="0"/>
          <w:numId w:val="2"/>
        </w:numPr>
        <w:spacing w:line="240" w:lineRule="auto"/>
        <w:rPr>
          <w:rFonts w:eastAsia="Times New Roman" w:cs="Arial"/>
          <w:color w:val="000000"/>
          <w:lang w:eastAsia="bg-BG"/>
        </w:rPr>
      </w:pPr>
      <w:r w:rsidRPr="00E474C6">
        <w:rPr>
          <w:rFonts w:eastAsia="Times New Roman" w:cs="Arial"/>
          <w:color w:val="000000"/>
          <w:lang w:eastAsia="bg-BG"/>
        </w:rPr>
        <w:t xml:space="preserve">Механизмът на действие на амлодипин вероятно включва дилатация на основните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E474C6">
        <w:rPr>
          <w:rFonts w:eastAsia="Times New Roman" w:cs="Arial"/>
          <w:color w:val="000000"/>
          <w:lang w:val="en-US"/>
        </w:rPr>
        <w:t>Prinzmetal</w:t>
      </w:r>
      <w:proofErr w:type="spellEnd"/>
      <w:r w:rsidRPr="00E474C6">
        <w:rPr>
          <w:rFonts w:eastAsia="Times New Roman" w:cs="Arial"/>
          <w:color w:val="000000"/>
          <w:lang w:val="ru-RU"/>
        </w:rPr>
        <w:t xml:space="preserve"> </w:t>
      </w:r>
      <w:r w:rsidRPr="00E474C6">
        <w:rPr>
          <w:rFonts w:eastAsia="Times New Roman" w:cs="Arial"/>
          <w:color w:val="000000"/>
          <w:lang w:eastAsia="bg-BG"/>
        </w:rPr>
        <w:t>или вариантна стенокардия).</w:t>
      </w:r>
    </w:p>
    <w:p w14:paraId="018C3E88" w14:textId="77777777" w:rsidR="00E474C6" w:rsidRPr="00E474C6" w:rsidRDefault="00E474C6" w:rsidP="00E474C6">
      <w:pPr>
        <w:spacing w:line="240" w:lineRule="auto"/>
        <w:rPr>
          <w:rFonts w:eastAsia="Times New Roman" w:cs="Arial"/>
          <w:color w:val="000000"/>
          <w:lang w:eastAsia="bg-BG"/>
        </w:rPr>
      </w:pPr>
    </w:p>
    <w:p w14:paraId="0C900E03" w14:textId="3CBB893A"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w:t>
      </w:r>
      <w:r w:rsidRPr="00E474C6">
        <w:rPr>
          <w:rFonts w:eastAsia="Times New Roman" w:cs="Arial"/>
          <w:color w:val="000000"/>
          <w:lang w:eastAsia="bg-BG"/>
        </w:rPr>
        <w:lastRenderedPageBreak/>
        <w:t>интервал от 24-часа. Поради бавното начало на действие, острата хипотония не е характерна за приложението на амлодипин.</w:t>
      </w:r>
    </w:p>
    <w:p w14:paraId="6005592E" w14:textId="77777777" w:rsidR="00E474C6" w:rsidRPr="00E474C6" w:rsidRDefault="00E474C6" w:rsidP="00E474C6">
      <w:pPr>
        <w:spacing w:line="240" w:lineRule="auto"/>
        <w:rPr>
          <w:rFonts w:eastAsia="Times New Roman" w:cs="Arial"/>
          <w:color w:val="000000"/>
          <w:lang w:eastAsia="bg-BG"/>
        </w:rPr>
      </w:pPr>
    </w:p>
    <w:p w14:paraId="0D763DFE" w14:textId="7C478D51"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Еднократното дневно приложение на амлодипин при пациенти със стенокардия повишава общото </w:t>
      </w:r>
      <w:r w:rsidRPr="00E474C6">
        <w:rPr>
          <w:rFonts w:eastAsia="Times New Roman" w:cs="Arial"/>
          <w:i/>
          <w:iCs/>
          <w:color w:val="000000"/>
          <w:lang w:eastAsia="bg-BG"/>
        </w:rPr>
        <w:t>време на</w:t>
      </w:r>
      <w:r w:rsidRPr="00E474C6">
        <w:rPr>
          <w:rFonts w:eastAsia="Times New Roman" w:cs="Arial"/>
          <w:color w:val="000000"/>
          <w:lang w:eastAsia="bg-BG"/>
        </w:rPr>
        <w:t xml:space="preserve"> физическо натоварване, времето до началото на ангинозен пристъп и времето за депресия на </w:t>
      </w:r>
      <w:r w:rsidRPr="00E474C6">
        <w:rPr>
          <w:rFonts w:eastAsia="Times New Roman" w:cs="Arial"/>
          <w:color w:val="000000"/>
          <w:lang w:val="en-US"/>
        </w:rPr>
        <w:t>ST</w:t>
      </w:r>
      <w:r w:rsidRPr="00E474C6">
        <w:rPr>
          <w:rFonts w:eastAsia="Times New Roman" w:cs="Arial"/>
          <w:color w:val="000000"/>
          <w:lang w:eastAsia="bg-BG"/>
        </w:rPr>
        <w:t xml:space="preserve">-сегмента с 1 </w:t>
      </w:r>
      <w:r w:rsidRPr="00E474C6">
        <w:rPr>
          <w:rFonts w:eastAsia="Times New Roman" w:cs="Arial"/>
          <w:color w:val="000000"/>
          <w:lang w:val="en-US"/>
        </w:rPr>
        <w:t>mm</w:t>
      </w:r>
      <w:r w:rsidRPr="00E474C6">
        <w:rPr>
          <w:rFonts w:eastAsia="Times New Roman" w:cs="Arial"/>
          <w:color w:val="000000"/>
          <w:lang w:val="ru-RU"/>
        </w:rPr>
        <w:t xml:space="preserve"> </w:t>
      </w:r>
      <w:r w:rsidRPr="00E474C6">
        <w:rPr>
          <w:rFonts w:eastAsia="Times New Roman" w:cs="Arial"/>
          <w:color w:val="000000"/>
          <w:lang w:eastAsia="bg-BG"/>
        </w:rPr>
        <w:t>и намалява както честотата на стенокардиите пристъпи, така и приема на таблетки нитроглицерин.</w:t>
      </w:r>
    </w:p>
    <w:p w14:paraId="21A2A945" w14:textId="77777777" w:rsidR="00E474C6" w:rsidRPr="00E474C6" w:rsidRDefault="00E474C6" w:rsidP="00E474C6">
      <w:pPr>
        <w:spacing w:line="240" w:lineRule="auto"/>
        <w:rPr>
          <w:rFonts w:eastAsia="Times New Roman" w:cs="Arial"/>
          <w:color w:val="000000"/>
          <w:lang w:eastAsia="bg-BG"/>
        </w:rPr>
      </w:pPr>
    </w:p>
    <w:p w14:paraId="0C34F5E5" w14:textId="483B2FB9"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Амлодипин не води до никакви метаболитни нежелани реакции или промени в плазмените липиди и е подходящ за лечение на пациенти с астма, диабет и подагра.</w:t>
      </w:r>
    </w:p>
    <w:p w14:paraId="77E79197" w14:textId="77777777" w:rsidR="00E474C6" w:rsidRPr="00E474C6" w:rsidRDefault="00E474C6" w:rsidP="00E474C6">
      <w:pPr>
        <w:spacing w:line="240" w:lineRule="auto"/>
        <w:rPr>
          <w:rFonts w:eastAsia="Times New Roman" w:cs="Arial"/>
          <w:i/>
          <w:iCs/>
          <w:color w:val="000000"/>
          <w:u w:val="single"/>
          <w:lang w:eastAsia="bg-BG"/>
        </w:rPr>
      </w:pPr>
    </w:p>
    <w:p w14:paraId="66CA03A4" w14:textId="78448678"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Приложение при пациенти с исхемична болест на сърцето (ИБС)</w:t>
      </w:r>
    </w:p>
    <w:p w14:paraId="6EFAA648"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Ефективността на амлодипин за предотвратяване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проучване с 1997 пациенти; Сравнение на Амлодипин спрямо Еналаприл за Ограничаване на Тромбозата </w:t>
      </w:r>
      <w:r w:rsidRPr="00E474C6">
        <w:rPr>
          <w:rFonts w:eastAsia="Times New Roman" w:cs="Arial"/>
          <w:color w:val="000000"/>
          <w:lang w:val="ru-RU"/>
        </w:rPr>
        <w:t>(</w:t>
      </w:r>
      <w:r w:rsidRPr="00E474C6">
        <w:rPr>
          <w:rFonts w:eastAsia="Times New Roman" w:cs="Arial"/>
          <w:color w:val="000000"/>
          <w:lang w:val="en-US"/>
        </w:rPr>
        <w:t>CAMELOT</w:t>
      </w:r>
      <w:r w:rsidRPr="00E474C6">
        <w:rPr>
          <w:rFonts w:eastAsia="Times New Roman" w:cs="Arial"/>
          <w:color w:val="000000"/>
          <w:lang w:val="ru-RU"/>
        </w:rPr>
        <w:t xml:space="preserve">). </w:t>
      </w:r>
      <w:r w:rsidRPr="00E474C6">
        <w:rPr>
          <w:rFonts w:eastAsia="Times New Roman" w:cs="Arial"/>
          <w:color w:val="000000"/>
          <w:lang w:eastAsia="bg-BG"/>
        </w:rPr>
        <w:t>От тези пациенти, 663 са били</w:t>
      </w:r>
    </w:p>
    <w:p w14:paraId="0E6AC4C6" w14:textId="77777777" w:rsidR="00E474C6" w:rsidRPr="00E474C6" w:rsidRDefault="00E474C6" w:rsidP="00E474C6">
      <w:pPr>
        <w:rPr>
          <w:rFonts w:eastAsia="Times New Roman" w:cs="Arial"/>
          <w:sz w:val="24"/>
          <w:szCs w:val="24"/>
        </w:rPr>
      </w:pPr>
      <w:r w:rsidRPr="00E474C6">
        <w:rPr>
          <w:rFonts w:eastAsia="Times New Roman" w:cs="Arial"/>
          <w:color w:val="000000"/>
          <w:lang w:eastAsia="bg-BG"/>
        </w:rPr>
        <w:t xml:space="preserve">лекувани с амлодипин 5-10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673 са били лекувани с еналаприл 10-20</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и 653 са били на плацебо, в комбинация с обичайната терапия със статини, бета-блокери, диуретици и аспирин, в продължение на 2 години.</w:t>
      </w:r>
    </w:p>
    <w:p w14:paraId="6A10E89E" w14:textId="1CC682BC" w:rsidR="00E474C6" w:rsidRPr="00E474C6" w:rsidRDefault="00E474C6" w:rsidP="00E474C6">
      <w:pPr>
        <w:rPr>
          <w:rFonts w:eastAsia="Times New Roman" w:cs="Arial"/>
          <w:color w:val="000000"/>
          <w:lang w:eastAsia="bg-BG"/>
        </w:rPr>
      </w:pPr>
      <w:r w:rsidRPr="00E474C6">
        <w:rPr>
          <w:rFonts w:eastAsia="Times New Roman" w:cs="Arial"/>
          <w:color w:val="000000"/>
          <w:lang w:eastAsia="bg-BG"/>
        </w:rPr>
        <w:t>Основните резултати за ефикасност са представени в Таблица 1. Резултатите показват, че</w:t>
      </w:r>
    </w:p>
    <w:p w14:paraId="069231D4" w14:textId="318E4917" w:rsidR="00E474C6" w:rsidRDefault="00E474C6" w:rsidP="00E474C6">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2104"/>
        <w:gridCol w:w="1320"/>
        <w:gridCol w:w="1381"/>
        <w:gridCol w:w="1476"/>
        <w:gridCol w:w="1579"/>
        <w:gridCol w:w="1490"/>
      </w:tblGrid>
      <w:tr w:rsidR="00E474C6" w14:paraId="2DB2F166" w14:textId="77777777" w:rsidTr="00EE06B3">
        <w:tc>
          <w:tcPr>
            <w:tcW w:w="9576" w:type="dxa"/>
            <w:gridSpan w:val="6"/>
          </w:tcPr>
          <w:p w14:paraId="6D27DF6B" w14:textId="36836F82" w:rsidR="00E474C6" w:rsidRPr="00E474C6" w:rsidRDefault="00E474C6" w:rsidP="00E474C6">
            <w:pPr>
              <w:rPr>
                <w:rFonts w:eastAsia="Times New Roman" w:cs="Arial"/>
                <w:color w:val="000000"/>
                <w:lang w:eastAsia="bg-BG"/>
              </w:rPr>
            </w:pPr>
            <w:r w:rsidRPr="00E474C6">
              <w:rPr>
                <w:rFonts w:eastAsia="Times New Roman" w:cs="Arial"/>
                <w:b/>
                <w:bCs/>
                <w:color w:val="000000"/>
                <w:lang w:eastAsia="bg-BG"/>
              </w:rPr>
              <w:t xml:space="preserve">Таблица 1. Честота на значимите клинични събития при </w:t>
            </w:r>
            <w:r w:rsidRPr="00E474C6">
              <w:rPr>
                <w:rFonts w:eastAsia="Times New Roman" w:cs="Arial"/>
                <w:b/>
                <w:bCs/>
                <w:color w:val="000000"/>
                <w:lang w:val="en-US"/>
              </w:rPr>
              <w:t>CAMELOT</w:t>
            </w:r>
          </w:p>
        </w:tc>
      </w:tr>
      <w:tr w:rsidR="00E474C6" w14:paraId="0B6E9FB3" w14:textId="77777777" w:rsidTr="00E474C6">
        <w:tc>
          <w:tcPr>
            <w:tcW w:w="8053" w:type="dxa"/>
            <w:gridSpan w:val="5"/>
          </w:tcPr>
          <w:p w14:paraId="0954C325" w14:textId="1BD1330D" w:rsidR="00E474C6" w:rsidRDefault="00E474C6" w:rsidP="00E474C6">
            <w:pPr>
              <w:rPr>
                <w:rFonts w:ascii="Times New Roman" w:eastAsia="Times New Roman" w:hAnsi="Times New Roman" w:cs="Times New Roman"/>
                <w:color w:val="000000"/>
                <w:lang w:eastAsia="bg-BG"/>
              </w:rPr>
            </w:pPr>
            <w:r>
              <w:rPr>
                <w:u w:val="single"/>
              </w:rPr>
              <w:t>Честота на сърдечно-съдовите събития, брой (%)</w:t>
            </w:r>
          </w:p>
        </w:tc>
        <w:tc>
          <w:tcPr>
            <w:tcW w:w="1523" w:type="dxa"/>
          </w:tcPr>
          <w:p w14:paraId="13CF1BEA" w14:textId="43A030F2" w:rsidR="00E474C6" w:rsidRDefault="00E474C6" w:rsidP="00E474C6">
            <w:pPr>
              <w:rPr>
                <w:rFonts w:ascii="Times New Roman" w:eastAsia="Times New Roman" w:hAnsi="Times New Roman" w:cs="Times New Roman"/>
                <w:color w:val="000000"/>
                <w:lang w:eastAsia="bg-BG"/>
              </w:rPr>
            </w:pPr>
            <w:r>
              <w:rPr>
                <w:u w:val="single"/>
              </w:rPr>
              <w:t>Амлодипин срещу плацебо</w:t>
            </w:r>
          </w:p>
        </w:tc>
      </w:tr>
      <w:tr w:rsidR="00E474C6" w14:paraId="2B1058C6" w14:textId="77777777" w:rsidTr="00E474C6">
        <w:tc>
          <w:tcPr>
            <w:tcW w:w="2104" w:type="dxa"/>
          </w:tcPr>
          <w:p w14:paraId="2DF158A4" w14:textId="2926B1EC" w:rsidR="00E474C6" w:rsidRDefault="00E474C6" w:rsidP="00E474C6">
            <w:pPr>
              <w:rPr>
                <w:rFonts w:ascii="Times New Roman" w:eastAsia="Times New Roman" w:hAnsi="Times New Roman" w:cs="Times New Roman"/>
                <w:color w:val="000000"/>
                <w:lang w:eastAsia="bg-BG"/>
              </w:rPr>
            </w:pPr>
            <w:r>
              <w:t>Клинични събития</w:t>
            </w:r>
          </w:p>
        </w:tc>
        <w:tc>
          <w:tcPr>
            <w:tcW w:w="1405" w:type="dxa"/>
          </w:tcPr>
          <w:p w14:paraId="1EE2516A" w14:textId="4C8464E1" w:rsidR="00E474C6" w:rsidRDefault="00E474C6" w:rsidP="00E474C6">
            <w:pPr>
              <w:rPr>
                <w:rFonts w:ascii="Times New Roman" w:eastAsia="Times New Roman" w:hAnsi="Times New Roman" w:cs="Times New Roman"/>
                <w:color w:val="000000"/>
                <w:lang w:eastAsia="bg-BG"/>
              </w:rPr>
            </w:pPr>
            <w:r>
              <w:t>Амлоди пин</w:t>
            </w:r>
          </w:p>
        </w:tc>
        <w:tc>
          <w:tcPr>
            <w:tcW w:w="1447" w:type="dxa"/>
          </w:tcPr>
          <w:p w14:paraId="6B5A0E12" w14:textId="0E1EE3C8" w:rsidR="00E474C6" w:rsidRDefault="00E474C6" w:rsidP="00E474C6">
            <w:pPr>
              <w:rPr>
                <w:rFonts w:ascii="Times New Roman" w:eastAsia="Times New Roman" w:hAnsi="Times New Roman" w:cs="Times New Roman"/>
                <w:color w:val="000000"/>
                <w:lang w:eastAsia="bg-BG"/>
              </w:rPr>
            </w:pPr>
            <w:r>
              <w:t>Плацебо</w:t>
            </w:r>
          </w:p>
        </w:tc>
        <w:tc>
          <w:tcPr>
            <w:tcW w:w="1513" w:type="dxa"/>
          </w:tcPr>
          <w:p w14:paraId="78DABC13" w14:textId="5215338A" w:rsidR="00E474C6" w:rsidRDefault="00E474C6" w:rsidP="00E474C6">
            <w:pPr>
              <w:rPr>
                <w:rFonts w:ascii="Times New Roman" w:eastAsia="Times New Roman" w:hAnsi="Times New Roman" w:cs="Times New Roman"/>
                <w:color w:val="000000"/>
                <w:lang w:eastAsia="bg-BG"/>
              </w:rPr>
            </w:pPr>
            <w:r>
              <w:t>Еналаприл</w:t>
            </w:r>
          </w:p>
        </w:tc>
        <w:tc>
          <w:tcPr>
            <w:tcW w:w="1584" w:type="dxa"/>
          </w:tcPr>
          <w:p w14:paraId="7A6E28B3" w14:textId="126724B4" w:rsidR="00E474C6" w:rsidRDefault="00E474C6" w:rsidP="00E474C6">
            <w:pPr>
              <w:rPr>
                <w:rFonts w:ascii="Times New Roman" w:eastAsia="Times New Roman" w:hAnsi="Times New Roman" w:cs="Times New Roman"/>
                <w:color w:val="000000"/>
                <w:lang w:eastAsia="bg-BG"/>
              </w:rPr>
            </w:pPr>
            <w:r>
              <w:t>Относителен риск (95% ДИ)</w:t>
            </w:r>
          </w:p>
        </w:tc>
        <w:tc>
          <w:tcPr>
            <w:tcW w:w="1523" w:type="dxa"/>
          </w:tcPr>
          <w:p w14:paraId="6F1C4858" w14:textId="19F7D2A1" w:rsidR="00E474C6" w:rsidRDefault="00E474C6" w:rsidP="00E474C6">
            <w:pPr>
              <w:rPr>
                <w:rFonts w:ascii="Times New Roman" w:eastAsia="Times New Roman" w:hAnsi="Times New Roman" w:cs="Times New Roman"/>
                <w:color w:val="000000"/>
                <w:lang w:eastAsia="bg-BG"/>
              </w:rPr>
            </w:pPr>
            <w:r>
              <w:t>Р -стойност</w:t>
            </w:r>
          </w:p>
        </w:tc>
      </w:tr>
      <w:tr w:rsidR="00E474C6" w14:paraId="630F248D" w14:textId="77777777" w:rsidTr="00286556">
        <w:tc>
          <w:tcPr>
            <w:tcW w:w="9576" w:type="dxa"/>
            <w:gridSpan w:val="6"/>
          </w:tcPr>
          <w:p w14:paraId="27F7A8B0" w14:textId="65F931D4" w:rsidR="00E474C6" w:rsidRDefault="00E474C6" w:rsidP="00E474C6">
            <w:pPr>
              <w:rPr>
                <w:rFonts w:ascii="Times New Roman" w:eastAsia="Times New Roman" w:hAnsi="Times New Roman" w:cs="Times New Roman"/>
                <w:color w:val="000000"/>
                <w:lang w:eastAsia="bg-BG"/>
              </w:rPr>
            </w:pPr>
            <w:r>
              <w:t>Първична крайна точка</w:t>
            </w:r>
          </w:p>
        </w:tc>
      </w:tr>
      <w:tr w:rsidR="00E474C6" w14:paraId="181B8BB9" w14:textId="77777777" w:rsidTr="00E474C6">
        <w:tc>
          <w:tcPr>
            <w:tcW w:w="2104" w:type="dxa"/>
          </w:tcPr>
          <w:p w14:paraId="56FA3367" w14:textId="5E844D9A" w:rsidR="00E474C6" w:rsidRDefault="00E474C6" w:rsidP="00E474C6">
            <w:pPr>
              <w:rPr>
                <w:rFonts w:ascii="Times New Roman" w:eastAsia="Times New Roman" w:hAnsi="Times New Roman" w:cs="Times New Roman"/>
                <w:color w:val="000000"/>
                <w:lang w:eastAsia="bg-BG"/>
              </w:rPr>
            </w:pPr>
            <w:r>
              <w:t>Нежелани сърдечно</w:t>
            </w:r>
            <w:r>
              <w:softHyphen/>
              <w:t>съдови събития</w:t>
            </w:r>
          </w:p>
        </w:tc>
        <w:tc>
          <w:tcPr>
            <w:tcW w:w="1405" w:type="dxa"/>
          </w:tcPr>
          <w:p w14:paraId="14A203EF" w14:textId="77777777" w:rsidR="00E474C6" w:rsidRDefault="00E474C6" w:rsidP="00E474C6">
            <w:r>
              <w:t>110</w:t>
            </w:r>
          </w:p>
          <w:p w14:paraId="5792CBC3" w14:textId="267DAC63" w:rsidR="00E474C6" w:rsidRDefault="00E474C6" w:rsidP="00E474C6">
            <w:pPr>
              <w:rPr>
                <w:rFonts w:ascii="Times New Roman" w:eastAsia="Times New Roman" w:hAnsi="Times New Roman" w:cs="Times New Roman"/>
                <w:color w:val="000000"/>
                <w:lang w:eastAsia="bg-BG"/>
              </w:rPr>
            </w:pPr>
            <w:r>
              <w:t>(16,6)</w:t>
            </w:r>
          </w:p>
        </w:tc>
        <w:tc>
          <w:tcPr>
            <w:tcW w:w="1447" w:type="dxa"/>
          </w:tcPr>
          <w:p w14:paraId="359FCD69" w14:textId="3E4B0D29" w:rsidR="00E474C6" w:rsidRDefault="00E474C6" w:rsidP="00E474C6">
            <w:pPr>
              <w:rPr>
                <w:rFonts w:ascii="Times New Roman" w:eastAsia="Times New Roman" w:hAnsi="Times New Roman" w:cs="Times New Roman"/>
                <w:color w:val="000000"/>
                <w:lang w:eastAsia="bg-BG"/>
              </w:rPr>
            </w:pPr>
            <w:r>
              <w:t>151 (23,1)</w:t>
            </w:r>
          </w:p>
        </w:tc>
        <w:tc>
          <w:tcPr>
            <w:tcW w:w="1513" w:type="dxa"/>
          </w:tcPr>
          <w:p w14:paraId="4E97F941" w14:textId="6044A467" w:rsidR="00E474C6" w:rsidRDefault="00E474C6" w:rsidP="00E474C6">
            <w:pPr>
              <w:rPr>
                <w:rFonts w:ascii="Times New Roman" w:eastAsia="Times New Roman" w:hAnsi="Times New Roman" w:cs="Times New Roman"/>
                <w:color w:val="000000"/>
                <w:lang w:eastAsia="bg-BG"/>
              </w:rPr>
            </w:pPr>
            <w:r>
              <w:t>136 (20,2)</w:t>
            </w:r>
          </w:p>
        </w:tc>
        <w:tc>
          <w:tcPr>
            <w:tcW w:w="1584" w:type="dxa"/>
          </w:tcPr>
          <w:p w14:paraId="4463DA56" w14:textId="77777777" w:rsidR="00E474C6" w:rsidRDefault="00E474C6" w:rsidP="00E474C6">
            <w:r>
              <w:t>0,69 (0,54-</w:t>
            </w:r>
          </w:p>
          <w:p w14:paraId="374210B9" w14:textId="45BBE3B1" w:rsidR="00E474C6" w:rsidRDefault="00E474C6" w:rsidP="00E474C6">
            <w:pPr>
              <w:rPr>
                <w:rFonts w:ascii="Times New Roman" w:eastAsia="Times New Roman" w:hAnsi="Times New Roman" w:cs="Times New Roman"/>
                <w:color w:val="000000"/>
                <w:lang w:eastAsia="bg-BG"/>
              </w:rPr>
            </w:pPr>
            <w:r>
              <w:t>0,88)</w:t>
            </w:r>
          </w:p>
        </w:tc>
        <w:tc>
          <w:tcPr>
            <w:tcW w:w="1523" w:type="dxa"/>
          </w:tcPr>
          <w:p w14:paraId="7C886870" w14:textId="541ADDF5" w:rsidR="00E474C6" w:rsidRDefault="00E474C6" w:rsidP="00E474C6">
            <w:pPr>
              <w:rPr>
                <w:rFonts w:ascii="Times New Roman" w:eastAsia="Times New Roman" w:hAnsi="Times New Roman" w:cs="Times New Roman"/>
                <w:color w:val="000000"/>
                <w:lang w:eastAsia="bg-BG"/>
              </w:rPr>
            </w:pPr>
            <w:r>
              <w:t>0,003</w:t>
            </w:r>
          </w:p>
        </w:tc>
      </w:tr>
      <w:tr w:rsidR="00E474C6" w14:paraId="05ADB98F" w14:textId="77777777" w:rsidTr="00D149E9">
        <w:tc>
          <w:tcPr>
            <w:tcW w:w="9576" w:type="dxa"/>
            <w:gridSpan w:val="6"/>
          </w:tcPr>
          <w:p w14:paraId="3BC813D5" w14:textId="223061F3" w:rsidR="00E474C6" w:rsidRDefault="00E474C6" w:rsidP="00E474C6">
            <w:pPr>
              <w:rPr>
                <w:rFonts w:ascii="Times New Roman" w:eastAsia="Times New Roman" w:hAnsi="Times New Roman" w:cs="Times New Roman"/>
                <w:color w:val="000000"/>
                <w:lang w:eastAsia="bg-BG"/>
              </w:rPr>
            </w:pPr>
            <w:r>
              <w:rPr>
                <w:u w:val="single"/>
              </w:rPr>
              <w:t>Отделни компонент</w:t>
            </w:r>
            <w:r>
              <w:t>и</w:t>
            </w:r>
          </w:p>
        </w:tc>
      </w:tr>
      <w:tr w:rsidR="00E474C6" w14:paraId="11687D77" w14:textId="77777777" w:rsidTr="00E474C6">
        <w:tc>
          <w:tcPr>
            <w:tcW w:w="2104" w:type="dxa"/>
          </w:tcPr>
          <w:p w14:paraId="74B45AFE" w14:textId="3B7071FE" w:rsidR="00E474C6" w:rsidRDefault="00E474C6" w:rsidP="00E474C6">
            <w:pPr>
              <w:rPr>
                <w:rFonts w:ascii="Times New Roman" w:eastAsia="Times New Roman" w:hAnsi="Times New Roman" w:cs="Times New Roman"/>
                <w:color w:val="000000"/>
                <w:lang w:eastAsia="bg-BG"/>
              </w:rPr>
            </w:pPr>
            <w:r>
              <w:t>Коронарна реваскуларизация</w:t>
            </w:r>
          </w:p>
        </w:tc>
        <w:tc>
          <w:tcPr>
            <w:tcW w:w="1405" w:type="dxa"/>
          </w:tcPr>
          <w:p w14:paraId="4613BD61" w14:textId="63D1E175" w:rsidR="00E474C6" w:rsidRDefault="00E474C6" w:rsidP="00E474C6">
            <w:pPr>
              <w:rPr>
                <w:rFonts w:ascii="Times New Roman" w:eastAsia="Times New Roman" w:hAnsi="Times New Roman" w:cs="Times New Roman"/>
                <w:color w:val="000000"/>
                <w:lang w:eastAsia="bg-BG"/>
              </w:rPr>
            </w:pPr>
            <w:r>
              <w:t>78(11,8)</w:t>
            </w:r>
          </w:p>
        </w:tc>
        <w:tc>
          <w:tcPr>
            <w:tcW w:w="1447" w:type="dxa"/>
          </w:tcPr>
          <w:p w14:paraId="7E551CDC" w14:textId="05C32A96" w:rsidR="00E474C6" w:rsidRDefault="00E474C6" w:rsidP="00E474C6">
            <w:pPr>
              <w:rPr>
                <w:rFonts w:ascii="Times New Roman" w:eastAsia="Times New Roman" w:hAnsi="Times New Roman" w:cs="Times New Roman"/>
                <w:color w:val="000000"/>
                <w:lang w:eastAsia="bg-BG"/>
              </w:rPr>
            </w:pPr>
            <w:r>
              <w:t>103(15,7)</w:t>
            </w:r>
          </w:p>
        </w:tc>
        <w:tc>
          <w:tcPr>
            <w:tcW w:w="1513" w:type="dxa"/>
          </w:tcPr>
          <w:p w14:paraId="22410FF8" w14:textId="2B45713E" w:rsidR="00E474C6" w:rsidRDefault="00E474C6" w:rsidP="00E474C6">
            <w:pPr>
              <w:rPr>
                <w:rFonts w:ascii="Times New Roman" w:eastAsia="Times New Roman" w:hAnsi="Times New Roman" w:cs="Times New Roman"/>
                <w:color w:val="000000"/>
                <w:lang w:eastAsia="bg-BG"/>
              </w:rPr>
            </w:pPr>
            <w:r>
              <w:t>95(14,1)</w:t>
            </w:r>
          </w:p>
        </w:tc>
        <w:tc>
          <w:tcPr>
            <w:tcW w:w="1584" w:type="dxa"/>
          </w:tcPr>
          <w:p w14:paraId="350E743D" w14:textId="22162C92" w:rsidR="00E474C6" w:rsidRDefault="00E474C6" w:rsidP="00E474C6">
            <w:pPr>
              <w:rPr>
                <w:rFonts w:ascii="Times New Roman" w:eastAsia="Times New Roman" w:hAnsi="Times New Roman" w:cs="Times New Roman"/>
                <w:color w:val="000000"/>
                <w:lang w:eastAsia="bg-BG"/>
              </w:rPr>
            </w:pPr>
            <w:r>
              <w:t>0,73 (0,54- 0,98)</w:t>
            </w:r>
          </w:p>
        </w:tc>
        <w:tc>
          <w:tcPr>
            <w:tcW w:w="1523" w:type="dxa"/>
          </w:tcPr>
          <w:p w14:paraId="068E0528" w14:textId="47B896BC" w:rsidR="00E474C6" w:rsidRDefault="00E474C6" w:rsidP="00E474C6">
            <w:pPr>
              <w:rPr>
                <w:rFonts w:ascii="Times New Roman" w:eastAsia="Times New Roman" w:hAnsi="Times New Roman" w:cs="Times New Roman"/>
                <w:color w:val="000000"/>
                <w:lang w:eastAsia="bg-BG"/>
              </w:rPr>
            </w:pPr>
            <w:r>
              <w:t>0,03</w:t>
            </w:r>
          </w:p>
        </w:tc>
      </w:tr>
      <w:tr w:rsidR="00E474C6" w14:paraId="0B96396A" w14:textId="77777777" w:rsidTr="00E474C6">
        <w:tc>
          <w:tcPr>
            <w:tcW w:w="2104" w:type="dxa"/>
          </w:tcPr>
          <w:p w14:paraId="70A1FEF7" w14:textId="0F7B7EE5" w:rsidR="00E474C6" w:rsidRDefault="00E474C6" w:rsidP="00E474C6">
            <w:pPr>
              <w:rPr>
                <w:rFonts w:ascii="Times New Roman" w:eastAsia="Times New Roman" w:hAnsi="Times New Roman" w:cs="Times New Roman"/>
                <w:color w:val="000000"/>
                <w:lang w:eastAsia="bg-BG"/>
              </w:rPr>
            </w:pPr>
            <w:r>
              <w:t>Хоспитализация за стенокардия</w:t>
            </w:r>
          </w:p>
        </w:tc>
        <w:tc>
          <w:tcPr>
            <w:tcW w:w="1405" w:type="dxa"/>
          </w:tcPr>
          <w:p w14:paraId="11BF478A" w14:textId="0FBFCD71" w:rsidR="00E474C6" w:rsidRDefault="00E474C6" w:rsidP="00E474C6">
            <w:pPr>
              <w:rPr>
                <w:rFonts w:ascii="Times New Roman" w:eastAsia="Times New Roman" w:hAnsi="Times New Roman" w:cs="Times New Roman"/>
                <w:color w:val="000000"/>
                <w:lang w:eastAsia="bg-BG"/>
              </w:rPr>
            </w:pPr>
            <w:r>
              <w:t>51 (7,7)</w:t>
            </w:r>
          </w:p>
        </w:tc>
        <w:tc>
          <w:tcPr>
            <w:tcW w:w="1447" w:type="dxa"/>
          </w:tcPr>
          <w:p w14:paraId="72282BB5" w14:textId="4C392F02" w:rsidR="00E474C6" w:rsidRDefault="00E474C6" w:rsidP="00E474C6">
            <w:pPr>
              <w:rPr>
                <w:rFonts w:ascii="Times New Roman" w:eastAsia="Times New Roman" w:hAnsi="Times New Roman" w:cs="Times New Roman"/>
                <w:color w:val="000000"/>
                <w:lang w:eastAsia="bg-BG"/>
              </w:rPr>
            </w:pPr>
            <w:r>
              <w:t>84(12,8)</w:t>
            </w:r>
          </w:p>
        </w:tc>
        <w:tc>
          <w:tcPr>
            <w:tcW w:w="1513" w:type="dxa"/>
          </w:tcPr>
          <w:p w14:paraId="0A21AFE6" w14:textId="48CD3A17" w:rsidR="00E474C6" w:rsidRDefault="00E474C6" w:rsidP="00E474C6">
            <w:pPr>
              <w:rPr>
                <w:rFonts w:ascii="Times New Roman" w:eastAsia="Times New Roman" w:hAnsi="Times New Roman" w:cs="Times New Roman"/>
                <w:color w:val="000000"/>
                <w:lang w:eastAsia="bg-BG"/>
              </w:rPr>
            </w:pPr>
            <w:r>
              <w:t>86(12,8)</w:t>
            </w:r>
          </w:p>
        </w:tc>
        <w:tc>
          <w:tcPr>
            <w:tcW w:w="1584" w:type="dxa"/>
          </w:tcPr>
          <w:p w14:paraId="4965C8D2" w14:textId="043A6072" w:rsidR="00E474C6" w:rsidRDefault="00E474C6" w:rsidP="00E474C6">
            <w:pPr>
              <w:rPr>
                <w:rFonts w:ascii="Times New Roman" w:eastAsia="Times New Roman" w:hAnsi="Times New Roman" w:cs="Times New Roman"/>
                <w:color w:val="000000"/>
                <w:lang w:eastAsia="bg-BG"/>
              </w:rPr>
            </w:pPr>
            <w:r>
              <w:t>0,58(0,41- 0,82)</w:t>
            </w:r>
          </w:p>
        </w:tc>
        <w:tc>
          <w:tcPr>
            <w:tcW w:w="1523" w:type="dxa"/>
          </w:tcPr>
          <w:p w14:paraId="60D5F7F4" w14:textId="4E92B1F5" w:rsidR="00E474C6" w:rsidRDefault="00E474C6" w:rsidP="00E474C6">
            <w:pPr>
              <w:rPr>
                <w:rFonts w:ascii="Times New Roman" w:eastAsia="Times New Roman" w:hAnsi="Times New Roman" w:cs="Times New Roman"/>
                <w:color w:val="000000"/>
                <w:lang w:eastAsia="bg-BG"/>
              </w:rPr>
            </w:pPr>
            <w:r>
              <w:t>0,002</w:t>
            </w:r>
          </w:p>
        </w:tc>
      </w:tr>
      <w:tr w:rsidR="00E474C6" w14:paraId="7FE24CEE" w14:textId="77777777" w:rsidTr="00E474C6">
        <w:tc>
          <w:tcPr>
            <w:tcW w:w="2104" w:type="dxa"/>
          </w:tcPr>
          <w:p w14:paraId="1D254EF5" w14:textId="6CC1D4D9" w:rsidR="00E474C6" w:rsidRDefault="00E474C6" w:rsidP="00E474C6">
            <w:pPr>
              <w:rPr>
                <w:rFonts w:ascii="Times New Roman" w:eastAsia="Times New Roman" w:hAnsi="Times New Roman" w:cs="Times New Roman"/>
                <w:color w:val="000000"/>
                <w:lang w:eastAsia="bg-BG"/>
              </w:rPr>
            </w:pPr>
            <w:r>
              <w:t>Нефатален МИ</w:t>
            </w:r>
          </w:p>
        </w:tc>
        <w:tc>
          <w:tcPr>
            <w:tcW w:w="1405" w:type="dxa"/>
          </w:tcPr>
          <w:p w14:paraId="3B52D05D" w14:textId="630F88A8" w:rsidR="00E474C6" w:rsidRDefault="00E474C6" w:rsidP="00E474C6">
            <w:pPr>
              <w:rPr>
                <w:rFonts w:ascii="Times New Roman" w:eastAsia="Times New Roman" w:hAnsi="Times New Roman" w:cs="Times New Roman"/>
                <w:color w:val="000000"/>
                <w:lang w:eastAsia="bg-BG"/>
              </w:rPr>
            </w:pPr>
            <w:r>
              <w:t>14(2,1)</w:t>
            </w:r>
          </w:p>
        </w:tc>
        <w:tc>
          <w:tcPr>
            <w:tcW w:w="1447" w:type="dxa"/>
          </w:tcPr>
          <w:p w14:paraId="731064F0" w14:textId="65FA90BC" w:rsidR="00E474C6" w:rsidRDefault="00E474C6" w:rsidP="00E474C6">
            <w:pPr>
              <w:rPr>
                <w:rFonts w:ascii="Times New Roman" w:eastAsia="Times New Roman" w:hAnsi="Times New Roman" w:cs="Times New Roman"/>
                <w:color w:val="000000"/>
                <w:lang w:eastAsia="bg-BG"/>
              </w:rPr>
            </w:pPr>
            <w:r>
              <w:t>19(2,9)</w:t>
            </w:r>
          </w:p>
        </w:tc>
        <w:tc>
          <w:tcPr>
            <w:tcW w:w="1513" w:type="dxa"/>
          </w:tcPr>
          <w:p w14:paraId="56FD2D44" w14:textId="588F783A" w:rsidR="00E474C6" w:rsidRDefault="00E474C6" w:rsidP="00E474C6">
            <w:pPr>
              <w:rPr>
                <w:rFonts w:ascii="Times New Roman" w:eastAsia="Times New Roman" w:hAnsi="Times New Roman" w:cs="Times New Roman"/>
                <w:color w:val="000000"/>
                <w:lang w:eastAsia="bg-BG"/>
              </w:rPr>
            </w:pPr>
            <w:r>
              <w:t>11(1,6)</w:t>
            </w:r>
          </w:p>
        </w:tc>
        <w:tc>
          <w:tcPr>
            <w:tcW w:w="1584" w:type="dxa"/>
          </w:tcPr>
          <w:p w14:paraId="49BE8110" w14:textId="1304338C" w:rsidR="00E474C6" w:rsidRDefault="00E474C6" w:rsidP="00E474C6">
            <w:pPr>
              <w:rPr>
                <w:rFonts w:ascii="Times New Roman" w:eastAsia="Times New Roman" w:hAnsi="Times New Roman" w:cs="Times New Roman"/>
                <w:color w:val="000000"/>
                <w:lang w:eastAsia="bg-BG"/>
              </w:rPr>
            </w:pPr>
            <w:r>
              <w:t>0,73 (0,37- 1,46)</w:t>
            </w:r>
          </w:p>
        </w:tc>
        <w:tc>
          <w:tcPr>
            <w:tcW w:w="1523" w:type="dxa"/>
          </w:tcPr>
          <w:p w14:paraId="2C6A2A37" w14:textId="233A399C" w:rsidR="00E474C6" w:rsidRDefault="00E474C6" w:rsidP="00E474C6">
            <w:pPr>
              <w:rPr>
                <w:rFonts w:ascii="Times New Roman" w:eastAsia="Times New Roman" w:hAnsi="Times New Roman" w:cs="Times New Roman"/>
                <w:color w:val="000000"/>
                <w:lang w:eastAsia="bg-BG"/>
              </w:rPr>
            </w:pPr>
            <w:r>
              <w:t>0,37</w:t>
            </w:r>
          </w:p>
        </w:tc>
      </w:tr>
      <w:tr w:rsidR="00E474C6" w14:paraId="5E7DB0AC" w14:textId="77777777" w:rsidTr="00E474C6">
        <w:tc>
          <w:tcPr>
            <w:tcW w:w="2104" w:type="dxa"/>
          </w:tcPr>
          <w:p w14:paraId="27AE3535" w14:textId="0BC0CE8C" w:rsidR="00E474C6" w:rsidRDefault="00E474C6" w:rsidP="00E474C6">
            <w:pPr>
              <w:rPr>
                <w:rFonts w:ascii="Times New Roman" w:eastAsia="Times New Roman" w:hAnsi="Times New Roman" w:cs="Times New Roman"/>
                <w:color w:val="000000"/>
                <w:lang w:eastAsia="bg-BG"/>
              </w:rPr>
            </w:pPr>
            <w:r>
              <w:t>Инсулт или ТИА</w:t>
            </w:r>
          </w:p>
        </w:tc>
        <w:tc>
          <w:tcPr>
            <w:tcW w:w="1405" w:type="dxa"/>
          </w:tcPr>
          <w:p w14:paraId="613BF7B6" w14:textId="7EC07F29" w:rsidR="00E474C6" w:rsidRDefault="00E474C6" w:rsidP="00E474C6">
            <w:pPr>
              <w:rPr>
                <w:rFonts w:ascii="Times New Roman" w:eastAsia="Times New Roman" w:hAnsi="Times New Roman" w:cs="Times New Roman"/>
                <w:color w:val="000000"/>
                <w:lang w:eastAsia="bg-BG"/>
              </w:rPr>
            </w:pPr>
            <w:r>
              <w:t>6 (0,9)</w:t>
            </w:r>
          </w:p>
        </w:tc>
        <w:tc>
          <w:tcPr>
            <w:tcW w:w="1447" w:type="dxa"/>
          </w:tcPr>
          <w:p w14:paraId="549AE991" w14:textId="39DB51D7" w:rsidR="00E474C6" w:rsidRDefault="00E474C6" w:rsidP="00E474C6">
            <w:pPr>
              <w:rPr>
                <w:rFonts w:ascii="Times New Roman" w:eastAsia="Times New Roman" w:hAnsi="Times New Roman" w:cs="Times New Roman"/>
                <w:color w:val="000000"/>
                <w:lang w:eastAsia="bg-BG"/>
              </w:rPr>
            </w:pPr>
            <w:r>
              <w:t>12(1,8)</w:t>
            </w:r>
          </w:p>
        </w:tc>
        <w:tc>
          <w:tcPr>
            <w:tcW w:w="1513" w:type="dxa"/>
          </w:tcPr>
          <w:p w14:paraId="55FF4175" w14:textId="2DDF6805" w:rsidR="00E474C6" w:rsidRDefault="00E474C6" w:rsidP="00E474C6">
            <w:pPr>
              <w:rPr>
                <w:rFonts w:ascii="Times New Roman" w:eastAsia="Times New Roman" w:hAnsi="Times New Roman" w:cs="Times New Roman"/>
                <w:color w:val="000000"/>
                <w:lang w:eastAsia="bg-BG"/>
              </w:rPr>
            </w:pPr>
            <w:r>
              <w:t>8(1,2)</w:t>
            </w:r>
          </w:p>
        </w:tc>
        <w:tc>
          <w:tcPr>
            <w:tcW w:w="1584" w:type="dxa"/>
          </w:tcPr>
          <w:p w14:paraId="3C7F00EB" w14:textId="6EA64328" w:rsidR="00E474C6" w:rsidRDefault="00E474C6" w:rsidP="00E474C6">
            <w:pPr>
              <w:rPr>
                <w:rFonts w:ascii="Times New Roman" w:eastAsia="Times New Roman" w:hAnsi="Times New Roman" w:cs="Times New Roman"/>
                <w:color w:val="000000"/>
                <w:lang w:eastAsia="bg-BG"/>
              </w:rPr>
            </w:pPr>
            <w:r>
              <w:t>0,50(0,19- 1,32)</w:t>
            </w:r>
          </w:p>
        </w:tc>
        <w:tc>
          <w:tcPr>
            <w:tcW w:w="1523" w:type="dxa"/>
          </w:tcPr>
          <w:p w14:paraId="6F5301EC" w14:textId="7B6B5056" w:rsidR="00E474C6" w:rsidRDefault="00E474C6" w:rsidP="00E474C6">
            <w:pPr>
              <w:rPr>
                <w:rFonts w:ascii="Times New Roman" w:eastAsia="Times New Roman" w:hAnsi="Times New Roman" w:cs="Times New Roman"/>
                <w:color w:val="000000"/>
                <w:lang w:eastAsia="bg-BG"/>
              </w:rPr>
            </w:pPr>
            <w:r>
              <w:t>0,15</w:t>
            </w:r>
          </w:p>
        </w:tc>
      </w:tr>
      <w:tr w:rsidR="00E474C6" w14:paraId="1D02D938" w14:textId="77777777" w:rsidTr="00E474C6">
        <w:tc>
          <w:tcPr>
            <w:tcW w:w="2104" w:type="dxa"/>
          </w:tcPr>
          <w:p w14:paraId="16EF8CBB" w14:textId="5EF5E85B" w:rsidR="00E474C6" w:rsidRDefault="00E474C6" w:rsidP="00E474C6">
            <w:pPr>
              <w:rPr>
                <w:rFonts w:ascii="Times New Roman" w:eastAsia="Times New Roman" w:hAnsi="Times New Roman" w:cs="Times New Roman"/>
                <w:color w:val="000000"/>
                <w:lang w:eastAsia="bg-BG"/>
              </w:rPr>
            </w:pPr>
            <w:r>
              <w:t>Сърдечно-съдова смърт</w:t>
            </w:r>
          </w:p>
        </w:tc>
        <w:tc>
          <w:tcPr>
            <w:tcW w:w="1405" w:type="dxa"/>
          </w:tcPr>
          <w:p w14:paraId="7EF69807" w14:textId="1ADFC14E" w:rsidR="00E474C6" w:rsidRDefault="00E474C6" w:rsidP="00E474C6">
            <w:pPr>
              <w:rPr>
                <w:rFonts w:ascii="Times New Roman" w:eastAsia="Times New Roman" w:hAnsi="Times New Roman" w:cs="Times New Roman"/>
                <w:color w:val="000000"/>
                <w:lang w:eastAsia="bg-BG"/>
              </w:rPr>
            </w:pPr>
            <w:r>
              <w:t>5 (0,8)</w:t>
            </w:r>
          </w:p>
        </w:tc>
        <w:tc>
          <w:tcPr>
            <w:tcW w:w="1447" w:type="dxa"/>
          </w:tcPr>
          <w:p w14:paraId="55334A4A" w14:textId="15078370" w:rsidR="00E474C6" w:rsidRDefault="00E474C6" w:rsidP="00E474C6">
            <w:pPr>
              <w:rPr>
                <w:rFonts w:ascii="Times New Roman" w:eastAsia="Times New Roman" w:hAnsi="Times New Roman" w:cs="Times New Roman"/>
                <w:color w:val="000000"/>
                <w:lang w:eastAsia="bg-BG"/>
              </w:rPr>
            </w:pPr>
            <w:r>
              <w:t>2 (0,3)</w:t>
            </w:r>
          </w:p>
        </w:tc>
        <w:tc>
          <w:tcPr>
            <w:tcW w:w="1513" w:type="dxa"/>
          </w:tcPr>
          <w:p w14:paraId="2BB5DB91" w14:textId="5C4A18B5" w:rsidR="00E474C6" w:rsidRDefault="00E474C6" w:rsidP="00E474C6">
            <w:pPr>
              <w:rPr>
                <w:rFonts w:ascii="Times New Roman" w:eastAsia="Times New Roman" w:hAnsi="Times New Roman" w:cs="Times New Roman"/>
                <w:color w:val="000000"/>
                <w:lang w:eastAsia="bg-BG"/>
              </w:rPr>
            </w:pPr>
            <w:r>
              <w:t>5(0,7)</w:t>
            </w:r>
          </w:p>
        </w:tc>
        <w:tc>
          <w:tcPr>
            <w:tcW w:w="1584" w:type="dxa"/>
          </w:tcPr>
          <w:p w14:paraId="21A2BA5D" w14:textId="77777777" w:rsidR="00E474C6" w:rsidRDefault="00E474C6" w:rsidP="00E474C6">
            <w:r>
              <w:t>2,46 (0,48-</w:t>
            </w:r>
          </w:p>
          <w:p w14:paraId="7AB5059D" w14:textId="7AD436C2" w:rsidR="00E474C6" w:rsidRDefault="00E474C6" w:rsidP="00E474C6">
            <w:pPr>
              <w:rPr>
                <w:rFonts w:ascii="Times New Roman" w:eastAsia="Times New Roman" w:hAnsi="Times New Roman" w:cs="Times New Roman"/>
                <w:color w:val="000000"/>
                <w:lang w:eastAsia="bg-BG"/>
              </w:rPr>
            </w:pPr>
            <w:r>
              <w:t>12,7)</w:t>
            </w:r>
          </w:p>
        </w:tc>
        <w:tc>
          <w:tcPr>
            <w:tcW w:w="1523" w:type="dxa"/>
          </w:tcPr>
          <w:p w14:paraId="0DA5643B" w14:textId="3A459A6D" w:rsidR="00E474C6" w:rsidRDefault="00E474C6" w:rsidP="00E474C6">
            <w:pPr>
              <w:rPr>
                <w:rFonts w:ascii="Times New Roman" w:eastAsia="Times New Roman" w:hAnsi="Times New Roman" w:cs="Times New Roman"/>
                <w:color w:val="000000"/>
                <w:lang w:eastAsia="bg-BG"/>
              </w:rPr>
            </w:pPr>
            <w:r>
              <w:t>0,27</w:t>
            </w:r>
          </w:p>
        </w:tc>
      </w:tr>
      <w:tr w:rsidR="00E474C6" w14:paraId="1ACF075E" w14:textId="77777777" w:rsidTr="00E474C6">
        <w:tc>
          <w:tcPr>
            <w:tcW w:w="2104" w:type="dxa"/>
          </w:tcPr>
          <w:p w14:paraId="1153EC26" w14:textId="1B421B72" w:rsidR="00E474C6" w:rsidRDefault="00E474C6" w:rsidP="00E474C6">
            <w:pPr>
              <w:rPr>
                <w:rFonts w:ascii="Times New Roman" w:eastAsia="Times New Roman" w:hAnsi="Times New Roman" w:cs="Times New Roman"/>
                <w:color w:val="000000"/>
                <w:lang w:eastAsia="bg-BG"/>
              </w:rPr>
            </w:pPr>
            <w:r>
              <w:t>Хоспитализация за</w:t>
            </w:r>
          </w:p>
        </w:tc>
        <w:tc>
          <w:tcPr>
            <w:tcW w:w="1405" w:type="dxa"/>
          </w:tcPr>
          <w:p w14:paraId="5B972720" w14:textId="5223A1B4" w:rsidR="00E474C6" w:rsidRDefault="00E474C6" w:rsidP="00E474C6">
            <w:pPr>
              <w:rPr>
                <w:rFonts w:ascii="Times New Roman" w:eastAsia="Times New Roman" w:hAnsi="Times New Roman" w:cs="Times New Roman"/>
                <w:color w:val="000000"/>
                <w:lang w:eastAsia="bg-BG"/>
              </w:rPr>
            </w:pPr>
            <w:r>
              <w:t>3 (0,5)</w:t>
            </w:r>
          </w:p>
        </w:tc>
        <w:tc>
          <w:tcPr>
            <w:tcW w:w="1447" w:type="dxa"/>
          </w:tcPr>
          <w:p w14:paraId="50C4CEBD" w14:textId="3BFF668F" w:rsidR="00E474C6" w:rsidRDefault="00E474C6" w:rsidP="00E474C6">
            <w:pPr>
              <w:rPr>
                <w:rFonts w:ascii="Times New Roman" w:eastAsia="Times New Roman" w:hAnsi="Times New Roman" w:cs="Times New Roman"/>
                <w:color w:val="000000"/>
                <w:lang w:eastAsia="bg-BG"/>
              </w:rPr>
            </w:pPr>
            <w:r>
              <w:t>5 (0,8)</w:t>
            </w:r>
          </w:p>
        </w:tc>
        <w:tc>
          <w:tcPr>
            <w:tcW w:w="1513" w:type="dxa"/>
          </w:tcPr>
          <w:p w14:paraId="293C19E1" w14:textId="500E5291" w:rsidR="00E474C6" w:rsidRDefault="00E474C6" w:rsidP="00E474C6">
            <w:pPr>
              <w:rPr>
                <w:rFonts w:ascii="Times New Roman" w:eastAsia="Times New Roman" w:hAnsi="Times New Roman" w:cs="Times New Roman"/>
                <w:color w:val="000000"/>
                <w:lang w:eastAsia="bg-BG"/>
              </w:rPr>
            </w:pPr>
            <w:r>
              <w:t>4 (0,6)</w:t>
            </w:r>
          </w:p>
        </w:tc>
        <w:tc>
          <w:tcPr>
            <w:tcW w:w="1584" w:type="dxa"/>
          </w:tcPr>
          <w:p w14:paraId="50825D9D" w14:textId="77777777" w:rsidR="00E474C6" w:rsidRDefault="00E474C6" w:rsidP="00E474C6">
            <w:r>
              <w:t>0,59(0,14-</w:t>
            </w:r>
          </w:p>
          <w:p w14:paraId="01B991D4" w14:textId="344E412E" w:rsidR="00E474C6" w:rsidRDefault="00E474C6" w:rsidP="00E474C6">
            <w:pPr>
              <w:rPr>
                <w:rFonts w:ascii="Times New Roman" w:eastAsia="Times New Roman" w:hAnsi="Times New Roman" w:cs="Times New Roman"/>
                <w:color w:val="000000"/>
                <w:lang w:eastAsia="bg-BG"/>
              </w:rPr>
            </w:pPr>
            <w:r>
              <w:t>2,47)</w:t>
            </w:r>
          </w:p>
        </w:tc>
        <w:tc>
          <w:tcPr>
            <w:tcW w:w="1523" w:type="dxa"/>
          </w:tcPr>
          <w:p w14:paraId="471C1143" w14:textId="39273FD4" w:rsidR="00E474C6" w:rsidRDefault="00E474C6" w:rsidP="00E474C6">
            <w:pPr>
              <w:rPr>
                <w:rFonts w:ascii="Times New Roman" w:eastAsia="Times New Roman" w:hAnsi="Times New Roman" w:cs="Times New Roman"/>
                <w:color w:val="000000"/>
                <w:lang w:eastAsia="bg-BG"/>
              </w:rPr>
            </w:pPr>
            <w:r>
              <w:t>0,46</w:t>
            </w:r>
          </w:p>
        </w:tc>
      </w:tr>
      <w:tr w:rsidR="00E474C6" w14:paraId="1AD166C2" w14:textId="77777777" w:rsidTr="00E474C6">
        <w:tc>
          <w:tcPr>
            <w:tcW w:w="2104" w:type="dxa"/>
          </w:tcPr>
          <w:p w14:paraId="135A6B55" w14:textId="31C871BF" w:rsidR="00E474C6" w:rsidRDefault="00E474C6" w:rsidP="00E474C6">
            <w:pPr>
              <w:rPr>
                <w:rFonts w:ascii="Times New Roman" w:eastAsia="Times New Roman" w:hAnsi="Times New Roman" w:cs="Times New Roman"/>
                <w:color w:val="000000"/>
                <w:lang w:eastAsia="bg-BG"/>
              </w:rPr>
            </w:pPr>
            <w:r>
              <w:lastRenderedPageBreak/>
              <w:t>Преживян сърдечен арест</w:t>
            </w:r>
          </w:p>
        </w:tc>
        <w:tc>
          <w:tcPr>
            <w:tcW w:w="1405" w:type="dxa"/>
          </w:tcPr>
          <w:p w14:paraId="0ED4489D" w14:textId="71C07C08" w:rsidR="00E474C6" w:rsidRDefault="00E474C6" w:rsidP="00E474C6">
            <w:pPr>
              <w:rPr>
                <w:rFonts w:ascii="Times New Roman" w:eastAsia="Times New Roman" w:hAnsi="Times New Roman" w:cs="Times New Roman"/>
                <w:color w:val="000000"/>
                <w:lang w:eastAsia="bg-BG"/>
              </w:rPr>
            </w:pPr>
            <w:r>
              <w:t>0</w:t>
            </w:r>
          </w:p>
        </w:tc>
        <w:tc>
          <w:tcPr>
            <w:tcW w:w="1447" w:type="dxa"/>
          </w:tcPr>
          <w:p w14:paraId="00F27360" w14:textId="00634256" w:rsidR="00E474C6" w:rsidRDefault="00E474C6" w:rsidP="00E474C6">
            <w:pPr>
              <w:rPr>
                <w:rFonts w:ascii="Times New Roman" w:eastAsia="Times New Roman" w:hAnsi="Times New Roman" w:cs="Times New Roman"/>
                <w:color w:val="000000"/>
                <w:lang w:eastAsia="bg-BG"/>
              </w:rPr>
            </w:pPr>
            <w:r>
              <w:t>4 (0,6)</w:t>
            </w:r>
          </w:p>
        </w:tc>
        <w:tc>
          <w:tcPr>
            <w:tcW w:w="1513" w:type="dxa"/>
          </w:tcPr>
          <w:p w14:paraId="7040D029" w14:textId="7AF4816E" w:rsidR="00E474C6" w:rsidRDefault="00E474C6" w:rsidP="00E474C6">
            <w:pPr>
              <w:rPr>
                <w:rFonts w:ascii="Times New Roman" w:eastAsia="Times New Roman" w:hAnsi="Times New Roman" w:cs="Times New Roman"/>
                <w:color w:val="000000"/>
                <w:lang w:eastAsia="bg-BG"/>
              </w:rPr>
            </w:pPr>
            <w:r>
              <w:t>1 (0,1)</w:t>
            </w:r>
          </w:p>
        </w:tc>
        <w:tc>
          <w:tcPr>
            <w:tcW w:w="1584" w:type="dxa"/>
          </w:tcPr>
          <w:p w14:paraId="017EAE22" w14:textId="11164EE7" w:rsidR="00E474C6" w:rsidRDefault="00E474C6" w:rsidP="00E474C6">
            <w:pPr>
              <w:rPr>
                <w:rFonts w:ascii="Times New Roman" w:eastAsia="Times New Roman" w:hAnsi="Times New Roman" w:cs="Times New Roman"/>
                <w:color w:val="000000"/>
                <w:lang w:eastAsia="bg-BG"/>
              </w:rPr>
            </w:pPr>
            <w:r>
              <w:rPr>
                <w:lang w:val="en-US"/>
              </w:rPr>
              <w:t>NA</w:t>
            </w:r>
          </w:p>
        </w:tc>
        <w:tc>
          <w:tcPr>
            <w:tcW w:w="1523" w:type="dxa"/>
          </w:tcPr>
          <w:p w14:paraId="73EB0951" w14:textId="1FDDB209" w:rsidR="00E474C6" w:rsidRDefault="00E474C6" w:rsidP="00E474C6">
            <w:pPr>
              <w:rPr>
                <w:rFonts w:ascii="Times New Roman" w:eastAsia="Times New Roman" w:hAnsi="Times New Roman" w:cs="Times New Roman"/>
                <w:color w:val="000000"/>
                <w:lang w:eastAsia="bg-BG"/>
              </w:rPr>
            </w:pPr>
            <w:r>
              <w:t>0,04</w:t>
            </w:r>
          </w:p>
        </w:tc>
      </w:tr>
      <w:tr w:rsidR="00E474C6" w14:paraId="0C692544" w14:textId="77777777" w:rsidTr="00E474C6">
        <w:tc>
          <w:tcPr>
            <w:tcW w:w="2104" w:type="dxa"/>
          </w:tcPr>
          <w:p w14:paraId="6E5FE8EE" w14:textId="1703CD00" w:rsidR="00E474C6" w:rsidRDefault="00E474C6" w:rsidP="00E474C6">
            <w:pPr>
              <w:rPr>
                <w:rFonts w:ascii="Times New Roman" w:eastAsia="Times New Roman" w:hAnsi="Times New Roman" w:cs="Times New Roman"/>
                <w:color w:val="000000"/>
                <w:lang w:eastAsia="bg-BG"/>
              </w:rPr>
            </w:pPr>
            <w:r>
              <w:t>Новопоявила се периферна съдова болест</w:t>
            </w:r>
          </w:p>
        </w:tc>
        <w:tc>
          <w:tcPr>
            <w:tcW w:w="1405" w:type="dxa"/>
          </w:tcPr>
          <w:p w14:paraId="7077E519" w14:textId="07DC48A7" w:rsidR="00E474C6" w:rsidRDefault="00E474C6" w:rsidP="00E474C6">
            <w:pPr>
              <w:rPr>
                <w:rFonts w:ascii="Times New Roman" w:eastAsia="Times New Roman" w:hAnsi="Times New Roman" w:cs="Times New Roman"/>
                <w:color w:val="000000"/>
                <w:lang w:eastAsia="bg-BG"/>
              </w:rPr>
            </w:pPr>
            <w:r>
              <w:t>5 (0,8)</w:t>
            </w:r>
          </w:p>
        </w:tc>
        <w:tc>
          <w:tcPr>
            <w:tcW w:w="1447" w:type="dxa"/>
          </w:tcPr>
          <w:p w14:paraId="429CECFD" w14:textId="28DBE55E" w:rsidR="00E474C6" w:rsidRDefault="00E474C6" w:rsidP="00E474C6">
            <w:pPr>
              <w:rPr>
                <w:rFonts w:ascii="Times New Roman" w:eastAsia="Times New Roman" w:hAnsi="Times New Roman" w:cs="Times New Roman"/>
                <w:color w:val="000000"/>
                <w:lang w:eastAsia="bg-BG"/>
              </w:rPr>
            </w:pPr>
            <w:r>
              <w:t>2(0,3)</w:t>
            </w:r>
          </w:p>
        </w:tc>
        <w:tc>
          <w:tcPr>
            <w:tcW w:w="1513" w:type="dxa"/>
          </w:tcPr>
          <w:p w14:paraId="193C77F6" w14:textId="16FB118E" w:rsidR="00E474C6" w:rsidRDefault="00E474C6" w:rsidP="00E474C6">
            <w:pPr>
              <w:rPr>
                <w:rFonts w:ascii="Times New Roman" w:eastAsia="Times New Roman" w:hAnsi="Times New Roman" w:cs="Times New Roman"/>
                <w:color w:val="000000"/>
                <w:lang w:eastAsia="bg-BG"/>
              </w:rPr>
            </w:pPr>
            <w:r>
              <w:t>8(1,2)</w:t>
            </w:r>
          </w:p>
        </w:tc>
        <w:tc>
          <w:tcPr>
            <w:tcW w:w="1584" w:type="dxa"/>
          </w:tcPr>
          <w:p w14:paraId="38DD3639" w14:textId="77777777" w:rsidR="00E474C6" w:rsidRDefault="00E474C6" w:rsidP="00E474C6">
            <w:r>
              <w:t>2,6 (0,50-</w:t>
            </w:r>
          </w:p>
          <w:p w14:paraId="3FD2C7DF" w14:textId="1976070B" w:rsidR="00E474C6" w:rsidRDefault="00E474C6" w:rsidP="00E474C6">
            <w:pPr>
              <w:rPr>
                <w:rFonts w:ascii="Times New Roman" w:eastAsia="Times New Roman" w:hAnsi="Times New Roman" w:cs="Times New Roman"/>
                <w:color w:val="000000"/>
                <w:lang w:eastAsia="bg-BG"/>
              </w:rPr>
            </w:pPr>
            <w:r>
              <w:t>13,4)</w:t>
            </w:r>
          </w:p>
        </w:tc>
        <w:tc>
          <w:tcPr>
            <w:tcW w:w="1523" w:type="dxa"/>
          </w:tcPr>
          <w:p w14:paraId="144A95FF" w14:textId="5FF8FEC5" w:rsidR="00E474C6" w:rsidRDefault="00E474C6" w:rsidP="00E474C6">
            <w:pPr>
              <w:rPr>
                <w:rFonts w:ascii="Times New Roman" w:eastAsia="Times New Roman" w:hAnsi="Times New Roman" w:cs="Times New Roman"/>
                <w:color w:val="000000"/>
                <w:lang w:eastAsia="bg-BG"/>
              </w:rPr>
            </w:pPr>
            <w:r>
              <w:t>0,24</w:t>
            </w:r>
          </w:p>
        </w:tc>
      </w:tr>
      <w:tr w:rsidR="00E474C6" w14:paraId="50DAC7F2" w14:textId="77777777" w:rsidTr="00001E3C">
        <w:tc>
          <w:tcPr>
            <w:tcW w:w="9576" w:type="dxa"/>
            <w:gridSpan w:val="6"/>
          </w:tcPr>
          <w:p w14:paraId="6877A3FB" w14:textId="24517BB9" w:rsidR="00E474C6" w:rsidRPr="00E474C6" w:rsidRDefault="00E474C6" w:rsidP="00E474C6">
            <w:pPr>
              <w:rPr>
                <w:rFonts w:eastAsia="Times New Roman" w:cs="Arial"/>
                <w:color w:val="000000"/>
                <w:lang w:eastAsia="bg-BG"/>
              </w:rPr>
            </w:pPr>
            <w:r w:rsidRPr="00E474C6">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3A96BE3D" w14:textId="42B82620" w:rsidR="00E474C6" w:rsidRDefault="00E474C6" w:rsidP="00E474C6">
      <w:pPr>
        <w:rPr>
          <w:rFonts w:ascii="Times New Roman" w:eastAsia="Times New Roman" w:hAnsi="Times New Roman" w:cs="Times New Roman"/>
          <w:color w:val="000000"/>
          <w:lang w:eastAsia="bg-BG"/>
        </w:rPr>
      </w:pPr>
    </w:p>
    <w:p w14:paraId="2DB5DD5A"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лечението с амлодипин редуцира хоспитализациите по повод стенокардия и процедури за реваскуларизация при пациенти с ИБС.</w:t>
      </w:r>
    </w:p>
    <w:p w14:paraId="53B51FA0" w14:textId="77777777" w:rsidR="00E474C6" w:rsidRPr="00E474C6" w:rsidRDefault="00E474C6" w:rsidP="00E474C6">
      <w:pPr>
        <w:spacing w:line="240" w:lineRule="auto"/>
        <w:rPr>
          <w:rFonts w:eastAsia="Times New Roman" w:cs="Arial"/>
          <w:i/>
          <w:iCs/>
          <w:color w:val="000000"/>
          <w:u w:val="single"/>
          <w:lang w:eastAsia="bg-BG"/>
        </w:rPr>
      </w:pPr>
    </w:p>
    <w:p w14:paraId="34F9A468" w14:textId="0BC65B9C"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Приложение при пациенти със сърдечна недостатъчност</w:t>
      </w:r>
    </w:p>
    <w:p w14:paraId="6824F408"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Хемодинамични изследвания и контролирани клинични изпитвания с физическо натоварване при пациенти със сърдечна недостатъчност клас II—IV по </w:t>
      </w:r>
      <w:r w:rsidRPr="00E474C6">
        <w:rPr>
          <w:rFonts w:eastAsia="Times New Roman" w:cs="Arial"/>
          <w:color w:val="000000"/>
          <w:lang w:val="en-US"/>
        </w:rPr>
        <w:t>NYHA</w:t>
      </w:r>
      <w:r w:rsidRPr="00E474C6">
        <w:rPr>
          <w:rFonts w:eastAsia="Times New Roman" w:cs="Arial"/>
          <w:color w:val="000000"/>
          <w:lang w:val="ru-RU"/>
        </w:rPr>
        <w:t xml:space="preserve"> </w:t>
      </w:r>
      <w:r w:rsidRPr="00E474C6">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промяна на фракцията на изтласкване на лявата камера и клиничната симптоматика.</w:t>
      </w:r>
    </w:p>
    <w:p w14:paraId="6CB2D755"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Плацебо-контролирано изпитване </w:t>
      </w:r>
      <w:r w:rsidRPr="00E474C6">
        <w:rPr>
          <w:rFonts w:eastAsia="Times New Roman" w:cs="Arial"/>
          <w:color w:val="000000"/>
          <w:lang w:val="ru-RU"/>
        </w:rPr>
        <w:t>(</w:t>
      </w:r>
      <w:r w:rsidRPr="00E474C6">
        <w:rPr>
          <w:rFonts w:eastAsia="Times New Roman" w:cs="Arial"/>
          <w:color w:val="000000"/>
          <w:lang w:val="en-US"/>
        </w:rPr>
        <w:t>PRAISE</w:t>
      </w:r>
      <w:r w:rsidRPr="00E474C6">
        <w:rPr>
          <w:rFonts w:eastAsia="Times New Roman" w:cs="Arial"/>
          <w:color w:val="000000"/>
          <w:lang w:val="ru-RU"/>
        </w:rPr>
        <w:t xml:space="preserve">), </w:t>
      </w:r>
      <w:r w:rsidRPr="00E474C6">
        <w:rPr>
          <w:rFonts w:eastAsia="Times New Roman" w:cs="Arial"/>
          <w:color w:val="000000"/>
          <w:lang w:eastAsia="bg-BG"/>
        </w:rPr>
        <w:t xml:space="preserve">в което са проучвани пациенти със сърдечна недостатъчност клас III — IV по </w:t>
      </w:r>
      <w:r w:rsidRPr="00E474C6">
        <w:rPr>
          <w:rFonts w:eastAsia="Times New Roman" w:cs="Arial"/>
          <w:color w:val="000000"/>
          <w:lang w:val="en-US"/>
        </w:rPr>
        <w:t>NYHA</w:t>
      </w:r>
      <w:r w:rsidRPr="00E474C6">
        <w:rPr>
          <w:rFonts w:eastAsia="Times New Roman" w:cs="Arial"/>
          <w:color w:val="000000"/>
          <w:lang w:val="ru-RU"/>
        </w:rPr>
        <w:t xml:space="preserve">, </w:t>
      </w:r>
      <w:r w:rsidRPr="00E474C6">
        <w:rPr>
          <w:rFonts w:eastAsia="Times New Roman" w:cs="Arial"/>
          <w:color w:val="000000"/>
          <w:lang w:eastAsia="bg-BG"/>
        </w:rPr>
        <w:t>получаващи дигоксин, диуретици и АСЕ - 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026CC2DA" w14:textId="77777777" w:rsidR="00E474C6" w:rsidRPr="00E474C6" w:rsidRDefault="00E474C6" w:rsidP="00E474C6">
      <w:pPr>
        <w:rPr>
          <w:rFonts w:eastAsia="Times New Roman" w:cs="Arial"/>
          <w:color w:val="000000"/>
          <w:lang w:eastAsia="bg-BG"/>
        </w:rPr>
      </w:pPr>
    </w:p>
    <w:p w14:paraId="2D9B7FC1" w14:textId="668B208E" w:rsidR="00E474C6" w:rsidRPr="00E474C6" w:rsidRDefault="00E474C6" w:rsidP="00E474C6">
      <w:pPr>
        <w:rPr>
          <w:rFonts w:eastAsia="Times New Roman" w:cs="Arial"/>
          <w:color w:val="000000"/>
          <w:lang w:eastAsia="bg-BG"/>
        </w:rPr>
      </w:pPr>
      <w:r w:rsidRPr="00E474C6">
        <w:rPr>
          <w:rFonts w:eastAsia="Times New Roman" w:cs="Arial"/>
          <w:color w:val="000000"/>
          <w:lang w:eastAsia="bg-BG"/>
        </w:rPr>
        <w:t xml:space="preserve">В последващо, дългосрочно, плацебо-контролирано клинично проучване </w:t>
      </w:r>
      <w:r w:rsidRPr="00E474C6">
        <w:rPr>
          <w:rFonts w:eastAsia="Times New Roman" w:cs="Arial"/>
          <w:color w:val="000000"/>
          <w:lang w:val="ru-RU"/>
        </w:rPr>
        <w:t>(</w:t>
      </w:r>
      <w:r w:rsidRPr="00E474C6">
        <w:rPr>
          <w:rFonts w:eastAsia="Times New Roman" w:cs="Arial"/>
          <w:color w:val="000000"/>
          <w:lang w:val="en-US"/>
        </w:rPr>
        <w:t>PRAISE</w:t>
      </w:r>
      <w:r w:rsidRPr="00E474C6">
        <w:rPr>
          <w:rFonts w:eastAsia="Times New Roman" w:cs="Arial"/>
          <w:color w:val="000000"/>
          <w:lang w:val="ru-RU"/>
        </w:rPr>
        <w:t xml:space="preserve">-2) </w:t>
      </w:r>
      <w:r w:rsidRPr="00E474C6">
        <w:rPr>
          <w:rFonts w:eastAsia="Times New Roman" w:cs="Arial"/>
          <w:color w:val="000000"/>
          <w:lang w:eastAsia="bg-BG"/>
        </w:rPr>
        <w:t xml:space="preserve">с амлодипин при пациенти със сърдечна недостатъчност клас III — IV по </w:t>
      </w:r>
      <w:r w:rsidRPr="00E474C6">
        <w:rPr>
          <w:rFonts w:eastAsia="Times New Roman" w:cs="Arial"/>
          <w:color w:val="000000"/>
          <w:lang w:val="en-US"/>
        </w:rPr>
        <w:t>NYHA</w:t>
      </w:r>
      <w:r w:rsidRPr="00E474C6">
        <w:rPr>
          <w:rFonts w:eastAsia="Times New Roman" w:cs="Arial"/>
          <w:color w:val="000000"/>
          <w:lang w:val="ru-RU"/>
        </w:rPr>
        <w:t xml:space="preserve"> </w:t>
      </w:r>
      <w:r w:rsidRPr="00E474C6">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 - инхибитори, дигиталис и диуретици, амлодипин няма ефект върху общата или сърдечно-съдовата смъртност. При същата група пациенти, приложението на амлодипин е свързано с увеличена честота на случаите на белодробен оток, въпреки че няма значителна разлика в честотата на влошаване на сърдечната недостатъчност в сравнение с групата на плацебо.</w:t>
      </w:r>
    </w:p>
    <w:p w14:paraId="5A52279C" w14:textId="20EB3596" w:rsidR="00E474C6" w:rsidRDefault="00E474C6" w:rsidP="00E474C6"/>
    <w:p w14:paraId="0CC301D3" w14:textId="77777777"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 xml:space="preserve">Клинично проучване за профилактиктично лечение на остър сърдечен пристъп </w:t>
      </w:r>
      <w:r w:rsidRPr="00E474C6">
        <w:rPr>
          <w:rFonts w:eastAsia="Times New Roman" w:cs="Arial"/>
          <w:i/>
          <w:iCs/>
          <w:color w:val="000000"/>
          <w:u w:val="single"/>
          <w:lang w:val="ru-RU"/>
        </w:rPr>
        <w:t>(</w:t>
      </w:r>
      <w:r w:rsidRPr="00E474C6">
        <w:rPr>
          <w:rFonts w:eastAsia="Times New Roman" w:cs="Arial"/>
          <w:i/>
          <w:iCs/>
          <w:color w:val="000000"/>
          <w:u w:val="single"/>
          <w:lang w:val="en-US"/>
        </w:rPr>
        <w:t>ALLHAT</w:t>
      </w:r>
      <w:r w:rsidRPr="00E474C6">
        <w:rPr>
          <w:rFonts w:eastAsia="Times New Roman" w:cs="Arial"/>
          <w:i/>
          <w:iCs/>
          <w:color w:val="000000"/>
          <w:u w:val="single"/>
          <w:lang w:val="ru-RU"/>
        </w:rPr>
        <w:t xml:space="preserve">) </w:t>
      </w:r>
      <w:r w:rsidRPr="00E474C6">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E474C6">
        <w:rPr>
          <w:rFonts w:eastAsia="Times New Roman" w:cs="Arial"/>
          <w:color w:val="000000"/>
          <w:lang w:val="ru-RU"/>
        </w:rPr>
        <w:t>(</w:t>
      </w:r>
      <w:r w:rsidRPr="00E474C6">
        <w:rPr>
          <w:rFonts w:eastAsia="Times New Roman" w:cs="Arial"/>
          <w:color w:val="000000"/>
          <w:lang w:val="en-US"/>
        </w:rPr>
        <w:t>Antihypertensive</w:t>
      </w:r>
      <w:r w:rsidRPr="00E474C6">
        <w:rPr>
          <w:rFonts w:eastAsia="Times New Roman" w:cs="Arial"/>
          <w:color w:val="000000"/>
          <w:lang w:val="ru-RU"/>
        </w:rPr>
        <w:t xml:space="preserve"> </w:t>
      </w:r>
      <w:r w:rsidRPr="00E474C6">
        <w:rPr>
          <w:rFonts w:eastAsia="Times New Roman" w:cs="Arial"/>
          <w:color w:val="000000"/>
          <w:lang w:val="en-US"/>
        </w:rPr>
        <w:t>and</w:t>
      </w:r>
      <w:r w:rsidRPr="00E474C6">
        <w:rPr>
          <w:rFonts w:eastAsia="Times New Roman" w:cs="Arial"/>
          <w:color w:val="000000"/>
          <w:lang w:val="ru-RU"/>
        </w:rPr>
        <w:t xml:space="preserve"> </w:t>
      </w:r>
      <w:r w:rsidRPr="00E474C6">
        <w:rPr>
          <w:rFonts w:eastAsia="Times New Roman" w:cs="Arial"/>
          <w:color w:val="000000"/>
          <w:lang w:val="en-US"/>
        </w:rPr>
        <w:t>Lipid</w:t>
      </w:r>
      <w:r w:rsidRPr="00E474C6">
        <w:rPr>
          <w:rFonts w:eastAsia="Times New Roman" w:cs="Arial"/>
          <w:color w:val="000000"/>
          <w:lang w:val="ru-RU"/>
        </w:rPr>
        <w:t xml:space="preserve"> </w:t>
      </w:r>
      <w:r w:rsidRPr="00E474C6">
        <w:rPr>
          <w:rFonts w:eastAsia="Times New Roman" w:cs="Arial"/>
          <w:color w:val="000000"/>
          <w:lang w:val="en-US"/>
        </w:rPr>
        <w:t>Lowering</w:t>
      </w:r>
      <w:r w:rsidRPr="00E474C6">
        <w:rPr>
          <w:rFonts w:eastAsia="Times New Roman" w:cs="Arial"/>
          <w:color w:val="000000"/>
          <w:lang w:val="ru-RU"/>
        </w:rPr>
        <w:t xml:space="preserve"> </w:t>
      </w:r>
      <w:r w:rsidRPr="00E474C6">
        <w:rPr>
          <w:rFonts w:eastAsia="Times New Roman" w:cs="Arial"/>
          <w:color w:val="000000"/>
          <w:lang w:val="en-US"/>
        </w:rPr>
        <w:t>Treatment</w:t>
      </w:r>
      <w:r w:rsidRPr="00E474C6">
        <w:rPr>
          <w:rFonts w:eastAsia="Times New Roman" w:cs="Arial"/>
          <w:color w:val="000000"/>
          <w:lang w:val="ru-RU"/>
        </w:rPr>
        <w:t xml:space="preserve"> </w:t>
      </w:r>
      <w:r w:rsidRPr="00E474C6">
        <w:rPr>
          <w:rFonts w:eastAsia="Times New Roman" w:cs="Arial"/>
          <w:color w:val="000000"/>
          <w:lang w:val="en-US"/>
        </w:rPr>
        <w:t>to</w:t>
      </w:r>
      <w:r w:rsidRPr="00E474C6">
        <w:rPr>
          <w:rFonts w:eastAsia="Times New Roman" w:cs="Arial"/>
          <w:color w:val="000000"/>
          <w:lang w:val="ru-RU"/>
        </w:rPr>
        <w:t xml:space="preserve"> </w:t>
      </w:r>
      <w:r w:rsidRPr="00E474C6">
        <w:rPr>
          <w:rFonts w:eastAsia="Times New Roman" w:cs="Arial"/>
          <w:color w:val="000000"/>
          <w:lang w:val="en-US"/>
        </w:rPr>
        <w:t>Prevent</w:t>
      </w:r>
      <w:r w:rsidRPr="00E474C6">
        <w:rPr>
          <w:rFonts w:eastAsia="Times New Roman" w:cs="Arial"/>
          <w:color w:val="000000"/>
          <w:lang w:val="ru-RU"/>
        </w:rPr>
        <w:t xml:space="preserve"> </w:t>
      </w:r>
      <w:r w:rsidRPr="00E474C6">
        <w:rPr>
          <w:rFonts w:eastAsia="Times New Roman" w:cs="Arial"/>
          <w:color w:val="000000"/>
          <w:lang w:val="en-US"/>
        </w:rPr>
        <w:t>Heart</w:t>
      </w:r>
      <w:r w:rsidRPr="00E474C6">
        <w:rPr>
          <w:rFonts w:eastAsia="Times New Roman" w:cs="Arial"/>
          <w:color w:val="000000"/>
          <w:lang w:val="ru-RU"/>
        </w:rPr>
        <w:t xml:space="preserve"> </w:t>
      </w:r>
      <w:r w:rsidRPr="00E474C6">
        <w:rPr>
          <w:rFonts w:eastAsia="Times New Roman" w:cs="Arial"/>
          <w:color w:val="000000"/>
          <w:lang w:val="en-US"/>
        </w:rPr>
        <w:t>Attack</w:t>
      </w:r>
      <w:r w:rsidRPr="00E474C6">
        <w:rPr>
          <w:rFonts w:eastAsia="Times New Roman" w:cs="Arial"/>
          <w:color w:val="000000"/>
          <w:lang w:val="ru-RU"/>
        </w:rPr>
        <w:t xml:space="preserve"> </w:t>
      </w:r>
      <w:r w:rsidRPr="00E474C6">
        <w:rPr>
          <w:rFonts w:eastAsia="Times New Roman" w:cs="Arial"/>
          <w:color w:val="000000"/>
          <w:lang w:val="en-US"/>
        </w:rPr>
        <w:t>Trial</w:t>
      </w:r>
      <w:r w:rsidRPr="00E474C6">
        <w:rPr>
          <w:rFonts w:eastAsia="Times New Roman" w:cs="Arial"/>
          <w:color w:val="000000"/>
          <w:lang w:val="ru-RU"/>
        </w:rPr>
        <w:t>) (</w:t>
      </w:r>
      <w:r w:rsidRPr="00E474C6">
        <w:rPr>
          <w:rFonts w:eastAsia="Times New Roman" w:cs="Arial"/>
          <w:color w:val="000000"/>
          <w:lang w:val="en-US"/>
        </w:rPr>
        <w:t>ALLHAT</w:t>
      </w:r>
      <w:r w:rsidRPr="00E474C6">
        <w:rPr>
          <w:rFonts w:eastAsia="Times New Roman" w:cs="Arial"/>
          <w:color w:val="000000"/>
          <w:lang w:val="ru-RU"/>
        </w:rPr>
        <w:t xml:space="preserve">), </w:t>
      </w:r>
      <w:r w:rsidRPr="00E474C6">
        <w:rPr>
          <w:rFonts w:eastAsia="Times New Roman" w:cs="Arial"/>
          <w:color w:val="000000"/>
          <w:lang w:eastAsia="bg-BG"/>
        </w:rPr>
        <w:t xml:space="preserve">за сравняване на по-новите лекарствени терапии: амлодипин 2,5- 10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дневно (блокер на калциевите канали) или лизиноприл 10-40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дневно, при лека до умерена хипертония.</w:t>
      </w:r>
    </w:p>
    <w:p w14:paraId="7AB93523" w14:textId="77777777" w:rsidR="00E474C6" w:rsidRPr="00E474C6" w:rsidRDefault="00E474C6" w:rsidP="00E474C6">
      <w:pPr>
        <w:spacing w:line="240" w:lineRule="auto"/>
        <w:rPr>
          <w:rFonts w:eastAsia="Times New Roman" w:cs="Arial"/>
          <w:color w:val="000000"/>
          <w:lang w:eastAsia="bg-BG"/>
        </w:rPr>
      </w:pPr>
    </w:p>
    <w:p w14:paraId="3029B845" w14:textId="6D1932A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E474C6">
        <w:rPr>
          <w:rFonts w:eastAsia="Times New Roman" w:cs="Arial"/>
          <w:color w:val="000000"/>
          <w:lang w:val="en-US"/>
        </w:rPr>
        <w:t>HDL</w:t>
      </w:r>
      <w:r w:rsidRPr="00E474C6">
        <w:rPr>
          <w:rFonts w:eastAsia="Times New Roman" w:cs="Arial"/>
          <w:color w:val="000000"/>
          <w:lang w:val="ru-RU"/>
        </w:rPr>
        <w:t>-</w:t>
      </w:r>
      <w:r w:rsidRPr="00E474C6">
        <w:rPr>
          <w:rFonts w:eastAsia="Times New Roman" w:cs="Arial"/>
          <w:color w:val="000000"/>
          <w:lang w:val="en-US"/>
        </w:rPr>
        <w:t>C</w:t>
      </w:r>
      <w:r w:rsidRPr="00E474C6">
        <w:rPr>
          <w:rFonts w:eastAsia="Times New Roman" w:cs="Arial"/>
          <w:color w:val="000000"/>
          <w:lang w:val="ru-RU"/>
        </w:rPr>
        <w:t xml:space="preserve">&lt; </w:t>
      </w:r>
      <w:r w:rsidRPr="00E474C6">
        <w:rPr>
          <w:rFonts w:eastAsia="Times New Roman" w:cs="Arial"/>
          <w:color w:val="000000"/>
          <w:lang w:eastAsia="bg-BG"/>
        </w:rPr>
        <w:t xml:space="preserve">35 </w:t>
      </w:r>
      <w:r w:rsidRPr="00E474C6">
        <w:rPr>
          <w:rFonts w:eastAsia="Times New Roman" w:cs="Arial"/>
          <w:color w:val="000000"/>
          <w:lang w:val="en-US"/>
        </w:rPr>
        <w:t>mg</w:t>
      </w:r>
      <w:r w:rsidRPr="00E474C6">
        <w:rPr>
          <w:rFonts w:eastAsia="Times New Roman" w:cs="Arial"/>
          <w:color w:val="000000"/>
          <w:lang w:val="ru-RU"/>
        </w:rPr>
        <w:t>/</w:t>
      </w:r>
      <w:proofErr w:type="spellStart"/>
      <w:r w:rsidRPr="00E474C6">
        <w:rPr>
          <w:rFonts w:eastAsia="Times New Roman" w:cs="Arial"/>
          <w:color w:val="000000"/>
          <w:lang w:val="en-US"/>
        </w:rPr>
        <w:t>dL</w:t>
      </w:r>
      <w:proofErr w:type="spellEnd"/>
      <w:r w:rsidRPr="00E474C6">
        <w:rPr>
          <w:rFonts w:eastAsia="Times New Roman" w:cs="Arial"/>
          <w:color w:val="000000"/>
          <w:lang w:val="ru-RU"/>
        </w:rPr>
        <w:t xml:space="preserve"> </w:t>
      </w:r>
      <w:r w:rsidRPr="00E474C6">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495F22CE" w14:textId="77777777" w:rsidR="00E474C6" w:rsidRPr="00E474C6" w:rsidRDefault="00E474C6" w:rsidP="00E474C6">
      <w:pPr>
        <w:spacing w:line="240" w:lineRule="auto"/>
        <w:rPr>
          <w:rFonts w:eastAsia="Times New Roman" w:cs="Arial"/>
          <w:color w:val="000000"/>
          <w:lang w:eastAsia="bg-BG"/>
        </w:rPr>
      </w:pPr>
    </w:p>
    <w:p w14:paraId="4B8F06E2" w14:textId="2E388550"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lastRenderedPageBreak/>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E474C6">
        <w:rPr>
          <w:rFonts w:eastAsia="Times New Roman" w:cs="Arial"/>
          <w:color w:val="000000"/>
          <w:lang w:val="en-US"/>
        </w:rPr>
        <w:t>RR</w:t>
      </w:r>
      <w:r w:rsidRPr="00E474C6">
        <w:rPr>
          <w:rFonts w:eastAsia="Times New Roman" w:cs="Arial"/>
          <w:color w:val="000000"/>
          <w:lang w:val="ru-RU"/>
        </w:rPr>
        <w:t xml:space="preserve"> </w:t>
      </w:r>
      <w:r w:rsidRPr="00E474C6">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 висока в групата на амлодипина, в сравнение с групата на хлорталидон (10,2% срещу 7,7%, </w:t>
      </w:r>
      <w:r w:rsidRPr="00E474C6">
        <w:rPr>
          <w:rFonts w:eastAsia="Times New Roman" w:cs="Arial"/>
          <w:color w:val="000000"/>
          <w:lang w:val="en-US"/>
        </w:rPr>
        <w:t>RR</w:t>
      </w:r>
      <w:r w:rsidRPr="00E474C6">
        <w:rPr>
          <w:rFonts w:eastAsia="Times New Roman" w:cs="Arial"/>
          <w:color w:val="000000"/>
          <w:lang w:val="ru-RU"/>
        </w:rPr>
        <w:t xml:space="preserve"> </w:t>
      </w:r>
      <w:r w:rsidRPr="00E474C6">
        <w:rPr>
          <w:rFonts w:eastAsia="Times New Roman" w:cs="Arial"/>
          <w:color w:val="00000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E474C6">
        <w:rPr>
          <w:rFonts w:eastAsia="Times New Roman" w:cs="Arial"/>
          <w:color w:val="000000"/>
          <w:lang w:val="en-US"/>
        </w:rPr>
        <w:t>RR</w:t>
      </w:r>
      <w:r w:rsidRPr="00E474C6">
        <w:rPr>
          <w:rFonts w:eastAsia="Times New Roman" w:cs="Arial"/>
          <w:color w:val="000000"/>
          <w:lang w:val="ru-RU"/>
        </w:rPr>
        <w:t xml:space="preserve"> </w:t>
      </w:r>
      <w:r w:rsidRPr="00E474C6">
        <w:rPr>
          <w:rFonts w:eastAsia="Times New Roman" w:cs="Arial"/>
          <w:color w:val="000000"/>
          <w:lang w:eastAsia="bg-BG"/>
        </w:rPr>
        <w:t>0,96 95% ДИ [0,89-1,02] р^^О.</w:t>
      </w:r>
    </w:p>
    <w:p w14:paraId="2FA54BAE" w14:textId="77777777" w:rsidR="00E474C6" w:rsidRPr="00E474C6" w:rsidRDefault="00E474C6" w:rsidP="00E474C6">
      <w:pPr>
        <w:spacing w:line="240" w:lineRule="auto"/>
        <w:rPr>
          <w:rFonts w:eastAsia="Times New Roman" w:cs="Arial"/>
          <w:i/>
          <w:iCs/>
          <w:color w:val="000000"/>
          <w:u w:val="single"/>
          <w:lang w:eastAsia="bg-BG"/>
        </w:rPr>
      </w:pPr>
    </w:p>
    <w:p w14:paraId="4907E172" w14:textId="61C72362"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Приложение при педиатрична популация (на възраст 6 години и повече)</w:t>
      </w:r>
    </w:p>
    <w:p w14:paraId="4E60A7FB"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и 5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амлодипин с плацебо показва, че двете дози понижават систоличното кръвно налягане сигнификантно повече от плацебо. Разликата между двете дози не е статистически значима. 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за намаляване на сърдечно-съдовата заболеваемост и смъртност при възрастни също не е установена.</w:t>
      </w:r>
    </w:p>
    <w:p w14:paraId="7A7387FE" w14:textId="77777777" w:rsidR="00E474C6" w:rsidRPr="00E474C6" w:rsidRDefault="00E474C6" w:rsidP="00E474C6"/>
    <w:p w14:paraId="35F84B81" w14:textId="2CAB377A" w:rsidR="00CF77F7" w:rsidRDefault="002C50EE" w:rsidP="004A448E">
      <w:pPr>
        <w:pStyle w:val="Heading2"/>
      </w:pPr>
      <w:r>
        <w:t>5.2. Фармакокинетични свойства</w:t>
      </w:r>
    </w:p>
    <w:p w14:paraId="3F7C0AA7" w14:textId="14B17F83" w:rsidR="00E474C6" w:rsidRDefault="00E474C6" w:rsidP="00E474C6"/>
    <w:p w14:paraId="479B3B56" w14:textId="77777777" w:rsidR="00E474C6" w:rsidRPr="00E474C6" w:rsidRDefault="00E474C6" w:rsidP="00E474C6">
      <w:pPr>
        <w:pStyle w:val="Heading3"/>
        <w:rPr>
          <w:rFonts w:eastAsia="Times New Roman"/>
          <w:u w:val="single"/>
        </w:rPr>
      </w:pPr>
      <w:r w:rsidRPr="00E474C6">
        <w:rPr>
          <w:rFonts w:eastAsia="Times New Roman"/>
          <w:u w:val="single"/>
          <w:lang w:eastAsia="bg-BG"/>
        </w:rPr>
        <w:t>Абсорбция, разпределение, свързване с плазмените протеини</w:t>
      </w:r>
    </w:p>
    <w:p w14:paraId="294024F7"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След перорално приложение на терапевтични дози, амлодипин се резорбира добре, като максималните плазмени концентрации се достигат между 6-12 ч след приложение. Абсолютната бионаличност е между 64 и 80%. Обемът на разпределение е приблизително 21 </w:t>
      </w:r>
      <w:r w:rsidRPr="00E474C6">
        <w:rPr>
          <w:rFonts w:eastAsia="Times New Roman" w:cs="Arial"/>
          <w:color w:val="000000"/>
          <w:lang w:val="en-US"/>
        </w:rPr>
        <w:t>l</w:t>
      </w:r>
      <w:r w:rsidRPr="00E474C6">
        <w:rPr>
          <w:rFonts w:eastAsia="Times New Roman" w:cs="Arial"/>
          <w:color w:val="000000"/>
          <w:lang w:val="ru-RU"/>
        </w:rPr>
        <w:t>/</w:t>
      </w:r>
      <w:r w:rsidRPr="00E474C6">
        <w:rPr>
          <w:rFonts w:eastAsia="Times New Roman" w:cs="Arial"/>
          <w:color w:val="000000"/>
          <w:lang w:val="en-US"/>
        </w:rPr>
        <w:t>kg</w:t>
      </w:r>
      <w:r w:rsidRPr="00E474C6">
        <w:rPr>
          <w:rFonts w:eastAsia="Times New Roman" w:cs="Arial"/>
          <w:color w:val="000000"/>
          <w:lang w:val="ru-RU"/>
        </w:rPr>
        <w:t xml:space="preserve">. </w:t>
      </w:r>
      <w:r w:rsidRPr="00E474C6">
        <w:rPr>
          <w:rFonts w:eastAsia="Times New Roman" w:cs="Arial"/>
          <w:color w:val="000000"/>
          <w:lang w:eastAsia="bg-BG"/>
        </w:rPr>
        <w:t xml:space="preserve">Данните от </w:t>
      </w:r>
      <w:r w:rsidRPr="00E474C6">
        <w:rPr>
          <w:rFonts w:eastAsia="Times New Roman" w:cs="Arial"/>
          <w:color w:val="000000"/>
          <w:lang w:val="en-US"/>
        </w:rPr>
        <w:t>in</w:t>
      </w:r>
      <w:r w:rsidRPr="00E474C6">
        <w:rPr>
          <w:rFonts w:eastAsia="Times New Roman" w:cs="Arial"/>
          <w:color w:val="000000"/>
          <w:lang w:val="ru-RU"/>
        </w:rPr>
        <w:t xml:space="preserve"> </w:t>
      </w:r>
      <w:r w:rsidRPr="00E474C6">
        <w:rPr>
          <w:rFonts w:eastAsia="Times New Roman" w:cs="Arial"/>
          <w:color w:val="000000"/>
          <w:lang w:val="en-US"/>
        </w:rPr>
        <w:t>vitro</w:t>
      </w:r>
      <w:r w:rsidRPr="00E474C6">
        <w:rPr>
          <w:rFonts w:eastAsia="Times New Roman" w:cs="Arial"/>
          <w:color w:val="000000"/>
          <w:lang w:val="ru-RU"/>
        </w:rPr>
        <w:t xml:space="preserve"> </w:t>
      </w:r>
      <w:r w:rsidRPr="00E474C6">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5B891D1B" w14:textId="77777777" w:rsidR="00E474C6" w:rsidRPr="00E474C6" w:rsidRDefault="00E474C6" w:rsidP="00E474C6">
      <w:pPr>
        <w:spacing w:line="240" w:lineRule="auto"/>
        <w:rPr>
          <w:rFonts w:eastAsia="Times New Roman" w:cs="Arial"/>
          <w:color w:val="000000"/>
          <w:lang w:eastAsia="bg-BG"/>
        </w:rPr>
      </w:pPr>
    </w:p>
    <w:p w14:paraId="1CD6DF97" w14:textId="0FB6312C"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Абсорбцията на амлодипин не се влияе от приема на храна.</w:t>
      </w:r>
    </w:p>
    <w:p w14:paraId="504C0705" w14:textId="77777777" w:rsidR="00E474C6" w:rsidRPr="00E474C6" w:rsidRDefault="00E474C6" w:rsidP="00E474C6">
      <w:pPr>
        <w:spacing w:line="240" w:lineRule="auto"/>
        <w:rPr>
          <w:rFonts w:eastAsia="Times New Roman" w:cs="Arial"/>
          <w:color w:val="000000"/>
          <w:u w:val="single"/>
          <w:lang w:eastAsia="bg-BG"/>
        </w:rPr>
      </w:pPr>
    </w:p>
    <w:p w14:paraId="7A4C5EBF" w14:textId="081CB4AD" w:rsidR="00E474C6" w:rsidRPr="00E474C6" w:rsidRDefault="00E474C6" w:rsidP="00E474C6">
      <w:pPr>
        <w:pStyle w:val="Heading3"/>
        <w:rPr>
          <w:rFonts w:eastAsia="Times New Roman"/>
          <w:u w:val="single"/>
        </w:rPr>
      </w:pPr>
      <w:r w:rsidRPr="00E474C6">
        <w:rPr>
          <w:rFonts w:eastAsia="Times New Roman"/>
          <w:u w:val="single"/>
          <w:lang w:eastAsia="bg-BG"/>
        </w:rPr>
        <w:t>Биотрансформация/елиминиране</w:t>
      </w:r>
    </w:p>
    <w:p w14:paraId="5EDBBCBF"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с урината се екскретират 10% от лекарството в непроменен вид и 60% от метаболитите.</w:t>
      </w:r>
    </w:p>
    <w:p w14:paraId="5F0CC634" w14:textId="77777777" w:rsidR="00E474C6" w:rsidRPr="00E474C6" w:rsidRDefault="00E474C6" w:rsidP="00E474C6">
      <w:pPr>
        <w:spacing w:line="240" w:lineRule="auto"/>
        <w:rPr>
          <w:rFonts w:eastAsia="Times New Roman" w:cs="Arial"/>
          <w:i/>
          <w:iCs/>
          <w:color w:val="000000"/>
          <w:u w:val="single"/>
          <w:lang w:eastAsia="bg-BG"/>
        </w:rPr>
      </w:pPr>
    </w:p>
    <w:p w14:paraId="2EE4D2DD" w14:textId="19C96AA4"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Чернодробно нарушение</w:t>
      </w:r>
    </w:p>
    <w:p w14:paraId="1B7A3C35"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E474C6">
        <w:rPr>
          <w:rFonts w:eastAsia="Times New Roman" w:cs="Arial"/>
          <w:color w:val="000000"/>
          <w:lang w:val="en-US"/>
        </w:rPr>
        <w:t>AUC</w:t>
      </w:r>
      <w:r w:rsidRPr="00E474C6">
        <w:rPr>
          <w:rFonts w:eastAsia="Times New Roman" w:cs="Arial"/>
          <w:color w:val="000000"/>
          <w:lang w:val="ru-RU"/>
        </w:rPr>
        <w:t xml:space="preserve"> </w:t>
      </w:r>
      <w:r w:rsidRPr="00E474C6">
        <w:rPr>
          <w:rFonts w:eastAsia="Times New Roman" w:cs="Arial"/>
          <w:color w:val="000000"/>
          <w:lang w:eastAsia="bg-BG"/>
        </w:rPr>
        <w:t>с приблизително</w:t>
      </w:r>
    </w:p>
    <w:p w14:paraId="78758C11" w14:textId="362E7086" w:rsidR="00E474C6" w:rsidRPr="00E474C6" w:rsidRDefault="00E474C6" w:rsidP="00E474C6">
      <w:pPr>
        <w:rPr>
          <w:rFonts w:eastAsia="Times New Roman" w:cs="Arial"/>
          <w:color w:val="000000"/>
          <w:lang w:eastAsia="bg-BG"/>
        </w:rPr>
      </w:pPr>
      <w:r w:rsidRPr="00E474C6">
        <w:rPr>
          <w:rFonts w:eastAsia="Times New Roman" w:cs="Arial"/>
          <w:color w:val="000000"/>
          <w:lang w:eastAsia="bg-BG"/>
        </w:rPr>
        <w:t>40-60%.</w:t>
      </w:r>
    </w:p>
    <w:p w14:paraId="2E9F84BF" w14:textId="38B4527A" w:rsidR="00E474C6" w:rsidRPr="00E474C6" w:rsidRDefault="00E474C6" w:rsidP="00E474C6">
      <w:pPr>
        <w:rPr>
          <w:rFonts w:eastAsia="Times New Roman" w:cs="Arial"/>
          <w:color w:val="000000"/>
          <w:lang w:eastAsia="bg-BG"/>
        </w:rPr>
      </w:pPr>
    </w:p>
    <w:p w14:paraId="211BDFC0" w14:textId="77777777"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Старческа възраст</w:t>
      </w:r>
    </w:p>
    <w:p w14:paraId="4563933B"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E474C6">
        <w:rPr>
          <w:rFonts w:eastAsia="Times New Roman" w:cs="Arial"/>
          <w:color w:val="000000"/>
          <w:lang w:val="en-US"/>
        </w:rPr>
        <w:t>AUC</w:t>
      </w:r>
      <w:r w:rsidRPr="00E474C6">
        <w:rPr>
          <w:rFonts w:eastAsia="Times New Roman" w:cs="Arial"/>
          <w:color w:val="000000"/>
          <w:lang w:val="ru-RU"/>
        </w:rPr>
        <w:t xml:space="preserve"> </w:t>
      </w:r>
      <w:r w:rsidRPr="00E474C6">
        <w:rPr>
          <w:rFonts w:eastAsia="Times New Roman" w:cs="Arial"/>
          <w:color w:val="000000"/>
          <w:lang w:eastAsia="bg-BG"/>
        </w:rPr>
        <w:t xml:space="preserve">и на елиминационния полуживот. Нарастването на </w:t>
      </w:r>
      <w:r w:rsidRPr="00E474C6">
        <w:rPr>
          <w:rFonts w:eastAsia="Times New Roman" w:cs="Arial"/>
          <w:color w:val="000000"/>
          <w:lang w:val="en-US"/>
        </w:rPr>
        <w:t>AUC</w:t>
      </w:r>
      <w:r w:rsidRPr="00E474C6">
        <w:rPr>
          <w:rFonts w:eastAsia="Times New Roman" w:cs="Arial"/>
          <w:color w:val="000000"/>
          <w:lang w:val="ru-RU"/>
        </w:rPr>
        <w:t xml:space="preserve"> </w:t>
      </w:r>
      <w:r w:rsidRPr="00E474C6">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25BECB21" w14:textId="77777777" w:rsidR="00E474C6" w:rsidRPr="00E474C6" w:rsidRDefault="00E474C6" w:rsidP="00E474C6">
      <w:pPr>
        <w:spacing w:line="240" w:lineRule="auto"/>
        <w:rPr>
          <w:rFonts w:eastAsia="Times New Roman" w:cs="Arial"/>
          <w:i/>
          <w:iCs/>
          <w:color w:val="000000"/>
          <w:u w:val="single"/>
          <w:lang w:eastAsia="bg-BG"/>
        </w:rPr>
      </w:pPr>
    </w:p>
    <w:p w14:paraId="1814070B" w14:textId="54AA5655" w:rsidR="00E474C6" w:rsidRPr="00E474C6" w:rsidRDefault="00E474C6" w:rsidP="00E474C6">
      <w:pPr>
        <w:spacing w:line="240" w:lineRule="auto"/>
        <w:rPr>
          <w:rFonts w:eastAsia="Times New Roman" w:cs="Arial"/>
          <w:sz w:val="24"/>
          <w:szCs w:val="24"/>
        </w:rPr>
      </w:pPr>
      <w:r w:rsidRPr="00E474C6">
        <w:rPr>
          <w:rFonts w:eastAsia="Times New Roman" w:cs="Arial"/>
          <w:i/>
          <w:iCs/>
          <w:color w:val="000000"/>
          <w:u w:val="single"/>
          <w:lang w:eastAsia="bg-BG"/>
        </w:rPr>
        <w:t>Педиатрична популация</w:t>
      </w:r>
    </w:p>
    <w:p w14:paraId="535EE4D8" w14:textId="77777777" w:rsidR="00E474C6" w:rsidRPr="00E474C6" w:rsidRDefault="00E474C6" w:rsidP="00E474C6">
      <w:pPr>
        <w:spacing w:line="240" w:lineRule="auto"/>
        <w:rPr>
          <w:rFonts w:eastAsia="Times New Roman" w:cs="Arial"/>
          <w:sz w:val="24"/>
          <w:szCs w:val="24"/>
        </w:rPr>
      </w:pPr>
      <w:r w:rsidRPr="00E474C6">
        <w:rPr>
          <w:rFonts w:eastAsia="Times New Roman" w:cs="Arial"/>
          <w:color w:val="000000"/>
          <w:lang w:eastAsia="bg-BG"/>
        </w:rPr>
        <w:t xml:space="preserve">Популационно фармакокинетично проучване е проведено при 74 деца с хипертония на възраст 1-17 години (34 пациенти на възраст 6-12 годни и 28 пациента на възраст 13-17 години), получаващи амлодипин в дози между </w:t>
      </w:r>
      <w:r w:rsidRPr="00E474C6">
        <w:rPr>
          <w:rFonts w:eastAsia="Times New Roman" w:cs="Arial"/>
          <w:color w:val="000000"/>
          <w:lang w:val="en-US"/>
        </w:rPr>
        <w:t>l</w:t>
      </w:r>
      <w:r w:rsidRPr="00E474C6">
        <w:rPr>
          <w:rFonts w:eastAsia="Times New Roman" w:cs="Arial"/>
          <w:color w:val="000000"/>
          <w:lang w:val="ru-RU"/>
        </w:rPr>
        <w:t>,25</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и 20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приемани еднократно дневно. При децата 6-12 години и при юношите 13-17 години типичният перорален клирънс </w:t>
      </w:r>
      <w:r w:rsidRPr="00E474C6">
        <w:rPr>
          <w:rFonts w:eastAsia="Times New Roman" w:cs="Arial"/>
          <w:color w:val="000000"/>
          <w:lang w:val="ru-RU"/>
        </w:rPr>
        <w:t>(</w:t>
      </w:r>
      <w:r w:rsidRPr="00E474C6">
        <w:rPr>
          <w:rFonts w:eastAsia="Times New Roman" w:cs="Arial"/>
          <w:color w:val="000000"/>
          <w:lang w:val="en-US"/>
        </w:rPr>
        <w:t>CL</w:t>
      </w:r>
      <w:r w:rsidRPr="00E474C6">
        <w:rPr>
          <w:rFonts w:eastAsia="Times New Roman" w:cs="Arial"/>
          <w:color w:val="000000"/>
          <w:lang w:val="ru-RU"/>
        </w:rPr>
        <w:t>/</w:t>
      </w:r>
      <w:r w:rsidRPr="00E474C6">
        <w:rPr>
          <w:rFonts w:eastAsia="Times New Roman" w:cs="Arial"/>
          <w:color w:val="000000"/>
          <w:lang w:val="en-US"/>
        </w:rPr>
        <w:t>F</w:t>
      </w:r>
      <w:r w:rsidRPr="00E474C6">
        <w:rPr>
          <w:rFonts w:eastAsia="Times New Roman" w:cs="Arial"/>
          <w:color w:val="000000"/>
          <w:lang w:val="ru-RU"/>
        </w:rPr>
        <w:t xml:space="preserve">) </w:t>
      </w:r>
      <w:r w:rsidRPr="00E474C6">
        <w:rPr>
          <w:rFonts w:eastAsia="Times New Roman" w:cs="Arial"/>
          <w:color w:val="000000"/>
          <w:lang w:eastAsia="bg-BG"/>
        </w:rPr>
        <w:t>е бил съответно 22,5 и 27,4 1/час при момчета и 16,4 и 21,3 1/час при момичета.</w:t>
      </w:r>
    </w:p>
    <w:p w14:paraId="78CCE9E9" w14:textId="7697093D" w:rsidR="00E474C6" w:rsidRDefault="00E474C6" w:rsidP="00E474C6">
      <w:pPr>
        <w:rPr>
          <w:rFonts w:eastAsia="Times New Roman" w:cs="Arial"/>
          <w:color w:val="000000"/>
          <w:lang w:eastAsia="bg-BG"/>
        </w:rPr>
      </w:pPr>
      <w:r w:rsidRPr="00E474C6">
        <w:rPr>
          <w:rFonts w:eastAsia="Times New Roman" w:cs="Arial"/>
          <w:color w:val="000000"/>
          <w:lang w:eastAsia="bg-BG"/>
        </w:rPr>
        <w:t>Наблюдаван е голяма вариабилност в експозицията между индивидите. Съобщаваните данни за деца под 6 години са ограничени.</w:t>
      </w:r>
    </w:p>
    <w:p w14:paraId="1B4A51B0" w14:textId="77777777" w:rsidR="00E474C6" w:rsidRPr="00E474C6" w:rsidRDefault="00E474C6" w:rsidP="00E474C6">
      <w:pPr>
        <w:rPr>
          <w:rFonts w:cs="Arial"/>
        </w:rPr>
      </w:pPr>
    </w:p>
    <w:p w14:paraId="648E39DA" w14:textId="0D2C8F67" w:rsidR="00CF77F7" w:rsidRDefault="002C50EE" w:rsidP="004A448E">
      <w:pPr>
        <w:pStyle w:val="Heading2"/>
      </w:pPr>
      <w:r>
        <w:t>5.3. Предклинични данни за безопасност</w:t>
      </w:r>
    </w:p>
    <w:p w14:paraId="01861A52" w14:textId="10AC5C3C" w:rsidR="00E474C6" w:rsidRDefault="00E474C6" w:rsidP="00E474C6"/>
    <w:p w14:paraId="4172CCD8" w14:textId="77777777" w:rsidR="00E474C6" w:rsidRPr="00E474C6" w:rsidRDefault="00E474C6" w:rsidP="00E474C6">
      <w:pPr>
        <w:spacing w:line="240" w:lineRule="auto"/>
        <w:rPr>
          <w:rFonts w:eastAsia="Times New Roman" w:cs="Arial"/>
        </w:rPr>
      </w:pPr>
      <w:r w:rsidRPr="00E474C6">
        <w:rPr>
          <w:rFonts w:eastAsia="Times New Roman" w:cs="Arial"/>
          <w:i/>
          <w:iCs/>
          <w:color w:val="000000"/>
          <w:u w:val="single"/>
          <w:lang w:eastAsia="bg-BG"/>
        </w:rPr>
        <w:t>Репродуктивна токсичност:</w:t>
      </w:r>
    </w:p>
    <w:p w14:paraId="6C295E7F"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kg</w:t>
      </w:r>
      <w:r w:rsidRPr="00E474C6">
        <w:rPr>
          <w:rFonts w:eastAsia="Times New Roman" w:cs="Arial"/>
          <w:color w:val="000000"/>
          <w:lang w:val="ru-RU"/>
        </w:rPr>
        <w:t>.</w:t>
      </w:r>
    </w:p>
    <w:p w14:paraId="0060BF2D" w14:textId="77777777" w:rsidR="00E474C6" w:rsidRPr="00E474C6" w:rsidRDefault="00E474C6" w:rsidP="00E474C6">
      <w:pPr>
        <w:spacing w:line="240" w:lineRule="auto"/>
        <w:rPr>
          <w:rFonts w:eastAsia="Times New Roman" w:cs="Arial"/>
          <w:i/>
          <w:iCs/>
          <w:color w:val="000000"/>
          <w:lang w:eastAsia="bg-BG"/>
        </w:rPr>
      </w:pPr>
    </w:p>
    <w:p w14:paraId="0A1B1AC9" w14:textId="3E774361" w:rsidR="00E474C6" w:rsidRPr="00E474C6" w:rsidRDefault="00E474C6" w:rsidP="00E474C6">
      <w:pPr>
        <w:spacing w:line="240" w:lineRule="auto"/>
        <w:rPr>
          <w:rFonts w:eastAsia="Times New Roman" w:cs="Arial"/>
        </w:rPr>
      </w:pPr>
      <w:r w:rsidRPr="00E474C6">
        <w:rPr>
          <w:rFonts w:eastAsia="Times New Roman" w:cs="Arial"/>
          <w:i/>
          <w:iCs/>
          <w:color w:val="000000"/>
          <w:lang w:eastAsia="bg-BG"/>
        </w:rPr>
        <w:t>Нарушения във фертилитета</w:t>
      </w:r>
    </w:p>
    <w:p w14:paraId="0A5D2A2A" w14:textId="18E45200"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kg</w:t>
      </w:r>
      <w:r w:rsidRPr="00E474C6">
        <w:rPr>
          <w:rFonts w:eastAsia="Times New Roman" w:cs="Arial"/>
          <w:color w:val="000000"/>
          <w:lang w:eastAsia="bg-BG"/>
        </w:rPr>
        <w:t>/ден (8 пъти* по-високи от максималната</w:t>
      </w:r>
      <w:r>
        <w:rPr>
          <w:rFonts w:eastAsia="Times New Roman" w:cs="Arial"/>
        </w:rPr>
        <w:t xml:space="preserve"> </w:t>
      </w:r>
      <w:r w:rsidRPr="00E474C6">
        <w:rPr>
          <w:rFonts w:eastAsia="Times New Roman" w:cs="Arial"/>
          <w:color w:val="000000"/>
          <w:lang w:eastAsia="bg-BG"/>
        </w:rPr>
        <w:t xml:space="preserve">препоръчителна за хора доза от 10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m</w:t>
      </w:r>
      <w:r w:rsidRPr="00E474C6">
        <w:rPr>
          <w:rFonts w:eastAsia="Times New Roman" w:cs="Arial"/>
          <w:color w:val="000000"/>
          <w:vertAlign w:val="superscript"/>
          <w:lang w:val="ru-RU"/>
        </w:rPr>
        <w:t>2</w:t>
      </w:r>
      <w:r w:rsidRPr="00E474C6">
        <w:rPr>
          <w:rFonts w:eastAsia="Times New Roman" w:cs="Arial"/>
          <w:color w:val="000000"/>
          <w:lang w:val="ru-RU"/>
        </w:rPr>
        <w:t xml:space="preserve"> </w:t>
      </w:r>
      <w:r w:rsidRPr="00E474C6">
        <w:rPr>
          <w:rFonts w:eastAsia="Times New Roman" w:cs="Arial"/>
          <w:color w:val="000000"/>
          <w:lang w:eastAsia="bg-BG"/>
        </w:rPr>
        <w:t xml:space="preserve">, изчислена на база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m</w:t>
      </w:r>
      <w:r w:rsidRPr="00E474C6">
        <w:rPr>
          <w:rFonts w:eastAsia="Times New Roman" w:cs="Arial"/>
          <w:color w:val="000000"/>
          <w:vertAlign w:val="superscript"/>
          <w:lang w:val="ru-RU"/>
        </w:rPr>
        <w:t>2</w:t>
      </w:r>
      <w:r w:rsidRPr="00E474C6">
        <w:rPr>
          <w:rFonts w:eastAsia="Times New Roman" w:cs="Arial"/>
          <w:color w:val="000000"/>
          <w:lang w:val="ru-RU"/>
        </w:rPr>
        <w:t xml:space="preserve"> </w:t>
      </w:r>
      <w:r w:rsidRPr="00E474C6">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kg</w:t>
      </w:r>
      <w:r w:rsidRPr="00E474C6">
        <w:rPr>
          <w:rFonts w:eastAsia="Times New Roman" w:cs="Arial"/>
          <w:color w:val="000000"/>
          <w:lang w:val="ru-RU"/>
        </w:rPr>
        <w:t xml:space="preserve">, </w:t>
      </w:r>
      <w:r w:rsidRPr="00E474C6">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332731D3" w14:textId="77777777"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*Изчислена за пациенти с тегло 50 </w:t>
      </w:r>
      <w:r w:rsidRPr="00E474C6">
        <w:rPr>
          <w:rFonts w:eastAsia="Times New Roman" w:cs="Arial"/>
          <w:color w:val="000000"/>
          <w:lang w:val="en-US"/>
        </w:rPr>
        <w:t>kg</w:t>
      </w:r>
    </w:p>
    <w:p w14:paraId="0EC78B26" w14:textId="77777777" w:rsidR="00E474C6" w:rsidRPr="00E474C6" w:rsidRDefault="00E474C6" w:rsidP="00E474C6">
      <w:pPr>
        <w:spacing w:line="240" w:lineRule="auto"/>
        <w:rPr>
          <w:rFonts w:eastAsia="Times New Roman" w:cs="Arial"/>
          <w:i/>
          <w:iCs/>
          <w:color w:val="000000"/>
          <w:u w:val="single"/>
          <w:lang w:eastAsia="bg-BG"/>
        </w:rPr>
      </w:pPr>
    </w:p>
    <w:p w14:paraId="01AF37B5" w14:textId="1A92DA25" w:rsidR="00E474C6" w:rsidRPr="00E474C6" w:rsidRDefault="00E474C6" w:rsidP="00E474C6">
      <w:pPr>
        <w:spacing w:line="240" w:lineRule="auto"/>
        <w:rPr>
          <w:rFonts w:eastAsia="Times New Roman" w:cs="Arial"/>
        </w:rPr>
      </w:pPr>
      <w:r w:rsidRPr="00E474C6">
        <w:rPr>
          <w:rFonts w:eastAsia="Times New Roman" w:cs="Arial"/>
          <w:i/>
          <w:iCs/>
          <w:color w:val="000000"/>
          <w:u w:val="single"/>
          <w:lang w:eastAsia="bg-BG"/>
        </w:rPr>
        <w:t>Карииногенеза, мутагенеза</w:t>
      </w:r>
    </w:p>
    <w:p w14:paraId="1B2606ED" w14:textId="6A3F1DC1" w:rsidR="00E474C6" w:rsidRPr="00E474C6" w:rsidRDefault="00E474C6" w:rsidP="00E474C6">
      <w:pPr>
        <w:spacing w:line="240" w:lineRule="auto"/>
        <w:rPr>
          <w:rFonts w:eastAsia="Times New Roman" w:cs="Arial"/>
        </w:rPr>
      </w:pPr>
      <w:r w:rsidRPr="00E474C6">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kg</w:t>
      </w:r>
      <w:r w:rsidRPr="00E474C6">
        <w:rPr>
          <w:rFonts w:eastAsia="Times New Roman" w:cs="Arial"/>
          <w:color w:val="000000"/>
          <w:lang w:eastAsia="bg-BG"/>
        </w:rPr>
        <w:t>/ден. Най-високата доза (при мишки - близка до, а при плъхове - два пъти* по-висока от 2</w:t>
      </w:r>
      <w:r>
        <w:rPr>
          <w:rFonts w:eastAsia="Times New Roman" w:cs="Arial"/>
        </w:rPr>
        <w:t xml:space="preserve"> </w:t>
      </w:r>
      <w:r w:rsidRPr="00E474C6">
        <w:rPr>
          <w:rFonts w:eastAsia="Times New Roman" w:cs="Arial"/>
          <w:color w:val="000000"/>
          <w:lang w:eastAsia="bg-BG"/>
        </w:rPr>
        <w:t xml:space="preserve">максималната препоръчителна клинична доза от 10 </w:t>
      </w:r>
      <w:r w:rsidRPr="00E474C6">
        <w:rPr>
          <w:rFonts w:eastAsia="Times New Roman" w:cs="Arial"/>
          <w:color w:val="000000"/>
          <w:lang w:val="en-US"/>
        </w:rPr>
        <w:t>mg</w:t>
      </w:r>
      <w:r w:rsidRPr="00E474C6">
        <w:rPr>
          <w:rFonts w:eastAsia="Times New Roman" w:cs="Arial"/>
          <w:color w:val="000000"/>
          <w:lang w:val="ru-RU"/>
        </w:rPr>
        <w:t xml:space="preserve">, </w:t>
      </w:r>
      <w:r w:rsidRPr="00E474C6">
        <w:rPr>
          <w:rFonts w:eastAsia="Times New Roman" w:cs="Arial"/>
          <w:color w:val="000000"/>
          <w:lang w:eastAsia="bg-BG"/>
        </w:rPr>
        <w:t xml:space="preserve">изчислена за </w:t>
      </w:r>
      <w:r w:rsidRPr="00E474C6">
        <w:rPr>
          <w:rFonts w:eastAsia="Times New Roman" w:cs="Arial"/>
          <w:color w:val="000000"/>
          <w:lang w:val="en-US"/>
        </w:rPr>
        <w:t>mg</w:t>
      </w:r>
      <w:r w:rsidRPr="00E474C6">
        <w:rPr>
          <w:rFonts w:eastAsia="Times New Roman" w:cs="Arial"/>
          <w:color w:val="000000"/>
          <w:lang w:val="ru-RU"/>
        </w:rPr>
        <w:t>/</w:t>
      </w:r>
      <w:r w:rsidRPr="00E474C6">
        <w:rPr>
          <w:rFonts w:eastAsia="Times New Roman" w:cs="Arial"/>
          <w:color w:val="000000"/>
          <w:lang w:val="en-US"/>
        </w:rPr>
        <w:t>m</w:t>
      </w:r>
      <w:r w:rsidRPr="00E474C6">
        <w:rPr>
          <w:rFonts w:eastAsia="Times New Roman" w:cs="Arial"/>
          <w:color w:val="000000"/>
          <w:lang w:val="ru-RU"/>
        </w:rPr>
        <w:t xml:space="preserve"> </w:t>
      </w:r>
      <w:r w:rsidRPr="00E474C6">
        <w:rPr>
          <w:rFonts w:eastAsia="Times New Roman" w:cs="Arial"/>
          <w:color w:val="000000"/>
          <w:lang w:eastAsia="bg-BG"/>
        </w:rPr>
        <w:t>) е била близка до максимално допустимата доза за мишки, но не и за плъхове.</w:t>
      </w:r>
    </w:p>
    <w:p w14:paraId="73ABED1C" w14:textId="77777777" w:rsidR="00E474C6" w:rsidRPr="00E474C6" w:rsidRDefault="00E474C6" w:rsidP="00E474C6">
      <w:pPr>
        <w:spacing w:line="240" w:lineRule="auto"/>
        <w:rPr>
          <w:rFonts w:eastAsia="Times New Roman" w:cs="Arial"/>
          <w:color w:val="000000"/>
          <w:lang w:eastAsia="bg-BG"/>
        </w:rPr>
      </w:pPr>
    </w:p>
    <w:p w14:paraId="1CE478C2" w14:textId="206F94CB" w:rsidR="00E474C6" w:rsidRPr="00E474C6" w:rsidRDefault="00E474C6" w:rsidP="00E474C6">
      <w:pPr>
        <w:spacing w:line="240" w:lineRule="auto"/>
        <w:rPr>
          <w:rFonts w:eastAsia="Times New Roman" w:cs="Arial"/>
          <w:color w:val="000000"/>
          <w:lang w:eastAsia="bg-BG"/>
        </w:rPr>
      </w:pPr>
      <w:r w:rsidRPr="00E474C6">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0F60A359" w14:textId="77777777" w:rsidR="00E474C6" w:rsidRPr="00E474C6" w:rsidRDefault="00E474C6" w:rsidP="00E474C6">
      <w:pPr>
        <w:spacing w:line="240" w:lineRule="auto"/>
        <w:rPr>
          <w:rFonts w:eastAsia="Times New Roman" w:cs="Arial"/>
          <w:color w:val="000000"/>
          <w:lang w:eastAsia="bg-BG"/>
        </w:rPr>
      </w:pPr>
    </w:p>
    <w:p w14:paraId="03F968F9" w14:textId="25B4424F" w:rsidR="00E474C6" w:rsidRPr="00E474C6" w:rsidRDefault="00E474C6" w:rsidP="00E474C6">
      <w:pPr>
        <w:spacing w:line="240" w:lineRule="auto"/>
        <w:rPr>
          <w:rFonts w:eastAsia="Times New Roman" w:cs="Arial"/>
        </w:rPr>
      </w:pPr>
      <w:r w:rsidRPr="00E474C6">
        <w:rPr>
          <w:rFonts w:eastAsia="Times New Roman" w:cs="Arial"/>
          <w:color w:val="000000"/>
          <w:lang w:eastAsia="bg-BG"/>
        </w:rPr>
        <w:t>* Въз основа на тегло на пациента от 50 кг.</w:t>
      </w:r>
    </w:p>
    <w:p w14:paraId="3F5B363A" w14:textId="77777777" w:rsidR="00E474C6" w:rsidRPr="00E474C6" w:rsidRDefault="00E474C6" w:rsidP="00E474C6"/>
    <w:p w14:paraId="6A7820AB" w14:textId="126558FF" w:rsidR="008A6AF2" w:rsidRDefault="002C50EE" w:rsidP="00395555">
      <w:pPr>
        <w:pStyle w:val="Heading1"/>
      </w:pPr>
      <w:r>
        <w:t>7. ПРИТЕЖАТЕЛ НА РАЗРЕШЕНИЕТО ЗА УПОТРЕБА</w:t>
      </w:r>
    </w:p>
    <w:p w14:paraId="5513E6FB" w14:textId="77911BCC" w:rsidR="00E474C6" w:rsidRDefault="00E474C6" w:rsidP="00E474C6"/>
    <w:p w14:paraId="6A1423E1" w14:textId="77777777" w:rsidR="00E474C6" w:rsidRPr="00E474C6" w:rsidRDefault="00E474C6" w:rsidP="00E474C6">
      <w:pPr>
        <w:rPr>
          <w:sz w:val="24"/>
          <w:szCs w:val="24"/>
          <w:lang w:val="en-US"/>
        </w:rPr>
      </w:pPr>
      <w:proofErr w:type="spellStart"/>
      <w:r w:rsidRPr="00E474C6">
        <w:rPr>
          <w:lang w:val="en-US"/>
        </w:rPr>
        <w:t>Zentiva</w:t>
      </w:r>
      <w:proofErr w:type="spellEnd"/>
      <w:r w:rsidRPr="00E474C6">
        <w:rPr>
          <w:lang w:val="en-US"/>
        </w:rPr>
        <w:t xml:space="preserve"> </w:t>
      </w:r>
      <w:proofErr w:type="spellStart"/>
      <w:r w:rsidRPr="00E474C6">
        <w:rPr>
          <w:lang w:val="en-US"/>
        </w:rPr>
        <w:t>k.s</w:t>
      </w:r>
      <w:proofErr w:type="spellEnd"/>
      <w:r w:rsidRPr="00E474C6">
        <w:rPr>
          <w:lang w:val="en-US"/>
        </w:rPr>
        <w:t>.</w:t>
      </w:r>
    </w:p>
    <w:p w14:paraId="21B1541E" w14:textId="77777777" w:rsidR="00E474C6" w:rsidRPr="00E474C6" w:rsidRDefault="00E474C6" w:rsidP="00E474C6">
      <w:pPr>
        <w:rPr>
          <w:sz w:val="24"/>
          <w:szCs w:val="24"/>
          <w:lang w:val="en-US"/>
        </w:rPr>
      </w:pPr>
      <w:r w:rsidRPr="00E474C6">
        <w:rPr>
          <w:lang w:val="en-US"/>
        </w:rPr>
        <w:t xml:space="preserve">U </w:t>
      </w:r>
      <w:proofErr w:type="spellStart"/>
      <w:r w:rsidRPr="00E474C6">
        <w:rPr>
          <w:lang w:val="en-US"/>
        </w:rPr>
        <w:t>Kabelovny</w:t>
      </w:r>
      <w:proofErr w:type="spellEnd"/>
      <w:r w:rsidRPr="00E474C6">
        <w:rPr>
          <w:lang w:val="en-US"/>
        </w:rPr>
        <w:t xml:space="preserve"> </w:t>
      </w:r>
      <w:r w:rsidRPr="00E474C6">
        <w:rPr>
          <w:lang w:eastAsia="bg-BG"/>
        </w:rPr>
        <w:t>130</w:t>
      </w:r>
    </w:p>
    <w:p w14:paraId="2AF4D386" w14:textId="77777777" w:rsidR="00E474C6" w:rsidRPr="00E474C6" w:rsidRDefault="00E474C6" w:rsidP="00E474C6">
      <w:pPr>
        <w:rPr>
          <w:sz w:val="24"/>
          <w:szCs w:val="24"/>
          <w:lang w:val="ru-RU"/>
        </w:rPr>
      </w:pPr>
      <w:r w:rsidRPr="00E474C6">
        <w:rPr>
          <w:lang w:eastAsia="bg-BG"/>
        </w:rPr>
        <w:t xml:space="preserve">102 37 </w:t>
      </w:r>
      <w:r w:rsidRPr="00E474C6">
        <w:rPr>
          <w:lang w:val="en-US"/>
        </w:rPr>
        <w:t>Prague</w:t>
      </w:r>
    </w:p>
    <w:p w14:paraId="14E4618A" w14:textId="0D63803E" w:rsidR="00E474C6" w:rsidRPr="00E474C6" w:rsidRDefault="00E474C6" w:rsidP="00E474C6">
      <w:r w:rsidRPr="00E474C6">
        <w:rPr>
          <w:lang w:eastAsia="bg-BG"/>
        </w:rPr>
        <w:t>Чешка Република</w:t>
      </w:r>
    </w:p>
    <w:p w14:paraId="7BA1BA64" w14:textId="3D3B85B8" w:rsidR="00CF77F7" w:rsidRDefault="002C50EE" w:rsidP="004A448E">
      <w:pPr>
        <w:pStyle w:val="Heading1"/>
      </w:pPr>
      <w:r>
        <w:lastRenderedPageBreak/>
        <w:t>8. НОМЕР НА РАЗРЕШЕНИЕТО ЗА УПОТРЕБА</w:t>
      </w:r>
    </w:p>
    <w:p w14:paraId="2F85AA5A" w14:textId="35E5159D" w:rsidR="00E474C6" w:rsidRDefault="00E474C6" w:rsidP="00E474C6"/>
    <w:p w14:paraId="307AF67D" w14:textId="6DDA1C70" w:rsidR="00E474C6" w:rsidRPr="00E474C6" w:rsidRDefault="00E474C6" w:rsidP="00E474C6">
      <w:pPr>
        <w:rPr>
          <w:sz w:val="24"/>
          <w:szCs w:val="24"/>
        </w:rPr>
      </w:pPr>
      <w:proofErr w:type="spellStart"/>
      <w:r w:rsidRPr="00E474C6">
        <w:rPr>
          <w:lang w:val="en-US"/>
        </w:rPr>
        <w:t>Agen</w:t>
      </w:r>
      <w:proofErr w:type="spellEnd"/>
      <w:r w:rsidRPr="00E474C6">
        <w:rPr>
          <w:lang w:val="ru-RU"/>
        </w:rPr>
        <w:t xml:space="preserve"> </w:t>
      </w:r>
      <w:r w:rsidRPr="00E474C6">
        <w:rPr>
          <w:lang w:eastAsia="bg-BG"/>
        </w:rPr>
        <w:t>5: 20080007/22.01.2008 г.</w:t>
      </w:r>
    </w:p>
    <w:p w14:paraId="2CCB5832" w14:textId="6381D8B7" w:rsidR="007C605B" w:rsidRDefault="002C50EE" w:rsidP="007C605B">
      <w:pPr>
        <w:pStyle w:val="Heading1"/>
      </w:pPr>
      <w:r>
        <w:t>9. ДАТА НА ПЪРВО РАЗРЕШАВАНЕ/ПОДНОВЯВАНЕ НА РАЗРЕШЕНИЕТО ЗА УПОТРЕБА</w:t>
      </w:r>
    </w:p>
    <w:p w14:paraId="0763D135" w14:textId="1B5D80E0" w:rsidR="00E474C6" w:rsidRDefault="00E474C6" w:rsidP="00E474C6"/>
    <w:p w14:paraId="6D25C1B4" w14:textId="5ABCA8DF" w:rsidR="00E474C6" w:rsidRPr="00E474C6" w:rsidRDefault="00E474C6" w:rsidP="00E474C6">
      <w:pPr>
        <w:rPr>
          <w:sz w:val="24"/>
          <w:szCs w:val="24"/>
        </w:rPr>
      </w:pPr>
      <w:r w:rsidRPr="00E474C6">
        <w:rPr>
          <w:lang w:eastAsia="bg-BG"/>
        </w:rPr>
        <w:t>22.01.2008/15.06.2011</w:t>
      </w:r>
    </w:p>
    <w:p w14:paraId="0E9D0119" w14:textId="0245C6D7" w:rsidR="002C50EE" w:rsidRDefault="002C50EE" w:rsidP="002C50EE">
      <w:pPr>
        <w:pStyle w:val="Heading1"/>
      </w:pPr>
      <w:r>
        <w:t>10. ДАТА НА АКТУАЛИЗИРАНЕ НА ТЕКСТА</w:t>
      </w:r>
    </w:p>
    <w:bookmarkEnd w:id="0"/>
    <w:p w14:paraId="43FB38A2" w14:textId="1674D0AD" w:rsidR="007C605B" w:rsidRPr="003E3126" w:rsidRDefault="00E474C6" w:rsidP="00E474C6">
      <w:r>
        <w:t>12.07.2021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863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DC54C8"/>
    <w:multiLevelType w:val="hybridMultilevel"/>
    <w:tmpl w:val="6464C1C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6A8E"/>
    <w:multiLevelType w:val="hybridMultilevel"/>
    <w:tmpl w:val="2AEA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7"/>
  </w:num>
  <w:num w:numId="22">
    <w:abstractNumId w:val="26"/>
  </w:num>
  <w:num w:numId="23">
    <w:abstractNumId w:val="18"/>
  </w:num>
  <w:num w:numId="24">
    <w:abstractNumId w:val="9"/>
  </w:num>
  <w:num w:numId="25">
    <w:abstractNumId w:val="23"/>
  </w:num>
  <w:num w:numId="26">
    <w:abstractNumId w:val="21"/>
  </w:num>
  <w:num w:numId="27">
    <w:abstractNumId w:val="32"/>
  </w:num>
  <w:num w:numId="28">
    <w:abstractNumId w:val="7"/>
  </w:num>
  <w:num w:numId="29">
    <w:abstractNumId w:val="20"/>
  </w:num>
  <w:num w:numId="30">
    <w:abstractNumId w:val="35"/>
  </w:num>
  <w:num w:numId="31">
    <w:abstractNumId w:val="6"/>
  </w:num>
  <w:num w:numId="32">
    <w:abstractNumId w:val="34"/>
  </w:num>
  <w:num w:numId="33">
    <w:abstractNumId w:val="29"/>
  </w:num>
  <w:num w:numId="34">
    <w:abstractNumId w:val="33"/>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474C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3915</Words>
  <Characters>22319</Characters>
  <Application>Microsoft Office Word</Application>
  <DocSecurity>0</DocSecurity>
  <Lines>185</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2022-05-24T15:38:00Z</dcterms:created>
  <dcterms:modified xsi:type="dcterms:W3CDTF">2022-05-24T15:38:00Z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