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478DF3E2" w:rsidR="00C07B84" w:rsidRDefault="00DD466D" w:rsidP="00DD466D">
      <w:pPr>
        <w:pStyle w:val="Heading1"/>
      </w:pPr>
      <w:r>
        <w:t>1.ИМЕ НА ЛЕКАРСТВЕНИЯ ПРОДУКТ</w:t>
      </w:r>
    </w:p>
    <w:p w14:paraId="785F053E" w14:textId="77777777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</w:t>
      </w:r>
      <w:proofErr w:type="spellStart"/>
      <w:r w:rsidRPr="00BF2B40">
        <w:rPr>
          <w:lang w:eastAsia="bg-BG"/>
        </w:rPr>
        <w:t>Ауробиндо</w:t>
      </w:r>
      <w:proofErr w:type="spellEnd"/>
      <w:r w:rsidRPr="00BF2B40">
        <w:rPr>
          <w:lang w:eastAsia="bg-BG"/>
        </w:rPr>
        <w:t xml:space="preserve"> 10 </w:t>
      </w:r>
      <w:proofErr w:type="spellStart"/>
      <w:r w:rsidRPr="00BF2B40">
        <w:t>mg</w:t>
      </w:r>
      <w:proofErr w:type="spellEnd"/>
      <w:r w:rsidRPr="00BF2B40">
        <w:t xml:space="preserve"> </w:t>
      </w:r>
      <w:r w:rsidRPr="00BF2B40">
        <w:rPr>
          <w:lang w:eastAsia="bg-BG"/>
        </w:rPr>
        <w:t>таблетки с удължено освобождаване</w:t>
      </w:r>
    </w:p>
    <w:p w14:paraId="2BD1F427" w14:textId="30E02BE5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t>Alfuzosine</w:t>
      </w:r>
      <w:proofErr w:type="spellEnd"/>
      <w:r w:rsidRPr="00BF2B40">
        <w:t xml:space="preserve"> </w:t>
      </w:r>
      <w:proofErr w:type="spellStart"/>
      <w:r w:rsidRPr="00BF2B40">
        <w:t>Aurobindo</w:t>
      </w:r>
      <w:proofErr w:type="spellEnd"/>
      <w:r w:rsidRPr="00BF2B40">
        <w:t xml:space="preserve"> </w:t>
      </w:r>
      <w:r w:rsidRPr="00BF2B40">
        <w:rPr>
          <w:lang w:eastAsia="bg-BG"/>
        </w:rPr>
        <w:t xml:space="preserve">10 </w:t>
      </w:r>
      <w:proofErr w:type="spellStart"/>
      <w:r w:rsidRPr="00BF2B40">
        <w:t>mg</w:t>
      </w:r>
      <w:proofErr w:type="spellEnd"/>
      <w:r w:rsidRPr="00BF2B40">
        <w:t xml:space="preserve"> </w:t>
      </w:r>
      <w:proofErr w:type="spellStart"/>
      <w:r w:rsidRPr="00BF2B40">
        <w:t>prolonged-release</w:t>
      </w:r>
      <w:proofErr w:type="spellEnd"/>
      <w:r w:rsidRPr="00BF2B40">
        <w:t xml:space="preserve"> </w:t>
      </w:r>
      <w:proofErr w:type="spellStart"/>
      <w:r w:rsidRPr="00BF2B40">
        <w:t>tablets</w:t>
      </w:r>
      <w:proofErr w:type="spellEnd"/>
    </w:p>
    <w:p w14:paraId="3A916BC0" w14:textId="2300C589" w:rsidR="00DD466D" w:rsidRDefault="00DD466D" w:rsidP="00DD466D">
      <w:pPr>
        <w:pStyle w:val="Heading1"/>
      </w:pPr>
      <w:r>
        <w:t>2. КАЧЕСТВЕН И КОЛИЧЕСТВЕН СЪСТАВ</w:t>
      </w:r>
    </w:p>
    <w:p w14:paraId="6FA6EE56" w14:textId="32BF1B13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Всяка таблетка с удължено освобождаване съдържа 10 </w:t>
      </w:r>
      <w:proofErr w:type="spellStart"/>
      <w:r w:rsidRPr="00BF2B40">
        <w:t>mg</w:t>
      </w:r>
      <w:proofErr w:type="spellEnd"/>
      <w:r w:rsidRPr="00BF2B40">
        <w:t xml:space="preserve"> </w:t>
      </w:r>
      <w:proofErr w:type="spellStart"/>
      <w:r w:rsidRPr="00BF2B40">
        <w:rPr>
          <w:lang w:eastAsia="bg-BG"/>
        </w:rPr>
        <w:t>алфузосинов</w:t>
      </w:r>
      <w:proofErr w:type="spellEnd"/>
      <w:r w:rsidRPr="00BF2B40">
        <w:rPr>
          <w:lang w:eastAsia="bg-BG"/>
        </w:rPr>
        <w:t xml:space="preserve"> хидрохлорид </w:t>
      </w:r>
      <w:r w:rsidRPr="00BF2B40">
        <w:rPr>
          <w:i/>
          <w:iCs/>
        </w:rPr>
        <w:t>(</w:t>
      </w:r>
      <w:proofErr w:type="spellStart"/>
      <w:r w:rsidRPr="00BF2B40">
        <w:rPr>
          <w:i/>
          <w:iCs/>
        </w:rPr>
        <w:t>alfuzosin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F2B40">
        <w:rPr>
          <w:i/>
          <w:iCs/>
        </w:rPr>
        <w:t>hydrochloride</w:t>
      </w:r>
      <w:proofErr w:type="spellEnd"/>
      <w:r w:rsidRPr="00BF2B40">
        <w:rPr>
          <w:i/>
          <w:iCs/>
        </w:rPr>
        <w:t>).</w:t>
      </w:r>
    </w:p>
    <w:p w14:paraId="74A1D0A0" w14:textId="687E6CFC" w:rsidR="002B4DBB" w:rsidRDefault="00DD466D" w:rsidP="00C07B84">
      <w:pPr>
        <w:pStyle w:val="Heading1"/>
      </w:pPr>
      <w:r>
        <w:t>3. ЛЕКАРСТВЕНА ФОРМА</w:t>
      </w:r>
    </w:p>
    <w:p w14:paraId="0B98A27F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Таблетка с удължено освобождаване</w:t>
      </w:r>
    </w:p>
    <w:p w14:paraId="37BD320A" w14:textId="77777777" w:rsidR="00BF2B40" w:rsidRDefault="00BF2B40" w:rsidP="00BF2B40">
      <w:pPr>
        <w:rPr>
          <w:lang w:eastAsia="bg-BG"/>
        </w:rPr>
      </w:pPr>
    </w:p>
    <w:p w14:paraId="5527EB84" w14:textId="552641F5" w:rsidR="00BF2B40" w:rsidRPr="00BF2B40" w:rsidRDefault="00BF2B40" w:rsidP="00BF2B40">
      <w:r w:rsidRPr="00BF2B40">
        <w:rPr>
          <w:lang w:eastAsia="bg-BG"/>
        </w:rPr>
        <w:t xml:space="preserve">Бели до почти бели, кръгли (диаметър 8,1 </w:t>
      </w:r>
      <w:r w:rsidRPr="00BF2B40">
        <w:t xml:space="preserve">mm), </w:t>
      </w:r>
      <w:r w:rsidRPr="00BF2B40">
        <w:rPr>
          <w:lang w:eastAsia="bg-BG"/>
        </w:rPr>
        <w:t>двойно изпъкнали филмирани таблетки с вдлъбнато релефно изображение „X“ от едната страна и „47“ от другата страна.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703581E5" w:rsidR="002B4DBB" w:rsidRDefault="002C50EE" w:rsidP="00C07B84">
      <w:pPr>
        <w:pStyle w:val="Heading2"/>
      </w:pPr>
      <w:r>
        <w:t>4.1. Терапевтични показания</w:t>
      </w:r>
    </w:p>
    <w:p w14:paraId="60319D50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Лечение на умерени до тежки функционални симптоми на доброкачествена (</w:t>
      </w:r>
      <w:proofErr w:type="spellStart"/>
      <w:r w:rsidRPr="00BF2B40">
        <w:rPr>
          <w:lang w:eastAsia="bg-BG"/>
        </w:rPr>
        <w:t>бенигнена</w:t>
      </w:r>
      <w:proofErr w:type="spellEnd"/>
      <w:r w:rsidRPr="00BF2B40">
        <w:rPr>
          <w:lang w:eastAsia="bg-BG"/>
        </w:rPr>
        <w:t>) простатна хиперплазия (ВРН).</w:t>
      </w:r>
    </w:p>
    <w:p w14:paraId="4FC52D58" w14:textId="77777777" w:rsidR="00BF2B40" w:rsidRPr="00BF2B40" w:rsidRDefault="00BF2B40" w:rsidP="00BF2B40"/>
    <w:p w14:paraId="485EAF97" w14:textId="77777777" w:rsidR="00BF2B40" w:rsidRDefault="002C50EE" w:rsidP="00BF2B40">
      <w:pPr>
        <w:pStyle w:val="Heading2"/>
      </w:pPr>
      <w:r>
        <w:t>4.2. Дозировка и начин на приложение</w:t>
      </w:r>
    </w:p>
    <w:p w14:paraId="35EAB9AA" w14:textId="77777777" w:rsidR="00BF2B40" w:rsidRDefault="00BF2B40" w:rsidP="00BF2B40">
      <w:pPr>
        <w:rPr>
          <w:lang w:eastAsia="bg-BG"/>
        </w:rPr>
      </w:pPr>
    </w:p>
    <w:p w14:paraId="01484A80" w14:textId="201DE519" w:rsidR="00BF2B40" w:rsidRPr="00BF2B40" w:rsidRDefault="00BF2B40" w:rsidP="00BF2B40">
      <w:pPr>
        <w:rPr>
          <w:rFonts w:eastAsiaTheme="majorEastAsia"/>
          <w:sz w:val="26"/>
          <w:szCs w:val="26"/>
          <w:lang w:val="en-US"/>
        </w:rPr>
      </w:pPr>
      <w:r w:rsidRPr="00BF2B40">
        <w:rPr>
          <w:lang w:eastAsia="bg-BG"/>
        </w:rPr>
        <w:t>Перорално приложение</w:t>
      </w:r>
    </w:p>
    <w:p w14:paraId="7D47A5CC" w14:textId="77777777" w:rsidR="00BF2B40" w:rsidRDefault="00BF2B40" w:rsidP="00BF2B40">
      <w:pPr>
        <w:rPr>
          <w:lang w:eastAsia="bg-BG"/>
        </w:rPr>
      </w:pPr>
    </w:p>
    <w:p w14:paraId="4D5ECDA4" w14:textId="2D2B9D8B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Таблетката с удължено освобождаване трябва да се поглъща цяла с достатъчно количество течност (например чаша вода). Таблетките с удължено освобождаване не трябва да се чупят, дъвчат или делят на половина (вижте точка 4.4).</w:t>
      </w:r>
    </w:p>
    <w:p w14:paraId="181D0A94" w14:textId="77777777" w:rsidR="00BF2B40" w:rsidRDefault="00BF2B40" w:rsidP="00BF2B40">
      <w:pPr>
        <w:rPr>
          <w:lang w:eastAsia="bg-BG"/>
        </w:rPr>
      </w:pPr>
    </w:p>
    <w:p w14:paraId="4903EECF" w14:textId="2329DD5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Първата доза трябва да се приеме преди лягане. Таблетката с удължено освобождаване 10 </w:t>
      </w:r>
      <w:proofErr w:type="spellStart"/>
      <w:r w:rsidRPr="00BF2B40">
        <w:t>mg</w:t>
      </w:r>
      <w:proofErr w:type="spellEnd"/>
      <w:r w:rsidRPr="00BF2B40">
        <w:t xml:space="preserve"> </w:t>
      </w:r>
      <w:r w:rsidRPr="00BF2B40">
        <w:rPr>
          <w:lang w:eastAsia="bg-BG"/>
        </w:rPr>
        <w:t>трябва да се приема незабавно след едно и също хранене всеки ден.</w:t>
      </w:r>
    </w:p>
    <w:p w14:paraId="7FC42770" w14:textId="77777777" w:rsidR="00BF2B40" w:rsidRDefault="00BF2B40" w:rsidP="00BF2B40">
      <w:pPr>
        <w:rPr>
          <w:i/>
          <w:iCs/>
          <w:lang w:eastAsia="bg-BG"/>
        </w:rPr>
      </w:pPr>
    </w:p>
    <w:p w14:paraId="36ED6586" w14:textId="64508326" w:rsidR="00BF2B40" w:rsidRPr="00BF2B40" w:rsidRDefault="00BF2B40" w:rsidP="00BF2B40">
      <w:pPr>
        <w:rPr>
          <w:sz w:val="24"/>
          <w:szCs w:val="24"/>
        </w:rPr>
      </w:pPr>
      <w:r w:rsidRPr="00BF2B40">
        <w:rPr>
          <w:i/>
          <w:iCs/>
          <w:lang w:eastAsia="bg-BG"/>
        </w:rPr>
        <w:t>Възрастни</w:t>
      </w:r>
    </w:p>
    <w:p w14:paraId="4C5C95DA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Препоръчвана доза е една таблетка с удължено освобождаване от 10 </w:t>
      </w:r>
      <w:proofErr w:type="spellStart"/>
      <w:r w:rsidRPr="00BF2B40">
        <w:t>mg</w:t>
      </w:r>
      <w:proofErr w:type="spellEnd"/>
      <w:r w:rsidRPr="00BF2B40">
        <w:t xml:space="preserve"> </w:t>
      </w:r>
      <w:r w:rsidRPr="00BF2B40">
        <w:rPr>
          <w:lang w:eastAsia="bg-BG"/>
        </w:rPr>
        <w:t>дневно.</w:t>
      </w:r>
    </w:p>
    <w:p w14:paraId="6F5D2B3C" w14:textId="77777777" w:rsidR="00BF2B40" w:rsidRDefault="00BF2B40" w:rsidP="00BF2B40">
      <w:pPr>
        <w:rPr>
          <w:i/>
          <w:iCs/>
          <w:lang w:eastAsia="bg-BG"/>
        </w:rPr>
      </w:pPr>
    </w:p>
    <w:p w14:paraId="16EDB3AD" w14:textId="391ED84F" w:rsidR="00BF2B40" w:rsidRPr="00BF2B40" w:rsidRDefault="00BF2B40" w:rsidP="00BF2B40">
      <w:pPr>
        <w:rPr>
          <w:sz w:val="24"/>
          <w:szCs w:val="24"/>
        </w:rPr>
      </w:pPr>
      <w:r w:rsidRPr="00BF2B40">
        <w:rPr>
          <w:i/>
          <w:iCs/>
          <w:lang w:eastAsia="bg-BG"/>
        </w:rPr>
        <w:t>Пациенти в старческа възраст (на възраст над 65 години)</w:t>
      </w:r>
    </w:p>
    <w:p w14:paraId="3812A168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Препоръчваната доза е същата като тази при възрастни. </w:t>
      </w:r>
      <w:proofErr w:type="spellStart"/>
      <w:r w:rsidRPr="00BF2B40">
        <w:rPr>
          <w:lang w:eastAsia="bg-BG"/>
        </w:rPr>
        <w:t>Фармакокинетичните</w:t>
      </w:r>
      <w:proofErr w:type="spellEnd"/>
      <w:r w:rsidRPr="00BF2B40">
        <w:rPr>
          <w:lang w:eastAsia="bg-BG"/>
        </w:rPr>
        <w:t xml:space="preserve"> и</w:t>
      </w:r>
      <w:r w:rsidRPr="00BF2B40">
        <w:t xml:space="preserve"> </w:t>
      </w:r>
      <w:r w:rsidRPr="00BF2B40">
        <w:rPr>
          <w:lang w:eastAsia="bg-BG"/>
        </w:rPr>
        <w:t>клинични</w:t>
      </w:r>
      <w:r w:rsidRPr="00BF2B40">
        <w:rPr>
          <w:sz w:val="42"/>
          <w:szCs w:val="42"/>
          <w:lang w:eastAsia="bg-BG"/>
        </w:rPr>
        <w:t xml:space="preserve"> </w:t>
      </w:r>
      <w:r w:rsidRPr="00BF2B40">
        <w:rPr>
          <w:lang w:eastAsia="bg-BG"/>
        </w:rPr>
        <w:t>проучвания показват, че не е необходимо адаптиране на дозата при пациенти в старческа възраст.</w:t>
      </w:r>
      <w:bookmarkStart w:id="1" w:name="bookmark0"/>
      <w:bookmarkEnd w:id="1"/>
    </w:p>
    <w:p w14:paraId="3DC6D70B" w14:textId="77777777" w:rsidR="00BF2B40" w:rsidRPr="00BF2B40" w:rsidRDefault="00BF2B40" w:rsidP="00BF2B40">
      <w:pPr>
        <w:rPr>
          <w:sz w:val="24"/>
          <w:szCs w:val="24"/>
        </w:rPr>
      </w:pPr>
    </w:p>
    <w:p w14:paraId="103486AF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i/>
          <w:iCs/>
          <w:lang w:eastAsia="bg-BG"/>
        </w:rPr>
        <w:t>Нарушена бъбречна функция</w:t>
      </w:r>
    </w:p>
    <w:p w14:paraId="4A1F9834" w14:textId="08E17079" w:rsidR="00BF2B40" w:rsidRDefault="00BF2B40" w:rsidP="00BF2B40">
      <w:pPr>
        <w:rPr>
          <w:lang w:eastAsia="bg-BG"/>
        </w:rPr>
      </w:pPr>
      <w:r w:rsidRPr="00BF2B40">
        <w:rPr>
          <w:lang w:eastAsia="bg-BG"/>
        </w:rPr>
        <w:t>Лека до умерена бъбречна недостатъчност (</w:t>
      </w:r>
      <w:proofErr w:type="spellStart"/>
      <w:r w:rsidRPr="00BF2B40">
        <w:rPr>
          <w:lang w:eastAsia="bg-BG"/>
        </w:rPr>
        <w:t>креатининов</w:t>
      </w:r>
      <w:proofErr w:type="spellEnd"/>
      <w:r w:rsidRPr="00BF2B40">
        <w:rPr>
          <w:lang w:eastAsia="bg-BG"/>
        </w:rPr>
        <w:t xml:space="preserve"> клирънс &gt; 30</w:t>
      </w:r>
      <w:r w:rsidRPr="00BF2B40">
        <w:t xml:space="preserve"> ml/</w:t>
      </w:r>
      <w:proofErr w:type="spellStart"/>
      <w:r w:rsidRPr="00BF2B40">
        <w:t>min</w:t>
      </w:r>
      <w:proofErr w:type="spellEnd"/>
      <w:r w:rsidRPr="00BF2B40">
        <w:t>):</w:t>
      </w:r>
      <w:r w:rsidRPr="00BF2B40">
        <w:rPr>
          <w:lang w:eastAsia="bg-BG"/>
        </w:rPr>
        <w:t xml:space="preserve"> обикновено не е</w:t>
      </w:r>
      <w:r w:rsidRPr="00BF2B40">
        <w:rPr>
          <w:sz w:val="42"/>
          <w:szCs w:val="42"/>
          <w:lang w:eastAsia="bg-BG"/>
        </w:rPr>
        <w:t xml:space="preserve"> </w:t>
      </w:r>
      <w:r w:rsidRPr="00BF2B40">
        <w:rPr>
          <w:lang w:eastAsia="bg-BG"/>
        </w:rPr>
        <w:t>необходимо редуциране на дозата (вижте точка 5.2).</w:t>
      </w:r>
    </w:p>
    <w:p w14:paraId="4BA490E5" w14:textId="03579137" w:rsidR="00BF2B40" w:rsidRDefault="00BF2B40" w:rsidP="00BF2B40">
      <w:pPr>
        <w:rPr>
          <w:lang w:eastAsia="bg-BG"/>
        </w:rPr>
      </w:pPr>
    </w:p>
    <w:p w14:paraId="1FABFA90" w14:textId="77777777" w:rsidR="00BF2B40" w:rsidRPr="00BF2B40" w:rsidRDefault="00BF2B40" w:rsidP="00BF2B40">
      <w:pPr>
        <w:rPr>
          <w:i/>
          <w:iCs/>
          <w:sz w:val="24"/>
          <w:szCs w:val="24"/>
        </w:rPr>
      </w:pPr>
      <w:r w:rsidRPr="00BF2B40">
        <w:rPr>
          <w:i/>
          <w:iCs/>
          <w:lang w:eastAsia="bg-BG"/>
        </w:rPr>
        <w:lastRenderedPageBreak/>
        <w:t>Тежка бъбречна недостатъчност</w:t>
      </w:r>
    </w:p>
    <w:p w14:paraId="23B83BE2" w14:textId="77777777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10 </w:t>
      </w:r>
      <w:proofErr w:type="spellStart"/>
      <w:r w:rsidRPr="00BF2B40">
        <w:t>mg</w:t>
      </w:r>
      <w:proofErr w:type="spellEnd"/>
      <w:r w:rsidRPr="00BF2B40">
        <w:t xml:space="preserve"> </w:t>
      </w:r>
      <w:r w:rsidRPr="00BF2B40">
        <w:rPr>
          <w:lang w:eastAsia="bg-BG"/>
        </w:rPr>
        <w:t>не трябва да се прилага при пациенти с тежко увредена бъбречна функция (</w:t>
      </w:r>
      <w:proofErr w:type="spellStart"/>
      <w:r w:rsidRPr="00BF2B40">
        <w:rPr>
          <w:lang w:eastAsia="bg-BG"/>
        </w:rPr>
        <w:t>креатининов</w:t>
      </w:r>
      <w:proofErr w:type="spellEnd"/>
      <w:r w:rsidRPr="00BF2B40">
        <w:rPr>
          <w:lang w:eastAsia="bg-BG"/>
        </w:rPr>
        <w:t xml:space="preserve"> клирънс &lt;30 </w:t>
      </w:r>
      <w:r w:rsidRPr="00BF2B40">
        <w:t>ml/</w:t>
      </w:r>
      <w:proofErr w:type="spellStart"/>
      <w:r w:rsidRPr="00BF2B40">
        <w:t>min</w:t>
      </w:r>
      <w:proofErr w:type="spellEnd"/>
      <w:r w:rsidRPr="00BF2B40">
        <w:t xml:space="preserve">), </w:t>
      </w:r>
      <w:r w:rsidRPr="00BF2B40">
        <w:rPr>
          <w:lang w:eastAsia="bg-BG"/>
        </w:rPr>
        <w:t>тъй като няма налични данни за клинична безопасност при тази група пациенти (вижте точка 4.4).</w:t>
      </w:r>
    </w:p>
    <w:p w14:paraId="4BDE7D03" w14:textId="77777777" w:rsidR="00BF2B40" w:rsidRDefault="00BF2B40" w:rsidP="00BF2B40">
      <w:pPr>
        <w:rPr>
          <w:lang w:eastAsia="bg-BG"/>
        </w:rPr>
      </w:pPr>
    </w:p>
    <w:p w14:paraId="6DDE1135" w14:textId="20CBF764" w:rsidR="00BF2B40" w:rsidRPr="00BF2B40" w:rsidRDefault="00BF2B40" w:rsidP="00BF2B40">
      <w:pPr>
        <w:rPr>
          <w:i/>
          <w:iCs/>
          <w:sz w:val="24"/>
          <w:szCs w:val="24"/>
        </w:rPr>
      </w:pPr>
      <w:r w:rsidRPr="00BF2B40">
        <w:rPr>
          <w:i/>
          <w:iCs/>
          <w:lang w:eastAsia="bg-BG"/>
        </w:rPr>
        <w:t>Чернодробна недостатъчност</w:t>
      </w:r>
    </w:p>
    <w:p w14:paraId="7B4722B9" w14:textId="77777777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, прилаган като 10 </w:t>
      </w:r>
      <w:proofErr w:type="spellStart"/>
      <w:r w:rsidRPr="00BF2B40">
        <w:t>mg</w:t>
      </w:r>
      <w:proofErr w:type="spellEnd"/>
      <w:r w:rsidRPr="00BF2B40">
        <w:t xml:space="preserve"> </w:t>
      </w:r>
      <w:r w:rsidRPr="00BF2B40">
        <w:rPr>
          <w:lang w:eastAsia="bg-BG"/>
        </w:rPr>
        <w:t xml:space="preserve">таблетки с удължено освобождаване е противопоказан при пациенти с чернодробна недостатъчност. Лекарствени продукти, съдържащи ниска доза </w:t>
      </w:r>
      <w:proofErr w:type="spellStart"/>
      <w:r w:rsidRPr="00BF2B40">
        <w:rPr>
          <w:lang w:eastAsia="bg-BG"/>
        </w:rPr>
        <w:t>алфузосинов</w:t>
      </w:r>
      <w:proofErr w:type="spellEnd"/>
      <w:r w:rsidRPr="00BF2B40">
        <w:rPr>
          <w:lang w:eastAsia="bg-BG"/>
        </w:rPr>
        <w:t xml:space="preserve"> хидрохлорид, могат да се използват при пациенти с лека до умерена чернодробна недостатъчност, както е указано в съответната продуктова информация.</w:t>
      </w:r>
    </w:p>
    <w:p w14:paraId="7ED9020B" w14:textId="77777777" w:rsidR="00BF2B40" w:rsidRPr="00BF2B40" w:rsidRDefault="00BF2B40" w:rsidP="00BF2B40">
      <w:pPr>
        <w:rPr>
          <w:i/>
          <w:iCs/>
          <w:lang w:eastAsia="bg-BG"/>
        </w:rPr>
      </w:pPr>
    </w:p>
    <w:p w14:paraId="730C18CD" w14:textId="316EB315" w:rsidR="00BF2B40" w:rsidRPr="00BF2B40" w:rsidRDefault="00BF2B40" w:rsidP="00BF2B40">
      <w:pPr>
        <w:rPr>
          <w:i/>
          <w:iCs/>
          <w:sz w:val="24"/>
          <w:szCs w:val="24"/>
        </w:rPr>
      </w:pPr>
      <w:r w:rsidRPr="00BF2B40">
        <w:rPr>
          <w:i/>
          <w:iCs/>
          <w:lang w:eastAsia="bg-BG"/>
        </w:rPr>
        <w:t>Педиатрична популация</w:t>
      </w:r>
    </w:p>
    <w:p w14:paraId="516A8D4C" w14:textId="32206B95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Ефикасността на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при деца на възраст 2 до 16 години не е доказана (вижте точка 5.1). Ето защо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не е показан за употреба при педиатричната популация.</w:t>
      </w:r>
    </w:p>
    <w:p w14:paraId="6FB0BD40" w14:textId="77777777" w:rsidR="00BF2B40" w:rsidRPr="00BF2B40" w:rsidRDefault="00BF2B40" w:rsidP="00BF2B40"/>
    <w:p w14:paraId="3194B1C9" w14:textId="663062E5" w:rsidR="001915B6" w:rsidRDefault="002C50EE" w:rsidP="00C07B84">
      <w:pPr>
        <w:pStyle w:val="Heading2"/>
      </w:pPr>
      <w:r>
        <w:t>4.3. Противопоказания</w:t>
      </w:r>
    </w:p>
    <w:p w14:paraId="095E5593" w14:textId="77777777" w:rsidR="00BF2B40" w:rsidRDefault="00BF2B40" w:rsidP="00BF2B40">
      <w:pPr>
        <w:rPr>
          <w:lang w:eastAsia="bg-BG"/>
        </w:rPr>
      </w:pPr>
    </w:p>
    <w:p w14:paraId="0817E7F5" w14:textId="68150499" w:rsidR="00BF2B40" w:rsidRPr="00BF2B40" w:rsidRDefault="00BF2B40" w:rsidP="00BF2B4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F2B40">
        <w:rPr>
          <w:lang w:eastAsia="bg-BG"/>
        </w:rPr>
        <w:t xml:space="preserve">Свръхчувствителност към </w:t>
      </w:r>
      <w:proofErr w:type="spellStart"/>
      <w:r w:rsidRPr="00BF2B40">
        <w:rPr>
          <w:lang w:eastAsia="bg-BG"/>
        </w:rPr>
        <w:t>алфузосинов</w:t>
      </w:r>
      <w:proofErr w:type="spellEnd"/>
      <w:r w:rsidRPr="00BF2B40">
        <w:rPr>
          <w:lang w:eastAsia="bg-BG"/>
        </w:rPr>
        <w:t xml:space="preserve"> хидрохлорид, други </w:t>
      </w:r>
      <w:proofErr w:type="spellStart"/>
      <w:r w:rsidRPr="00BF2B40">
        <w:rPr>
          <w:lang w:eastAsia="bg-BG"/>
        </w:rPr>
        <w:t>хиназолини</w:t>
      </w:r>
      <w:proofErr w:type="spellEnd"/>
      <w:r w:rsidRPr="00BF2B40">
        <w:rPr>
          <w:lang w:eastAsia="bg-BG"/>
        </w:rPr>
        <w:t xml:space="preserve"> (например </w:t>
      </w:r>
      <w:proofErr w:type="spellStart"/>
      <w:r w:rsidRPr="00BF2B40">
        <w:rPr>
          <w:lang w:eastAsia="bg-BG"/>
        </w:rPr>
        <w:t>теразосин</w:t>
      </w:r>
      <w:proofErr w:type="spellEnd"/>
      <w:r w:rsidRPr="00BF2B40">
        <w:rPr>
          <w:lang w:eastAsia="bg-BG"/>
        </w:rPr>
        <w:t xml:space="preserve">, </w:t>
      </w:r>
      <w:proofErr w:type="spellStart"/>
      <w:r w:rsidRPr="00BF2B40">
        <w:rPr>
          <w:lang w:eastAsia="bg-BG"/>
        </w:rPr>
        <w:t>доксазосин</w:t>
      </w:r>
      <w:proofErr w:type="spellEnd"/>
      <w:r w:rsidRPr="00BF2B40">
        <w:rPr>
          <w:lang w:eastAsia="bg-BG"/>
        </w:rPr>
        <w:t>) или към някое от помощните вещества, изброени в точка 6.1.</w:t>
      </w:r>
    </w:p>
    <w:p w14:paraId="182A4DFD" w14:textId="77777777" w:rsidR="00BF2B40" w:rsidRPr="00BF2B40" w:rsidRDefault="00BF2B40" w:rsidP="00BF2B40">
      <w:pPr>
        <w:pStyle w:val="ListParagraph"/>
        <w:numPr>
          <w:ilvl w:val="0"/>
          <w:numId w:val="18"/>
        </w:numPr>
        <w:rPr>
          <w:lang w:eastAsia="bg-BG"/>
        </w:rPr>
      </w:pPr>
      <w:r w:rsidRPr="00BF2B40">
        <w:rPr>
          <w:lang w:eastAsia="bg-BG"/>
        </w:rPr>
        <w:t xml:space="preserve">Анамнеза за ортостатична </w:t>
      </w:r>
      <w:proofErr w:type="spellStart"/>
      <w:r w:rsidRPr="00BF2B40">
        <w:rPr>
          <w:lang w:eastAsia="bg-BG"/>
        </w:rPr>
        <w:t>хипогензия</w:t>
      </w:r>
      <w:proofErr w:type="spellEnd"/>
    </w:p>
    <w:p w14:paraId="29FEAE4A" w14:textId="77777777" w:rsidR="00BF2B40" w:rsidRPr="00BF2B40" w:rsidRDefault="00BF2B40" w:rsidP="00BF2B40">
      <w:pPr>
        <w:pStyle w:val="ListParagraph"/>
        <w:numPr>
          <w:ilvl w:val="0"/>
          <w:numId w:val="18"/>
        </w:numPr>
        <w:rPr>
          <w:lang w:eastAsia="bg-BG"/>
        </w:rPr>
      </w:pPr>
      <w:r w:rsidRPr="00BF2B40">
        <w:rPr>
          <w:lang w:eastAsia="bg-BG"/>
        </w:rPr>
        <w:t>Чернодробна недостатъчност</w:t>
      </w:r>
    </w:p>
    <w:p w14:paraId="2A711C62" w14:textId="77777777" w:rsidR="00BF2B40" w:rsidRPr="00BF2B40" w:rsidRDefault="00BF2B40" w:rsidP="00BF2B40">
      <w:pPr>
        <w:pStyle w:val="ListParagraph"/>
        <w:numPr>
          <w:ilvl w:val="0"/>
          <w:numId w:val="18"/>
        </w:numPr>
        <w:rPr>
          <w:lang w:eastAsia="bg-BG"/>
        </w:rPr>
      </w:pPr>
      <w:r w:rsidRPr="00BF2B40">
        <w:rPr>
          <w:lang w:eastAsia="bg-BG"/>
        </w:rPr>
        <w:t>Комбинация с други алфа-1 -</w:t>
      </w:r>
      <w:proofErr w:type="spellStart"/>
      <w:r w:rsidRPr="00BF2B40">
        <w:rPr>
          <w:lang w:eastAsia="bg-BG"/>
        </w:rPr>
        <w:t>блокери</w:t>
      </w:r>
      <w:proofErr w:type="spellEnd"/>
    </w:p>
    <w:p w14:paraId="694ED19E" w14:textId="77777777" w:rsidR="00BF2B40" w:rsidRPr="00BF2B40" w:rsidRDefault="00BF2B40" w:rsidP="00BF2B40"/>
    <w:p w14:paraId="4B2B2AB1" w14:textId="0DB03E2C" w:rsidR="00605BCA" w:rsidRDefault="002C50EE" w:rsidP="00C07B84">
      <w:pPr>
        <w:pStyle w:val="Heading2"/>
      </w:pPr>
      <w:r>
        <w:t>4.4. Специални предупреждения и предпазни мерки при употреба</w:t>
      </w:r>
    </w:p>
    <w:p w14:paraId="1CEE4862" w14:textId="77777777" w:rsidR="00BF2B40" w:rsidRDefault="00BF2B40" w:rsidP="00BF2B40">
      <w:pPr>
        <w:rPr>
          <w:lang w:eastAsia="bg-BG"/>
        </w:rPr>
      </w:pPr>
    </w:p>
    <w:p w14:paraId="0C04D3A0" w14:textId="0698547F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</w:t>
      </w:r>
      <w:proofErr w:type="spellStart"/>
      <w:r w:rsidRPr="00BF2B40">
        <w:rPr>
          <w:lang w:eastAsia="bg-BG"/>
        </w:rPr>
        <w:t>Ауробиндо</w:t>
      </w:r>
      <w:proofErr w:type="spellEnd"/>
      <w:r w:rsidRPr="00BF2B40">
        <w:rPr>
          <w:lang w:eastAsia="bg-BG"/>
        </w:rPr>
        <w:t xml:space="preserve"> 10 </w:t>
      </w:r>
      <w:proofErr w:type="spellStart"/>
      <w:r w:rsidRPr="00BF2B40">
        <w:t>mg</w:t>
      </w:r>
      <w:proofErr w:type="spellEnd"/>
      <w:r w:rsidRPr="00BF2B40">
        <w:t xml:space="preserve"> </w:t>
      </w:r>
      <w:r w:rsidRPr="00BF2B40">
        <w:rPr>
          <w:lang w:eastAsia="bg-BG"/>
        </w:rPr>
        <w:t>таблетки не трябва да се прилага при пациенти с тежко бъбречно увреждане (</w:t>
      </w:r>
      <w:proofErr w:type="spellStart"/>
      <w:r w:rsidRPr="00BF2B40">
        <w:rPr>
          <w:lang w:eastAsia="bg-BG"/>
        </w:rPr>
        <w:t>креатининов</w:t>
      </w:r>
      <w:proofErr w:type="spellEnd"/>
      <w:r w:rsidRPr="00BF2B40">
        <w:rPr>
          <w:lang w:eastAsia="bg-BG"/>
        </w:rPr>
        <w:t xml:space="preserve"> клирънс &lt;30 </w:t>
      </w:r>
      <w:r w:rsidRPr="00BF2B40">
        <w:t>ml/</w:t>
      </w:r>
      <w:proofErr w:type="spellStart"/>
      <w:r w:rsidRPr="00BF2B40">
        <w:t>min</w:t>
      </w:r>
      <w:proofErr w:type="spellEnd"/>
      <w:r w:rsidRPr="00BF2B40">
        <w:t xml:space="preserve">) </w:t>
      </w:r>
      <w:r w:rsidRPr="00BF2B40">
        <w:rPr>
          <w:lang w:eastAsia="bg-BG"/>
        </w:rPr>
        <w:t>поради липсата на данни за клинична безопасност при тази група пациенти.</w:t>
      </w:r>
    </w:p>
    <w:p w14:paraId="0FEC3C5C" w14:textId="77777777" w:rsidR="00BF2B40" w:rsidRDefault="00BF2B40" w:rsidP="00BF2B40">
      <w:pPr>
        <w:rPr>
          <w:lang w:eastAsia="bg-BG"/>
        </w:rPr>
      </w:pPr>
    </w:p>
    <w:p w14:paraId="30374CF6" w14:textId="44EE958E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трябва да се прилага с повишено внимание при пациенти, които са на лечение с антихипертензивни средства или нитрати.</w:t>
      </w:r>
    </w:p>
    <w:p w14:paraId="1D82FB47" w14:textId="77777777" w:rsidR="00BF2B40" w:rsidRDefault="00BF2B40" w:rsidP="00BF2B40">
      <w:pPr>
        <w:rPr>
          <w:lang w:eastAsia="bg-BG"/>
        </w:rPr>
      </w:pPr>
    </w:p>
    <w:p w14:paraId="549036CF" w14:textId="6D6D848D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При някои индивиди може да се развие ортостатична </w:t>
      </w:r>
      <w:proofErr w:type="spellStart"/>
      <w:r w:rsidRPr="00BF2B40">
        <w:rPr>
          <w:lang w:eastAsia="bg-BG"/>
        </w:rPr>
        <w:t>хипотензия</w:t>
      </w:r>
      <w:proofErr w:type="spellEnd"/>
      <w:r w:rsidRPr="00BF2B40">
        <w:rPr>
          <w:lang w:eastAsia="bg-BG"/>
        </w:rPr>
        <w:t>, със или без симптоми (замаяност, отпадналост, изпотяване) в рамките на няколко часа след приложението. Тези реакции обикновено са преходни, възникват в началото на лечението и обикновено не са пречка за продължаване на лечението.</w:t>
      </w:r>
    </w:p>
    <w:p w14:paraId="32687C18" w14:textId="77777777" w:rsidR="00BF2B40" w:rsidRDefault="00BF2B40" w:rsidP="00BF2B40">
      <w:pPr>
        <w:rPr>
          <w:lang w:eastAsia="bg-BG"/>
        </w:rPr>
      </w:pPr>
    </w:p>
    <w:p w14:paraId="3B937AF1" w14:textId="76B254B4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Изразено спадане на кръвното налягане е наблюдавано след пускането на пазара на този лекарствен продукт, при проследяването на пациенти с предшестващи рискови фактори (като сърдечно-съдови заболявания и/или съпътстващо лечение с антихипертензивни лекарства).</w:t>
      </w:r>
    </w:p>
    <w:p w14:paraId="4122FF8B" w14:textId="77777777" w:rsidR="00BF2B40" w:rsidRDefault="00BF2B40" w:rsidP="00BF2B40">
      <w:pPr>
        <w:rPr>
          <w:lang w:eastAsia="bg-BG"/>
        </w:rPr>
      </w:pPr>
    </w:p>
    <w:p w14:paraId="23E03DEE" w14:textId="382D690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Препоръчва се внимателно прилагане на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при пациенти, които са имали ясно изразен </w:t>
      </w:r>
      <w:proofErr w:type="spellStart"/>
      <w:r w:rsidRPr="00BF2B40">
        <w:rPr>
          <w:lang w:eastAsia="bg-BG"/>
        </w:rPr>
        <w:t>хипотензивен</w:t>
      </w:r>
      <w:proofErr w:type="spellEnd"/>
      <w:r w:rsidRPr="00BF2B40">
        <w:rPr>
          <w:lang w:eastAsia="bg-BG"/>
        </w:rPr>
        <w:t xml:space="preserve"> отговор към други алфа-1-блокери.</w:t>
      </w:r>
    </w:p>
    <w:p w14:paraId="29EE5B32" w14:textId="77777777" w:rsidR="00BF2B40" w:rsidRDefault="00BF2B40" w:rsidP="00BF2B40">
      <w:pPr>
        <w:rPr>
          <w:lang w:eastAsia="bg-BG"/>
        </w:rPr>
      </w:pPr>
    </w:p>
    <w:p w14:paraId="64A3B71E" w14:textId="522C3FCC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lastRenderedPageBreak/>
        <w:t>При пациенти с коронарно заболяване, трябва да се продължи прилагането на съответните</w:t>
      </w:r>
      <w:r>
        <w:rPr>
          <w:sz w:val="24"/>
          <w:szCs w:val="24"/>
        </w:rPr>
        <w:t xml:space="preserve"> </w:t>
      </w:r>
      <w:r w:rsidRPr="00BF2B40">
        <w:rPr>
          <w:lang w:eastAsia="bg-BG"/>
        </w:rPr>
        <w:t xml:space="preserve">лекарства за коронарна недостатъчност. В случай на повторна поява или влошаване на ангина </w:t>
      </w:r>
      <w:proofErr w:type="spellStart"/>
      <w:r w:rsidRPr="00BF2B40">
        <w:rPr>
          <w:lang w:eastAsia="bg-BG"/>
        </w:rPr>
        <w:t>пекторис</w:t>
      </w:r>
      <w:proofErr w:type="spellEnd"/>
      <w:r w:rsidRPr="00BF2B40">
        <w:rPr>
          <w:lang w:eastAsia="bg-BG"/>
        </w:rPr>
        <w:t xml:space="preserve">, лечението с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трябва да се прекрати.</w:t>
      </w:r>
    </w:p>
    <w:p w14:paraId="77B4DB87" w14:textId="77777777" w:rsidR="00BF2B40" w:rsidRPr="00BF2B40" w:rsidRDefault="00BF2B40" w:rsidP="00BF2B40">
      <w:pPr>
        <w:rPr>
          <w:sz w:val="24"/>
          <w:szCs w:val="24"/>
        </w:rPr>
      </w:pPr>
    </w:p>
    <w:p w14:paraId="3D4DCBC4" w14:textId="7C5B8C93" w:rsidR="00BF2B40" w:rsidRDefault="00BF2B40" w:rsidP="00BF2B40">
      <w:pPr>
        <w:rPr>
          <w:lang w:eastAsia="bg-BG"/>
        </w:rPr>
      </w:pPr>
      <w:r w:rsidRPr="00BF2B40">
        <w:rPr>
          <w:lang w:eastAsia="bg-BG"/>
        </w:rPr>
        <w:t xml:space="preserve">Както при всички алфа-1-блокери,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трябва да се прилага с внимание при пациенти с остра сърдечна недостатъчност.</w:t>
      </w:r>
    </w:p>
    <w:p w14:paraId="5F2CCD59" w14:textId="54CEC98A" w:rsidR="00BF2B40" w:rsidRDefault="00BF2B40" w:rsidP="00BF2B40">
      <w:pPr>
        <w:rPr>
          <w:lang w:eastAsia="bg-BG"/>
        </w:rPr>
      </w:pPr>
    </w:p>
    <w:p w14:paraId="09F6D055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При пациентите с вроден удължен </w:t>
      </w:r>
      <w:proofErr w:type="spellStart"/>
      <w:r w:rsidRPr="00BF2B40">
        <w:t>QTc</w:t>
      </w:r>
      <w:proofErr w:type="spellEnd"/>
      <w:r w:rsidRPr="00BF2B40">
        <w:t xml:space="preserve">, </w:t>
      </w:r>
      <w:r w:rsidRPr="00BF2B40">
        <w:rPr>
          <w:lang w:eastAsia="bg-BG"/>
        </w:rPr>
        <w:t xml:space="preserve">с известна анамнеза за придобито удължаване на </w:t>
      </w:r>
      <w:proofErr w:type="spellStart"/>
      <w:r w:rsidRPr="00BF2B40">
        <w:t>QTc</w:t>
      </w:r>
      <w:proofErr w:type="spellEnd"/>
      <w:r w:rsidRPr="00BF2B40">
        <w:t xml:space="preserve"> </w:t>
      </w:r>
      <w:r w:rsidRPr="00BF2B40">
        <w:rPr>
          <w:lang w:eastAsia="bg-BG"/>
        </w:rPr>
        <w:t xml:space="preserve">или които приемат лекарства, за които се знае, че удължават </w:t>
      </w:r>
      <w:proofErr w:type="spellStart"/>
      <w:r w:rsidRPr="00BF2B40">
        <w:t>QTc</w:t>
      </w:r>
      <w:proofErr w:type="spellEnd"/>
      <w:r w:rsidRPr="00BF2B40">
        <w:t xml:space="preserve"> </w:t>
      </w:r>
      <w:r w:rsidRPr="00BF2B40">
        <w:rPr>
          <w:lang w:eastAsia="bg-BG"/>
        </w:rPr>
        <w:t xml:space="preserve">интервала, трябва да бъде направена оценка преди и по време на приложението на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>.</w:t>
      </w:r>
    </w:p>
    <w:p w14:paraId="06D7258C" w14:textId="77777777" w:rsidR="00BF2B40" w:rsidRDefault="00BF2B40" w:rsidP="00BF2B40">
      <w:pPr>
        <w:rPr>
          <w:lang w:eastAsia="bg-BG"/>
        </w:rPr>
      </w:pPr>
    </w:p>
    <w:p w14:paraId="5CA2F497" w14:textId="52C9127D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Интероперативен флопи ирис синдром </w:t>
      </w:r>
      <w:r w:rsidRPr="00BF2B40">
        <w:t>(</w:t>
      </w:r>
      <w:proofErr w:type="spellStart"/>
      <w:r w:rsidRPr="00BF2B40">
        <w:t>Interoperative</w:t>
      </w:r>
      <w:proofErr w:type="spellEnd"/>
      <w:r w:rsidRPr="00BF2B40">
        <w:t xml:space="preserve"> </w:t>
      </w:r>
      <w:proofErr w:type="spellStart"/>
      <w:r w:rsidRPr="00BF2B40">
        <w:t>Floppy</w:t>
      </w:r>
      <w:proofErr w:type="spellEnd"/>
      <w:r w:rsidRPr="00BF2B40">
        <w:t xml:space="preserve"> </w:t>
      </w:r>
      <w:proofErr w:type="spellStart"/>
      <w:r w:rsidRPr="00BF2B40">
        <w:t>Iris</w:t>
      </w:r>
      <w:proofErr w:type="spellEnd"/>
      <w:r w:rsidRPr="00BF2B40">
        <w:t xml:space="preserve"> </w:t>
      </w:r>
      <w:proofErr w:type="spellStart"/>
      <w:r w:rsidRPr="00BF2B40">
        <w:t>Syndrome</w:t>
      </w:r>
      <w:proofErr w:type="spellEnd"/>
      <w:r w:rsidRPr="00BF2B40">
        <w:t xml:space="preserve"> ZIFIS/, </w:t>
      </w:r>
      <w:r w:rsidRPr="00BF2B40">
        <w:rPr>
          <w:lang w:eastAsia="bg-BG"/>
        </w:rPr>
        <w:t xml:space="preserve">вариант на синдрома на малката зеница), е наблюдаван по време на операция на катаракта при някои пациенти приемащи или приемали някога </w:t>
      </w:r>
      <w:proofErr w:type="spellStart"/>
      <w:r w:rsidRPr="00BF2B40">
        <w:rPr>
          <w:lang w:eastAsia="bg-BG"/>
        </w:rPr>
        <w:t>тамсулозин</w:t>
      </w:r>
      <w:proofErr w:type="spellEnd"/>
      <w:r w:rsidRPr="00BF2B40">
        <w:rPr>
          <w:lang w:eastAsia="bg-BG"/>
        </w:rPr>
        <w:t xml:space="preserve">. Изолирани съобщения са получени също и с други алфа-1-блокери и възможността за ефект на класа съединения не може да се изключи. Тъй като </w:t>
      </w:r>
      <w:r w:rsidRPr="00BF2B40">
        <w:t xml:space="preserve">IFIS </w:t>
      </w:r>
      <w:r w:rsidRPr="00BF2B40">
        <w:rPr>
          <w:lang w:eastAsia="bg-BG"/>
        </w:rPr>
        <w:t>може да доведе до усложнения по време на операцията на катаракта, очният хирург трябва да бъде информиран предварително за сегашна или минала употреба на алфа-1-блокери.</w:t>
      </w:r>
    </w:p>
    <w:p w14:paraId="3F48229F" w14:textId="77777777" w:rsidR="00BF2B40" w:rsidRDefault="00BF2B40" w:rsidP="00BF2B40">
      <w:pPr>
        <w:rPr>
          <w:lang w:eastAsia="bg-BG"/>
        </w:rPr>
      </w:pPr>
    </w:p>
    <w:p w14:paraId="46A914F0" w14:textId="6C84D765" w:rsidR="00BF2B40" w:rsidRDefault="00BF2B40" w:rsidP="00BF2B40">
      <w:pPr>
        <w:rPr>
          <w:lang w:eastAsia="bg-BG"/>
        </w:rPr>
      </w:pPr>
      <w:r w:rsidRPr="00BF2B40">
        <w:rPr>
          <w:lang w:eastAsia="bg-BG"/>
        </w:rPr>
        <w:t xml:space="preserve">Пациентите трябва да бъдат предупредени, че таблетките трябва да се поглъщат цели. </w:t>
      </w:r>
    </w:p>
    <w:p w14:paraId="728E2908" w14:textId="5F9528E2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Всеки друг начин на приложение, като раздробяване, чупене, дъвчене, натрошаване или стриване на прах трябва да бъде забранен. Тези действия могат да доведат до неправилно освобождаване и абсорбция на лекарството и като следствие от това, до нежелани реакции, които могат да се развият бързо.</w:t>
      </w:r>
    </w:p>
    <w:p w14:paraId="1C1696CA" w14:textId="77777777" w:rsidR="00BF2B40" w:rsidRPr="00BF2B40" w:rsidRDefault="00BF2B40" w:rsidP="00BF2B40"/>
    <w:p w14:paraId="78BEBB3D" w14:textId="4D64FB03" w:rsidR="002C50EE" w:rsidRDefault="002C50EE" w:rsidP="002C50EE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0717E496" w14:textId="77777777" w:rsidR="00BF2B40" w:rsidRDefault="00BF2B40" w:rsidP="00BF2B40">
      <w:pPr>
        <w:rPr>
          <w:lang w:eastAsia="bg-BG"/>
        </w:rPr>
      </w:pPr>
    </w:p>
    <w:p w14:paraId="3D9AECC0" w14:textId="064E5B79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При проучвания със здрави доброволци не са наблюдавани </w:t>
      </w:r>
      <w:proofErr w:type="spellStart"/>
      <w:r w:rsidRPr="00BF2B40">
        <w:rPr>
          <w:lang w:eastAsia="bg-BG"/>
        </w:rPr>
        <w:t>фармакодинамични</w:t>
      </w:r>
      <w:proofErr w:type="spellEnd"/>
      <w:r w:rsidRPr="00BF2B40">
        <w:rPr>
          <w:lang w:eastAsia="bg-BG"/>
        </w:rPr>
        <w:t xml:space="preserve"> или </w:t>
      </w:r>
      <w:proofErr w:type="spellStart"/>
      <w:r w:rsidRPr="00BF2B40">
        <w:rPr>
          <w:lang w:eastAsia="bg-BG"/>
        </w:rPr>
        <w:t>фармакокинетични</w:t>
      </w:r>
      <w:proofErr w:type="spellEnd"/>
      <w:r w:rsidRPr="00BF2B40">
        <w:rPr>
          <w:lang w:eastAsia="bg-BG"/>
        </w:rPr>
        <w:t xml:space="preserve"> взаимодействия между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и следните лекарства : </w:t>
      </w:r>
      <w:proofErr w:type="spellStart"/>
      <w:r w:rsidRPr="00BF2B40">
        <w:rPr>
          <w:lang w:eastAsia="bg-BG"/>
        </w:rPr>
        <w:t>варфарин</w:t>
      </w:r>
      <w:proofErr w:type="spellEnd"/>
      <w:r w:rsidRPr="00BF2B40">
        <w:rPr>
          <w:lang w:eastAsia="bg-BG"/>
        </w:rPr>
        <w:t xml:space="preserve">, </w:t>
      </w:r>
      <w:proofErr w:type="spellStart"/>
      <w:r w:rsidRPr="00BF2B40">
        <w:rPr>
          <w:lang w:eastAsia="bg-BG"/>
        </w:rPr>
        <w:t>дигоксин</w:t>
      </w:r>
      <w:proofErr w:type="spellEnd"/>
      <w:r w:rsidRPr="00BF2B40">
        <w:rPr>
          <w:lang w:eastAsia="bg-BG"/>
        </w:rPr>
        <w:t xml:space="preserve">, хидрохлоротиазид и </w:t>
      </w:r>
      <w:proofErr w:type="spellStart"/>
      <w:r w:rsidRPr="00BF2B40">
        <w:rPr>
          <w:lang w:eastAsia="bg-BG"/>
        </w:rPr>
        <w:t>атенолол</w:t>
      </w:r>
      <w:proofErr w:type="spellEnd"/>
      <w:r w:rsidRPr="00BF2B40">
        <w:rPr>
          <w:lang w:eastAsia="bg-BG"/>
        </w:rPr>
        <w:t>.</w:t>
      </w:r>
    </w:p>
    <w:p w14:paraId="019AAED0" w14:textId="77777777" w:rsidR="00BF2B40" w:rsidRDefault="00BF2B40" w:rsidP="00BF2B40">
      <w:pPr>
        <w:rPr>
          <w:lang w:eastAsia="bg-BG"/>
        </w:rPr>
      </w:pPr>
    </w:p>
    <w:p w14:paraId="7B79597D" w14:textId="3AA907BD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Приложението на общи </w:t>
      </w:r>
      <w:proofErr w:type="spellStart"/>
      <w:r w:rsidRPr="00BF2B40">
        <w:rPr>
          <w:lang w:eastAsia="bg-BG"/>
        </w:rPr>
        <w:t>анестетици</w:t>
      </w:r>
      <w:proofErr w:type="spellEnd"/>
      <w:r w:rsidRPr="00BF2B40">
        <w:rPr>
          <w:lang w:eastAsia="bg-BG"/>
        </w:rPr>
        <w:t xml:space="preserve"> на пациент, лекуван с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може да доведе до нестабилност на кръвното налягане.</w:t>
      </w:r>
    </w:p>
    <w:p w14:paraId="4260250F" w14:textId="77777777" w:rsidR="00BF2B40" w:rsidRDefault="00BF2B40" w:rsidP="00BF2B40">
      <w:pPr>
        <w:rPr>
          <w:i/>
          <w:iCs/>
          <w:lang w:eastAsia="bg-BG"/>
        </w:rPr>
      </w:pPr>
    </w:p>
    <w:p w14:paraId="796B1C26" w14:textId="26310A2D" w:rsidR="00BF2B40" w:rsidRPr="00BF2B40" w:rsidRDefault="00BF2B40" w:rsidP="00BF2B40">
      <w:pPr>
        <w:rPr>
          <w:sz w:val="24"/>
          <w:szCs w:val="24"/>
        </w:rPr>
      </w:pPr>
      <w:r w:rsidRPr="00BF2B40">
        <w:rPr>
          <w:i/>
          <w:iCs/>
          <w:lang w:eastAsia="bg-BG"/>
        </w:rPr>
        <w:t>Комбинации, които са противопоказани</w:t>
      </w:r>
    </w:p>
    <w:p w14:paraId="1D23D4DE" w14:textId="2E71A21D" w:rsidR="00BF2B40" w:rsidRPr="00BF2B40" w:rsidRDefault="00BF2B40" w:rsidP="00BF2B4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F2B40">
        <w:rPr>
          <w:lang w:eastAsia="bg-BG"/>
        </w:rPr>
        <w:t xml:space="preserve">алфа-1 рецепторни </w:t>
      </w:r>
      <w:proofErr w:type="spellStart"/>
      <w:r w:rsidRPr="00BF2B40">
        <w:rPr>
          <w:lang w:eastAsia="bg-BG"/>
        </w:rPr>
        <w:t>блокери</w:t>
      </w:r>
      <w:proofErr w:type="spellEnd"/>
      <w:r w:rsidRPr="00BF2B40">
        <w:rPr>
          <w:lang w:eastAsia="bg-BG"/>
        </w:rPr>
        <w:t xml:space="preserve"> (вижте точка 4.3)</w:t>
      </w:r>
    </w:p>
    <w:p w14:paraId="02AA1441" w14:textId="391D1239" w:rsidR="00BF2B40" w:rsidRPr="00BF2B40" w:rsidRDefault="00BF2B40" w:rsidP="00BF2B4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F2B40">
        <w:rPr>
          <w:lang w:eastAsia="bg-BG"/>
        </w:rPr>
        <w:t xml:space="preserve">Повишен </w:t>
      </w:r>
      <w:proofErr w:type="spellStart"/>
      <w:r w:rsidRPr="00BF2B40">
        <w:rPr>
          <w:lang w:eastAsia="bg-BG"/>
        </w:rPr>
        <w:t>хипотензивен</w:t>
      </w:r>
      <w:proofErr w:type="spellEnd"/>
      <w:r w:rsidRPr="00BF2B40">
        <w:rPr>
          <w:lang w:eastAsia="bg-BG"/>
        </w:rPr>
        <w:t xml:space="preserve"> ефект. Риск от тежка ортостатична </w:t>
      </w:r>
      <w:proofErr w:type="spellStart"/>
      <w:r w:rsidRPr="00BF2B40">
        <w:rPr>
          <w:lang w:eastAsia="bg-BG"/>
        </w:rPr>
        <w:t>хипотензия</w:t>
      </w:r>
      <w:proofErr w:type="spellEnd"/>
      <w:r w:rsidRPr="00BF2B40">
        <w:rPr>
          <w:lang w:eastAsia="bg-BG"/>
        </w:rPr>
        <w:t>.</w:t>
      </w:r>
    </w:p>
    <w:p w14:paraId="60504381" w14:textId="77777777" w:rsidR="00BF2B40" w:rsidRDefault="00BF2B40" w:rsidP="00BF2B40">
      <w:pPr>
        <w:rPr>
          <w:i/>
          <w:iCs/>
          <w:lang w:eastAsia="bg-BG"/>
        </w:rPr>
      </w:pPr>
    </w:p>
    <w:p w14:paraId="51D7BFA7" w14:textId="7D7A8514" w:rsidR="00BF2B40" w:rsidRPr="00BF2B40" w:rsidRDefault="00BF2B40" w:rsidP="00BF2B40">
      <w:pPr>
        <w:rPr>
          <w:sz w:val="24"/>
          <w:szCs w:val="24"/>
        </w:rPr>
      </w:pPr>
      <w:r w:rsidRPr="00BF2B40">
        <w:rPr>
          <w:i/>
          <w:iCs/>
          <w:lang w:eastAsia="bg-BG"/>
        </w:rPr>
        <w:t>Комбинации, които трябва да бъдат взети под внимание</w:t>
      </w:r>
    </w:p>
    <w:p w14:paraId="5CE052CB" w14:textId="51C580FB" w:rsidR="00BF2B40" w:rsidRPr="00BF2B40" w:rsidRDefault="00BF2B40" w:rsidP="00BF2B4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F2B40">
        <w:rPr>
          <w:lang w:eastAsia="bg-BG"/>
        </w:rPr>
        <w:t>Антихипертензивни лекарства (вижте точка 4.4)</w:t>
      </w:r>
    </w:p>
    <w:p w14:paraId="24D52085" w14:textId="151D6398" w:rsidR="00BF2B40" w:rsidRPr="00BF2B40" w:rsidRDefault="00BF2B40" w:rsidP="00BF2B4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F2B40">
        <w:rPr>
          <w:lang w:eastAsia="bg-BG"/>
        </w:rPr>
        <w:t>Нитрати (вижте точка 4.4)</w:t>
      </w:r>
    </w:p>
    <w:p w14:paraId="1F4D61F0" w14:textId="5E35FBA6" w:rsidR="00BF2B40" w:rsidRPr="00BF2B40" w:rsidRDefault="00BF2B40" w:rsidP="00BF2B4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F2B40">
        <w:rPr>
          <w:lang w:eastAsia="bg-BG"/>
        </w:rPr>
        <w:t xml:space="preserve">Мощни инхибитори на </w:t>
      </w:r>
      <w:r w:rsidRPr="00BF2B40">
        <w:t xml:space="preserve">CYP3A4, </w:t>
      </w:r>
      <w:r w:rsidRPr="00BF2B40">
        <w:rPr>
          <w:lang w:eastAsia="bg-BG"/>
        </w:rPr>
        <w:t xml:space="preserve">като </w:t>
      </w:r>
      <w:proofErr w:type="spellStart"/>
      <w:r w:rsidRPr="00BF2B40">
        <w:rPr>
          <w:lang w:eastAsia="bg-BG"/>
        </w:rPr>
        <w:t>итраконазол</w:t>
      </w:r>
      <w:proofErr w:type="spellEnd"/>
      <w:r w:rsidRPr="00BF2B40">
        <w:rPr>
          <w:lang w:eastAsia="bg-BG"/>
        </w:rPr>
        <w:t xml:space="preserve">, </w:t>
      </w:r>
      <w:proofErr w:type="spellStart"/>
      <w:r w:rsidRPr="00BF2B40">
        <w:rPr>
          <w:lang w:eastAsia="bg-BG"/>
        </w:rPr>
        <w:t>кетоконазол</w:t>
      </w:r>
      <w:proofErr w:type="spellEnd"/>
      <w:r w:rsidRPr="00BF2B40">
        <w:rPr>
          <w:lang w:eastAsia="bg-BG"/>
        </w:rPr>
        <w:t xml:space="preserve">, </w:t>
      </w:r>
      <w:proofErr w:type="spellStart"/>
      <w:r w:rsidRPr="00BF2B40">
        <w:rPr>
          <w:lang w:eastAsia="bg-BG"/>
        </w:rPr>
        <w:t>протеазни</w:t>
      </w:r>
      <w:proofErr w:type="spellEnd"/>
      <w:r w:rsidRPr="00BF2B40">
        <w:rPr>
          <w:lang w:eastAsia="bg-BG"/>
        </w:rPr>
        <w:t xml:space="preserve"> инхибитори, </w:t>
      </w:r>
      <w:proofErr w:type="spellStart"/>
      <w:r w:rsidRPr="00BF2B40">
        <w:rPr>
          <w:lang w:eastAsia="bg-BG"/>
        </w:rPr>
        <w:t>кларитромицин</w:t>
      </w:r>
      <w:proofErr w:type="spellEnd"/>
      <w:r w:rsidRPr="00BF2B40">
        <w:rPr>
          <w:lang w:eastAsia="bg-BG"/>
        </w:rPr>
        <w:t xml:space="preserve">, </w:t>
      </w:r>
      <w:proofErr w:type="spellStart"/>
      <w:r w:rsidRPr="00BF2B40">
        <w:rPr>
          <w:lang w:eastAsia="bg-BG"/>
        </w:rPr>
        <w:t>телитромицин</w:t>
      </w:r>
      <w:proofErr w:type="spellEnd"/>
      <w:r w:rsidRPr="00BF2B40">
        <w:rPr>
          <w:lang w:eastAsia="bg-BG"/>
        </w:rPr>
        <w:t xml:space="preserve"> и </w:t>
      </w:r>
      <w:proofErr w:type="spellStart"/>
      <w:r w:rsidRPr="00BF2B40">
        <w:rPr>
          <w:lang w:eastAsia="bg-BG"/>
        </w:rPr>
        <w:t>нефазодон</w:t>
      </w:r>
      <w:proofErr w:type="spellEnd"/>
      <w:r w:rsidRPr="00BF2B40">
        <w:rPr>
          <w:lang w:eastAsia="bg-BG"/>
        </w:rPr>
        <w:t xml:space="preserve">, тъй като нивата на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в кръвта се повишават (вижте точка 5.2).</w:t>
      </w:r>
    </w:p>
    <w:p w14:paraId="1C4483C0" w14:textId="77777777" w:rsidR="00BF2B40" w:rsidRDefault="00BF2B40" w:rsidP="00BF2B40">
      <w:pPr>
        <w:rPr>
          <w:lang w:eastAsia="bg-BG"/>
        </w:rPr>
      </w:pPr>
    </w:p>
    <w:p w14:paraId="76B302EF" w14:textId="023A93CB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lastRenderedPageBreak/>
        <w:t>Кетоконазол</w:t>
      </w:r>
      <w:proofErr w:type="spellEnd"/>
      <w:r w:rsidRPr="00BF2B40">
        <w:rPr>
          <w:lang w:eastAsia="bg-BG"/>
        </w:rPr>
        <w:t xml:space="preserve">: многократно дозиране на 200 </w:t>
      </w:r>
      <w:proofErr w:type="spellStart"/>
      <w:r w:rsidRPr="00BF2B40">
        <w:t>mg</w:t>
      </w:r>
      <w:proofErr w:type="spellEnd"/>
      <w:r w:rsidRPr="00BF2B40">
        <w:t xml:space="preserve"> </w:t>
      </w:r>
      <w:r w:rsidRPr="00BF2B40">
        <w:rPr>
          <w:lang w:eastAsia="bg-BG"/>
        </w:rPr>
        <w:t xml:space="preserve">дневно на </w:t>
      </w:r>
      <w:proofErr w:type="spellStart"/>
      <w:r w:rsidRPr="00BF2B40">
        <w:rPr>
          <w:lang w:eastAsia="bg-BG"/>
        </w:rPr>
        <w:t>кетоконазол</w:t>
      </w:r>
      <w:proofErr w:type="spellEnd"/>
      <w:r w:rsidRPr="00BF2B40">
        <w:rPr>
          <w:lang w:eastAsia="bg-BG"/>
        </w:rPr>
        <w:t xml:space="preserve">, в продължение на седем дни води до 2,1-кратно увеличение в </w:t>
      </w:r>
      <w:proofErr w:type="spellStart"/>
      <w:r w:rsidRPr="00BF2B40">
        <w:rPr>
          <w:lang w:eastAsia="bg-BG"/>
        </w:rPr>
        <w:t>С</w:t>
      </w:r>
      <w:r w:rsidRPr="00BF2B40">
        <w:rPr>
          <w:vertAlign w:val="subscript"/>
        </w:rPr>
        <w:t>max</w:t>
      </w:r>
      <w:proofErr w:type="spellEnd"/>
      <w:r w:rsidRPr="00BF2B40">
        <w:rPr>
          <w:lang w:eastAsia="bg-BG"/>
        </w:rPr>
        <w:t xml:space="preserve"> и 2,5-кратно увеличение на експозицията на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10 </w:t>
      </w:r>
      <w:proofErr w:type="spellStart"/>
      <w:r w:rsidRPr="00BF2B40">
        <w:t>mg</w:t>
      </w:r>
      <w:proofErr w:type="spellEnd"/>
      <w:r w:rsidRPr="00BF2B40">
        <w:t xml:space="preserve"> OD, </w:t>
      </w:r>
      <w:r w:rsidRPr="00BF2B40">
        <w:rPr>
          <w:lang w:eastAsia="bg-BG"/>
        </w:rPr>
        <w:t xml:space="preserve">когато се прилага по време на хранене. Други параметри като </w:t>
      </w:r>
      <w:proofErr w:type="spellStart"/>
      <w:r w:rsidRPr="00BF2B40">
        <w:t>t</w:t>
      </w:r>
      <w:r w:rsidRPr="00BF2B40">
        <w:rPr>
          <w:vertAlign w:val="subscript"/>
        </w:rPr>
        <w:t>max</w:t>
      </w:r>
      <w:proofErr w:type="spellEnd"/>
      <w:r w:rsidRPr="00BF2B40">
        <w:rPr>
          <w:vertAlign w:val="subscript"/>
        </w:rPr>
        <w:t xml:space="preserve"> </w:t>
      </w:r>
      <w:r w:rsidRPr="00BF2B40">
        <w:rPr>
          <w:lang w:eastAsia="bg-BG"/>
        </w:rPr>
        <w:t xml:space="preserve">и </w:t>
      </w:r>
      <w:r w:rsidRPr="00BF2B40">
        <w:t>t</w:t>
      </w:r>
      <w:r w:rsidRPr="00BF2B40">
        <w:rPr>
          <w:vertAlign w:val="subscript"/>
        </w:rPr>
        <w:t>1/2</w:t>
      </w:r>
      <w:r w:rsidRPr="00BF2B40">
        <w:t xml:space="preserve"> </w:t>
      </w:r>
      <w:r w:rsidRPr="00BF2B40">
        <w:rPr>
          <w:lang w:eastAsia="bg-BG"/>
        </w:rPr>
        <w:t>не се променят.</w:t>
      </w:r>
    </w:p>
    <w:p w14:paraId="4C84875B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Увеличаването на </w:t>
      </w:r>
      <w:proofErr w:type="spellStart"/>
      <w:r w:rsidRPr="00BF2B40">
        <w:rPr>
          <w:lang w:eastAsia="bg-BG"/>
        </w:rPr>
        <w:t>С</w:t>
      </w:r>
      <w:r w:rsidRPr="00BF2B40">
        <w:rPr>
          <w:vertAlign w:val="subscript"/>
        </w:rPr>
        <w:t>max</w:t>
      </w:r>
      <w:r w:rsidRPr="00BF2B40">
        <w:rPr>
          <w:lang w:eastAsia="bg-BG"/>
        </w:rPr>
        <w:t>и</w:t>
      </w:r>
      <w:proofErr w:type="spellEnd"/>
      <w:r w:rsidRPr="00BF2B40">
        <w:rPr>
          <w:lang w:eastAsia="bg-BG"/>
        </w:rPr>
        <w:t xml:space="preserve"> </w:t>
      </w:r>
      <w:r w:rsidRPr="00BF2B40">
        <w:t>AUC</w:t>
      </w:r>
      <w:r w:rsidRPr="00BF2B40">
        <w:rPr>
          <w:vertAlign w:val="subscript"/>
        </w:rPr>
        <w:t>(</w:t>
      </w:r>
      <w:proofErr w:type="spellStart"/>
      <w:r w:rsidRPr="00BF2B40">
        <w:rPr>
          <w:vertAlign w:val="subscript"/>
        </w:rPr>
        <w:t>last</w:t>
      </w:r>
      <w:proofErr w:type="spellEnd"/>
      <w:r w:rsidRPr="00BF2B40">
        <w:rPr>
          <w:vertAlign w:val="subscript"/>
        </w:rPr>
        <w:t>)</w:t>
      </w:r>
      <w:r w:rsidRPr="00BF2B40">
        <w:t xml:space="preserve"> </w:t>
      </w:r>
      <w:r w:rsidRPr="00BF2B40">
        <w:rPr>
          <w:lang w:eastAsia="bg-BG"/>
        </w:rPr>
        <w:t xml:space="preserve">на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след многократно приложение на 400 </w:t>
      </w:r>
      <w:proofErr w:type="spellStart"/>
      <w:r w:rsidRPr="00BF2B40">
        <w:t>mg</w:t>
      </w:r>
      <w:proofErr w:type="spellEnd"/>
      <w:r w:rsidRPr="00BF2B40">
        <w:t xml:space="preserve"> </w:t>
      </w:r>
      <w:r w:rsidRPr="00BF2B40">
        <w:rPr>
          <w:lang w:eastAsia="bg-BG"/>
        </w:rPr>
        <w:t xml:space="preserve">дневно </w:t>
      </w:r>
      <w:proofErr w:type="spellStart"/>
      <w:r w:rsidRPr="00BF2B40">
        <w:rPr>
          <w:lang w:eastAsia="bg-BG"/>
        </w:rPr>
        <w:t>кетоконазол</w:t>
      </w:r>
      <w:proofErr w:type="spellEnd"/>
      <w:r w:rsidRPr="00BF2B40">
        <w:rPr>
          <w:lang w:eastAsia="bg-BG"/>
        </w:rPr>
        <w:t xml:space="preserve"> е съответно 2,3 пъти и 3,2 пъти (вижте точка 5.2).</w:t>
      </w:r>
    </w:p>
    <w:p w14:paraId="292D753E" w14:textId="77777777" w:rsidR="00BF2B40" w:rsidRDefault="00BF2B40" w:rsidP="00BF2B40">
      <w:pPr>
        <w:rPr>
          <w:lang w:eastAsia="bg-BG"/>
        </w:rPr>
      </w:pPr>
    </w:p>
    <w:p w14:paraId="134983B4" w14:textId="0B7F2EA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Вижте също точка 4.4.</w:t>
      </w:r>
    </w:p>
    <w:p w14:paraId="35FE8658" w14:textId="77777777" w:rsidR="00BF2B40" w:rsidRPr="00BF2B40" w:rsidRDefault="00BF2B40" w:rsidP="00BF2B40"/>
    <w:p w14:paraId="48221AB5" w14:textId="0E835A05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762D9B2A" w14:textId="77777777" w:rsidR="00BF2B40" w:rsidRDefault="00BF2B40" w:rsidP="00BF2B40">
      <w:pPr>
        <w:rPr>
          <w:lang w:eastAsia="bg-BG"/>
        </w:rPr>
      </w:pPr>
    </w:p>
    <w:p w14:paraId="0A2A8266" w14:textId="1BD930B0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Предвид показанията, този раздел е неприложим.</w:t>
      </w:r>
    </w:p>
    <w:p w14:paraId="60212A9C" w14:textId="77777777" w:rsidR="00BF2B40" w:rsidRPr="00BF2B40" w:rsidRDefault="00BF2B40" w:rsidP="00BF2B40"/>
    <w:p w14:paraId="5F675BDB" w14:textId="4EA6822F" w:rsidR="002C50EE" w:rsidRDefault="002C50EE" w:rsidP="002C50EE">
      <w:pPr>
        <w:pStyle w:val="Heading2"/>
      </w:pPr>
      <w:r>
        <w:t>4.7. Ефекти върху способността за шофиране и работа с машини</w:t>
      </w:r>
    </w:p>
    <w:p w14:paraId="705E5699" w14:textId="77777777" w:rsidR="00BF2B40" w:rsidRDefault="00BF2B40" w:rsidP="00BF2B40">
      <w:pPr>
        <w:rPr>
          <w:lang w:eastAsia="bg-BG"/>
        </w:rPr>
      </w:pPr>
    </w:p>
    <w:p w14:paraId="2860029D" w14:textId="66D42717" w:rsidR="00BF2B40" w:rsidRDefault="00BF2B40" w:rsidP="00BF2B40">
      <w:pPr>
        <w:rPr>
          <w:lang w:eastAsia="bg-BG"/>
        </w:rPr>
      </w:pPr>
      <w:r w:rsidRPr="00BF2B40">
        <w:rPr>
          <w:lang w:eastAsia="bg-BG"/>
        </w:rPr>
        <w:t>Няма налични данни за ефекта върху шофиране.</w:t>
      </w:r>
    </w:p>
    <w:p w14:paraId="73EC7D43" w14:textId="75010F68" w:rsidR="00BF2B40" w:rsidRPr="00BF2B40" w:rsidRDefault="00BF2B40" w:rsidP="00BF2B40">
      <w:pPr>
        <w:rPr>
          <w:sz w:val="24"/>
          <w:szCs w:val="24"/>
        </w:rPr>
      </w:pPr>
      <w:r>
        <w:t xml:space="preserve">Нежелани реакции като замаяност и </w:t>
      </w:r>
      <w:proofErr w:type="spellStart"/>
      <w:r>
        <w:t>астения</w:t>
      </w:r>
      <w:proofErr w:type="spellEnd"/>
      <w:r>
        <w:t xml:space="preserve"> могат да се появят в началото на лечението. Това трябва да се има предвид при шофиране и работа с машини.</w:t>
      </w:r>
    </w:p>
    <w:p w14:paraId="64DD1C83" w14:textId="77777777" w:rsidR="00BF2B40" w:rsidRPr="00BF2B40" w:rsidRDefault="00BF2B40" w:rsidP="00BF2B40"/>
    <w:p w14:paraId="1B3BD30D" w14:textId="6E2D100F" w:rsidR="002C50EE" w:rsidRDefault="002C50EE" w:rsidP="002C50EE">
      <w:pPr>
        <w:pStyle w:val="Heading2"/>
      </w:pPr>
      <w:r>
        <w:t>4.8. Нежелани лекарствени реакции</w:t>
      </w:r>
    </w:p>
    <w:p w14:paraId="6AD84775" w14:textId="77777777" w:rsidR="00BF2B40" w:rsidRDefault="00BF2B40" w:rsidP="00BF2B40">
      <w:pPr>
        <w:rPr>
          <w:lang w:eastAsia="bg-BG"/>
        </w:rPr>
      </w:pPr>
    </w:p>
    <w:p w14:paraId="271F7264" w14:textId="0F592B21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Класификация на очакваните честоти:</w:t>
      </w:r>
    </w:p>
    <w:p w14:paraId="7C742916" w14:textId="063A55BC" w:rsidR="00BF2B40" w:rsidRDefault="00BF2B40" w:rsidP="00BF2B40">
      <w:pPr>
        <w:rPr>
          <w:lang w:eastAsia="bg-BG"/>
        </w:rPr>
      </w:pPr>
      <w:r w:rsidRPr="00BF2B40">
        <w:rPr>
          <w:lang w:eastAsia="bg-BG"/>
        </w:rPr>
        <w:t>Много чести (</w:t>
      </w:r>
      <w:r w:rsidRPr="00BF2B40">
        <w:t>≥</w:t>
      </w:r>
      <w:r w:rsidRPr="00BF2B40">
        <w:rPr>
          <w:lang w:eastAsia="bg-BG"/>
        </w:rPr>
        <w:t>1/10), чести (</w:t>
      </w:r>
      <w:r w:rsidRPr="00BF2B40">
        <w:t>≥</w:t>
      </w:r>
      <w:r w:rsidRPr="00BF2B40">
        <w:rPr>
          <w:lang w:eastAsia="bg-BG"/>
        </w:rPr>
        <w:t>1/100 до &lt;1/10), нечести (</w:t>
      </w:r>
      <w:r w:rsidRPr="00BF2B40">
        <w:t>≥</w:t>
      </w:r>
      <w:r w:rsidRPr="00BF2B40">
        <w:rPr>
          <w:lang w:eastAsia="bg-BG"/>
        </w:rPr>
        <w:t>1/1 000 до &lt;1/100), редки (</w:t>
      </w:r>
      <w:r w:rsidRPr="00BF2B40">
        <w:t>≥</w:t>
      </w:r>
      <w:r w:rsidRPr="00BF2B40">
        <w:rPr>
          <w:lang w:eastAsia="bg-BG"/>
        </w:rPr>
        <w:t>1/10 000 до &lt;1/1 000), много редки (&lt;1/10 000), с неизвестна честота (не може да бъде определена въз основа на наличните данни).</w:t>
      </w:r>
    </w:p>
    <w:p w14:paraId="06F7B516" w14:textId="67EAD1C6" w:rsidR="00BF2B40" w:rsidRDefault="00BF2B40" w:rsidP="00BF2B40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467"/>
        <w:gridCol w:w="1819"/>
        <w:gridCol w:w="1767"/>
        <w:gridCol w:w="2054"/>
      </w:tblGrid>
      <w:tr w:rsidR="00BF2B40" w14:paraId="3F9C1AB0" w14:textId="77777777" w:rsidTr="00BF2B40">
        <w:tc>
          <w:tcPr>
            <w:tcW w:w="2469" w:type="dxa"/>
          </w:tcPr>
          <w:p w14:paraId="5D4EF7CA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7107" w:type="dxa"/>
            <w:gridSpan w:val="4"/>
          </w:tcPr>
          <w:p w14:paraId="3FA1DCB0" w14:textId="1EBE57A0" w:rsidR="00BF2B40" w:rsidRDefault="00BF2B40" w:rsidP="00BF2B40">
            <w:pPr>
              <w:jc w:val="center"/>
              <w:rPr>
                <w:sz w:val="24"/>
                <w:szCs w:val="24"/>
              </w:rPr>
            </w:pPr>
            <w:r>
              <w:t>Честота</w:t>
            </w:r>
          </w:p>
        </w:tc>
      </w:tr>
      <w:tr w:rsidR="00BF2B40" w14:paraId="4D2851D2" w14:textId="77777777" w:rsidTr="00BF2B40">
        <w:tc>
          <w:tcPr>
            <w:tcW w:w="2469" w:type="dxa"/>
          </w:tcPr>
          <w:p w14:paraId="62B8A81A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14:paraId="6115E94D" w14:textId="52B107D9" w:rsidR="00BF2B40" w:rsidRDefault="00BF2B40" w:rsidP="00BF2B40">
            <w:pPr>
              <w:rPr>
                <w:sz w:val="24"/>
                <w:szCs w:val="24"/>
              </w:rPr>
            </w:pPr>
            <w:r>
              <w:t>Чести</w:t>
            </w:r>
          </w:p>
        </w:tc>
        <w:tc>
          <w:tcPr>
            <w:tcW w:w="1819" w:type="dxa"/>
          </w:tcPr>
          <w:p w14:paraId="20A4127B" w14:textId="073455F1" w:rsidR="00BF2B40" w:rsidRDefault="00BF2B40" w:rsidP="00BF2B40">
            <w:pPr>
              <w:rPr>
                <w:sz w:val="24"/>
                <w:szCs w:val="24"/>
              </w:rPr>
            </w:pPr>
            <w:r>
              <w:t>Нечести</w:t>
            </w:r>
          </w:p>
        </w:tc>
        <w:tc>
          <w:tcPr>
            <w:tcW w:w="1767" w:type="dxa"/>
          </w:tcPr>
          <w:p w14:paraId="5165B48D" w14:textId="0F4936F4" w:rsidR="00BF2B40" w:rsidRDefault="00BF2B40" w:rsidP="00BF2B40">
            <w:pPr>
              <w:rPr>
                <w:sz w:val="24"/>
                <w:szCs w:val="24"/>
              </w:rPr>
            </w:pPr>
            <w:r>
              <w:t>Много редки</w:t>
            </w:r>
          </w:p>
        </w:tc>
        <w:tc>
          <w:tcPr>
            <w:tcW w:w="2054" w:type="dxa"/>
          </w:tcPr>
          <w:p w14:paraId="45CC6415" w14:textId="06CDDBD4" w:rsidR="00BF2B40" w:rsidRDefault="00BF2B40" w:rsidP="00BF2B40">
            <w:pPr>
              <w:rPr>
                <w:sz w:val="24"/>
                <w:szCs w:val="24"/>
              </w:rPr>
            </w:pPr>
            <w:r>
              <w:t>С неизвестна честота</w:t>
            </w:r>
          </w:p>
        </w:tc>
      </w:tr>
      <w:tr w:rsidR="00BF2B40" w14:paraId="62270B6F" w14:textId="77777777" w:rsidTr="00BF2B40">
        <w:tc>
          <w:tcPr>
            <w:tcW w:w="2469" w:type="dxa"/>
          </w:tcPr>
          <w:p w14:paraId="1ED7B71D" w14:textId="31C732FA" w:rsidR="00BF2B40" w:rsidRDefault="00BF2B40" w:rsidP="00BF2B40">
            <w:pPr>
              <w:rPr>
                <w:sz w:val="24"/>
                <w:szCs w:val="24"/>
              </w:rPr>
            </w:pPr>
            <w:r>
              <w:t>Нарушения на кръвта и лимфната система</w:t>
            </w:r>
          </w:p>
        </w:tc>
        <w:tc>
          <w:tcPr>
            <w:tcW w:w="1467" w:type="dxa"/>
          </w:tcPr>
          <w:p w14:paraId="5498947F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7C85B87B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3103398D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63C39B3B" w14:textId="41FB768A" w:rsidR="00BF2B40" w:rsidRDefault="00BF2B40" w:rsidP="00BF2B40">
            <w:pPr>
              <w:rPr>
                <w:sz w:val="24"/>
                <w:szCs w:val="24"/>
              </w:rPr>
            </w:pPr>
            <w:proofErr w:type="spellStart"/>
            <w:r>
              <w:t>Неутропения</w:t>
            </w:r>
            <w:proofErr w:type="spellEnd"/>
            <w:r>
              <w:t xml:space="preserve">, </w:t>
            </w:r>
            <w:proofErr w:type="spellStart"/>
            <w:r>
              <w:t>тромбоцитопения</w:t>
            </w:r>
            <w:proofErr w:type="spellEnd"/>
          </w:p>
        </w:tc>
      </w:tr>
      <w:tr w:rsidR="00BF2B40" w14:paraId="6F932FFC" w14:textId="77777777" w:rsidTr="00BF2B40">
        <w:tc>
          <w:tcPr>
            <w:tcW w:w="2469" w:type="dxa"/>
          </w:tcPr>
          <w:p w14:paraId="0EEE9BD6" w14:textId="66FF5E2D" w:rsidR="00BF2B40" w:rsidRDefault="00BF2B40" w:rsidP="00BF2B40">
            <w:pPr>
              <w:rPr>
                <w:sz w:val="24"/>
                <w:szCs w:val="24"/>
              </w:rPr>
            </w:pPr>
            <w:r>
              <w:t>Сърдечни нарушения</w:t>
            </w:r>
          </w:p>
        </w:tc>
        <w:tc>
          <w:tcPr>
            <w:tcW w:w="1467" w:type="dxa"/>
          </w:tcPr>
          <w:p w14:paraId="72DD138A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26439B2E" w14:textId="6DCCE094" w:rsidR="00BF2B40" w:rsidRDefault="00BF2B40" w:rsidP="00BF2B40">
            <w:pPr>
              <w:rPr>
                <w:sz w:val="24"/>
                <w:szCs w:val="24"/>
              </w:rPr>
            </w:pPr>
            <w:r>
              <w:t>Тахикардия</w:t>
            </w:r>
          </w:p>
        </w:tc>
        <w:tc>
          <w:tcPr>
            <w:tcW w:w="1767" w:type="dxa"/>
            <w:vAlign w:val="bottom"/>
          </w:tcPr>
          <w:p w14:paraId="0AA50BE8" w14:textId="67D06DBF" w:rsidR="00BF2B40" w:rsidRDefault="00BF2B40" w:rsidP="00BF2B40">
            <w:pPr>
              <w:rPr>
                <w:sz w:val="24"/>
                <w:szCs w:val="24"/>
              </w:rPr>
            </w:pPr>
            <w:r>
              <w:t xml:space="preserve">Ангина </w:t>
            </w:r>
            <w:proofErr w:type="spellStart"/>
            <w:r>
              <w:t>пекторис</w:t>
            </w:r>
            <w:proofErr w:type="spellEnd"/>
            <w:r>
              <w:t xml:space="preserve"> при пациенти със съществуваща коронарна артериална болест (вж. точка 4.4)</w:t>
            </w:r>
          </w:p>
        </w:tc>
        <w:tc>
          <w:tcPr>
            <w:tcW w:w="2054" w:type="dxa"/>
          </w:tcPr>
          <w:p w14:paraId="78C66EBD" w14:textId="420F2C73" w:rsidR="00BF2B40" w:rsidRDefault="00BF2B40" w:rsidP="00BF2B40">
            <w:pPr>
              <w:rPr>
                <w:sz w:val="24"/>
                <w:szCs w:val="24"/>
              </w:rPr>
            </w:pPr>
            <w:proofErr w:type="spellStart"/>
            <w:r>
              <w:t>Предсърдно</w:t>
            </w:r>
            <w:proofErr w:type="spellEnd"/>
            <w:r>
              <w:t xml:space="preserve"> мъждене</w:t>
            </w:r>
          </w:p>
        </w:tc>
      </w:tr>
      <w:tr w:rsidR="00BF2B40" w14:paraId="66A3ED06" w14:textId="77777777" w:rsidTr="00BF2B40">
        <w:tc>
          <w:tcPr>
            <w:tcW w:w="2469" w:type="dxa"/>
          </w:tcPr>
          <w:p w14:paraId="7CA4C2F7" w14:textId="5B291F7A" w:rsidR="00BF2B40" w:rsidRDefault="00BF2B40" w:rsidP="00BF2B40">
            <w:pPr>
              <w:rPr>
                <w:sz w:val="24"/>
                <w:szCs w:val="24"/>
              </w:rPr>
            </w:pPr>
            <w:r>
              <w:t>Съдови нарушения</w:t>
            </w:r>
          </w:p>
        </w:tc>
        <w:tc>
          <w:tcPr>
            <w:tcW w:w="1467" w:type="dxa"/>
          </w:tcPr>
          <w:p w14:paraId="57D877A3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Align w:val="bottom"/>
          </w:tcPr>
          <w:p w14:paraId="26729670" w14:textId="53A97425" w:rsidR="00BF2B40" w:rsidRDefault="00BF2B40" w:rsidP="00BF2B40">
            <w:pPr>
              <w:rPr>
                <w:sz w:val="24"/>
                <w:szCs w:val="24"/>
              </w:rPr>
            </w:pPr>
            <w:r>
              <w:t>Хипотония (ортостатична), зачервяване</w:t>
            </w:r>
          </w:p>
        </w:tc>
        <w:tc>
          <w:tcPr>
            <w:tcW w:w="1767" w:type="dxa"/>
          </w:tcPr>
          <w:p w14:paraId="15020196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09038221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</w:tr>
      <w:tr w:rsidR="00BF2B40" w14:paraId="382CB096" w14:textId="77777777" w:rsidTr="00BF2B40">
        <w:tc>
          <w:tcPr>
            <w:tcW w:w="2469" w:type="dxa"/>
            <w:vAlign w:val="bottom"/>
          </w:tcPr>
          <w:p w14:paraId="39C8F27F" w14:textId="26D98DB4" w:rsidR="00BF2B40" w:rsidRDefault="00BF2B40" w:rsidP="00BF2B40">
            <w:pPr>
              <w:rPr>
                <w:sz w:val="24"/>
                <w:szCs w:val="24"/>
              </w:rPr>
            </w:pPr>
            <w:r>
              <w:t>Нарушения на нервната система</w:t>
            </w:r>
          </w:p>
        </w:tc>
        <w:tc>
          <w:tcPr>
            <w:tcW w:w="1467" w:type="dxa"/>
            <w:vAlign w:val="bottom"/>
          </w:tcPr>
          <w:p w14:paraId="6D0BBA84" w14:textId="031DF934" w:rsidR="00BF2B40" w:rsidRDefault="00BF2B40" w:rsidP="00BF2B40">
            <w:pPr>
              <w:rPr>
                <w:sz w:val="24"/>
                <w:szCs w:val="24"/>
              </w:rPr>
            </w:pPr>
            <w:r>
              <w:t>Замаяност, главоболие</w:t>
            </w:r>
          </w:p>
        </w:tc>
        <w:tc>
          <w:tcPr>
            <w:tcW w:w="1819" w:type="dxa"/>
          </w:tcPr>
          <w:p w14:paraId="75FF459F" w14:textId="2FEDE5F5" w:rsidR="00BF2B40" w:rsidRDefault="00BF2B40" w:rsidP="00BF2B40">
            <w:pPr>
              <w:rPr>
                <w:sz w:val="24"/>
                <w:szCs w:val="24"/>
              </w:rPr>
            </w:pPr>
            <w:proofErr w:type="spellStart"/>
            <w:r>
              <w:t>Синкоп</w:t>
            </w:r>
            <w:proofErr w:type="spellEnd"/>
            <w:r>
              <w:t xml:space="preserve">, </w:t>
            </w:r>
            <w:proofErr w:type="spellStart"/>
            <w:r>
              <w:t>вертиго</w:t>
            </w:r>
            <w:proofErr w:type="spellEnd"/>
          </w:p>
        </w:tc>
        <w:tc>
          <w:tcPr>
            <w:tcW w:w="1767" w:type="dxa"/>
          </w:tcPr>
          <w:p w14:paraId="5D1EE5B6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055F6830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</w:tr>
      <w:tr w:rsidR="00BF2B40" w14:paraId="5138D2AA" w14:textId="77777777" w:rsidTr="00BF2B40">
        <w:tc>
          <w:tcPr>
            <w:tcW w:w="2469" w:type="dxa"/>
          </w:tcPr>
          <w:p w14:paraId="257F3858" w14:textId="231DAF8D" w:rsidR="00BF2B40" w:rsidRDefault="00BF2B40" w:rsidP="00BF2B40">
            <w:pPr>
              <w:rPr>
                <w:sz w:val="24"/>
                <w:szCs w:val="24"/>
              </w:rPr>
            </w:pPr>
            <w:r>
              <w:t>Нарушения на очите</w:t>
            </w:r>
          </w:p>
        </w:tc>
        <w:tc>
          <w:tcPr>
            <w:tcW w:w="1467" w:type="dxa"/>
          </w:tcPr>
          <w:p w14:paraId="1CA1573F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749CC61A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3D68D8D1" w14:textId="44E48BF7" w:rsidR="00BF2B40" w:rsidRDefault="00BF2B40" w:rsidP="00BF2B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9"/>
                <w:szCs w:val="9"/>
              </w:rPr>
              <w:t>■</w:t>
            </w:r>
          </w:p>
        </w:tc>
        <w:tc>
          <w:tcPr>
            <w:tcW w:w="2054" w:type="dxa"/>
            <w:vAlign w:val="bottom"/>
          </w:tcPr>
          <w:p w14:paraId="7A52B00D" w14:textId="0EDA511C" w:rsidR="00BF2B40" w:rsidRDefault="00BF2B40" w:rsidP="00BF2B40">
            <w:pPr>
              <w:rPr>
                <w:sz w:val="24"/>
                <w:szCs w:val="24"/>
              </w:rPr>
            </w:pPr>
            <w:proofErr w:type="spellStart"/>
            <w:r>
              <w:t>Интраоперативен</w:t>
            </w:r>
            <w:proofErr w:type="spellEnd"/>
            <w:r>
              <w:t xml:space="preserve"> флопи ирис </w:t>
            </w:r>
            <w:r>
              <w:lastRenderedPageBreak/>
              <w:t>синдром</w:t>
            </w:r>
          </w:p>
        </w:tc>
      </w:tr>
      <w:tr w:rsidR="00BF2B40" w14:paraId="501865AF" w14:textId="77777777" w:rsidTr="00BF2B40">
        <w:tc>
          <w:tcPr>
            <w:tcW w:w="2469" w:type="dxa"/>
            <w:vAlign w:val="bottom"/>
          </w:tcPr>
          <w:p w14:paraId="0BF6ABFD" w14:textId="6866527F" w:rsidR="00BF2B40" w:rsidRDefault="00BF2B40" w:rsidP="00BF2B40">
            <w:pPr>
              <w:rPr>
                <w:sz w:val="24"/>
                <w:szCs w:val="24"/>
              </w:rPr>
            </w:pPr>
            <w:r>
              <w:lastRenderedPageBreak/>
              <w:t xml:space="preserve">Респираторни, гръдни и </w:t>
            </w:r>
            <w:proofErr w:type="spellStart"/>
            <w:r>
              <w:t>медиастинални</w:t>
            </w:r>
            <w:proofErr w:type="spellEnd"/>
            <w:r>
              <w:t xml:space="preserve"> нарушения</w:t>
            </w:r>
          </w:p>
        </w:tc>
        <w:tc>
          <w:tcPr>
            <w:tcW w:w="1467" w:type="dxa"/>
          </w:tcPr>
          <w:p w14:paraId="1130AF6D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13C6AA03" w14:textId="3877BC3C" w:rsidR="00BF2B40" w:rsidRDefault="00BF2B40" w:rsidP="00BF2B40">
            <w:pPr>
              <w:rPr>
                <w:sz w:val="24"/>
                <w:szCs w:val="24"/>
              </w:rPr>
            </w:pPr>
            <w:r>
              <w:t>Ринит</w:t>
            </w:r>
          </w:p>
        </w:tc>
        <w:tc>
          <w:tcPr>
            <w:tcW w:w="1767" w:type="dxa"/>
          </w:tcPr>
          <w:p w14:paraId="4774FE85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6E550E74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</w:tr>
      <w:tr w:rsidR="00BF2B40" w14:paraId="5F53E831" w14:textId="77777777" w:rsidTr="00BF2B40">
        <w:tc>
          <w:tcPr>
            <w:tcW w:w="2469" w:type="dxa"/>
            <w:vAlign w:val="bottom"/>
          </w:tcPr>
          <w:p w14:paraId="5301D9FE" w14:textId="647D2B6D" w:rsidR="00BF2B40" w:rsidRDefault="00BF2B40" w:rsidP="00BF2B40">
            <w:pPr>
              <w:rPr>
                <w:sz w:val="24"/>
                <w:szCs w:val="24"/>
              </w:rPr>
            </w:pPr>
            <w:r>
              <w:t>Стомашно-Чревни нарушения</w:t>
            </w:r>
          </w:p>
        </w:tc>
        <w:tc>
          <w:tcPr>
            <w:tcW w:w="1467" w:type="dxa"/>
            <w:vAlign w:val="bottom"/>
          </w:tcPr>
          <w:p w14:paraId="0914C2F0" w14:textId="30F7E870" w:rsidR="00BF2B40" w:rsidRDefault="00BF2B40" w:rsidP="00BF2B40">
            <w:pPr>
              <w:rPr>
                <w:sz w:val="24"/>
                <w:szCs w:val="24"/>
              </w:rPr>
            </w:pPr>
            <w:r>
              <w:t>Гадене, коремна болка</w:t>
            </w:r>
          </w:p>
        </w:tc>
        <w:tc>
          <w:tcPr>
            <w:tcW w:w="1819" w:type="dxa"/>
          </w:tcPr>
          <w:p w14:paraId="7C87269C" w14:textId="319CE37C" w:rsidR="00BF2B40" w:rsidRDefault="00BF2B40" w:rsidP="00BF2B40">
            <w:pPr>
              <w:rPr>
                <w:sz w:val="24"/>
                <w:szCs w:val="24"/>
              </w:rPr>
            </w:pPr>
            <w:r>
              <w:t>Диария</w:t>
            </w:r>
          </w:p>
        </w:tc>
        <w:tc>
          <w:tcPr>
            <w:tcW w:w="1767" w:type="dxa"/>
          </w:tcPr>
          <w:p w14:paraId="67E11C11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41FE9982" w14:textId="6ACFDADF" w:rsidR="00BF2B40" w:rsidRDefault="00BF2B40" w:rsidP="00BF2B40">
            <w:pPr>
              <w:rPr>
                <w:sz w:val="24"/>
                <w:szCs w:val="24"/>
              </w:rPr>
            </w:pPr>
            <w:r>
              <w:t>Повръщане</w:t>
            </w:r>
          </w:p>
        </w:tc>
      </w:tr>
      <w:tr w:rsidR="00BF2B40" w14:paraId="4B00F01E" w14:textId="77777777" w:rsidTr="00BF2B40">
        <w:tc>
          <w:tcPr>
            <w:tcW w:w="2469" w:type="dxa"/>
            <w:vAlign w:val="bottom"/>
          </w:tcPr>
          <w:p w14:paraId="30FF8315" w14:textId="430C7A26" w:rsidR="00BF2B40" w:rsidRDefault="00BF2B40" w:rsidP="00BF2B40">
            <w:pPr>
              <w:rPr>
                <w:sz w:val="24"/>
                <w:szCs w:val="24"/>
              </w:rPr>
            </w:pPr>
            <w:r>
              <w:t>Нарушения на кожата и подкожната тъкан</w:t>
            </w:r>
          </w:p>
        </w:tc>
        <w:tc>
          <w:tcPr>
            <w:tcW w:w="1467" w:type="dxa"/>
          </w:tcPr>
          <w:p w14:paraId="555489F4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273D40DD" w14:textId="50B6D540" w:rsidR="00BF2B40" w:rsidRDefault="00BF2B40" w:rsidP="00BF2B40">
            <w:pPr>
              <w:rPr>
                <w:sz w:val="24"/>
                <w:szCs w:val="24"/>
              </w:rPr>
            </w:pPr>
            <w:r>
              <w:t xml:space="preserve">Обрив, </w:t>
            </w:r>
            <w:proofErr w:type="spellStart"/>
            <w:r>
              <w:t>пруритус</w:t>
            </w:r>
            <w:proofErr w:type="spellEnd"/>
          </w:p>
        </w:tc>
        <w:tc>
          <w:tcPr>
            <w:tcW w:w="1767" w:type="dxa"/>
          </w:tcPr>
          <w:p w14:paraId="73EE3559" w14:textId="111FE31A" w:rsidR="00BF2B40" w:rsidRDefault="00BF2B40" w:rsidP="00BF2B40">
            <w:pPr>
              <w:rPr>
                <w:sz w:val="24"/>
                <w:szCs w:val="24"/>
              </w:rPr>
            </w:pPr>
            <w:r>
              <w:t>Уртикария, ангиоедем</w:t>
            </w:r>
          </w:p>
        </w:tc>
        <w:tc>
          <w:tcPr>
            <w:tcW w:w="2054" w:type="dxa"/>
          </w:tcPr>
          <w:p w14:paraId="14819A16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</w:tr>
      <w:tr w:rsidR="00BF2B40" w14:paraId="3250AA34" w14:textId="77777777" w:rsidTr="00BF2B40">
        <w:tc>
          <w:tcPr>
            <w:tcW w:w="2469" w:type="dxa"/>
            <w:vAlign w:val="bottom"/>
          </w:tcPr>
          <w:p w14:paraId="7E089C97" w14:textId="0F5810AC" w:rsidR="00BF2B40" w:rsidRDefault="00BF2B40" w:rsidP="00BF2B40">
            <w:pPr>
              <w:rPr>
                <w:sz w:val="24"/>
                <w:szCs w:val="24"/>
              </w:rPr>
            </w:pPr>
            <w:r>
              <w:t>Общи нарушения и ефекти на мястото на приложение</w:t>
            </w:r>
          </w:p>
        </w:tc>
        <w:tc>
          <w:tcPr>
            <w:tcW w:w="1467" w:type="dxa"/>
          </w:tcPr>
          <w:p w14:paraId="2B6C4A10" w14:textId="4084611D" w:rsidR="00BF2B40" w:rsidRDefault="00BF2B40" w:rsidP="00BF2B40">
            <w:pPr>
              <w:rPr>
                <w:sz w:val="24"/>
                <w:szCs w:val="24"/>
              </w:rPr>
            </w:pPr>
            <w:proofErr w:type="spellStart"/>
            <w:r>
              <w:t>Астения</w:t>
            </w:r>
            <w:proofErr w:type="spellEnd"/>
          </w:p>
        </w:tc>
        <w:tc>
          <w:tcPr>
            <w:tcW w:w="1819" w:type="dxa"/>
          </w:tcPr>
          <w:p w14:paraId="74620F5E" w14:textId="318E6C14" w:rsidR="00BF2B40" w:rsidRDefault="00BF2B40" w:rsidP="00BF2B40">
            <w:pPr>
              <w:rPr>
                <w:sz w:val="24"/>
                <w:szCs w:val="24"/>
              </w:rPr>
            </w:pPr>
            <w:r>
              <w:t>Оток, болка в гърдите</w:t>
            </w:r>
          </w:p>
        </w:tc>
        <w:tc>
          <w:tcPr>
            <w:tcW w:w="1767" w:type="dxa"/>
          </w:tcPr>
          <w:p w14:paraId="70F474E5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6D3556D2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</w:tr>
      <w:tr w:rsidR="00BF2B40" w14:paraId="508C6420" w14:textId="77777777" w:rsidTr="00BF2B40">
        <w:tc>
          <w:tcPr>
            <w:tcW w:w="2469" w:type="dxa"/>
          </w:tcPr>
          <w:p w14:paraId="5B9E66BA" w14:textId="3FD50D3D" w:rsidR="00BF2B40" w:rsidRDefault="00BF2B40" w:rsidP="00BF2B40">
            <w:pPr>
              <w:rPr>
                <w:sz w:val="24"/>
                <w:szCs w:val="24"/>
              </w:rPr>
            </w:pPr>
            <w:proofErr w:type="spellStart"/>
            <w:r>
              <w:t>Хепатобилиарни</w:t>
            </w:r>
            <w:proofErr w:type="spellEnd"/>
            <w:r>
              <w:t xml:space="preserve"> нарушения</w:t>
            </w:r>
          </w:p>
        </w:tc>
        <w:tc>
          <w:tcPr>
            <w:tcW w:w="1467" w:type="dxa"/>
          </w:tcPr>
          <w:p w14:paraId="66D7E59A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039044B4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0A85540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6B69AC0F" w14:textId="77777777" w:rsidR="00BF2B40" w:rsidRDefault="00BF2B40" w:rsidP="00BF2B40">
            <w:proofErr w:type="spellStart"/>
            <w:r>
              <w:t>Хепатоцелуларни</w:t>
            </w:r>
            <w:proofErr w:type="spellEnd"/>
            <w:r>
              <w:t xml:space="preserve"> нарушения,</w:t>
            </w:r>
          </w:p>
          <w:p w14:paraId="4FFA9F8E" w14:textId="77777777" w:rsidR="00BF2B40" w:rsidRDefault="00BF2B40" w:rsidP="00BF2B40">
            <w:proofErr w:type="spellStart"/>
            <w:r>
              <w:t>холестатична</w:t>
            </w:r>
            <w:proofErr w:type="spellEnd"/>
          </w:p>
          <w:p w14:paraId="64DB6A5D" w14:textId="5CC7D7D6" w:rsidR="00BF2B40" w:rsidRDefault="00BF2B40" w:rsidP="00BF2B40">
            <w:pPr>
              <w:rPr>
                <w:sz w:val="24"/>
                <w:szCs w:val="24"/>
              </w:rPr>
            </w:pPr>
            <w:r>
              <w:t>чернодробна болест</w:t>
            </w:r>
          </w:p>
        </w:tc>
      </w:tr>
      <w:tr w:rsidR="00BF2B40" w14:paraId="0899DD62" w14:textId="77777777" w:rsidTr="00BF2B40">
        <w:tc>
          <w:tcPr>
            <w:tcW w:w="2469" w:type="dxa"/>
            <w:vAlign w:val="bottom"/>
          </w:tcPr>
          <w:p w14:paraId="34EA0082" w14:textId="79B010FE" w:rsidR="00BF2B40" w:rsidRDefault="00BF2B40" w:rsidP="00BF2B40">
            <w:pPr>
              <w:rPr>
                <w:sz w:val="24"/>
                <w:szCs w:val="24"/>
              </w:rPr>
            </w:pPr>
            <w:r>
              <w:t>Нарушения на възпроизводителната система и гърдата</w:t>
            </w:r>
          </w:p>
        </w:tc>
        <w:tc>
          <w:tcPr>
            <w:tcW w:w="1467" w:type="dxa"/>
          </w:tcPr>
          <w:p w14:paraId="10224FC0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0F5A2808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10BE85FD" w14:textId="77777777" w:rsidR="00BF2B40" w:rsidRDefault="00BF2B40" w:rsidP="00BF2B40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vAlign w:val="bottom"/>
          </w:tcPr>
          <w:p w14:paraId="7826EE88" w14:textId="7288E1D2" w:rsidR="00BF2B40" w:rsidRDefault="00BF2B40" w:rsidP="00BF2B40">
            <w:pPr>
              <w:rPr>
                <w:sz w:val="24"/>
                <w:szCs w:val="24"/>
              </w:rPr>
            </w:pPr>
            <w:proofErr w:type="spellStart"/>
            <w:r>
              <w:t>приапизъм</w:t>
            </w:r>
            <w:proofErr w:type="spellEnd"/>
          </w:p>
        </w:tc>
      </w:tr>
    </w:tbl>
    <w:p w14:paraId="6AAFA2AD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При всяко групиране в зависимост от честотата, нежеланите реакции са представени в низходящ ред по отношение на тяхната сериозност.</w:t>
      </w:r>
    </w:p>
    <w:p w14:paraId="72B29870" w14:textId="77777777" w:rsidR="00BF2B40" w:rsidRDefault="00BF2B40" w:rsidP="00BF2B40">
      <w:pPr>
        <w:rPr>
          <w:b/>
          <w:bCs/>
          <w:u w:val="single"/>
          <w:lang w:eastAsia="bg-BG"/>
        </w:rPr>
      </w:pPr>
    </w:p>
    <w:p w14:paraId="6F00B7E9" w14:textId="138F1202" w:rsidR="00BF2B40" w:rsidRPr="00BF2B40" w:rsidRDefault="00BF2B40" w:rsidP="00BF2B40">
      <w:pPr>
        <w:rPr>
          <w:sz w:val="24"/>
          <w:szCs w:val="24"/>
        </w:rPr>
      </w:pPr>
      <w:r w:rsidRPr="00BF2B40">
        <w:rPr>
          <w:b/>
          <w:bCs/>
          <w:u w:val="single"/>
          <w:lang w:eastAsia="bg-BG"/>
        </w:rPr>
        <w:t>Съобщаване на подозирани нежелани реакции</w:t>
      </w:r>
    </w:p>
    <w:p w14:paraId="099C6986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5088E12B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Изпълнителна агенция по лекарствата</w:t>
      </w:r>
    </w:p>
    <w:p w14:paraId="2E32FDE6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ул. „Дамян Груев” № 8</w:t>
      </w:r>
    </w:p>
    <w:p w14:paraId="75431AC5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1303 София</w:t>
      </w:r>
    </w:p>
    <w:p w14:paraId="2A66FCF1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>Тел.: +35 928903417</w:t>
      </w:r>
    </w:p>
    <w:p w14:paraId="4C026950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уебсайт: </w:t>
      </w:r>
      <w:hyperlink r:id="rId5" w:history="1">
        <w:r w:rsidRPr="00BF2B40">
          <w:rPr>
            <w:u w:val="single"/>
            <w:lang w:val="en-US"/>
          </w:rPr>
          <w:t>www.bda.bg</w:t>
        </w:r>
      </w:hyperlink>
    </w:p>
    <w:p w14:paraId="367E8F64" w14:textId="77777777" w:rsidR="00BF2B40" w:rsidRPr="00BF2B40" w:rsidRDefault="00BF2B40" w:rsidP="00BF2B40">
      <w:pPr>
        <w:rPr>
          <w:sz w:val="24"/>
          <w:szCs w:val="24"/>
        </w:rPr>
      </w:pPr>
    </w:p>
    <w:p w14:paraId="51CDFF9E" w14:textId="77777777" w:rsidR="00BF2B40" w:rsidRPr="00BF2B40" w:rsidRDefault="00BF2B40" w:rsidP="00BF2B40"/>
    <w:p w14:paraId="611C622D" w14:textId="488EE5FE" w:rsidR="002C50EE" w:rsidRDefault="002C50EE" w:rsidP="002C50EE">
      <w:pPr>
        <w:pStyle w:val="Heading2"/>
      </w:pPr>
      <w:r>
        <w:t>4.9. Предозиране</w:t>
      </w:r>
    </w:p>
    <w:p w14:paraId="145EC978" w14:textId="77777777" w:rsidR="00BF2B40" w:rsidRDefault="00BF2B40" w:rsidP="00BF2B40">
      <w:pPr>
        <w:rPr>
          <w:lang w:eastAsia="bg-BG"/>
        </w:rPr>
      </w:pPr>
    </w:p>
    <w:p w14:paraId="649642A7" w14:textId="3EEC900B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При предозиране пациентът трябва да бъде хоспитализиран, поставен в легнало положение и трябва да се започне стандартно лечение на </w:t>
      </w:r>
      <w:proofErr w:type="spellStart"/>
      <w:r w:rsidRPr="00BF2B40">
        <w:rPr>
          <w:lang w:eastAsia="bg-BG"/>
        </w:rPr>
        <w:t>хипотензия</w:t>
      </w:r>
      <w:proofErr w:type="spellEnd"/>
      <w:r w:rsidRPr="00BF2B40">
        <w:rPr>
          <w:lang w:eastAsia="bg-BG"/>
        </w:rPr>
        <w:t>.</w:t>
      </w:r>
    </w:p>
    <w:p w14:paraId="7387EFC9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В случай на значителна </w:t>
      </w:r>
      <w:proofErr w:type="spellStart"/>
      <w:r w:rsidRPr="00BF2B40">
        <w:rPr>
          <w:lang w:eastAsia="bg-BG"/>
        </w:rPr>
        <w:t>хипотензия</w:t>
      </w:r>
      <w:proofErr w:type="spellEnd"/>
      <w:r w:rsidRPr="00BF2B40">
        <w:rPr>
          <w:lang w:eastAsia="bg-BG"/>
        </w:rPr>
        <w:t xml:space="preserve">, подходящо лечение може да бъде </w:t>
      </w:r>
      <w:proofErr w:type="spellStart"/>
      <w:r w:rsidRPr="00BF2B40">
        <w:rPr>
          <w:lang w:eastAsia="bg-BG"/>
        </w:rPr>
        <w:t>вазоконстриктор</w:t>
      </w:r>
      <w:proofErr w:type="spellEnd"/>
      <w:r w:rsidRPr="00BF2B40">
        <w:rPr>
          <w:lang w:eastAsia="bg-BG"/>
        </w:rPr>
        <w:t>, който действа директно върху мускулните влакна на съдовата стена.</w:t>
      </w:r>
    </w:p>
    <w:p w14:paraId="2D1A0AEE" w14:textId="4106DA2C" w:rsidR="00BF2B40" w:rsidRPr="00BF2B40" w:rsidRDefault="00BF2B40" w:rsidP="00BF2B40"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е силно свързан с протеините, следователно диализа не може да бъде от полза.</w:t>
      </w:r>
    </w:p>
    <w:p w14:paraId="18EF4AFE" w14:textId="77777777" w:rsidR="002C50EE" w:rsidRDefault="002C50EE" w:rsidP="002C50EE">
      <w:pPr>
        <w:pStyle w:val="Heading1"/>
      </w:pPr>
      <w:r>
        <w:lastRenderedPageBreak/>
        <w:t>5. ФАРМАКОЛОГИЧНИ СВОЙСТВА</w:t>
      </w:r>
    </w:p>
    <w:p w14:paraId="2F1CA24E" w14:textId="1363C169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A099387" w14:textId="77777777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t>Фармакотерапевтична</w:t>
      </w:r>
      <w:proofErr w:type="spellEnd"/>
      <w:r w:rsidRPr="00BF2B40">
        <w:rPr>
          <w:lang w:eastAsia="bg-BG"/>
        </w:rPr>
        <w:t xml:space="preserve"> група: алфа-</w:t>
      </w:r>
      <w:proofErr w:type="spellStart"/>
      <w:r w:rsidRPr="00BF2B40">
        <w:rPr>
          <w:lang w:eastAsia="bg-BG"/>
        </w:rPr>
        <w:t>адренорецепторни</w:t>
      </w:r>
      <w:proofErr w:type="spellEnd"/>
      <w:r w:rsidRPr="00BF2B40">
        <w:rPr>
          <w:lang w:eastAsia="bg-BG"/>
        </w:rPr>
        <w:t xml:space="preserve"> антагонисти, АТС код: </w:t>
      </w:r>
      <w:r w:rsidRPr="00BF2B40">
        <w:rPr>
          <w:lang w:val="en-US"/>
        </w:rPr>
        <w:t xml:space="preserve">G04C </w:t>
      </w:r>
      <w:r w:rsidRPr="00BF2B40">
        <w:rPr>
          <w:lang w:eastAsia="bg-BG"/>
        </w:rPr>
        <w:t xml:space="preserve">А01 </w:t>
      </w:r>
      <w:proofErr w:type="spellStart"/>
      <w:r w:rsidRPr="00BF2B40">
        <w:rPr>
          <w:lang w:eastAsia="bg-BG"/>
        </w:rPr>
        <w:t>алфузосин</w:t>
      </w:r>
      <w:proofErr w:type="spellEnd"/>
    </w:p>
    <w:p w14:paraId="18AD795A" w14:textId="77777777" w:rsidR="00BF2B40" w:rsidRDefault="00BF2B40" w:rsidP="00BF2B40">
      <w:pPr>
        <w:rPr>
          <w:lang w:eastAsia="bg-BG"/>
        </w:rPr>
      </w:pPr>
    </w:p>
    <w:p w14:paraId="3C6D7C2F" w14:textId="15592A03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, </w:t>
      </w:r>
      <w:proofErr w:type="spellStart"/>
      <w:r w:rsidRPr="00BF2B40">
        <w:rPr>
          <w:lang w:eastAsia="bg-BG"/>
        </w:rPr>
        <w:t>рацемично</w:t>
      </w:r>
      <w:proofErr w:type="spellEnd"/>
      <w:r w:rsidRPr="00BF2B40">
        <w:rPr>
          <w:lang w:eastAsia="bg-BG"/>
        </w:rPr>
        <w:t xml:space="preserve"> съединение, е перорално активно </w:t>
      </w:r>
      <w:proofErr w:type="spellStart"/>
      <w:r w:rsidRPr="00BF2B40">
        <w:rPr>
          <w:lang w:eastAsia="bg-BG"/>
        </w:rPr>
        <w:t>хиназолиново</w:t>
      </w:r>
      <w:proofErr w:type="spellEnd"/>
      <w:r w:rsidRPr="00BF2B40">
        <w:rPr>
          <w:lang w:eastAsia="bg-BG"/>
        </w:rPr>
        <w:t xml:space="preserve"> производно, което селективно блокира </w:t>
      </w:r>
      <w:proofErr w:type="spellStart"/>
      <w:r w:rsidRPr="00BF2B40">
        <w:rPr>
          <w:lang w:eastAsia="bg-BG"/>
        </w:rPr>
        <w:t>постсинаптичните</w:t>
      </w:r>
      <w:proofErr w:type="spellEnd"/>
      <w:r w:rsidRPr="00BF2B40">
        <w:rPr>
          <w:lang w:eastAsia="bg-BG"/>
        </w:rPr>
        <w:t xml:space="preserve"> алфа-1-рецептори. </w:t>
      </w:r>
      <w:r w:rsidRPr="00BF2B40">
        <w:rPr>
          <w:i/>
          <w:iCs/>
          <w:lang w:val="en-US"/>
        </w:rPr>
        <w:t>In vitro</w:t>
      </w:r>
      <w:r w:rsidRPr="00BF2B40">
        <w:rPr>
          <w:lang w:val="en-US"/>
        </w:rPr>
        <w:t xml:space="preserve"> </w:t>
      </w:r>
      <w:r w:rsidRPr="00BF2B40">
        <w:rPr>
          <w:lang w:eastAsia="bg-BG"/>
        </w:rPr>
        <w:t xml:space="preserve">проучвания са показали, че веществото действа селективно върху алфа-1-рецептори в </w:t>
      </w:r>
      <w:proofErr w:type="spellStart"/>
      <w:r w:rsidRPr="00BF2B40">
        <w:rPr>
          <w:lang w:eastAsia="bg-BG"/>
        </w:rPr>
        <w:t>тригонума</w:t>
      </w:r>
      <w:proofErr w:type="spellEnd"/>
      <w:r w:rsidRPr="00BF2B40">
        <w:rPr>
          <w:lang w:eastAsia="bg-BG"/>
        </w:rPr>
        <w:t xml:space="preserve"> на пикочния мехур, уретрата и простатната жлеза. Клиничните симптоми на доброкачествената хиперплазия на простатата са свързани не само с размера на простатата, но също и със </w:t>
      </w:r>
      <w:proofErr w:type="spellStart"/>
      <w:r w:rsidRPr="00BF2B40">
        <w:rPr>
          <w:lang w:eastAsia="bg-BG"/>
        </w:rPr>
        <w:t>симпатикомиметичните</w:t>
      </w:r>
      <w:proofErr w:type="spellEnd"/>
      <w:r w:rsidRPr="00BF2B40">
        <w:rPr>
          <w:lang w:eastAsia="bg-BG"/>
        </w:rPr>
        <w:t xml:space="preserve"> нервни импулси, които чрез стимулиране на </w:t>
      </w:r>
      <w:proofErr w:type="spellStart"/>
      <w:r w:rsidRPr="00BF2B40">
        <w:rPr>
          <w:lang w:eastAsia="bg-BG"/>
        </w:rPr>
        <w:t>постсинаптичните</w:t>
      </w:r>
      <w:proofErr w:type="spellEnd"/>
      <w:r w:rsidRPr="00BF2B40">
        <w:rPr>
          <w:lang w:eastAsia="bg-BG"/>
        </w:rPr>
        <w:t xml:space="preserve"> алфа-рецептори повишават напрежението в гладките мускули на долния </w:t>
      </w:r>
      <w:proofErr w:type="spellStart"/>
      <w:r w:rsidRPr="00BF2B40">
        <w:rPr>
          <w:lang w:eastAsia="bg-BG"/>
        </w:rPr>
        <w:t>уринарен</w:t>
      </w:r>
      <w:proofErr w:type="spellEnd"/>
      <w:r w:rsidRPr="00BF2B40">
        <w:rPr>
          <w:lang w:eastAsia="bg-BG"/>
        </w:rPr>
        <w:t xml:space="preserve"> тракт. Чрез лечението с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гладките мускули релаксират, в резултат на което потока на урината се подобрява.</w:t>
      </w:r>
    </w:p>
    <w:p w14:paraId="6D6D4E13" w14:textId="77777777" w:rsidR="00BF2B40" w:rsidRDefault="00BF2B40" w:rsidP="00BF2B40">
      <w:pPr>
        <w:rPr>
          <w:lang w:eastAsia="bg-BG"/>
        </w:rPr>
      </w:pPr>
    </w:p>
    <w:p w14:paraId="4F41DE41" w14:textId="2CFC7DA8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Клиничните доказателства за селективния ефект върху </w:t>
      </w:r>
      <w:proofErr w:type="spellStart"/>
      <w:r w:rsidRPr="00BF2B40">
        <w:rPr>
          <w:lang w:eastAsia="bg-BG"/>
        </w:rPr>
        <w:t>уринарния</w:t>
      </w:r>
      <w:proofErr w:type="spellEnd"/>
      <w:r w:rsidRPr="00BF2B40">
        <w:rPr>
          <w:lang w:eastAsia="bg-BG"/>
        </w:rPr>
        <w:t xml:space="preserve"> тракт са показани чрез клиничната ефикасност и добрия профил на безопасност при мъже, лекувани с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, включително пациенти в старческа възраст и пациенти с хипертония.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може да има умерен антихипертензивен ефект.</w:t>
      </w:r>
    </w:p>
    <w:p w14:paraId="4E6C54C2" w14:textId="77777777" w:rsidR="00BF2B40" w:rsidRDefault="00BF2B40" w:rsidP="00BF2B40">
      <w:pPr>
        <w:rPr>
          <w:lang w:eastAsia="bg-BG"/>
        </w:rPr>
      </w:pPr>
    </w:p>
    <w:p w14:paraId="2CF852E2" w14:textId="3D0D9DD2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При мъже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подобрява уринирането като намалява мускулния тонус на уретрата и съпротивлението на изхода на пикочния мехур, като по този начин улеснява изпразването на пикочния мехур.</w:t>
      </w:r>
    </w:p>
    <w:p w14:paraId="2074D49F" w14:textId="77777777" w:rsidR="00BF2B40" w:rsidRDefault="00BF2B40" w:rsidP="00BF2B40">
      <w:pPr>
        <w:rPr>
          <w:lang w:eastAsia="bg-BG"/>
        </w:rPr>
      </w:pPr>
    </w:p>
    <w:p w14:paraId="4D9077D3" w14:textId="6764C8B6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При пациенти, лекувани с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е наблюдавана по-ниска честота на остра задръжка на</w:t>
      </w:r>
      <w:r w:rsidRPr="00BF2B40">
        <w:rPr>
          <w:vertAlign w:val="superscript"/>
          <w:lang w:eastAsia="bg-BG"/>
        </w:rPr>
        <w:t xml:space="preserve"> </w:t>
      </w:r>
      <w:r w:rsidRPr="00BF2B40">
        <w:rPr>
          <w:lang w:eastAsia="bg-BG"/>
        </w:rPr>
        <w:t xml:space="preserve">урина при сравнение с </w:t>
      </w:r>
      <w:proofErr w:type="spellStart"/>
      <w:r w:rsidRPr="00BF2B40">
        <w:rPr>
          <w:lang w:eastAsia="bg-BG"/>
        </w:rPr>
        <w:t>нелекувани</w:t>
      </w:r>
      <w:proofErr w:type="spellEnd"/>
      <w:r w:rsidRPr="00BF2B40">
        <w:rPr>
          <w:lang w:eastAsia="bg-BG"/>
        </w:rPr>
        <w:t xml:space="preserve"> пациенти.</w:t>
      </w:r>
    </w:p>
    <w:p w14:paraId="3A51BDAF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При плацебо-контролирани проучвания сред пациенти с </w:t>
      </w:r>
      <w:proofErr w:type="spellStart"/>
      <w:r w:rsidRPr="00BF2B40">
        <w:rPr>
          <w:lang w:eastAsia="bg-BG"/>
        </w:rPr>
        <w:t>бенигнена</w:t>
      </w:r>
      <w:proofErr w:type="spellEnd"/>
      <w:r w:rsidRPr="00BF2B40">
        <w:rPr>
          <w:lang w:eastAsia="bg-BG"/>
        </w:rPr>
        <w:t xml:space="preserve"> простатна хиперплазия</w:t>
      </w:r>
      <w:r w:rsidRPr="00BF2B40">
        <w:rPr>
          <w:i/>
          <w:iCs/>
          <w:lang w:eastAsia="bg-BG"/>
        </w:rPr>
        <w:t xml:space="preserve">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>:</w:t>
      </w:r>
    </w:p>
    <w:p w14:paraId="74FF9130" w14:textId="1571F193" w:rsidR="00BF2B40" w:rsidRPr="00BF2B40" w:rsidRDefault="00BF2B40" w:rsidP="00BF2B4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F2B40">
        <w:rPr>
          <w:lang w:eastAsia="bg-BG"/>
        </w:rPr>
        <w:t xml:space="preserve">значително увеличава дебита на урината </w:t>
      </w:r>
      <w:r w:rsidRPr="00BF2B40">
        <w:rPr>
          <w:lang w:val="en-US"/>
        </w:rPr>
        <w:t>(</w:t>
      </w:r>
      <w:proofErr w:type="spellStart"/>
      <w:r w:rsidRPr="00BF2B40">
        <w:rPr>
          <w:lang w:val="en-US"/>
        </w:rPr>
        <w:t>Q</w:t>
      </w:r>
      <w:r w:rsidRPr="00BF2B40">
        <w:rPr>
          <w:vertAlign w:val="subscript"/>
          <w:lang w:val="en-US"/>
        </w:rPr>
        <w:t>max</w:t>
      </w:r>
      <w:proofErr w:type="spellEnd"/>
      <w:r w:rsidRPr="00BF2B40">
        <w:rPr>
          <w:lang w:val="en-US"/>
        </w:rPr>
        <w:t xml:space="preserve">) </w:t>
      </w:r>
      <w:r w:rsidRPr="00BF2B40">
        <w:rPr>
          <w:lang w:eastAsia="bg-BG"/>
        </w:rPr>
        <w:t xml:space="preserve">при пациенти с </w:t>
      </w:r>
      <w:proofErr w:type="spellStart"/>
      <w:r w:rsidRPr="00BF2B40">
        <w:rPr>
          <w:lang w:val="en-US"/>
        </w:rPr>
        <w:t>Q</w:t>
      </w:r>
      <w:r w:rsidRPr="00BF2B40">
        <w:rPr>
          <w:vertAlign w:val="subscript"/>
          <w:lang w:val="en-US"/>
        </w:rPr>
        <w:t>max</w:t>
      </w:r>
      <w:proofErr w:type="spellEnd"/>
      <w:r w:rsidRPr="00BF2B40">
        <w:rPr>
          <w:lang w:val="en-US"/>
        </w:rPr>
        <w:t xml:space="preserve">&lt;15ml/sec, </w:t>
      </w:r>
      <w:r w:rsidRPr="00BF2B40">
        <w:rPr>
          <w:lang w:eastAsia="bg-BG"/>
        </w:rPr>
        <w:t>средно с</w:t>
      </w:r>
      <w:r>
        <w:rPr>
          <w:lang w:val="en-US" w:eastAsia="bg-BG"/>
        </w:rPr>
        <w:t xml:space="preserve"> </w:t>
      </w:r>
      <w:r w:rsidRPr="00BF2B40">
        <w:rPr>
          <w:lang w:eastAsia="bg-BG"/>
        </w:rPr>
        <w:t>30%. Това подобрение се наблюдава от първата доза;</w:t>
      </w:r>
    </w:p>
    <w:p w14:paraId="1D2ECA7D" w14:textId="263C436C" w:rsidR="00BF2B40" w:rsidRPr="00BF2B40" w:rsidRDefault="00BF2B40" w:rsidP="00BF2B4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F2B40">
        <w:rPr>
          <w:lang w:eastAsia="bg-BG"/>
        </w:rPr>
        <w:t xml:space="preserve">значително понижава налягането на </w:t>
      </w:r>
      <w:proofErr w:type="spellStart"/>
      <w:r w:rsidRPr="00BF2B40">
        <w:rPr>
          <w:lang w:eastAsia="bg-BG"/>
        </w:rPr>
        <w:t>детрузора</w:t>
      </w:r>
      <w:proofErr w:type="spellEnd"/>
      <w:r w:rsidRPr="00BF2B40">
        <w:rPr>
          <w:lang w:eastAsia="bg-BG"/>
        </w:rPr>
        <w:t xml:space="preserve"> и увеличава обема, който предизвиква силна нужда за уриниране;</w:t>
      </w:r>
    </w:p>
    <w:p w14:paraId="271AE5A5" w14:textId="1A175B9E" w:rsidR="00BF2B40" w:rsidRPr="00BF2B40" w:rsidRDefault="00BF2B40" w:rsidP="00BF2B4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F2B40">
        <w:rPr>
          <w:lang w:eastAsia="bg-BG"/>
        </w:rPr>
        <w:t>значително намалява обема на остатъчна урина.</w:t>
      </w:r>
    </w:p>
    <w:p w14:paraId="304E5A4A" w14:textId="77777777" w:rsidR="00BF2B40" w:rsidRPr="00BF2B40" w:rsidRDefault="00BF2B40" w:rsidP="00BF2B40">
      <w:pPr>
        <w:rPr>
          <w:sz w:val="24"/>
          <w:szCs w:val="24"/>
        </w:rPr>
      </w:pPr>
    </w:p>
    <w:p w14:paraId="4DE8A250" w14:textId="13188FB9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Тези </w:t>
      </w:r>
      <w:proofErr w:type="spellStart"/>
      <w:r w:rsidRPr="00BF2B40">
        <w:rPr>
          <w:lang w:eastAsia="bg-BG"/>
        </w:rPr>
        <w:t>уродинамични</w:t>
      </w:r>
      <w:proofErr w:type="spellEnd"/>
      <w:r w:rsidRPr="00BF2B40">
        <w:rPr>
          <w:lang w:eastAsia="bg-BG"/>
        </w:rPr>
        <w:t xml:space="preserve"> ефекти водят до подобрение на симптомите от долния </w:t>
      </w:r>
      <w:proofErr w:type="spellStart"/>
      <w:r w:rsidRPr="00BF2B40">
        <w:rPr>
          <w:lang w:eastAsia="bg-BG"/>
        </w:rPr>
        <w:t>уринарен</w:t>
      </w:r>
      <w:proofErr w:type="spellEnd"/>
      <w:r w:rsidRPr="00BF2B40">
        <w:rPr>
          <w:lang w:eastAsia="bg-BG"/>
        </w:rPr>
        <w:t xml:space="preserve"> тракт </w:t>
      </w:r>
      <w:r w:rsidRPr="00BF2B40">
        <w:rPr>
          <w:lang w:val="en-US"/>
        </w:rPr>
        <w:t xml:space="preserve">(LUTS), </w:t>
      </w:r>
      <w:r w:rsidRPr="00BF2B40">
        <w:rPr>
          <w:lang w:eastAsia="bg-BG"/>
        </w:rPr>
        <w:t>т. е. симптомите свързани със задържане (</w:t>
      </w:r>
      <w:proofErr w:type="spellStart"/>
      <w:r w:rsidRPr="00BF2B40">
        <w:rPr>
          <w:lang w:eastAsia="bg-BG"/>
        </w:rPr>
        <w:t>иритативни</w:t>
      </w:r>
      <w:proofErr w:type="spellEnd"/>
      <w:r w:rsidRPr="00BF2B40">
        <w:rPr>
          <w:lang w:eastAsia="bg-BG"/>
        </w:rPr>
        <w:t>) и отделяне на урина (</w:t>
      </w:r>
      <w:proofErr w:type="spellStart"/>
      <w:r w:rsidRPr="00BF2B40">
        <w:rPr>
          <w:lang w:eastAsia="bg-BG"/>
        </w:rPr>
        <w:t>обструктивни</w:t>
      </w:r>
      <w:proofErr w:type="spellEnd"/>
      <w:r w:rsidRPr="00BF2B40">
        <w:rPr>
          <w:lang w:eastAsia="bg-BG"/>
        </w:rPr>
        <w:t>), което е ясно показано.</w:t>
      </w:r>
    </w:p>
    <w:p w14:paraId="36BD3149" w14:textId="77777777" w:rsidR="00BF2B40" w:rsidRPr="00BF2B40" w:rsidRDefault="00BF2B40" w:rsidP="00BF2B40">
      <w:pPr>
        <w:rPr>
          <w:sz w:val="24"/>
          <w:szCs w:val="24"/>
        </w:rPr>
      </w:pPr>
    </w:p>
    <w:p w14:paraId="70A7B9D1" w14:textId="0298B0A4" w:rsidR="00BF2B40" w:rsidRPr="00BF2B40" w:rsidRDefault="00BF2B40" w:rsidP="00BF2B40">
      <w:pPr>
        <w:rPr>
          <w:sz w:val="24"/>
          <w:szCs w:val="24"/>
        </w:rPr>
      </w:pPr>
      <w:r w:rsidRPr="00BF2B40">
        <w:rPr>
          <w:i/>
          <w:iCs/>
          <w:lang w:eastAsia="bg-BG"/>
        </w:rPr>
        <w:t>Педиатрична популация</w:t>
      </w:r>
    </w:p>
    <w:p w14:paraId="6D907033" w14:textId="77777777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не е показан за употреба при педиатрична популация (вижте точка 4.2).</w:t>
      </w:r>
    </w:p>
    <w:p w14:paraId="592D364F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Ефикасността на </w:t>
      </w:r>
      <w:proofErr w:type="spellStart"/>
      <w:r w:rsidRPr="00BF2B40">
        <w:rPr>
          <w:lang w:eastAsia="bg-BG"/>
        </w:rPr>
        <w:t>алфузосинов</w:t>
      </w:r>
      <w:proofErr w:type="spellEnd"/>
      <w:r w:rsidRPr="00BF2B40">
        <w:rPr>
          <w:lang w:eastAsia="bg-BG"/>
        </w:rPr>
        <w:t xml:space="preserve"> хидрохлорид не е доказана при двете проучвания проведени при 197 пациенти на възраст между 2 и 16 години с повишено налягане на </w:t>
      </w:r>
      <w:proofErr w:type="spellStart"/>
      <w:r w:rsidRPr="00BF2B40">
        <w:rPr>
          <w:lang w:eastAsia="bg-BG"/>
        </w:rPr>
        <w:t>детрузора</w:t>
      </w:r>
      <w:proofErr w:type="spellEnd"/>
      <w:r w:rsidRPr="00BF2B40">
        <w:rPr>
          <w:lang w:eastAsia="bg-BG"/>
        </w:rPr>
        <w:t xml:space="preserve">, при което настъпва изпускане на урина </w:t>
      </w:r>
      <w:r w:rsidRPr="00BF2B40">
        <w:rPr>
          <w:lang w:val="en-US"/>
        </w:rPr>
        <w:t xml:space="preserve">(detrusor leak point pressure) (LPP&gt; 40cm H20), </w:t>
      </w:r>
      <w:r w:rsidRPr="00BF2B40">
        <w:rPr>
          <w:lang w:eastAsia="bg-BG"/>
        </w:rPr>
        <w:t xml:space="preserve">от неврологичен произход. Пациентите бяха лекувани с </w:t>
      </w:r>
      <w:proofErr w:type="spellStart"/>
      <w:r w:rsidRPr="00BF2B40">
        <w:rPr>
          <w:lang w:eastAsia="bg-BG"/>
        </w:rPr>
        <w:t>алфузосинов</w:t>
      </w:r>
      <w:proofErr w:type="spellEnd"/>
      <w:r w:rsidRPr="00BF2B40">
        <w:rPr>
          <w:lang w:eastAsia="bg-BG"/>
        </w:rPr>
        <w:t xml:space="preserve"> хидрохлорид 0,1 </w:t>
      </w:r>
      <w:r w:rsidRPr="00BF2B40">
        <w:rPr>
          <w:lang w:val="en-US"/>
        </w:rPr>
        <w:t>mg/kg</w:t>
      </w:r>
      <w:r w:rsidRPr="00BF2B40">
        <w:rPr>
          <w:lang w:eastAsia="bg-BG"/>
        </w:rPr>
        <w:t xml:space="preserve">/ден или 0,2 </w:t>
      </w:r>
      <w:r w:rsidRPr="00BF2B40">
        <w:rPr>
          <w:lang w:val="en-US"/>
        </w:rPr>
        <w:t>mg/kg</w:t>
      </w:r>
      <w:r w:rsidRPr="00BF2B40">
        <w:rPr>
          <w:lang w:eastAsia="bg-BG"/>
        </w:rPr>
        <w:t>/ден, използвайки адаптирана педиатрична формула.</w:t>
      </w:r>
    </w:p>
    <w:p w14:paraId="4F4D6300" w14:textId="77777777" w:rsidR="00BF2B40" w:rsidRPr="00BF2B40" w:rsidRDefault="00BF2B40" w:rsidP="00BF2B40">
      <w:pPr>
        <w:pStyle w:val="ListParagraph"/>
        <w:numPr>
          <w:ilvl w:val="0"/>
          <w:numId w:val="19"/>
        </w:numPr>
        <w:rPr>
          <w:sz w:val="24"/>
          <w:szCs w:val="24"/>
        </w:rPr>
      </w:pPr>
    </w:p>
    <w:p w14:paraId="12FA5B3C" w14:textId="77777777" w:rsidR="00BF2B40" w:rsidRPr="00BF2B40" w:rsidRDefault="00BF2B40" w:rsidP="00BF2B40"/>
    <w:p w14:paraId="788B4E5E" w14:textId="05822C4C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23DB6B77" w14:textId="77777777" w:rsidR="00BF2B40" w:rsidRDefault="00BF2B40" w:rsidP="00BF2B40">
      <w:pPr>
        <w:rPr>
          <w:lang w:eastAsia="bg-BG"/>
        </w:rPr>
      </w:pPr>
    </w:p>
    <w:p w14:paraId="624F6716" w14:textId="0F936020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има линейна фармакокинетика в терапевтичния </w:t>
      </w:r>
      <w:proofErr w:type="spellStart"/>
      <w:r w:rsidRPr="00BF2B40">
        <w:rPr>
          <w:lang w:eastAsia="bg-BG"/>
        </w:rPr>
        <w:t>дозов</w:t>
      </w:r>
      <w:proofErr w:type="spellEnd"/>
      <w:r w:rsidRPr="00BF2B40">
        <w:rPr>
          <w:lang w:eastAsia="bg-BG"/>
        </w:rPr>
        <w:t xml:space="preserve"> интервал. Кинетичният профил се характеризира с големи колебания в плазмената концентрация при отделните индивиди. Абсорбцията се повишава когато лекарството се приема след хранене.</w:t>
      </w:r>
    </w:p>
    <w:p w14:paraId="7C10AA3E" w14:textId="77777777" w:rsidR="00BF2B40" w:rsidRDefault="00BF2B40" w:rsidP="00BF2B40">
      <w:pPr>
        <w:rPr>
          <w:i/>
          <w:iCs/>
          <w:lang w:eastAsia="bg-BG"/>
        </w:rPr>
      </w:pPr>
    </w:p>
    <w:p w14:paraId="1B3297BA" w14:textId="33B684C8" w:rsidR="00BF2B40" w:rsidRPr="00BF2B40" w:rsidRDefault="00BF2B40" w:rsidP="00BF2B40">
      <w:pPr>
        <w:rPr>
          <w:sz w:val="24"/>
          <w:szCs w:val="24"/>
        </w:rPr>
      </w:pPr>
      <w:r w:rsidRPr="00BF2B40">
        <w:rPr>
          <w:i/>
          <w:iCs/>
          <w:lang w:eastAsia="bg-BG"/>
        </w:rPr>
        <w:t>Абсорбция</w:t>
      </w:r>
    </w:p>
    <w:p w14:paraId="7EF38126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След първата доза (след хранене) средната максимална плазмена концентрация е 7,72 </w:t>
      </w:r>
      <w:r w:rsidRPr="00BF2B40">
        <w:rPr>
          <w:lang w:val="en-US"/>
        </w:rPr>
        <w:t xml:space="preserve">ng/ml </w:t>
      </w:r>
      <w:r w:rsidRPr="00BF2B40">
        <w:rPr>
          <w:lang w:eastAsia="bg-BG"/>
        </w:rPr>
        <w:t xml:space="preserve">и </w:t>
      </w:r>
      <w:r w:rsidRPr="00BF2B40">
        <w:rPr>
          <w:lang w:val="en-US"/>
        </w:rPr>
        <w:t>AUC</w:t>
      </w:r>
      <w:r w:rsidRPr="00BF2B40">
        <w:rPr>
          <w:vertAlign w:val="subscript"/>
          <w:lang w:val="en-US"/>
        </w:rPr>
        <w:t>inf</w:t>
      </w:r>
      <w:r w:rsidRPr="00BF2B40">
        <w:rPr>
          <w:lang w:val="en-US"/>
        </w:rPr>
        <w:t xml:space="preserve"> </w:t>
      </w:r>
      <w:r w:rsidRPr="00BF2B40">
        <w:rPr>
          <w:lang w:eastAsia="bg-BG"/>
        </w:rPr>
        <w:t xml:space="preserve">е 127 </w:t>
      </w:r>
      <w:r w:rsidRPr="00BF2B40">
        <w:rPr>
          <w:lang w:val="en-US"/>
        </w:rPr>
        <w:t xml:space="preserve">ng </w:t>
      </w:r>
      <w:r w:rsidRPr="00BF2B40">
        <w:rPr>
          <w:lang w:eastAsia="bg-BG"/>
        </w:rPr>
        <w:t xml:space="preserve">х </w:t>
      </w:r>
      <w:r w:rsidRPr="00BF2B40">
        <w:rPr>
          <w:lang w:val="en-US"/>
        </w:rPr>
        <w:t xml:space="preserve">h/ml </w:t>
      </w:r>
      <w:r w:rsidRPr="00BF2B40">
        <w:rPr>
          <w:lang w:eastAsia="bg-BG"/>
        </w:rPr>
        <w:t xml:space="preserve">(след хранене) и </w:t>
      </w:r>
      <w:proofErr w:type="spellStart"/>
      <w:r w:rsidRPr="00BF2B40">
        <w:rPr>
          <w:lang w:val="en-US"/>
        </w:rPr>
        <w:t>t</w:t>
      </w:r>
      <w:r w:rsidRPr="00BF2B40">
        <w:rPr>
          <w:vertAlign w:val="subscript"/>
          <w:lang w:val="en-US"/>
        </w:rPr>
        <w:t>max</w:t>
      </w:r>
      <w:proofErr w:type="spellEnd"/>
      <w:r w:rsidRPr="00BF2B40">
        <w:rPr>
          <w:lang w:val="en-US"/>
        </w:rPr>
        <w:t xml:space="preserve"> </w:t>
      </w:r>
      <w:r w:rsidRPr="00BF2B40">
        <w:rPr>
          <w:lang w:eastAsia="bg-BG"/>
        </w:rPr>
        <w:t>е 6,69 часа (след хранене).</w:t>
      </w:r>
    </w:p>
    <w:p w14:paraId="4CACB529" w14:textId="77777777" w:rsidR="00BF2B40" w:rsidRDefault="00BF2B40" w:rsidP="00BF2B40">
      <w:pPr>
        <w:rPr>
          <w:lang w:eastAsia="bg-BG"/>
        </w:rPr>
      </w:pPr>
    </w:p>
    <w:p w14:paraId="5EAE930D" w14:textId="10E21783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В условията на стабилно състояние (след хранене) средната </w:t>
      </w:r>
      <w:r w:rsidRPr="00BF2B40">
        <w:rPr>
          <w:lang w:val="en-US"/>
        </w:rPr>
        <w:t xml:space="preserve">AUC </w:t>
      </w:r>
      <w:r w:rsidRPr="00BF2B40">
        <w:rPr>
          <w:lang w:eastAsia="bg-BG"/>
        </w:rPr>
        <w:t xml:space="preserve">в течение на </w:t>
      </w:r>
      <w:proofErr w:type="spellStart"/>
      <w:r w:rsidRPr="00BF2B40">
        <w:rPr>
          <w:lang w:eastAsia="bg-BG"/>
        </w:rPr>
        <w:t>дозовия</w:t>
      </w:r>
      <w:proofErr w:type="spellEnd"/>
      <w:r w:rsidRPr="00BF2B40">
        <w:rPr>
          <w:lang w:eastAsia="bg-BG"/>
        </w:rPr>
        <w:t xml:space="preserve"> интервал </w:t>
      </w:r>
      <w:r w:rsidRPr="00BF2B40">
        <w:rPr>
          <w:lang w:val="en-US"/>
        </w:rPr>
        <w:t>(AUC</w:t>
      </w:r>
      <w:r w:rsidRPr="00BF2B40">
        <w:rPr>
          <w:vertAlign w:val="subscript"/>
          <w:lang w:eastAsia="bg-BG"/>
        </w:rPr>
        <w:t>т</w:t>
      </w:r>
      <w:r w:rsidRPr="00BF2B40">
        <w:rPr>
          <w:lang w:val="en-US"/>
        </w:rPr>
        <w:t xml:space="preserve">) </w:t>
      </w:r>
      <w:r w:rsidRPr="00BF2B40">
        <w:rPr>
          <w:lang w:eastAsia="bg-BG"/>
        </w:rPr>
        <w:t xml:space="preserve">е 145 </w:t>
      </w:r>
      <w:proofErr w:type="spellStart"/>
      <w:r w:rsidRPr="00BF2B40">
        <w:rPr>
          <w:lang w:val="en-US"/>
        </w:rPr>
        <w:t>ngx</w:t>
      </w:r>
      <w:proofErr w:type="spellEnd"/>
      <w:r w:rsidRPr="00BF2B40">
        <w:rPr>
          <w:lang w:val="en-US"/>
        </w:rPr>
        <w:t xml:space="preserve"> h/ml, </w:t>
      </w:r>
      <w:r w:rsidRPr="00BF2B40">
        <w:rPr>
          <w:lang w:eastAsia="bg-BG"/>
        </w:rPr>
        <w:t xml:space="preserve">средната </w:t>
      </w:r>
      <w:proofErr w:type="spellStart"/>
      <w:r w:rsidRPr="00BF2B40">
        <w:rPr>
          <w:lang w:val="en-US"/>
        </w:rPr>
        <w:t>C</w:t>
      </w:r>
      <w:r w:rsidRPr="00BF2B40">
        <w:rPr>
          <w:vertAlign w:val="subscript"/>
          <w:lang w:val="en-US"/>
        </w:rPr>
        <w:t>max</w:t>
      </w:r>
      <w:proofErr w:type="spellEnd"/>
      <w:r w:rsidRPr="00BF2B40">
        <w:rPr>
          <w:lang w:val="en-US"/>
        </w:rPr>
        <w:t xml:space="preserve"> </w:t>
      </w:r>
      <w:r w:rsidRPr="00BF2B40">
        <w:rPr>
          <w:lang w:eastAsia="bg-BG"/>
        </w:rPr>
        <w:t xml:space="preserve">е 10,6 </w:t>
      </w:r>
      <w:r w:rsidRPr="00BF2B40">
        <w:rPr>
          <w:lang w:val="en-US"/>
        </w:rPr>
        <w:t xml:space="preserve">ng/ml </w:t>
      </w:r>
      <w:r w:rsidRPr="00BF2B40">
        <w:rPr>
          <w:lang w:eastAsia="bg-BG"/>
        </w:rPr>
        <w:t xml:space="preserve">и </w:t>
      </w:r>
      <w:proofErr w:type="spellStart"/>
      <w:r w:rsidRPr="00BF2B40">
        <w:rPr>
          <w:lang w:val="en-US"/>
        </w:rPr>
        <w:t>C</w:t>
      </w:r>
      <w:r w:rsidRPr="00BF2B40">
        <w:rPr>
          <w:vertAlign w:val="subscript"/>
          <w:lang w:val="en-US"/>
        </w:rPr>
        <w:t>min</w:t>
      </w:r>
      <w:proofErr w:type="spellEnd"/>
      <w:r w:rsidRPr="00BF2B40">
        <w:rPr>
          <w:lang w:val="en-US"/>
        </w:rPr>
        <w:t xml:space="preserve"> </w:t>
      </w:r>
      <w:r w:rsidRPr="00BF2B40">
        <w:rPr>
          <w:lang w:eastAsia="bg-BG"/>
        </w:rPr>
        <w:t xml:space="preserve">е 3,23 </w:t>
      </w:r>
      <w:r w:rsidRPr="00BF2B40">
        <w:rPr>
          <w:lang w:val="en-US"/>
        </w:rPr>
        <w:t>ng/ml.</w:t>
      </w:r>
    </w:p>
    <w:p w14:paraId="4F9B38E2" w14:textId="77777777" w:rsidR="00BF2B40" w:rsidRDefault="00BF2B40" w:rsidP="00BF2B40">
      <w:pPr>
        <w:rPr>
          <w:i/>
          <w:iCs/>
          <w:lang w:eastAsia="bg-BG"/>
        </w:rPr>
      </w:pPr>
    </w:p>
    <w:p w14:paraId="6A4C4A7D" w14:textId="26601891" w:rsidR="00BF2B40" w:rsidRPr="00BF2B40" w:rsidRDefault="00BF2B40" w:rsidP="00BF2B40">
      <w:pPr>
        <w:rPr>
          <w:sz w:val="24"/>
          <w:szCs w:val="24"/>
        </w:rPr>
      </w:pPr>
      <w:r w:rsidRPr="00BF2B40">
        <w:rPr>
          <w:i/>
          <w:iCs/>
          <w:lang w:eastAsia="bg-BG"/>
        </w:rPr>
        <w:t>Разпределение</w:t>
      </w:r>
    </w:p>
    <w:p w14:paraId="0BD2856A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Свързването с плазмените протеини е приблизително 90%. Обемът на разпределение на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при здрави доброволци е 2,5 </w:t>
      </w:r>
      <w:r w:rsidRPr="00BF2B40">
        <w:rPr>
          <w:lang w:val="en-US"/>
        </w:rPr>
        <w:t xml:space="preserve">1/kg. </w:t>
      </w:r>
      <w:r w:rsidRPr="00BF2B40">
        <w:rPr>
          <w:lang w:eastAsia="bg-BG"/>
        </w:rPr>
        <w:t>Доказано е, че веществото се разпределя в по- голяма степен в простатата, отколкото в плазмата.</w:t>
      </w:r>
    </w:p>
    <w:p w14:paraId="03CA77CA" w14:textId="77777777" w:rsidR="00BF2B40" w:rsidRDefault="00BF2B40" w:rsidP="00BF2B40">
      <w:pPr>
        <w:rPr>
          <w:i/>
          <w:iCs/>
          <w:lang w:eastAsia="bg-BG"/>
        </w:rPr>
      </w:pPr>
    </w:p>
    <w:p w14:paraId="2654EB7B" w14:textId="18AEC50E" w:rsidR="00BF2B40" w:rsidRPr="00BF2B40" w:rsidRDefault="00BF2B40" w:rsidP="00BF2B40">
      <w:pPr>
        <w:rPr>
          <w:sz w:val="24"/>
          <w:szCs w:val="24"/>
        </w:rPr>
      </w:pPr>
      <w:r w:rsidRPr="00BF2B40">
        <w:rPr>
          <w:i/>
          <w:iCs/>
          <w:lang w:eastAsia="bg-BG"/>
        </w:rPr>
        <w:t>Елиминиране</w:t>
      </w:r>
    </w:p>
    <w:p w14:paraId="22DA9B76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Привидният елиминационен полуживот е приблизително 8 часа.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се </w:t>
      </w:r>
      <w:proofErr w:type="spellStart"/>
      <w:r w:rsidRPr="00BF2B40">
        <w:rPr>
          <w:lang w:eastAsia="bg-BG"/>
        </w:rPr>
        <w:t>метаболизира</w:t>
      </w:r>
      <w:proofErr w:type="spellEnd"/>
      <w:r w:rsidRPr="00BF2B40">
        <w:rPr>
          <w:lang w:eastAsia="bg-BG"/>
        </w:rPr>
        <w:t xml:space="preserve"> в голяма степен в черния дроб (различни пътища), метаболитите се елиминират чрез бъбреците и вероятно също и чрез жлъчката, 75-91% от пероралната доза се елиминира във </w:t>
      </w:r>
      <w:proofErr w:type="spellStart"/>
      <w:r w:rsidRPr="00BF2B40">
        <w:rPr>
          <w:lang w:eastAsia="bg-BG"/>
        </w:rPr>
        <w:t>фецеса</w:t>
      </w:r>
      <w:proofErr w:type="spellEnd"/>
      <w:r w:rsidRPr="00BF2B40">
        <w:rPr>
          <w:lang w:eastAsia="bg-BG"/>
        </w:rPr>
        <w:t>, 35% в непроменен вид и останалите като метаболити, което показва, че протича екскреция чрез жлъчката. Около 10% от дозата се елиминира в непроменена форма чрез урината. Никой от метаболитите не е фармакологично активен.</w:t>
      </w:r>
    </w:p>
    <w:p w14:paraId="198018AC" w14:textId="77777777" w:rsidR="00BF2B40" w:rsidRDefault="00BF2B40" w:rsidP="00BF2B40">
      <w:pPr>
        <w:rPr>
          <w:i/>
          <w:iCs/>
          <w:lang w:eastAsia="bg-BG"/>
        </w:rPr>
      </w:pPr>
    </w:p>
    <w:p w14:paraId="378AC62D" w14:textId="096241B9" w:rsidR="00BF2B40" w:rsidRPr="00BF2B40" w:rsidRDefault="00BF2B40" w:rsidP="00BF2B40">
      <w:pPr>
        <w:rPr>
          <w:sz w:val="24"/>
          <w:szCs w:val="24"/>
        </w:rPr>
      </w:pPr>
      <w:r w:rsidRPr="00BF2B40">
        <w:rPr>
          <w:i/>
          <w:iCs/>
          <w:lang w:eastAsia="bg-BG"/>
        </w:rPr>
        <w:t>Бъбречно или чернодробно увреждане</w:t>
      </w:r>
    </w:p>
    <w:p w14:paraId="61E16AB0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Обемът на разпределение и </w:t>
      </w:r>
      <w:proofErr w:type="spellStart"/>
      <w:r w:rsidRPr="00BF2B40">
        <w:rPr>
          <w:lang w:eastAsia="bg-BG"/>
        </w:rPr>
        <w:t>клирънсът</w:t>
      </w:r>
      <w:proofErr w:type="spellEnd"/>
      <w:r w:rsidRPr="00BF2B40">
        <w:rPr>
          <w:lang w:eastAsia="bg-BG"/>
        </w:rPr>
        <w:t xml:space="preserve"> се повишават с редуциране на бъбречната функция, вероятно поради намалена степен на свързване с протеините. Времето на полуживот, обаче е непроменено. Тази промяна във </w:t>
      </w:r>
      <w:proofErr w:type="spellStart"/>
      <w:r w:rsidRPr="00BF2B40">
        <w:rPr>
          <w:lang w:eastAsia="bg-BG"/>
        </w:rPr>
        <w:t>фармакокинетичния</w:t>
      </w:r>
      <w:proofErr w:type="spellEnd"/>
      <w:r w:rsidRPr="00BF2B40">
        <w:rPr>
          <w:lang w:eastAsia="bg-BG"/>
        </w:rPr>
        <w:t xml:space="preserve"> профил не се счита за клинично значима. Ето защо, не е необходимо адаптиране на дозата при пациенти с лека до умерена бъбречна недостатъчност (вижте точки 4,2 и 4.4).</w:t>
      </w:r>
    </w:p>
    <w:p w14:paraId="2E161469" w14:textId="77777777" w:rsidR="00BF2B40" w:rsidRDefault="00BF2B40" w:rsidP="00BF2B40">
      <w:pPr>
        <w:rPr>
          <w:lang w:eastAsia="bg-BG"/>
        </w:rPr>
      </w:pPr>
    </w:p>
    <w:p w14:paraId="1FC6C093" w14:textId="623F3661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Времето на полуживот е удължено при пациенти с тежка чернодробна недостатъчност Максималната плазмена концентрация се удвоява и </w:t>
      </w:r>
      <w:proofErr w:type="spellStart"/>
      <w:r w:rsidRPr="00BF2B40">
        <w:rPr>
          <w:lang w:eastAsia="bg-BG"/>
        </w:rPr>
        <w:t>бионаличностга</w:t>
      </w:r>
      <w:proofErr w:type="spellEnd"/>
      <w:r w:rsidRPr="00BF2B40">
        <w:rPr>
          <w:lang w:eastAsia="bg-BG"/>
        </w:rPr>
        <w:t xml:space="preserve"> се повишава при сравнение с </w:t>
      </w:r>
      <w:proofErr w:type="spellStart"/>
      <w:r w:rsidRPr="00BF2B40">
        <w:rPr>
          <w:lang w:eastAsia="bg-BG"/>
        </w:rPr>
        <w:t>с</w:t>
      </w:r>
      <w:proofErr w:type="spellEnd"/>
      <w:r w:rsidRPr="00BF2B40">
        <w:rPr>
          <w:lang w:eastAsia="bg-BG"/>
        </w:rPr>
        <w:t xml:space="preserve"> млади здрави доброволци.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 10 </w:t>
      </w:r>
      <w:r w:rsidRPr="00BF2B40">
        <w:rPr>
          <w:lang w:val="en-US"/>
        </w:rPr>
        <w:t xml:space="preserve">mg </w:t>
      </w:r>
      <w:r w:rsidRPr="00BF2B40">
        <w:rPr>
          <w:lang w:eastAsia="bg-BG"/>
        </w:rPr>
        <w:t>таблетки с удължено освобождаване са противопоказани при чернодробна недостатъчност (вижте точка 4.3).</w:t>
      </w:r>
    </w:p>
    <w:p w14:paraId="18C9E15F" w14:textId="77777777" w:rsidR="00BF2B40" w:rsidRDefault="00BF2B40" w:rsidP="00BF2B40">
      <w:pPr>
        <w:rPr>
          <w:i/>
          <w:iCs/>
          <w:lang w:eastAsia="bg-BG"/>
        </w:rPr>
      </w:pPr>
    </w:p>
    <w:p w14:paraId="26D68AB1" w14:textId="13D7B54F" w:rsidR="00BF2B40" w:rsidRDefault="00BF2B40" w:rsidP="00BF2B40">
      <w:pPr>
        <w:rPr>
          <w:i/>
          <w:iCs/>
          <w:lang w:eastAsia="bg-BG"/>
        </w:rPr>
      </w:pPr>
      <w:r w:rsidRPr="00BF2B40">
        <w:rPr>
          <w:i/>
          <w:iCs/>
          <w:lang w:eastAsia="bg-BG"/>
        </w:rPr>
        <w:t>Пациенти в старческа възраст</w:t>
      </w:r>
    </w:p>
    <w:p w14:paraId="3214D5A1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В сравнение със </w:t>
      </w:r>
      <w:proofErr w:type="spellStart"/>
      <w:r w:rsidRPr="00BF2B40">
        <w:rPr>
          <w:lang w:eastAsia="bg-BG"/>
        </w:rPr>
        <w:t>здръви</w:t>
      </w:r>
      <w:proofErr w:type="spellEnd"/>
      <w:r w:rsidRPr="00BF2B40">
        <w:rPr>
          <w:lang w:eastAsia="bg-BG"/>
        </w:rPr>
        <w:t xml:space="preserve"> доброволци на средна възраст, максималната плазмена концентрация (С</w:t>
      </w:r>
      <w:r w:rsidRPr="00BF2B40">
        <w:rPr>
          <w:vertAlign w:val="subscript"/>
          <w:lang w:val="en-US"/>
        </w:rPr>
        <w:t>max</w:t>
      </w:r>
      <w:r w:rsidRPr="00BF2B40">
        <w:rPr>
          <w:lang w:eastAsia="bg-BG"/>
        </w:rPr>
        <w:t xml:space="preserve">) и </w:t>
      </w:r>
      <w:proofErr w:type="spellStart"/>
      <w:r w:rsidRPr="00BF2B40">
        <w:rPr>
          <w:lang w:eastAsia="bg-BG"/>
        </w:rPr>
        <w:t>бионаличностга</w:t>
      </w:r>
      <w:proofErr w:type="spellEnd"/>
      <w:r w:rsidRPr="00BF2B40">
        <w:rPr>
          <w:lang w:eastAsia="bg-BG"/>
        </w:rPr>
        <w:t xml:space="preserve"> </w:t>
      </w:r>
      <w:r w:rsidRPr="00BF2B40">
        <w:rPr>
          <w:lang w:val="en-US"/>
        </w:rPr>
        <w:t xml:space="preserve">(AUC) </w:t>
      </w:r>
      <w:r w:rsidRPr="00BF2B40">
        <w:rPr>
          <w:lang w:eastAsia="bg-BG"/>
        </w:rPr>
        <w:t>не са повишени при пациенти в старческа възраст.</w:t>
      </w:r>
    </w:p>
    <w:p w14:paraId="645455A2" w14:textId="77777777" w:rsidR="00BF2B40" w:rsidRPr="00BF2B40" w:rsidRDefault="00BF2B40" w:rsidP="00BF2B40">
      <w:pPr>
        <w:rPr>
          <w:sz w:val="24"/>
          <w:szCs w:val="24"/>
        </w:rPr>
      </w:pPr>
      <w:r w:rsidRPr="00BF2B40">
        <w:rPr>
          <w:lang w:eastAsia="bg-BG"/>
        </w:rPr>
        <w:t xml:space="preserve">Елиминационният полуживот </w:t>
      </w:r>
      <w:r w:rsidRPr="00BF2B40">
        <w:rPr>
          <w:lang w:val="en-US"/>
        </w:rPr>
        <w:t>(t</w:t>
      </w:r>
      <w:r w:rsidRPr="00BF2B40">
        <w:rPr>
          <w:vertAlign w:val="superscript"/>
          <w:lang w:val="en-US"/>
        </w:rPr>
        <w:t>1/2</w:t>
      </w:r>
      <w:r w:rsidRPr="00BF2B40">
        <w:rPr>
          <w:lang w:val="en-US"/>
        </w:rPr>
        <w:t xml:space="preserve">) </w:t>
      </w:r>
      <w:r w:rsidRPr="00BF2B40">
        <w:rPr>
          <w:lang w:eastAsia="bg-BG"/>
        </w:rPr>
        <w:t>остава непроменен.</w:t>
      </w:r>
    </w:p>
    <w:p w14:paraId="5553493A" w14:textId="77777777" w:rsidR="00BF2B40" w:rsidRPr="00BF2B40" w:rsidRDefault="00BF2B40" w:rsidP="00BF2B40">
      <w:pPr>
        <w:rPr>
          <w:sz w:val="24"/>
          <w:szCs w:val="24"/>
        </w:rPr>
      </w:pPr>
    </w:p>
    <w:p w14:paraId="6DEA0A04" w14:textId="77777777" w:rsidR="00BF2B40" w:rsidRPr="00BF2B40" w:rsidRDefault="00BF2B40" w:rsidP="00BF2B40"/>
    <w:p w14:paraId="4A5576BB" w14:textId="77777777" w:rsidR="00BF2B40" w:rsidRPr="00BF2B40" w:rsidRDefault="00BF2B40" w:rsidP="00BF2B40"/>
    <w:p w14:paraId="134A69A8" w14:textId="12660105" w:rsidR="002C50EE" w:rsidRDefault="002C50EE" w:rsidP="002C50EE">
      <w:pPr>
        <w:pStyle w:val="Heading2"/>
      </w:pPr>
      <w:r>
        <w:t>5.3. Предклинични данни за безопасност</w:t>
      </w:r>
    </w:p>
    <w:p w14:paraId="6E41D622" w14:textId="331E8F3D" w:rsidR="00BF2B40" w:rsidRPr="00BF2B40" w:rsidRDefault="00BF2B40" w:rsidP="00BF2B40">
      <w:pPr>
        <w:rPr>
          <w:sz w:val="24"/>
          <w:szCs w:val="24"/>
        </w:rPr>
      </w:pPr>
      <w:proofErr w:type="spellStart"/>
      <w:r w:rsidRPr="00BF2B40">
        <w:rPr>
          <w:lang w:eastAsia="bg-BG"/>
        </w:rPr>
        <w:t>ПредкЛиничните</w:t>
      </w:r>
      <w:proofErr w:type="spellEnd"/>
      <w:r w:rsidRPr="00BF2B40">
        <w:rPr>
          <w:lang w:eastAsia="bg-BG"/>
        </w:rPr>
        <w:t xml:space="preserve"> данни не показват особен риск за хора на базата на конвенционалните фармакологични проучвания за </w:t>
      </w:r>
      <w:proofErr w:type="spellStart"/>
      <w:r w:rsidRPr="00BF2B40">
        <w:rPr>
          <w:lang w:eastAsia="bg-BG"/>
        </w:rPr>
        <w:t>генотоксичност</w:t>
      </w:r>
      <w:proofErr w:type="spellEnd"/>
      <w:r w:rsidRPr="00BF2B40">
        <w:rPr>
          <w:lang w:eastAsia="bg-BG"/>
        </w:rPr>
        <w:t xml:space="preserve">, карциногенен потенциал или репродуктивна токсичност при мъжете. </w:t>
      </w:r>
      <w:r w:rsidRPr="00BF2B40">
        <w:rPr>
          <w:i/>
          <w:iCs/>
          <w:lang w:val="en-US"/>
        </w:rPr>
        <w:t>In vitro</w:t>
      </w:r>
      <w:r w:rsidRPr="00BF2B40">
        <w:rPr>
          <w:lang w:val="en-US"/>
        </w:rPr>
        <w:t xml:space="preserve"> </w:t>
      </w:r>
      <w:proofErr w:type="spellStart"/>
      <w:r w:rsidRPr="00BF2B40">
        <w:rPr>
          <w:lang w:eastAsia="bg-BG"/>
        </w:rPr>
        <w:t>алфузосин</w:t>
      </w:r>
      <w:proofErr w:type="spellEnd"/>
      <w:r w:rsidRPr="00BF2B40">
        <w:rPr>
          <w:lang w:eastAsia="bg-BG"/>
        </w:rPr>
        <w:t xml:space="preserve">, при клинично релевантна концентрация, удължава продължителността на акционния потенциал и продължителността на </w:t>
      </w:r>
      <w:r w:rsidRPr="00BF2B40">
        <w:rPr>
          <w:lang w:val="en-US"/>
        </w:rPr>
        <w:t xml:space="preserve">QT </w:t>
      </w:r>
      <w:r w:rsidRPr="00BF2B40">
        <w:rPr>
          <w:lang w:eastAsia="bg-BG"/>
        </w:rPr>
        <w:t>интервала.</w:t>
      </w:r>
    </w:p>
    <w:p w14:paraId="28C40F19" w14:textId="3669EFE0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7F7BE7DA" w14:textId="77777777" w:rsidR="00BF2B40" w:rsidRDefault="00BF2B40" w:rsidP="00BF2B40">
      <w:pPr>
        <w:rPr>
          <w:lang w:val="en-US"/>
        </w:rPr>
      </w:pPr>
      <w:r w:rsidRPr="00BF2B40">
        <w:rPr>
          <w:lang w:val="en-US"/>
        </w:rPr>
        <w:t xml:space="preserve">Aurobindo Pharma (Malta) Limited </w:t>
      </w:r>
    </w:p>
    <w:p w14:paraId="71BF7499" w14:textId="58E90BF0" w:rsidR="00BF2B40" w:rsidRDefault="00BF2B40" w:rsidP="00BF2B40">
      <w:pPr>
        <w:rPr>
          <w:lang w:val="en-US"/>
        </w:rPr>
      </w:pPr>
      <w:r w:rsidRPr="00BF2B40">
        <w:rPr>
          <w:lang w:val="en-US"/>
        </w:rPr>
        <w:t xml:space="preserve">Vault 14, Level 2, Valletta Waterfront </w:t>
      </w:r>
    </w:p>
    <w:p w14:paraId="1D0DC648" w14:textId="28FFA090" w:rsidR="00BF2B40" w:rsidRPr="00BF2B40" w:rsidRDefault="00BF2B40" w:rsidP="00BF2B40">
      <w:pPr>
        <w:rPr>
          <w:sz w:val="24"/>
          <w:szCs w:val="24"/>
          <w:lang w:val="en-US"/>
        </w:rPr>
      </w:pPr>
      <w:proofErr w:type="spellStart"/>
      <w:r w:rsidRPr="00BF2B40">
        <w:rPr>
          <w:lang w:val="en-US"/>
        </w:rPr>
        <w:t>FlorianaFRN</w:t>
      </w:r>
      <w:proofErr w:type="spellEnd"/>
      <w:r w:rsidRPr="00BF2B40">
        <w:rPr>
          <w:lang w:val="en-US"/>
        </w:rPr>
        <w:t xml:space="preserve"> 1913</w:t>
      </w:r>
    </w:p>
    <w:p w14:paraId="1924409D" w14:textId="4F7A8517" w:rsidR="00BF2B40" w:rsidRPr="00BF2B40" w:rsidRDefault="00BF2B40" w:rsidP="00BF2B40">
      <w:pPr>
        <w:rPr>
          <w:sz w:val="24"/>
          <w:szCs w:val="24"/>
          <w:lang w:val="en-US"/>
        </w:rPr>
      </w:pPr>
      <w:r w:rsidRPr="00BF2B40">
        <w:rPr>
          <w:lang w:eastAsia="bg-BG"/>
        </w:rPr>
        <w:t>Малта</w:t>
      </w:r>
    </w:p>
    <w:p w14:paraId="70AE6437" w14:textId="6D477CC0" w:rsidR="00BF2B40" w:rsidRPr="00BF2B40" w:rsidRDefault="002C50EE" w:rsidP="00BF2B40">
      <w:pPr>
        <w:pStyle w:val="Heading1"/>
      </w:pPr>
      <w:r>
        <w:t>8. НОМЕР НА РАЗРЕШЕНИЕТО ЗА УПОТРЕБА</w:t>
      </w:r>
    </w:p>
    <w:p w14:paraId="5900CBF3" w14:textId="77777777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595918"/>
    <w:multiLevelType w:val="hybridMultilevel"/>
    <w:tmpl w:val="6B62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43417"/>
    <w:multiLevelType w:val="hybridMultilevel"/>
    <w:tmpl w:val="A8A8BBE0"/>
    <w:lvl w:ilvl="0" w:tplc="358EE9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8"/>
  </w:num>
  <w:num w:numId="12">
    <w:abstractNumId w:val="10"/>
  </w:num>
  <w:num w:numId="13">
    <w:abstractNumId w:val="13"/>
  </w:num>
  <w:num w:numId="14">
    <w:abstractNumId w:val="8"/>
  </w:num>
  <w:num w:numId="15">
    <w:abstractNumId w:val="17"/>
  </w:num>
  <w:num w:numId="16">
    <w:abstractNumId w:val="6"/>
  </w:num>
  <w:num w:numId="17">
    <w:abstractNumId w:val="1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B72D4"/>
    <w:rsid w:val="008C70A2"/>
    <w:rsid w:val="009773E4"/>
    <w:rsid w:val="00A20351"/>
    <w:rsid w:val="00AC63CE"/>
    <w:rsid w:val="00AE2107"/>
    <w:rsid w:val="00B275A8"/>
    <w:rsid w:val="00BF2600"/>
    <w:rsid w:val="00BF2B40"/>
    <w:rsid w:val="00C07B84"/>
    <w:rsid w:val="00C33464"/>
    <w:rsid w:val="00C83063"/>
    <w:rsid w:val="00C87E90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2021-07-21T10:03:00Z</dcterms:created>
  <dcterms:modified xsi:type="dcterms:W3CDTF">2021-07-21T10:03:00Z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