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BF81EC5" w:rsidR="002C50EE" w:rsidRDefault="002C50EE" w:rsidP="002C50EE">
      <w:pPr>
        <w:pStyle w:val="Heading1"/>
        <w:jc w:val="center"/>
      </w:pPr>
      <w:bookmarkStart w:id="0" w:name="_Hlk63124480"/>
      <w:r>
        <w:t>КРАТКА ХАРАКТЕРИСТИКА НА ПРОДУКТА</w:t>
      </w:r>
    </w:p>
    <w:p w14:paraId="18C126C3" w14:textId="77777777" w:rsidR="00CA24BD" w:rsidRPr="00CA24BD" w:rsidRDefault="00CA24BD" w:rsidP="00CA24BD"/>
    <w:p w14:paraId="3320F4BE" w14:textId="44F8CD59" w:rsidR="00C40420" w:rsidRDefault="00DD466D" w:rsidP="004A448E">
      <w:pPr>
        <w:pStyle w:val="Heading1"/>
      </w:pPr>
      <w:r>
        <w:t>1.ИМЕ НА ЛЕКАРСТВЕНИЯ ПРОДУКТ</w:t>
      </w:r>
    </w:p>
    <w:p w14:paraId="17EAA640" w14:textId="1FF8B3B4" w:rsidR="00CA24BD" w:rsidRDefault="00CA24BD" w:rsidP="00CA24BD"/>
    <w:p w14:paraId="5A27D83D" w14:textId="77777777" w:rsidR="00CA24BD" w:rsidRPr="00CA24BD" w:rsidRDefault="00CA24BD" w:rsidP="00CA24BD">
      <w:pPr>
        <w:spacing w:line="240" w:lineRule="auto"/>
        <w:rPr>
          <w:rFonts w:eastAsia="Times New Roman" w:cs="Arial"/>
          <w:lang w:val="en-US" w:eastAsia="bg-BG"/>
        </w:rPr>
      </w:pPr>
      <w:r w:rsidRPr="00CA24BD">
        <w:rPr>
          <w:rFonts w:eastAsia="Times New Roman" w:cs="Arial"/>
          <w:color w:val="000000"/>
          <w:lang w:eastAsia="bg-BG"/>
        </w:rPr>
        <w:t xml:space="preserve">Алонет </w:t>
      </w:r>
      <w:r w:rsidRPr="00CA24BD">
        <w:rPr>
          <w:rFonts w:eastAsia="Times New Roman" w:cs="Arial"/>
          <w:color w:val="000000"/>
          <w:lang w:val="en-US"/>
        </w:rPr>
        <w:t xml:space="preserve">400 mg </w:t>
      </w:r>
      <w:r w:rsidRPr="00CA24BD">
        <w:rPr>
          <w:rFonts w:eastAsia="Times New Roman" w:cs="Arial"/>
          <w:color w:val="000000"/>
          <w:lang w:eastAsia="bg-BG"/>
        </w:rPr>
        <w:t>филмирани таблетки</w:t>
      </w:r>
      <w:r w:rsidRPr="00CA24BD">
        <w:rPr>
          <w:rFonts w:eastAsia="Times New Roman" w:cs="Arial"/>
          <w:color w:val="000000"/>
          <w:lang w:eastAsia="bg-BG"/>
        </w:rPr>
        <w:tab/>
      </w:r>
      <w:r w:rsidRPr="00CA24BD">
        <w:rPr>
          <w:rFonts w:eastAsia="Times New Roman" w:cs="Arial"/>
          <w:color w:val="000000"/>
          <w:vertAlign w:val="subscript"/>
          <w:lang w:eastAsia="bg-BG"/>
        </w:rPr>
        <w:t>(</w:t>
      </w:r>
    </w:p>
    <w:p w14:paraId="2312BAB0" w14:textId="459F76AC" w:rsidR="00CA24BD" w:rsidRPr="00CA24BD" w:rsidRDefault="00CA24BD" w:rsidP="00CA24BD">
      <w:pPr>
        <w:rPr>
          <w:rFonts w:cs="Arial"/>
        </w:rPr>
      </w:pPr>
      <w:proofErr w:type="spellStart"/>
      <w:r w:rsidRPr="00CA24BD">
        <w:rPr>
          <w:rFonts w:eastAsia="Times New Roman" w:cs="Arial"/>
          <w:color w:val="000000"/>
          <w:lang w:val="en-US"/>
        </w:rPr>
        <w:t>Alonet</w:t>
      </w:r>
      <w:proofErr w:type="spellEnd"/>
      <w:r w:rsidRPr="00CA24BD">
        <w:rPr>
          <w:rFonts w:eastAsia="Times New Roman" w:cs="Arial"/>
          <w:color w:val="000000"/>
          <w:lang w:val="en-US"/>
        </w:rPr>
        <w:t xml:space="preserve"> </w:t>
      </w:r>
      <w:r w:rsidRPr="00CA24BD">
        <w:rPr>
          <w:rFonts w:eastAsia="Times New Roman" w:cs="Arial"/>
          <w:color w:val="000000"/>
          <w:lang w:eastAsia="bg-BG"/>
        </w:rPr>
        <w:t xml:space="preserve">400 </w:t>
      </w:r>
      <w:r w:rsidRPr="00CA24BD">
        <w:rPr>
          <w:rFonts w:eastAsia="Times New Roman" w:cs="Arial"/>
          <w:color w:val="000000"/>
          <w:lang w:val="en-US"/>
        </w:rPr>
        <w:t>mg film-coated tablets</w:t>
      </w:r>
    </w:p>
    <w:p w14:paraId="6920A680" w14:textId="2FC522F5" w:rsidR="00C40420" w:rsidRDefault="00DD466D" w:rsidP="004A448E">
      <w:pPr>
        <w:pStyle w:val="Heading1"/>
      </w:pPr>
      <w:r>
        <w:t>2. КАЧЕСТВЕН И КОЛИЧЕСТВЕН СЪСТАВ</w:t>
      </w:r>
    </w:p>
    <w:p w14:paraId="38DAD1E4" w14:textId="3DB2FD35" w:rsidR="00CA24BD" w:rsidRDefault="00CA24BD" w:rsidP="00CA24BD"/>
    <w:p w14:paraId="12794854"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 xml:space="preserve">Всяка филмирана таблетка Алонет 400 </w:t>
      </w:r>
      <w:r w:rsidRPr="00CA24BD">
        <w:rPr>
          <w:rFonts w:eastAsia="Times New Roman" w:cs="Arial"/>
          <w:color w:val="000000"/>
          <w:lang w:val="en-US"/>
        </w:rPr>
        <w:t xml:space="preserve">mg </w:t>
      </w:r>
      <w:r w:rsidRPr="00CA24BD">
        <w:rPr>
          <w:rFonts w:eastAsia="Times New Roman" w:cs="Arial"/>
          <w:color w:val="000000"/>
          <w:lang w:eastAsia="bg-BG"/>
        </w:rPr>
        <w:t xml:space="preserve">съдържа 400 </w:t>
      </w:r>
      <w:r w:rsidRPr="00CA24BD">
        <w:rPr>
          <w:rFonts w:eastAsia="Times New Roman" w:cs="Arial"/>
          <w:color w:val="000000"/>
          <w:lang w:val="en-US"/>
        </w:rPr>
        <w:t xml:space="preserve">mg </w:t>
      </w:r>
      <w:r w:rsidRPr="00CA24BD">
        <w:rPr>
          <w:rFonts w:eastAsia="Times New Roman" w:cs="Arial"/>
          <w:color w:val="000000"/>
          <w:lang w:eastAsia="bg-BG"/>
        </w:rPr>
        <w:t xml:space="preserve">амисулприд </w:t>
      </w:r>
      <w:r w:rsidRPr="00CA24BD">
        <w:rPr>
          <w:rFonts w:eastAsia="Times New Roman" w:cs="Arial"/>
          <w:i/>
          <w:iCs/>
          <w:color w:val="000000"/>
          <w:lang w:val="en-US"/>
        </w:rPr>
        <w:t>(</w:t>
      </w:r>
      <w:proofErr w:type="spellStart"/>
      <w:r w:rsidRPr="00CA24BD">
        <w:rPr>
          <w:rFonts w:eastAsia="Times New Roman" w:cs="Arial"/>
          <w:i/>
          <w:iCs/>
          <w:color w:val="000000"/>
          <w:lang w:val="en-US"/>
        </w:rPr>
        <w:t>amisulpride</w:t>
      </w:r>
      <w:proofErr w:type="spellEnd"/>
      <w:r w:rsidRPr="00CA24BD">
        <w:rPr>
          <w:rFonts w:eastAsia="Times New Roman" w:cs="Arial"/>
          <w:i/>
          <w:iCs/>
          <w:color w:val="000000"/>
          <w:lang w:val="en-US"/>
        </w:rPr>
        <w:t>)</w:t>
      </w:r>
      <w:r w:rsidRPr="00CA24BD">
        <w:rPr>
          <w:rFonts w:eastAsia="Times New Roman" w:cs="Arial"/>
          <w:i/>
          <w:iCs/>
          <w:color w:val="000000"/>
          <w:lang w:eastAsia="bg-BG"/>
        </w:rPr>
        <w:t>.</w:t>
      </w:r>
    </w:p>
    <w:p w14:paraId="51D86973"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Помощни вещества с известно действие: всяка филмирана таблетка съдържа лактоза монохидрат.</w:t>
      </w:r>
    </w:p>
    <w:p w14:paraId="16A8AAE1" w14:textId="16E1B1CA" w:rsidR="00CA24BD" w:rsidRDefault="00CA24BD" w:rsidP="00CA24BD">
      <w:pPr>
        <w:rPr>
          <w:rFonts w:eastAsia="Times New Roman" w:cs="Arial"/>
          <w:color w:val="000000"/>
          <w:lang w:val="en-US" w:eastAsia="bg-BG"/>
        </w:rPr>
      </w:pPr>
      <w:r w:rsidRPr="00CA24BD">
        <w:rPr>
          <w:rFonts w:eastAsia="Times New Roman" w:cs="Arial"/>
          <w:color w:val="000000"/>
          <w:lang w:eastAsia="bg-BG"/>
        </w:rPr>
        <w:t>За пълния списък на помощните вещества, вижте точка 6.1.</w:t>
      </w:r>
      <w:r>
        <w:rPr>
          <w:rFonts w:eastAsia="Times New Roman" w:cs="Arial"/>
          <w:color w:val="000000"/>
          <w:lang w:val="en-US" w:eastAsia="bg-BG"/>
        </w:rPr>
        <w:t xml:space="preserve">  </w:t>
      </w:r>
    </w:p>
    <w:p w14:paraId="6B6E5212" w14:textId="024F6585" w:rsidR="00CA24BD" w:rsidRDefault="00CA24BD" w:rsidP="00CA24BD">
      <w:pPr>
        <w:rPr>
          <w:rFonts w:eastAsia="Times New Roman" w:cs="Arial"/>
          <w:color w:val="000000"/>
          <w:lang w:val="en-US" w:eastAsia="bg-BG"/>
        </w:rPr>
      </w:pPr>
    </w:p>
    <w:p w14:paraId="3AF63EDD" w14:textId="13D669D3" w:rsidR="00CA24BD" w:rsidRDefault="00CA24BD" w:rsidP="00CA24BD">
      <w:pPr>
        <w:rPr>
          <w:rFonts w:eastAsia="Times New Roman" w:cs="Arial"/>
          <w:color w:val="000000"/>
          <w:lang w:val="en-US" w:eastAsia="bg-BG"/>
        </w:rPr>
      </w:pPr>
    </w:p>
    <w:p w14:paraId="614984C4" w14:textId="4BDB9DCE" w:rsidR="008A6AF2" w:rsidRDefault="00DD466D" w:rsidP="002C50EE">
      <w:pPr>
        <w:pStyle w:val="Heading1"/>
      </w:pPr>
      <w:r>
        <w:t>3. ЛЕКАРСТВЕНА ФОРМА</w:t>
      </w:r>
    </w:p>
    <w:p w14:paraId="4341BB4E" w14:textId="4BBB8683" w:rsidR="00CA24BD" w:rsidRDefault="00CA24BD" w:rsidP="00CA24BD"/>
    <w:p w14:paraId="556E849A"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Филмирана таблетка</w:t>
      </w:r>
    </w:p>
    <w:p w14:paraId="0BE1F053"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Бели до почти бели таблетки с делителна черта от едната страна.</w:t>
      </w:r>
    </w:p>
    <w:p w14:paraId="74242DFF" w14:textId="75CD5499" w:rsidR="00CA24BD" w:rsidRPr="00CA24BD" w:rsidRDefault="00CA24BD" w:rsidP="00CA24BD">
      <w:pPr>
        <w:rPr>
          <w:rFonts w:cs="Arial"/>
        </w:rPr>
      </w:pPr>
      <w:r w:rsidRPr="00CA24BD">
        <w:rPr>
          <w:rFonts w:eastAsia="Times New Roman" w:cs="Arial"/>
          <w:color w:val="000000"/>
          <w:lang w:eastAsia="bg-BG"/>
        </w:rPr>
        <w:t>Таблетката може да се раздели на две равни дози.</w:t>
      </w:r>
    </w:p>
    <w:p w14:paraId="490FC2C4" w14:textId="4655305B" w:rsidR="002C50EE" w:rsidRDefault="002C50EE" w:rsidP="002C50EE">
      <w:pPr>
        <w:pStyle w:val="Heading1"/>
      </w:pPr>
      <w:r>
        <w:t>4. КЛИНИЧНИ ДАННИ</w:t>
      </w:r>
    </w:p>
    <w:p w14:paraId="4D2CDD16" w14:textId="77777777" w:rsidR="00F437F3" w:rsidRPr="00F437F3" w:rsidRDefault="00F437F3" w:rsidP="00F437F3"/>
    <w:p w14:paraId="0C8E6903" w14:textId="63EBD164" w:rsidR="008134C8" w:rsidRDefault="002C50EE" w:rsidP="004A448E">
      <w:pPr>
        <w:pStyle w:val="Heading2"/>
      </w:pPr>
      <w:r>
        <w:t>4.1. Терапевтични показания</w:t>
      </w:r>
    </w:p>
    <w:p w14:paraId="68CCD5BF" w14:textId="1530FA39" w:rsidR="00CA24BD" w:rsidRDefault="00CA24BD" w:rsidP="00CA24BD"/>
    <w:p w14:paraId="46C6421A" w14:textId="18B1D0CD" w:rsidR="00CA24BD" w:rsidRPr="00CA24BD" w:rsidRDefault="00CA24BD" w:rsidP="00CA24BD">
      <w:pPr>
        <w:spacing w:line="240" w:lineRule="auto"/>
        <w:rPr>
          <w:rFonts w:eastAsia="Times New Roman" w:cs="Arial"/>
          <w:color w:val="000000"/>
          <w:lang w:eastAsia="bg-BG"/>
        </w:rPr>
      </w:pPr>
      <w:r w:rsidRPr="00CA24BD">
        <w:rPr>
          <w:rFonts w:eastAsia="Times New Roman" w:cs="Arial"/>
          <w:color w:val="000000"/>
          <w:lang w:eastAsia="bg-BG"/>
        </w:rPr>
        <w:t>Амисулприд е показан за лечение на остри и хронични шизофрении разстройства:</w:t>
      </w:r>
    </w:p>
    <w:p w14:paraId="084EAE39" w14:textId="78A405D6" w:rsidR="00CA24BD" w:rsidRPr="00CA24BD" w:rsidRDefault="00CA24BD" w:rsidP="00CA24BD">
      <w:pPr>
        <w:spacing w:line="240" w:lineRule="auto"/>
        <w:rPr>
          <w:rFonts w:eastAsia="Times New Roman" w:cs="Arial"/>
          <w:lang w:eastAsia="bg-BG"/>
        </w:rPr>
      </w:pPr>
      <w:r>
        <w:rPr>
          <w:rFonts w:eastAsia="Times New Roman" w:cs="Arial"/>
          <w:color w:val="000000"/>
          <w:lang w:val="en-US" w:eastAsia="bg-BG"/>
        </w:rPr>
        <w:t xml:space="preserve"> -</w:t>
      </w:r>
      <w:r w:rsidRPr="00CA24BD">
        <w:rPr>
          <w:rFonts w:eastAsia="Times New Roman" w:cs="Arial"/>
          <w:color w:val="000000"/>
          <w:lang w:eastAsia="bg-BG"/>
        </w:rPr>
        <w:t>позитивни симптоми като налудности, халюцинации, мисловни разстройства, враждебност, параноидни налудности;</w:t>
      </w:r>
    </w:p>
    <w:p w14:paraId="4D7E7B9A" w14:textId="4780D9E1" w:rsidR="00CA24BD" w:rsidRPr="00CA24BD" w:rsidRDefault="00CA24BD" w:rsidP="00CA24BD">
      <w:pPr>
        <w:spacing w:line="240" w:lineRule="auto"/>
        <w:rPr>
          <w:rFonts w:eastAsia="Times New Roman" w:cs="Arial"/>
          <w:lang w:eastAsia="bg-BG"/>
        </w:rPr>
      </w:pPr>
      <w:r>
        <w:rPr>
          <w:rFonts w:eastAsia="Times New Roman" w:cs="Arial"/>
          <w:color w:val="000000"/>
          <w:lang w:val="en-US" w:eastAsia="bg-BG"/>
        </w:rPr>
        <w:t xml:space="preserve"> -</w:t>
      </w:r>
      <w:r w:rsidRPr="00CA24BD">
        <w:rPr>
          <w:rFonts w:eastAsia="Times New Roman" w:cs="Arial"/>
          <w:color w:val="000000"/>
          <w:lang w:eastAsia="bg-BG"/>
        </w:rPr>
        <w:t>преобладаващи негативни симптоми (синдром на дефицит), като притъпени емоции, емоционално и социално отдръпване.</w:t>
      </w:r>
    </w:p>
    <w:p w14:paraId="12FC1D86" w14:textId="35335F63" w:rsidR="00CA24BD" w:rsidRDefault="00CA24BD" w:rsidP="00CA24BD">
      <w:pPr>
        <w:rPr>
          <w:rFonts w:eastAsia="Times New Roman" w:cs="Arial"/>
          <w:color w:val="000000"/>
          <w:lang w:eastAsia="bg-BG"/>
        </w:rPr>
      </w:pPr>
      <w:r w:rsidRPr="00CA24BD">
        <w:rPr>
          <w:rFonts w:eastAsia="Times New Roman" w:cs="Arial"/>
          <w:color w:val="000000"/>
          <w:lang w:eastAsia="bg-BG"/>
        </w:rPr>
        <w:t>Амисулприд регулира също вторични негативни симптоми при психотично състояние, както и емоционални нарушения, като потиснато настроение.</w:t>
      </w:r>
    </w:p>
    <w:p w14:paraId="0EDF19DB" w14:textId="77777777" w:rsidR="00CA24BD" w:rsidRPr="00CA24BD" w:rsidRDefault="00CA24BD" w:rsidP="00CA24BD">
      <w:pPr>
        <w:rPr>
          <w:rFonts w:cs="Arial"/>
        </w:rPr>
      </w:pPr>
    </w:p>
    <w:p w14:paraId="30BE2C7B" w14:textId="1FEFA593" w:rsidR="008134C8" w:rsidRDefault="002C50EE" w:rsidP="004A448E">
      <w:pPr>
        <w:pStyle w:val="Heading2"/>
      </w:pPr>
      <w:r>
        <w:t>4.2. Дозировка и начин на приложение</w:t>
      </w:r>
    </w:p>
    <w:p w14:paraId="47AFC906" w14:textId="3DBFD61A" w:rsidR="00CA24BD" w:rsidRDefault="00CA24BD" w:rsidP="00CA24BD"/>
    <w:p w14:paraId="7D6972E8" w14:textId="77777777" w:rsidR="00CA24BD" w:rsidRPr="008F5715" w:rsidRDefault="00CA24BD" w:rsidP="008F5715">
      <w:pPr>
        <w:pStyle w:val="Heading3"/>
        <w:rPr>
          <w:u w:val="single"/>
        </w:rPr>
      </w:pPr>
      <w:r w:rsidRPr="008F5715">
        <w:rPr>
          <w:u w:val="single"/>
        </w:rPr>
        <w:t>Дозиро</w:t>
      </w:r>
      <w:bookmarkStart w:id="1" w:name="_GoBack"/>
      <w:bookmarkEnd w:id="1"/>
      <w:r w:rsidRPr="008F5715">
        <w:rPr>
          <w:u w:val="single"/>
        </w:rPr>
        <w:t>вка</w:t>
      </w:r>
    </w:p>
    <w:p w14:paraId="516A1D66" w14:textId="77777777" w:rsidR="00CA24BD" w:rsidRPr="00F437F3" w:rsidRDefault="00CA24BD" w:rsidP="00F437F3">
      <w:pPr>
        <w:pStyle w:val="ListParagraph"/>
        <w:numPr>
          <w:ilvl w:val="0"/>
          <w:numId w:val="38"/>
        </w:numPr>
        <w:spacing w:line="240" w:lineRule="auto"/>
        <w:rPr>
          <w:rFonts w:eastAsia="Times New Roman" w:cs="Arial"/>
          <w:color w:val="000000"/>
          <w:lang w:eastAsia="bg-BG"/>
        </w:rPr>
      </w:pPr>
      <w:r w:rsidRPr="00F437F3">
        <w:rPr>
          <w:rFonts w:eastAsia="Times New Roman" w:cs="Arial"/>
          <w:color w:val="000000"/>
          <w:lang w:eastAsia="bg-BG"/>
        </w:rPr>
        <w:t xml:space="preserve">За остри психотични епизоди, се препоръчва перорален прием на дози между 400 </w:t>
      </w:r>
      <w:r w:rsidRPr="00F437F3">
        <w:rPr>
          <w:rFonts w:eastAsia="Times New Roman" w:cs="Arial"/>
          <w:color w:val="000000"/>
          <w:lang w:val="en-US"/>
        </w:rPr>
        <w:t>mg</w:t>
      </w:r>
      <w:r w:rsidRPr="00F437F3">
        <w:rPr>
          <w:rFonts w:eastAsia="Times New Roman" w:cs="Arial"/>
          <w:color w:val="000000"/>
          <w:lang w:eastAsia="bg-BG"/>
        </w:rPr>
        <w:t xml:space="preserve">/дневно и 800 </w:t>
      </w:r>
      <w:r w:rsidRPr="00F437F3">
        <w:rPr>
          <w:rFonts w:eastAsia="Times New Roman" w:cs="Arial"/>
          <w:color w:val="000000"/>
          <w:lang w:val="en-US"/>
        </w:rPr>
        <w:t>mg</w:t>
      </w:r>
      <w:r w:rsidRPr="00F437F3">
        <w:rPr>
          <w:rFonts w:eastAsia="Times New Roman" w:cs="Arial"/>
          <w:color w:val="000000"/>
          <w:lang w:eastAsia="bg-BG"/>
        </w:rPr>
        <w:t xml:space="preserve">/дневно, като в индивидуални случаи дневната доза може да се увеличи до 1200 </w:t>
      </w:r>
      <w:r w:rsidRPr="00F437F3">
        <w:rPr>
          <w:rFonts w:eastAsia="Times New Roman" w:cs="Arial"/>
          <w:color w:val="000000"/>
          <w:lang w:val="en-US"/>
        </w:rPr>
        <w:t xml:space="preserve">mg </w:t>
      </w:r>
      <w:r w:rsidRPr="00F437F3">
        <w:rPr>
          <w:rFonts w:eastAsia="Times New Roman" w:cs="Arial"/>
          <w:color w:val="000000"/>
          <w:lang w:eastAsia="bg-BG"/>
        </w:rPr>
        <w:t>дневно.</w:t>
      </w:r>
    </w:p>
    <w:p w14:paraId="6EF6BA47" w14:textId="77777777" w:rsidR="00CA24BD" w:rsidRPr="00F437F3" w:rsidRDefault="00CA24BD" w:rsidP="00F437F3">
      <w:pPr>
        <w:pStyle w:val="ListParagraph"/>
        <w:numPr>
          <w:ilvl w:val="0"/>
          <w:numId w:val="38"/>
        </w:numPr>
        <w:spacing w:line="240" w:lineRule="auto"/>
        <w:rPr>
          <w:rFonts w:eastAsia="Times New Roman" w:cs="Arial"/>
          <w:color w:val="000000"/>
          <w:lang w:eastAsia="bg-BG"/>
        </w:rPr>
      </w:pPr>
      <w:r w:rsidRPr="00F437F3">
        <w:rPr>
          <w:rFonts w:eastAsia="Times New Roman" w:cs="Arial"/>
          <w:color w:val="000000"/>
          <w:lang w:eastAsia="bg-BG"/>
        </w:rPr>
        <w:t xml:space="preserve">Дози над 1200 </w:t>
      </w:r>
      <w:r w:rsidRPr="00F437F3">
        <w:rPr>
          <w:rFonts w:eastAsia="Times New Roman" w:cs="Arial"/>
          <w:color w:val="000000"/>
          <w:lang w:val="en-US"/>
        </w:rPr>
        <w:t>mg</w:t>
      </w:r>
      <w:r w:rsidRPr="00F437F3">
        <w:rPr>
          <w:rFonts w:eastAsia="Times New Roman" w:cs="Arial"/>
          <w:color w:val="000000"/>
          <w:lang w:eastAsia="bg-BG"/>
        </w:rPr>
        <w:t xml:space="preserve">/дневно не са били обширно оценявани по отношение на безопасност и следователно не трябва да се използват. Не се изисква, специално третиране при започване на лечението. Дозировката се коригира спрямо </w:t>
      </w:r>
      <w:r w:rsidRPr="00F437F3">
        <w:rPr>
          <w:rFonts w:eastAsia="Times New Roman" w:cs="Arial"/>
          <w:color w:val="000000"/>
          <w:lang w:eastAsia="bg-BG"/>
        </w:rPr>
        <w:lastRenderedPageBreak/>
        <w:t>индивидуалния терапевтичен отговор. Поддържащото лечение се определя индивидуално, като се използва минималната ефективна доза.</w:t>
      </w:r>
    </w:p>
    <w:p w14:paraId="0A552909" w14:textId="77777777" w:rsidR="00CA24BD" w:rsidRPr="00F437F3" w:rsidRDefault="00CA24BD" w:rsidP="00F437F3">
      <w:pPr>
        <w:pStyle w:val="ListParagraph"/>
        <w:numPr>
          <w:ilvl w:val="0"/>
          <w:numId w:val="38"/>
        </w:numPr>
        <w:spacing w:line="240" w:lineRule="auto"/>
        <w:rPr>
          <w:rFonts w:eastAsia="Times New Roman" w:cs="Arial"/>
          <w:color w:val="000000"/>
          <w:lang w:eastAsia="bg-BG"/>
        </w:rPr>
      </w:pPr>
      <w:r w:rsidRPr="00F437F3">
        <w:rPr>
          <w:rFonts w:eastAsia="Times New Roman" w:cs="Arial"/>
          <w:color w:val="000000"/>
          <w:lang w:eastAsia="bg-BG"/>
        </w:rPr>
        <w:t xml:space="preserve">При пациенти, характеризиращи се с преобладаващи негативни симптоми (синдром на дефицит), се препоръчва перорален прием на дози от 50 </w:t>
      </w:r>
      <w:r w:rsidRPr="00F437F3">
        <w:rPr>
          <w:rFonts w:eastAsia="Times New Roman" w:cs="Arial"/>
          <w:color w:val="000000"/>
          <w:lang w:val="en-US"/>
        </w:rPr>
        <w:t xml:space="preserve">mg </w:t>
      </w:r>
      <w:r w:rsidRPr="00F437F3">
        <w:rPr>
          <w:rFonts w:eastAsia="Times New Roman" w:cs="Arial"/>
          <w:color w:val="000000"/>
          <w:lang w:eastAsia="bg-BG"/>
        </w:rPr>
        <w:t xml:space="preserve">до 300 </w:t>
      </w:r>
      <w:r w:rsidRPr="00F437F3">
        <w:rPr>
          <w:rFonts w:eastAsia="Times New Roman" w:cs="Arial"/>
          <w:color w:val="000000"/>
          <w:lang w:val="en-US"/>
        </w:rPr>
        <w:t xml:space="preserve">mg </w:t>
      </w:r>
      <w:r w:rsidRPr="00F437F3">
        <w:rPr>
          <w:rFonts w:eastAsia="Times New Roman" w:cs="Arial"/>
          <w:color w:val="000000"/>
          <w:lang w:eastAsia="bg-BG"/>
        </w:rPr>
        <w:t>дневно. Определянето на дозировката се осъществява индивидуално.</w:t>
      </w:r>
      <w:r w:rsidRPr="00F437F3">
        <w:rPr>
          <w:rFonts w:eastAsia="Times New Roman" w:cs="Arial"/>
          <w:color w:val="000000"/>
          <w:lang w:eastAsia="bg-BG"/>
        </w:rPr>
        <w:tab/>
      </w:r>
    </w:p>
    <w:p w14:paraId="03858502" w14:textId="71B9D50A" w:rsidR="00CA24BD" w:rsidRPr="00F437F3" w:rsidRDefault="00CA24BD" w:rsidP="00F437F3">
      <w:pPr>
        <w:pStyle w:val="ListParagraph"/>
        <w:numPr>
          <w:ilvl w:val="0"/>
          <w:numId w:val="38"/>
        </w:numPr>
        <w:rPr>
          <w:rFonts w:eastAsia="Times New Roman" w:cs="Arial"/>
          <w:color w:val="000000"/>
          <w:lang w:eastAsia="bg-BG"/>
        </w:rPr>
      </w:pPr>
      <w:r w:rsidRPr="00F437F3">
        <w:rPr>
          <w:rFonts w:eastAsia="Times New Roman" w:cs="Arial"/>
          <w:color w:val="000000"/>
          <w:lang w:eastAsia="bg-BG"/>
        </w:rPr>
        <w:t xml:space="preserve">Амисулпприд може да се прилага веднъж дневно в дози до </w:t>
      </w:r>
      <w:r w:rsidRPr="00F437F3">
        <w:rPr>
          <w:rFonts w:eastAsia="Times New Roman" w:cs="Arial"/>
          <w:color w:val="000000"/>
          <w:lang w:val="en-US"/>
        </w:rPr>
        <w:t xml:space="preserve">400 mg, </w:t>
      </w:r>
      <w:r w:rsidRPr="00F437F3">
        <w:rPr>
          <w:rFonts w:eastAsia="Times New Roman" w:cs="Arial"/>
          <w:color w:val="000000"/>
          <w:lang w:eastAsia="bg-BG"/>
        </w:rPr>
        <w:t>по-високите дози трябва да се разделят на два отделни приема.</w:t>
      </w:r>
    </w:p>
    <w:p w14:paraId="012EE6E9" w14:textId="77777777" w:rsidR="00CA24BD" w:rsidRDefault="00CA24BD" w:rsidP="00CA24BD">
      <w:pPr>
        <w:rPr>
          <w:rFonts w:eastAsia="Times New Roman" w:cs="Arial"/>
          <w:color w:val="000000"/>
          <w:lang w:eastAsia="bg-BG"/>
        </w:rPr>
      </w:pPr>
    </w:p>
    <w:p w14:paraId="6D9FFFC2" w14:textId="7B3A84DB" w:rsidR="00CA24BD" w:rsidRDefault="00CA24BD" w:rsidP="00CA24BD">
      <w:pPr>
        <w:spacing w:line="240" w:lineRule="auto"/>
        <w:rPr>
          <w:rFonts w:eastAsia="Times New Roman" w:cs="Arial"/>
          <w:b/>
          <w:bCs/>
          <w:color w:val="000000"/>
          <w:lang w:eastAsia="bg-BG"/>
        </w:rPr>
      </w:pPr>
      <w:bookmarkStart w:id="2" w:name="bookmark0"/>
      <w:r w:rsidRPr="00CA24BD">
        <w:rPr>
          <w:rFonts w:eastAsia="Times New Roman" w:cs="Arial"/>
          <w:b/>
          <w:bCs/>
          <w:color w:val="000000"/>
          <w:lang w:eastAsia="bg-BG"/>
        </w:rPr>
        <w:t>Специални популации</w:t>
      </w:r>
      <w:bookmarkEnd w:id="2"/>
    </w:p>
    <w:p w14:paraId="0F07C0F8" w14:textId="77777777" w:rsidR="00F437F3" w:rsidRPr="00CA24BD" w:rsidRDefault="00F437F3" w:rsidP="00CA24BD">
      <w:pPr>
        <w:spacing w:line="240" w:lineRule="auto"/>
        <w:rPr>
          <w:rFonts w:eastAsia="Times New Roman" w:cs="Arial"/>
          <w:lang w:eastAsia="bg-BG"/>
        </w:rPr>
      </w:pPr>
    </w:p>
    <w:p w14:paraId="2E23B0F6" w14:textId="77777777" w:rsidR="00CA24BD" w:rsidRPr="00CA24BD" w:rsidRDefault="00CA24BD" w:rsidP="00CA24BD">
      <w:pPr>
        <w:spacing w:line="240" w:lineRule="auto"/>
        <w:rPr>
          <w:rFonts w:eastAsia="Times New Roman" w:cs="Arial"/>
          <w:b/>
          <w:lang w:eastAsia="bg-BG"/>
        </w:rPr>
      </w:pPr>
      <w:r w:rsidRPr="00CA24BD">
        <w:rPr>
          <w:rFonts w:eastAsia="Times New Roman" w:cs="Arial"/>
          <w:b/>
          <w:i/>
          <w:iCs/>
          <w:color w:val="000000"/>
          <w:lang w:eastAsia="bg-BG"/>
        </w:rPr>
        <w:t>Пациенти в старческа възраст</w:t>
      </w:r>
    </w:p>
    <w:p w14:paraId="2A488E08" w14:textId="557C2E08" w:rsidR="00CA24BD" w:rsidRDefault="00CA24BD" w:rsidP="00CA24BD">
      <w:pPr>
        <w:spacing w:line="240" w:lineRule="auto"/>
        <w:rPr>
          <w:rFonts w:eastAsia="Times New Roman" w:cs="Arial"/>
          <w:color w:val="000000"/>
          <w:lang w:eastAsia="bg-BG"/>
        </w:rPr>
      </w:pPr>
      <w:r w:rsidRPr="00CA24BD">
        <w:rPr>
          <w:rFonts w:eastAsia="Times New Roman" w:cs="Arial"/>
          <w:color w:val="000000"/>
          <w:lang w:eastAsia="bg-BG"/>
        </w:rPr>
        <w:t>Безопасността на амисулприд е изследвана при ограничен брой пациенти в старческа възраст. Амисулприд трябва да се използва с особено внимание поради възможен риск от хипотония и седация. Намаляване на дозата може да се наложи при бъбречна недостатъчност.</w:t>
      </w:r>
    </w:p>
    <w:p w14:paraId="17FECE36" w14:textId="77777777" w:rsidR="00F437F3" w:rsidRPr="00CA24BD" w:rsidRDefault="00F437F3" w:rsidP="00CA24BD">
      <w:pPr>
        <w:spacing w:line="240" w:lineRule="auto"/>
        <w:rPr>
          <w:rFonts w:eastAsia="Times New Roman" w:cs="Arial"/>
          <w:lang w:eastAsia="bg-BG"/>
        </w:rPr>
      </w:pPr>
    </w:p>
    <w:p w14:paraId="3C7D9961" w14:textId="77777777" w:rsidR="00CA24BD" w:rsidRPr="00CA24BD" w:rsidRDefault="00CA24BD" w:rsidP="00CA24BD">
      <w:pPr>
        <w:spacing w:line="240" w:lineRule="auto"/>
        <w:rPr>
          <w:rFonts w:eastAsia="Times New Roman" w:cs="Arial"/>
          <w:b/>
          <w:lang w:eastAsia="bg-BG"/>
        </w:rPr>
      </w:pPr>
      <w:r w:rsidRPr="00CA24BD">
        <w:rPr>
          <w:rFonts w:eastAsia="Times New Roman" w:cs="Arial"/>
          <w:b/>
          <w:i/>
          <w:iCs/>
          <w:color w:val="000000"/>
          <w:lang w:eastAsia="bg-BG"/>
        </w:rPr>
        <w:t>Педиатрични пациенти</w:t>
      </w:r>
    </w:p>
    <w:p w14:paraId="3971FB3A"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Ефикасността и безопасността на амисулприд не е била установена при лица от пубертетна възраст до 18 години. Има ограничени данни за употребата на амисулприд при подобни пациенти с шизофрения.</w:t>
      </w:r>
    </w:p>
    <w:p w14:paraId="64BFA381" w14:textId="2539B746" w:rsidR="00CA24BD" w:rsidRDefault="00CA24BD" w:rsidP="00CA24BD">
      <w:pPr>
        <w:spacing w:line="240" w:lineRule="auto"/>
        <w:rPr>
          <w:rFonts w:eastAsia="Times New Roman" w:cs="Arial"/>
          <w:color w:val="000000"/>
          <w:lang w:eastAsia="bg-BG"/>
        </w:rPr>
      </w:pPr>
      <w:r w:rsidRPr="00CA24BD">
        <w:rPr>
          <w:rFonts w:eastAsia="Times New Roman" w:cs="Arial"/>
          <w:color w:val="000000"/>
          <w:lang w:eastAsia="bg-BG"/>
        </w:rPr>
        <w:t>Следователно не се препоръчва употребата на амисулприд от пубертетна възраст до 18 години. При деца на възраст до пубертетна възраст амисулприд е противопоказан, тъй като неговата безопасност все още не е установена (вж. точка 4.3).</w:t>
      </w:r>
    </w:p>
    <w:p w14:paraId="3238C11C" w14:textId="77777777" w:rsidR="00F437F3" w:rsidRPr="00CA24BD" w:rsidRDefault="00F437F3" w:rsidP="00CA24BD">
      <w:pPr>
        <w:spacing w:line="240" w:lineRule="auto"/>
        <w:rPr>
          <w:rFonts w:eastAsia="Times New Roman" w:cs="Arial"/>
          <w:lang w:eastAsia="bg-BG"/>
        </w:rPr>
      </w:pPr>
    </w:p>
    <w:p w14:paraId="26F077FD" w14:textId="77777777" w:rsidR="00CA24BD" w:rsidRPr="00CA24BD" w:rsidRDefault="00CA24BD" w:rsidP="00CA24BD">
      <w:pPr>
        <w:spacing w:line="240" w:lineRule="auto"/>
        <w:rPr>
          <w:rFonts w:eastAsia="Times New Roman" w:cs="Arial"/>
          <w:b/>
          <w:lang w:eastAsia="bg-BG"/>
        </w:rPr>
      </w:pPr>
      <w:r w:rsidRPr="00CA24BD">
        <w:rPr>
          <w:rFonts w:eastAsia="Times New Roman" w:cs="Arial"/>
          <w:b/>
          <w:i/>
          <w:iCs/>
          <w:color w:val="000000"/>
          <w:lang w:eastAsia="bg-BG"/>
        </w:rPr>
        <w:t>Бъбречна недостатъчност</w:t>
      </w:r>
    </w:p>
    <w:p w14:paraId="7237DC81"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 xml:space="preserve">Амисулприд се елиминира чрез бъбреците. При бъбречна недостатъчност дозата да се намали наполовина при пациенти с креатининов клирънс </w:t>
      </w:r>
      <w:r w:rsidRPr="00CA24BD">
        <w:rPr>
          <w:rFonts w:eastAsia="Times New Roman" w:cs="Arial"/>
          <w:smallCaps/>
          <w:color w:val="000000"/>
          <w:lang w:val="en-US"/>
        </w:rPr>
        <w:t>(</w:t>
      </w:r>
      <w:proofErr w:type="spellStart"/>
      <w:r w:rsidRPr="00CA24BD">
        <w:rPr>
          <w:rFonts w:eastAsia="Times New Roman" w:cs="Arial"/>
          <w:smallCaps/>
          <w:color w:val="000000"/>
          <w:lang w:val="en-US"/>
        </w:rPr>
        <w:t>CRcl</w:t>
      </w:r>
      <w:proofErr w:type="spellEnd"/>
      <w:r w:rsidRPr="00CA24BD">
        <w:rPr>
          <w:rFonts w:eastAsia="Times New Roman" w:cs="Arial"/>
          <w:smallCaps/>
          <w:color w:val="000000"/>
          <w:lang w:val="en-US"/>
        </w:rPr>
        <w:t>)</w:t>
      </w:r>
      <w:r w:rsidRPr="00CA24BD">
        <w:rPr>
          <w:rFonts w:eastAsia="Times New Roman" w:cs="Arial"/>
          <w:color w:val="000000"/>
          <w:lang w:val="en-US"/>
        </w:rPr>
        <w:t xml:space="preserve"> </w:t>
      </w:r>
      <w:r w:rsidRPr="00CA24BD">
        <w:rPr>
          <w:rFonts w:eastAsia="Times New Roman" w:cs="Arial"/>
          <w:color w:val="000000"/>
          <w:lang w:eastAsia="bg-BG"/>
        </w:rPr>
        <w:t xml:space="preserve">между 30-60 </w:t>
      </w:r>
      <w:r w:rsidRPr="00CA24BD">
        <w:rPr>
          <w:rFonts w:eastAsia="Times New Roman" w:cs="Arial"/>
          <w:color w:val="000000"/>
          <w:lang w:val="en-US"/>
        </w:rPr>
        <w:t xml:space="preserve">ml/min </w:t>
      </w:r>
      <w:r w:rsidRPr="00CA24BD">
        <w:rPr>
          <w:rFonts w:eastAsia="Times New Roman" w:cs="Arial"/>
          <w:color w:val="000000"/>
          <w:lang w:eastAsia="bg-BG"/>
        </w:rPr>
        <w:t xml:space="preserve">и до 1/3 при пациенти с креатининов клирънс </w:t>
      </w:r>
      <w:r w:rsidRPr="00CA24BD">
        <w:rPr>
          <w:rFonts w:eastAsia="Times New Roman" w:cs="Arial"/>
          <w:smallCaps/>
          <w:color w:val="000000"/>
          <w:lang w:val="en-US"/>
        </w:rPr>
        <w:t>(</w:t>
      </w:r>
      <w:proofErr w:type="spellStart"/>
      <w:r w:rsidRPr="00CA24BD">
        <w:rPr>
          <w:rFonts w:eastAsia="Times New Roman" w:cs="Arial"/>
          <w:smallCaps/>
          <w:color w:val="000000"/>
          <w:lang w:val="en-US"/>
        </w:rPr>
        <w:t>CRcl</w:t>
      </w:r>
      <w:proofErr w:type="spellEnd"/>
      <w:r w:rsidRPr="00CA24BD">
        <w:rPr>
          <w:rFonts w:eastAsia="Times New Roman" w:cs="Arial"/>
          <w:smallCaps/>
          <w:color w:val="000000"/>
          <w:lang w:val="en-US"/>
        </w:rPr>
        <w:t>)</w:t>
      </w:r>
      <w:r w:rsidRPr="00CA24BD">
        <w:rPr>
          <w:rFonts w:eastAsia="Times New Roman" w:cs="Arial"/>
          <w:color w:val="000000"/>
          <w:lang w:val="en-US"/>
        </w:rPr>
        <w:t xml:space="preserve"> </w:t>
      </w:r>
      <w:r w:rsidRPr="00CA24BD">
        <w:rPr>
          <w:rFonts w:eastAsia="Times New Roman" w:cs="Arial"/>
          <w:color w:val="000000"/>
          <w:lang w:eastAsia="bg-BG"/>
        </w:rPr>
        <w:t xml:space="preserve">от 10-30 </w:t>
      </w:r>
      <w:r w:rsidRPr="00CA24BD">
        <w:rPr>
          <w:rFonts w:eastAsia="Times New Roman" w:cs="Arial"/>
          <w:color w:val="000000"/>
          <w:lang w:val="en-US"/>
        </w:rPr>
        <w:t>ml/min.</w:t>
      </w:r>
    </w:p>
    <w:p w14:paraId="64133886" w14:textId="2CA23E29" w:rsidR="00CA24BD" w:rsidRDefault="00CA24BD" w:rsidP="00CA24BD">
      <w:pPr>
        <w:spacing w:line="240" w:lineRule="auto"/>
        <w:rPr>
          <w:rFonts w:eastAsia="Times New Roman" w:cs="Arial"/>
          <w:color w:val="000000"/>
          <w:lang w:eastAsia="bg-BG"/>
        </w:rPr>
      </w:pPr>
      <w:r w:rsidRPr="00CA24BD">
        <w:rPr>
          <w:rFonts w:eastAsia="Times New Roman" w:cs="Arial"/>
          <w:color w:val="000000"/>
          <w:lang w:eastAsia="bg-BG"/>
        </w:rPr>
        <w:t xml:space="preserve">Поради липса на натрупан опит при пациенти с тежка бъбречна недостатъчност (креатининов клирънс &lt;10 </w:t>
      </w:r>
      <w:r w:rsidRPr="00CA24BD">
        <w:rPr>
          <w:rFonts w:eastAsia="Times New Roman" w:cs="Arial"/>
          <w:color w:val="000000"/>
          <w:lang w:val="en-US"/>
        </w:rPr>
        <w:t xml:space="preserve">ml/min), </w:t>
      </w:r>
      <w:r w:rsidRPr="00CA24BD">
        <w:rPr>
          <w:rFonts w:eastAsia="Times New Roman" w:cs="Arial"/>
          <w:color w:val="000000"/>
          <w:lang w:eastAsia="bg-BG"/>
        </w:rPr>
        <w:t>се препоръчва специална грижа при такива пациенти (вж. точка 4.4).</w:t>
      </w:r>
    </w:p>
    <w:p w14:paraId="67377479" w14:textId="77777777" w:rsidR="00F437F3" w:rsidRPr="00CA24BD" w:rsidRDefault="00F437F3" w:rsidP="00CA24BD">
      <w:pPr>
        <w:spacing w:line="240" w:lineRule="auto"/>
        <w:rPr>
          <w:rFonts w:eastAsia="Times New Roman" w:cs="Arial"/>
          <w:lang w:eastAsia="bg-BG"/>
        </w:rPr>
      </w:pPr>
    </w:p>
    <w:p w14:paraId="506C49AA" w14:textId="77777777" w:rsidR="00CA24BD" w:rsidRPr="00CA24BD" w:rsidRDefault="00CA24BD" w:rsidP="00CA24BD">
      <w:pPr>
        <w:spacing w:line="240" w:lineRule="auto"/>
        <w:rPr>
          <w:rFonts w:eastAsia="Times New Roman" w:cs="Arial"/>
          <w:b/>
          <w:lang w:eastAsia="bg-BG"/>
        </w:rPr>
      </w:pPr>
      <w:r w:rsidRPr="00CA24BD">
        <w:rPr>
          <w:rFonts w:eastAsia="Times New Roman" w:cs="Arial"/>
          <w:b/>
          <w:i/>
          <w:iCs/>
          <w:color w:val="000000"/>
          <w:lang w:eastAsia="bg-BG"/>
        </w:rPr>
        <w:t>Чернодробна недостатъчност</w:t>
      </w:r>
    </w:p>
    <w:p w14:paraId="0DD3C799" w14:textId="7A35FD92" w:rsidR="00CA24BD" w:rsidRDefault="00CA24BD" w:rsidP="00CA24BD">
      <w:pPr>
        <w:rPr>
          <w:rFonts w:eastAsia="Times New Roman" w:cs="Arial"/>
          <w:color w:val="000000"/>
          <w:lang w:eastAsia="bg-BG"/>
        </w:rPr>
      </w:pPr>
      <w:r w:rsidRPr="00CA24BD">
        <w:rPr>
          <w:rFonts w:eastAsia="Times New Roman" w:cs="Arial"/>
          <w:color w:val="000000"/>
          <w:lang w:eastAsia="bg-BG"/>
        </w:rPr>
        <w:t>Поради ниската степен на метаболизиране на амисулприд в черния дроб не е необходимо понижаване на дозата.</w:t>
      </w:r>
    </w:p>
    <w:p w14:paraId="044DCEBE" w14:textId="77777777" w:rsidR="00061FFF" w:rsidRPr="00CA24BD" w:rsidRDefault="00061FFF" w:rsidP="00CA24BD">
      <w:pPr>
        <w:rPr>
          <w:rFonts w:cs="Arial"/>
        </w:rPr>
      </w:pPr>
    </w:p>
    <w:p w14:paraId="28C984E8" w14:textId="246EC862" w:rsidR="008134C8" w:rsidRDefault="002C50EE" w:rsidP="004A448E">
      <w:pPr>
        <w:pStyle w:val="Heading2"/>
      </w:pPr>
      <w:r>
        <w:t>4.3. Противопоказания</w:t>
      </w:r>
    </w:p>
    <w:p w14:paraId="490A21B5" w14:textId="24BBE8E2" w:rsidR="00CA24BD" w:rsidRDefault="00CA24BD" w:rsidP="00CA24BD"/>
    <w:p w14:paraId="47164361"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w:t>
      </w:r>
      <w:r w:rsidRPr="00CA24BD">
        <w:rPr>
          <w:rFonts w:eastAsia="Times New Roman" w:cs="Arial"/>
          <w:color w:val="000000"/>
          <w:lang w:eastAsia="bg-BG"/>
        </w:rPr>
        <w:tab/>
        <w:t>Свръхчувствителност към амисулприд или към някое от помощните вещества на лекарствения продукт;</w:t>
      </w:r>
    </w:p>
    <w:p w14:paraId="3C23ADB7"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w:t>
      </w:r>
      <w:r w:rsidRPr="00CA24BD">
        <w:rPr>
          <w:rFonts w:eastAsia="Times New Roman" w:cs="Arial"/>
          <w:color w:val="000000"/>
          <w:lang w:eastAsia="bg-BG"/>
        </w:rPr>
        <w:tab/>
        <w:t>Едновременно наличие на пролактин-зависими тумори, (напр. хипофизарни пролактиноми и рак на гърдата);</w:t>
      </w:r>
    </w:p>
    <w:p w14:paraId="3FCC1847"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w:t>
      </w:r>
      <w:r w:rsidRPr="00CA24BD">
        <w:rPr>
          <w:rFonts w:eastAsia="Times New Roman" w:cs="Arial"/>
          <w:color w:val="000000"/>
          <w:lang w:eastAsia="bg-BG"/>
        </w:rPr>
        <w:tab/>
        <w:t>Феохромоцитом;</w:t>
      </w:r>
    </w:p>
    <w:p w14:paraId="13CC2A9F"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w:t>
      </w:r>
      <w:r w:rsidRPr="00CA24BD">
        <w:rPr>
          <w:rFonts w:eastAsia="Times New Roman" w:cs="Arial"/>
          <w:color w:val="000000"/>
          <w:lang w:eastAsia="bg-BG"/>
        </w:rPr>
        <w:tab/>
        <w:t>Деца до пубертета;</w:t>
      </w:r>
    </w:p>
    <w:p w14:paraId="1A8BCC89" w14:textId="77777777" w:rsidR="00CA24BD" w:rsidRPr="00CA24BD" w:rsidRDefault="00CA24BD" w:rsidP="00CA24BD">
      <w:pPr>
        <w:spacing w:line="240" w:lineRule="auto"/>
        <w:rPr>
          <w:rFonts w:eastAsia="Times New Roman" w:cs="Arial"/>
          <w:lang w:eastAsia="bg-BG"/>
        </w:rPr>
      </w:pPr>
      <w:r w:rsidRPr="00CA24BD">
        <w:rPr>
          <w:rFonts w:eastAsia="Times New Roman" w:cs="Arial"/>
          <w:color w:val="000000"/>
          <w:lang w:eastAsia="bg-BG"/>
        </w:rPr>
        <w:t>•</w:t>
      </w:r>
      <w:r w:rsidRPr="00CA24BD">
        <w:rPr>
          <w:rFonts w:eastAsia="Times New Roman" w:cs="Arial"/>
          <w:color w:val="000000"/>
          <w:lang w:eastAsia="bg-BG"/>
        </w:rPr>
        <w:tab/>
        <w:t>Кърмене;</w:t>
      </w:r>
    </w:p>
    <w:p w14:paraId="57E1EE8E" w14:textId="18BD16E8" w:rsidR="00CA24BD" w:rsidRDefault="00CA24BD" w:rsidP="00CA24BD">
      <w:pPr>
        <w:rPr>
          <w:rFonts w:eastAsia="Times New Roman" w:cs="Arial"/>
          <w:color w:val="000000"/>
          <w:lang w:eastAsia="bg-BG"/>
        </w:rPr>
      </w:pPr>
      <w:r w:rsidRPr="00CA24BD">
        <w:rPr>
          <w:rFonts w:eastAsia="Times New Roman" w:cs="Arial"/>
          <w:color w:val="000000"/>
          <w:lang w:eastAsia="bg-BG"/>
        </w:rPr>
        <w:t>•</w:t>
      </w:r>
      <w:r w:rsidRPr="00CA24BD">
        <w:rPr>
          <w:rFonts w:eastAsia="Times New Roman" w:cs="Arial"/>
          <w:color w:val="000000"/>
          <w:lang w:eastAsia="bg-BG"/>
        </w:rPr>
        <w:tab/>
        <w:t>Комбинация с леводопа.</w:t>
      </w:r>
    </w:p>
    <w:p w14:paraId="29248CB0" w14:textId="77777777" w:rsidR="00061FFF" w:rsidRPr="00CA24BD" w:rsidRDefault="00061FFF" w:rsidP="00CA24BD">
      <w:pPr>
        <w:rPr>
          <w:rFonts w:cs="Arial"/>
        </w:rPr>
      </w:pPr>
    </w:p>
    <w:p w14:paraId="212F509C" w14:textId="139C05A8" w:rsidR="004F498A" w:rsidRDefault="002C50EE" w:rsidP="004A448E">
      <w:pPr>
        <w:pStyle w:val="Heading2"/>
      </w:pPr>
      <w:r>
        <w:t>4.4. Специални предупреждения и предпазни мерки при употреба</w:t>
      </w:r>
    </w:p>
    <w:p w14:paraId="6391B540" w14:textId="67E3536E" w:rsidR="008D42B3" w:rsidRDefault="008D42B3" w:rsidP="008D42B3"/>
    <w:p w14:paraId="247FADAC" w14:textId="77777777" w:rsidR="008D42B3" w:rsidRPr="008D42B3" w:rsidRDefault="008D42B3" w:rsidP="008D42B3">
      <w:pPr>
        <w:spacing w:line="240" w:lineRule="auto"/>
        <w:jc w:val="both"/>
        <w:rPr>
          <w:rFonts w:eastAsia="Times New Roman" w:cs="Arial"/>
          <w:lang w:eastAsia="bg-BG"/>
        </w:rPr>
      </w:pPr>
      <w:r w:rsidRPr="008D42B3">
        <w:rPr>
          <w:rFonts w:eastAsia="Times New Roman" w:cs="Arial"/>
          <w:color w:val="000000"/>
          <w:lang w:eastAsia="bg-BG"/>
        </w:rPr>
        <w:lastRenderedPageBreak/>
        <w:t>•</w:t>
      </w:r>
      <w:r w:rsidRPr="008D42B3">
        <w:rPr>
          <w:rFonts w:eastAsia="Times New Roman" w:cs="Arial"/>
          <w:color w:val="000000"/>
          <w:lang w:eastAsia="bg-BG"/>
        </w:rPr>
        <w:tab/>
        <w:t xml:space="preserve">Както и при другите невролептици, може да се наблюдава развитие на </w:t>
      </w:r>
      <w:r w:rsidRPr="008D42B3">
        <w:rPr>
          <w:rFonts w:eastAsia="Times New Roman" w:cs="Arial"/>
          <w:b/>
          <w:bCs/>
          <w:color w:val="000000"/>
          <w:lang w:eastAsia="bg-BG"/>
        </w:rPr>
        <w:t xml:space="preserve">невролептичен малигнен синдром, </w:t>
      </w:r>
      <w:r w:rsidRPr="008D42B3">
        <w:rPr>
          <w:rFonts w:eastAsia="Times New Roman" w:cs="Arial"/>
          <w:color w:val="000000"/>
          <w:lang w:eastAsia="bg-BG"/>
        </w:rPr>
        <w:t>потенциално усложнение с фатален изход, характеризиращо се с хипертермия, скованост на мускулите и автономна нестабилност, както и повишение на СРК креатин фосфокиназа. При наличие на хипертермия, особено при прием на високи дневни дози, трябва да се прекрати употребата на всички антипсихотични средства, включително и на амисулприд.</w:t>
      </w:r>
    </w:p>
    <w:p w14:paraId="51366372" w14:textId="77777777" w:rsidR="008D42B3" w:rsidRPr="008D42B3" w:rsidRDefault="008D42B3" w:rsidP="008D42B3">
      <w:pPr>
        <w:spacing w:line="240" w:lineRule="auto"/>
        <w:jc w:val="both"/>
        <w:rPr>
          <w:rFonts w:eastAsia="Times New Roman" w:cs="Arial"/>
          <w:lang w:eastAsia="bg-BG"/>
        </w:rPr>
      </w:pPr>
      <w:r w:rsidRPr="008D42B3">
        <w:rPr>
          <w:rFonts w:eastAsia="Times New Roman" w:cs="Arial"/>
          <w:color w:val="000000"/>
          <w:lang w:eastAsia="bg-BG"/>
        </w:rPr>
        <w:t>•</w:t>
      </w:r>
      <w:r w:rsidRPr="008D42B3">
        <w:rPr>
          <w:rFonts w:eastAsia="Times New Roman" w:cs="Arial"/>
          <w:color w:val="000000"/>
          <w:lang w:eastAsia="bg-BG"/>
        </w:rPr>
        <w:tab/>
        <w:t>Подобно на другите антидопаминергични лекарствени продукти, амисулприд трябва да се предписва много внимателно при пациенти с паркинсонова болест поради риск от влошаване на заболяването. Амисулприд трябва да бъде прилаган само ако лечението с невролептици не може да се избегне.</w:t>
      </w:r>
    </w:p>
    <w:p w14:paraId="2E91DC97" w14:textId="77777777" w:rsidR="008D42B3" w:rsidRPr="008D42B3" w:rsidRDefault="008D42B3" w:rsidP="008D42B3">
      <w:pPr>
        <w:spacing w:line="240" w:lineRule="auto"/>
        <w:jc w:val="both"/>
        <w:rPr>
          <w:rFonts w:eastAsia="Times New Roman" w:cs="Arial"/>
          <w:lang w:eastAsia="bg-BG"/>
        </w:rPr>
      </w:pPr>
      <w:r w:rsidRPr="008D42B3">
        <w:rPr>
          <w:rFonts w:eastAsia="Times New Roman" w:cs="Arial"/>
          <w:b/>
          <w:bCs/>
          <w:color w:val="000000"/>
          <w:lang w:eastAsia="bg-BG"/>
        </w:rPr>
        <w:t>•</w:t>
      </w:r>
      <w:r w:rsidRPr="008D42B3">
        <w:rPr>
          <w:rFonts w:eastAsia="Times New Roman" w:cs="Arial"/>
          <w:b/>
          <w:bCs/>
          <w:color w:val="000000"/>
          <w:lang w:eastAsia="bg-BG"/>
        </w:rPr>
        <w:tab/>
        <w:t xml:space="preserve">Удължаване на </w:t>
      </w:r>
      <w:r w:rsidRPr="008D42B3">
        <w:rPr>
          <w:rFonts w:eastAsia="Times New Roman" w:cs="Arial"/>
          <w:b/>
          <w:bCs/>
          <w:color w:val="000000"/>
          <w:lang w:val="en-US"/>
        </w:rPr>
        <w:t>QT</w:t>
      </w:r>
      <w:r w:rsidRPr="008D42B3">
        <w:rPr>
          <w:rFonts w:eastAsia="Times New Roman" w:cs="Arial"/>
          <w:b/>
          <w:bCs/>
          <w:color w:val="000000"/>
          <w:lang w:eastAsia="bg-BG"/>
        </w:rPr>
        <w:t>-интервала:</w:t>
      </w:r>
      <w:r w:rsidRPr="008D42B3">
        <w:rPr>
          <w:rFonts w:eastAsia="Times New Roman" w:cs="Arial"/>
          <w:b/>
          <w:bCs/>
          <w:color w:val="000000"/>
          <w:lang w:eastAsia="bg-BG"/>
        </w:rPr>
        <w:tab/>
      </w:r>
    </w:p>
    <w:p w14:paraId="1704947B" w14:textId="60236F39" w:rsidR="008D42B3" w:rsidRDefault="008D42B3" w:rsidP="008D42B3">
      <w:pPr>
        <w:jc w:val="both"/>
        <w:rPr>
          <w:rFonts w:eastAsia="Times New Roman" w:cs="Arial"/>
          <w:color w:val="000000"/>
          <w:lang w:eastAsia="bg-BG"/>
        </w:rPr>
      </w:pPr>
      <w:r w:rsidRPr="008D42B3">
        <w:rPr>
          <w:rFonts w:eastAsia="Times New Roman" w:cs="Arial"/>
          <w:color w:val="000000"/>
          <w:lang w:eastAsia="bg-BG"/>
        </w:rPr>
        <w:t xml:space="preserve">Изисква се внимание, когато амисулприд се предписва на пациенти с известно сърдечно-съдово заболяване или фамилна анамнеза за удължаване на </w:t>
      </w:r>
      <w:r w:rsidRPr="008D42B3">
        <w:rPr>
          <w:rFonts w:eastAsia="Times New Roman" w:cs="Arial"/>
          <w:color w:val="000000"/>
          <w:lang w:val="en-US"/>
        </w:rPr>
        <w:t>QT</w:t>
      </w:r>
      <w:r w:rsidRPr="008D42B3">
        <w:rPr>
          <w:rFonts w:eastAsia="Times New Roman" w:cs="Arial"/>
          <w:color w:val="000000"/>
          <w:lang w:eastAsia="bg-BG"/>
        </w:rPr>
        <w:t>-интервала, както и трябва да се избягва едновременната употреба с невролептици.</w:t>
      </w:r>
    </w:p>
    <w:p w14:paraId="4A6ED3B8" w14:textId="77777777" w:rsidR="00061FFF" w:rsidRDefault="00061FFF" w:rsidP="008D42B3">
      <w:pPr>
        <w:jc w:val="both"/>
        <w:rPr>
          <w:rFonts w:eastAsia="Times New Roman" w:cs="Arial"/>
          <w:color w:val="000000"/>
          <w:lang w:eastAsia="bg-BG"/>
        </w:rPr>
      </w:pPr>
    </w:p>
    <w:p w14:paraId="09E43FF2" w14:textId="77777777" w:rsidR="008D42B3" w:rsidRPr="008D42B3" w:rsidRDefault="008D42B3" w:rsidP="008D42B3">
      <w:pPr>
        <w:spacing w:line="240" w:lineRule="auto"/>
        <w:jc w:val="both"/>
        <w:rPr>
          <w:rFonts w:eastAsia="Times New Roman" w:cs="Arial"/>
          <w:lang w:eastAsia="bg-BG"/>
        </w:rPr>
      </w:pPr>
      <w:r w:rsidRPr="008D42B3">
        <w:rPr>
          <w:rFonts w:eastAsia="Times New Roman" w:cs="Arial"/>
          <w:b/>
          <w:bCs/>
          <w:color w:val="000000"/>
          <w:lang w:eastAsia="bg-BG"/>
        </w:rPr>
        <w:t>Инсулт:</w:t>
      </w:r>
    </w:p>
    <w:p w14:paraId="4EE34936" w14:textId="55A323BB" w:rsidR="008D42B3" w:rsidRDefault="008D42B3" w:rsidP="008D42B3">
      <w:pPr>
        <w:jc w:val="both"/>
        <w:rPr>
          <w:rFonts w:eastAsia="Times New Roman" w:cs="Arial"/>
          <w:color w:val="000000"/>
          <w:lang w:eastAsia="bg-BG"/>
        </w:rPr>
      </w:pPr>
      <w:r w:rsidRPr="008D42B3">
        <w:rPr>
          <w:rFonts w:eastAsia="Times New Roman" w:cs="Arial"/>
          <w:color w:val="000000"/>
          <w:lang w:eastAsia="bg-BG"/>
        </w:rPr>
        <w:t xml:space="preserve">При проведени рандмозирани плацебо-контролирани клинични проучвания при възрастни пациенти с деменция, лекувани с атипични антипсихотични лекарствени продукти, е наблюдавано трикратно увеличение на риска от мозъчно-съдови инциденти. Не е известен механизмът на увеличаване на този риск. Повишаване на риска при други антипсихотични лекарства или други групи пациенти не може да бъде изключен. </w:t>
      </w:r>
      <w:r>
        <w:rPr>
          <w:rFonts w:eastAsia="Times New Roman" w:cs="Arial"/>
          <w:color w:val="000000"/>
          <w:lang w:eastAsia="bg-BG"/>
        </w:rPr>
        <w:t>Амисулприд трябва да бъде използван с внимание при пациенти с известни рискове за инсулт.</w:t>
      </w:r>
    </w:p>
    <w:p w14:paraId="6E9E9532" w14:textId="77777777" w:rsidR="00061FFF" w:rsidRDefault="00061FFF" w:rsidP="008D42B3">
      <w:pPr>
        <w:jc w:val="both"/>
        <w:rPr>
          <w:rFonts w:eastAsia="Times New Roman" w:cs="Arial"/>
          <w:color w:val="000000"/>
          <w:lang w:eastAsia="bg-BG"/>
        </w:rPr>
      </w:pPr>
    </w:p>
    <w:p w14:paraId="36719FFB" w14:textId="77777777" w:rsidR="008D42B3" w:rsidRPr="008D42B3" w:rsidRDefault="008D42B3" w:rsidP="00061FFF">
      <w:pPr>
        <w:pStyle w:val="ListParagraph"/>
        <w:numPr>
          <w:ilvl w:val="0"/>
          <w:numId w:val="35"/>
        </w:numPr>
        <w:spacing w:line="240" w:lineRule="auto"/>
        <w:rPr>
          <w:rFonts w:eastAsia="Times New Roman" w:cs="Arial"/>
          <w:b/>
          <w:bCs/>
          <w:color w:val="000000"/>
          <w:lang w:eastAsia="bg-BG"/>
        </w:rPr>
      </w:pPr>
      <w:r w:rsidRPr="008D42B3">
        <w:rPr>
          <w:rFonts w:eastAsia="Times New Roman" w:cs="Arial"/>
          <w:b/>
          <w:bCs/>
          <w:color w:val="000000"/>
          <w:lang w:eastAsia="bg-BG"/>
        </w:rPr>
        <w:t>Възрастни пациенти с деменция:</w:t>
      </w:r>
    </w:p>
    <w:p w14:paraId="401328B7" w14:textId="77777777" w:rsidR="008D42B3" w:rsidRPr="008D42B3" w:rsidRDefault="008D42B3" w:rsidP="008D42B3">
      <w:pPr>
        <w:spacing w:line="240" w:lineRule="auto"/>
        <w:jc w:val="both"/>
        <w:rPr>
          <w:rFonts w:eastAsia="Times New Roman" w:cs="Arial"/>
          <w:lang w:eastAsia="bg-BG"/>
        </w:rPr>
      </w:pPr>
      <w:r w:rsidRPr="008D42B3">
        <w:rPr>
          <w:rFonts w:eastAsia="Times New Roman" w:cs="Arial"/>
          <w:color w:val="000000"/>
          <w:lang w:eastAsia="bg-BG"/>
        </w:rPr>
        <w:t>Възрастни пациенти с деменция и свързани с нея психози, лекувани с антипсихотични продукти, са с увеличен риск от смърт. Анализ на 17 плацебо-контролирани проучвания (с продължителност от 10 седмици), основно сред пациенти, приемащи антипсихотични лекарствени продукти, показва риск от смърт при лекуваните пациенти между 1,6 до 1,7 пъти по-висок, в сравнение с плацебо групата. След проведеното типично 10-седмично клинично проучване, честотата на смъртни случаи при лекуваните пациенти е била около 4,5%, в сравнение с честотата на случаите при плацебо-групата от 2,6%, като причините за смърт в клиничните проучвания с атипични антипсихотици могат да бъдат различни. Констатирани са смъртни случаи от сърдечно-съдов произход (сърдечна недостатъчност, внезапна смърт) или инфекции (напр. пневмония). Обсервационниге проучвания показват, че подобно на атипичните антипсихотици, лечението с конвенционалните антипсихотици може да увеличи смъртността.</w:t>
      </w:r>
    </w:p>
    <w:p w14:paraId="43818EAF" w14:textId="54CE9E51" w:rsidR="008D42B3" w:rsidRDefault="008D42B3" w:rsidP="008D42B3">
      <w:pPr>
        <w:jc w:val="both"/>
        <w:rPr>
          <w:rFonts w:eastAsia="Times New Roman" w:cs="Arial"/>
          <w:color w:val="000000"/>
          <w:lang w:eastAsia="bg-BG"/>
        </w:rPr>
      </w:pPr>
      <w:r w:rsidRPr="008D42B3">
        <w:rPr>
          <w:rFonts w:eastAsia="Times New Roman" w:cs="Arial"/>
          <w:color w:val="000000"/>
          <w:lang w:eastAsia="bg-BG"/>
        </w:rPr>
        <w:t>Не е ясна степента, до която данните за увеличена смъртност в обсервационниге проучвания може да се отдадат на антипсихотичните лекарства, в сравнение с някои от състоянията на пациентите.</w:t>
      </w:r>
    </w:p>
    <w:p w14:paraId="159C6CB5" w14:textId="77777777" w:rsidR="00061FFF" w:rsidRDefault="00061FFF" w:rsidP="008D42B3">
      <w:pPr>
        <w:jc w:val="both"/>
        <w:rPr>
          <w:rFonts w:eastAsia="Times New Roman" w:cs="Arial"/>
          <w:color w:val="000000"/>
          <w:lang w:eastAsia="bg-BG"/>
        </w:rPr>
      </w:pPr>
    </w:p>
    <w:p w14:paraId="5996F4D1" w14:textId="012D3B0A" w:rsidR="008D42B3" w:rsidRPr="008D42B3" w:rsidRDefault="008D42B3" w:rsidP="00061FFF">
      <w:pPr>
        <w:spacing w:line="240" w:lineRule="auto"/>
        <w:rPr>
          <w:rFonts w:eastAsia="Times New Roman" w:cs="Arial"/>
          <w:lang w:eastAsia="bg-BG"/>
        </w:rPr>
      </w:pPr>
      <w:r w:rsidRPr="008D42B3">
        <w:rPr>
          <w:rFonts w:eastAsia="Times New Roman" w:cs="Arial"/>
          <w:b/>
          <w:bCs/>
          <w:color w:val="000000"/>
          <w:lang w:eastAsia="bg-BG"/>
        </w:rPr>
        <w:t>• Венозен тромбоемболизъм</w:t>
      </w:r>
    </w:p>
    <w:p w14:paraId="397B994C" w14:textId="2D032915" w:rsidR="008D42B3" w:rsidRDefault="008D42B3" w:rsidP="008D42B3">
      <w:pPr>
        <w:spacing w:line="240" w:lineRule="auto"/>
        <w:jc w:val="both"/>
        <w:rPr>
          <w:rFonts w:eastAsia="Times New Roman" w:cs="Arial"/>
          <w:color w:val="000000"/>
          <w:lang w:eastAsia="bg-BG"/>
        </w:rPr>
      </w:pPr>
      <w:r w:rsidRPr="008D42B3">
        <w:rPr>
          <w:rFonts w:eastAsia="Times New Roman" w:cs="Arial"/>
          <w:color w:val="000000"/>
          <w:lang w:eastAsia="bg-BG"/>
        </w:rPr>
        <w:t>Случаи на венозен тромбоемболизъм, (ВТЕ) са били докладвани при употребата на антипсихотични лекарства. Тъй като пациентите, лекувани с антипсихотици, често са с придобити рискови фактори за ВТЕ, всички съществуващи рискове за ВТЕ трябва да се идентифицират преди и след лечението с Алонет и да се преприемат съответните превантивни мерки.</w:t>
      </w:r>
    </w:p>
    <w:p w14:paraId="6D4BCF7C" w14:textId="77777777" w:rsidR="00061FFF" w:rsidRDefault="00061FFF" w:rsidP="008D42B3">
      <w:pPr>
        <w:spacing w:line="240" w:lineRule="auto"/>
        <w:jc w:val="both"/>
        <w:rPr>
          <w:rFonts w:eastAsia="Times New Roman" w:cs="Arial"/>
          <w:color w:val="000000"/>
          <w:lang w:eastAsia="bg-BG"/>
        </w:rPr>
      </w:pPr>
    </w:p>
    <w:p w14:paraId="5E7AE149" w14:textId="1063C57B" w:rsidR="008D42B3" w:rsidRPr="00061FFF" w:rsidRDefault="008D42B3" w:rsidP="008D42B3">
      <w:pPr>
        <w:pStyle w:val="ListParagraph"/>
        <w:numPr>
          <w:ilvl w:val="0"/>
          <w:numId w:val="35"/>
        </w:numPr>
        <w:spacing w:line="240" w:lineRule="auto"/>
        <w:jc w:val="both"/>
        <w:rPr>
          <w:rFonts w:eastAsia="Times New Roman" w:cs="Arial"/>
          <w:lang w:eastAsia="bg-BG"/>
        </w:rPr>
      </w:pPr>
      <w:r w:rsidRPr="008D42B3">
        <w:rPr>
          <w:rFonts w:eastAsia="Times New Roman" w:cs="Arial"/>
          <w:color w:val="000000"/>
          <w:lang w:eastAsia="bg-BG"/>
        </w:rPr>
        <w:t xml:space="preserve">Установена е хипергликемия при пациенти, лекувани с някои атипични антипсихотични продукти, включително амисулприд. Поради тази причина трябва </w:t>
      </w:r>
      <w:r w:rsidRPr="008D42B3">
        <w:rPr>
          <w:rFonts w:eastAsia="Times New Roman" w:cs="Arial"/>
          <w:color w:val="000000"/>
          <w:lang w:eastAsia="bg-BG"/>
        </w:rPr>
        <w:lastRenderedPageBreak/>
        <w:t>да бъдат проследявани нивата на глюкозата при пациенти с установена диагноза диабет или с риск за диабет, приемащи амисулприд.</w:t>
      </w:r>
    </w:p>
    <w:p w14:paraId="5E9BB5DB" w14:textId="77777777" w:rsidR="00061FFF" w:rsidRPr="00061FFF" w:rsidRDefault="00061FFF" w:rsidP="00061FFF">
      <w:pPr>
        <w:spacing w:line="240" w:lineRule="auto"/>
        <w:ind w:left="360"/>
        <w:jc w:val="both"/>
        <w:rPr>
          <w:rFonts w:eastAsia="Times New Roman" w:cs="Arial"/>
          <w:lang w:eastAsia="bg-BG"/>
        </w:rPr>
      </w:pPr>
    </w:p>
    <w:p w14:paraId="2B21A794" w14:textId="79D0DCCF" w:rsidR="008D42B3" w:rsidRDefault="008D42B3" w:rsidP="008D42B3">
      <w:pPr>
        <w:pStyle w:val="ListParagraph"/>
        <w:numPr>
          <w:ilvl w:val="0"/>
          <w:numId w:val="35"/>
        </w:numPr>
        <w:spacing w:line="240" w:lineRule="auto"/>
        <w:jc w:val="both"/>
        <w:rPr>
          <w:rFonts w:eastAsia="Times New Roman" w:cs="Arial"/>
          <w:color w:val="000000"/>
          <w:lang w:eastAsia="bg-BG"/>
        </w:rPr>
      </w:pPr>
      <w:r w:rsidRPr="008D42B3">
        <w:rPr>
          <w:rFonts w:eastAsia="Times New Roman" w:cs="Arial"/>
          <w:color w:val="000000"/>
          <w:lang w:eastAsia="bg-BG"/>
        </w:rPr>
        <w:t>Амисулприд може да понижи гърчовия праг. Пациенти с анамнеза за епилепсия трябва внимателно да се проследяват при лечение с амисулприд.</w:t>
      </w:r>
    </w:p>
    <w:p w14:paraId="7A7259EE" w14:textId="77777777" w:rsidR="00061FFF" w:rsidRPr="00061FFF" w:rsidRDefault="00061FFF" w:rsidP="00061FFF">
      <w:pPr>
        <w:pStyle w:val="ListParagraph"/>
        <w:rPr>
          <w:rFonts w:eastAsia="Times New Roman" w:cs="Arial"/>
          <w:color w:val="000000"/>
          <w:lang w:eastAsia="bg-BG"/>
        </w:rPr>
      </w:pPr>
    </w:p>
    <w:p w14:paraId="5CB3D800" w14:textId="77777777" w:rsidR="00061FFF" w:rsidRPr="008D42B3" w:rsidRDefault="00061FFF" w:rsidP="00061FFF">
      <w:pPr>
        <w:pStyle w:val="ListParagraph"/>
        <w:spacing w:line="240" w:lineRule="auto"/>
        <w:jc w:val="both"/>
        <w:rPr>
          <w:rFonts w:eastAsia="Times New Roman" w:cs="Arial"/>
          <w:color w:val="000000"/>
          <w:lang w:eastAsia="bg-BG"/>
        </w:rPr>
      </w:pPr>
    </w:p>
    <w:p w14:paraId="4526AE7C" w14:textId="56345588" w:rsidR="008D42B3" w:rsidRPr="00061FFF" w:rsidRDefault="008D42B3" w:rsidP="008D42B3">
      <w:pPr>
        <w:pStyle w:val="ListParagraph"/>
        <w:numPr>
          <w:ilvl w:val="0"/>
          <w:numId w:val="35"/>
        </w:numPr>
        <w:spacing w:line="240" w:lineRule="auto"/>
        <w:jc w:val="both"/>
        <w:rPr>
          <w:rFonts w:eastAsia="Times New Roman" w:cs="Arial"/>
          <w:color w:val="000000"/>
          <w:lang w:eastAsia="bg-BG"/>
        </w:rPr>
      </w:pPr>
      <w:r w:rsidRPr="008D42B3">
        <w:rPr>
          <w:rFonts w:eastAsia="Times New Roman" w:cs="Arial"/>
          <w:color w:val="000000"/>
          <w:lang w:eastAsia="bg-BG"/>
        </w:rPr>
        <w:t xml:space="preserve">Амисулприд се елиминира чрез бъбреците. В случай на бъбречна недостатъчност дозата трябва да се редуцира или да се има предвид провеждане на интермитентна терапия (вж. точка 4.2 </w:t>
      </w:r>
      <w:r w:rsidRPr="008D42B3">
        <w:rPr>
          <w:rFonts w:eastAsia="Times New Roman" w:cs="Arial"/>
          <w:i/>
          <w:iCs/>
          <w:color w:val="000000"/>
          <w:lang w:eastAsia="bg-BG"/>
        </w:rPr>
        <w:t>Дозировка и начин на приложение).</w:t>
      </w:r>
    </w:p>
    <w:p w14:paraId="30C22071" w14:textId="77777777" w:rsidR="00061FFF" w:rsidRPr="008D42B3" w:rsidRDefault="00061FFF" w:rsidP="00061FFF">
      <w:pPr>
        <w:pStyle w:val="ListParagraph"/>
        <w:spacing w:line="240" w:lineRule="auto"/>
        <w:jc w:val="both"/>
        <w:rPr>
          <w:rFonts w:eastAsia="Times New Roman" w:cs="Arial"/>
          <w:color w:val="000000"/>
          <w:lang w:eastAsia="bg-BG"/>
        </w:rPr>
      </w:pPr>
    </w:p>
    <w:p w14:paraId="2FD395A0" w14:textId="64A78C2F" w:rsidR="008D42B3" w:rsidRDefault="008D42B3" w:rsidP="008D42B3">
      <w:pPr>
        <w:pStyle w:val="ListParagraph"/>
        <w:numPr>
          <w:ilvl w:val="0"/>
          <w:numId w:val="35"/>
        </w:numPr>
        <w:spacing w:line="240" w:lineRule="auto"/>
        <w:jc w:val="both"/>
        <w:rPr>
          <w:rFonts w:eastAsia="Times New Roman" w:cs="Arial"/>
          <w:color w:val="000000"/>
          <w:lang w:eastAsia="bg-BG"/>
        </w:rPr>
      </w:pPr>
      <w:r w:rsidRPr="008D42B3">
        <w:rPr>
          <w:rFonts w:eastAsia="Times New Roman" w:cs="Arial"/>
          <w:color w:val="000000"/>
          <w:lang w:eastAsia="bg-BG"/>
        </w:rPr>
        <w:t>При пациенти в старческа възраст, амисулприд, подобно на другите невролептици, трябва да се употребява много внимателно, поради наличие на риск от появата на хипотония или седация. Намаляване на дозата може да се наложи</w:t>
      </w:r>
      <w:r w:rsidR="00061FFF">
        <w:rPr>
          <w:rFonts w:eastAsia="Times New Roman" w:cs="Arial"/>
          <w:color w:val="000000"/>
          <w:lang w:eastAsia="bg-BG"/>
        </w:rPr>
        <w:t xml:space="preserve"> поради бъбречна недостатъчност</w:t>
      </w:r>
    </w:p>
    <w:p w14:paraId="15FF0218" w14:textId="77777777" w:rsidR="00061FFF" w:rsidRPr="00061FFF" w:rsidRDefault="00061FFF" w:rsidP="00061FFF">
      <w:pPr>
        <w:pStyle w:val="ListParagraph"/>
        <w:rPr>
          <w:rFonts w:eastAsia="Times New Roman" w:cs="Arial"/>
          <w:color w:val="000000"/>
          <w:lang w:eastAsia="bg-BG"/>
        </w:rPr>
      </w:pPr>
    </w:p>
    <w:p w14:paraId="0AB9D3CC" w14:textId="77777777" w:rsidR="00061FFF" w:rsidRPr="008D42B3" w:rsidRDefault="00061FFF" w:rsidP="00061FFF">
      <w:pPr>
        <w:pStyle w:val="ListParagraph"/>
        <w:spacing w:line="240" w:lineRule="auto"/>
        <w:jc w:val="both"/>
        <w:rPr>
          <w:rFonts w:eastAsia="Times New Roman" w:cs="Arial"/>
          <w:color w:val="000000"/>
          <w:lang w:eastAsia="bg-BG"/>
        </w:rPr>
      </w:pPr>
    </w:p>
    <w:p w14:paraId="796FD6AA" w14:textId="77169695" w:rsidR="008D42B3" w:rsidRDefault="008D42B3" w:rsidP="008D42B3">
      <w:pPr>
        <w:pStyle w:val="ListParagraph"/>
        <w:numPr>
          <w:ilvl w:val="0"/>
          <w:numId w:val="35"/>
        </w:numPr>
        <w:jc w:val="both"/>
        <w:rPr>
          <w:rFonts w:eastAsia="Times New Roman" w:cs="Arial"/>
          <w:color w:val="000000"/>
          <w:lang w:eastAsia="bg-BG"/>
        </w:rPr>
      </w:pPr>
      <w:r w:rsidRPr="008D42B3">
        <w:rPr>
          <w:rFonts w:eastAsia="Times New Roman" w:cs="Arial"/>
          <w:color w:val="000000"/>
          <w:lang w:eastAsia="bg-BG"/>
        </w:rPr>
        <w:t>Симптоми на отнемането, включително гадене, повръщане и инсомния са били описани след внезапно прекъсване на високи терапевтични дози на антипсихотични лекарства. Възобновяване на психичните симптоми, както и възникване на неволеви смущения в движението (като акатизия, дистония и дискинезия) са били докладвани при употребата на амисулприд. Следователно, се препоръчва постепенното прекъсване на амисулприд.</w:t>
      </w:r>
    </w:p>
    <w:p w14:paraId="389BC00D" w14:textId="77777777" w:rsidR="008D42B3" w:rsidRDefault="008D42B3" w:rsidP="008D42B3">
      <w:pPr>
        <w:pStyle w:val="ListParagraph"/>
        <w:jc w:val="both"/>
        <w:rPr>
          <w:rFonts w:eastAsia="Times New Roman" w:cs="Arial"/>
          <w:color w:val="000000"/>
          <w:lang w:eastAsia="bg-BG"/>
        </w:rPr>
      </w:pPr>
    </w:p>
    <w:p w14:paraId="3F21C79D" w14:textId="1A8B67B1" w:rsidR="008D42B3" w:rsidRPr="008D42B3" w:rsidRDefault="008D42B3" w:rsidP="008D42B3">
      <w:pPr>
        <w:pStyle w:val="ListParagraph"/>
        <w:numPr>
          <w:ilvl w:val="0"/>
          <w:numId w:val="35"/>
        </w:numPr>
        <w:spacing w:line="240" w:lineRule="auto"/>
        <w:jc w:val="both"/>
        <w:rPr>
          <w:rFonts w:eastAsia="Times New Roman" w:cs="Arial"/>
          <w:lang w:eastAsia="bg-BG"/>
        </w:rPr>
      </w:pPr>
      <w:r w:rsidRPr="008D42B3">
        <w:rPr>
          <w:rFonts w:eastAsia="Times New Roman" w:cs="Arial"/>
          <w:color w:val="000000"/>
          <w:lang w:eastAsia="bg-BG"/>
        </w:rPr>
        <w:t xml:space="preserve">Левкопения, неутропения и агранулоцитоза са били докладвани при антиписохотици, включително Алонет 400 </w:t>
      </w:r>
      <w:r w:rsidRPr="008D42B3">
        <w:rPr>
          <w:rFonts w:eastAsia="Times New Roman" w:cs="Arial"/>
          <w:color w:val="000000"/>
          <w:lang w:val="en-US"/>
        </w:rPr>
        <w:t xml:space="preserve">mg. </w:t>
      </w:r>
      <w:r w:rsidRPr="008D42B3">
        <w:rPr>
          <w:rFonts w:eastAsia="Times New Roman" w:cs="Arial"/>
          <w:color w:val="000000"/>
          <w:lang w:eastAsia="bg-BG"/>
        </w:rPr>
        <w:t>Инфекции с неясен произход могат да са доказателство за промени в кръвната картина (вж. точка 4.8) и да се наложи незабавно изследване на кръвта.</w:t>
      </w:r>
    </w:p>
    <w:p w14:paraId="6A8F7617" w14:textId="77777777" w:rsidR="008D42B3" w:rsidRPr="008D42B3" w:rsidRDefault="008D42B3" w:rsidP="008D42B3">
      <w:pPr>
        <w:pStyle w:val="ListParagraph"/>
        <w:rPr>
          <w:rFonts w:eastAsia="Times New Roman" w:cs="Arial"/>
          <w:lang w:eastAsia="bg-BG"/>
        </w:rPr>
      </w:pPr>
    </w:p>
    <w:p w14:paraId="7115C0B9" w14:textId="77777777" w:rsidR="008D42B3" w:rsidRPr="008D42B3" w:rsidRDefault="008D42B3" w:rsidP="008D42B3">
      <w:pPr>
        <w:pStyle w:val="ListParagraph"/>
        <w:spacing w:line="240" w:lineRule="auto"/>
        <w:rPr>
          <w:rFonts w:eastAsia="Times New Roman" w:cs="Arial"/>
          <w:lang w:eastAsia="bg-BG"/>
        </w:rPr>
      </w:pPr>
    </w:p>
    <w:p w14:paraId="2A619A9B" w14:textId="0DF3AD4D" w:rsidR="008D42B3" w:rsidRPr="008D42B3" w:rsidRDefault="008D42B3" w:rsidP="008D42B3">
      <w:pPr>
        <w:pStyle w:val="ListParagraph"/>
        <w:rPr>
          <w:rFonts w:eastAsia="Times New Roman" w:cs="Arial"/>
          <w:color w:val="000000"/>
          <w:lang w:eastAsia="bg-BG"/>
        </w:rPr>
      </w:pPr>
      <w:r w:rsidRPr="008D42B3">
        <w:rPr>
          <w:rFonts w:eastAsia="Times New Roman" w:cs="Arial"/>
          <w:color w:val="000000"/>
          <w:lang w:eastAsia="bg-BG"/>
        </w:rPr>
        <w:t xml:space="preserve">Пациенти с редки наследствени проблеми на галактозна непоносимост, </w:t>
      </w:r>
      <w:r w:rsidRPr="008D42B3">
        <w:rPr>
          <w:rFonts w:eastAsia="Times New Roman" w:cs="Arial"/>
          <w:color w:val="000000"/>
          <w:lang w:val="en-US"/>
        </w:rPr>
        <w:t xml:space="preserve">Lapp </w:t>
      </w:r>
      <w:r w:rsidRPr="008D42B3">
        <w:rPr>
          <w:rFonts w:eastAsia="Times New Roman" w:cs="Arial"/>
          <w:color w:val="000000"/>
          <w:lang w:eastAsia="bg-BG"/>
        </w:rPr>
        <w:t>лактазен дефицит или глюкозо-галактозна малабсорбция не трябва да приемат това лекарство.</w:t>
      </w:r>
    </w:p>
    <w:p w14:paraId="50AE8FDF" w14:textId="77777777" w:rsidR="008D42B3" w:rsidRPr="008D42B3" w:rsidRDefault="008D42B3" w:rsidP="008D42B3">
      <w:pPr>
        <w:rPr>
          <w:rFonts w:eastAsia="Times New Roman" w:cs="Arial"/>
          <w:color w:val="000000"/>
          <w:lang w:eastAsia="bg-BG"/>
        </w:rPr>
      </w:pPr>
    </w:p>
    <w:p w14:paraId="689013A9" w14:textId="77777777" w:rsidR="008D42B3" w:rsidRPr="008D42B3" w:rsidRDefault="008D42B3" w:rsidP="008D42B3">
      <w:pPr>
        <w:rPr>
          <w:rFonts w:cs="Arial"/>
        </w:rPr>
      </w:pPr>
    </w:p>
    <w:p w14:paraId="619DED1E" w14:textId="2EC088B6"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2B4988DB" w14:textId="3F141220" w:rsidR="008D42B3" w:rsidRDefault="008D42B3" w:rsidP="008D42B3"/>
    <w:p w14:paraId="0321818E" w14:textId="77777777" w:rsidR="008D42B3" w:rsidRPr="008D42B3" w:rsidRDefault="008D42B3" w:rsidP="008D42B3">
      <w:pPr>
        <w:spacing w:line="240" w:lineRule="auto"/>
        <w:jc w:val="both"/>
        <w:rPr>
          <w:rFonts w:eastAsia="Times New Roman" w:cs="Arial"/>
          <w:b/>
          <w:lang w:eastAsia="bg-BG"/>
        </w:rPr>
      </w:pPr>
      <w:r w:rsidRPr="008D42B3">
        <w:rPr>
          <w:rFonts w:eastAsia="Times New Roman" w:cs="Arial"/>
          <w:b/>
          <w:i/>
          <w:iCs/>
          <w:color w:val="000000"/>
          <w:lang w:eastAsia="bg-BG"/>
        </w:rPr>
        <w:t>Противопоказани комбинации</w:t>
      </w:r>
    </w:p>
    <w:p w14:paraId="3773C5EE" w14:textId="77777777" w:rsidR="008D42B3" w:rsidRPr="00EB1104" w:rsidRDefault="008D42B3" w:rsidP="00EB1104">
      <w:pPr>
        <w:pStyle w:val="ListParagraph"/>
        <w:numPr>
          <w:ilvl w:val="0"/>
          <w:numId w:val="36"/>
        </w:numPr>
        <w:spacing w:line="240" w:lineRule="auto"/>
        <w:jc w:val="both"/>
        <w:rPr>
          <w:rFonts w:eastAsia="Times New Roman" w:cs="Arial"/>
          <w:color w:val="000000"/>
          <w:lang w:eastAsia="bg-BG"/>
        </w:rPr>
      </w:pPr>
      <w:r w:rsidRPr="00EB1104">
        <w:rPr>
          <w:rFonts w:eastAsia="Times New Roman" w:cs="Arial"/>
          <w:color w:val="000000"/>
          <w:lang w:eastAsia="bg-BG"/>
        </w:rPr>
        <w:t>Леводопа: реципрочен антагонизъм на ефектите между леводопа и невролептици.</w:t>
      </w:r>
    </w:p>
    <w:p w14:paraId="660D3C82" w14:textId="77777777" w:rsidR="00EB1104" w:rsidRDefault="00EB1104" w:rsidP="008D42B3">
      <w:pPr>
        <w:spacing w:line="240" w:lineRule="auto"/>
        <w:jc w:val="both"/>
        <w:rPr>
          <w:rFonts w:eastAsia="Times New Roman" w:cs="Arial"/>
          <w:color w:val="000000"/>
          <w:lang w:eastAsia="bg-BG"/>
        </w:rPr>
      </w:pPr>
    </w:p>
    <w:p w14:paraId="6F7D0EC8" w14:textId="673136B9" w:rsidR="008D42B3" w:rsidRPr="008D42B3" w:rsidRDefault="008D42B3" w:rsidP="008D42B3">
      <w:pPr>
        <w:spacing w:line="240" w:lineRule="auto"/>
        <w:jc w:val="both"/>
        <w:rPr>
          <w:rFonts w:eastAsia="Times New Roman" w:cs="Arial"/>
          <w:lang w:eastAsia="bg-BG"/>
        </w:rPr>
      </w:pPr>
      <w:r w:rsidRPr="008D42B3">
        <w:rPr>
          <w:rFonts w:eastAsia="Times New Roman" w:cs="Arial"/>
          <w:color w:val="000000"/>
          <w:lang w:eastAsia="bg-BG"/>
        </w:rPr>
        <w:t>Амисулприд може да възпрепятства ефекта на допаминовите агонисти, напр. бромокриптин, ропинирол</w:t>
      </w:r>
    </w:p>
    <w:p w14:paraId="1454B985" w14:textId="77777777" w:rsidR="00EB1104" w:rsidRDefault="00EB1104" w:rsidP="008D42B3">
      <w:pPr>
        <w:spacing w:line="240" w:lineRule="auto"/>
        <w:jc w:val="both"/>
        <w:rPr>
          <w:rFonts w:eastAsia="Times New Roman" w:cs="Arial"/>
          <w:i/>
          <w:iCs/>
          <w:color w:val="000000"/>
          <w:lang w:eastAsia="bg-BG"/>
        </w:rPr>
      </w:pPr>
    </w:p>
    <w:p w14:paraId="2BACFEE7" w14:textId="14C9948E" w:rsidR="008D42B3" w:rsidRPr="008D42B3" w:rsidRDefault="008D42B3" w:rsidP="008D42B3">
      <w:pPr>
        <w:spacing w:line="240" w:lineRule="auto"/>
        <w:jc w:val="both"/>
        <w:rPr>
          <w:rFonts w:eastAsia="Times New Roman" w:cs="Arial"/>
          <w:b/>
          <w:lang w:eastAsia="bg-BG"/>
        </w:rPr>
      </w:pPr>
      <w:r w:rsidRPr="008D42B3">
        <w:rPr>
          <w:rFonts w:eastAsia="Times New Roman" w:cs="Arial"/>
          <w:b/>
          <w:i/>
          <w:iCs/>
          <w:color w:val="000000"/>
          <w:lang w:eastAsia="bg-BG"/>
        </w:rPr>
        <w:t>Непрепоръчителни комбинации</w:t>
      </w:r>
    </w:p>
    <w:p w14:paraId="26BB9B4B" w14:textId="1EF5DF2F" w:rsidR="008D42B3" w:rsidRDefault="008D42B3" w:rsidP="00EB1104">
      <w:pPr>
        <w:pStyle w:val="ListParagraph"/>
        <w:numPr>
          <w:ilvl w:val="0"/>
          <w:numId w:val="36"/>
        </w:numPr>
        <w:spacing w:line="240" w:lineRule="auto"/>
        <w:jc w:val="both"/>
        <w:rPr>
          <w:rFonts w:eastAsia="Times New Roman" w:cs="Arial"/>
          <w:color w:val="000000"/>
          <w:lang w:eastAsia="bg-BG"/>
        </w:rPr>
      </w:pPr>
      <w:r w:rsidRPr="00EB1104">
        <w:rPr>
          <w:rFonts w:eastAsia="Times New Roman" w:cs="Arial"/>
          <w:color w:val="000000"/>
          <w:lang w:eastAsia="bg-BG"/>
        </w:rPr>
        <w:t>Амисулприд може да потенцира централния ефект на алкохола.</w:t>
      </w:r>
    </w:p>
    <w:p w14:paraId="597FBEDA" w14:textId="77777777" w:rsidR="00EB1104" w:rsidRPr="00EB1104" w:rsidRDefault="00EB1104" w:rsidP="00EB1104">
      <w:pPr>
        <w:pStyle w:val="ListParagraph"/>
        <w:spacing w:line="240" w:lineRule="auto"/>
        <w:jc w:val="both"/>
        <w:rPr>
          <w:rFonts w:eastAsia="Times New Roman" w:cs="Arial"/>
          <w:color w:val="000000"/>
          <w:lang w:eastAsia="bg-BG"/>
        </w:rPr>
      </w:pPr>
    </w:p>
    <w:p w14:paraId="288A92DF" w14:textId="5A02C487" w:rsidR="00EB1104" w:rsidRPr="008D42B3" w:rsidRDefault="008D42B3" w:rsidP="008D42B3">
      <w:pPr>
        <w:spacing w:line="240" w:lineRule="auto"/>
        <w:jc w:val="both"/>
        <w:rPr>
          <w:rFonts w:eastAsia="Times New Roman" w:cs="Arial"/>
          <w:b/>
          <w:i/>
          <w:iCs/>
          <w:color w:val="000000"/>
          <w:lang w:eastAsia="bg-BG"/>
        </w:rPr>
      </w:pPr>
      <w:r w:rsidRPr="008D42B3">
        <w:rPr>
          <w:rFonts w:eastAsia="Times New Roman" w:cs="Arial"/>
          <w:b/>
          <w:i/>
          <w:iCs/>
          <w:color w:val="000000"/>
          <w:lang w:eastAsia="bg-BG"/>
        </w:rPr>
        <w:t>Комбинации, които трябва да се вземат под внимание</w:t>
      </w:r>
    </w:p>
    <w:p w14:paraId="118C7E7E" w14:textId="77777777" w:rsidR="008D42B3" w:rsidRPr="00EB1104" w:rsidRDefault="008D42B3" w:rsidP="00EB1104">
      <w:pPr>
        <w:pStyle w:val="ListParagraph"/>
        <w:numPr>
          <w:ilvl w:val="0"/>
          <w:numId w:val="36"/>
        </w:numPr>
        <w:spacing w:line="240" w:lineRule="auto"/>
        <w:jc w:val="both"/>
        <w:rPr>
          <w:rFonts w:eastAsia="Times New Roman" w:cs="Arial"/>
          <w:b/>
          <w:bCs/>
          <w:color w:val="000000"/>
          <w:lang w:eastAsia="bg-BG"/>
        </w:rPr>
      </w:pPr>
      <w:r w:rsidRPr="00EB1104">
        <w:rPr>
          <w:rFonts w:eastAsia="Times New Roman" w:cs="Arial"/>
          <w:b/>
          <w:bCs/>
          <w:color w:val="000000"/>
          <w:lang w:eastAsia="bg-BG"/>
        </w:rPr>
        <w:lastRenderedPageBreak/>
        <w:t xml:space="preserve">Депресанти на ЦНС, </w:t>
      </w:r>
      <w:r w:rsidRPr="00EB1104">
        <w:rPr>
          <w:rFonts w:eastAsia="Times New Roman" w:cs="Arial"/>
          <w:color w:val="000000"/>
          <w:lang w:eastAsia="bg-BG"/>
        </w:rPr>
        <w:t>включително наркотични продукти, аналгетици, седативни Ш антихистамини, барбитурати; бензодиазепини и други анксиолитици, клонидин и производни.</w:t>
      </w:r>
    </w:p>
    <w:p w14:paraId="55DD631E" w14:textId="77777777" w:rsidR="008D42B3" w:rsidRPr="00EB1104" w:rsidRDefault="008D42B3" w:rsidP="00EB1104">
      <w:pPr>
        <w:pStyle w:val="ListParagraph"/>
        <w:numPr>
          <w:ilvl w:val="0"/>
          <w:numId w:val="36"/>
        </w:numPr>
        <w:spacing w:line="240" w:lineRule="auto"/>
        <w:jc w:val="both"/>
        <w:rPr>
          <w:rFonts w:eastAsia="Times New Roman" w:cs="Arial"/>
          <w:b/>
          <w:bCs/>
          <w:color w:val="000000"/>
          <w:lang w:eastAsia="bg-BG"/>
        </w:rPr>
      </w:pPr>
      <w:r w:rsidRPr="00EB1104">
        <w:rPr>
          <w:rFonts w:eastAsia="Times New Roman" w:cs="Arial"/>
          <w:b/>
          <w:bCs/>
          <w:color w:val="000000"/>
          <w:lang w:eastAsia="bg-BG"/>
        </w:rPr>
        <w:t xml:space="preserve">Антихипертензивни лекарствени продукти </w:t>
      </w:r>
      <w:r w:rsidRPr="00EB1104">
        <w:rPr>
          <w:rFonts w:eastAsia="Times New Roman" w:cs="Arial"/>
          <w:color w:val="000000"/>
          <w:lang w:eastAsia="bg-BG"/>
        </w:rPr>
        <w:t>и други хипотензивни лекарства.</w:t>
      </w:r>
    </w:p>
    <w:p w14:paraId="000823EE" w14:textId="29304A58" w:rsidR="008D42B3" w:rsidRPr="00EB1104" w:rsidRDefault="008D42B3" w:rsidP="00EB1104">
      <w:pPr>
        <w:pStyle w:val="ListParagraph"/>
        <w:numPr>
          <w:ilvl w:val="0"/>
          <w:numId w:val="36"/>
        </w:numPr>
        <w:jc w:val="both"/>
        <w:rPr>
          <w:rFonts w:cs="Arial"/>
        </w:rPr>
      </w:pPr>
      <w:r w:rsidRPr="00EB1104">
        <w:rPr>
          <w:rFonts w:eastAsia="Times New Roman" w:cs="Arial"/>
          <w:color w:val="000000"/>
          <w:lang w:eastAsia="bg-BG"/>
        </w:rPr>
        <w:t xml:space="preserve">Изисква се внимание при предписването на амисулприд с лекарствени продукти, които удължават </w:t>
      </w:r>
      <w:r w:rsidRPr="00EB1104">
        <w:rPr>
          <w:rFonts w:eastAsia="Times New Roman" w:cs="Arial"/>
          <w:color w:val="000000"/>
          <w:lang w:val="en-US"/>
        </w:rPr>
        <w:t>QT</w:t>
      </w:r>
      <w:r w:rsidRPr="00EB1104">
        <w:rPr>
          <w:rFonts w:eastAsia="Times New Roman" w:cs="Arial"/>
          <w:color w:val="000000"/>
          <w:lang w:eastAsia="bg-BG"/>
        </w:rPr>
        <w:t xml:space="preserve">-интервала, клас </w:t>
      </w:r>
      <w:r w:rsidRPr="00EB1104">
        <w:rPr>
          <w:rFonts w:eastAsia="Times New Roman" w:cs="Arial"/>
          <w:color w:val="000000"/>
          <w:lang w:val="en-US"/>
        </w:rPr>
        <w:t xml:space="preserve">IA </w:t>
      </w:r>
      <w:r w:rsidRPr="00EB1104">
        <w:rPr>
          <w:rFonts w:eastAsia="Times New Roman" w:cs="Arial"/>
          <w:color w:val="000000"/>
          <w:lang w:eastAsia="bg-BG"/>
        </w:rPr>
        <w:t>(например хинидин, дизопирамид) и клас Ш антиаритмици (например амиодарон, сотатол), някои антихистамини, някои антипсихотици и някои антималарийни продукти (напр. мефлоквин) (вж. точка 4.4).</w:t>
      </w:r>
    </w:p>
    <w:p w14:paraId="7394CE70" w14:textId="77777777" w:rsidR="008D42B3" w:rsidRPr="008D42B3" w:rsidRDefault="008D42B3" w:rsidP="008D42B3"/>
    <w:p w14:paraId="16B1EA1A" w14:textId="426EAAA8" w:rsidR="008D42B3" w:rsidRPr="008D42B3" w:rsidRDefault="008D42B3" w:rsidP="008D42B3"/>
    <w:p w14:paraId="394A7584" w14:textId="78489E18" w:rsidR="004F498A" w:rsidRDefault="002C50EE" w:rsidP="004A448E">
      <w:pPr>
        <w:pStyle w:val="Heading2"/>
      </w:pPr>
      <w:r>
        <w:t>4.6. Фертилитет, бременност и кърмене</w:t>
      </w:r>
    </w:p>
    <w:p w14:paraId="14E5ED64" w14:textId="53D0D3BE" w:rsidR="00EB1104" w:rsidRDefault="00EB1104" w:rsidP="00EB1104"/>
    <w:p w14:paraId="49E55D9F" w14:textId="77777777" w:rsidR="00EB1104" w:rsidRPr="008F5715" w:rsidRDefault="00EB1104" w:rsidP="008F5715">
      <w:pPr>
        <w:pStyle w:val="Heading3"/>
        <w:rPr>
          <w:rFonts w:eastAsia="Times New Roman"/>
          <w:u w:val="single"/>
          <w:lang w:eastAsia="bg-BG"/>
        </w:rPr>
      </w:pPr>
      <w:r w:rsidRPr="008F5715">
        <w:rPr>
          <w:rFonts w:eastAsia="Times New Roman"/>
          <w:u w:val="single"/>
          <w:lang w:eastAsia="bg-BG"/>
        </w:rPr>
        <w:t>Бременност:</w:t>
      </w:r>
    </w:p>
    <w:p w14:paraId="54201F68" w14:textId="77777777" w:rsidR="00EB1104" w:rsidRDefault="00EB1104" w:rsidP="00EB1104">
      <w:pPr>
        <w:spacing w:line="240" w:lineRule="auto"/>
        <w:rPr>
          <w:rFonts w:eastAsia="Times New Roman" w:cs="Arial"/>
          <w:color w:val="000000"/>
          <w:lang w:eastAsia="bg-BG"/>
        </w:rPr>
      </w:pPr>
    </w:p>
    <w:p w14:paraId="7F4574CD" w14:textId="1AEEBEF3"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Експерименталните проучвания при животни с амисулприд не показват репродуктивна токсичност. Установено е понижаване на фертилитета, свързано с фармакологичните ефекти на продукта (пролактин-медииран ефект). Не е установен тератогенен ефект.</w:t>
      </w:r>
    </w:p>
    <w:p w14:paraId="13811EC1" w14:textId="77777777" w:rsidR="00EB1104" w:rsidRDefault="00EB1104" w:rsidP="00EB1104">
      <w:pPr>
        <w:spacing w:line="240" w:lineRule="auto"/>
        <w:rPr>
          <w:rFonts w:eastAsia="Times New Roman" w:cs="Arial"/>
          <w:color w:val="000000"/>
          <w:lang w:eastAsia="bg-BG"/>
        </w:rPr>
      </w:pPr>
    </w:p>
    <w:p w14:paraId="269EC6B9" w14:textId="6F61BC49"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Клиничните данни от употребата при бременни жени са много ограничени. Поради това безопасността на амисулприд по време на бременност не е доказана. Не се препоръчва употребата на продукта по време на бременност, освен в случай че очакваната полза оправдава потенциалните рискове.</w:t>
      </w:r>
    </w:p>
    <w:p w14:paraId="2D263ABC" w14:textId="77777777" w:rsidR="00EB1104" w:rsidRDefault="00EB1104" w:rsidP="00EB1104">
      <w:pPr>
        <w:spacing w:line="240" w:lineRule="auto"/>
        <w:rPr>
          <w:rFonts w:eastAsia="Times New Roman" w:cs="Arial"/>
          <w:color w:val="000000"/>
          <w:lang w:eastAsia="bg-BG"/>
        </w:rPr>
      </w:pPr>
    </w:p>
    <w:p w14:paraId="343A7090" w14:textId="5B858AAF"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 xml:space="preserve">При новородени, изложени на антипсихотици, включително Алонет 400 </w:t>
      </w:r>
      <w:r w:rsidRPr="00EB1104">
        <w:rPr>
          <w:rFonts w:eastAsia="Times New Roman" w:cs="Arial"/>
          <w:color w:val="000000"/>
          <w:lang w:val="en-US"/>
        </w:rPr>
        <w:t xml:space="preserve">mg, </w:t>
      </w:r>
      <w:r w:rsidRPr="00EB1104">
        <w:rPr>
          <w:rFonts w:eastAsia="Times New Roman" w:cs="Arial"/>
          <w:color w:val="000000"/>
          <w:lang w:eastAsia="bg-BG"/>
        </w:rPr>
        <w:t>през третия триместър от бременността е наблюдаван риск от нежелани лекарствени реакции, включително естрапирамидни и/или симптоми на отнемането, които могат да варират по тежест и продължителност след раждането (вж. точка 4.8). Докладвани са случаи на възбуда, хипертония, хипотония, тремор, сомноленция, респираторен дистрес или нарушения в храненето. Следователно новородените трябва да се наблюдават внимателно.</w:t>
      </w:r>
    </w:p>
    <w:p w14:paraId="7FE11D55" w14:textId="77777777" w:rsidR="00EB1104" w:rsidRDefault="00EB1104" w:rsidP="00EB1104">
      <w:pPr>
        <w:spacing w:line="240" w:lineRule="auto"/>
        <w:rPr>
          <w:rFonts w:eastAsia="Times New Roman" w:cs="Arial"/>
          <w:i/>
          <w:iCs/>
          <w:color w:val="000000"/>
          <w:lang w:eastAsia="bg-BG"/>
        </w:rPr>
      </w:pPr>
    </w:p>
    <w:p w14:paraId="40FD177C" w14:textId="2EA80C00" w:rsidR="00EB1104" w:rsidRPr="008F5715" w:rsidRDefault="00EB1104" w:rsidP="008F5715">
      <w:pPr>
        <w:pStyle w:val="Heading3"/>
        <w:rPr>
          <w:rFonts w:eastAsia="Times New Roman"/>
          <w:u w:val="single"/>
          <w:lang w:eastAsia="bg-BG"/>
        </w:rPr>
      </w:pPr>
      <w:r w:rsidRPr="008F5715">
        <w:rPr>
          <w:rFonts w:eastAsia="Times New Roman"/>
          <w:u w:val="single"/>
          <w:lang w:eastAsia="bg-BG"/>
        </w:rPr>
        <w:t>Кърмене</w:t>
      </w:r>
    </w:p>
    <w:p w14:paraId="0D5805A1" w14:textId="7A2F5510" w:rsidR="00EB1104" w:rsidRDefault="00EB1104" w:rsidP="00EB1104">
      <w:pPr>
        <w:rPr>
          <w:rFonts w:eastAsia="Times New Roman" w:cs="Arial"/>
          <w:color w:val="000000"/>
          <w:lang w:eastAsia="bg-BG"/>
        </w:rPr>
      </w:pPr>
      <w:r w:rsidRPr="00EB1104">
        <w:rPr>
          <w:rFonts w:eastAsia="Times New Roman" w:cs="Arial"/>
          <w:color w:val="000000"/>
          <w:lang w:eastAsia="bg-BG"/>
        </w:rPr>
        <w:t>Няма данни за екскрецията на амисулприд в кърмата, поради което употребата му по време на кърмене е противопоказна.</w:t>
      </w:r>
    </w:p>
    <w:p w14:paraId="04DF4B84" w14:textId="77777777" w:rsidR="00EB1104" w:rsidRPr="00EB1104" w:rsidRDefault="00EB1104" w:rsidP="00EB1104">
      <w:pPr>
        <w:rPr>
          <w:rFonts w:cs="Arial"/>
        </w:rPr>
      </w:pPr>
    </w:p>
    <w:p w14:paraId="064DF1DE" w14:textId="0560AE72" w:rsidR="00CF77F7" w:rsidRDefault="002C50EE" w:rsidP="004A448E">
      <w:pPr>
        <w:pStyle w:val="Heading2"/>
      </w:pPr>
      <w:r>
        <w:t>4.7. Ефекти върху способността за шофиране и работа с машини</w:t>
      </w:r>
    </w:p>
    <w:p w14:paraId="6910F453" w14:textId="4A79F4BC" w:rsidR="00EB1104" w:rsidRDefault="00EB1104" w:rsidP="00EB1104"/>
    <w:p w14:paraId="43AEAF4E" w14:textId="26CB826D" w:rsidR="00EB1104" w:rsidRDefault="00EB1104" w:rsidP="00EB1104">
      <w:pPr>
        <w:rPr>
          <w:i/>
          <w:iCs/>
        </w:rPr>
      </w:pPr>
      <w:r w:rsidRPr="00EB1104">
        <w:t xml:space="preserve">Дори и при използване съгласно преписанието, амисулприд може да причини сомнолентност, която да повлияе способността за шофиране и работа с машини (вж. точка 4.8 </w:t>
      </w:r>
      <w:r w:rsidRPr="00EB1104">
        <w:rPr>
          <w:i/>
          <w:iCs/>
        </w:rPr>
        <w:t>Нежелани лекарствени реакции).</w:t>
      </w:r>
    </w:p>
    <w:p w14:paraId="68574997" w14:textId="77777777" w:rsidR="00EB1104" w:rsidRPr="00EB1104" w:rsidRDefault="00EB1104" w:rsidP="00EB1104"/>
    <w:p w14:paraId="37A3FD9F" w14:textId="77AF1652" w:rsidR="00CF77F7" w:rsidRDefault="002C50EE" w:rsidP="004A448E">
      <w:pPr>
        <w:pStyle w:val="Heading2"/>
      </w:pPr>
      <w:r>
        <w:t>4.8. Нежелани лекарствени реакции</w:t>
      </w:r>
    </w:p>
    <w:p w14:paraId="12F83A48" w14:textId="57E0A49C" w:rsidR="00EB1104" w:rsidRDefault="00EB1104" w:rsidP="00EB1104"/>
    <w:p w14:paraId="1A23F214" w14:textId="2F113D67" w:rsidR="00EB1104" w:rsidRDefault="00EB1104" w:rsidP="00EB1104">
      <w:pPr>
        <w:spacing w:line="240" w:lineRule="auto"/>
        <w:rPr>
          <w:rFonts w:eastAsia="Times New Roman" w:cs="Arial"/>
          <w:color w:val="000000"/>
          <w:lang w:eastAsia="bg-BG"/>
        </w:rPr>
      </w:pPr>
      <w:r w:rsidRPr="00EB1104">
        <w:rPr>
          <w:rFonts w:eastAsia="Times New Roman" w:cs="Arial"/>
          <w:color w:val="000000"/>
          <w:lang w:eastAsia="bg-BG"/>
        </w:rPr>
        <w:t>Нежеланите лекарствени</w:t>
      </w:r>
      <w:r w:rsidRPr="00EB1104">
        <w:rPr>
          <w:rFonts w:eastAsia="Times New Roman" w:cs="Arial"/>
          <w:color w:val="000000"/>
          <w:lang w:eastAsia="bg-BG"/>
        </w:rPr>
        <w:tab/>
        <w:t>реакции са подредени съгласно следната конвенция за честотата:</w:t>
      </w:r>
    </w:p>
    <w:p w14:paraId="436D5D5A" w14:textId="77777777" w:rsidR="00061FFF" w:rsidRPr="00EB1104" w:rsidRDefault="00061FFF" w:rsidP="00EB1104">
      <w:pPr>
        <w:spacing w:line="240" w:lineRule="auto"/>
        <w:rPr>
          <w:rFonts w:eastAsia="Times New Roman" w:cs="Arial"/>
          <w:lang w:eastAsia="bg-BG"/>
        </w:rPr>
      </w:pPr>
    </w:p>
    <w:p w14:paraId="700AB2D8"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Много чести</w:t>
      </w:r>
      <w:r w:rsidRPr="00EB1104">
        <w:rPr>
          <w:rFonts w:eastAsia="Times New Roman" w:cs="Arial"/>
          <w:color w:val="000000"/>
          <w:lang w:eastAsia="bg-BG"/>
        </w:rPr>
        <w:tab/>
        <w:t>(≥</w:t>
      </w:r>
      <w:r w:rsidRPr="00EB1104">
        <w:rPr>
          <w:rFonts w:eastAsia="Times New Roman" w:cs="Arial"/>
          <w:color w:val="000000"/>
          <w:lang w:eastAsia="bg-BG"/>
        </w:rPr>
        <w:tab/>
        <w:t>1/10);</w:t>
      </w:r>
    </w:p>
    <w:p w14:paraId="657BF08B"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lastRenderedPageBreak/>
        <w:t>Чести</w:t>
      </w:r>
      <w:r w:rsidRPr="00EB1104">
        <w:rPr>
          <w:rFonts w:eastAsia="Times New Roman" w:cs="Arial"/>
          <w:color w:val="000000"/>
          <w:lang w:eastAsia="bg-BG"/>
        </w:rPr>
        <w:tab/>
        <w:t>(≥</w:t>
      </w:r>
      <w:r w:rsidRPr="00EB1104">
        <w:rPr>
          <w:rFonts w:eastAsia="Times New Roman" w:cs="Arial"/>
          <w:color w:val="000000"/>
          <w:lang w:eastAsia="bg-BG"/>
        </w:rPr>
        <w:tab/>
        <w:t>1/100 до &lt;1/10);</w:t>
      </w:r>
    </w:p>
    <w:p w14:paraId="5EC7E9DF"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Нечести</w:t>
      </w:r>
      <w:r w:rsidRPr="00EB1104">
        <w:rPr>
          <w:rFonts w:eastAsia="Times New Roman" w:cs="Arial"/>
          <w:color w:val="000000"/>
          <w:lang w:eastAsia="bg-BG"/>
        </w:rPr>
        <w:tab/>
        <w:t>(≥</w:t>
      </w:r>
      <w:r w:rsidRPr="00EB1104">
        <w:rPr>
          <w:rFonts w:eastAsia="Times New Roman" w:cs="Arial"/>
          <w:color w:val="000000"/>
          <w:lang w:eastAsia="bg-BG"/>
        </w:rPr>
        <w:tab/>
        <w:t>1/1000 до &lt; 1/100);</w:t>
      </w:r>
    </w:p>
    <w:p w14:paraId="36640700"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Редки</w:t>
      </w:r>
      <w:r w:rsidRPr="00EB1104">
        <w:rPr>
          <w:rFonts w:eastAsia="Times New Roman" w:cs="Arial"/>
          <w:color w:val="000000"/>
          <w:lang w:eastAsia="bg-BG"/>
        </w:rPr>
        <w:tab/>
        <w:t>(≥</w:t>
      </w:r>
      <w:r w:rsidRPr="00EB1104">
        <w:rPr>
          <w:rFonts w:eastAsia="Times New Roman" w:cs="Arial"/>
          <w:color w:val="000000"/>
          <w:lang w:eastAsia="bg-BG"/>
        </w:rPr>
        <w:tab/>
        <w:t>1/10 000 до &lt; 1/1000);</w:t>
      </w:r>
    </w:p>
    <w:p w14:paraId="366D4F8F"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Много редки</w:t>
      </w:r>
      <w:r w:rsidRPr="00EB1104">
        <w:rPr>
          <w:rFonts w:eastAsia="Times New Roman" w:cs="Arial"/>
          <w:color w:val="000000"/>
          <w:lang w:eastAsia="bg-BG"/>
        </w:rPr>
        <w:tab/>
        <w:t>(&lt;</w:t>
      </w:r>
      <w:r w:rsidRPr="00EB1104">
        <w:rPr>
          <w:rFonts w:eastAsia="Times New Roman" w:cs="Arial"/>
          <w:color w:val="000000"/>
          <w:lang w:eastAsia="bg-BG"/>
        </w:rPr>
        <w:tab/>
        <w:t>1/10 000);</w:t>
      </w:r>
    </w:p>
    <w:p w14:paraId="6017E74F" w14:textId="19EAFE47" w:rsidR="00EB1104" w:rsidRDefault="00EB1104" w:rsidP="00EB1104">
      <w:pPr>
        <w:rPr>
          <w:rFonts w:eastAsia="Times New Roman" w:cs="Arial"/>
          <w:color w:val="000000"/>
          <w:lang w:eastAsia="bg-BG"/>
        </w:rPr>
      </w:pPr>
      <w:r w:rsidRPr="00EB1104">
        <w:rPr>
          <w:rFonts w:eastAsia="Times New Roman" w:cs="Arial"/>
          <w:color w:val="000000"/>
          <w:lang w:eastAsia="bg-BG"/>
        </w:rPr>
        <w:t>С неизвестна честота (не може да бъде определена от наличните данни).</w:t>
      </w:r>
    </w:p>
    <w:p w14:paraId="6729B552" w14:textId="461DE839" w:rsidR="00EB1104" w:rsidRDefault="00EB1104" w:rsidP="00EB1104">
      <w:pPr>
        <w:rPr>
          <w:rFonts w:eastAsia="Times New Roman" w:cs="Arial"/>
          <w:color w:val="000000"/>
          <w:lang w:eastAsia="bg-BG"/>
        </w:rPr>
      </w:pPr>
    </w:p>
    <w:p w14:paraId="1B25C510" w14:textId="77777777" w:rsidR="00EB1104" w:rsidRPr="00EB1104" w:rsidRDefault="00EB1104" w:rsidP="00EB1104">
      <w:pPr>
        <w:spacing w:line="240" w:lineRule="auto"/>
        <w:rPr>
          <w:rFonts w:eastAsia="Times New Roman" w:cs="Arial"/>
          <w:lang w:eastAsia="bg-BG"/>
        </w:rPr>
      </w:pPr>
      <w:r w:rsidRPr="00EB1104">
        <w:rPr>
          <w:rFonts w:eastAsia="Times New Roman" w:cs="Arial"/>
          <w:b/>
          <w:bCs/>
          <w:color w:val="000000"/>
          <w:lang w:eastAsia="bg-BG"/>
        </w:rPr>
        <w:t>Данни от клинични проучвания</w:t>
      </w:r>
    </w:p>
    <w:p w14:paraId="1305B54E"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Следните нежелани лекарствени реакции са наблюдавани при контролирани клинични проучвания. Трябва да бъде отбелязано, че при някои от случаите е трудно да бъдат отдиференцирани нежеланите лекарствени реакции от симптомите на заболяването.</w:t>
      </w:r>
    </w:p>
    <w:p w14:paraId="363B7EBB" w14:textId="77777777" w:rsidR="00EB1104" w:rsidRDefault="00EB1104" w:rsidP="00EB1104">
      <w:pPr>
        <w:spacing w:line="240" w:lineRule="auto"/>
        <w:rPr>
          <w:rFonts w:eastAsia="Times New Roman" w:cs="Arial"/>
          <w:i/>
          <w:iCs/>
          <w:color w:val="000000"/>
          <w:u w:val="single"/>
          <w:lang w:eastAsia="bg-BG"/>
        </w:rPr>
      </w:pPr>
    </w:p>
    <w:p w14:paraId="5D09378B" w14:textId="06F9BFB0" w:rsidR="00EB1104" w:rsidRPr="00EB1104" w:rsidRDefault="00EB1104" w:rsidP="00EB1104">
      <w:pPr>
        <w:spacing w:line="240" w:lineRule="auto"/>
        <w:rPr>
          <w:rFonts w:eastAsia="Times New Roman" w:cs="Arial"/>
          <w:lang w:eastAsia="bg-BG"/>
        </w:rPr>
      </w:pPr>
      <w:r w:rsidRPr="00EB1104">
        <w:rPr>
          <w:rFonts w:eastAsia="Times New Roman" w:cs="Arial"/>
          <w:i/>
          <w:iCs/>
          <w:color w:val="000000"/>
          <w:u w:val="single"/>
          <w:lang w:eastAsia="bg-BG"/>
        </w:rPr>
        <w:t>Нарушения на нервната система</w:t>
      </w:r>
    </w:p>
    <w:p w14:paraId="0462BFF5" w14:textId="2379A3D4" w:rsidR="00EB1104" w:rsidRDefault="00EB1104" w:rsidP="00EB1104">
      <w:pPr>
        <w:rPr>
          <w:rFonts w:eastAsia="Times New Roman" w:cs="Arial"/>
          <w:color w:val="000000"/>
          <w:lang w:eastAsia="bg-BG"/>
        </w:rPr>
      </w:pPr>
      <w:r w:rsidRPr="00EB1104">
        <w:rPr>
          <w:rFonts w:eastAsia="Times New Roman" w:cs="Arial"/>
          <w:i/>
          <w:iCs/>
          <w:color w:val="000000"/>
          <w:lang w:eastAsia="bg-BG"/>
        </w:rPr>
        <w:t>Много чести:</w:t>
      </w:r>
      <w:r w:rsidRPr="00EB1104">
        <w:rPr>
          <w:rFonts w:eastAsia="Times New Roman" w:cs="Arial"/>
          <w:color w:val="000000"/>
          <w:lang w:eastAsia="bg-BG"/>
        </w:rPr>
        <w:t xml:space="preserve"> Могат да възникнат екстрапирамидни нарушения като тремор, повишен мускулен тонус, хипокинезия, хиперсаливация, акатизия, дискинезия. Тези симптоми са леки по тежест (при оптимална дозировка) и частично обратими, без прекъсване на лечението с амисулприд при прилагане на антипаркинсонови средства. Честотата на дозо-зависимите екстрапирамидни симптоми остава много ниска при лечение на пациенти с преобладаващи негативни симптоми с дози от 50-300 </w:t>
      </w:r>
      <w:r w:rsidRPr="00EB1104">
        <w:rPr>
          <w:rFonts w:eastAsia="Times New Roman" w:cs="Arial"/>
          <w:color w:val="000000"/>
          <w:lang w:val="en-US"/>
        </w:rPr>
        <w:t>mg</w:t>
      </w:r>
      <w:r w:rsidRPr="00EB1104">
        <w:rPr>
          <w:rFonts w:eastAsia="Times New Roman" w:cs="Arial"/>
          <w:color w:val="000000"/>
          <w:lang w:eastAsia="bg-BG"/>
        </w:rPr>
        <w:t>/дневно.</w:t>
      </w:r>
    </w:p>
    <w:p w14:paraId="0C8EB1F8" w14:textId="594E222D" w:rsidR="00EB1104" w:rsidRDefault="00EB1104" w:rsidP="00EB1104">
      <w:pPr>
        <w:rPr>
          <w:rFonts w:eastAsia="Times New Roman" w:cs="Arial"/>
          <w:color w:val="000000"/>
          <w:lang w:eastAsia="bg-BG"/>
        </w:rPr>
      </w:pPr>
    </w:p>
    <w:p w14:paraId="400BEEAB" w14:textId="77777777" w:rsidR="00EB1104" w:rsidRPr="00EB1104" w:rsidRDefault="00EB1104" w:rsidP="00EB1104">
      <w:pPr>
        <w:spacing w:line="240" w:lineRule="auto"/>
        <w:rPr>
          <w:rFonts w:eastAsia="Times New Roman" w:cs="Arial"/>
          <w:lang w:eastAsia="bg-BG"/>
        </w:rPr>
      </w:pPr>
      <w:r w:rsidRPr="00EB1104">
        <w:rPr>
          <w:rFonts w:eastAsia="Times New Roman" w:cs="Arial"/>
          <w:i/>
          <w:iCs/>
          <w:color w:val="000000"/>
          <w:lang w:eastAsia="bg-BG"/>
        </w:rPr>
        <w:t>Чести:</w:t>
      </w:r>
      <w:r w:rsidRPr="00EB1104">
        <w:rPr>
          <w:rFonts w:eastAsia="Times New Roman" w:cs="Arial"/>
          <w:color w:val="000000"/>
          <w:lang w:eastAsia="bg-BG"/>
        </w:rPr>
        <w:t xml:space="preserve"> Остра дистония, като спастичен тортиколис, окулогирична криза, тризмус. Тя е обратима и не налага прекъсване на лечението, при едновременни терапии с антипаркинсонови агенти. Сомнолентност, световъртеж.</w:t>
      </w:r>
    </w:p>
    <w:p w14:paraId="2CF65318" w14:textId="77777777" w:rsidR="00EB1104" w:rsidRDefault="00EB1104" w:rsidP="00EB1104">
      <w:pPr>
        <w:spacing w:line="240" w:lineRule="auto"/>
        <w:rPr>
          <w:rFonts w:eastAsia="Times New Roman" w:cs="Arial"/>
          <w:i/>
          <w:iCs/>
          <w:color w:val="000000"/>
          <w:lang w:eastAsia="bg-BG"/>
        </w:rPr>
      </w:pPr>
    </w:p>
    <w:p w14:paraId="24CFE745" w14:textId="59F5276C" w:rsidR="00EB1104" w:rsidRPr="00EB1104" w:rsidRDefault="00EB1104" w:rsidP="00EB1104">
      <w:pPr>
        <w:spacing w:line="240" w:lineRule="auto"/>
        <w:rPr>
          <w:rFonts w:eastAsia="Times New Roman" w:cs="Arial"/>
          <w:lang w:eastAsia="bg-BG"/>
        </w:rPr>
      </w:pPr>
      <w:r w:rsidRPr="00EB1104">
        <w:rPr>
          <w:rFonts w:eastAsia="Times New Roman" w:cs="Arial"/>
          <w:i/>
          <w:iCs/>
          <w:color w:val="000000"/>
          <w:lang w:eastAsia="bg-BG"/>
        </w:rPr>
        <w:t>Нечести:</w:t>
      </w:r>
      <w:r w:rsidRPr="00EB1104">
        <w:rPr>
          <w:rFonts w:eastAsia="Times New Roman" w:cs="Arial"/>
          <w:color w:val="000000"/>
          <w:lang w:eastAsia="bg-BG"/>
        </w:rPr>
        <w:t xml:space="preserve"> Поява на късна дискинезия, която се характеризира с механични движения главно на езика и/или лицето, обикновено след продължително приложение.</w:t>
      </w:r>
    </w:p>
    <w:p w14:paraId="56E8110A" w14:textId="00DE990A" w:rsidR="00EB1104" w:rsidRDefault="00EB1104" w:rsidP="00EB1104">
      <w:pPr>
        <w:spacing w:line="240" w:lineRule="auto"/>
        <w:rPr>
          <w:rFonts w:eastAsia="Times New Roman" w:cs="Arial"/>
          <w:color w:val="000000"/>
          <w:lang w:eastAsia="bg-BG"/>
        </w:rPr>
      </w:pPr>
      <w:r w:rsidRPr="00EB1104">
        <w:rPr>
          <w:rFonts w:eastAsia="Times New Roman" w:cs="Arial"/>
          <w:color w:val="000000"/>
          <w:lang w:eastAsia="bg-BG"/>
        </w:rPr>
        <w:t>Антипаркинсоновите лекарства са без ефект или могат да причинят влошаване на симптомите. Гърчове.</w:t>
      </w:r>
    </w:p>
    <w:p w14:paraId="76A1B586" w14:textId="77777777" w:rsidR="00EB1104" w:rsidRPr="00EB1104" w:rsidRDefault="00EB1104" w:rsidP="00EB1104">
      <w:pPr>
        <w:spacing w:line="240" w:lineRule="auto"/>
        <w:rPr>
          <w:rFonts w:eastAsia="Times New Roman" w:cs="Arial"/>
          <w:lang w:eastAsia="bg-BG"/>
        </w:rPr>
      </w:pPr>
    </w:p>
    <w:p w14:paraId="1FE297B5" w14:textId="77777777" w:rsidR="00EB1104" w:rsidRPr="00EB1104" w:rsidRDefault="00EB1104" w:rsidP="00EB1104">
      <w:pPr>
        <w:pStyle w:val="ListParagraph"/>
        <w:numPr>
          <w:ilvl w:val="0"/>
          <w:numId w:val="37"/>
        </w:numPr>
        <w:spacing w:line="240" w:lineRule="auto"/>
        <w:rPr>
          <w:rFonts w:eastAsia="Times New Roman" w:cs="Arial"/>
          <w:i/>
          <w:iCs/>
          <w:color w:val="000000"/>
          <w:u w:val="single"/>
          <w:lang w:eastAsia="bg-BG"/>
        </w:rPr>
      </w:pPr>
      <w:r w:rsidRPr="00EB1104">
        <w:rPr>
          <w:rFonts w:eastAsia="Times New Roman" w:cs="Arial"/>
          <w:i/>
          <w:iCs/>
          <w:color w:val="000000"/>
          <w:u w:val="single"/>
          <w:lang w:eastAsia="bg-BG"/>
        </w:rPr>
        <w:t>Психични нарушения</w:t>
      </w:r>
    </w:p>
    <w:p w14:paraId="52E2C3E2" w14:textId="34BDCBEB"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Чести:</w:t>
      </w:r>
      <w:r w:rsidRPr="00EB1104">
        <w:rPr>
          <w:rFonts w:eastAsia="Times New Roman" w:cs="Arial"/>
          <w:color w:val="000000"/>
          <w:lang w:eastAsia="bg-BG"/>
        </w:rPr>
        <w:t xml:space="preserve"> Безсъние, тревожност, безпокойство, възбуда, нарушения на оргазъма.</w:t>
      </w:r>
    </w:p>
    <w:p w14:paraId="7044CD83" w14:textId="77777777" w:rsidR="00EB1104" w:rsidRPr="00EB1104" w:rsidRDefault="00EB1104" w:rsidP="00EB1104">
      <w:pPr>
        <w:spacing w:line="240" w:lineRule="auto"/>
        <w:rPr>
          <w:rFonts w:eastAsia="Times New Roman" w:cs="Arial"/>
          <w:lang w:eastAsia="bg-BG"/>
        </w:rPr>
      </w:pPr>
    </w:p>
    <w:p w14:paraId="608199BB" w14:textId="77777777" w:rsidR="00EB1104" w:rsidRPr="00EB1104" w:rsidRDefault="00EB1104" w:rsidP="00EB1104">
      <w:pPr>
        <w:pStyle w:val="ListParagraph"/>
        <w:numPr>
          <w:ilvl w:val="0"/>
          <w:numId w:val="37"/>
        </w:numPr>
        <w:spacing w:line="240" w:lineRule="auto"/>
        <w:rPr>
          <w:rFonts w:eastAsia="Times New Roman" w:cs="Arial"/>
          <w:i/>
          <w:iCs/>
          <w:color w:val="000000"/>
          <w:u w:val="single"/>
          <w:lang w:eastAsia="bg-BG"/>
        </w:rPr>
      </w:pPr>
      <w:r w:rsidRPr="00EB1104">
        <w:rPr>
          <w:rFonts w:eastAsia="Times New Roman" w:cs="Arial"/>
          <w:i/>
          <w:iCs/>
          <w:color w:val="000000"/>
          <w:u w:val="single"/>
          <w:lang w:eastAsia="bg-BG"/>
        </w:rPr>
        <w:t>Стомашно-чревни нарушения</w:t>
      </w:r>
    </w:p>
    <w:p w14:paraId="66F37299" w14:textId="1A8CFDF3"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Чести:</w:t>
      </w:r>
      <w:r w:rsidRPr="00EB1104">
        <w:rPr>
          <w:rFonts w:eastAsia="Times New Roman" w:cs="Arial"/>
          <w:color w:val="000000"/>
          <w:lang w:eastAsia="bg-BG"/>
        </w:rPr>
        <w:t xml:space="preserve"> Стомашно-чревни нарушения, като запек, гадене, повръщане, сухота в устата.</w:t>
      </w:r>
    </w:p>
    <w:p w14:paraId="2DF7015C" w14:textId="77777777" w:rsidR="00EB1104" w:rsidRPr="00EB1104" w:rsidRDefault="00EB1104" w:rsidP="00EB1104">
      <w:pPr>
        <w:spacing w:line="240" w:lineRule="auto"/>
        <w:rPr>
          <w:rFonts w:eastAsia="Times New Roman" w:cs="Arial"/>
          <w:lang w:eastAsia="bg-BG"/>
        </w:rPr>
      </w:pPr>
    </w:p>
    <w:p w14:paraId="2480455B" w14:textId="77777777" w:rsidR="00EB1104" w:rsidRPr="00EB1104" w:rsidRDefault="00EB1104" w:rsidP="00EB1104">
      <w:pPr>
        <w:pStyle w:val="ListParagraph"/>
        <w:numPr>
          <w:ilvl w:val="0"/>
          <w:numId w:val="37"/>
        </w:numPr>
        <w:spacing w:line="240" w:lineRule="auto"/>
        <w:rPr>
          <w:rFonts w:eastAsia="Times New Roman" w:cs="Arial"/>
          <w:i/>
          <w:iCs/>
          <w:color w:val="000000"/>
          <w:u w:val="single"/>
          <w:lang w:eastAsia="bg-BG"/>
        </w:rPr>
      </w:pPr>
      <w:r w:rsidRPr="00EB1104">
        <w:rPr>
          <w:rFonts w:eastAsia="Times New Roman" w:cs="Arial"/>
          <w:i/>
          <w:iCs/>
          <w:color w:val="000000"/>
          <w:u w:val="single"/>
          <w:lang w:eastAsia="bg-BG"/>
        </w:rPr>
        <w:t>Нарушения на ендокринната система</w:t>
      </w:r>
    </w:p>
    <w:p w14:paraId="33B61D97" w14:textId="68E396D8"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Чести:</w:t>
      </w:r>
      <w:r w:rsidRPr="00EB1104">
        <w:rPr>
          <w:rFonts w:eastAsia="Times New Roman" w:cs="Arial"/>
          <w:color w:val="000000"/>
          <w:lang w:eastAsia="bg-BG"/>
        </w:rPr>
        <w:t xml:space="preserve"> Повишени серумни нива на пролактин в плазмата, обратими след спиране на амисулприд. Това може да доведе до галакторея, аменорея или менструални нарушения, гинекомастия, болки или нарастване на гърдите, пролактином и еректилна дисфункция.</w:t>
      </w:r>
    </w:p>
    <w:p w14:paraId="7E1EC690" w14:textId="77777777" w:rsidR="00EB1104" w:rsidRPr="00EB1104" w:rsidRDefault="00EB1104" w:rsidP="00EB1104">
      <w:pPr>
        <w:spacing w:line="240" w:lineRule="auto"/>
        <w:rPr>
          <w:rFonts w:eastAsia="Times New Roman" w:cs="Arial"/>
          <w:lang w:eastAsia="bg-BG"/>
        </w:rPr>
      </w:pPr>
    </w:p>
    <w:p w14:paraId="6C99E8A5" w14:textId="77777777" w:rsidR="00EB1104" w:rsidRPr="00EB1104" w:rsidRDefault="00EB1104" w:rsidP="00EB1104">
      <w:pPr>
        <w:pStyle w:val="ListParagraph"/>
        <w:numPr>
          <w:ilvl w:val="0"/>
          <w:numId w:val="37"/>
        </w:numPr>
        <w:spacing w:line="240" w:lineRule="auto"/>
        <w:rPr>
          <w:rFonts w:eastAsia="Times New Roman" w:cs="Arial"/>
          <w:i/>
          <w:iCs/>
          <w:color w:val="000000"/>
          <w:u w:val="single"/>
          <w:lang w:eastAsia="bg-BG"/>
        </w:rPr>
      </w:pPr>
      <w:r w:rsidRPr="00EB1104">
        <w:rPr>
          <w:rFonts w:eastAsia="Times New Roman" w:cs="Arial"/>
          <w:i/>
          <w:iCs/>
          <w:color w:val="000000"/>
          <w:u w:val="single"/>
          <w:lang w:eastAsia="bg-BG"/>
        </w:rPr>
        <w:t>Нарушения на метаболизма и храненето</w:t>
      </w:r>
    </w:p>
    <w:p w14:paraId="25820333" w14:textId="3A57F6E6" w:rsidR="00EB1104" w:rsidRDefault="00EB1104" w:rsidP="00EB1104">
      <w:pPr>
        <w:rPr>
          <w:rFonts w:eastAsia="Times New Roman" w:cs="Arial"/>
          <w:color w:val="000000"/>
          <w:lang w:eastAsia="bg-BG"/>
        </w:rPr>
      </w:pPr>
      <w:r w:rsidRPr="00EB1104">
        <w:rPr>
          <w:rFonts w:eastAsia="Times New Roman" w:cs="Arial"/>
          <w:i/>
          <w:iCs/>
          <w:color w:val="000000"/>
          <w:lang w:eastAsia="bg-BG"/>
        </w:rPr>
        <w:t>Нечести:</w:t>
      </w:r>
      <w:r w:rsidRPr="00EB1104">
        <w:rPr>
          <w:rFonts w:eastAsia="Times New Roman" w:cs="Arial"/>
          <w:color w:val="000000"/>
          <w:lang w:eastAsia="bg-BG"/>
        </w:rPr>
        <w:t xml:space="preserve"> Хипергликемия (вж. точка 4.4).</w:t>
      </w:r>
    </w:p>
    <w:p w14:paraId="5BA7A2CE" w14:textId="491D9D17" w:rsidR="00EB1104" w:rsidRDefault="00EB1104" w:rsidP="00EB1104">
      <w:pPr>
        <w:rPr>
          <w:rFonts w:eastAsia="Times New Roman" w:cs="Arial"/>
          <w:color w:val="000000"/>
          <w:lang w:eastAsia="bg-BG"/>
        </w:rPr>
      </w:pPr>
    </w:p>
    <w:p w14:paraId="145EBAB1" w14:textId="77777777" w:rsidR="00EB1104" w:rsidRPr="00061FFF" w:rsidRDefault="00EB1104" w:rsidP="00061FFF">
      <w:pPr>
        <w:pStyle w:val="ListParagraph"/>
        <w:numPr>
          <w:ilvl w:val="0"/>
          <w:numId w:val="37"/>
        </w:numPr>
        <w:spacing w:line="240" w:lineRule="auto"/>
        <w:rPr>
          <w:rFonts w:eastAsia="Times New Roman" w:cs="Arial"/>
          <w:i/>
          <w:iCs/>
          <w:color w:val="000000"/>
          <w:u w:val="single"/>
          <w:lang w:eastAsia="bg-BG"/>
        </w:rPr>
      </w:pPr>
      <w:r w:rsidRPr="00061FFF">
        <w:rPr>
          <w:rFonts w:eastAsia="Times New Roman" w:cs="Arial"/>
          <w:i/>
          <w:iCs/>
          <w:color w:val="000000"/>
          <w:u w:val="single"/>
          <w:lang w:eastAsia="bg-BG"/>
        </w:rPr>
        <w:t>Сърдечни нарушения</w:t>
      </w:r>
    </w:p>
    <w:p w14:paraId="112CD825" w14:textId="77777777" w:rsidR="00EB1104" w:rsidRPr="00EB1104" w:rsidRDefault="00EB1104" w:rsidP="00EB1104">
      <w:pPr>
        <w:spacing w:line="240" w:lineRule="auto"/>
        <w:rPr>
          <w:rFonts w:eastAsia="Times New Roman" w:cs="Arial"/>
          <w:lang w:eastAsia="bg-BG"/>
        </w:rPr>
      </w:pPr>
      <w:r w:rsidRPr="00EB1104">
        <w:rPr>
          <w:rFonts w:eastAsia="Times New Roman" w:cs="Arial"/>
          <w:i/>
          <w:iCs/>
          <w:color w:val="000000"/>
          <w:lang w:eastAsia="bg-BG"/>
        </w:rPr>
        <w:t>Чести:</w:t>
      </w:r>
      <w:r w:rsidRPr="00EB1104">
        <w:rPr>
          <w:rFonts w:eastAsia="Times New Roman" w:cs="Arial"/>
          <w:color w:val="000000"/>
          <w:lang w:eastAsia="bg-BG"/>
        </w:rPr>
        <w:t xml:space="preserve"> Хипотония.</w:t>
      </w:r>
    </w:p>
    <w:p w14:paraId="006CADA1" w14:textId="747FF80C"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Нечести:</w:t>
      </w:r>
      <w:r w:rsidRPr="00EB1104">
        <w:rPr>
          <w:rFonts w:eastAsia="Times New Roman" w:cs="Arial"/>
          <w:color w:val="000000"/>
          <w:lang w:eastAsia="bg-BG"/>
        </w:rPr>
        <w:t xml:space="preserve"> Брадикардия.</w:t>
      </w:r>
    </w:p>
    <w:p w14:paraId="6C5BDF64" w14:textId="77777777" w:rsidR="00EB1104" w:rsidRPr="00EB1104" w:rsidRDefault="00EB1104" w:rsidP="00EB1104">
      <w:pPr>
        <w:spacing w:line="240" w:lineRule="auto"/>
        <w:rPr>
          <w:rFonts w:eastAsia="Times New Roman" w:cs="Arial"/>
          <w:lang w:eastAsia="bg-BG"/>
        </w:rPr>
      </w:pPr>
    </w:p>
    <w:p w14:paraId="644DB714" w14:textId="77777777" w:rsidR="00EB1104" w:rsidRPr="00061FFF" w:rsidRDefault="00EB1104" w:rsidP="00061FFF">
      <w:pPr>
        <w:pStyle w:val="ListParagraph"/>
        <w:numPr>
          <w:ilvl w:val="0"/>
          <w:numId w:val="37"/>
        </w:numPr>
        <w:spacing w:line="240" w:lineRule="auto"/>
        <w:rPr>
          <w:rFonts w:eastAsia="Times New Roman" w:cs="Arial"/>
          <w:i/>
          <w:iCs/>
          <w:color w:val="000000"/>
          <w:u w:val="single"/>
          <w:lang w:eastAsia="bg-BG"/>
        </w:rPr>
      </w:pPr>
      <w:r w:rsidRPr="00061FFF">
        <w:rPr>
          <w:rFonts w:eastAsia="Times New Roman" w:cs="Arial"/>
          <w:i/>
          <w:iCs/>
          <w:color w:val="000000"/>
          <w:u w:val="single"/>
          <w:lang w:eastAsia="bg-BG"/>
        </w:rPr>
        <w:t>Изследвания</w:t>
      </w:r>
    </w:p>
    <w:p w14:paraId="14755FF3" w14:textId="77777777" w:rsidR="00EB1104" w:rsidRPr="00EB1104" w:rsidRDefault="00EB1104" w:rsidP="00EB1104">
      <w:pPr>
        <w:spacing w:line="240" w:lineRule="auto"/>
        <w:rPr>
          <w:rFonts w:eastAsia="Times New Roman" w:cs="Arial"/>
          <w:lang w:eastAsia="bg-BG"/>
        </w:rPr>
      </w:pPr>
      <w:r w:rsidRPr="00EB1104">
        <w:rPr>
          <w:rFonts w:eastAsia="Times New Roman" w:cs="Arial"/>
          <w:i/>
          <w:iCs/>
          <w:color w:val="000000"/>
          <w:lang w:eastAsia="bg-BG"/>
        </w:rPr>
        <w:t>Чести:</w:t>
      </w:r>
      <w:r w:rsidRPr="00EB1104">
        <w:rPr>
          <w:rFonts w:eastAsia="Times New Roman" w:cs="Arial"/>
          <w:color w:val="000000"/>
          <w:lang w:eastAsia="bg-BG"/>
        </w:rPr>
        <w:t xml:space="preserve"> Наддаване на тегло.</w:t>
      </w:r>
    </w:p>
    <w:p w14:paraId="75EE9882" w14:textId="7D091B18"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Нечести:</w:t>
      </w:r>
      <w:r w:rsidRPr="00EB1104">
        <w:rPr>
          <w:rFonts w:eastAsia="Times New Roman" w:cs="Arial"/>
          <w:color w:val="000000"/>
          <w:lang w:eastAsia="bg-BG"/>
        </w:rPr>
        <w:t xml:space="preserve"> Увеличение на чернодробните ензими, обикновено трансаминази.</w:t>
      </w:r>
    </w:p>
    <w:p w14:paraId="616160A7" w14:textId="77777777" w:rsidR="00EB1104" w:rsidRPr="00EB1104" w:rsidRDefault="00EB1104" w:rsidP="00EB1104">
      <w:pPr>
        <w:spacing w:line="240" w:lineRule="auto"/>
        <w:rPr>
          <w:rFonts w:eastAsia="Times New Roman" w:cs="Arial"/>
          <w:lang w:eastAsia="bg-BG"/>
        </w:rPr>
      </w:pPr>
    </w:p>
    <w:p w14:paraId="6034874C" w14:textId="466DCAC7" w:rsidR="00EB1104" w:rsidRPr="00061FFF" w:rsidRDefault="00EB1104" w:rsidP="00061FFF">
      <w:pPr>
        <w:pStyle w:val="ListParagraph"/>
        <w:numPr>
          <w:ilvl w:val="0"/>
          <w:numId w:val="37"/>
        </w:numPr>
        <w:spacing w:line="240" w:lineRule="auto"/>
        <w:rPr>
          <w:rFonts w:eastAsia="Times New Roman" w:cs="Arial"/>
          <w:i/>
          <w:iCs/>
          <w:color w:val="000000"/>
          <w:u w:val="single"/>
          <w:lang w:eastAsia="bg-BG"/>
        </w:rPr>
      </w:pPr>
      <w:r w:rsidRPr="00061FFF">
        <w:rPr>
          <w:rFonts w:eastAsia="Times New Roman" w:cs="Arial"/>
          <w:i/>
          <w:iCs/>
          <w:color w:val="000000"/>
          <w:u w:val="single"/>
          <w:lang w:eastAsia="bg-BG"/>
        </w:rPr>
        <w:lastRenderedPageBreak/>
        <w:t>Нарушения на имунната система</w:t>
      </w:r>
    </w:p>
    <w:p w14:paraId="6D9CC16F" w14:textId="6FC5C719"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Нечести:</w:t>
      </w:r>
      <w:r w:rsidRPr="00EB1104">
        <w:rPr>
          <w:rFonts w:eastAsia="Times New Roman" w:cs="Arial"/>
          <w:color w:val="000000"/>
          <w:lang w:eastAsia="bg-BG"/>
        </w:rPr>
        <w:t xml:space="preserve"> Алергични реакции.</w:t>
      </w:r>
    </w:p>
    <w:p w14:paraId="11740185" w14:textId="77777777" w:rsidR="00EB1104" w:rsidRPr="00EB1104" w:rsidRDefault="00EB1104" w:rsidP="00EB1104">
      <w:pPr>
        <w:spacing w:line="240" w:lineRule="auto"/>
        <w:rPr>
          <w:rFonts w:eastAsia="Times New Roman" w:cs="Arial"/>
          <w:lang w:eastAsia="bg-BG"/>
        </w:rPr>
      </w:pPr>
    </w:p>
    <w:p w14:paraId="31B5B111" w14:textId="77777777" w:rsidR="00EB1104" w:rsidRPr="00EB1104" w:rsidRDefault="00EB1104" w:rsidP="00EB1104">
      <w:pPr>
        <w:spacing w:line="240" w:lineRule="auto"/>
        <w:rPr>
          <w:rFonts w:eastAsia="Times New Roman" w:cs="Arial"/>
          <w:lang w:eastAsia="bg-BG"/>
        </w:rPr>
      </w:pPr>
      <w:r w:rsidRPr="00EB1104">
        <w:rPr>
          <w:rFonts w:eastAsia="Times New Roman" w:cs="Arial"/>
          <w:b/>
          <w:bCs/>
          <w:color w:val="000000"/>
          <w:u w:val="single"/>
          <w:lang w:eastAsia="bg-BG"/>
        </w:rPr>
        <w:t>Постмаркетингови данни:</w:t>
      </w:r>
    </w:p>
    <w:p w14:paraId="2256A8D4" w14:textId="2A6B1379" w:rsidR="00EB1104" w:rsidRDefault="00EB1104" w:rsidP="00EB1104">
      <w:pPr>
        <w:spacing w:line="240" w:lineRule="auto"/>
        <w:rPr>
          <w:rFonts w:eastAsia="Times New Roman" w:cs="Arial"/>
          <w:color w:val="000000"/>
          <w:lang w:eastAsia="bg-BG"/>
        </w:rPr>
      </w:pPr>
      <w:r w:rsidRPr="00EB1104">
        <w:rPr>
          <w:rFonts w:eastAsia="Times New Roman" w:cs="Arial"/>
          <w:color w:val="000000"/>
          <w:lang w:eastAsia="bg-BG"/>
        </w:rPr>
        <w:t>Като допълнение, следните случаи на нежелани лекарствени реакции са съобщавани само като спонтанни доклади:</w:t>
      </w:r>
    </w:p>
    <w:p w14:paraId="68D6DFB9" w14:textId="77777777" w:rsidR="00EB1104" w:rsidRPr="00EB1104" w:rsidRDefault="00EB1104" w:rsidP="00EB1104">
      <w:pPr>
        <w:spacing w:line="240" w:lineRule="auto"/>
        <w:rPr>
          <w:rFonts w:eastAsia="Times New Roman" w:cs="Arial"/>
          <w:lang w:eastAsia="bg-BG"/>
        </w:rPr>
      </w:pPr>
    </w:p>
    <w:p w14:paraId="719783B6" w14:textId="77777777" w:rsidR="00EB1104"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Нарушения на кръвта и лимфата</w:t>
      </w:r>
    </w:p>
    <w:p w14:paraId="5CA4CDE2" w14:textId="1651A316"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С неизвестна честота:</w:t>
      </w:r>
      <w:r w:rsidRPr="00EB1104">
        <w:rPr>
          <w:rFonts w:eastAsia="Times New Roman" w:cs="Arial"/>
          <w:color w:val="000000"/>
          <w:lang w:eastAsia="bg-BG"/>
        </w:rPr>
        <w:t xml:space="preserve"> левкопения, неутропения и агранулоцитоза (виж точка 4.4)</w:t>
      </w:r>
    </w:p>
    <w:p w14:paraId="54EA4587" w14:textId="77777777" w:rsidR="00EB1104" w:rsidRPr="00EB1104" w:rsidRDefault="00EB1104" w:rsidP="00EB1104">
      <w:pPr>
        <w:spacing w:line="240" w:lineRule="auto"/>
        <w:rPr>
          <w:rFonts w:eastAsia="Times New Roman" w:cs="Arial"/>
          <w:lang w:eastAsia="bg-BG"/>
        </w:rPr>
      </w:pPr>
    </w:p>
    <w:p w14:paraId="397B3F2D" w14:textId="77777777" w:rsidR="00EB1104"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Нарушения на метаболизма и храненето</w:t>
      </w:r>
    </w:p>
    <w:p w14:paraId="483386A7" w14:textId="3A7A3146"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С неизвестна честота:</w:t>
      </w:r>
      <w:r w:rsidRPr="00EB1104">
        <w:rPr>
          <w:rFonts w:eastAsia="Times New Roman" w:cs="Arial"/>
          <w:color w:val="000000"/>
          <w:lang w:eastAsia="bg-BG"/>
        </w:rPr>
        <w:t xml:space="preserve"> хипертриглицеридемия и хиперхолестеролемия.</w:t>
      </w:r>
    </w:p>
    <w:p w14:paraId="7CC10D1D" w14:textId="77777777" w:rsidR="00EB1104" w:rsidRPr="00EB1104" w:rsidRDefault="00EB1104" w:rsidP="00EB1104">
      <w:pPr>
        <w:spacing w:line="240" w:lineRule="auto"/>
        <w:rPr>
          <w:rFonts w:eastAsia="Times New Roman" w:cs="Arial"/>
          <w:lang w:eastAsia="bg-BG"/>
        </w:rPr>
      </w:pPr>
    </w:p>
    <w:p w14:paraId="7BC17E52" w14:textId="77777777" w:rsidR="00EB1104"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Психични нарушения</w:t>
      </w:r>
    </w:p>
    <w:p w14:paraId="4917FED5" w14:textId="152104B4" w:rsidR="00EB1104" w:rsidRDefault="00EB1104" w:rsidP="00EB1104">
      <w:pPr>
        <w:spacing w:line="240" w:lineRule="auto"/>
        <w:rPr>
          <w:rFonts w:eastAsia="Times New Roman" w:cs="Arial"/>
          <w:color w:val="000000"/>
          <w:lang w:eastAsia="bg-BG"/>
        </w:rPr>
      </w:pPr>
      <w:r w:rsidRPr="00EB1104">
        <w:rPr>
          <w:rFonts w:eastAsia="Times New Roman" w:cs="Arial"/>
          <w:color w:val="000000"/>
          <w:lang w:eastAsia="bg-BG"/>
        </w:rPr>
        <w:t xml:space="preserve">С </w:t>
      </w:r>
      <w:r w:rsidRPr="00EB1104">
        <w:rPr>
          <w:rFonts w:eastAsia="Times New Roman" w:cs="Arial"/>
          <w:i/>
          <w:iCs/>
          <w:color w:val="000000"/>
          <w:lang w:eastAsia="bg-BG"/>
        </w:rPr>
        <w:t>неизвестна честота:</w:t>
      </w:r>
      <w:r w:rsidRPr="00EB1104">
        <w:rPr>
          <w:rFonts w:eastAsia="Times New Roman" w:cs="Arial"/>
          <w:color w:val="000000"/>
          <w:lang w:eastAsia="bg-BG"/>
        </w:rPr>
        <w:t xml:space="preserve"> объркване</w:t>
      </w:r>
    </w:p>
    <w:p w14:paraId="2EBE27E9" w14:textId="77777777" w:rsidR="00EB1104" w:rsidRPr="00EB1104" w:rsidRDefault="00EB1104" w:rsidP="00EB1104">
      <w:pPr>
        <w:spacing w:line="240" w:lineRule="auto"/>
        <w:rPr>
          <w:rFonts w:eastAsia="Times New Roman" w:cs="Arial"/>
          <w:lang w:eastAsia="bg-BG"/>
        </w:rPr>
      </w:pPr>
    </w:p>
    <w:p w14:paraId="389812B6" w14:textId="77777777" w:rsidR="00EB1104"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Нарушения на нервната система</w:t>
      </w:r>
    </w:p>
    <w:p w14:paraId="3D12A815" w14:textId="0DF3FBD0"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С неизвестна честота:</w:t>
      </w:r>
      <w:r w:rsidRPr="00EB1104">
        <w:rPr>
          <w:rFonts w:eastAsia="Times New Roman" w:cs="Arial"/>
          <w:color w:val="000000"/>
          <w:lang w:eastAsia="bg-BG"/>
        </w:rPr>
        <w:t xml:space="preserve"> невролептичен малигнен синдром (вж. точка 4.4), който е потенциално усложнение с фатален изход.</w:t>
      </w:r>
    </w:p>
    <w:p w14:paraId="64100C50" w14:textId="77777777" w:rsidR="008F1295" w:rsidRPr="00EB1104" w:rsidRDefault="008F1295" w:rsidP="00EB1104">
      <w:pPr>
        <w:spacing w:line="240" w:lineRule="auto"/>
        <w:rPr>
          <w:rFonts w:eastAsia="Times New Roman" w:cs="Arial"/>
          <w:lang w:eastAsia="bg-BG"/>
        </w:rPr>
      </w:pPr>
    </w:p>
    <w:p w14:paraId="0FC710EA" w14:textId="77777777" w:rsidR="00EB1104"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Сърдечни нарушения</w:t>
      </w:r>
    </w:p>
    <w:p w14:paraId="62E087F8" w14:textId="1ADF8BCD"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С неизвестна честота:</w:t>
      </w:r>
      <w:r w:rsidRPr="00EB1104">
        <w:rPr>
          <w:rFonts w:eastAsia="Times New Roman" w:cs="Arial"/>
          <w:color w:val="000000"/>
          <w:lang w:eastAsia="bg-BG"/>
        </w:rPr>
        <w:t xml:space="preserve"> Удължаване на </w:t>
      </w:r>
      <w:r w:rsidRPr="00EB1104">
        <w:rPr>
          <w:rFonts w:eastAsia="Times New Roman" w:cs="Arial"/>
          <w:color w:val="000000"/>
          <w:lang w:val="en-US"/>
        </w:rPr>
        <w:t>QT</w:t>
      </w:r>
      <w:r w:rsidRPr="00EB1104">
        <w:rPr>
          <w:rFonts w:eastAsia="Times New Roman" w:cs="Arial"/>
          <w:color w:val="000000"/>
          <w:lang w:eastAsia="bg-BG"/>
        </w:rPr>
        <w:t xml:space="preserve">-интервала и вентрикуларна аритмия като </w:t>
      </w:r>
      <w:r w:rsidRPr="00EB1104">
        <w:rPr>
          <w:rFonts w:eastAsia="Times New Roman" w:cs="Arial"/>
          <w:i/>
          <w:iCs/>
          <w:color w:val="000000"/>
          <w:lang w:eastAsia="bg-BG"/>
        </w:rPr>
        <w:t xml:space="preserve">” </w:t>
      </w:r>
      <w:proofErr w:type="spellStart"/>
      <w:r w:rsidRPr="00EB1104">
        <w:rPr>
          <w:rFonts w:eastAsia="Times New Roman" w:cs="Arial"/>
          <w:i/>
          <w:iCs/>
          <w:color w:val="000000"/>
          <w:lang w:val="en-US"/>
        </w:rPr>
        <w:t>torsades</w:t>
      </w:r>
      <w:proofErr w:type="spellEnd"/>
      <w:r w:rsidRPr="00EB1104">
        <w:rPr>
          <w:rFonts w:eastAsia="Times New Roman" w:cs="Arial"/>
          <w:i/>
          <w:iCs/>
          <w:color w:val="000000"/>
          <w:lang w:val="en-US"/>
        </w:rPr>
        <w:t xml:space="preserve"> de pointes”,</w:t>
      </w:r>
      <w:r w:rsidRPr="00EB1104">
        <w:rPr>
          <w:rFonts w:eastAsia="Times New Roman" w:cs="Arial"/>
          <w:color w:val="000000"/>
          <w:lang w:val="en-US"/>
        </w:rPr>
        <w:t xml:space="preserve"> </w:t>
      </w:r>
      <w:r w:rsidRPr="00EB1104">
        <w:rPr>
          <w:rFonts w:eastAsia="Times New Roman" w:cs="Arial"/>
          <w:color w:val="000000"/>
          <w:lang w:eastAsia="bg-BG"/>
        </w:rPr>
        <w:t>вентрикуларна тахикардия, която може да доведе до камерно мъждене или сърдечен арест, както и внезапна смърт (вж. точка 4.4).</w:t>
      </w:r>
    </w:p>
    <w:p w14:paraId="0D02EA81" w14:textId="77777777" w:rsidR="008F1295" w:rsidRPr="00EB1104" w:rsidRDefault="008F1295" w:rsidP="00EB1104">
      <w:pPr>
        <w:spacing w:line="240" w:lineRule="auto"/>
        <w:rPr>
          <w:rFonts w:eastAsia="Times New Roman" w:cs="Arial"/>
          <w:lang w:eastAsia="bg-BG"/>
        </w:rPr>
      </w:pPr>
    </w:p>
    <w:p w14:paraId="03EF713E" w14:textId="3579C0A0" w:rsidR="008F1295"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Съдови нарушения</w:t>
      </w:r>
    </w:p>
    <w:p w14:paraId="0A5D9A7F" w14:textId="43EAFEBA" w:rsidR="00EB1104" w:rsidRDefault="00EB1104" w:rsidP="00EB1104">
      <w:pPr>
        <w:spacing w:line="240" w:lineRule="auto"/>
        <w:rPr>
          <w:rFonts w:eastAsia="Times New Roman" w:cs="Arial"/>
          <w:color w:val="000000"/>
          <w:lang w:eastAsia="bg-BG"/>
        </w:rPr>
      </w:pPr>
      <w:r w:rsidRPr="00EB1104">
        <w:rPr>
          <w:rFonts w:eastAsia="Times New Roman" w:cs="Arial"/>
          <w:i/>
          <w:iCs/>
          <w:color w:val="000000"/>
          <w:lang w:eastAsia="bg-BG"/>
        </w:rPr>
        <w:t>С неизвестна честота:</w:t>
      </w:r>
      <w:r w:rsidRPr="00EB1104">
        <w:rPr>
          <w:rFonts w:eastAsia="Times New Roman" w:cs="Arial"/>
          <w:color w:val="000000"/>
          <w:lang w:eastAsia="bg-BG"/>
        </w:rPr>
        <w:t xml:space="preserve"> Венозен тромбоемболизъм, включително белодробен емболизъм, понякога фатален, както и дълбока венозна тромбоза (виж точка 4.4).</w:t>
      </w:r>
    </w:p>
    <w:p w14:paraId="293AF153" w14:textId="77777777" w:rsidR="008F1295" w:rsidRPr="00EB1104" w:rsidRDefault="008F1295" w:rsidP="00EB1104">
      <w:pPr>
        <w:spacing w:line="240" w:lineRule="auto"/>
        <w:rPr>
          <w:rFonts w:eastAsia="Times New Roman" w:cs="Arial"/>
          <w:lang w:eastAsia="bg-BG"/>
        </w:rPr>
      </w:pPr>
    </w:p>
    <w:p w14:paraId="6458D7DE" w14:textId="59B2A375" w:rsidR="008F1295"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Нарушения на кожата и подкожната тъкан</w:t>
      </w:r>
    </w:p>
    <w:p w14:paraId="4FFEED4F" w14:textId="4A9B99F8" w:rsidR="00EB1104" w:rsidRDefault="00EB1104" w:rsidP="00EB1104">
      <w:pPr>
        <w:spacing w:line="240" w:lineRule="auto"/>
        <w:rPr>
          <w:rFonts w:eastAsia="Times New Roman" w:cs="Arial"/>
          <w:color w:val="000000"/>
          <w:lang w:eastAsia="bg-BG"/>
        </w:rPr>
      </w:pPr>
      <w:r w:rsidRPr="00EB1104">
        <w:rPr>
          <w:rFonts w:eastAsia="Times New Roman" w:cs="Arial"/>
          <w:color w:val="000000"/>
          <w:lang w:eastAsia="bg-BG"/>
        </w:rPr>
        <w:t xml:space="preserve">С </w:t>
      </w:r>
      <w:r w:rsidRPr="00EB1104">
        <w:rPr>
          <w:rFonts w:eastAsia="Times New Roman" w:cs="Arial"/>
          <w:i/>
          <w:iCs/>
          <w:color w:val="000000"/>
          <w:lang w:eastAsia="bg-BG"/>
        </w:rPr>
        <w:t>неизвестна честота:</w:t>
      </w:r>
      <w:r w:rsidR="008F1295">
        <w:rPr>
          <w:rFonts w:eastAsia="Times New Roman" w:cs="Arial"/>
          <w:color w:val="000000"/>
          <w:lang w:eastAsia="bg-BG"/>
        </w:rPr>
        <w:t xml:space="preserve"> Ангиодем, уртикария.</w:t>
      </w:r>
    </w:p>
    <w:p w14:paraId="4E6E9B41" w14:textId="77777777" w:rsidR="008F1295" w:rsidRPr="00EB1104" w:rsidRDefault="008F1295" w:rsidP="00EB1104">
      <w:pPr>
        <w:spacing w:line="240" w:lineRule="auto"/>
        <w:rPr>
          <w:rFonts w:eastAsia="Times New Roman" w:cs="Arial"/>
          <w:lang w:eastAsia="bg-BG"/>
        </w:rPr>
      </w:pPr>
    </w:p>
    <w:p w14:paraId="01E2D66E" w14:textId="77777777" w:rsidR="00EB1104" w:rsidRPr="00061FFF" w:rsidRDefault="00EB1104" w:rsidP="00061FFF">
      <w:pPr>
        <w:pStyle w:val="ListParagraph"/>
        <w:numPr>
          <w:ilvl w:val="0"/>
          <w:numId w:val="37"/>
        </w:numPr>
        <w:spacing w:line="240" w:lineRule="auto"/>
        <w:rPr>
          <w:rFonts w:eastAsia="Times New Roman" w:cs="Arial"/>
          <w:color w:val="000000"/>
          <w:u w:val="single"/>
          <w:lang w:eastAsia="bg-BG"/>
        </w:rPr>
      </w:pPr>
      <w:r w:rsidRPr="00061FFF">
        <w:rPr>
          <w:rFonts w:eastAsia="Times New Roman" w:cs="Arial"/>
          <w:color w:val="000000"/>
          <w:u w:val="single"/>
          <w:lang w:eastAsia="bg-BG"/>
        </w:rPr>
        <w:t>Състояния, свързани с бременността, родовия и послеродовия период</w:t>
      </w:r>
    </w:p>
    <w:p w14:paraId="7648EE8F" w14:textId="0446F67E" w:rsidR="00EB1104" w:rsidRDefault="00EB1104" w:rsidP="00EB1104">
      <w:pPr>
        <w:spacing w:line="240" w:lineRule="auto"/>
        <w:rPr>
          <w:rFonts w:eastAsia="Times New Roman" w:cs="Arial"/>
          <w:i/>
          <w:iCs/>
          <w:color w:val="000000"/>
          <w:lang w:eastAsia="bg-BG"/>
        </w:rPr>
      </w:pPr>
      <w:r w:rsidRPr="00EB1104">
        <w:rPr>
          <w:rFonts w:eastAsia="Times New Roman" w:cs="Arial"/>
          <w:i/>
          <w:iCs/>
          <w:color w:val="000000"/>
          <w:lang w:eastAsia="bg-BG"/>
        </w:rPr>
        <w:t>С неизвестна честота:</w:t>
      </w:r>
      <w:r w:rsidRPr="00EB1104">
        <w:rPr>
          <w:rFonts w:eastAsia="Times New Roman" w:cs="Arial"/>
          <w:color w:val="000000"/>
          <w:lang w:eastAsia="bg-BG"/>
        </w:rPr>
        <w:t xml:space="preserve"> симптом на отнемането при новородени (виж точка 4.6 </w:t>
      </w:r>
      <w:r w:rsidRPr="00EB1104">
        <w:rPr>
          <w:rFonts w:eastAsia="Times New Roman" w:cs="Arial"/>
          <w:i/>
          <w:iCs/>
          <w:color w:val="000000"/>
          <w:lang w:eastAsia="bg-BG"/>
        </w:rPr>
        <w:t>Бременност, кърмене и фертилитет).</w:t>
      </w:r>
    </w:p>
    <w:p w14:paraId="316AE623" w14:textId="77777777" w:rsidR="008F1295" w:rsidRPr="00EB1104" w:rsidRDefault="008F1295" w:rsidP="00EB1104">
      <w:pPr>
        <w:spacing w:line="240" w:lineRule="auto"/>
        <w:rPr>
          <w:rFonts w:eastAsia="Times New Roman" w:cs="Arial"/>
          <w:lang w:eastAsia="bg-BG"/>
        </w:rPr>
      </w:pPr>
    </w:p>
    <w:p w14:paraId="66F4D16B" w14:textId="77777777" w:rsidR="00EB1104" w:rsidRPr="00EB1104" w:rsidRDefault="00EB1104" w:rsidP="00EB1104">
      <w:pPr>
        <w:spacing w:line="240" w:lineRule="auto"/>
        <w:rPr>
          <w:rFonts w:eastAsia="Times New Roman" w:cs="Arial"/>
          <w:lang w:eastAsia="bg-BG"/>
        </w:rPr>
      </w:pPr>
      <w:bookmarkStart w:id="3" w:name="bookmark2"/>
      <w:r w:rsidRPr="00EB1104">
        <w:rPr>
          <w:rFonts w:eastAsia="Times New Roman" w:cs="Arial"/>
          <w:b/>
          <w:bCs/>
          <w:color w:val="000000"/>
          <w:lang w:eastAsia="bg-BG"/>
        </w:rPr>
        <w:t>Съобщаване на нежелани реакции</w:t>
      </w:r>
      <w:bookmarkEnd w:id="3"/>
    </w:p>
    <w:p w14:paraId="5912F52C"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чрез националната система за съобщаване на  Изпълнителната агенция по лекарствата. Като съобщавате нежелани реакции, допринасяте за получаване на повече информация относно безопасността на това лекарство. </w:t>
      </w:r>
      <w:r w:rsidRPr="00EB1104">
        <w:rPr>
          <w:rFonts w:eastAsia="Times New Roman" w:cs="Arial"/>
          <w:color w:val="000000"/>
          <w:lang w:eastAsia="bg-BG"/>
        </w:rPr>
        <w:tab/>
      </w:r>
    </w:p>
    <w:p w14:paraId="47548A20" w14:textId="77777777" w:rsidR="00EB1104" w:rsidRPr="00EB1104" w:rsidRDefault="00EB1104" w:rsidP="00EB1104">
      <w:pPr>
        <w:spacing w:line="240" w:lineRule="auto"/>
        <w:rPr>
          <w:rFonts w:eastAsia="Times New Roman" w:cs="Arial"/>
          <w:lang w:eastAsia="bg-BG"/>
        </w:rPr>
      </w:pPr>
    </w:p>
    <w:p w14:paraId="1143D21B" w14:textId="77777777" w:rsidR="00EB1104" w:rsidRPr="00EB1104" w:rsidRDefault="00EB1104" w:rsidP="00EB1104">
      <w:pPr>
        <w:spacing w:line="240" w:lineRule="auto"/>
        <w:rPr>
          <w:rFonts w:eastAsia="Times New Roman" w:cs="Arial"/>
          <w:lang w:eastAsia="bg-BG"/>
        </w:rPr>
      </w:pPr>
    </w:p>
    <w:p w14:paraId="71E01F89" w14:textId="77777777" w:rsidR="00EB1104" w:rsidRPr="00EB1104" w:rsidRDefault="00EB1104" w:rsidP="00EB1104">
      <w:pPr>
        <w:spacing w:line="240" w:lineRule="auto"/>
        <w:rPr>
          <w:rFonts w:eastAsia="Times New Roman" w:cs="Arial"/>
          <w:lang w:eastAsia="bg-BG"/>
        </w:rPr>
      </w:pPr>
      <w:r w:rsidRPr="00EB1104">
        <w:rPr>
          <w:rFonts w:eastAsia="Times New Roman" w:cs="Arial"/>
          <w:b/>
          <w:bCs/>
          <w:color w:val="000000"/>
          <w:lang w:eastAsia="bg-BG"/>
        </w:rPr>
        <w:t>Контакти:</w:t>
      </w:r>
    </w:p>
    <w:p w14:paraId="3E26C0C8" w14:textId="77777777" w:rsidR="00EB1104" w:rsidRPr="00EB1104" w:rsidRDefault="00EB1104" w:rsidP="00EB1104">
      <w:pPr>
        <w:spacing w:line="240" w:lineRule="auto"/>
        <w:rPr>
          <w:rFonts w:eastAsia="Times New Roman" w:cs="Arial"/>
          <w:lang w:eastAsia="bg-BG"/>
        </w:rPr>
      </w:pPr>
      <w:r w:rsidRPr="00EB1104">
        <w:rPr>
          <w:rFonts w:eastAsia="Times New Roman" w:cs="Arial"/>
          <w:color w:val="000000"/>
          <w:lang w:eastAsia="bg-BG"/>
        </w:rPr>
        <w:t>Изпълнителна агенция по лекарствата.</w:t>
      </w:r>
      <w:r w:rsidRPr="00EB1104">
        <w:rPr>
          <w:rFonts w:eastAsia="Times New Roman" w:cs="Arial"/>
          <w:color w:val="000000"/>
          <w:lang w:eastAsia="bg-BG"/>
        </w:rPr>
        <w:tab/>
      </w:r>
      <w:r w:rsidRPr="00EB1104">
        <w:rPr>
          <w:rFonts w:eastAsia="Times New Roman" w:cs="Arial"/>
          <w:color w:val="000000"/>
          <w:lang w:eastAsia="bg-BG"/>
        </w:rPr>
        <w:tab/>
        <w:t>/</w:t>
      </w:r>
    </w:p>
    <w:p w14:paraId="1020568C" w14:textId="6D0BA68D" w:rsidR="00EB1104" w:rsidRDefault="00EB1104" w:rsidP="00EB1104">
      <w:pPr>
        <w:rPr>
          <w:rFonts w:eastAsia="Times New Roman" w:cs="Arial"/>
          <w:color w:val="000000"/>
          <w:lang w:eastAsia="bg-BG"/>
        </w:rPr>
      </w:pPr>
      <w:r w:rsidRPr="00EB1104">
        <w:rPr>
          <w:rFonts w:eastAsia="Times New Roman" w:cs="Arial"/>
          <w:color w:val="000000"/>
          <w:lang w:eastAsia="bg-BG"/>
        </w:rPr>
        <w:t>България</w:t>
      </w:r>
    </w:p>
    <w:p w14:paraId="2FA55D2A" w14:textId="06B09D76"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ул. „Дамян Груев” № 8</w:t>
      </w:r>
    </w:p>
    <w:p w14:paraId="75F3E6FA"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1303 София</w:t>
      </w:r>
    </w:p>
    <w:p w14:paraId="28F0F30B"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lastRenderedPageBreak/>
        <w:t>Тел.: +35 928903417</w:t>
      </w:r>
    </w:p>
    <w:p w14:paraId="16D878C4" w14:textId="3EA8A7F7" w:rsidR="008F1295" w:rsidRPr="008F1295" w:rsidRDefault="008F1295" w:rsidP="008F1295">
      <w:pPr>
        <w:rPr>
          <w:rFonts w:eastAsia="Times New Roman" w:cs="Arial"/>
          <w:color w:val="000000"/>
          <w:lang w:eastAsia="bg-BG"/>
        </w:rPr>
      </w:pPr>
      <w:r w:rsidRPr="008F1295">
        <w:rPr>
          <w:rFonts w:eastAsia="Times New Roman" w:cs="Arial"/>
          <w:color w:val="000000"/>
          <w:lang w:eastAsia="bg-BG"/>
        </w:rPr>
        <w:t xml:space="preserve">уебсайт: </w:t>
      </w:r>
      <w:hyperlink r:id="rId5" w:history="1">
        <w:r w:rsidRPr="008F1295">
          <w:rPr>
            <w:rFonts w:eastAsia="Times New Roman" w:cs="Arial"/>
            <w:color w:val="000000"/>
            <w:lang w:val="en-US"/>
          </w:rPr>
          <w:t>www.bda.bg</w:t>
        </w:r>
      </w:hyperlink>
    </w:p>
    <w:p w14:paraId="71C627E3" w14:textId="77777777" w:rsidR="00EB1104" w:rsidRPr="00EB1104" w:rsidRDefault="00EB1104" w:rsidP="00EB1104">
      <w:pPr>
        <w:rPr>
          <w:rFonts w:cs="Arial"/>
        </w:rPr>
      </w:pPr>
    </w:p>
    <w:p w14:paraId="0A023CE0" w14:textId="409565B9" w:rsidR="00CF77F7" w:rsidRDefault="002C50EE" w:rsidP="004A448E">
      <w:pPr>
        <w:pStyle w:val="Heading2"/>
      </w:pPr>
      <w:r>
        <w:t>4.9. Предозиране</w:t>
      </w:r>
    </w:p>
    <w:p w14:paraId="3E6C4A57" w14:textId="5B6CC72B" w:rsidR="008F1295" w:rsidRDefault="008F1295" w:rsidP="008F1295"/>
    <w:p w14:paraId="00BC9B5E" w14:textId="6524C7EB" w:rsidR="008F1295" w:rsidRDefault="008F1295" w:rsidP="008F1295">
      <w:pPr>
        <w:spacing w:line="240" w:lineRule="auto"/>
        <w:rPr>
          <w:rFonts w:eastAsia="Times New Roman" w:cs="Arial"/>
          <w:color w:val="000000"/>
          <w:lang w:eastAsia="bg-BG"/>
        </w:rPr>
      </w:pPr>
      <w:r w:rsidRPr="008F1295">
        <w:rPr>
          <w:rFonts w:eastAsia="Times New Roman" w:cs="Arial"/>
          <w:color w:val="000000"/>
          <w:lang w:eastAsia="bg-BG"/>
        </w:rPr>
        <w:t>Данните, свързани с остро предозиране с амисулприд, са ограничени. Докладваните признаци и симптоми при предозиране се получават при засилване на известните му фармакологични ефекти. Те включват прояви на сънливост и седация, кома, хипотония и екстрапирамидни симптоми.</w:t>
      </w:r>
    </w:p>
    <w:p w14:paraId="4F167E14" w14:textId="77777777" w:rsidR="008F1295" w:rsidRPr="008F1295" w:rsidRDefault="008F1295" w:rsidP="008F1295">
      <w:pPr>
        <w:spacing w:line="240" w:lineRule="auto"/>
        <w:rPr>
          <w:rFonts w:eastAsia="Times New Roman" w:cs="Arial"/>
          <w:lang w:eastAsia="bg-BG"/>
        </w:rPr>
      </w:pPr>
    </w:p>
    <w:p w14:paraId="5EA11F11" w14:textId="2CEF9AD6" w:rsidR="008F1295" w:rsidRDefault="008F1295" w:rsidP="008F1295">
      <w:pPr>
        <w:spacing w:line="240" w:lineRule="auto"/>
        <w:rPr>
          <w:rFonts w:eastAsia="Times New Roman" w:cs="Arial"/>
          <w:color w:val="000000"/>
          <w:lang w:eastAsia="bg-BG"/>
        </w:rPr>
      </w:pPr>
      <w:r w:rsidRPr="008F1295">
        <w:rPr>
          <w:rFonts w:eastAsia="Times New Roman" w:cs="Arial"/>
          <w:b/>
          <w:bCs/>
          <w:color w:val="000000"/>
          <w:lang w:eastAsia="bg-BG"/>
        </w:rPr>
        <w:t xml:space="preserve">Признаци и симптоми. </w:t>
      </w:r>
      <w:r w:rsidRPr="008F1295">
        <w:rPr>
          <w:rFonts w:eastAsia="Times New Roman" w:cs="Arial"/>
          <w:color w:val="000000"/>
          <w:lang w:eastAsia="bg-BG"/>
        </w:rPr>
        <w:t>Опитът с амисулприд при предозиране е ограничен. Докладвано е засилване на известните фармакологични ефекти на амисулприд. Те включват прояви на сънливост и седация, кома, хипотония и екстрапирамидни симптоми. Случаи с фатален изход са били докладвани главно при комбинирано лечение с други психотропни лекарства.</w:t>
      </w:r>
    </w:p>
    <w:p w14:paraId="7F13C7D9" w14:textId="77777777" w:rsidR="008F1295" w:rsidRPr="008F1295" w:rsidRDefault="008F1295" w:rsidP="008F1295">
      <w:pPr>
        <w:spacing w:line="240" w:lineRule="auto"/>
        <w:rPr>
          <w:rFonts w:eastAsia="Times New Roman" w:cs="Arial"/>
          <w:lang w:eastAsia="bg-BG"/>
        </w:rPr>
      </w:pPr>
    </w:p>
    <w:p w14:paraId="6631B8AD" w14:textId="77777777" w:rsidR="008F1295" w:rsidRPr="008F1295" w:rsidRDefault="008F1295" w:rsidP="008F1295">
      <w:pPr>
        <w:spacing w:line="240" w:lineRule="auto"/>
        <w:rPr>
          <w:rFonts w:eastAsia="Times New Roman" w:cs="Arial"/>
          <w:lang w:eastAsia="bg-BG"/>
        </w:rPr>
      </w:pPr>
      <w:r w:rsidRPr="008F1295">
        <w:rPr>
          <w:rFonts w:eastAsia="Times New Roman" w:cs="Arial"/>
          <w:b/>
          <w:bCs/>
          <w:color w:val="000000"/>
          <w:lang w:eastAsia="bg-BG"/>
        </w:rPr>
        <w:t>Овладяване</w:t>
      </w:r>
    </w:p>
    <w:p w14:paraId="1C86A090"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В случаите на остро предозиране трябва да се има предвид възможността да са били приети и други лекарствени продукти.</w:t>
      </w:r>
    </w:p>
    <w:p w14:paraId="73CA7460"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Амисулприд се диализира в ниска степен и не се елиминира ефективно чрез хемодиализа.</w:t>
      </w:r>
    </w:p>
    <w:p w14:paraId="7721951C" w14:textId="38DF6C54" w:rsidR="008F1295" w:rsidRPr="008F1295" w:rsidRDefault="008F1295" w:rsidP="008F1295">
      <w:pPr>
        <w:rPr>
          <w:rFonts w:cs="Arial"/>
        </w:rPr>
      </w:pPr>
      <w:r w:rsidRPr="008F1295">
        <w:rPr>
          <w:rFonts w:eastAsia="Times New Roman" w:cs="Arial"/>
          <w:color w:val="000000"/>
          <w:lang w:eastAsia="bg-BG"/>
        </w:rPr>
        <w:t xml:space="preserve">Не съществува специфичен антидот на амисулприд. Трябва да се предприемат следните подходящи мерки: строго наблюдение на жизнените функции на непрекъснато наблюдение на сърдечната дейност (риск от удължаване на </w:t>
      </w:r>
      <w:r w:rsidRPr="008F1295">
        <w:rPr>
          <w:rFonts w:eastAsia="Times New Roman" w:cs="Arial"/>
          <w:color w:val="000000"/>
          <w:lang w:val="en-US"/>
        </w:rPr>
        <w:t>QT</w:t>
      </w:r>
      <w:r w:rsidRPr="008F1295">
        <w:rPr>
          <w:rFonts w:eastAsia="Times New Roman" w:cs="Arial"/>
          <w:color w:val="000000"/>
          <w:lang w:eastAsia="bg-BG"/>
        </w:rPr>
        <w:t>-интервал) до възстановяване на пациента. Ако възникнат тежки екстрапирамидни симптоми трябва да се приложат антихолинергични средства.</w:t>
      </w:r>
    </w:p>
    <w:p w14:paraId="02081B24" w14:textId="1F46E296" w:rsidR="00395555" w:rsidRPr="00395555" w:rsidRDefault="002C50EE" w:rsidP="008A6AF2">
      <w:pPr>
        <w:pStyle w:val="Heading1"/>
      </w:pPr>
      <w:r>
        <w:t>5. ФАРМАКОЛОГИЧНИ СВОЙСТВА</w:t>
      </w:r>
    </w:p>
    <w:p w14:paraId="32B6DE66" w14:textId="34E6D44E" w:rsidR="00CF77F7" w:rsidRDefault="002C50EE" w:rsidP="004A448E">
      <w:pPr>
        <w:pStyle w:val="Heading2"/>
      </w:pPr>
      <w:r>
        <w:t>5.1. Фармакодинамични свойства</w:t>
      </w:r>
    </w:p>
    <w:p w14:paraId="166B9393" w14:textId="38091CB5" w:rsidR="008F1295" w:rsidRDefault="008F1295" w:rsidP="008F1295"/>
    <w:p w14:paraId="6519AFFF"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Фармакотерапевтична група: Антипсихотици, бензамиди</w:t>
      </w:r>
    </w:p>
    <w:p w14:paraId="2581B550"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 xml:space="preserve">АТС код: </w:t>
      </w:r>
      <w:r w:rsidRPr="008F1295">
        <w:rPr>
          <w:rFonts w:eastAsia="Times New Roman" w:cs="Arial"/>
          <w:color w:val="000000"/>
          <w:lang w:val="en-US"/>
        </w:rPr>
        <w:t>N 05AL05</w:t>
      </w:r>
    </w:p>
    <w:p w14:paraId="4085936F" w14:textId="77777777" w:rsidR="008F1295" w:rsidRDefault="008F1295" w:rsidP="008F1295">
      <w:pPr>
        <w:spacing w:line="240" w:lineRule="auto"/>
        <w:rPr>
          <w:rFonts w:eastAsia="Times New Roman" w:cs="Arial"/>
          <w:color w:val="000000"/>
          <w:lang w:eastAsia="bg-BG"/>
        </w:rPr>
      </w:pPr>
    </w:p>
    <w:p w14:paraId="7C157236" w14:textId="4A15C724"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Амисулприд е антипсихотичен лекарствен продукт, принадлежащ към класа на бензамидите.</w:t>
      </w:r>
    </w:p>
    <w:p w14:paraId="47C3DD80" w14:textId="77777777" w:rsidR="008F1295" w:rsidRDefault="008F1295" w:rsidP="008F1295">
      <w:pPr>
        <w:spacing w:line="240" w:lineRule="auto"/>
        <w:rPr>
          <w:rFonts w:eastAsia="Times New Roman" w:cs="Arial"/>
          <w:color w:val="000000"/>
          <w:lang w:eastAsia="bg-BG"/>
        </w:rPr>
      </w:pPr>
    </w:p>
    <w:p w14:paraId="5DCB6BA4" w14:textId="5F75DD9E"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 xml:space="preserve">Амисулприд се свързва селективно с висок афинитет с човешките допаминергични </w:t>
      </w:r>
      <w:r w:rsidRPr="008F1295">
        <w:rPr>
          <w:rFonts w:eastAsia="Times New Roman" w:cs="Arial"/>
          <w:color w:val="000000"/>
          <w:lang w:val="en-US"/>
        </w:rPr>
        <w:t xml:space="preserve">D2/D3 </w:t>
      </w:r>
      <w:r w:rsidRPr="008F1295">
        <w:rPr>
          <w:rFonts w:eastAsia="Times New Roman" w:cs="Arial"/>
          <w:color w:val="000000"/>
          <w:lang w:eastAsia="bg-BG"/>
        </w:rPr>
        <w:t xml:space="preserve">рецепторни субтипове, докато няма афинитет към субтиповете </w:t>
      </w:r>
      <w:r w:rsidRPr="008F1295">
        <w:rPr>
          <w:rFonts w:eastAsia="Times New Roman" w:cs="Arial"/>
          <w:color w:val="000000"/>
          <w:lang w:val="en-US"/>
        </w:rPr>
        <w:t xml:space="preserve">D1, D4 </w:t>
      </w:r>
      <w:r w:rsidRPr="008F1295">
        <w:rPr>
          <w:rFonts w:eastAsia="Times New Roman" w:cs="Arial"/>
          <w:color w:val="000000"/>
          <w:lang w:eastAsia="bg-BG"/>
        </w:rPr>
        <w:t xml:space="preserve">и </w:t>
      </w:r>
      <w:r w:rsidRPr="008F1295">
        <w:rPr>
          <w:rFonts w:eastAsia="Times New Roman" w:cs="Arial"/>
          <w:color w:val="000000"/>
          <w:lang w:val="en-US"/>
        </w:rPr>
        <w:t>D5.</w:t>
      </w:r>
    </w:p>
    <w:p w14:paraId="0C824C6B" w14:textId="77777777" w:rsidR="008F1295" w:rsidRDefault="008F1295" w:rsidP="008F1295">
      <w:pPr>
        <w:spacing w:line="240" w:lineRule="auto"/>
        <w:rPr>
          <w:rFonts w:eastAsia="Times New Roman" w:cs="Arial"/>
          <w:color w:val="000000"/>
          <w:lang w:eastAsia="bg-BG"/>
        </w:rPr>
      </w:pPr>
    </w:p>
    <w:p w14:paraId="5FED4D51" w14:textId="40154EF1"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За разлика от класическите и други атипични невролептици, амисулприд няма афинитет към серотониновите рецептори и други неврорецептори като хистаминовите, холинергичните и адренергичните рецептори. Освен това той не се свързва със сигма-позициите.</w:t>
      </w:r>
    </w:p>
    <w:p w14:paraId="734EC3CF" w14:textId="77777777" w:rsidR="008F1295" w:rsidRDefault="008F1295" w:rsidP="008F1295">
      <w:pPr>
        <w:spacing w:line="240" w:lineRule="auto"/>
        <w:rPr>
          <w:rFonts w:eastAsia="Times New Roman" w:cs="Arial"/>
          <w:color w:val="000000"/>
          <w:lang w:eastAsia="bg-BG"/>
        </w:rPr>
      </w:pPr>
    </w:p>
    <w:p w14:paraId="41481420" w14:textId="0333AABA" w:rsidR="008F1295" w:rsidRDefault="008F1295" w:rsidP="008F1295">
      <w:pPr>
        <w:spacing w:line="240" w:lineRule="auto"/>
        <w:rPr>
          <w:rFonts w:eastAsia="Times New Roman" w:cs="Arial"/>
          <w:lang w:eastAsia="bg-BG"/>
        </w:rPr>
      </w:pPr>
      <w:r w:rsidRPr="008F1295">
        <w:rPr>
          <w:rFonts w:eastAsia="Times New Roman" w:cs="Arial"/>
          <w:color w:val="000000"/>
          <w:lang w:eastAsia="bg-BG"/>
        </w:rPr>
        <w:t xml:space="preserve">При животни, приложен във високи дозировки, той блокива пост-синаптични </w:t>
      </w:r>
      <w:r w:rsidRPr="008F1295">
        <w:rPr>
          <w:rFonts w:eastAsia="Times New Roman" w:cs="Arial"/>
          <w:color w:val="000000"/>
          <w:lang w:val="en-US"/>
        </w:rPr>
        <w:t xml:space="preserve">D2 </w:t>
      </w:r>
      <w:r w:rsidRPr="008F1295">
        <w:rPr>
          <w:rFonts w:eastAsia="Times New Roman" w:cs="Arial"/>
          <w:color w:val="000000"/>
          <w:lang w:eastAsia="bg-BG"/>
        </w:rPr>
        <w:t xml:space="preserve">рецептори, локализирани в лимбичните структури в по-голяма степен, отколкото в стриатума. За разлика от класическите невролептици, той не индуцира каталепсия и не се развива свръхчувствителност към </w:t>
      </w:r>
      <w:r w:rsidRPr="008F1295">
        <w:rPr>
          <w:rFonts w:eastAsia="Times New Roman" w:cs="Arial"/>
          <w:color w:val="000000"/>
          <w:lang w:val="en-US"/>
        </w:rPr>
        <w:t xml:space="preserve">D2 </w:t>
      </w:r>
      <w:r w:rsidRPr="008F1295">
        <w:rPr>
          <w:rFonts w:eastAsia="Times New Roman" w:cs="Arial"/>
          <w:color w:val="000000"/>
          <w:lang w:eastAsia="bg-BG"/>
        </w:rPr>
        <w:t xml:space="preserve">допаминовите рецептори след повторно лечение. Приложен в ниски дози той блокира предимно пресинаптичните </w:t>
      </w:r>
      <w:r w:rsidRPr="008F1295">
        <w:rPr>
          <w:rFonts w:eastAsia="Times New Roman" w:cs="Arial"/>
          <w:color w:val="000000"/>
          <w:lang w:val="en-US"/>
        </w:rPr>
        <w:t xml:space="preserve">D2/D3 </w:t>
      </w:r>
      <w:r w:rsidRPr="008F1295">
        <w:rPr>
          <w:rFonts w:eastAsia="Times New Roman" w:cs="Arial"/>
          <w:color w:val="000000"/>
          <w:lang w:eastAsia="bg-BG"/>
        </w:rPr>
        <w:t xml:space="preserve">рецептори, </w:t>
      </w:r>
      <w:r w:rsidRPr="008F1295">
        <w:rPr>
          <w:rFonts w:eastAsia="Times New Roman" w:cs="Arial"/>
          <w:color w:val="000000"/>
          <w:lang w:eastAsia="bg-BG"/>
        </w:rPr>
        <w:lastRenderedPageBreak/>
        <w:t>предизвиквайки освобождаване на допамин, с което се свързва дисинх</w:t>
      </w:r>
      <w:r>
        <w:rPr>
          <w:rFonts w:eastAsia="Times New Roman" w:cs="Arial"/>
          <w:color w:val="000000"/>
          <w:lang w:eastAsia="bg-BG"/>
        </w:rPr>
        <w:t>ибиращия (активиращия) му ефект.</w:t>
      </w:r>
    </w:p>
    <w:p w14:paraId="7029515F" w14:textId="77777777" w:rsidR="008F1295" w:rsidRPr="008F1295" w:rsidRDefault="008F1295" w:rsidP="008F1295">
      <w:pPr>
        <w:spacing w:line="240" w:lineRule="auto"/>
        <w:rPr>
          <w:rFonts w:eastAsia="Times New Roman" w:cs="Arial"/>
          <w:lang w:eastAsia="bg-BG"/>
        </w:rPr>
      </w:pPr>
    </w:p>
    <w:p w14:paraId="45295905" w14:textId="77777777" w:rsidR="008F1295" w:rsidRPr="008F1295" w:rsidRDefault="008F1295" w:rsidP="008F1295">
      <w:pPr>
        <w:rPr>
          <w:rFonts w:eastAsia="Times New Roman" w:cs="Arial"/>
          <w:lang w:eastAsia="bg-BG"/>
        </w:rPr>
      </w:pPr>
      <w:r w:rsidRPr="008F1295">
        <w:rPr>
          <w:rFonts w:eastAsia="Times New Roman" w:cs="Arial"/>
          <w:color w:val="000000"/>
          <w:lang w:eastAsia="bg-BG"/>
        </w:rPr>
        <w:t>Този атипичен фармакологичен профил обяснява антипсихотичния ефект на амисулприд във високи дози чрез блокиране на пост-синаптичните допамин рецептори и неговата ефективност спрямо негативните симптоми в ниски дози, чрез блокада на пре-синаптичните допаминови рецептори. Като допълнение, намалената тенденция на амисулприд да показва</w:t>
      </w:r>
      <w:r>
        <w:rPr>
          <w:rFonts w:eastAsia="Times New Roman" w:cs="Arial"/>
          <w:color w:val="000000"/>
          <w:lang w:eastAsia="bg-BG"/>
        </w:rPr>
        <w:t xml:space="preserve"> </w:t>
      </w:r>
      <w:r w:rsidRPr="008F1295">
        <w:rPr>
          <w:rFonts w:eastAsia="Times New Roman" w:cs="Arial"/>
          <w:color w:val="000000"/>
          <w:lang w:eastAsia="bg-BG"/>
        </w:rPr>
        <w:t>екстрапирамидни странични ефекти, вероятно е свързана с неговата преференциална лимбична активност.</w:t>
      </w:r>
    </w:p>
    <w:p w14:paraId="509F2F55" w14:textId="5E48FB2B" w:rsidR="008F1295" w:rsidRPr="008F1295" w:rsidRDefault="008F1295" w:rsidP="008F1295">
      <w:pPr>
        <w:rPr>
          <w:rFonts w:cs="Arial"/>
        </w:rPr>
      </w:pPr>
      <w:r w:rsidRPr="008F1295">
        <w:rPr>
          <w:rFonts w:eastAsia="Times New Roman" w:cs="Arial"/>
          <w:color w:val="000000"/>
          <w:lang w:eastAsia="bg-BG"/>
        </w:rPr>
        <w:t>Клиничните изпитвания, проведени с пациенти с шизофрения, в остра фаза на заболяването са показали, че Алонет значително облекчава вторичните негативни симптоми, както и афективните симптоми, като потиснато настроение.</w:t>
      </w:r>
    </w:p>
    <w:p w14:paraId="35F84B81" w14:textId="5E6D278D" w:rsidR="00CF77F7" w:rsidRDefault="002C50EE" w:rsidP="004A448E">
      <w:pPr>
        <w:pStyle w:val="Heading2"/>
      </w:pPr>
      <w:r>
        <w:t>5.2. Фармакокинетични свойства</w:t>
      </w:r>
    </w:p>
    <w:p w14:paraId="1C934130" w14:textId="583896AB" w:rsidR="008F1295" w:rsidRDefault="008F1295" w:rsidP="008F1295"/>
    <w:p w14:paraId="41FB95FC" w14:textId="77777777" w:rsidR="008F1295" w:rsidRPr="008F5715" w:rsidRDefault="008F1295" w:rsidP="008F5715">
      <w:pPr>
        <w:pStyle w:val="Heading3"/>
        <w:rPr>
          <w:rFonts w:eastAsia="Times New Roman"/>
          <w:u w:val="single"/>
          <w:lang w:eastAsia="bg-BG"/>
        </w:rPr>
      </w:pPr>
      <w:r w:rsidRPr="008F5715">
        <w:rPr>
          <w:rFonts w:eastAsia="Times New Roman"/>
          <w:u w:val="single"/>
          <w:lang w:eastAsia="bg-BG"/>
        </w:rPr>
        <w:t>Абсорбция</w:t>
      </w:r>
    </w:p>
    <w:p w14:paraId="6BB5BC23"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При проведени клинични проучвания е било установено, че при хора амисулприд достига два пика на резорбция: единият настъпва бързо, един час след приема, а другият след 3-4 часа.</w:t>
      </w:r>
    </w:p>
    <w:p w14:paraId="3D5D6A5B" w14:textId="1B412CB7" w:rsidR="008F1295" w:rsidRPr="008F1295" w:rsidRDefault="008F1295" w:rsidP="008F1295">
      <w:pPr>
        <w:spacing w:line="240" w:lineRule="auto"/>
        <w:rPr>
          <w:rFonts w:eastAsia="Times New Roman" w:cs="Arial"/>
          <w:color w:val="000000"/>
          <w:lang w:val="en-US"/>
        </w:rPr>
      </w:pPr>
      <w:r w:rsidRPr="008F1295">
        <w:rPr>
          <w:rFonts w:eastAsia="Times New Roman" w:cs="Arial"/>
          <w:color w:val="000000"/>
          <w:lang w:eastAsia="bg-BG"/>
        </w:rPr>
        <w:t xml:space="preserve">Съответните плазмени концентрации са 39 ± 3 и 54 ± 4 </w:t>
      </w:r>
      <w:r w:rsidRPr="008F1295">
        <w:rPr>
          <w:rFonts w:eastAsia="Times New Roman" w:cs="Arial"/>
          <w:color w:val="000000"/>
          <w:lang w:val="en-US"/>
        </w:rPr>
        <w:t xml:space="preserve">ng/ml </w:t>
      </w:r>
      <w:r w:rsidRPr="008F1295">
        <w:rPr>
          <w:rFonts w:eastAsia="Times New Roman" w:cs="Arial"/>
          <w:color w:val="000000"/>
          <w:lang w:eastAsia="bg-BG"/>
        </w:rPr>
        <w:t xml:space="preserve">след перорален прием на доза от 50 </w:t>
      </w:r>
      <w:r w:rsidRPr="008F1295">
        <w:rPr>
          <w:rFonts w:eastAsia="Times New Roman" w:cs="Arial"/>
          <w:color w:val="000000"/>
          <w:lang w:val="en-US"/>
        </w:rPr>
        <w:t>mg.</w:t>
      </w:r>
    </w:p>
    <w:p w14:paraId="23B2B6E3" w14:textId="77777777" w:rsidR="008F1295" w:rsidRPr="008F5715" w:rsidRDefault="008F1295" w:rsidP="008F5715">
      <w:pPr>
        <w:pStyle w:val="Heading3"/>
        <w:rPr>
          <w:rFonts w:eastAsia="Times New Roman"/>
          <w:u w:val="single"/>
          <w:lang w:eastAsia="bg-BG"/>
        </w:rPr>
      </w:pPr>
      <w:r w:rsidRPr="008F5715">
        <w:rPr>
          <w:rFonts w:eastAsia="Times New Roman"/>
          <w:u w:val="single"/>
          <w:lang w:eastAsia="bg-BG"/>
        </w:rPr>
        <w:t>Разпределение</w:t>
      </w:r>
    </w:p>
    <w:p w14:paraId="1A1EE574"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 xml:space="preserve">Обемът на разпределение е 5,8 </w:t>
      </w:r>
      <w:r w:rsidRPr="008F1295">
        <w:rPr>
          <w:rFonts w:eastAsia="Times New Roman" w:cs="Arial"/>
          <w:color w:val="000000"/>
          <w:lang w:val="en-US"/>
        </w:rPr>
        <w:t xml:space="preserve">L/kg. </w:t>
      </w:r>
      <w:r w:rsidRPr="008F1295">
        <w:rPr>
          <w:rFonts w:eastAsia="Times New Roman" w:cs="Arial"/>
          <w:color w:val="000000"/>
          <w:lang w:eastAsia="bg-BG"/>
        </w:rPr>
        <w:t>Тъй като свързването с плазмените протеини е в ниска степен 16 %, не се очакват лекарствени взаимодействия.</w:t>
      </w:r>
    </w:p>
    <w:p w14:paraId="47C977DD" w14:textId="77777777" w:rsidR="008F1295" w:rsidRDefault="008F1295" w:rsidP="008F1295">
      <w:pPr>
        <w:spacing w:line="240" w:lineRule="auto"/>
        <w:rPr>
          <w:rFonts w:eastAsia="Times New Roman" w:cs="Arial"/>
          <w:color w:val="000000"/>
          <w:lang w:eastAsia="bg-BG"/>
        </w:rPr>
      </w:pPr>
    </w:p>
    <w:p w14:paraId="2E555574" w14:textId="2E5D2E64"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Абсолютната бионаличност е 48%. Амисулприд се метаболизира слабо: установени са два неактивни метаболита, които представляват около 4 % от дозата.</w:t>
      </w:r>
    </w:p>
    <w:p w14:paraId="1ABC1377"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Амисулприд не акумулира и фармакокинетиката му остава непроменена след повторно прилагане.</w:t>
      </w:r>
    </w:p>
    <w:p w14:paraId="61DB792B" w14:textId="77777777" w:rsidR="008F1295" w:rsidRDefault="008F1295" w:rsidP="008F1295">
      <w:pPr>
        <w:spacing w:line="240" w:lineRule="auto"/>
        <w:rPr>
          <w:rFonts w:eastAsia="Times New Roman" w:cs="Arial"/>
          <w:color w:val="000000"/>
          <w:lang w:eastAsia="bg-BG"/>
        </w:rPr>
      </w:pPr>
    </w:p>
    <w:p w14:paraId="3C438B48" w14:textId="71E10DCE"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 xml:space="preserve">Елиминационният полуживот </w:t>
      </w:r>
      <w:r w:rsidRPr="008F1295">
        <w:rPr>
          <w:rFonts w:eastAsia="Times New Roman" w:cs="Arial"/>
          <w:color w:val="000000"/>
          <w:lang w:val="en-US"/>
        </w:rPr>
        <w:t xml:space="preserve">(t </w:t>
      </w:r>
      <w:r w:rsidRPr="008F1295">
        <w:rPr>
          <w:rFonts w:eastAsia="Times New Roman" w:cs="Arial"/>
          <w:color w:val="000000"/>
          <w:lang w:eastAsia="bg-BG"/>
        </w:rPr>
        <w:t>½) е приблизително 12 часа след перорален прием.</w:t>
      </w:r>
    </w:p>
    <w:p w14:paraId="72A4C3A4" w14:textId="77777777" w:rsidR="008F1295" w:rsidRDefault="008F1295" w:rsidP="008F1295">
      <w:pPr>
        <w:spacing w:line="240" w:lineRule="auto"/>
        <w:rPr>
          <w:rFonts w:eastAsia="Times New Roman" w:cs="Arial"/>
          <w:color w:val="000000"/>
          <w:lang w:eastAsia="bg-BG"/>
        </w:rPr>
      </w:pPr>
    </w:p>
    <w:p w14:paraId="064314D6" w14:textId="3BC43EAA"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 xml:space="preserve">Амисулприд се елиминира в непроменен вид чрез урината. 50% от интравенозно приложена доза се екскретира в урината, като 90% се елиминират в първите 24 часа. Бъбречният клирънс е от порядъка от 20 </w:t>
      </w:r>
      <w:r w:rsidRPr="008F1295">
        <w:rPr>
          <w:rFonts w:eastAsia="Times New Roman" w:cs="Arial"/>
          <w:color w:val="000000"/>
          <w:lang w:val="en-US"/>
        </w:rPr>
        <w:t xml:space="preserve">l/h, </w:t>
      </w:r>
      <w:r w:rsidRPr="008F1295">
        <w:rPr>
          <w:rFonts w:eastAsia="Times New Roman" w:cs="Arial"/>
          <w:color w:val="000000"/>
          <w:lang w:eastAsia="bg-BG"/>
        </w:rPr>
        <w:t xml:space="preserve">или 330 </w:t>
      </w:r>
      <w:r w:rsidRPr="008F1295">
        <w:rPr>
          <w:rFonts w:eastAsia="Times New Roman" w:cs="Arial"/>
          <w:color w:val="000000"/>
          <w:lang w:val="en-US"/>
        </w:rPr>
        <w:t>ml/min.</w:t>
      </w:r>
    </w:p>
    <w:p w14:paraId="56831AC0"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Кинетичният профил на амисулприд не се повлиява от диетата.</w:t>
      </w:r>
    </w:p>
    <w:p w14:paraId="2D79291D" w14:textId="77777777" w:rsidR="008F1295" w:rsidRDefault="008F1295" w:rsidP="008F1295">
      <w:pPr>
        <w:rPr>
          <w:rFonts w:eastAsia="Times New Roman" w:cs="Arial"/>
          <w:color w:val="000000"/>
          <w:lang w:eastAsia="bg-BG"/>
        </w:rPr>
      </w:pPr>
    </w:p>
    <w:p w14:paraId="0DF8FBDC" w14:textId="1C2B180D" w:rsidR="008F1295" w:rsidRDefault="008F1295" w:rsidP="008F1295">
      <w:pPr>
        <w:rPr>
          <w:rFonts w:eastAsia="Times New Roman" w:cs="Arial"/>
          <w:color w:val="000000"/>
          <w:lang w:eastAsia="bg-BG"/>
        </w:rPr>
      </w:pPr>
      <w:r w:rsidRPr="008F1295">
        <w:rPr>
          <w:rFonts w:eastAsia="Times New Roman" w:cs="Arial"/>
          <w:color w:val="000000"/>
          <w:lang w:eastAsia="bg-BG"/>
        </w:rPr>
        <w:t xml:space="preserve">Храната, богата на въглехидрати (съдържаща 68% течност), значително намалява </w:t>
      </w:r>
      <w:r w:rsidRPr="008F1295">
        <w:rPr>
          <w:rFonts w:eastAsia="Times New Roman" w:cs="Arial"/>
          <w:color w:val="000000"/>
          <w:lang w:val="en-US"/>
        </w:rPr>
        <w:t xml:space="preserve">AUC, </w:t>
      </w:r>
      <w:r w:rsidRPr="008F1295">
        <w:rPr>
          <w:rFonts w:eastAsia="Times New Roman" w:cs="Arial"/>
          <w:color w:val="000000"/>
          <w:lang w:eastAsia="bg-BG"/>
        </w:rPr>
        <w:t>Т</w:t>
      </w:r>
      <w:r w:rsidRPr="008F1295">
        <w:rPr>
          <w:rFonts w:eastAsia="Times New Roman" w:cs="Arial"/>
          <w:color w:val="000000"/>
          <w:vertAlign w:val="subscript"/>
          <w:lang w:val="en-US"/>
        </w:rPr>
        <w:t>max</w:t>
      </w:r>
      <w:r w:rsidRPr="008F1295">
        <w:rPr>
          <w:rFonts w:eastAsia="Times New Roman" w:cs="Arial"/>
          <w:color w:val="000000"/>
          <w:lang w:eastAsia="bg-BG"/>
        </w:rPr>
        <w:t>, С</w:t>
      </w:r>
      <w:r w:rsidRPr="008F1295">
        <w:rPr>
          <w:rFonts w:eastAsia="Times New Roman" w:cs="Arial"/>
          <w:color w:val="000000"/>
          <w:vertAlign w:val="subscript"/>
          <w:lang w:val="en-US"/>
        </w:rPr>
        <w:t>max</w:t>
      </w:r>
      <w:r w:rsidRPr="008F1295">
        <w:rPr>
          <w:rFonts w:eastAsia="Times New Roman" w:cs="Arial"/>
          <w:color w:val="000000"/>
          <w:lang w:eastAsia="bg-BG"/>
        </w:rPr>
        <w:t xml:space="preserve"> на амисулприд, но при богата на мазнини храна не се наблюдават промени. Значението на тези резултати по време на лечението с амисулприд не е изяснено.</w:t>
      </w:r>
    </w:p>
    <w:p w14:paraId="3C466E62" w14:textId="75058043" w:rsidR="008F1295" w:rsidRDefault="008F1295" w:rsidP="008F1295">
      <w:pPr>
        <w:rPr>
          <w:rFonts w:eastAsia="Times New Roman" w:cs="Arial"/>
          <w:color w:val="000000"/>
          <w:lang w:eastAsia="bg-BG"/>
        </w:rPr>
      </w:pPr>
    </w:p>
    <w:p w14:paraId="702E8C9B" w14:textId="77777777" w:rsidR="008F1295" w:rsidRPr="008F1295" w:rsidRDefault="008F1295" w:rsidP="008F1295">
      <w:pPr>
        <w:spacing w:line="240" w:lineRule="auto"/>
        <w:rPr>
          <w:rFonts w:eastAsia="Times New Roman" w:cs="Arial"/>
          <w:lang w:eastAsia="bg-BG"/>
        </w:rPr>
      </w:pPr>
      <w:r w:rsidRPr="008F1295">
        <w:rPr>
          <w:rFonts w:eastAsia="Times New Roman" w:cs="Arial"/>
          <w:b/>
          <w:bCs/>
          <w:color w:val="000000"/>
          <w:u w:val="single"/>
          <w:lang w:eastAsia="bg-BG"/>
        </w:rPr>
        <w:t>Специална популация</w:t>
      </w:r>
    </w:p>
    <w:p w14:paraId="44D51935" w14:textId="77777777" w:rsidR="008F1295" w:rsidRPr="008F1295" w:rsidRDefault="008F1295" w:rsidP="008F1295">
      <w:pPr>
        <w:spacing w:line="240" w:lineRule="auto"/>
        <w:rPr>
          <w:rFonts w:eastAsia="Times New Roman" w:cs="Arial"/>
          <w:lang w:eastAsia="bg-BG"/>
        </w:rPr>
      </w:pPr>
      <w:r w:rsidRPr="008F1295">
        <w:rPr>
          <w:rFonts w:eastAsia="Times New Roman" w:cs="Arial"/>
          <w:i/>
          <w:iCs/>
          <w:color w:val="000000"/>
          <w:u w:val="single"/>
          <w:lang w:eastAsia="bg-BG"/>
        </w:rPr>
        <w:t>Пациенти в старческа възраст</w:t>
      </w:r>
    </w:p>
    <w:p w14:paraId="3E34ECAE"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Ограничените фармакокинетични данни при пациенти в старческа възраст (&gt; 65 години) установяват повишение с 10-30% на С</w:t>
      </w:r>
      <w:r w:rsidRPr="008F1295">
        <w:rPr>
          <w:rFonts w:eastAsia="Times New Roman" w:cs="Arial"/>
          <w:color w:val="000000"/>
          <w:vertAlign w:val="subscript"/>
          <w:lang w:val="en-US"/>
        </w:rPr>
        <w:t>max</w:t>
      </w:r>
      <w:r w:rsidRPr="008F1295">
        <w:rPr>
          <w:rFonts w:eastAsia="Times New Roman" w:cs="Arial"/>
          <w:color w:val="000000"/>
          <w:lang w:eastAsia="bg-BG"/>
        </w:rPr>
        <w:t>, Т</w:t>
      </w:r>
      <w:r w:rsidRPr="008F1295">
        <w:rPr>
          <w:rFonts w:eastAsia="Times New Roman" w:cs="Arial"/>
          <w:color w:val="000000"/>
          <w:vertAlign w:val="subscript"/>
          <w:lang w:eastAsia="bg-BG"/>
        </w:rPr>
        <w:t xml:space="preserve">1/2 </w:t>
      </w:r>
      <w:r w:rsidRPr="008F1295">
        <w:rPr>
          <w:rFonts w:eastAsia="Times New Roman" w:cs="Arial"/>
          <w:color w:val="000000"/>
          <w:lang w:eastAsia="bg-BG"/>
        </w:rPr>
        <w:t xml:space="preserve">и </w:t>
      </w:r>
      <w:r w:rsidRPr="008F1295">
        <w:rPr>
          <w:rFonts w:eastAsia="Times New Roman" w:cs="Arial"/>
          <w:color w:val="000000"/>
          <w:lang w:val="en-US"/>
        </w:rPr>
        <w:t xml:space="preserve">AUC </w:t>
      </w:r>
      <w:r w:rsidRPr="008F1295">
        <w:rPr>
          <w:rFonts w:eastAsia="Times New Roman" w:cs="Arial"/>
          <w:color w:val="000000"/>
          <w:lang w:eastAsia="bg-BG"/>
        </w:rPr>
        <w:t xml:space="preserve">след прием на единична перорална доза от 50 </w:t>
      </w:r>
      <w:r w:rsidRPr="008F1295">
        <w:rPr>
          <w:rFonts w:eastAsia="Times New Roman" w:cs="Arial"/>
          <w:color w:val="000000"/>
          <w:lang w:val="en-US"/>
        </w:rPr>
        <w:t>mg</w:t>
      </w:r>
    </w:p>
    <w:p w14:paraId="0F68B4AB"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Не са натрупани данни след повторен прием.</w:t>
      </w:r>
    </w:p>
    <w:p w14:paraId="3EE7B559" w14:textId="77777777" w:rsidR="008F1295" w:rsidRPr="008F1295" w:rsidRDefault="008F1295" w:rsidP="008F1295">
      <w:pPr>
        <w:spacing w:line="240" w:lineRule="auto"/>
        <w:rPr>
          <w:rFonts w:eastAsia="Times New Roman" w:cs="Arial"/>
          <w:lang w:eastAsia="bg-BG"/>
        </w:rPr>
      </w:pPr>
      <w:r w:rsidRPr="008F1295">
        <w:rPr>
          <w:rFonts w:eastAsia="Times New Roman" w:cs="Arial"/>
          <w:b/>
          <w:bCs/>
          <w:color w:val="000000"/>
          <w:u w:val="single"/>
          <w:lang w:eastAsia="bg-BG"/>
        </w:rPr>
        <w:t>Педиатрични пациенти</w:t>
      </w:r>
    </w:p>
    <w:p w14:paraId="5A24FE22"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Ефикасността и безопасността на амисулприд не е била установена от пубертетна възраст до 18 години.</w:t>
      </w:r>
    </w:p>
    <w:p w14:paraId="58364048"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lastRenderedPageBreak/>
        <w:t>Има ограничени данни за употребата на амисулприд при пациенти с шизофрения.</w:t>
      </w:r>
    </w:p>
    <w:p w14:paraId="344CF382"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Следователно, не се препоръчва употребата на амисулприд от пубертетна възраст до</w:t>
      </w:r>
      <w:r w:rsidRPr="008F1295">
        <w:rPr>
          <w:rFonts w:eastAsia="Times New Roman" w:cs="Arial"/>
          <w:color w:val="000000"/>
          <w:lang w:val="en-US"/>
        </w:rPr>
        <w:t xml:space="preserve"> </w:t>
      </w:r>
      <w:r w:rsidRPr="008F1295">
        <w:rPr>
          <w:rFonts w:eastAsia="Times New Roman" w:cs="Arial"/>
          <w:color w:val="000000"/>
          <w:lang w:eastAsia="bg-BG"/>
        </w:rPr>
        <w:t>18 години, като при деца на възраст от пубертетна възраст амисулприд е противопоказен, тъй като неговата безопасност все още не е установена (вж. точка 4.3).</w:t>
      </w:r>
    </w:p>
    <w:p w14:paraId="0726848B" w14:textId="77777777" w:rsidR="008F1295" w:rsidRPr="008F1295" w:rsidRDefault="008F1295" w:rsidP="008F1295">
      <w:pPr>
        <w:spacing w:line="240" w:lineRule="auto"/>
        <w:rPr>
          <w:rFonts w:eastAsia="Times New Roman" w:cs="Arial"/>
          <w:lang w:eastAsia="bg-BG"/>
        </w:rPr>
      </w:pPr>
    </w:p>
    <w:p w14:paraId="6BB77274" w14:textId="77777777" w:rsidR="008F1295" w:rsidRPr="008F1295" w:rsidRDefault="008F1295" w:rsidP="008F1295">
      <w:pPr>
        <w:spacing w:line="240" w:lineRule="auto"/>
        <w:rPr>
          <w:rFonts w:eastAsia="Times New Roman" w:cs="Arial"/>
          <w:lang w:eastAsia="bg-BG"/>
        </w:rPr>
      </w:pPr>
    </w:p>
    <w:p w14:paraId="77AEC18D" w14:textId="77777777" w:rsidR="008F1295" w:rsidRPr="008F1295" w:rsidRDefault="008F1295" w:rsidP="008F1295">
      <w:pPr>
        <w:spacing w:line="240" w:lineRule="auto"/>
        <w:rPr>
          <w:rFonts w:eastAsia="Times New Roman" w:cs="Arial"/>
          <w:lang w:eastAsia="bg-BG"/>
        </w:rPr>
      </w:pPr>
      <w:r w:rsidRPr="008F1295">
        <w:rPr>
          <w:rFonts w:eastAsia="Times New Roman" w:cs="Arial"/>
          <w:i/>
          <w:iCs/>
          <w:color w:val="000000"/>
          <w:u w:val="single"/>
          <w:lang w:eastAsia="bg-BG"/>
        </w:rPr>
        <w:t>Чернодробна недостатъчност:</w:t>
      </w:r>
    </w:p>
    <w:p w14:paraId="6F16824C" w14:textId="40B74D16" w:rsidR="008F1295" w:rsidRDefault="008F1295" w:rsidP="008F1295">
      <w:pPr>
        <w:rPr>
          <w:rFonts w:eastAsia="Times New Roman" w:cs="Arial"/>
          <w:color w:val="000000"/>
          <w:lang w:eastAsia="bg-BG"/>
        </w:rPr>
      </w:pPr>
      <w:r w:rsidRPr="008F1295">
        <w:rPr>
          <w:rFonts w:eastAsia="Times New Roman" w:cs="Arial"/>
          <w:color w:val="000000"/>
          <w:lang w:eastAsia="bg-BG"/>
        </w:rPr>
        <w:t>Амисулприд се метаболизира в ниска степен, така че не е необходимо понижаване на дозата при пациенти с чернодробна недостатъчност.</w:t>
      </w:r>
    </w:p>
    <w:p w14:paraId="53152007" w14:textId="6C7AA0FB" w:rsidR="008F1295" w:rsidRDefault="008F1295" w:rsidP="008F1295">
      <w:pPr>
        <w:rPr>
          <w:rFonts w:eastAsia="Times New Roman" w:cs="Arial"/>
          <w:color w:val="000000"/>
          <w:lang w:eastAsia="bg-BG"/>
        </w:rPr>
      </w:pPr>
    </w:p>
    <w:p w14:paraId="2EF6069F" w14:textId="77777777" w:rsidR="008F1295" w:rsidRPr="008F1295" w:rsidRDefault="008F1295" w:rsidP="008F1295">
      <w:pPr>
        <w:spacing w:line="240" w:lineRule="auto"/>
        <w:rPr>
          <w:rFonts w:eastAsia="Times New Roman" w:cs="Arial"/>
          <w:lang w:eastAsia="bg-BG"/>
        </w:rPr>
      </w:pPr>
      <w:r w:rsidRPr="008F1295">
        <w:rPr>
          <w:rFonts w:eastAsia="Times New Roman" w:cs="Arial"/>
          <w:i/>
          <w:iCs/>
          <w:color w:val="000000"/>
          <w:u w:val="single"/>
          <w:lang w:eastAsia="bg-BG"/>
        </w:rPr>
        <w:t>Бъбречна недостатъчност</w:t>
      </w:r>
      <w:r w:rsidRPr="008F1295">
        <w:rPr>
          <w:rFonts w:eastAsia="Times New Roman" w:cs="Arial"/>
          <w:i/>
          <w:iCs/>
          <w:color w:val="000000"/>
          <w:lang w:eastAsia="bg-BG"/>
        </w:rPr>
        <w:t>:</w:t>
      </w:r>
    </w:p>
    <w:p w14:paraId="377EA15D" w14:textId="2F68CC64" w:rsidR="008F1295" w:rsidRPr="008F1295" w:rsidRDefault="008F1295" w:rsidP="008F1295">
      <w:pPr>
        <w:rPr>
          <w:rFonts w:cs="Arial"/>
        </w:rPr>
      </w:pPr>
      <w:r w:rsidRPr="008F1295">
        <w:rPr>
          <w:rFonts w:eastAsia="Times New Roman" w:cs="Arial"/>
          <w:color w:val="000000"/>
          <w:lang w:eastAsia="bg-BG"/>
        </w:rPr>
        <w:t xml:space="preserve">При пациенти с бъбречна недостатъчност времето на полуживот не се променя, но системният клирънс се понижава 2,5 до 3 пъти. </w:t>
      </w:r>
      <w:r w:rsidRPr="008F1295">
        <w:rPr>
          <w:rFonts w:eastAsia="Times New Roman" w:cs="Arial"/>
          <w:color w:val="000000"/>
          <w:lang w:val="en-US"/>
        </w:rPr>
        <w:t xml:space="preserve">AUC </w:t>
      </w:r>
      <w:r w:rsidRPr="008F1295">
        <w:rPr>
          <w:rFonts w:eastAsia="Times New Roman" w:cs="Arial"/>
          <w:color w:val="000000"/>
          <w:lang w:eastAsia="bg-BG"/>
        </w:rPr>
        <w:t>на амисулприд при лека бъбречна недостатъчност се увеличава два пъти, а при умерена бъбречна недостатъчност — почти 10 пъти (вж. точка 4</w:t>
      </w:r>
      <w:proofErr w:type="gramStart"/>
      <w:r w:rsidRPr="008F1295">
        <w:rPr>
          <w:rFonts w:eastAsia="Times New Roman" w:cs="Arial"/>
          <w:color w:val="000000"/>
          <w:lang w:eastAsia="bg-BG"/>
        </w:rPr>
        <w:t>,2</w:t>
      </w:r>
      <w:proofErr w:type="gramEnd"/>
      <w:r w:rsidRPr="008F1295">
        <w:rPr>
          <w:rFonts w:eastAsia="Times New Roman" w:cs="Arial"/>
          <w:color w:val="000000"/>
          <w:lang w:eastAsia="bg-BG"/>
        </w:rPr>
        <w:t xml:space="preserve">) Опитът в това отношение е ограничен и няма данни относно дози, по-високи от 50 </w:t>
      </w:r>
      <w:r w:rsidRPr="008F1295">
        <w:rPr>
          <w:rFonts w:eastAsia="Times New Roman" w:cs="Arial"/>
          <w:color w:val="000000"/>
          <w:lang w:val="en-US"/>
        </w:rPr>
        <w:t xml:space="preserve">mg. </w:t>
      </w:r>
      <w:r w:rsidRPr="008F1295">
        <w:rPr>
          <w:rFonts w:eastAsia="Times New Roman" w:cs="Arial"/>
          <w:color w:val="000000"/>
          <w:lang w:eastAsia="bg-BG"/>
        </w:rPr>
        <w:t>Амисулприд се диализира в много ниска степен.</w:t>
      </w:r>
    </w:p>
    <w:p w14:paraId="648E39DA" w14:textId="17D42A91" w:rsidR="00CF77F7" w:rsidRDefault="002C50EE" w:rsidP="004A448E">
      <w:pPr>
        <w:pStyle w:val="Heading2"/>
      </w:pPr>
      <w:r>
        <w:t>5.3. Предклинични данни за безопасност</w:t>
      </w:r>
    </w:p>
    <w:p w14:paraId="4171CE20" w14:textId="45FD661C" w:rsidR="008F1295" w:rsidRDefault="008F1295" w:rsidP="008F1295"/>
    <w:p w14:paraId="6A083488"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 xml:space="preserve">Резултатите от проведените клинични проучвания за безопасната употреба на амисулприд показват, че лекарственият продукт не показва органо-специфично нарушение, тератогенен или генотоксичен ефект. Промените, наблюдавани при плъхове и кучета, при дози под максимално толерираната, са или с фармакологичен ефект или са лишени от токсикологична значимост при тези условия. В сравнение с максимално препоръчваната доза при хора, максимално толерираните дози са 2 и 7 пъти по-високи при плъхове (200 </w:t>
      </w:r>
      <w:r w:rsidRPr="008F1295">
        <w:rPr>
          <w:rFonts w:eastAsia="Times New Roman" w:cs="Arial"/>
          <w:color w:val="000000"/>
          <w:lang w:val="en-US"/>
        </w:rPr>
        <w:t>mg/kg</w:t>
      </w:r>
      <w:r w:rsidRPr="008F1295">
        <w:rPr>
          <w:rFonts w:eastAsia="Times New Roman" w:cs="Arial"/>
          <w:color w:val="000000"/>
          <w:lang w:eastAsia="bg-BG"/>
        </w:rPr>
        <w:t xml:space="preserve">/дневно) и съответно при кучета (120 </w:t>
      </w:r>
      <w:r w:rsidRPr="008F1295">
        <w:rPr>
          <w:rFonts w:eastAsia="Times New Roman" w:cs="Arial"/>
          <w:color w:val="000000"/>
          <w:lang w:val="en-US"/>
        </w:rPr>
        <w:t>mg/kg</w:t>
      </w:r>
      <w:r w:rsidRPr="008F1295">
        <w:rPr>
          <w:rFonts w:eastAsia="Times New Roman" w:cs="Arial"/>
          <w:color w:val="000000"/>
          <w:lang w:eastAsia="bg-BG"/>
        </w:rPr>
        <w:t xml:space="preserve">/дневно) по отношение на </w:t>
      </w:r>
      <w:r w:rsidRPr="008F1295">
        <w:rPr>
          <w:rFonts w:eastAsia="Times New Roman" w:cs="Arial"/>
          <w:color w:val="000000"/>
          <w:lang w:val="en-US"/>
        </w:rPr>
        <w:t xml:space="preserve">AUC. </w:t>
      </w:r>
      <w:r w:rsidRPr="008F1295">
        <w:rPr>
          <w:rFonts w:eastAsia="Times New Roman" w:cs="Arial"/>
          <w:color w:val="000000"/>
          <w:lang w:eastAsia="bg-BG"/>
        </w:rPr>
        <w:t xml:space="preserve">Риск от канцерогенност при хора не е бил открит при мишки (до 120 </w:t>
      </w:r>
      <w:r w:rsidRPr="008F1295">
        <w:rPr>
          <w:rFonts w:eastAsia="Times New Roman" w:cs="Arial"/>
          <w:color w:val="000000"/>
          <w:lang w:val="en-US"/>
        </w:rPr>
        <w:t xml:space="preserve">mg/kg/d) </w:t>
      </w:r>
      <w:r w:rsidRPr="008F1295">
        <w:rPr>
          <w:rFonts w:eastAsia="Times New Roman" w:cs="Arial"/>
          <w:color w:val="000000"/>
          <w:lang w:eastAsia="bg-BG"/>
        </w:rPr>
        <w:t xml:space="preserve">и плъхове (до 240 </w:t>
      </w:r>
      <w:r w:rsidRPr="008F1295">
        <w:rPr>
          <w:rFonts w:eastAsia="Times New Roman" w:cs="Arial"/>
          <w:color w:val="000000"/>
          <w:lang w:val="en-US"/>
        </w:rPr>
        <w:t xml:space="preserve">mg/kg/d), </w:t>
      </w:r>
      <w:r w:rsidRPr="008F1295">
        <w:rPr>
          <w:rFonts w:eastAsia="Times New Roman" w:cs="Arial"/>
          <w:color w:val="000000"/>
          <w:lang w:eastAsia="bg-BG"/>
        </w:rPr>
        <w:t xml:space="preserve">съответно за плъхове от 1.5 до 4.5 пъти от очакваната </w:t>
      </w:r>
      <w:r w:rsidRPr="008F1295">
        <w:rPr>
          <w:rFonts w:eastAsia="Times New Roman" w:cs="Arial"/>
          <w:color w:val="000000"/>
          <w:lang w:val="en-US"/>
        </w:rPr>
        <w:t xml:space="preserve">AUC </w:t>
      </w:r>
      <w:r w:rsidRPr="008F1295">
        <w:rPr>
          <w:rFonts w:eastAsia="Times New Roman" w:cs="Arial"/>
          <w:color w:val="000000"/>
          <w:lang w:eastAsia="bg-BG"/>
        </w:rPr>
        <w:t>при хора.</w:t>
      </w:r>
    </w:p>
    <w:p w14:paraId="25431AC3" w14:textId="57D433B3" w:rsidR="008F1295" w:rsidRPr="008F1295" w:rsidRDefault="008F1295" w:rsidP="008F1295">
      <w:pPr>
        <w:rPr>
          <w:rFonts w:cs="Arial"/>
        </w:rPr>
      </w:pPr>
      <w:r w:rsidRPr="008F1295">
        <w:rPr>
          <w:rFonts w:eastAsia="Times New Roman" w:cs="Arial"/>
          <w:color w:val="000000"/>
          <w:lang w:eastAsia="bg-BG"/>
        </w:rPr>
        <w:t>Репродуктивни проучвания, проведени при плъхове, зайци и мишки не са показали някакъв тератогенен ефект.</w:t>
      </w:r>
    </w:p>
    <w:p w14:paraId="6A7820AB" w14:textId="243ABE26" w:rsidR="008A6AF2" w:rsidRDefault="002C50EE" w:rsidP="00395555">
      <w:pPr>
        <w:pStyle w:val="Heading1"/>
      </w:pPr>
      <w:r>
        <w:t>7. ПРИТЕЖАТЕЛ НА РАЗРЕШЕНИЕТО ЗА УПОТРЕБА</w:t>
      </w:r>
    </w:p>
    <w:p w14:paraId="7C9D8401" w14:textId="41DE1027" w:rsidR="008F1295" w:rsidRDefault="008F1295" w:rsidP="008F1295"/>
    <w:p w14:paraId="0C06025F"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„Чайкафарма Висококачествените Лекарства” АД</w:t>
      </w:r>
    </w:p>
    <w:p w14:paraId="5D95BE97"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бул. „Г. М. Димитров” № 1, гр. София 1172, България</w:t>
      </w:r>
    </w:p>
    <w:p w14:paraId="54BD9D04"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тел: +359 2 962 54 54</w:t>
      </w:r>
    </w:p>
    <w:p w14:paraId="093D8D74" w14:textId="77777777" w:rsidR="008F1295" w:rsidRPr="008F1295" w:rsidRDefault="008F1295" w:rsidP="008F1295">
      <w:pPr>
        <w:spacing w:line="240" w:lineRule="auto"/>
        <w:rPr>
          <w:rFonts w:eastAsia="Times New Roman" w:cs="Arial"/>
          <w:lang w:eastAsia="bg-BG"/>
        </w:rPr>
      </w:pPr>
      <w:r w:rsidRPr="008F1295">
        <w:rPr>
          <w:rFonts w:eastAsia="Times New Roman" w:cs="Arial"/>
          <w:color w:val="000000"/>
          <w:lang w:eastAsia="bg-BG"/>
        </w:rPr>
        <w:t>факс: +359 2 9603 703</w:t>
      </w:r>
    </w:p>
    <w:p w14:paraId="7F1E7052" w14:textId="19685D4E" w:rsidR="008F1295" w:rsidRPr="008F1295" w:rsidRDefault="008F1295" w:rsidP="008F1295">
      <w:proofErr w:type="gramStart"/>
      <w:r w:rsidRPr="008F1295">
        <w:rPr>
          <w:rFonts w:eastAsia="Times New Roman" w:cs="Arial"/>
          <w:color w:val="000000"/>
          <w:lang w:val="en-US"/>
        </w:rPr>
        <w:t>e-mail</w:t>
      </w:r>
      <w:proofErr w:type="gramEnd"/>
      <w:r w:rsidRPr="008F1295">
        <w:rPr>
          <w:rFonts w:eastAsia="Times New Roman" w:cs="Arial"/>
          <w:color w:val="000000"/>
          <w:lang w:val="en-US"/>
        </w:rPr>
        <w:t xml:space="preserve">: </w:t>
      </w:r>
      <w:hyperlink r:id="rId6" w:history="1">
        <w:r w:rsidRPr="008F1295">
          <w:rPr>
            <w:rFonts w:eastAsia="Times New Roman" w:cs="Arial"/>
            <w:color w:val="000000"/>
            <w:lang w:val="en-US"/>
          </w:rPr>
          <w:t>info@tchaikapharma.com</w:t>
        </w:r>
      </w:hyperlink>
    </w:p>
    <w:p w14:paraId="7BA1BA64" w14:textId="6C937EE5" w:rsidR="00CF77F7" w:rsidRDefault="002C50EE" w:rsidP="004A448E">
      <w:pPr>
        <w:pStyle w:val="Heading1"/>
      </w:pPr>
      <w:r>
        <w:t>8. НОМЕР НА РАЗРЕШЕНИЕТО ЗА УПОТРЕБА</w:t>
      </w:r>
    </w:p>
    <w:p w14:paraId="7177F90C" w14:textId="229A23E4" w:rsidR="008F1295" w:rsidRDefault="008F1295" w:rsidP="008F1295"/>
    <w:p w14:paraId="0E5FB647" w14:textId="35CB66E6" w:rsidR="008F1295" w:rsidRPr="008F1295" w:rsidRDefault="008F1295" w:rsidP="008F1295">
      <w:pPr>
        <w:rPr>
          <w:rFonts w:cs="Arial"/>
        </w:rPr>
      </w:pPr>
      <w:r w:rsidRPr="008F1295">
        <w:rPr>
          <w:rFonts w:cs="Arial"/>
        </w:rPr>
        <w:t>Рег</w:t>
      </w:r>
      <w:r w:rsidRPr="008F1295">
        <w:rPr>
          <w:rFonts w:cs="Arial"/>
          <w:lang w:val="en-US"/>
        </w:rPr>
        <w:t xml:space="preserve">. </w:t>
      </w:r>
      <w:r w:rsidRPr="008F1295">
        <w:rPr>
          <w:rFonts w:cs="Arial"/>
        </w:rPr>
        <w:t>№20100281</w:t>
      </w:r>
    </w:p>
    <w:p w14:paraId="2CCB5832" w14:textId="57374BD6" w:rsidR="007C605B" w:rsidRDefault="002C50EE" w:rsidP="007C605B">
      <w:pPr>
        <w:pStyle w:val="Heading1"/>
      </w:pPr>
      <w:r>
        <w:t>9. ДАТА НА ПЪРВО РАЗРЕШАВАНЕ/ПОДНОВЯВАНЕ НА РАЗРЕШЕНИЕТО ЗА УПОТРЕБА</w:t>
      </w:r>
    </w:p>
    <w:p w14:paraId="7F65391D" w14:textId="694D0EB6" w:rsidR="008F1295" w:rsidRDefault="008F1295" w:rsidP="008F1295"/>
    <w:p w14:paraId="4C3A3BA6" w14:textId="5810DF79" w:rsidR="008F1295" w:rsidRPr="008F1295" w:rsidRDefault="008F1295" w:rsidP="008F1295">
      <w:pPr>
        <w:rPr>
          <w:rFonts w:cs="Arial"/>
        </w:rPr>
      </w:pPr>
      <w:r w:rsidRPr="008F1295">
        <w:rPr>
          <w:rFonts w:cs="Arial"/>
        </w:rPr>
        <w:t>27.04.2010 г.</w:t>
      </w:r>
    </w:p>
    <w:p w14:paraId="0E9D0119" w14:textId="628B1F5A" w:rsidR="002C50EE" w:rsidRDefault="002C50EE" w:rsidP="002C50EE">
      <w:pPr>
        <w:pStyle w:val="Heading1"/>
      </w:pPr>
      <w:r>
        <w:lastRenderedPageBreak/>
        <w:t>10. ДАТА НА АКТУАЛИЗИРАНЕ НА ТЕКСТА</w:t>
      </w:r>
    </w:p>
    <w:p w14:paraId="0E3EB543" w14:textId="16BC7E98" w:rsidR="008F1295" w:rsidRDefault="008F1295" w:rsidP="008F1295"/>
    <w:p w14:paraId="585149FC" w14:textId="56703BAE" w:rsidR="008F1295" w:rsidRPr="008F1295" w:rsidRDefault="008F1295" w:rsidP="008F1295">
      <w:pPr>
        <w:rPr>
          <w:rFonts w:cs="Arial"/>
        </w:rPr>
      </w:pPr>
      <w:r w:rsidRPr="008F1295">
        <w:rPr>
          <w:rFonts w:cs="Arial"/>
        </w:rPr>
        <w:t>Април, 2015</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F7F0A"/>
    <w:multiLevelType w:val="hybridMultilevel"/>
    <w:tmpl w:val="916E98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1"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CC5E80"/>
    <w:multiLevelType w:val="hybridMultilevel"/>
    <w:tmpl w:val="4C7A57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D724BB"/>
    <w:multiLevelType w:val="hybridMultilevel"/>
    <w:tmpl w:val="E7BE20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3122A"/>
    <w:multiLevelType w:val="hybridMultilevel"/>
    <w:tmpl w:val="907425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3"/>
  </w:num>
  <w:num w:numId="4">
    <w:abstractNumId w:val="3"/>
  </w:num>
  <w:num w:numId="5">
    <w:abstractNumId w:val="1"/>
  </w:num>
  <w:num w:numId="6">
    <w:abstractNumId w:val="16"/>
  </w:num>
  <w:num w:numId="7">
    <w:abstractNumId w:val="11"/>
  </w:num>
  <w:num w:numId="8">
    <w:abstractNumId w:val="15"/>
  </w:num>
  <w:num w:numId="9">
    <w:abstractNumId w:val="2"/>
  </w:num>
  <w:num w:numId="10">
    <w:abstractNumId w:val="4"/>
  </w:num>
  <w:num w:numId="11">
    <w:abstractNumId w:val="31"/>
  </w:num>
  <w:num w:numId="12">
    <w:abstractNumId w:val="14"/>
  </w:num>
  <w:num w:numId="13">
    <w:abstractNumId w:val="20"/>
  </w:num>
  <w:num w:numId="14">
    <w:abstractNumId w:val="12"/>
  </w:num>
  <w:num w:numId="15">
    <w:abstractNumId w:val="30"/>
  </w:num>
  <w:num w:numId="16">
    <w:abstractNumId w:val="10"/>
  </w:num>
  <w:num w:numId="17">
    <w:abstractNumId w:val="25"/>
  </w:num>
  <w:num w:numId="18">
    <w:abstractNumId w:val="7"/>
  </w:num>
  <w:num w:numId="19">
    <w:abstractNumId w:val="27"/>
  </w:num>
  <w:num w:numId="20">
    <w:abstractNumId w:val="24"/>
  </w:num>
  <w:num w:numId="21">
    <w:abstractNumId w:val="17"/>
  </w:num>
  <w:num w:numId="22">
    <w:abstractNumId w:val="26"/>
  </w:num>
  <w:num w:numId="23">
    <w:abstractNumId w:val="19"/>
  </w:num>
  <w:num w:numId="24">
    <w:abstractNumId w:val="8"/>
  </w:num>
  <w:num w:numId="25">
    <w:abstractNumId w:val="23"/>
  </w:num>
  <w:num w:numId="26">
    <w:abstractNumId w:val="22"/>
  </w:num>
  <w:num w:numId="27">
    <w:abstractNumId w:val="32"/>
  </w:num>
  <w:num w:numId="28">
    <w:abstractNumId w:val="6"/>
  </w:num>
  <w:num w:numId="29">
    <w:abstractNumId w:val="21"/>
  </w:num>
  <w:num w:numId="30">
    <w:abstractNumId w:val="37"/>
  </w:num>
  <w:num w:numId="31">
    <w:abstractNumId w:val="5"/>
  </w:num>
  <w:num w:numId="32">
    <w:abstractNumId w:val="35"/>
  </w:num>
  <w:num w:numId="33">
    <w:abstractNumId w:val="29"/>
  </w:num>
  <w:num w:numId="34">
    <w:abstractNumId w:val="33"/>
  </w:num>
  <w:num w:numId="35">
    <w:abstractNumId w:val="9"/>
  </w:num>
  <w:num w:numId="36">
    <w:abstractNumId w:val="34"/>
  </w:num>
  <w:num w:numId="37">
    <w:abstractNumId w:val="36"/>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61FFF"/>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D42B3"/>
    <w:rsid w:val="008F1295"/>
    <w:rsid w:val="008F5715"/>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A24BD"/>
    <w:rsid w:val="00CF77F7"/>
    <w:rsid w:val="00D86297"/>
    <w:rsid w:val="00DD466D"/>
    <w:rsid w:val="00EB1104"/>
    <w:rsid w:val="00EB6364"/>
    <w:rsid w:val="00F37B64"/>
    <w:rsid w:val="00F437F3"/>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chaikapharma.com" TargetMode="Externa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3261</Words>
  <Characters>18593</Characters>
  <Application>Microsoft Office Word</Application>
  <DocSecurity>0</DocSecurity>
  <Lines>154</Lines>
  <Paragraphs>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3</cp:revision>
  <dcterms:created xsi:type="dcterms:W3CDTF">2022-03-28T11:20:00Z</dcterms:created>
  <dcterms:modified xsi:type="dcterms:W3CDTF">2022-05-09T01:11:00Z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