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Pr="00C64221" w:rsidRDefault="002C50EE" w:rsidP="002C50EE">
      <w:pPr>
        <w:pStyle w:val="Heading1"/>
        <w:jc w:val="center"/>
      </w:pPr>
      <w:bookmarkStart w:id="0" w:name="_Hlk63124480"/>
      <w:r w:rsidRPr="00C64221">
        <w:t>КРАТКА ХАРАКТЕРИСТИКА НА ПРОДУКТА</w:t>
      </w:r>
    </w:p>
    <w:p w14:paraId="2BE34EF6" w14:textId="0E2F9E0A" w:rsidR="007122AD" w:rsidRPr="00C64221" w:rsidRDefault="00DD466D" w:rsidP="00936AD0">
      <w:pPr>
        <w:pStyle w:val="Heading1"/>
      </w:pPr>
      <w:r w:rsidRPr="00C64221">
        <w:t>1.ИМЕ НА ЛЕКАРСТВЕНИЯ ПРОДУКТ</w:t>
      </w:r>
    </w:p>
    <w:p w14:paraId="53CEAEFD" w14:textId="3B1BF315" w:rsidR="00E302E7" w:rsidRPr="00C64221" w:rsidRDefault="00E302E7" w:rsidP="00E302E7"/>
    <w:p w14:paraId="3C3A253D" w14:textId="77777777" w:rsidR="00E302E7" w:rsidRPr="00C64221" w:rsidRDefault="00E302E7" w:rsidP="00E302E7">
      <w:pPr>
        <w:rPr>
          <w:sz w:val="24"/>
          <w:szCs w:val="24"/>
        </w:rPr>
      </w:pPr>
      <w:r w:rsidRPr="00C64221">
        <w:rPr>
          <w:lang w:eastAsia="bg-BG"/>
        </w:rPr>
        <w:t xml:space="preserve">АЛВАНОЦИТ 450 </w:t>
      </w:r>
      <w:proofErr w:type="spellStart"/>
      <w:r w:rsidRPr="00C64221">
        <w:t>mg</w:t>
      </w:r>
      <w:proofErr w:type="spellEnd"/>
      <w:r w:rsidRPr="00C64221">
        <w:t xml:space="preserve"> </w:t>
      </w:r>
      <w:r w:rsidRPr="00C64221">
        <w:rPr>
          <w:lang w:eastAsia="bg-BG"/>
        </w:rPr>
        <w:t>филмирани таблетки</w:t>
      </w:r>
    </w:p>
    <w:p w14:paraId="1DB376DE" w14:textId="77777777" w:rsidR="00E302E7" w:rsidRPr="00C64221" w:rsidRDefault="00E302E7" w:rsidP="00E302E7">
      <w:pPr>
        <w:rPr>
          <w:sz w:val="24"/>
          <w:szCs w:val="24"/>
        </w:rPr>
      </w:pPr>
      <w:r w:rsidRPr="00C64221">
        <w:t xml:space="preserve">ALVANOCYT </w:t>
      </w:r>
      <w:r w:rsidRPr="00C64221">
        <w:rPr>
          <w:lang w:eastAsia="bg-BG"/>
        </w:rPr>
        <w:t xml:space="preserve">450 </w:t>
      </w:r>
      <w:proofErr w:type="spellStart"/>
      <w:r w:rsidRPr="00C64221">
        <w:t>mg</w:t>
      </w:r>
      <w:proofErr w:type="spellEnd"/>
      <w:r w:rsidRPr="00C64221">
        <w:t xml:space="preserve"> </w:t>
      </w:r>
      <w:proofErr w:type="spellStart"/>
      <w:r w:rsidRPr="00C64221">
        <w:t>film-coated</w:t>
      </w:r>
      <w:proofErr w:type="spellEnd"/>
      <w:r w:rsidRPr="00C64221">
        <w:t xml:space="preserve"> </w:t>
      </w:r>
      <w:proofErr w:type="spellStart"/>
      <w:r w:rsidRPr="00C64221">
        <w:t>tablets</w:t>
      </w:r>
      <w:proofErr w:type="spellEnd"/>
    </w:p>
    <w:p w14:paraId="3A4937EF" w14:textId="77777777" w:rsidR="00E302E7" w:rsidRPr="00C64221" w:rsidRDefault="00E302E7" w:rsidP="00E302E7"/>
    <w:p w14:paraId="6920A680" w14:textId="08E3F719" w:rsidR="00C40420" w:rsidRPr="00C64221" w:rsidRDefault="00DD466D" w:rsidP="004A448E">
      <w:pPr>
        <w:pStyle w:val="Heading1"/>
      </w:pPr>
      <w:r w:rsidRPr="00C64221">
        <w:t>2. КАЧЕСТВЕН И КОЛИЧЕСТВЕН СЪСТАВ</w:t>
      </w:r>
    </w:p>
    <w:p w14:paraId="2C8B2265" w14:textId="70B34BE3" w:rsidR="00E302E7" w:rsidRPr="00C64221" w:rsidRDefault="00E302E7" w:rsidP="00E302E7"/>
    <w:p w14:paraId="1BBDE400" w14:textId="77777777" w:rsidR="00E302E7" w:rsidRPr="00C64221" w:rsidRDefault="00E302E7" w:rsidP="00E302E7">
      <w:pPr>
        <w:rPr>
          <w:sz w:val="24"/>
          <w:szCs w:val="24"/>
        </w:rPr>
      </w:pPr>
      <w:r w:rsidRPr="00C64221">
        <w:rPr>
          <w:lang w:eastAsia="bg-BG"/>
        </w:rPr>
        <w:t xml:space="preserve">Всяка таблетка съдържа 496,3 </w:t>
      </w:r>
      <w:proofErr w:type="spellStart"/>
      <w:r w:rsidRPr="00C64221">
        <w:t>mg</w:t>
      </w:r>
      <w:proofErr w:type="spellEnd"/>
      <w:r w:rsidRPr="00C64221">
        <w:t xml:space="preserve"> </w:t>
      </w:r>
      <w:proofErr w:type="spellStart"/>
      <w:r w:rsidRPr="00C64221">
        <w:rPr>
          <w:lang w:eastAsia="bg-BG"/>
        </w:rPr>
        <w:t>валганцикловир</w:t>
      </w:r>
      <w:proofErr w:type="spellEnd"/>
      <w:r w:rsidRPr="00C64221">
        <w:rPr>
          <w:lang w:eastAsia="bg-BG"/>
        </w:rPr>
        <w:t xml:space="preserve"> (като хидрохлорид) </w:t>
      </w:r>
      <w:r w:rsidRPr="00C64221">
        <w:t>(</w:t>
      </w:r>
      <w:proofErr w:type="spellStart"/>
      <w:r w:rsidRPr="00C64221">
        <w:t>valganciclovir</w:t>
      </w:r>
      <w:proofErr w:type="spellEnd"/>
      <w:r w:rsidRPr="00C64221">
        <w:t xml:space="preserve"> (</w:t>
      </w:r>
      <w:proofErr w:type="spellStart"/>
      <w:r w:rsidRPr="00C64221">
        <w:t>as</w:t>
      </w:r>
      <w:proofErr w:type="spellEnd"/>
      <w:r w:rsidRPr="00C64221">
        <w:t xml:space="preserve"> </w:t>
      </w:r>
      <w:proofErr w:type="spellStart"/>
      <w:r w:rsidRPr="00C64221">
        <w:t>hydrochloride</w:t>
      </w:r>
      <w:proofErr w:type="spellEnd"/>
      <w:r w:rsidRPr="00C64221">
        <w:t xml:space="preserve">)), </w:t>
      </w:r>
      <w:r w:rsidRPr="00C64221">
        <w:rPr>
          <w:lang w:eastAsia="bg-BG"/>
        </w:rPr>
        <w:t xml:space="preserve">еквивалентен на 450 </w:t>
      </w:r>
      <w:proofErr w:type="spellStart"/>
      <w:r w:rsidRPr="00C64221">
        <w:t>mg</w:t>
      </w:r>
      <w:proofErr w:type="spellEnd"/>
      <w:r w:rsidRPr="00C64221">
        <w:t xml:space="preserve"> </w:t>
      </w:r>
      <w:proofErr w:type="spellStart"/>
      <w:r w:rsidRPr="00C64221">
        <w:rPr>
          <w:lang w:eastAsia="bg-BG"/>
        </w:rPr>
        <w:t>валганцикловир</w:t>
      </w:r>
      <w:proofErr w:type="spellEnd"/>
      <w:r w:rsidRPr="00C64221">
        <w:rPr>
          <w:lang w:eastAsia="bg-BG"/>
        </w:rPr>
        <w:t xml:space="preserve"> (като свободна база).</w:t>
      </w:r>
    </w:p>
    <w:p w14:paraId="29734372" w14:textId="77777777" w:rsidR="00E302E7" w:rsidRPr="00C64221" w:rsidRDefault="00E302E7" w:rsidP="00E302E7"/>
    <w:p w14:paraId="614984C4" w14:textId="5EE09749" w:rsidR="008A6AF2" w:rsidRPr="00C64221" w:rsidRDefault="00DD466D" w:rsidP="002C50EE">
      <w:pPr>
        <w:pStyle w:val="Heading1"/>
      </w:pPr>
      <w:r w:rsidRPr="00C64221">
        <w:t>3. ЛЕКАРСТВЕНА ФОРМА</w:t>
      </w:r>
    </w:p>
    <w:p w14:paraId="6918A9B4" w14:textId="72334497" w:rsidR="00E302E7" w:rsidRPr="00C64221" w:rsidRDefault="00E302E7" w:rsidP="00E302E7"/>
    <w:p w14:paraId="199C1118" w14:textId="77777777" w:rsidR="00E302E7" w:rsidRPr="00C64221" w:rsidRDefault="00E302E7" w:rsidP="00E302E7">
      <w:pPr>
        <w:rPr>
          <w:sz w:val="24"/>
          <w:szCs w:val="24"/>
        </w:rPr>
      </w:pPr>
      <w:r w:rsidRPr="00C64221">
        <w:rPr>
          <w:lang w:eastAsia="bg-BG"/>
        </w:rPr>
        <w:t>Филмирана таблетка.</w:t>
      </w:r>
    </w:p>
    <w:p w14:paraId="0C97D554" w14:textId="77777777" w:rsidR="00E302E7" w:rsidRPr="00C64221" w:rsidRDefault="00E302E7" w:rsidP="00E302E7">
      <w:pPr>
        <w:rPr>
          <w:lang w:eastAsia="bg-BG"/>
        </w:rPr>
      </w:pPr>
    </w:p>
    <w:p w14:paraId="33DB4BC5" w14:textId="3FC4730F" w:rsidR="00E302E7" w:rsidRPr="00C64221" w:rsidRDefault="00E302E7" w:rsidP="00E302E7">
      <w:pPr>
        <w:rPr>
          <w:lang w:eastAsia="bg-BG"/>
        </w:rPr>
      </w:pPr>
      <w:r w:rsidRPr="00C64221">
        <w:rPr>
          <w:lang w:eastAsia="bg-BG"/>
        </w:rPr>
        <w:t xml:space="preserve">Розови, овални, двойно изпъкнали филмирани таблетки с приблизителен размер 16,7 х 7,8 </w:t>
      </w:r>
      <w:r w:rsidRPr="00C64221">
        <w:t xml:space="preserve">mm </w:t>
      </w:r>
      <w:r w:rsidRPr="00C64221">
        <w:rPr>
          <w:lang w:eastAsia="bg-BG"/>
        </w:rPr>
        <w:t xml:space="preserve">и с гравиран надпис </w:t>
      </w:r>
      <w:r w:rsidRPr="00C64221">
        <w:t xml:space="preserve">„J” </w:t>
      </w:r>
      <w:r w:rsidRPr="00C64221">
        <w:rPr>
          <w:lang w:eastAsia="bg-BG"/>
        </w:rPr>
        <w:t>от едната страна и „ 156” от другата.</w:t>
      </w:r>
    </w:p>
    <w:p w14:paraId="6E7EEA4A" w14:textId="77777777" w:rsidR="00E302E7" w:rsidRPr="00C64221" w:rsidRDefault="00E302E7" w:rsidP="00E302E7"/>
    <w:p w14:paraId="490FC2C4" w14:textId="0F4A4A75" w:rsidR="002C50EE" w:rsidRPr="00C64221" w:rsidRDefault="002C50EE" w:rsidP="002C50EE">
      <w:pPr>
        <w:pStyle w:val="Heading1"/>
      </w:pPr>
      <w:r w:rsidRPr="00C64221">
        <w:t>4. КЛИНИЧНИ ДАННИ</w:t>
      </w:r>
    </w:p>
    <w:p w14:paraId="74330405" w14:textId="37DFA346" w:rsidR="007122AD" w:rsidRPr="00C64221" w:rsidRDefault="002C50EE" w:rsidP="00936AD0">
      <w:pPr>
        <w:pStyle w:val="Heading2"/>
      </w:pPr>
      <w:r w:rsidRPr="00C64221">
        <w:t>4.1. Терапевтични показания</w:t>
      </w:r>
    </w:p>
    <w:p w14:paraId="19879145" w14:textId="00DCB992" w:rsidR="00E302E7" w:rsidRPr="00C64221" w:rsidRDefault="00E302E7" w:rsidP="00E302E7"/>
    <w:p w14:paraId="37FD456C" w14:textId="77777777" w:rsidR="00E302E7" w:rsidRPr="00C64221" w:rsidRDefault="00E302E7" w:rsidP="00E302E7">
      <w:pPr>
        <w:rPr>
          <w:sz w:val="24"/>
          <w:szCs w:val="24"/>
        </w:rPr>
      </w:pPr>
      <w:r w:rsidRPr="00C64221">
        <w:rPr>
          <w:lang w:eastAsia="bg-BG"/>
        </w:rPr>
        <w:t xml:space="preserve">АЛВАНОЦИТ е показан за въвеждащо и поддържащо лечение на </w:t>
      </w:r>
      <w:proofErr w:type="spellStart"/>
      <w:r w:rsidRPr="00C64221">
        <w:rPr>
          <w:lang w:eastAsia="bg-BG"/>
        </w:rPr>
        <w:t>цитомегаловирусен</w:t>
      </w:r>
      <w:proofErr w:type="spellEnd"/>
      <w:r w:rsidRPr="00C64221">
        <w:rPr>
          <w:lang w:eastAsia="bg-BG"/>
        </w:rPr>
        <w:t xml:space="preserve"> </w:t>
      </w:r>
      <w:r w:rsidRPr="00C64221">
        <w:t xml:space="preserve">(CMV) </w:t>
      </w:r>
      <w:proofErr w:type="spellStart"/>
      <w:r w:rsidRPr="00C64221">
        <w:rPr>
          <w:lang w:eastAsia="bg-BG"/>
        </w:rPr>
        <w:t>ретинит</w:t>
      </w:r>
      <w:proofErr w:type="spellEnd"/>
      <w:r w:rsidRPr="00C64221">
        <w:rPr>
          <w:lang w:eastAsia="bg-BG"/>
        </w:rPr>
        <w:t xml:space="preserve"> при пациенти със синдром на придобитата имунна недостатъчност (СПИН).</w:t>
      </w:r>
    </w:p>
    <w:p w14:paraId="33A8037B" w14:textId="77777777" w:rsidR="00E302E7" w:rsidRPr="00C64221" w:rsidRDefault="00E302E7" w:rsidP="00E302E7">
      <w:pPr>
        <w:rPr>
          <w:lang w:eastAsia="bg-BG"/>
        </w:rPr>
      </w:pPr>
    </w:p>
    <w:p w14:paraId="0A5D1AFA" w14:textId="30E09B06" w:rsidR="00E302E7" w:rsidRPr="00C64221" w:rsidRDefault="00E302E7" w:rsidP="00E302E7">
      <w:pPr>
        <w:rPr>
          <w:sz w:val="24"/>
          <w:szCs w:val="24"/>
        </w:rPr>
      </w:pPr>
      <w:r w:rsidRPr="00C64221">
        <w:rPr>
          <w:lang w:eastAsia="bg-BG"/>
        </w:rPr>
        <w:t xml:space="preserve">АЛВАНОЦИТ е показан за профилактика на </w:t>
      </w:r>
      <w:r w:rsidRPr="00C64221">
        <w:t xml:space="preserve">CMV </w:t>
      </w:r>
      <w:r w:rsidRPr="00C64221">
        <w:rPr>
          <w:lang w:eastAsia="bg-BG"/>
        </w:rPr>
        <w:t xml:space="preserve">заболяване при </w:t>
      </w:r>
      <w:r w:rsidRPr="00C64221">
        <w:t>CMV</w:t>
      </w:r>
      <w:r w:rsidRPr="00C64221">
        <w:rPr>
          <w:lang w:eastAsia="bg-BG"/>
        </w:rPr>
        <w:t xml:space="preserve">-отрицателни пациенти, които са получили </w:t>
      </w:r>
      <w:proofErr w:type="spellStart"/>
      <w:r w:rsidRPr="00C64221">
        <w:rPr>
          <w:lang w:eastAsia="bg-BG"/>
        </w:rPr>
        <w:t>трансплантат</w:t>
      </w:r>
      <w:proofErr w:type="spellEnd"/>
      <w:r w:rsidRPr="00C64221">
        <w:rPr>
          <w:lang w:eastAsia="bg-BG"/>
        </w:rPr>
        <w:t xml:space="preserve"> на солиден орган от </w:t>
      </w:r>
      <w:r w:rsidRPr="00C64221">
        <w:t>CMV</w:t>
      </w:r>
      <w:r w:rsidRPr="00C64221">
        <w:rPr>
          <w:lang w:eastAsia="bg-BG"/>
        </w:rPr>
        <w:t>-положителен донор.</w:t>
      </w:r>
    </w:p>
    <w:p w14:paraId="2EC7BDAD" w14:textId="77777777" w:rsidR="00E302E7" w:rsidRPr="00C64221" w:rsidRDefault="00E302E7" w:rsidP="00E302E7"/>
    <w:p w14:paraId="53F5B866" w14:textId="4F9A5867" w:rsidR="007122AD" w:rsidRPr="00C64221" w:rsidRDefault="002C50EE" w:rsidP="00936AD0">
      <w:pPr>
        <w:pStyle w:val="Heading2"/>
      </w:pPr>
      <w:r w:rsidRPr="00C64221">
        <w:t>4.2. Дозировка и начин на приложение</w:t>
      </w:r>
    </w:p>
    <w:p w14:paraId="6F3E55A3" w14:textId="45682F79" w:rsidR="00E302E7" w:rsidRPr="00C64221" w:rsidRDefault="00E302E7" w:rsidP="00E302E7"/>
    <w:p w14:paraId="01E82660" w14:textId="77777777" w:rsidR="00E302E7" w:rsidRPr="00C64221" w:rsidRDefault="00E302E7" w:rsidP="008D3D13">
      <w:pPr>
        <w:pStyle w:val="Heading3"/>
        <w:rPr>
          <w:rFonts w:eastAsia="Times New Roman"/>
        </w:rPr>
      </w:pPr>
      <w:r w:rsidRPr="00C64221">
        <w:rPr>
          <w:rFonts w:eastAsia="Times New Roman"/>
          <w:lang w:eastAsia="bg-BG"/>
        </w:rPr>
        <w:t>Дозировка</w:t>
      </w:r>
    </w:p>
    <w:p w14:paraId="3034D59B" w14:textId="77777777" w:rsidR="00E302E7" w:rsidRPr="00C64221" w:rsidRDefault="00E302E7" w:rsidP="00E302E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bookmarkStart w:id="1" w:name="bookmark0"/>
    </w:p>
    <w:p w14:paraId="4214EC12" w14:textId="604773DD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b/>
          <w:bCs/>
          <w:color w:val="000000"/>
          <w:lang w:eastAsia="bg-BG"/>
        </w:rPr>
        <w:t>Внимание - стриктното спазване на препоръките за дозиране е много важно, за да се избегне предозиране (вж. точки 4.4 и 4.9).</w:t>
      </w:r>
      <w:bookmarkEnd w:id="1"/>
    </w:p>
    <w:p w14:paraId="13BD5433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B1350D" w14:textId="75F3597F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бързо и в голяма степен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след перорален прием. Пероралното приложение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два пъти дневно е терапевтично еквивалентно на интравенозно приложен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5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дв^Тгьти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дневно.</w:t>
      </w:r>
    </w:p>
    <w:p w14:paraId="6CC97A64" w14:textId="77777777" w:rsidR="00E302E7" w:rsidRPr="00C64221" w:rsidRDefault="00E302E7" w:rsidP="00E302E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244CFB48" w14:textId="6153F421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b/>
          <w:bCs/>
          <w:color w:val="000000"/>
          <w:lang w:eastAsia="bg-BG"/>
        </w:rPr>
        <w:lastRenderedPageBreak/>
        <w:t xml:space="preserve">Лечение на </w:t>
      </w:r>
      <w:proofErr w:type="spellStart"/>
      <w:r w:rsidRPr="00C64221">
        <w:rPr>
          <w:rFonts w:eastAsia="Times New Roman" w:cs="Arial"/>
          <w:b/>
          <w:bCs/>
          <w:color w:val="000000"/>
          <w:lang w:eastAsia="bg-BG"/>
        </w:rPr>
        <w:t>цитомегаловирусен</w:t>
      </w:r>
      <w:proofErr w:type="spellEnd"/>
      <w:r w:rsidRPr="00C64221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C64221">
        <w:rPr>
          <w:rFonts w:eastAsia="Times New Roman" w:cs="Arial"/>
          <w:b/>
          <w:bCs/>
          <w:color w:val="000000"/>
        </w:rPr>
        <w:t xml:space="preserve">(CMV) </w:t>
      </w:r>
      <w:proofErr w:type="spellStart"/>
      <w:r w:rsidRPr="00C64221">
        <w:rPr>
          <w:rFonts w:eastAsia="Times New Roman" w:cs="Arial"/>
          <w:b/>
          <w:bCs/>
          <w:color w:val="000000"/>
          <w:lang w:eastAsia="bg-BG"/>
        </w:rPr>
        <w:t>ретинит</w:t>
      </w:r>
      <w:bookmarkEnd w:id="2"/>
      <w:proofErr w:type="spellEnd"/>
    </w:p>
    <w:p w14:paraId="478130FC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850BE8A" w14:textId="08693775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u w:val="single"/>
          <w:lang w:eastAsia="bg-BG"/>
        </w:rPr>
        <w:t>Възрастни пациенти</w:t>
      </w:r>
    </w:p>
    <w:p w14:paraId="5623EFB2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CAA959E" w14:textId="42411734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Въвеждащо лечение при </w:t>
      </w:r>
      <w:r w:rsidRPr="00C64221">
        <w:rPr>
          <w:rFonts w:eastAsia="Times New Roman" w:cs="Arial"/>
          <w:i/>
          <w:iCs/>
          <w:color w:val="000000"/>
        </w:rPr>
        <w:t>CMV</w:t>
      </w:r>
      <w:r w:rsidRPr="00C64221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>:</w:t>
      </w:r>
    </w:p>
    <w:p w14:paraId="073A8DF1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пациенти с активен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препоръчваната доза е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(две таблетки АЛВАНОЦИТ 450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) </w:t>
      </w:r>
      <w:r w:rsidRPr="00C64221">
        <w:rPr>
          <w:rFonts w:eastAsia="Times New Roman" w:cs="Arial"/>
          <w:color w:val="000000"/>
          <w:lang w:eastAsia="bg-BG"/>
        </w:rPr>
        <w:t xml:space="preserve">два пъти дневно в продължение на 21 дни, като, когато е възможно, трябва да се приема с храна. Продължителното въвеждащо лечение може да увеличи риска от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костномозъчна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токсичност (вж. точка 4.4).</w:t>
      </w:r>
    </w:p>
    <w:p w14:paraId="508DE118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C640B39" w14:textId="3BAF5648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Поддържащо лечение на </w:t>
      </w:r>
      <w:r w:rsidRPr="00C64221">
        <w:rPr>
          <w:rFonts w:eastAsia="Times New Roman" w:cs="Arial"/>
          <w:i/>
          <w:iCs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>:</w:t>
      </w:r>
    </w:p>
    <w:p w14:paraId="37619048" w14:textId="77777777" w:rsidR="00E302E7" w:rsidRPr="00C64221" w:rsidRDefault="00E302E7" w:rsidP="00E302E7">
      <w:pPr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След въвеждащо лечение или при пациенти с неактивен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препоръчваната доза е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(две таблетки АЛВАНОЦИТ 450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) </w:t>
      </w:r>
      <w:r w:rsidRPr="00C64221">
        <w:rPr>
          <w:rFonts w:eastAsia="Times New Roman" w:cs="Arial"/>
          <w:color w:val="000000"/>
          <w:lang w:eastAsia="bg-BG"/>
        </w:rPr>
        <w:t xml:space="preserve">веднъж дневно, като когато е възможно, трябва да се приема с храна. Пациенти, при които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ретинитът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влошава може да повторят въвеждащото лечение. Трябва обаче да се има предвид възможността за наличие на резистентност на вируса към лекарството.</w:t>
      </w:r>
    </w:p>
    <w:p w14:paraId="24255E12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4E8DBCB" w14:textId="75C1BABA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529D4617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44D914" w14:textId="48968C9D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Безопасността и ефикасността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при лечението на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не са установени в адекватни и добре контролирани клинични изпитвания при педиатрични пациенти.</w:t>
      </w:r>
    </w:p>
    <w:p w14:paraId="102F994E" w14:textId="77777777" w:rsidR="00E302E7" w:rsidRPr="00C64221" w:rsidRDefault="00E302E7" w:rsidP="00E302E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048C868" w14:textId="7696BF23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b/>
          <w:bCs/>
          <w:color w:val="000000"/>
          <w:lang w:eastAsia="bg-BG"/>
        </w:rPr>
        <w:t xml:space="preserve">Профилактика на </w:t>
      </w:r>
      <w:r w:rsidRPr="00C64221">
        <w:rPr>
          <w:rFonts w:eastAsia="Times New Roman" w:cs="Arial"/>
          <w:b/>
          <w:bCs/>
          <w:color w:val="000000"/>
        </w:rPr>
        <w:t xml:space="preserve">CMV </w:t>
      </w:r>
      <w:r w:rsidRPr="00C64221">
        <w:rPr>
          <w:rFonts w:eastAsia="Times New Roman" w:cs="Arial"/>
          <w:b/>
          <w:bCs/>
          <w:color w:val="000000"/>
          <w:lang w:eastAsia="bg-BG"/>
        </w:rPr>
        <w:t>заболяване при трансплантация на солиден орган:</w:t>
      </w:r>
    </w:p>
    <w:p w14:paraId="11789BF6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33D0616" w14:textId="0D18F4EB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Възрастни пациенти</w:t>
      </w:r>
    </w:p>
    <w:p w14:paraId="41FC4D1E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1F5EB3" w14:textId="5B03F5DF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пациенти с бъбречна трансплантация препоръчваната доза е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(две таблетки АЛВАНОЦИТ 450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) </w:t>
      </w:r>
      <w:r w:rsidRPr="00C64221">
        <w:rPr>
          <w:rFonts w:eastAsia="Times New Roman" w:cs="Arial"/>
          <w:color w:val="000000"/>
          <w:lang w:eastAsia="bg-BG"/>
        </w:rPr>
        <w:t>веднъж дневно, като започне да се прилага до 10 дни след трансплантацията и продължи до 100 дни след нея. Профилактиката може да продължи до 200 дни след трансплантацията (вж. точки 4.4,4.8 и 5.1).</w:t>
      </w:r>
    </w:p>
    <w:p w14:paraId="0CCD7670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80B14D" w14:textId="07276154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пациенти, които са получили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трансплантат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сериозен орган, различен от бъбрек, препоръчваната доза е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(две таблетки АЛВАНОЦИТ 450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) </w:t>
      </w:r>
      <w:r w:rsidRPr="00C64221">
        <w:rPr>
          <w:rFonts w:eastAsia="Times New Roman" w:cs="Arial"/>
          <w:color w:val="000000"/>
          <w:lang w:eastAsia="bg-BG"/>
        </w:rPr>
        <w:t>веднъж дневно, като започне да се прилага до 10 дни след трансплантацията и продължи до 100 дни след нея.</w:t>
      </w:r>
    </w:p>
    <w:p w14:paraId="1A95A678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1E9A42" w14:textId="41454C8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>Когато е възможно, таблетките трябва да се приемат с храна.</w:t>
      </w:r>
    </w:p>
    <w:p w14:paraId="3B55C985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610B42A" w14:textId="7A2011BF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32A574A8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DC6F19" w14:textId="6520B3FA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педиатрични пациенти с трансплантация на солиден орган, на възраст след раждането, изложени на риск от развитие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заболяване, препоръчваната доза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веднъж дневно се основава на площта на телесната повърхност </w:t>
      </w:r>
      <w:r w:rsidRPr="00C64221">
        <w:rPr>
          <w:rFonts w:eastAsia="Times New Roman" w:cs="Arial"/>
          <w:color w:val="000000"/>
        </w:rPr>
        <w:t xml:space="preserve">(BSA)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клирънс (СгС1), получен по формулата на </w:t>
      </w:r>
      <w:proofErr w:type="spellStart"/>
      <w:r w:rsidRPr="00C64221">
        <w:rPr>
          <w:rFonts w:eastAsia="Times New Roman" w:cs="Arial"/>
          <w:color w:val="000000"/>
        </w:rPr>
        <w:t>Schwartz</w:t>
      </w:r>
      <w:proofErr w:type="spellEnd"/>
      <w:r w:rsidRPr="00C64221">
        <w:rPr>
          <w:rFonts w:eastAsia="Times New Roman" w:cs="Arial"/>
          <w:color w:val="000000"/>
        </w:rPr>
        <w:t xml:space="preserve"> (</w:t>
      </w:r>
      <w:proofErr w:type="spellStart"/>
      <w:r w:rsidRPr="00C64221">
        <w:rPr>
          <w:rFonts w:eastAsia="Times New Roman" w:cs="Arial"/>
          <w:color w:val="000000"/>
        </w:rPr>
        <w:t>CrCLS</w:t>
      </w:r>
      <w:proofErr w:type="spellEnd"/>
      <w:r w:rsidRPr="00C64221">
        <w:rPr>
          <w:rFonts w:eastAsia="Times New Roman" w:cs="Arial"/>
          <w:color w:val="000000"/>
        </w:rPr>
        <w:t xml:space="preserve">), </w:t>
      </w:r>
      <w:r w:rsidRPr="00C64221">
        <w:rPr>
          <w:rFonts w:eastAsia="Times New Roman" w:cs="Arial"/>
          <w:color w:val="000000"/>
          <w:lang w:eastAsia="bg-BG"/>
        </w:rPr>
        <w:t>и се изчислява с помощта на уравнението по-долу:</w:t>
      </w:r>
    </w:p>
    <w:p w14:paraId="13E73941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9EE2A1" w14:textId="10792E05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Педиатрична доза </w:t>
      </w:r>
      <w:r w:rsidRPr="00C64221">
        <w:rPr>
          <w:rFonts w:eastAsia="Times New Roman" w:cs="Arial"/>
          <w:color w:val="000000"/>
        </w:rPr>
        <w:t>(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) </w:t>
      </w:r>
      <w:r w:rsidRPr="00C64221">
        <w:rPr>
          <w:rFonts w:eastAsia="Times New Roman" w:cs="Arial"/>
          <w:color w:val="000000"/>
          <w:lang w:eastAsia="bg-BG"/>
        </w:rPr>
        <w:t xml:space="preserve">= 7 х </w:t>
      </w:r>
      <w:r w:rsidRPr="00C64221">
        <w:rPr>
          <w:rFonts w:eastAsia="Times New Roman" w:cs="Arial"/>
          <w:color w:val="000000"/>
        </w:rPr>
        <w:t xml:space="preserve">BSA </w:t>
      </w:r>
      <w:r w:rsidRPr="00C64221">
        <w:rPr>
          <w:rFonts w:eastAsia="Times New Roman" w:cs="Arial"/>
          <w:color w:val="000000"/>
          <w:lang w:eastAsia="bg-BG"/>
        </w:rPr>
        <w:t xml:space="preserve">х </w:t>
      </w:r>
      <w:proofErr w:type="spellStart"/>
      <w:r w:rsidRPr="00C64221">
        <w:rPr>
          <w:rFonts w:eastAsia="Times New Roman" w:cs="Arial"/>
          <w:color w:val="000000"/>
        </w:rPr>
        <w:t>CrCLS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(вж. по-долу формулата на </w:t>
      </w:r>
      <w:proofErr w:type="spellStart"/>
      <w:r w:rsidRPr="00C64221">
        <w:rPr>
          <w:rFonts w:eastAsia="Times New Roman" w:cs="Arial"/>
          <w:color w:val="000000"/>
        </w:rPr>
        <w:t>Mosteller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за </w:t>
      </w:r>
      <w:r w:rsidRPr="00C64221">
        <w:rPr>
          <w:rFonts w:eastAsia="Times New Roman" w:cs="Arial"/>
          <w:color w:val="000000"/>
        </w:rPr>
        <w:t xml:space="preserve">BSA </w:t>
      </w:r>
      <w:r w:rsidRPr="00C64221">
        <w:rPr>
          <w:rFonts w:eastAsia="Times New Roman" w:cs="Arial"/>
          <w:color w:val="000000"/>
          <w:lang w:eastAsia="bg-BG"/>
        </w:rPr>
        <w:t xml:space="preserve">и формулата на </w:t>
      </w:r>
      <w:proofErr w:type="spellStart"/>
      <w:r w:rsidRPr="00C64221">
        <w:rPr>
          <w:rFonts w:eastAsia="Times New Roman" w:cs="Arial"/>
          <w:color w:val="000000"/>
        </w:rPr>
        <w:t>Schwartz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за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клирънс).</w:t>
      </w:r>
    </w:p>
    <w:p w14:paraId="265B7279" w14:textId="77777777" w:rsidR="00E302E7" w:rsidRPr="00C64221" w:rsidRDefault="00E302E7" w:rsidP="00E302E7">
      <w:pPr>
        <w:rPr>
          <w:rFonts w:eastAsia="Times New Roman" w:cs="Arial"/>
          <w:color w:val="000000"/>
          <w:lang w:eastAsia="bg-BG"/>
        </w:rPr>
      </w:pPr>
    </w:p>
    <w:p w14:paraId="48F2061B" w14:textId="1D435D42" w:rsidR="00E302E7" w:rsidRPr="00C64221" w:rsidRDefault="00E302E7" w:rsidP="00E302E7">
      <w:pPr>
        <w:rPr>
          <w:rFonts w:eastAsia="Times New Roman" w:cs="Arial"/>
          <w:color w:val="000000"/>
        </w:rPr>
      </w:pPr>
      <w:r w:rsidRPr="00C64221">
        <w:rPr>
          <w:rFonts w:eastAsia="Times New Roman" w:cs="Arial"/>
          <w:color w:val="000000"/>
          <w:lang w:eastAsia="bg-BG"/>
        </w:rPr>
        <w:lastRenderedPageBreak/>
        <w:t xml:space="preserve">Ако изчисленият по </w:t>
      </w:r>
      <w:proofErr w:type="spellStart"/>
      <w:r w:rsidRPr="00C64221">
        <w:rPr>
          <w:rFonts w:eastAsia="Times New Roman" w:cs="Arial"/>
          <w:color w:val="000000"/>
        </w:rPr>
        <w:t>Schwartz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клирънс надвишава 150 </w:t>
      </w:r>
      <w:proofErr w:type="spellStart"/>
      <w:r w:rsidRPr="00C64221">
        <w:rPr>
          <w:rFonts w:eastAsia="Times New Roman" w:cs="Arial"/>
          <w:color w:val="000000"/>
        </w:rPr>
        <w:t>mL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min</w:t>
      </w:r>
      <w:proofErr w:type="spellEnd"/>
      <w:r w:rsidRPr="00C64221">
        <w:rPr>
          <w:rFonts w:eastAsia="Times New Roman" w:cs="Arial"/>
          <w:color w:val="000000"/>
        </w:rPr>
        <w:t>/ 1,73m</w:t>
      </w:r>
      <w:r w:rsidRPr="00C64221">
        <w:rPr>
          <w:rFonts w:eastAsia="Times New Roman" w:cs="Arial"/>
          <w:color w:val="000000"/>
          <w:vertAlign w:val="superscript"/>
        </w:rPr>
        <w:t>2</w:t>
      </w:r>
      <w:r w:rsidRPr="00C64221">
        <w:rPr>
          <w:rFonts w:eastAsia="Times New Roman" w:cs="Arial"/>
          <w:color w:val="000000"/>
        </w:rPr>
        <w:t xml:space="preserve">, </w:t>
      </w:r>
      <w:r w:rsidRPr="00C64221">
        <w:rPr>
          <w:rFonts w:eastAsia="Times New Roman" w:cs="Arial"/>
          <w:color w:val="000000"/>
          <w:lang w:eastAsia="bg-BG"/>
        </w:rPr>
        <w:t xml:space="preserve">в уравнението трябва да се използва максимална стойност 150 </w:t>
      </w:r>
      <w:proofErr w:type="spellStart"/>
      <w:r w:rsidRPr="00C64221">
        <w:rPr>
          <w:rFonts w:eastAsia="Times New Roman" w:cs="Arial"/>
          <w:color w:val="000000"/>
        </w:rPr>
        <w:t>mL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min</w:t>
      </w:r>
      <w:proofErr w:type="spellEnd"/>
      <w:r w:rsidRPr="00C64221">
        <w:rPr>
          <w:rFonts w:eastAsia="Times New Roman" w:cs="Arial"/>
          <w:color w:val="000000"/>
        </w:rPr>
        <w:t>/l,73m</w:t>
      </w:r>
      <w:r w:rsidRPr="00C64221">
        <w:rPr>
          <w:rFonts w:eastAsia="Times New Roman" w:cs="Arial"/>
          <w:color w:val="000000"/>
          <w:vertAlign w:val="superscript"/>
        </w:rPr>
        <w:t>2</w:t>
      </w:r>
      <w:r w:rsidRPr="00C64221">
        <w:rPr>
          <w:rFonts w:eastAsia="Times New Roman" w:cs="Arial"/>
          <w:color w:val="000000"/>
        </w:rPr>
        <w:t>:</w:t>
      </w:r>
    </w:p>
    <w:p w14:paraId="3C5D6386" w14:textId="65BFEE82" w:rsidR="00E302E7" w:rsidRPr="00C64221" w:rsidRDefault="00E302E7" w:rsidP="00E302E7">
      <w:pPr>
        <w:rPr>
          <w:rFonts w:eastAsia="Times New Roman" w:cs="Arial"/>
          <w:color w:val="000000"/>
        </w:rPr>
      </w:pPr>
    </w:p>
    <w:p w14:paraId="0F2DE179" w14:textId="6407EC02" w:rsidR="00E302E7" w:rsidRPr="00C64221" w:rsidRDefault="00E302E7" w:rsidP="00E302E7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Mosteller BSA (m</m:t>
          </m:r>
          <m:r>
            <m:rPr>
              <m:sty m:val="p"/>
            </m:rPr>
            <w:rPr>
              <w:rFonts w:ascii="Cambria Math" w:hAnsi="Cambria Math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) 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ръст(ст)х тегло(ке)</m:t>
                  </m:r>
                </m:num>
                <m:den>
                  <m:r>
                    <w:rPr>
                      <w:rFonts w:ascii="Cambria Math" w:hAnsi="Cambria Math"/>
                    </w:rPr>
                    <m:t>3600</m:t>
                  </m:r>
                </m:den>
              </m:f>
            </m:e>
          </m:rad>
        </m:oMath>
      </m:oMathPara>
    </w:p>
    <w:p w14:paraId="1EF5F6E0" w14:textId="595D9D05" w:rsidR="00E302E7" w:rsidRPr="00C64221" w:rsidRDefault="00E302E7" w:rsidP="00E302E7">
      <w:pPr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 xml:space="preserve">Schwartz </m:t>
          </m:r>
          <m:r>
            <m:rPr>
              <m:sty m:val="p"/>
            </m:rPr>
            <w:rPr>
              <w:rFonts w:ascii="Cambria Math" w:hAnsi="Cambria Math" w:cs="Arial"/>
              <w:lang w:eastAsia="bg-BG"/>
            </w:rPr>
            <m:t xml:space="preserve">креатининов клирънс </m:t>
          </m:r>
          <m:r>
            <m:rPr>
              <m:sty m:val="p"/>
            </m:rPr>
            <w:rPr>
              <w:rFonts w:ascii="Cambria Math" w:hAnsi="Cambria Math" w:cs="Arial"/>
            </w:rPr>
            <m:t>(ml/min/1,73 m</m:t>
          </m:r>
          <m:r>
            <m:rPr>
              <m:sty m:val="p"/>
            </m:rPr>
            <w:rPr>
              <w:rFonts w:ascii="Cambria Math" w:hAnsi="Cambria Math" w:cs="Arial"/>
              <w:vertAlign w:val="superscript"/>
            </w:rPr>
            <m:t>2</m:t>
          </m:r>
          <m:r>
            <m:rPr>
              <m:sty m:val="p"/>
            </m:rPr>
            <w:rPr>
              <w:rFonts w:ascii="Cambria Math" w:hAnsi="Cambria Math" w:cs="Arial"/>
            </w:rPr>
            <m:t>)=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k x ръст (см)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серумен креатинин (mg/dl)</m:t>
              </m:r>
            </m:den>
          </m:f>
        </m:oMath>
      </m:oMathPara>
    </w:p>
    <w:p w14:paraId="4F939AE5" w14:textId="07C6A6A1" w:rsidR="00E302E7" w:rsidRPr="00C64221" w:rsidRDefault="00E302E7" w:rsidP="00E302E7"/>
    <w:p w14:paraId="10BAC357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където </w:t>
      </w:r>
      <w:r w:rsidRPr="00C64221">
        <w:rPr>
          <w:rFonts w:eastAsia="Times New Roman" w:cs="Arial"/>
          <w:color w:val="000000"/>
        </w:rPr>
        <w:t xml:space="preserve">k </w:t>
      </w:r>
      <w:r w:rsidRPr="00C64221">
        <w:rPr>
          <w:rFonts w:eastAsia="Times New Roman" w:cs="Arial"/>
          <w:color w:val="000000"/>
          <w:lang w:eastAsia="bg-BG"/>
        </w:rPr>
        <w:t>= 0,45* при пациенти под 2 години; 0,55 за момчета от 2 до &lt;13 години и момичета от 2 до 16 години; и 0,7 за момчета от 13 до 16 години. Вижте дозирането за възрастни при пациенти над 16 години.</w:t>
      </w:r>
    </w:p>
    <w:p w14:paraId="45B34C1A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E4A16B" w14:textId="3B40F2E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Дадените стойности на </w:t>
      </w:r>
      <w:r w:rsidRPr="00C64221">
        <w:rPr>
          <w:rFonts w:eastAsia="Times New Roman" w:cs="Arial"/>
          <w:color w:val="000000"/>
        </w:rPr>
        <w:t xml:space="preserve">k </w:t>
      </w:r>
      <w:r w:rsidRPr="00C64221">
        <w:rPr>
          <w:rFonts w:eastAsia="Times New Roman" w:cs="Arial"/>
          <w:color w:val="000000"/>
          <w:lang w:eastAsia="bg-BG"/>
        </w:rPr>
        <w:t xml:space="preserve">се основават на метода на </w:t>
      </w:r>
      <w:proofErr w:type="spellStart"/>
      <w:r w:rsidRPr="00C64221">
        <w:rPr>
          <w:rFonts w:eastAsia="Times New Roman" w:cs="Arial"/>
          <w:i/>
          <w:iCs/>
          <w:color w:val="000000"/>
        </w:rPr>
        <w:t>Jaffe</w:t>
      </w:r>
      <w:proofErr w:type="spellEnd"/>
      <w:r w:rsidRPr="00C64221">
        <w:rPr>
          <w:rFonts w:eastAsia="Times New Roman" w:cs="Arial"/>
          <w:i/>
          <w:iCs/>
          <w:color w:val="000000"/>
        </w:rPr>
        <w:t xml:space="preserve"> </w:t>
      </w:r>
      <w:r w:rsidRPr="00C64221">
        <w:rPr>
          <w:rFonts w:eastAsia="Times New Roman" w:cs="Arial"/>
          <w:i/>
          <w:iCs/>
          <w:color w:val="000000"/>
          <w:lang w:eastAsia="bg-BG"/>
        </w:rPr>
        <w:t>за измерване на</w:t>
      </w:r>
      <w:r w:rsidRPr="00C64221">
        <w:rPr>
          <w:rFonts w:eastAsia="Times New Roman" w:cs="Arial"/>
          <w:color w:val="000000"/>
          <w:lang w:eastAsia="bg-BG"/>
        </w:rPr>
        <w:t xml:space="preserve"> серумния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може да се наложи корекция, когато се използват ензимни методи.</w:t>
      </w:r>
    </w:p>
    <w:p w14:paraId="3B18FDCB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116448" w14:textId="7C0B3235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 xml:space="preserve">*3а съответните субпопулации може да е необходимо също и понижаване на стойността на </w:t>
      </w:r>
      <w:r w:rsidRPr="00C64221">
        <w:rPr>
          <w:rFonts w:eastAsia="Times New Roman" w:cs="Arial"/>
          <w:color w:val="000000"/>
        </w:rPr>
        <w:t xml:space="preserve">k </w:t>
      </w:r>
      <w:r w:rsidRPr="00C64221">
        <w:rPr>
          <w:rFonts w:eastAsia="Times New Roman" w:cs="Arial"/>
          <w:color w:val="000000"/>
          <w:lang w:eastAsia="bg-BG"/>
        </w:rPr>
        <w:t>(напр. при педиатрични пациенти с ниско тегло при раждането).</w:t>
      </w:r>
    </w:p>
    <w:p w14:paraId="54922319" w14:textId="05595C10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17CF8F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педиатрични пациенти с бъбречна трансплантация препоръчваната доза веднъж дневно в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(7 х </w:t>
      </w:r>
      <w:r w:rsidRPr="00C64221">
        <w:rPr>
          <w:rFonts w:eastAsia="Times New Roman" w:cs="Arial"/>
          <w:color w:val="000000"/>
        </w:rPr>
        <w:t xml:space="preserve">BSA </w:t>
      </w:r>
      <w:r w:rsidRPr="00C64221">
        <w:rPr>
          <w:rFonts w:eastAsia="Times New Roman" w:cs="Arial"/>
          <w:color w:val="000000"/>
          <w:lang w:eastAsia="bg-BG"/>
        </w:rPr>
        <w:t xml:space="preserve">х </w:t>
      </w:r>
      <w:proofErr w:type="spellStart"/>
      <w:r w:rsidRPr="00C64221">
        <w:rPr>
          <w:rFonts w:eastAsia="Times New Roman" w:cs="Arial"/>
          <w:color w:val="000000"/>
        </w:rPr>
        <w:t>CrCLS</w:t>
      </w:r>
      <w:proofErr w:type="spellEnd"/>
      <w:r w:rsidRPr="00C64221">
        <w:rPr>
          <w:rFonts w:eastAsia="Times New Roman" w:cs="Arial"/>
          <w:color w:val="000000"/>
        </w:rPr>
        <w:t xml:space="preserve">) </w:t>
      </w:r>
      <w:r w:rsidRPr="00C64221">
        <w:rPr>
          <w:rFonts w:eastAsia="Times New Roman" w:cs="Arial"/>
          <w:color w:val="000000"/>
          <w:lang w:eastAsia="bg-BG"/>
        </w:rPr>
        <w:t>трябва да започне да се прилага до 10 дни след трансплантацията и продължи до 200 дни след нея.</w:t>
      </w:r>
    </w:p>
    <w:p w14:paraId="369FDA22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826222" w14:textId="29C99D2F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педиатрични пациенти с трансплантация на солиден орган, различен от бъбрек, препоръчваната доза веднъж дневно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(7 х </w:t>
      </w:r>
      <w:r w:rsidRPr="00C64221">
        <w:rPr>
          <w:rFonts w:eastAsia="Times New Roman" w:cs="Arial"/>
          <w:color w:val="000000"/>
        </w:rPr>
        <w:t xml:space="preserve">BSA </w:t>
      </w:r>
      <w:r w:rsidRPr="00C64221">
        <w:rPr>
          <w:rFonts w:eastAsia="Times New Roman" w:cs="Arial"/>
          <w:color w:val="000000"/>
          <w:lang w:eastAsia="bg-BG"/>
        </w:rPr>
        <w:t xml:space="preserve">х </w:t>
      </w:r>
      <w:proofErr w:type="spellStart"/>
      <w:r w:rsidRPr="00C64221">
        <w:rPr>
          <w:rFonts w:eastAsia="Times New Roman" w:cs="Arial"/>
          <w:color w:val="000000"/>
        </w:rPr>
        <w:t>CrCLS</w:t>
      </w:r>
      <w:proofErr w:type="spellEnd"/>
      <w:r w:rsidRPr="00C64221">
        <w:rPr>
          <w:rFonts w:eastAsia="Times New Roman" w:cs="Arial"/>
          <w:color w:val="000000"/>
        </w:rPr>
        <w:t xml:space="preserve">) </w:t>
      </w:r>
      <w:r w:rsidRPr="00C64221">
        <w:rPr>
          <w:rFonts w:eastAsia="Times New Roman" w:cs="Arial"/>
          <w:color w:val="000000"/>
          <w:lang w:eastAsia="bg-BG"/>
        </w:rPr>
        <w:t>трябва да започне да се прилага до 10 дни след трансплантацията и продължи до 100 дни след нея.</w:t>
      </w:r>
    </w:p>
    <w:p w14:paraId="2704E878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FBB39A" w14:textId="2D801DD3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За да се получи действителната доза за приложение, всички изчислени дози трябва да се закръглят към най-близкото повишение с 25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. </w:t>
      </w:r>
      <w:r w:rsidRPr="00C64221">
        <w:rPr>
          <w:rFonts w:eastAsia="Times New Roman" w:cs="Arial"/>
          <w:color w:val="000000"/>
          <w:lang w:eastAsia="bg-BG"/>
        </w:rPr>
        <w:t xml:space="preserve">Ако изчислената доза надвишава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, </w:t>
      </w:r>
      <w:r w:rsidRPr="00C64221">
        <w:rPr>
          <w:rFonts w:eastAsia="Times New Roman" w:cs="Arial"/>
          <w:color w:val="000000"/>
          <w:lang w:eastAsia="bg-BG"/>
        </w:rPr>
        <w:t xml:space="preserve">трябва да се приложи максималната доза от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. </w:t>
      </w:r>
      <w:r w:rsidRPr="00C64221">
        <w:rPr>
          <w:rFonts w:eastAsia="Times New Roman" w:cs="Arial"/>
          <w:color w:val="000000"/>
          <w:lang w:eastAsia="bg-BG"/>
        </w:rPr>
        <w:t xml:space="preserve">Пероралният разтвор е предпочитаната лекарствена форма, тъй като позволява да се приложи доза, изчислена според горната формула. Може обаче да се използват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филмирани таблетки, ако изчислените дози са в рамките на 10% от наличните таблетни дози и пациентът може да преглъща таблетки. Например, ако изчислената доза е между 405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и 495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, </w:t>
      </w:r>
      <w:r w:rsidRPr="00C64221">
        <w:rPr>
          <w:rFonts w:eastAsia="Times New Roman" w:cs="Arial"/>
          <w:color w:val="000000"/>
          <w:lang w:eastAsia="bg-BG"/>
        </w:rPr>
        <w:t xml:space="preserve">може да се приеме една таблетка от 450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.</w:t>
      </w:r>
    </w:p>
    <w:p w14:paraId="5E009752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260185" w14:textId="0256FBA5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Препоръчва се редовно да се проследяват нивата на серумния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да се имат предвид промените в ръста и телесното тегло, като дозата се адаптира съответно по време на периода на профилактика.</w:t>
      </w:r>
    </w:p>
    <w:p w14:paraId="17EB5254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9153EB4" w14:textId="57BA0F5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>Специални инструкции за дозиране</w:t>
      </w:r>
    </w:p>
    <w:p w14:paraId="645AD665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F13751B" w14:textId="39C20C33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Пациенти с бъбречно увреждане:</w:t>
      </w:r>
    </w:p>
    <w:p w14:paraId="48804DFF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Трябва да се проследяват внимателно нивата на серумния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клирънс. Необходимо е коригиране на дозата според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клирънс, както е показано в таблицата по-долу (вж. точки 4.4 и 5.2).</w:t>
      </w:r>
    </w:p>
    <w:p w14:paraId="21EF7A7A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3D0A85" w14:textId="0BDFC0AE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Креатининовият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клирънс </w:t>
      </w:r>
      <w:r w:rsidRPr="00C64221">
        <w:rPr>
          <w:rFonts w:eastAsia="Times New Roman" w:cs="Arial"/>
          <w:color w:val="000000"/>
        </w:rPr>
        <w:t>(ml/</w:t>
      </w:r>
      <w:proofErr w:type="spellStart"/>
      <w:r w:rsidRPr="00C64221">
        <w:rPr>
          <w:rFonts w:eastAsia="Times New Roman" w:cs="Arial"/>
          <w:color w:val="000000"/>
        </w:rPr>
        <w:t>min</w:t>
      </w:r>
      <w:proofErr w:type="spellEnd"/>
      <w:r w:rsidRPr="00C64221">
        <w:rPr>
          <w:rFonts w:eastAsia="Times New Roman" w:cs="Arial"/>
          <w:color w:val="000000"/>
        </w:rPr>
        <w:t xml:space="preserve">) </w:t>
      </w:r>
      <w:r w:rsidRPr="00C64221">
        <w:rPr>
          <w:rFonts w:eastAsia="Times New Roman" w:cs="Arial"/>
          <w:color w:val="000000"/>
          <w:lang w:eastAsia="bg-BG"/>
        </w:rPr>
        <w:t xml:space="preserve">може да се изчисли от серумния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по следната формула:</w:t>
      </w:r>
    </w:p>
    <w:p w14:paraId="7BEEB0C2" w14:textId="2FBF4B36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4"/>
              <w:szCs w:val="24"/>
            </w:rPr>
            <w:lastRenderedPageBreak/>
            <m:t>При мъже=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u w:val="single"/>
                </w:rPr>
                <m:t>(140 - възраст [години]) х (телесно тегло [kg])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(72) h (0,011 х серумен креатинин [micromol/1])</m:t>
              </m:r>
            </m:den>
          </m:f>
        </m:oMath>
      </m:oMathPara>
    </w:p>
    <w:p w14:paraId="2DB1007B" w14:textId="77777777" w:rsidR="00E302E7" w:rsidRPr="00C64221" w:rsidRDefault="00E302E7" w:rsidP="00E302E7"/>
    <w:p w14:paraId="4DC6FB3B" w14:textId="7A6C4406" w:rsidR="00E302E7" w:rsidRPr="00C64221" w:rsidRDefault="00E302E7" w:rsidP="00E302E7">
      <w:r w:rsidRPr="00C64221">
        <w:t>При жени = 0,85 х стойността при мъжете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133"/>
        <w:gridCol w:w="3133"/>
      </w:tblGrid>
      <w:tr w:rsidR="00E302E7" w:rsidRPr="00C64221" w14:paraId="492415DD" w14:textId="77777777" w:rsidTr="00E302E7">
        <w:tc>
          <w:tcPr>
            <w:tcW w:w="3192" w:type="dxa"/>
          </w:tcPr>
          <w:p w14:paraId="346044DB" w14:textId="068E94E2" w:rsidR="00E302E7" w:rsidRPr="00C64221" w:rsidRDefault="00E302E7" w:rsidP="00E302E7">
            <w:proofErr w:type="spellStart"/>
            <w:r w:rsidRPr="00C64221">
              <w:rPr>
                <w:b/>
                <w:bCs/>
                <w:i/>
                <w:iCs/>
              </w:rPr>
              <w:t>CrCl</w:t>
            </w:r>
            <w:proofErr w:type="spellEnd"/>
            <w:r w:rsidRPr="00C64221">
              <w:rPr>
                <w:b/>
                <w:bCs/>
                <w:i/>
                <w:iCs/>
              </w:rPr>
              <w:t xml:space="preserve"> (ml/</w:t>
            </w:r>
            <w:proofErr w:type="spellStart"/>
            <w:r w:rsidRPr="00C64221">
              <w:rPr>
                <w:b/>
                <w:bCs/>
                <w:i/>
                <w:iCs/>
              </w:rPr>
              <w:t>min</w:t>
            </w:r>
            <w:proofErr w:type="spellEnd"/>
            <w:r w:rsidRPr="00C6422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192" w:type="dxa"/>
          </w:tcPr>
          <w:p w14:paraId="6C3E67CA" w14:textId="26F255BB" w:rsidR="00E302E7" w:rsidRPr="00C64221" w:rsidRDefault="00E302E7" w:rsidP="00E302E7">
            <w:r w:rsidRPr="00C64221">
              <w:rPr>
                <w:b/>
                <w:bCs/>
                <w:i/>
                <w:iCs/>
              </w:rPr>
              <w:t xml:space="preserve">Въвеждаща доза </w:t>
            </w:r>
            <w:proofErr w:type="spellStart"/>
            <w:r w:rsidRPr="00C64221">
              <w:rPr>
                <w:b/>
                <w:bCs/>
                <w:i/>
                <w:iCs/>
              </w:rPr>
              <w:t>валганцикловир</w:t>
            </w:r>
            <w:proofErr w:type="spellEnd"/>
          </w:p>
        </w:tc>
        <w:tc>
          <w:tcPr>
            <w:tcW w:w="3192" w:type="dxa"/>
          </w:tcPr>
          <w:p w14:paraId="31208F3E" w14:textId="39CFA02E" w:rsidR="00E302E7" w:rsidRPr="00C64221" w:rsidRDefault="00E302E7" w:rsidP="00E302E7">
            <w:r w:rsidRPr="00C64221">
              <w:rPr>
                <w:b/>
                <w:bCs/>
                <w:i/>
                <w:iCs/>
              </w:rPr>
              <w:t xml:space="preserve">Поддържаща доза/доза при профилактика </w:t>
            </w:r>
            <w:proofErr w:type="spellStart"/>
            <w:r w:rsidRPr="00C64221">
              <w:rPr>
                <w:b/>
                <w:bCs/>
                <w:i/>
                <w:iCs/>
              </w:rPr>
              <w:t>валганцикловир</w:t>
            </w:r>
            <w:proofErr w:type="spellEnd"/>
          </w:p>
        </w:tc>
      </w:tr>
      <w:tr w:rsidR="00E302E7" w:rsidRPr="00C64221" w14:paraId="29C0F93F" w14:textId="77777777" w:rsidTr="00E302E7">
        <w:tc>
          <w:tcPr>
            <w:tcW w:w="3192" w:type="dxa"/>
          </w:tcPr>
          <w:p w14:paraId="08679F0C" w14:textId="6D40D5DB" w:rsidR="00E302E7" w:rsidRPr="00C64221" w:rsidRDefault="00E302E7" w:rsidP="00E302E7">
            <w:r w:rsidRPr="00C64221">
              <w:t>≥60</w:t>
            </w:r>
          </w:p>
        </w:tc>
        <w:tc>
          <w:tcPr>
            <w:tcW w:w="3192" w:type="dxa"/>
          </w:tcPr>
          <w:p w14:paraId="0A4D4815" w14:textId="6B5927E5" w:rsidR="00E302E7" w:rsidRPr="00C64221" w:rsidRDefault="00E302E7" w:rsidP="00E302E7">
            <w:r w:rsidRPr="00C64221">
              <w:t xml:space="preserve">900 </w:t>
            </w:r>
            <w:proofErr w:type="spellStart"/>
            <w:r w:rsidRPr="00C64221">
              <w:t>mg</w:t>
            </w:r>
            <w:proofErr w:type="spellEnd"/>
            <w:r w:rsidRPr="00C64221">
              <w:t xml:space="preserve"> (2 таблетки) два пъти дневно</w:t>
            </w:r>
          </w:p>
        </w:tc>
        <w:tc>
          <w:tcPr>
            <w:tcW w:w="3192" w:type="dxa"/>
          </w:tcPr>
          <w:p w14:paraId="51D3145C" w14:textId="565C676A" w:rsidR="00E302E7" w:rsidRPr="00C64221" w:rsidRDefault="00E302E7" w:rsidP="00E302E7">
            <w:r w:rsidRPr="00C64221">
              <w:t xml:space="preserve">900 </w:t>
            </w:r>
            <w:proofErr w:type="spellStart"/>
            <w:r w:rsidRPr="00C64221">
              <w:t>mg</w:t>
            </w:r>
            <w:proofErr w:type="spellEnd"/>
            <w:r w:rsidRPr="00C64221">
              <w:t xml:space="preserve"> (2 таблетки) веднъж дневно</w:t>
            </w:r>
          </w:p>
        </w:tc>
      </w:tr>
      <w:tr w:rsidR="00E302E7" w:rsidRPr="00C64221" w14:paraId="5C89D9D3" w14:textId="77777777" w:rsidTr="00E302E7">
        <w:tc>
          <w:tcPr>
            <w:tcW w:w="3192" w:type="dxa"/>
          </w:tcPr>
          <w:p w14:paraId="6B26A7F9" w14:textId="31F824A7" w:rsidR="00E302E7" w:rsidRPr="00C64221" w:rsidRDefault="00E302E7" w:rsidP="00E302E7">
            <w:r w:rsidRPr="00C64221">
              <w:t>40-59</w:t>
            </w:r>
          </w:p>
        </w:tc>
        <w:tc>
          <w:tcPr>
            <w:tcW w:w="3192" w:type="dxa"/>
          </w:tcPr>
          <w:p w14:paraId="4506DD3D" w14:textId="17A2D7AA" w:rsidR="00E302E7" w:rsidRPr="00C64221" w:rsidRDefault="00E302E7" w:rsidP="00E302E7">
            <w:r w:rsidRPr="00C64221">
              <w:t xml:space="preserve">450 </w:t>
            </w:r>
            <w:proofErr w:type="spellStart"/>
            <w:r w:rsidRPr="00C64221">
              <w:t>mg</w:t>
            </w:r>
            <w:proofErr w:type="spellEnd"/>
            <w:r w:rsidRPr="00C64221">
              <w:t xml:space="preserve"> (1 таблетка) два пъти дневно</w:t>
            </w:r>
          </w:p>
        </w:tc>
        <w:tc>
          <w:tcPr>
            <w:tcW w:w="3192" w:type="dxa"/>
          </w:tcPr>
          <w:p w14:paraId="336248A6" w14:textId="5D3842B0" w:rsidR="00E302E7" w:rsidRPr="00C64221" w:rsidRDefault="00E302E7" w:rsidP="00E302E7">
            <w:r w:rsidRPr="00C64221">
              <w:t xml:space="preserve">450 </w:t>
            </w:r>
            <w:proofErr w:type="spellStart"/>
            <w:r w:rsidRPr="00C64221">
              <w:t>mg</w:t>
            </w:r>
            <w:proofErr w:type="spellEnd"/>
            <w:r w:rsidRPr="00C64221">
              <w:t xml:space="preserve"> (1 таблетка) веднъж дневно</w:t>
            </w:r>
          </w:p>
        </w:tc>
      </w:tr>
      <w:tr w:rsidR="00E302E7" w:rsidRPr="00C64221" w14:paraId="16457006" w14:textId="77777777" w:rsidTr="00E302E7">
        <w:tc>
          <w:tcPr>
            <w:tcW w:w="3192" w:type="dxa"/>
          </w:tcPr>
          <w:p w14:paraId="2F766578" w14:textId="5263410A" w:rsidR="00E302E7" w:rsidRPr="00C64221" w:rsidRDefault="00E302E7" w:rsidP="00E302E7">
            <w:r w:rsidRPr="00C64221">
              <w:t>25-39</w:t>
            </w:r>
          </w:p>
        </w:tc>
        <w:tc>
          <w:tcPr>
            <w:tcW w:w="3192" w:type="dxa"/>
          </w:tcPr>
          <w:p w14:paraId="6C1F830F" w14:textId="44C2F413" w:rsidR="00E302E7" w:rsidRPr="00C64221" w:rsidRDefault="00E302E7" w:rsidP="00E302E7">
            <w:r w:rsidRPr="00C64221">
              <w:t xml:space="preserve">450 </w:t>
            </w:r>
            <w:proofErr w:type="spellStart"/>
            <w:r w:rsidRPr="00C64221">
              <w:t>mg</w:t>
            </w:r>
            <w:proofErr w:type="spellEnd"/>
            <w:r w:rsidRPr="00C64221">
              <w:t xml:space="preserve"> (1 таблетка) веднъж дневно</w:t>
            </w:r>
          </w:p>
        </w:tc>
        <w:tc>
          <w:tcPr>
            <w:tcW w:w="3192" w:type="dxa"/>
          </w:tcPr>
          <w:p w14:paraId="0FF3C7D2" w14:textId="061A55C5" w:rsidR="00E302E7" w:rsidRPr="00C64221" w:rsidRDefault="00E302E7" w:rsidP="00E302E7">
            <w:r w:rsidRPr="00C64221">
              <w:t xml:space="preserve">450 </w:t>
            </w:r>
            <w:proofErr w:type="spellStart"/>
            <w:r w:rsidRPr="00C64221">
              <w:t>mg</w:t>
            </w:r>
            <w:proofErr w:type="spellEnd"/>
            <w:r w:rsidRPr="00C64221">
              <w:t xml:space="preserve"> (1 таблетка) през 2 дни</w:t>
            </w:r>
          </w:p>
        </w:tc>
      </w:tr>
      <w:tr w:rsidR="00E302E7" w:rsidRPr="00C64221" w14:paraId="07C774F9" w14:textId="77777777" w:rsidTr="00E302E7">
        <w:tc>
          <w:tcPr>
            <w:tcW w:w="3192" w:type="dxa"/>
          </w:tcPr>
          <w:p w14:paraId="00E75A85" w14:textId="3B592A61" w:rsidR="00E302E7" w:rsidRPr="00C64221" w:rsidRDefault="00E302E7" w:rsidP="00E302E7">
            <w:r w:rsidRPr="00C64221">
              <w:t>10-24</w:t>
            </w:r>
          </w:p>
        </w:tc>
        <w:tc>
          <w:tcPr>
            <w:tcW w:w="3192" w:type="dxa"/>
          </w:tcPr>
          <w:p w14:paraId="4688469B" w14:textId="66BB8D79" w:rsidR="00E302E7" w:rsidRPr="00C64221" w:rsidRDefault="00E302E7" w:rsidP="00E302E7">
            <w:r w:rsidRPr="00C64221">
              <w:t xml:space="preserve">450 </w:t>
            </w:r>
            <w:proofErr w:type="spellStart"/>
            <w:r w:rsidRPr="00C64221">
              <w:t>mg</w:t>
            </w:r>
            <w:proofErr w:type="spellEnd"/>
            <w:r w:rsidRPr="00C64221">
              <w:t xml:space="preserve"> (1 таблетка) през 2 дни</w:t>
            </w:r>
          </w:p>
        </w:tc>
        <w:tc>
          <w:tcPr>
            <w:tcW w:w="3192" w:type="dxa"/>
          </w:tcPr>
          <w:p w14:paraId="75097B2D" w14:textId="442F4AAD" w:rsidR="00E302E7" w:rsidRPr="00C64221" w:rsidRDefault="00E302E7" w:rsidP="00E302E7">
            <w:r w:rsidRPr="00C64221">
              <w:t xml:space="preserve">450 </w:t>
            </w:r>
            <w:proofErr w:type="spellStart"/>
            <w:r w:rsidRPr="00C64221">
              <w:t>mg</w:t>
            </w:r>
            <w:proofErr w:type="spellEnd"/>
            <w:r w:rsidRPr="00C64221">
              <w:t xml:space="preserve"> (1 таблетка) два пъти седмично</w:t>
            </w:r>
          </w:p>
        </w:tc>
      </w:tr>
      <w:tr w:rsidR="00E302E7" w:rsidRPr="00C64221" w14:paraId="7E2463BE" w14:textId="77777777" w:rsidTr="00E302E7">
        <w:tc>
          <w:tcPr>
            <w:tcW w:w="3192" w:type="dxa"/>
          </w:tcPr>
          <w:p w14:paraId="09DF1F3F" w14:textId="6550A204" w:rsidR="00E302E7" w:rsidRPr="00C64221" w:rsidRDefault="00E302E7" w:rsidP="00E302E7">
            <w:r w:rsidRPr="00C64221">
              <w:t>&lt;10</w:t>
            </w:r>
          </w:p>
        </w:tc>
        <w:tc>
          <w:tcPr>
            <w:tcW w:w="3192" w:type="dxa"/>
          </w:tcPr>
          <w:p w14:paraId="4FBE5C7F" w14:textId="6164651E" w:rsidR="00E302E7" w:rsidRPr="00C64221" w:rsidRDefault="00E302E7" w:rsidP="00E302E7">
            <w:r w:rsidRPr="00C64221">
              <w:t>Не се препоръчва</w:t>
            </w:r>
          </w:p>
        </w:tc>
        <w:tc>
          <w:tcPr>
            <w:tcW w:w="3192" w:type="dxa"/>
          </w:tcPr>
          <w:p w14:paraId="54EF5F35" w14:textId="63881ECA" w:rsidR="00E302E7" w:rsidRPr="00C64221" w:rsidRDefault="00E302E7" w:rsidP="00E302E7">
            <w:r w:rsidRPr="00C64221">
              <w:t>Не се препоръчва</w:t>
            </w:r>
          </w:p>
        </w:tc>
      </w:tr>
    </w:tbl>
    <w:p w14:paraId="267A961D" w14:textId="781224FD" w:rsidR="00E302E7" w:rsidRPr="00C64221" w:rsidRDefault="00E302E7" w:rsidP="00E302E7"/>
    <w:p w14:paraId="1EC6CA51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Пациенти, подложени на хемодиализа:</w:t>
      </w:r>
    </w:p>
    <w:p w14:paraId="4B4C41BE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>Не може да се дадат препоръки за дозиране при пациенти на хемодиализа (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креатинов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клирънс (СгС1) &lt;10 </w:t>
      </w:r>
      <w:r w:rsidRPr="00C64221">
        <w:rPr>
          <w:rFonts w:eastAsia="Times New Roman" w:cs="Arial"/>
          <w:color w:val="000000"/>
        </w:rPr>
        <w:t>ml/</w:t>
      </w:r>
      <w:proofErr w:type="spellStart"/>
      <w:r w:rsidRPr="00C64221">
        <w:rPr>
          <w:rFonts w:eastAsia="Times New Roman" w:cs="Arial"/>
          <w:color w:val="000000"/>
        </w:rPr>
        <w:t>min</w:t>
      </w:r>
      <w:proofErr w:type="spellEnd"/>
      <w:r w:rsidRPr="00C64221">
        <w:rPr>
          <w:rFonts w:eastAsia="Times New Roman" w:cs="Arial"/>
          <w:color w:val="000000"/>
        </w:rPr>
        <w:t xml:space="preserve">). </w:t>
      </w:r>
      <w:r w:rsidRPr="00C64221">
        <w:rPr>
          <w:rFonts w:eastAsia="Times New Roman" w:cs="Arial"/>
          <w:color w:val="000000"/>
          <w:lang w:eastAsia="bg-BG"/>
        </w:rPr>
        <w:t xml:space="preserve">Ето защо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не трябва да се използва при тези пациенти (вж. точки 4.4 и 5.2).</w:t>
      </w:r>
    </w:p>
    <w:p w14:paraId="4782F854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</w:p>
    <w:p w14:paraId="6B21F68B" w14:textId="2EE8BD2D" w:rsidR="00E302E7" w:rsidRPr="00C64221" w:rsidRDefault="00E302E7" w:rsidP="00E302E7">
      <w:pPr>
        <w:rPr>
          <w:rFonts w:eastAsia="Times New Roman" w:cs="Arial"/>
          <w:i/>
          <w:iCs/>
          <w:color w:val="000000"/>
          <w:lang w:eastAsia="bg-BG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Пациенти с чернодробно увреждане:</w:t>
      </w:r>
    </w:p>
    <w:p w14:paraId="31AE3A25" w14:textId="03F96C45" w:rsidR="00E302E7" w:rsidRPr="00C64221" w:rsidRDefault="00E302E7" w:rsidP="00E302E7">
      <w:pPr>
        <w:rPr>
          <w:rFonts w:eastAsia="Times New Roman" w:cs="Arial"/>
          <w:i/>
          <w:iCs/>
          <w:color w:val="000000"/>
          <w:lang w:eastAsia="bg-BG"/>
        </w:rPr>
      </w:pPr>
    </w:p>
    <w:p w14:paraId="09441727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Безопасността и ефикасността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таблетки не са установени при пациенти с чернодробно увреждане (вж. точка 5.2).</w:t>
      </w:r>
    </w:p>
    <w:p w14:paraId="40FFD886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438EA3E" w14:textId="1CAD576E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Педиатрична популация:</w:t>
      </w:r>
    </w:p>
    <w:p w14:paraId="667F1367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>Дозирането на педиатрични пациенти със СОТ е индивидуално въз основа на функцията на бъбреците на пациента, заедно с ръста и телесното му тегло.</w:t>
      </w:r>
    </w:p>
    <w:p w14:paraId="6C64F241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418502D" w14:textId="3222640C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Пациенти в старческа възраст:</w:t>
      </w:r>
    </w:p>
    <w:p w14:paraId="23C8AE8F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>Безопасността и ефикасността не са установени при тази популация пациенти.</w:t>
      </w:r>
    </w:p>
    <w:p w14:paraId="7FB9CD81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DD601D" w14:textId="77AE95E8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Пациенти с тежка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левкопения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 xml:space="preserve">, анемия,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тромбоцитопения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панцитопения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 xml:space="preserve">: </w:t>
      </w:r>
      <w:r w:rsidRPr="00C64221">
        <w:rPr>
          <w:rFonts w:eastAsia="Times New Roman" w:cs="Arial"/>
          <w:color w:val="000000"/>
          <w:lang w:eastAsia="bg-BG"/>
        </w:rPr>
        <w:t>Вижте точка 4.4. преди започване на лечението.</w:t>
      </w:r>
    </w:p>
    <w:p w14:paraId="28B8CA2B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BD3345" w14:textId="160DC12E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Ако има значително влошаване на кръвната картина по време на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трябва да се обмисли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хематопоетични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растежни фактори и/или прекъсване на приема (вж. точка 4.4).</w:t>
      </w:r>
    </w:p>
    <w:p w14:paraId="687310F2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464A5C6" w14:textId="54309FE6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>Начин на приложение</w:t>
      </w:r>
    </w:p>
    <w:p w14:paraId="64387040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>АЛВАНОЦИТ се прилага перорално, и когато е възможно, трябва да се приема с храна (вж. точка 5.2).</w:t>
      </w:r>
    </w:p>
    <w:p w14:paraId="2DF21A35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37207D" w14:textId="215DFE50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педиатрични пациенти, които не могат да преглъщат АЛВАНОЦИТ таблетки, може да се приложи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перорален разтвор.</w:t>
      </w:r>
    </w:p>
    <w:p w14:paraId="39B5E52F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1E64210" w14:textId="3BE4203F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lastRenderedPageBreak/>
        <w:t>Предпазни мерки, които трябва да се вземат преди работа с лекарствения продукт или при приложение на лекарствения продукт</w:t>
      </w:r>
    </w:p>
    <w:p w14:paraId="12BB49D8" w14:textId="1225FCD1" w:rsidR="00E302E7" w:rsidRPr="00C64221" w:rsidRDefault="00E302E7" w:rsidP="00E302E7">
      <w:pPr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 xml:space="preserve">Таблетките не трябва да се чупят или да се мачкат. Тъй като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счита за потенциален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тератоген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карциноген при човека, трябва да се внимава при работа със счупени таблетки (вж. точка 4.4). Трябва да се избягва директен контакт на кожата или лигавиците със счупени или натрошени таблетки. В случай на такъв контакт, мястото трябва да се измие обилно със сапун и вода, а очите да се изплакнат със стерилна вода или с обикновена вода, ако няма стерилна.</w:t>
      </w:r>
    </w:p>
    <w:p w14:paraId="56608F01" w14:textId="77777777" w:rsidR="00E302E7" w:rsidRPr="00C64221" w:rsidRDefault="00E302E7" w:rsidP="00E302E7">
      <w:pPr>
        <w:rPr>
          <w:rFonts w:cs="Arial"/>
        </w:rPr>
      </w:pPr>
    </w:p>
    <w:p w14:paraId="0F253247" w14:textId="71CDECC1" w:rsidR="007122AD" w:rsidRPr="00C64221" w:rsidRDefault="002C50EE" w:rsidP="00936AD0">
      <w:pPr>
        <w:pStyle w:val="Heading2"/>
      </w:pPr>
      <w:r w:rsidRPr="00C64221">
        <w:t>4.3. Противопоказания</w:t>
      </w:r>
    </w:p>
    <w:p w14:paraId="040092E4" w14:textId="250FE229" w:rsidR="00E302E7" w:rsidRPr="00C64221" w:rsidRDefault="00E302E7" w:rsidP="00E302E7"/>
    <w:p w14:paraId="2982111C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АЛВАНОЦИТ е противопоказан при пациенти със свръхчувствителност към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към някое от помощните вещества, изброени в точка 6.1.</w:t>
      </w:r>
    </w:p>
    <w:p w14:paraId="202CD29D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 xml:space="preserve">Поради сходство на химичната структура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(активното вещество на </w:t>
      </w:r>
    </w:p>
    <w:p w14:paraId="5AF3152E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D72214" w14:textId="37EB5A4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АЛВАНОЦИТ) с тази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ацикловир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валацикловир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е възможна реакция на кръстосана чувствителност между тези лекарства. Затова АЛВАНОЦИТ е противопоказан при пациенти със свръхчувствителност към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ацикловир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валацикловир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6447F769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436156" w14:textId="7298A03B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>АЛВАНОЦИТ е противопоказан по време на кърмене (вж. точка 4.6).</w:t>
      </w:r>
    </w:p>
    <w:p w14:paraId="6D64149C" w14:textId="77777777" w:rsidR="00E302E7" w:rsidRPr="00C64221" w:rsidRDefault="00E302E7" w:rsidP="00E302E7"/>
    <w:p w14:paraId="0E0BDCC7" w14:textId="5496A3E1" w:rsidR="007122AD" w:rsidRPr="00C64221" w:rsidRDefault="002C50EE" w:rsidP="00936AD0">
      <w:pPr>
        <w:pStyle w:val="Heading2"/>
      </w:pPr>
      <w:r w:rsidRPr="00C64221">
        <w:t>4.4. Специални предупреждения и предпазни мерки при употреба</w:t>
      </w:r>
    </w:p>
    <w:p w14:paraId="3219C26F" w14:textId="2144F20B" w:rsidR="00E302E7" w:rsidRPr="00C64221" w:rsidRDefault="00E302E7" w:rsidP="00E302E7"/>
    <w:p w14:paraId="7D8BC5E1" w14:textId="77777777" w:rsidR="00E302E7" w:rsidRPr="00C64221" w:rsidRDefault="00E302E7" w:rsidP="00E302E7">
      <w:pPr>
        <w:rPr>
          <w:rFonts w:eastAsia="Times New Roman" w:cs="Arial"/>
          <w:color w:val="000000"/>
          <w:lang w:eastAsia="bg-BG"/>
        </w:rPr>
      </w:pPr>
      <w:r w:rsidRPr="00C64221">
        <w:rPr>
          <w:rFonts w:cs="Arial"/>
        </w:rPr>
        <w:t xml:space="preserve">Преди започване на лечение с </w:t>
      </w:r>
      <w:proofErr w:type="spellStart"/>
      <w:r w:rsidRPr="00C64221">
        <w:rPr>
          <w:rFonts w:cs="Arial"/>
        </w:rPr>
        <w:t>валганцикловир</w:t>
      </w:r>
      <w:proofErr w:type="spellEnd"/>
      <w:r w:rsidRPr="00C64221">
        <w:rPr>
          <w:rFonts w:cs="Arial"/>
        </w:rPr>
        <w:t xml:space="preserve"> пациентите трябва да бъдат уведомени за потенциалните рискове за </w:t>
      </w:r>
      <w:proofErr w:type="spellStart"/>
      <w:r w:rsidRPr="00C64221">
        <w:rPr>
          <w:rFonts w:cs="Arial"/>
        </w:rPr>
        <w:t>фетуса</w:t>
      </w:r>
      <w:proofErr w:type="spellEnd"/>
      <w:r w:rsidRPr="00C64221">
        <w:rPr>
          <w:rFonts w:cs="Arial"/>
        </w:rPr>
        <w:t xml:space="preserve">. При изпитвания върху животни </w:t>
      </w:r>
      <w:proofErr w:type="spellStart"/>
      <w:r w:rsidRPr="00C64221">
        <w:rPr>
          <w:rFonts w:cs="Arial"/>
        </w:rPr>
        <w:t>ганцикловир</w:t>
      </w:r>
      <w:proofErr w:type="spellEnd"/>
      <w:r w:rsidRPr="00C64221">
        <w:rPr>
          <w:rFonts w:cs="Arial"/>
        </w:rPr>
        <w:t xml:space="preserve"> е показал мутагенен, тератогенен, </w:t>
      </w:r>
      <w:proofErr w:type="spellStart"/>
      <w:r w:rsidRPr="00C64221">
        <w:rPr>
          <w:rFonts w:cs="Arial"/>
        </w:rPr>
        <w:t>асперматогенен</w:t>
      </w:r>
      <w:proofErr w:type="spellEnd"/>
      <w:r w:rsidRPr="00C64221">
        <w:rPr>
          <w:rFonts w:cs="Arial"/>
        </w:rPr>
        <w:t xml:space="preserve"> и карциногенен ефект, както и че той потиска фертилността при жените. Затова </w:t>
      </w:r>
      <w:proofErr w:type="spellStart"/>
      <w:r w:rsidRPr="00C64221">
        <w:rPr>
          <w:rFonts w:cs="Arial"/>
        </w:rPr>
        <w:t>валганцикловир</w:t>
      </w:r>
      <w:proofErr w:type="spellEnd"/>
      <w:r w:rsidRPr="00C64221">
        <w:rPr>
          <w:rFonts w:cs="Arial"/>
        </w:rPr>
        <w:t xml:space="preserve"> трябва да се счита за потенциален </w:t>
      </w:r>
      <w:proofErr w:type="spellStart"/>
      <w:r w:rsidRPr="00C64221">
        <w:rPr>
          <w:rFonts w:cs="Arial"/>
        </w:rPr>
        <w:t>т</w:t>
      </w:r>
      <w:r w:rsidRPr="00C64221">
        <w:rPr>
          <w:rFonts w:cs="Arial"/>
          <w:u w:val="single"/>
        </w:rPr>
        <w:t>ератоге</w:t>
      </w:r>
      <w:r w:rsidRPr="00C64221">
        <w:rPr>
          <w:rFonts w:cs="Arial"/>
        </w:rPr>
        <w:t>н</w:t>
      </w:r>
      <w:proofErr w:type="spellEnd"/>
      <w:r w:rsidRPr="00C64221">
        <w:rPr>
          <w:rFonts w:cs="Arial"/>
        </w:rPr>
        <w:t xml:space="preserve"> и карциноген при хора с потенциал да предизвиква вродени малформации и карциноми (вж. точка 5.3). Счита се също, че е вероятно </w:t>
      </w:r>
      <w:proofErr w:type="spellStart"/>
      <w:r w:rsidRPr="00C64221">
        <w:rPr>
          <w:rFonts w:cs="Arial"/>
        </w:rPr>
        <w:t>валганцикловир</w:t>
      </w:r>
      <w:proofErr w:type="spellEnd"/>
      <w:r w:rsidRPr="00C64221">
        <w:rPr>
          <w:rFonts w:cs="Arial"/>
        </w:rPr>
        <w:t xml:space="preserve"> да предизвиква временно или тайно инхибиране на </w:t>
      </w:r>
      <w:proofErr w:type="spellStart"/>
      <w:r w:rsidRPr="00C64221">
        <w:rPr>
          <w:rFonts w:cs="Arial"/>
        </w:rPr>
        <w:t>сперматогенезата</w:t>
      </w:r>
      <w:proofErr w:type="spellEnd"/>
      <w:r w:rsidRPr="00C64221">
        <w:rPr>
          <w:rFonts w:cs="Arial"/>
        </w:rPr>
        <w:t xml:space="preserve">. Жените с детероден потенциал трябва да бъдат предупредени да използват ефективна контрацепция по време на лечението. Мъжете трябва да бъдат предупредени да прилагат бариерен метод на контрацепция по време на лечението и в </w:t>
      </w:r>
      <w:r w:rsidRPr="00C64221">
        <w:rPr>
          <w:rFonts w:eastAsia="Times New Roman" w:cs="Arial"/>
          <w:color w:val="000000"/>
          <w:lang w:eastAsia="bg-BG"/>
        </w:rPr>
        <w:t xml:space="preserve">продължение на минимум 90 дни след това, освен </w:t>
      </w:r>
    </w:p>
    <w:p w14:paraId="4DDBE371" w14:textId="0A47BF8A" w:rsidR="00E302E7" w:rsidRPr="00C64221" w:rsidRDefault="00E302E7" w:rsidP="00E302E7">
      <w:pPr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>ако не са сигурни, че няма риск партньорката им да забременее (вж. точки 4.6, 4.8 и 5.3).</w:t>
      </w:r>
    </w:p>
    <w:p w14:paraId="27CA1F94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B137E1" w14:textId="76334424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има потенциал да предизвиква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карциногенност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репродуктивна токсичност като късни ефекти.</w:t>
      </w:r>
    </w:p>
    <w:p w14:paraId="3C022D18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B95BBA" w14:textId="102A260B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пациенти лекувани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) се наблюдават случаи на тежка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анемия,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панцитопения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костномозъчна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депресия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апластична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анемия. Лечението не трябва да се започва, ако абсолютният брой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неутрофилите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под 500 клетки</w:t>
      </w:r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pl</w:t>
      </w:r>
      <w:proofErr w:type="spellEnd"/>
      <w:r w:rsidRPr="00C64221">
        <w:rPr>
          <w:rFonts w:eastAsia="Times New Roman" w:cs="Arial"/>
          <w:color w:val="000000"/>
        </w:rPr>
        <w:t xml:space="preserve">, </w:t>
      </w:r>
      <w:r w:rsidRPr="00C64221">
        <w:rPr>
          <w:rFonts w:eastAsia="Times New Roman" w:cs="Arial"/>
          <w:color w:val="000000"/>
          <w:lang w:eastAsia="bg-BG"/>
        </w:rPr>
        <w:t xml:space="preserve">броят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тромбоцитите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под 25000/</w:t>
      </w:r>
      <w:proofErr w:type="spellStart"/>
      <w:r w:rsidRPr="00C64221">
        <w:rPr>
          <w:rFonts w:eastAsia="Times New Roman" w:cs="Arial"/>
          <w:color w:val="000000"/>
          <w:lang w:eastAsia="bg-BG"/>
        </w:rPr>
        <w:t>μ</w:t>
      </w:r>
      <w:r w:rsidRPr="00C64221">
        <w:rPr>
          <w:rFonts w:eastAsia="Times New Roman" w:cs="Arial"/>
          <w:color w:val="000000"/>
        </w:rPr>
        <w:t>l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нивото на хемоглобина е под 8 </w:t>
      </w:r>
      <w:r w:rsidRPr="00C64221">
        <w:rPr>
          <w:rFonts w:eastAsia="Times New Roman" w:cs="Arial"/>
          <w:color w:val="000000"/>
        </w:rPr>
        <w:t xml:space="preserve">g/dl </w:t>
      </w:r>
      <w:r w:rsidRPr="00C64221">
        <w:rPr>
          <w:rFonts w:eastAsia="Times New Roman" w:cs="Arial"/>
          <w:color w:val="000000"/>
          <w:lang w:eastAsia="bg-BG"/>
        </w:rPr>
        <w:t>(вж. точки 4.2 и 4.8).</w:t>
      </w:r>
    </w:p>
    <w:p w14:paraId="2991E5AE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00AFC2" w14:textId="3A88B4EE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Когато профилактиката се удължава над 100 дни, трябва да се вземе предвид възможният риск от развитие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(вж. точки 4.2,4.8 и 5.1).</w:t>
      </w:r>
    </w:p>
    <w:p w14:paraId="70B75028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63805E" w14:textId="5D25082B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АЛВАНОЦИТ трябва да се използва внимателно при пациенти с предшестваща хематологична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цитопения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анамнеза за лекарствено-свързана хематологична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цитопения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при пациенти, подложени на лъчетерапия.</w:t>
      </w:r>
    </w:p>
    <w:p w14:paraId="450C7EB9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40564A" w14:textId="438AF602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Препоръчва се по време на лечението да се проследяват пълната кръвна картина и броят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тромбоцитите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Може да се наложи засилено мониториране на хематологичните показатели при пациенти с бъбречно увреждане и в педиатрията, най-малко всеки път, когато пациент посети клиниката по трансплантация. При пациенти, развиващи тежка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анемия и/или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се препоръчва да се обмисли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хематопоетични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растежни фактори и/или прекъсване на приложението (вж. точка 4.2).</w:t>
      </w:r>
    </w:p>
    <w:p w14:paraId="6E426C3F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3B1AF1" w14:textId="0B664A70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Бионаличностга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след еднократна доза от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около 60% в сравнение с около 6% след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перорапно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приложение на 1000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(във вид на капсули). Прекомерната експозиция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може да бъде свързана с животозастрашаващи нежелани реакции. Затова се препоръчва стриктно спазване на препоръчваните дози при започване на лечение, когато се преминава от въвеждаща към поддържаща терапия и при пациенти, преминаващи от перорален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към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тъй като АЛВАНОЦИТ не може да замести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капсули едно към едно. Пациентите, преминаващи от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капсули, трябва да бъдат предупредени за риска от предозиране, ако приемат повече от предписания брой АЛВАНОЦИТ таблетки (вж. точки 4.2 и 4.9).</w:t>
      </w:r>
    </w:p>
    <w:p w14:paraId="76814171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856306" w14:textId="053FAA9F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пациенти с увредена бъбречна функция се налага коригиране на дозата въз основа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клирънс (вж. точки 4.2 и 5.2).</w:t>
      </w:r>
    </w:p>
    <w:p w14:paraId="5D51124A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349DFF" w14:textId="57B88848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>АЛВАНОЦИТ не трябва да се използва при пациенти на хемодиализа (вж. точки 4.2 и 5.2).</w:t>
      </w:r>
    </w:p>
    <w:p w14:paraId="0DADF9E8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9DF7AF" w14:textId="0A377C73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Съобщава се за гърчове при пациенти, приемащи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имипенем-циластатин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не трябва да се използва едновременно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имипенем-циластатин</w:t>
      </w:r>
      <w:proofErr w:type="spellEnd"/>
      <w:r w:rsidRPr="00C64221">
        <w:rPr>
          <w:rFonts w:eastAsia="Times New Roman" w:cs="Arial"/>
          <w:color w:val="000000"/>
          <w:lang w:eastAsia="bg-BG"/>
        </w:rPr>
        <w:t>, освен ако потенциалните ползи не надхвърлят евентуалните рискове (вж. точка 4.5).</w:t>
      </w:r>
    </w:p>
    <w:p w14:paraId="7F795DE0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33C951" w14:textId="6659009C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Пациенти, лекувани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(а)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диданозин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(б) лекарства, за които се знае, че притежават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миелосупресивно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действие (напр.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зидовудин</w:t>
      </w:r>
      <w:proofErr w:type="spellEnd"/>
      <w:r w:rsidRPr="00C64221">
        <w:rPr>
          <w:rFonts w:eastAsia="Times New Roman" w:cs="Arial"/>
          <w:color w:val="000000"/>
          <w:lang w:eastAsia="bg-BG"/>
        </w:rPr>
        <w:t>), или (в) вещества, повлияващи бъбречната функция, трябва стриктно да се проследяват за признаци на адитивна токсичност (вж. точка 4.5).</w:t>
      </w:r>
    </w:p>
    <w:p w14:paraId="74C67145" w14:textId="77777777" w:rsidR="00E302E7" w:rsidRPr="00C64221" w:rsidRDefault="00E302E7" w:rsidP="00E302E7">
      <w:pPr>
        <w:rPr>
          <w:rFonts w:eastAsia="Times New Roman" w:cs="Arial"/>
          <w:color w:val="000000"/>
          <w:lang w:eastAsia="bg-BG"/>
        </w:rPr>
      </w:pPr>
    </w:p>
    <w:p w14:paraId="6D06620A" w14:textId="1782AB04" w:rsidR="00E302E7" w:rsidRPr="00C64221" w:rsidRDefault="00E302E7" w:rsidP="00E302E7">
      <w:pPr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 xml:space="preserve">Контролираните клинични изпитвания с приложение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като профилактично лечение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>заболяване при трансплантация, както подробно е описано в точка 5.1, не са включвали пациенти с трансплантация на бял дроб и черва. Затова опитът с пациентът с такъв вид трансплантация е ограничен.</w:t>
      </w:r>
    </w:p>
    <w:p w14:paraId="0AE764F7" w14:textId="77777777" w:rsidR="00E302E7" w:rsidRPr="00C64221" w:rsidRDefault="00E302E7" w:rsidP="00E302E7">
      <w:pPr>
        <w:rPr>
          <w:rFonts w:cs="Arial"/>
        </w:rPr>
      </w:pPr>
    </w:p>
    <w:p w14:paraId="0734264C" w14:textId="62575221" w:rsidR="007122AD" w:rsidRPr="00C64221" w:rsidRDefault="002C50EE" w:rsidP="00936AD0">
      <w:pPr>
        <w:pStyle w:val="Heading2"/>
      </w:pPr>
      <w:r w:rsidRPr="00C64221">
        <w:t>4.5. Взаимодействие с други лекарствени продукти и други форми на</w:t>
      </w:r>
      <w:r w:rsidR="004F1CE7" w:rsidRPr="00C64221">
        <w:t xml:space="preserve"> взаимодействие</w:t>
      </w:r>
      <w:r w:rsidRPr="00C64221">
        <w:t xml:space="preserve"> </w:t>
      </w:r>
    </w:p>
    <w:p w14:paraId="4AF6B42C" w14:textId="756AE34F" w:rsidR="00E302E7" w:rsidRPr="00C64221" w:rsidRDefault="00E302E7" w:rsidP="00E302E7"/>
    <w:p w14:paraId="211E5006" w14:textId="77777777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 xml:space="preserve">Лекарствени взаимодействия с </w:t>
      </w:r>
      <w:proofErr w:type="spellStart"/>
      <w:r w:rsidRPr="00C64221">
        <w:rPr>
          <w:rFonts w:eastAsia="Times New Roman" w:cs="Arial"/>
          <w:color w:val="000000"/>
          <w:u w:val="single"/>
          <w:lang w:eastAsia="bg-BG"/>
        </w:rPr>
        <w:t>валганцикловир</w:t>
      </w:r>
      <w:proofErr w:type="spellEnd"/>
    </w:p>
    <w:p w14:paraId="22F0B75F" w14:textId="77777777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lang w:eastAsia="bg-BG"/>
        </w:rPr>
        <w:t xml:space="preserve">Не са провеждани </w:t>
      </w:r>
      <w:proofErr w:type="spellStart"/>
      <w:r w:rsidRPr="00C64221">
        <w:rPr>
          <w:rFonts w:eastAsia="Times New Roman" w:cs="Arial"/>
          <w:i/>
          <w:iCs/>
          <w:color w:val="000000"/>
        </w:rPr>
        <w:t>in</w:t>
      </w:r>
      <w:proofErr w:type="spellEnd"/>
      <w:r w:rsidRPr="00C6422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C64221">
        <w:rPr>
          <w:rFonts w:eastAsia="Times New Roman" w:cs="Arial"/>
          <w:i/>
          <w:iCs/>
          <w:color w:val="000000"/>
        </w:rPr>
        <w:t>vivo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изпитвания за лекарствени взаимодействия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Тъй като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бързо и в голяма степен до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при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очакват лекарствени взаимодействия, свързани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40B5B98B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7B76C0A" w14:textId="3D354C1D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 xml:space="preserve">Лекарствени взаимодействия с </w:t>
      </w:r>
      <w:proofErr w:type="spellStart"/>
      <w:r w:rsidRPr="00C64221">
        <w:rPr>
          <w:rFonts w:eastAsia="Times New Roman" w:cs="Arial"/>
          <w:color w:val="000000"/>
          <w:u w:val="single"/>
          <w:lang w:eastAsia="bg-BG"/>
        </w:rPr>
        <w:t>ганцикловир</w:t>
      </w:r>
      <w:proofErr w:type="spellEnd"/>
    </w:p>
    <w:p w14:paraId="771978A4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2B87BC6" w14:textId="169BEE81" w:rsidR="00E302E7" w:rsidRPr="00C64221" w:rsidRDefault="00E302E7" w:rsidP="00E302E7">
      <w:pPr>
        <w:spacing w:line="240" w:lineRule="auto"/>
        <w:rPr>
          <w:rFonts w:eastAsia="Times New Roman" w:cs="Arial"/>
        </w:rPr>
      </w:pP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Имипенем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 xml:space="preserve">-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циластатин</w:t>
      </w:r>
      <w:proofErr w:type="spellEnd"/>
    </w:p>
    <w:p w14:paraId="1A7120FE" w14:textId="77777777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lang w:eastAsia="bg-BG"/>
        </w:rPr>
        <w:t xml:space="preserve">Съобщава се за гърчове при пациенти, приемащи едновременно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имипенем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циластатин</w:t>
      </w:r>
      <w:proofErr w:type="spellEnd"/>
      <w:r w:rsidRPr="00C64221">
        <w:rPr>
          <w:rFonts w:eastAsia="Times New Roman" w:cs="Arial"/>
          <w:color w:val="000000"/>
          <w:lang w:eastAsia="bg-BG"/>
        </w:rPr>
        <w:t>. Тези лекарства не трябва да се използват едновременно, освен ако потенциалните ползи не надхвърлят евентуалните рискове (вж. точка 4.4).</w:t>
      </w:r>
    </w:p>
    <w:p w14:paraId="64208AA4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10B5D62" w14:textId="27362B1C" w:rsidR="00E302E7" w:rsidRPr="00C64221" w:rsidRDefault="00E302E7" w:rsidP="00E302E7">
      <w:pPr>
        <w:spacing w:line="240" w:lineRule="auto"/>
        <w:rPr>
          <w:rFonts w:eastAsia="Times New Roman" w:cs="Arial"/>
        </w:rPr>
      </w:pP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Пробенецид</w:t>
      </w:r>
      <w:proofErr w:type="spellEnd"/>
    </w:p>
    <w:p w14:paraId="2C0A396B" w14:textId="77777777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Приложението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пробенецид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перорален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предизвиква статистически значимо намаление на бъбречния клирънс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(20%), което води до статистически значимо увеличение на експозицията (40%). Тези промени съответстват на механизма на взаимодействие, който включва конкуриране за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тубулната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екскреция в бъбреците. Затова пациенти, които вземат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пробенецид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АЛВАНОЦИТ, трябва внимателно да бъдат проследявани за токсичност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21265877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F4975EC" w14:textId="4F739BA1" w:rsidR="00E302E7" w:rsidRPr="00C64221" w:rsidRDefault="00E302E7" w:rsidP="00E302E7">
      <w:pPr>
        <w:spacing w:line="240" w:lineRule="auto"/>
        <w:rPr>
          <w:rFonts w:eastAsia="Times New Roman" w:cs="Arial"/>
        </w:rPr>
      </w:pP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Триметоприм</w:t>
      </w:r>
      <w:proofErr w:type="spellEnd"/>
    </w:p>
    <w:p w14:paraId="603D989D" w14:textId="77777777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lang w:eastAsia="bg-BG"/>
        </w:rPr>
        <w:t xml:space="preserve">Не са наблюдавани клинично значими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взаимодействия при едновременно приложение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перорален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Съществува обаче вероятност за засилена токсичност, тъй като и двете лекарства са известни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миелосупресивния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си ефект и затова и двете лекарства трябва да се прилагат едновременно, само ако потенциалните ползи надхвърлят рисковете.</w:t>
      </w:r>
    </w:p>
    <w:p w14:paraId="7E42B1BD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614B83C" w14:textId="571C9310" w:rsidR="00E302E7" w:rsidRPr="00C64221" w:rsidRDefault="00E302E7" w:rsidP="00E302E7">
      <w:pPr>
        <w:spacing w:line="240" w:lineRule="auto"/>
        <w:rPr>
          <w:rFonts w:eastAsia="Times New Roman" w:cs="Arial"/>
        </w:rPr>
      </w:pP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Микофенолат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мофетил</w:t>
      </w:r>
      <w:proofErr w:type="spellEnd"/>
    </w:p>
    <w:p w14:paraId="53EC94E3" w14:textId="77777777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lang w:eastAsia="bg-BG"/>
        </w:rPr>
        <w:t xml:space="preserve">Тъй като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микофенолат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мофетил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 xml:space="preserve">(MMF)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могат потенциално да предизвикат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>, пациентите трябва да се наблюдават за адитивна токсичност.</w:t>
      </w:r>
    </w:p>
    <w:p w14:paraId="0780E8F7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618A00F" w14:textId="5FA99333" w:rsidR="00E302E7" w:rsidRPr="00C64221" w:rsidRDefault="00E302E7" w:rsidP="00E302E7">
      <w:pPr>
        <w:spacing w:line="240" w:lineRule="auto"/>
        <w:rPr>
          <w:rFonts w:eastAsia="Times New Roman" w:cs="Arial"/>
        </w:rPr>
      </w:pP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Ставудин</w:t>
      </w:r>
      <w:proofErr w:type="spellEnd"/>
    </w:p>
    <w:p w14:paraId="69C11FE3" w14:textId="77777777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lang w:eastAsia="bg-BG"/>
        </w:rPr>
        <w:t xml:space="preserve">Не са наблюдавани клинично значими взаимодействия при едновременно прилагане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ставудин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перорален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07B4E46F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0F12966" w14:textId="7776129C" w:rsidR="00E302E7" w:rsidRPr="00C64221" w:rsidRDefault="00E302E7" w:rsidP="00E302E7">
      <w:pPr>
        <w:spacing w:line="240" w:lineRule="auto"/>
        <w:rPr>
          <w:rFonts w:eastAsia="Times New Roman" w:cs="Arial"/>
        </w:rPr>
      </w:pP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Зидовудин</w:t>
      </w:r>
      <w:proofErr w:type="spellEnd"/>
    </w:p>
    <w:p w14:paraId="2ECDF10B" w14:textId="77777777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lang w:eastAsia="bg-BG"/>
        </w:rPr>
        <w:t xml:space="preserve">Когато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зидовудин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прилага заедно с перорален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се наблюдава леко (17%), но статистически значимо увеличение на </w:t>
      </w:r>
      <w:r w:rsidRPr="00C64221">
        <w:rPr>
          <w:rFonts w:eastAsia="Times New Roman" w:cs="Arial"/>
          <w:color w:val="000000"/>
        </w:rPr>
        <w:t xml:space="preserve">AUC </w:t>
      </w:r>
      <w:r w:rsidRPr="00C64221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зидовудин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При едновременно приложение със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зидовудин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съществува и тенденция за понижаване на концентрацията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въпреки че това не е статистически значимо. Тъй като обаче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зидовудин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както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могат потенциално да предизвикат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анемия, някои пациенти може да не понесат едновременно лечение с пълни дози (вж. точка 4.4).</w:t>
      </w:r>
    </w:p>
    <w:p w14:paraId="05C3A407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DA4F54F" w14:textId="41AC303E" w:rsidR="00E302E7" w:rsidRPr="00C64221" w:rsidRDefault="00E302E7" w:rsidP="00E302E7">
      <w:pPr>
        <w:spacing w:line="240" w:lineRule="auto"/>
        <w:rPr>
          <w:rFonts w:eastAsia="Times New Roman" w:cs="Arial"/>
        </w:rPr>
      </w:pP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Диданозин</w:t>
      </w:r>
      <w:proofErr w:type="spellEnd"/>
    </w:p>
    <w:p w14:paraId="2C63A806" w14:textId="77777777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lang w:eastAsia="bg-BG"/>
        </w:rPr>
        <w:t xml:space="preserve">Наблюдава се подчертано повишаване на плазмените концентрации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диданозин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при едновременна употреба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(интравенозно и перорално приложение). При перорално приложение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дози от 3 и 6 </w:t>
      </w:r>
      <w:r w:rsidRPr="00C64221">
        <w:rPr>
          <w:rFonts w:eastAsia="Times New Roman" w:cs="Arial"/>
          <w:color w:val="000000"/>
        </w:rPr>
        <w:t xml:space="preserve">g </w:t>
      </w:r>
      <w:r w:rsidRPr="00C64221">
        <w:rPr>
          <w:rFonts w:eastAsia="Times New Roman" w:cs="Arial"/>
          <w:color w:val="000000"/>
          <w:lang w:eastAsia="bg-BG"/>
        </w:rPr>
        <w:t xml:space="preserve">дневно се наблюдава увеличение на </w:t>
      </w:r>
      <w:r w:rsidRPr="00C64221">
        <w:rPr>
          <w:rFonts w:eastAsia="Times New Roman" w:cs="Arial"/>
          <w:color w:val="000000"/>
        </w:rPr>
        <w:t xml:space="preserve">AUC </w:t>
      </w:r>
      <w:r w:rsidRPr="00C64221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диданозин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от 84 до 124%, а при интравенозни дози от 5 и 10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се наблюдава увеличение на </w:t>
      </w:r>
      <w:r w:rsidRPr="00C64221">
        <w:rPr>
          <w:rFonts w:eastAsia="Times New Roman" w:cs="Arial"/>
          <w:color w:val="000000"/>
        </w:rPr>
        <w:t xml:space="preserve">AUC </w:t>
      </w:r>
      <w:r w:rsidRPr="00C64221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диданозин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от 38 до 67%. Не се наблюдават клинично значими ефекти върху концентрациите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Пациентите трябва внимателно да бъдат проследявани за токсичност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диданозин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(вж. точка 4.4).</w:t>
      </w:r>
    </w:p>
    <w:p w14:paraId="4ACC260B" w14:textId="77777777" w:rsidR="00E302E7" w:rsidRPr="00C64221" w:rsidRDefault="00E302E7" w:rsidP="00E302E7">
      <w:pPr>
        <w:rPr>
          <w:rFonts w:eastAsia="Times New Roman" w:cs="Arial"/>
          <w:i/>
          <w:iCs/>
          <w:color w:val="000000"/>
          <w:lang w:eastAsia="bg-BG"/>
        </w:rPr>
      </w:pPr>
    </w:p>
    <w:p w14:paraId="3F2D9BF4" w14:textId="77777777" w:rsidR="00E302E7" w:rsidRPr="00C64221" w:rsidRDefault="00E302E7" w:rsidP="00E302E7">
      <w:pPr>
        <w:rPr>
          <w:rFonts w:eastAsia="Times New Roman" w:cs="Arial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Други антиретровирусни средства (включително лечение на </w:t>
      </w:r>
      <w:r w:rsidRPr="00C64221">
        <w:rPr>
          <w:rFonts w:eastAsia="Times New Roman" w:cs="Arial"/>
          <w:i/>
          <w:iCs/>
          <w:color w:val="000000"/>
        </w:rPr>
        <w:t xml:space="preserve">HIV, HBV/HCV) </w:t>
      </w:r>
      <w:r w:rsidRPr="00C64221">
        <w:rPr>
          <w:rFonts w:eastAsia="Times New Roman" w:cs="Arial"/>
          <w:color w:val="000000"/>
          <w:lang w:eastAsia="bg-BG"/>
        </w:rPr>
        <w:t xml:space="preserve">При клинично значими плазмени концентрации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други противовирусни средства за инхибиране на човешки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имунодефицитен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вирус </w:t>
      </w:r>
      <w:r w:rsidRPr="00C64221">
        <w:rPr>
          <w:rFonts w:eastAsia="Times New Roman" w:cs="Arial"/>
          <w:color w:val="000000"/>
        </w:rPr>
        <w:t xml:space="preserve">(HIV) </w:t>
      </w:r>
      <w:r w:rsidRPr="00C64221">
        <w:rPr>
          <w:rFonts w:eastAsia="Times New Roman" w:cs="Arial"/>
          <w:color w:val="000000"/>
          <w:lang w:eastAsia="bg-BG"/>
        </w:rPr>
        <w:t>или хепатит</w:t>
      </w:r>
      <w:r w:rsidRPr="00C64221">
        <w:rPr>
          <w:rFonts w:eastAsia="Times New Roman" w:cs="Arial"/>
          <w:color w:val="000000"/>
        </w:rPr>
        <w:t xml:space="preserve"> B </w:t>
      </w:r>
      <w:r w:rsidRPr="00C64221">
        <w:rPr>
          <w:rFonts w:eastAsia="Times New Roman" w:cs="Arial"/>
          <w:color w:val="000000"/>
        </w:rPr>
        <w:lastRenderedPageBreak/>
        <w:t>(HBV)/</w:t>
      </w:r>
      <w:r w:rsidRPr="00C64221">
        <w:rPr>
          <w:rFonts w:eastAsia="Times New Roman" w:cs="Arial"/>
          <w:color w:val="000000"/>
          <w:lang w:eastAsia="bg-BG"/>
        </w:rPr>
        <w:t xml:space="preserve">хепатит) </w:t>
      </w:r>
      <w:r w:rsidRPr="00C64221">
        <w:rPr>
          <w:rFonts w:eastAsia="Times New Roman" w:cs="Arial"/>
          <w:color w:val="000000"/>
        </w:rPr>
        <w:t xml:space="preserve">C (HCV), </w:t>
      </w:r>
      <w:r w:rsidRPr="00C64221">
        <w:rPr>
          <w:rFonts w:eastAsia="Times New Roman" w:cs="Arial"/>
          <w:color w:val="000000"/>
          <w:lang w:eastAsia="bg-BG"/>
        </w:rPr>
        <w:t xml:space="preserve">малко вероятно е да се наблюдава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синергичен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антагонистичен ефект върху активността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другите противовирусни средства.</w:t>
      </w:r>
    </w:p>
    <w:p w14:paraId="10AE5FD4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C4A7A5" w14:textId="047ED497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lang w:eastAsia="bg-BG"/>
        </w:rPr>
        <w:t xml:space="preserve">Потенциалът за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метабилитни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взаимодействия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нисък поради липса на участие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цитохром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Р450 в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метабилизма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им. Освен това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не е субстрат на Р-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гликопротеина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не повлиява </w:t>
      </w:r>
      <w:r w:rsidRPr="00C64221">
        <w:rPr>
          <w:rFonts w:eastAsia="Times New Roman" w:cs="Arial"/>
          <w:color w:val="000000"/>
        </w:rPr>
        <w:t>UDP</w:t>
      </w:r>
      <w:r w:rsidRPr="00C64221">
        <w:rPr>
          <w:rFonts w:eastAsia="Times New Roman" w:cs="Arial"/>
          <w:color w:val="000000"/>
          <w:lang w:eastAsia="bg-BG"/>
        </w:rPr>
        <w:t>-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глюкуронозилтрансферазата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>(UGT</w:t>
      </w:r>
      <w:r w:rsidRPr="00C64221">
        <w:rPr>
          <w:rFonts w:eastAsia="Times New Roman" w:cs="Arial"/>
          <w:color w:val="000000"/>
          <w:lang w:eastAsia="bg-BG"/>
        </w:rPr>
        <w:t xml:space="preserve">-ензим). Затова се счита, че метаболитните взаимодействия и взаимодействията при лекарствения транспорт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със следните класове противовирусни средства са малко вероятни:</w:t>
      </w:r>
    </w:p>
    <w:p w14:paraId="3E649FEE" w14:textId="77777777" w:rsidR="00E302E7" w:rsidRPr="00C64221" w:rsidRDefault="00E302E7" w:rsidP="00E302E7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Ненуклеозидни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инхибитори на обратната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транскриптаза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 xml:space="preserve">(NNRTI), </w:t>
      </w:r>
      <w:r w:rsidRPr="00C64221">
        <w:rPr>
          <w:rFonts w:eastAsia="Times New Roman" w:cs="Arial"/>
          <w:color w:val="000000"/>
          <w:lang w:eastAsia="bg-BG"/>
        </w:rPr>
        <w:t xml:space="preserve">напр.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рилпивирин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етравирин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ефавиренц</w:t>
      </w:r>
      <w:proofErr w:type="spellEnd"/>
      <w:r w:rsidRPr="00C64221">
        <w:rPr>
          <w:rFonts w:eastAsia="Times New Roman" w:cs="Arial"/>
          <w:color w:val="000000"/>
          <w:lang w:eastAsia="bg-BG"/>
        </w:rPr>
        <w:t>;</w:t>
      </w:r>
    </w:p>
    <w:p w14:paraId="6D811649" w14:textId="77777777" w:rsidR="00E302E7" w:rsidRPr="00C64221" w:rsidRDefault="00E302E7" w:rsidP="00E302E7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инхибитори </w:t>
      </w:r>
      <w:r w:rsidRPr="00C64221">
        <w:rPr>
          <w:rFonts w:eastAsia="Times New Roman" w:cs="Arial"/>
          <w:color w:val="000000"/>
        </w:rPr>
        <w:t xml:space="preserve">(PI), </w:t>
      </w:r>
      <w:r w:rsidRPr="00C64221">
        <w:rPr>
          <w:rFonts w:eastAsia="Times New Roman" w:cs="Arial"/>
          <w:color w:val="000000"/>
          <w:lang w:eastAsia="bg-BG"/>
        </w:rPr>
        <w:t xml:space="preserve">напр.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дарунавир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боцепревир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телапревир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;</w:t>
      </w:r>
    </w:p>
    <w:p w14:paraId="55D44836" w14:textId="77777777" w:rsidR="00E302E7" w:rsidRPr="00C64221" w:rsidRDefault="00E302E7" w:rsidP="00E302E7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 xml:space="preserve">Инхибитори на навлизането (инхибитор на сливането и </w:t>
      </w:r>
      <w:r w:rsidRPr="00C64221">
        <w:rPr>
          <w:rFonts w:eastAsia="Times New Roman" w:cs="Arial"/>
          <w:color w:val="000000"/>
        </w:rPr>
        <w:t xml:space="preserve">CCR5 </w:t>
      </w:r>
      <w:r w:rsidRPr="00C64221">
        <w:rPr>
          <w:rFonts w:eastAsia="Times New Roman" w:cs="Arial"/>
          <w:color w:val="000000"/>
          <w:lang w:eastAsia="bg-BG"/>
        </w:rPr>
        <w:t xml:space="preserve">ко-рецепторни антагонисти), напр.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енфувиртид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маравирок</w:t>
      </w:r>
      <w:proofErr w:type="spellEnd"/>
      <w:r w:rsidRPr="00C64221">
        <w:rPr>
          <w:rFonts w:eastAsia="Times New Roman" w:cs="Arial"/>
          <w:color w:val="000000"/>
          <w:lang w:eastAsia="bg-BG"/>
        </w:rPr>
        <w:t>;</w:t>
      </w:r>
    </w:p>
    <w:p w14:paraId="75E7FF4B" w14:textId="14C1472D" w:rsidR="00E302E7" w:rsidRPr="00C64221" w:rsidRDefault="00E302E7" w:rsidP="00E302E7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bCs/>
          <w:color w:val="000000"/>
          <w:lang w:eastAsia="bg-BG"/>
        </w:rPr>
        <w:t xml:space="preserve">Инхибитор на прехвърлянето на нишки чрез </w:t>
      </w:r>
      <w:r w:rsidRPr="00C64221">
        <w:rPr>
          <w:rFonts w:eastAsia="Times New Roman" w:cs="Arial"/>
          <w:bCs/>
          <w:color w:val="000000"/>
        </w:rPr>
        <w:t xml:space="preserve">HIV </w:t>
      </w:r>
      <w:proofErr w:type="spellStart"/>
      <w:r w:rsidRPr="00C64221">
        <w:rPr>
          <w:rFonts w:eastAsia="Times New Roman" w:cs="Arial"/>
          <w:bCs/>
          <w:color w:val="000000"/>
          <w:lang w:eastAsia="bg-BG"/>
        </w:rPr>
        <w:t>интегразата</w:t>
      </w:r>
      <w:proofErr w:type="spellEnd"/>
      <w:r w:rsidRPr="00C64221">
        <w:rPr>
          <w:rFonts w:eastAsia="Times New Roman" w:cs="Arial"/>
          <w:bCs/>
          <w:color w:val="000000"/>
          <w:lang w:eastAsia="bg-BG"/>
        </w:rPr>
        <w:t xml:space="preserve"> </w:t>
      </w:r>
      <w:r w:rsidRPr="00C64221">
        <w:rPr>
          <w:rFonts w:eastAsia="Times New Roman" w:cs="Arial"/>
          <w:bCs/>
          <w:color w:val="000000"/>
        </w:rPr>
        <w:t xml:space="preserve">(INSTI), </w:t>
      </w:r>
      <w:r w:rsidRPr="00C64221">
        <w:rPr>
          <w:rFonts w:eastAsia="Times New Roman" w:cs="Arial"/>
          <w:bCs/>
          <w:color w:val="000000"/>
          <w:lang w:eastAsia="bg-BG"/>
        </w:rPr>
        <w:t xml:space="preserve">напр. </w:t>
      </w:r>
      <w:proofErr w:type="spellStart"/>
      <w:r w:rsidRPr="00C64221">
        <w:rPr>
          <w:rFonts w:eastAsia="Times New Roman" w:cs="Arial"/>
          <w:bCs/>
          <w:color w:val="000000"/>
          <w:lang w:eastAsia="bg-BG"/>
        </w:rPr>
        <w:t>ралтегравир</w:t>
      </w:r>
      <w:proofErr w:type="spellEnd"/>
      <w:r w:rsidRPr="00C64221">
        <w:rPr>
          <w:rFonts w:eastAsia="Times New Roman" w:cs="Arial"/>
          <w:bCs/>
          <w:color w:val="000000"/>
          <w:lang w:eastAsia="bg-BG"/>
        </w:rPr>
        <w:t>.</w:t>
      </w:r>
    </w:p>
    <w:p w14:paraId="649BF4EC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39CC24" w14:textId="4BE328AB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lang w:eastAsia="bg-BG"/>
        </w:rPr>
        <w:t xml:space="preserve">Тъй като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през бъбреците чрез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гломерулна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филтрация и активна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тубулна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секреция (точка 5.2), едновременното приложение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противовирусни средства, които също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екскретират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по пътя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тубулната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секреция, може да промени плазмените концентрации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и/или на едновременно прилаганото лекарство. Някои примери включват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нуклеоз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(т)идните аналози инхибитори на обратната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транскриптаза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 xml:space="preserve">(NRTI) </w:t>
      </w:r>
      <w:r w:rsidRPr="00C64221">
        <w:rPr>
          <w:rFonts w:eastAsia="Times New Roman" w:cs="Arial"/>
          <w:color w:val="000000"/>
          <w:lang w:eastAsia="bg-BG"/>
        </w:rPr>
        <w:t xml:space="preserve">(включително тези, използвани за терапия на </w:t>
      </w:r>
      <w:r w:rsidRPr="00C64221">
        <w:rPr>
          <w:rFonts w:eastAsia="Times New Roman" w:cs="Arial"/>
          <w:color w:val="000000"/>
        </w:rPr>
        <w:t xml:space="preserve">HBV), </w:t>
      </w:r>
      <w:r w:rsidRPr="00C64221">
        <w:rPr>
          <w:rFonts w:eastAsia="Times New Roman" w:cs="Arial"/>
          <w:color w:val="000000"/>
          <w:lang w:eastAsia="bg-BG"/>
        </w:rPr>
        <w:t xml:space="preserve">напр.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ламивудин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емптрицитабин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тенофовир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адефовир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ентекавир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Бъбречният клирънс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може да се инхибира също и поради нефротоксичност, предизвиквана от лекарства като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цидофовир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фоскарнет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r w:rsidRPr="00C64221">
        <w:rPr>
          <w:rFonts w:eastAsia="Times New Roman" w:cs="Arial"/>
          <w:color w:val="000000"/>
        </w:rPr>
        <w:t xml:space="preserve">NRTI </w:t>
      </w:r>
      <w:r w:rsidRPr="00C64221">
        <w:rPr>
          <w:rFonts w:eastAsia="Times New Roman" w:cs="Arial"/>
          <w:color w:val="000000"/>
          <w:lang w:eastAsia="bg-BG"/>
        </w:rPr>
        <w:t xml:space="preserve">(напр.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тенофовир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адефовир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). Едновременната употреба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вакганцикловир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всички тези лекарства трябва да се има предвид, само ако потенциалните ползи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надвхърлят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евентуалните рискове (вж. точка 4.4).</w:t>
      </w:r>
    </w:p>
    <w:p w14:paraId="5272BC0C" w14:textId="77777777" w:rsidR="00E302E7" w:rsidRPr="00C64221" w:rsidRDefault="00E302E7" w:rsidP="00E302E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4597080" w14:textId="4E0FE28B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Други потенциални лекарствени взаимодействия</w:t>
      </w:r>
    </w:p>
    <w:p w14:paraId="163D95CD" w14:textId="77777777" w:rsidR="00E302E7" w:rsidRPr="00C64221" w:rsidRDefault="00E302E7" w:rsidP="00E302E7">
      <w:pPr>
        <w:spacing w:line="240" w:lineRule="auto"/>
        <w:rPr>
          <w:rFonts w:eastAsia="Times New Roman" w:cs="Arial"/>
        </w:rPr>
      </w:pPr>
      <w:r w:rsidRPr="00C64221">
        <w:rPr>
          <w:rFonts w:eastAsia="Times New Roman" w:cs="Arial"/>
          <w:color w:val="000000"/>
          <w:lang w:eastAsia="bg-BG"/>
        </w:rPr>
        <w:t xml:space="preserve">Може да се засили токсичността, когато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прилага едновременно с други лекарства или се дава непосредствено преди или след прилагането на други лекарства, които инхибират репликацията на бързо делящи се клетъчни популации, като клетките в костния мозък, тестисите и терминалните слоеве на кожата и стомашно-чревната лигавица. Примери за този тип лекарства са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дапсон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пентамидин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флуцитозин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винкристин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винбластин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адриамицин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амфотерицин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В, комбинации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/сулфонамиди,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нуклеозидни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аналози,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хидроксиурея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пегилираните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интерферони/рибавирин (със или без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боцепревир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телапревир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).</w:t>
      </w:r>
    </w:p>
    <w:p w14:paraId="50E98054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A88EE5" w14:textId="16A4F220" w:rsidR="00E302E7" w:rsidRPr="00C64221" w:rsidRDefault="00E302E7" w:rsidP="00E302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Едновременното приложение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всички тези лекарства трябва да се има предвид, само ако потенциалните ползи надхвърлят евентуалните рискове (вж. точка 4.4).</w:t>
      </w:r>
    </w:p>
    <w:p w14:paraId="209F3A0C" w14:textId="14DC43CC" w:rsidR="00E302E7" w:rsidRPr="00C64221" w:rsidRDefault="00E302E7" w:rsidP="00E302E7"/>
    <w:p w14:paraId="5D9F40EA" w14:textId="64225F12" w:rsidR="007122AD" w:rsidRPr="00C64221" w:rsidRDefault="002C50EE" w:rsidP="00936AD0">
      <w:pPr>
        <w:pStyle w:val="Heading2"/>
      </w:pPr>
      <w:r w:rsidRPr="00C64221">
        <w:t>4.6. Фертилитет, бременност и кърмене</w:t>
      </w:r>
    </w:p>
    <w:p w14:paraId="15A61BAB" w14:textId="208038B4" w:rsidR="00E302E7" w:rsidRPr="00C64221" w:rsidRDefault="00E302E7" w:rsidP="00E302E7"/>
    <w:p w14:paraId="4878A8DC" w14:textId="77777777" w:rsidR="00E302E7" w:rsidRPr="00C64221" w:rsidRDefault="00E302E7" w:rsidP="00E302E7">
      <w:pPr>
        <w:pStyle w:val="Heading3"/>
        <w:rPr>
          <w:rFonts w:eastAsia="Times New Roman"/>
          <w:u w:val="single"/>
        </w:rPr>
      </w:pPr>
      <w:r w:rsidRPr="00C64221">
        <w:rPr>
          <w:rFonts w:eastAsia="Times New Roman"/>
          <w:u w:val="single"/>
          <w:lang w:eastAsia="bg-BG"/>
        </w:rPr>
        <w:lastRenderedPageBreak/>
        <w:t>Бременност</w:t>
      </w:r>
    </w:p>
    <w:p w14:paraId="57F2E3A6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Няма данни от употребата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при бременни жени. Активният му метаболит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лесно преминава през плацентата при човека. Въз основа на фармакологичния му механизъм на действие и репродуктивната токсичност, наблюдавана при проучванията върху животни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(вж. точка 5.3), може да се приеме, че има теоретичен риск от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тератогенност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при хора.</w:t>
      </w:r>
    </w:p>
    <w:p w14:paraId="52AA2111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144E71" w14:textId="107AD0D4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>АЛВАНОЦИТ не трябва да се прилага по време на бременност, освен ако терапевтичната полза за майката не надхвърля потенциалния риск от тератогенно увреждане на детето.</w:t>
      </w:r>
    </w:p>
    <w:p w14:paraId="7B5F422E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12178C" w14:textId="7004989A" w:rsidR="00E302E7" w:rsidRPr="00C64221" w:rsidRDefault="00E302E7" w:rsidP="00E302E7">
      <w:pPr>
        <w:pStyle w:val="Heading3"/>
        <w:rPr>
          <w:rFonts w:eastAsia="Times New Roman"/>
          <w:u w:val="single"/>
        </w:rPr>
      </w:pPr>
      <w:r w:rsidRPr="00C64221">
        <w:rPr>
          <w:rFonts w:eastAsia="Times New Roman"/>
          <w:u w:val="single"/>
          <w:lang w:eastAsia="bg-BG"/>
        </w:rPr>
        <w:t>Кърмене</w:t>
      </w:r>
    </w:p>
    <w:p w14:paraId="720C131A" w14:textId="63C37106" w:rsidR="00E302E7" w:rsidRPr="00C64221" w:rsidRDefault="00E302E7" w:rsidP="00E302E7">
      <w:pPr>
        <w:rPr>
          <w:rFonts w:eastAsia="Times New Roman" w:cs="Arial"/>
          <w:i/>
          <w:iCs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 xml:space="preserve">Не е известно дали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кърмата, но не може да се отхвърли възможността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да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кърмата и да предизвика сериозни нежелани реакции в кърмачето. Затова кърменето трябва да бъде преустановено (вж. </w:t>
      </w:r>
      <w:r w:rsidRPr="00C64221">
        <w:rPr>
          <w:rFonts w:eastAsia="Times New Roman" w:cs="Arial"/>
          <w:i/>
          <w:iCs/>
          <w:color w:val="000000"/>
          <w:lang w:eastAsia="bg-BG"/>
        </w:rPr>
        <w:t>точка 4.3)</w:t>
      </w:r>
    </w:p>
    <w:p w14:paraId="5BD3E9F1" w14:textId="6BC29891" w:rsidR="00E302E7" w:rsidRPr="00C64221" w:rsidRDefault="00E302E7" w:rsidP="00E302E7">
      <w:pPr>
        <w:rPr>
          <w:rFonts w:eastAsia="Times New Roman" w:cs="Arial"/>
          <w:i/>
          <w:iCs/>
          <w:color w:val="000000"/>
          <w:lang w:eastAsia="bg-BG"/>
        </w:rPr>
      </w:pPr>
    </w:p>
    <w:p w14:paraId="0163F378" w14:textId="77777777" w:rsidR="00E302E7" w:rsidRPr="00C64221" w:rsidRDefault="00E302E7" w:rsidP="00E302E7">
      <w:pPr>
        <w:pStyle w:val="Heading3"/>
        <w:rPr>
          <w:rFonts w:eastAsia="Times New Roman"/>
          <w:u w:val="single"/>
        </w:rPr>
      </w:pPr>
      <w:r w:rsidRPr="00C64221">
        <w:rPr>
          <w:rFonts w:eastAsia="Times New Roman"/>
          <w:u w:val="single"/>
          <w:lang w:eastAsia="bg-BG"/>
        </w:rPr>
        <w:t>Фертилитет</w:t>
      </w:r>
    </w:p>
    <w:p w14:paraId="728002CE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Жени с детероден потенциал трябва да бъдат предупредени да използват ефективна контрацепция по време на лечението. Мъжете трябва да бъдат предупредени да прилагат бариерен метод на контрацепция по време на и в продължение най-малко на 90 дни след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, освен ако не са сигурни, че няма риск партньорката им да забременее (вж. точка 5.3).</w:t>
      </w:r>
    </w:p>
    <w:p w14:paraId="2363E099" w14:textId="77777777" w:rsidR="00E302E7" w:rsidRPr="00C64221" w:rsidRDefault="00E302E7" w:rsidP="00E302E7"/>
    <w:p w14:paraId="5DD7A76D" w14:textId="2A5DFA72" w:rsidR="007122AD" w:rsidRPr="00C64221" w:rsidRDefault="002C50EE" w:rsidP="00936AD0">
      <w:pPr>
        <w:pStyle w:val="Heading2"/>
      </w:pPr>
      <w:r w:rsidRPr="00C64221">
        <w:t>4.7. Ефекти върху способността за шофиране и работа с машини</w:t>
      </w:r>
    </w:p>
    <w:p w14:paraId="725DA620" w14:textId="0DBB1B1B" w:rsidR="00E302E7" w:rsidRPr="00C64221" w:rsidRDefault="00E302E7" w:rsidP="00E302E7"/>
    <w:p w14:paraId="55365B59" w14:textId="77777777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>Не са провеждани проучвания на ефектите върху способността за шофиране и работа с машини.</w:t>
      </w:r>
    </w:p>
    <w:p w14:paraId="1275D0E0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15B5BA5" w14:textId="48D79B83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употребата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и/или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съобщава за гърчове,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седация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замаяност,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атаксия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и/или объркване. Ако възникнат, тези ефекти може да повлияят изпълнението на задачи, изискващи бдителност, включително способността на пациентите за шофиране и работа с машини.</w:t>
      </w:r>
    </w:p>
    <w:p w14:paraId="5E0B897D" w14:textId="77777777" w:rsidR="00E302E7" w:rsidRPr="00C64221" w:rsidRDefault="00E302E7" w:rsidP="00E302E7"/>
    <w:p w14:paraId="44CE30A3" w14:textId="4C2F9ECB" w:rsidR="007122AD" w:rsidRPr="00C64221" w:rsidRDefault="002C50EE" w:rsidP="00936AD0">
      <w:pPr>
        <w:pStyle w:val="Heading2"/>
      </w:pPr>
      <w:r w:rsidRPr="00C64221">
        <w:t>4.8. Нежелани лекарствени реакции</w:t>
      </w:r>
    </w:p>
    <w:p w14:paraId="59EBBA45" w14:textId="4355D1D1" w:rsidR="00E302E7" w:rsidRPr="00C64221" w:rsidRDefault="00E302E7" w:rsidP="00E302E7"/>
    <w:p w14:paraId="3E726436" w14:textId="583B95C9" w:rsidR="00E302E7" w:rsidRPr="00C64221" w:rsidRDefault="00E302E7" w:rsidP="00E302E7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  <w:r w:rsidRPr="00C64221">
        <w:rPr>
          <w:rFonts w:eastAsia="Times New Roman" w:cs="Arial"/>
          <w:b/>
          <w:bCs/>
          <w:i/>
          <w:iCs/>
          <w:color w:val="000000"/>
          <w:lang w:eastAsia="bg-BG"/>
        </w:rPr>
        <w:t>А) Резюме на профила на безопасност</w:t>
      </w:r>
    </w:p>
    <w:p w14:paraId="4D11B42D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7B53D8" w14:textId="00EE3270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прекурсор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който след перорално приложение бързо и в голяма степен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Може да се очаква нежеланите реакции, свързани с употребата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да възникнат и при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Всички нежелани реакции, наблюдавани по време на клиничните изпитвания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преди това са били наблюдавани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39226ADF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4C5259" w14:textId="3B39F2BF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Най-често съобщаваните нежелани лекарствени реакции след приложение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>, анемия и диария.</w:t>
      </w:r>
    </w:p>
    <w:p w14:paraId="2F6A7843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FFE1BF" w14:textId="786AAC8C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lastRenderedPageBreak/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свързан с по-висок риск от диария в сравнение с интравенозно приложен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Освен това приложението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свързано с по-висок риск от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сравнение с перорален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33AC568F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8425D1" w14:textId="2294707E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Тежка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(&lt;500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клстки</w:t>
      </w:r>
      <w:proofErr w:type="spellEnd"/>
      <w:r w:rsidRPr="00C64221">
        <w:rPr>
          <w:rFonts w:eastAsia="Times New Roman" w:cs="Arial"/>
          <w:color w:val="000000"/>
          <w:lang w:eastAsia="bg-BG"/>
        </w:rPr>
        <w:t>/</w:t>
      </w:r>
      <w:proofErr w:type="spellStart"/>
      <w:r w:rsidRPr="00C64221">
        <w:rPr>
          <w:rFonts w:eastAsia="Times New Roman" w:cs="Arial"/>
          <w:color w:val="000000"/>
          <w:lang w:eastAsia="bg-BG"/>
        </w:rPr>
        <w:t>μ</w:t>
      </w:r>
      <w:r w:rsidRPr="00C64221">
        <w:rPr>
          <w:rFonts w:eastAsia="Times New Roman" w:cs="Arial"/>
          <w:color w:val="000000"/>
        </w:rPr>
        <w:t>l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) се наблюдава по-често при пациенти със СПИН и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лекувани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отколкото при пациенти с трансплантация на солиден орган, приемащи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(вж. точка 4.4).</w:t>
      </w:r>
    </w:p>
    <w:p w14:paraId="0380B8DF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AB9D10" w14:textId="75817C0B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Честотата на нежеланите реакции, съобщавани по време на клиничните проучвания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перорално приложен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интравенозно приложен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представена в таблицата по-долу. Изброените нежелани реакции са съобщени по време на клиничните изпитвания при пациенти със СПИН за въвеждащо или поддържащо лечение на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при болни с трансплантация на черен дроб, бъбрек или сърце за профилактика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>заболяване. Терминът (тежки) в скобите в таблицата показва, че нежеланата реакция е била съобщена при пациенти с лек/умерен и тежък/животозастрашаващ интензитет при тази специфична честота.</w:t>
      </w:r>
    </w:p>
    <w:p w14:paraId="62F7EE2F" w14:textId="77777777" w:rsidR="00E302E7" w:rsidRPr="00C64221" w:rsidRDefault="00E302E7" w:rsidP="00E302E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B55C5B" w14:textId="7C40F4B0" w:rsidR="00E302E7" w:rsidRPr="00C64221" w:rsidRDefault="00E302E7" w:rsidP="00E302E7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Общият профил на безопасност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не се променя при удължаване на профилактиката до 200 дни при възрастни пациенти с бъбречна трансплантация с висок риск от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 </w:t>
      </w:r>
      <w:r w:rsidRPr="00C64221">
        <w:rPr>
          <w:rFonts w:eastAsia="Times New Roman" w:cs="Arial"/>
          <w:color w:val="000000"/>
        </w:rPr>
        <w:t xml:space="preserve">(D+/R-). </w:t>
      </w:r>
      <w:r w:rsidRPr="00C64221">
        <w:rPr>
          <w:rFonts w:eastAsia="Times New Roman" w:cs="Arial"/>
          <w:color w:val="000000"/>
          <w:lang w:eastAsia="bg-BG"/>
        </w:rPr>
        <w:t xml:space="preserve">Съобщава се за случаи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малко по-висока честота в групата с 200 дни, докато честотата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анемия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подобна в двете групи.</w:t>
      </w:r>
    </w:p>
    <w:p w14:paraId="39E8EEEB" w14:textId="77777777" w:rsidR="00E302E7" w:rsidRPr="00C64221" w:rsidRDefault="00E302E7" w:rsidP="00E302E7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3EA4FE54" w14:textId="64C83632" w:rsidR="00E302E7" w:rsidRPr="00C64221" w:rsidRDefault="00E302E7" w:rsidP="00E302E7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  <w:r w:rsidRPr="00C64221">
        <w:rPr>
          <w:rFonts w:eastAsia="Times New Roman" w:cs="Arial"/>
          <w:b/>
          <w:bCs/>
          <w:i/>
          <w:iCs/>
          <w:color w:val="000000"/>
          <w:lang w:eastAsia="bg-BG"/>
        </w:rPr>
        <w:t>Б) Списък на нежеланите лекарствени реакции в табличен вид</w:t>
      </w:r>
    </w:p>
    <w:p w14:paraId="36627E8E" w14:textId="77777777" w:rsidR="00E302E7" w:rsidRPr="00C64221" w:rsidRDefault="00E302E7" w:rsidP="00E302E7">
      <w:pPr>
        <w:rPr>
          <w:rFonts w:eastAsia="Times New Roman" w:cs="Arial"/>
          <w:color w:val="000000"/>
          <w:lang w:eastAsia="bg-BG"/>
        </w:rPr>
      </w:pPr>
    </w:p>
    <w:p w14:paraId="4E5F1637" w14:textId="3CA6F4E5" w:rsidR="00E302E7" w:rsidRPr="00C64221" w:rsidRDefault="00E302E7" w:rsidP="00E302E7">
      <w:pPr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>Във всяка група по честота нежеланите ефекти са представени по реда на намаляваща сериозност.</w:t>
      </w:r>
    </w:p>
    <w:p w14:paraId="6C0DD014" w14:textId="68F475C4" w:rsidR="00E302E7" w:rsidRPr="00C64221" w:rsidRDefault="00E302E7" w:rsidP="00E302E7">
      <w:pPr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1499"/>
        <w:gridCol w:w="2084"/>
        <w:gridCol w:w="2084"/>
        <w:gridCol w:w="1352"/>
      </w:tblGrid>
      <w:tr w:rsidR="00F015C6" w:rsidRPr="00C64221" w14:paraId="15D98493" w14:textId="77777777" w:rsidTr="00F015C6">
        <w:tc>
          <w:tcPr>
            <w:tcW w:w="1866" w:type="dxa"/>
          </w:tcPr>
          <w:p w14:paraId="539199D4" w14:textId="24BCE23A" w:rsidR="00F015C6" w:rsidRPr="00C64221" w:rsidRDefault="00F015C6" w:rsidP="00F015C6">
            <w:pPr>
              <w:rPr>
                <w:rFonts w:cs="Arial"/>
              </w:rPr>
            </w:pPr>
            <w:r w:rsidRPr="00C64221">
              <w:rPr>
                <w:b/>
                <w:bCs/>
              </w:rPr>
              <w:t>Телесна система</w:t>
            </w:r>
          </w:p>
        </w:tc>
        <w:tc>
          <w:tcPr>
            <w:tcW w:w="1864" w:type="dxa"/>
          </w:tcPr>
          <w:p w14:paraId="13C7319C" w14:textId="7D3F90AD" w:rsidR="00F015C6" w:rsidRPr="00C64221" w:rsidRDefault="00F015C6" w:rsidP="00F015C6">
            <w:pPr>
              <w:rPr>
                <w:rFonts w:cs="Arial"/>
              </w:rPr>
            </w:pPr>
            <w:r w:rsidRPr="00C64221">
              <w:rPr>
                <w:b/>
                <w:bCs/>
              </w:rPr>
              <w:t>Много чести (≥1/10)</w:t>
            </w:r>
          </w:p>
        </w:tc>
        <w:tc>
          <w:tcPr>
            <w:tcW w:w="2100" w:type="dxa"/>
          </w:tcPr>
          <w:p w14:paraId="5BC6EE1C" w14:textId="0A9E333D" w:rsidR="00F015C6" w:rsidRPr="00C64221" w:rsidRDefault="00F015C6" w:rsidP="00F015C6">
            <w:pPr>
              <w:rPr>
                <w:rFonts w:cs="Arial"/>
              </w:rPr>
            </w:pPr>
            <w:r w:rsidRPr="00C64221">
              <w:rPr>
                <w:b/>
                <w:bCs/>
              </w:rPr>
              <w:t>Често (≥1/100 до &lt;1/10)</w:t>
            </w:r>
          </w:p>
        </w:tc>
        <w:tc>
          <w:tcPr>
            <w:tcW w:w="1905" w:type="dxa"/>
            <w:vAlign w:val="bottom"/>
          </w:tcPr>
          <w:p w14:paraId="72205E55" w14:textId="77777777" w:rsidR="00F015C6" w:rsidRPr="00C64221" w:rsidRDefault="00F015C6" w:rsidP="00F015C6">
            <w:r w:rsidRPr="00C64221">
              <w:rPr>
                <w:b/>
                <w:bCs/>
              </w:rPr>
              <w:t>Нечести (≥1/1000 до</w:t>
            </w:r>
          </w:p>
          <w:p w14:paraId="79A98A1A" w14:textId="5ECFE567" w:rsidR="00F015C6" w:rsidRPr="00C64221" w:rsidRDefault="00F015C6" w:rsidP="00F015C6">
            <w:pPr>
              <w:rPr>
                <w:rFonts w:cs="Arial"/>
              </w:rPr>
            </w:pPr>
            <w:r w:rsidRPr="00C64221">
              <w:rPr>
                <w:b/>
                <w:bCs/>
              </w:rPr>
              <w:t>&lt;1/100)</w:t>
            </w:r>
          </w:p>
        </w:tc>
        <w:tc>
          <w:tcPr>
            <w:tcW w:w="1841" w:type="dxa"/>
            <w:vAlign w:val="bottom"/>
          </w:tcPr>
          <w:p w14:paraId="68A08A70" w14:textId="77777777" w:rsidR="00F015C6" w:rsidRPr="00C64221" w:rsidRDefault="00F015C6" w:rsidP="00F015C6">
            <w:r w:rsidRPr="00C64221">
              <w:rPr>
                <w:b/>
                <w:bCs/>
              </w:rPr>
              <w:t>Редки (≥1/10 000 до</w:t>
            </w:r>
          </w:p>
          <w:p w14:paraId="7823F0CB" w14:textId="71EBEBB6" w:rsidR="00F015C6" w:rsidRPr="00C64221" w:rsidRDefault="00F015C6" w:rsidP="00F015C6">
            <w:pPr>
              <w:rPr>
                <w:rFonts w:cs="Arial"/>
              </w:rPr>
            </w:pPr>
            <w:r w:rsidRPr="00C64221">
              <w:rPr>
                <w:b/>
                <w:bCs/>
              </w:rPr>
              <w:t>&lt;1/1000)</w:t>
            </w:r>
          </w:p>
        </w:tc>
      </w:tr>
      <w:tr w:rsidR="00F015C6" w:rsidRPr="00C64221" w14:paraId="0D23C5B2" w14:textId="77777777" w:rsidTr="00F015C6">
        <w:tc>
          <w:tcPr>
            <w:tcW w:w="1866" w:type="dxa"/>
          </w:tcPr>
          <w:p w14:paraId="54BFB35F" w14:textId="02BE9D15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Инфекции и </w:t>
            </w:r>
            <w:proofErr w:type="spellStart"/>
            <w:r w:rsidRPr="00C64221">
              <w:t>инфестации</w:t>
            </w:r>
            <w:proofErr w:type="spellEnd"/>
          </w:p>
        </w:tc>
        <w:tc>
          <w:tcPr>
            <w:tcW w:w="1864" w:type="dxa"/>
          </w:tcPr>
          <w:p w14:paraId="595137A6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  <w:vAlign w:val="bottom"/>
          </w:tcPr>
          <w:p w14:paraId="1BD0C9FA" w14:textId="659CDAC2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Орална </w:t>
            </w:r>
            <w:proofErr w:type="spellStart"/>
            <w:r w:rsidRPr="00C64221">
              <w:t>кандидоза</w:t>
            </w:r>
            <w:proofErr w:type="spellEnd"/>
            <w:r w:rsidRPr="00C64221">
              <w:t>, сепсис (</w:t>
            </w:r>
            <w:proofErr w:type="spellStart"/>
            <w:r w:rsidRPr="00C64221">
              <w:t>бактериемия</w:t>
            </w:r>
            <w:proofErr w:type="spellEnd"/>
            <w:r w:rsidRPr="00C64221">
              <w:t xml:space="preserve">, </w:t>
            </w:r>
            <w:proofErr w:type="spellStart"/>
            <w:r w:rsidRPr="00C64221">
              <w:t>виремия</w:t>
            </w:r>
            <w:proofErr w:type="spellEnd"/>
            <w:r w:rsidRPr="00C64221">
              <w:t>), целулит, инфекция на пикочните пътища</w:t>
            </w:r>
          </w:p>
        </w:tc>
        <w:tc>
          <w:tcPr>
            <w:tcW w:w="1905" w:type="dxa"/>
          </w:tcPr>
          <w:p w14:paraId="33E13A29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62811587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009BCBE9" w14:textId="77777777" w:rsidTr="00F015C6">
        <w:tc>
          <w:tcPr>
            <w:tcW w:w="1866" w:type="dxa"/>
          </w:tcPr>
          <w:p w14:paraId="3063F57D" w14:textId="4D814428" w:rsidR="00F015C6" w:rsidRPr="00C64221" w:rsidRDefault="00F015C6" w:rsidP="00F015C6">
            <w:pPr>
              <w:rPr>
                <w:rFonts w:cs="Arial"/>
              </w:rPr>
            </w:pPr>
            <w:r w:rsidRPr="00C64221">
              <w:t>Нарушения на кръвта и лимфната система</w:t>
            </w:r>
          </w:p>
        </w:tc>
        <w:tc>
          <w:tcPr>
            <w:tcW w:w="1864" w:type="dxa"/>
          </w:tcPr>
          <w:p w14:paraId="05CD7C41" w14:textId="732090CA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(Тежка) </w:t>
            </w:r>
            <w:proofErr w:type="spellStart"/>
            <w:r w:rsidRPr="00C64221">
              <w:t>неутропения</w:t>
            </w:r>
            <w:proofErr w:type="spellEnd"/>
            <w:r w:rsidRPr="00C64221">
              <w:t>, анемия</w:t>
            </w:r>
          </w:p>
        </w:tc>
        <w:tc>
          <w:tcPr>
            <w:tcW w:w="2100" w:type="dxa"/>
            <w:vAlign w:val="bottom"/>
          </w:tcPr>
          <w:p w14:paraId="372473CC" w14:textId="435F828E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Тежка анемия, (тежка) </w:t>
            </w:r>
            <w:proofErr w:type="spellStart"/>
            <w:r w:rsidRPr="00C64221">
              <w:t>тромбоцитопения</w:t>
            </w:r>
            <w:proofErr w:type="spellEnd"/>
            <w:r w:rsidRPr="00C64221">
              <w:t xml:space="preserve">, (тежка) </w:t>
            </w:r>
            <w:proofErr w:type="spellStart"/>
            <w:r w:rsidRPr="00C64221">
              <w:t>левкопения</w:t>
            </w:r>
            <w:proofErr w:type="spellEnd"/>
            <w:r w:rsidRPr="00C64221">
              <w:t xml:space="preserve">, (тежка) </w:t>
            </w:r>
            <w:proofErr w:type="spellStart"/>
            <w:r w:rsidRPr="00C64221">
              <w:t>панцитопения</w:t>
            </w:r>
            <w:proofErr w:type="spellEnd"/>
          </w:p>
        </w:tc>
        <w:tc>
          <w:tcPr>
            <w:tcW w:w="1905" w:type="dxa"/>
          </w:tcPr>
          <w:p w14:paraId="0C7B3D11" w14:textId="42204E17" w:rsidR="00F015C6" w:rsidRPr="00C64221" w:rsidRDefault="00F015C6" w:rsidP="00F015C6">
            <w:pPr>
              <w:rPr>
                <w:rFonts w:cs="Arial"/>
              </w:rPr>
            </w:pPr>
            <w:proofErr w:type="spellStart"/>
            <w:r w:rsidRPr="00C64221">
              <w:t>Костномозъчна</w:t>
            </w:r>
            <w:proofErr w:type="spellEnd"/>
            <w:r w:rsidRPr="00C64221">
              <w:t xml:space="preserve"> недостатъчност</w:t>
            </w:r>
          </w:p>
        </w:tc>
        <w:tc>
          <w:tcPr>
            <w:tcW w:w="1841" w:type="dxa"/>
          </w:tcPr>
          <w:p w14:paraId="6EE2747D" w14:textId="6C608D4A" w:rsidR="00F015C6" w:rsidRPr="00C64221" w:rsidRDefault="00F015C6" w:rsidP="00F015C6">
            <w:pPr>
              <w:rPr>
                <w:rFonts w:cs="Arial"/>
              </w:rPr>
            </w:pPr>
            <w:proofErr w:type="spellStart"/>
            <w:r w:rsidRPr="00C64221">
              <w:t>Апластична</w:t>
            </w:r>
            <w:proofErr w:type="spellEnd"/>
            <w:r w:rsidRPr="00C64221">
              <w:t xml:space="preserve"> анемия</w:t>
            </w:r>
          </w:p>
        </w:tc>
      </w:tr>
      <w:tr w:rsidR="00F015C6" w:rsidRPr="00C64221" w14:paraId="349B1166" w14:textId="77777777" w:rsidTr="00F015C6">
        <w:tc>
          <w:tcPr>
            <w:tcW w:w="1866" w:type="dxa"/>
            <w:vAlign w:val="bottom"/>
          </w:tcPr>
          <w:p w14:paraId="73EA5DB8" w14:textId="4F192DEB" w:rsidR="00F015C6" w:rsidRPr="00C64221" w:rsidRDefault="00F015C6" w:rsidP="00F015C6">
            <w:pPr>
              <w:rPr>
                <w:rFonts w:cs="Arial"/>
              </w:rPr>
            </w:pPr>
            <w:r w:rsidRPr="00C64221">
              <w:lastRenderedPageBreak/>
              <w:t>Нарушения на имунната система</w:t>
            </w:r>
          </w:p>
        </w:tc>
        <w:tc>
          <w:tcPr>
            <w:tcW w:w="1864" w:type="dxa"/>
          </w:tcPr>
          <w:p w14:paraId="011A3EE7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66EBE7E0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1905" w:type="dxa"/>
            <w:vAlign w:val="bottom"/>
          </w:tcPr>
          <w:p w14:paraId="032B72EB" w14:textId="140368B7" w:rsidR="00F015C6" w:rsidRPr="00C64221" w:rsidRDefault="00F015C6" w:rsidP="00F015C6">
            <w:pPr>
              <w:rPr>
                <w:rFonts w:cs="Arial"/>
              </w:rPr>
            </w:pPr>
            <w:proofErr w:type="spellStart"/>
            <w:r w:rsidRPr="00C64221">
              <w:t>Анафилактична</w:t>
            </w:r>
            <w:proofErr w:type="spellEnd"/>
            <w:r w:rsidRPr="00C64221">
              <w:t xml:space="preserve"> реакция</w:t>
            </w:r>
          </w:p>
        </w:tc>
        <w:tc>
          <w:tcPr>
            <w:tcW w:w="1841" w:type="dxa"/>
          </w:tcPr>
          <w:p w14:paraId="34E44796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4125C718" w14:textId="77777777" w:rsidTr="00F015C6">
        <w:tc>
          <w:tcPr>
            <w:tcW w:w="1866" w:type="dxa"/>
            <w:vAlign w:val="bottom"/>
          </w:tcPr>
          <w:p w14:paraId="3BF7409C" w14:textId="61D4EDE0" w:rsidR="00F015C6" w:rsidRPr="00C64221" w:rsidRDefault="00F015C6" w:rsidP="00F015C6">
            <w:pPr>
              <w:rPr>
                <w:rFonts w:cs="Arial"/>
              </w:rPr>
            </w:pPr>
            <w:r w:rsidRPr="00C64221">
              <w:t>Нарушения на метаболизма и храненето</w:t>
            </w:r>
          </w:p>
        </w:tc>
        <w:tc>
          <w:tcPr>
            <w:tcW w:w="1864" w:type="dxa"/>
          </w:tcPr>
          <w:p w14:paraId="17767040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35BCF6FB" w14:textId="40B68976" w:rsidR="00F015C6" w:rsidRPr="00C64221" w:rsidRDefault="00F015C6" w:rsidP="00F015C6">
            <w:pPr>
              <w:rPr>
                <w:rFonts w:cs="Arial"/>
              </w:rPr>
            </w:pPr>
            <w:r w:rsidRPr="00C64221">
              <w:t>Намален апетит, анорексия</w:t>
            </w:r>
          </w:p>
        </w:tc>
        <w:tc>
          <w:tcPr>
            <w:tcW w:w="1905" w:type="dxa"/>
          </w:tcPr>
          <w:p w14:paraId="2D5BC9B6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35560C61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5AD341B9" w14:textId="77777777" w:rsidTr="00F015C6">
        <w:tc>
          <w:tcPr>
            <w:tcW w:w="1866" w:type="dxa"/>
          </w:tcPr>
          <w:p w14:paraId="6153C619" w14:textId="48889BC6" w:rsidR="00F015C6" w:rsidRPr="00C64221" w:rsidRDefault="00F015C6" w:rsidP="00F015C6">
            <w:pPr>
              <w:rPr>
                <w:rFonts w:cs="Arial"/>
              </w:rPr>
            </w:pPr>
            <w:r w:rsidRPr="00C64221">
              <w:t>Психични нарушения</w:t>
            </w:r>
          </w:p>
        </w:tc>
        <w:tc>
          <w:tcPr>
            <w:tcW w:w="1864" w:type="dxa"/>
          </w:tcPr>
          <w:p w14:paraId="65E399E0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  <w:vAlign w:val="bottom"/>
          </w:tcPr>
          <w:p w14:paraId="67931CAF" w14:textId="3BCCE5EE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Депресия, тревожност, обърканост, </w:t>
            </w:r>
            <w:proofErr w:type="spellStart"/>
            <w:r w:rsidRPr="00C64221">
              <w:t>абнормно</w:t>
            </w:r>
            <w:proofErr w:type="spellEnd"/>
            <w:r w:rsidRPr="00C64221">
              <w:t xml:space="preserve"> мислене</w:t>
            </w:r>
          </w:p>
        </w:tc>
        <w:tc>
          <w:tcPr>
            <w:tcW w:w="1905" w:type="dxa"/>
          </w:tcPr>
          <w:p w14:paraId="11C05E83" w14:textId="3E9D9D9F" w:rsidR="00F015C6" w:rsidRPr="00C64221" w:rsidRDefault="00F015C6" w:rsidP="00F015C6">
            <w:pPr>
              <w:rPr>
                <w:rFonts w:cs="Arial"/>
              </w:rPr>
            </w:pPr>
            <w:proofErr w:type="spellStart"/>
            <w:r w:rsidRPr="00C64221">
              <w:t>Ажитация</w:t>
            </w:r>
            <w:proofErr w:type="spellEnd"/>
            <w:r w:rsidRPr="00C64221">
              <w:t>, психотични нарушения, халюцинации</w:t>
            </w:r>
          </w:p>
        </w:tc>
        <w:tc>
          <w:tcPr>
            <w:tcW w:w="1841" w:type="dxa"/>
          </w:tcPr>
          <w:p w14:paraId="1BF68183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347F3C98" w14:textId="77777777" w:rsidTr="00F015C6">
        <w:tc>
          <w:tcPr>
            <w:tcW w:w="1866" w:type="dxa"/>
          </w:tcPr>
          <w:p w14:paraId="758D4CD1" w14:textId="3FB4C583" w:rsidR="00F015C6" w:rsidRPr="00C64221" w:rsidRDefault="00F015C6" w:rsidP="00F015C6">
            <w:pPr>
              <w:rPr>
                <w:rFonts w:cs="Arial"/>
              </w:rPr>
            </w:pPr>
            <w:r w:rsidRPr="00C64221">
              <w:t>Нарушения на нервната система</w:t>
            </w:r>
          </w:p>
        </w:tc>
        <w:tc>
          <w:tcPr>
            <w:tcW w:w="1864" w:type="dxa"/>
          </w:tcPr>
          <w:p w14:paraId="48C8DC5F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  <w:vAlign w:val="bottom"/>
          </w:tcPr>
          <w:p w14:paraId="5CBAF875" w14:textId="150A09E2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Главоболие, безсъние, </w:t>
            </w:r>
            <w:proofErr w:type="spellStart"/>
            <w:r w:rsidRPr="00C64221">
              <w:t>дизгеузия</w:t>
            </w:r>
            <w:proofErr w:type="spellEnd"/>
            <w:r w:rsidRPr="00C64221">
              <w:t xml:space="preserve"> (нарушен вкус), </w:t>
            </w:r>
            <w:proofErr w:type="spellStart"/>
            <w:r w:rsidRPr="00C64221">
              <w:t>хипоестезия</w:t>
            </w:r>
            <w:proofErr w:type="spellEnd"/>
            <w:r w:rsidRPr="00C64221">
              <w:t xml:space="preserve">, </w:t>
            </w:r>
            <w:proofErr w:type="spellStart"/>
            <w:r w:rsidRPr="00C64221">
              <w:t>парестезия</w:t>
            </w:r>
            <w:proofErr w:type="spellEnd"/>
            <w:r w:rsidRPr="00C64221">
              <w:t>, периферна невропатия, замаяност, гърчове</w:t>
            </w:r>
          </w:p>
        </w:tc>
        <w:tc>
          <w:tcPr>
            <w:tcW w:w="1905" w:type="dxa"/>
          </w:tcPr>
          <w:p w14:paraId="0BDA9971" w14:textId="3D29EE08" w:rsidR="00F015C6" w:rsidRPr="00C64221" w:rsidRDefault="00F015C6" w:rsidP="00F015C6">
            <w:pPr>
              <w:rPr>
                <w:rFonts w:cs="Arial"/>
              </w:rPr>
            </w:pPr>
            <w:r w:rsidRPr="00C64221">
              <w:t>Тремор</w:t>
            </w:r>
          </w:p>
        </w:tc>
        <w:tc>
          <w:tcPr>
            <w:tcW w:w="1841" w:type="dxa"/>
          </w:tcPr>
          <w:p w14:paraId="5C3D3DF8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68DC7BDD" w14:textId="77777777" w:rsidTr="00F015C6">
        <w:tc>
          <w:tcPr>
            <w:tcW w:w="1866" w:type="dxa"/>
          </w:tcPr>
          <w:p w14:paraId="10446378" w14:textId="0C9D74F6" w:rsidR="00F015C6" w:rsidRPr="00C64221" w:rsidRDefault="00F015C6" w:rsidP="00F015C6">
            <w:pPr>
              <w:rPr>
                <w:rFonts w:cs="Arial"/>
              </w:rPr>
            </w:pPr>
            <w:r w:rsidRPr="00C64221">
              <w:t>Нарушения на очите</w:t>
            </w:r>
          </w:p>
        </w:tc>
        <w:tc>
          <w:tcPr>
            <w:tcW w:w="1864" w:type="dxa"/>
          </w:tcPr>
          <w:p w14:paraId="2AA8BAAD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  <w:vAlign w:val="bottom"/>
          </w:tcPr>
          <w:p w14:paraId="260E4EA6" w14:textId="0F9CC2DC" w:rsidR="00F015C6" w:rsidRPr="00C64221" w:rsidRDefault="00F015C6" w:rsidP="00F015C6">
            <w:pPr>
              <w:rPr>
                <w:rFonts w:cs="Arial"/>
              </w:rPr>
            </w:pPr>
            <w:proofErr w:type="spellStart"/>
            <w:r w:rsidRPr="00C64221">
              <w:t>Макуларен</w:t>
            </w:r>
            <w:proofErr w:type="spellEnd"/>
            <w:r w:rsidRPr="00C64221">
              <w:t xml:space="preserve"> оток, отлепване на ретината, плуващи обекти в стъкловидното тяло, болка в очите</w:t>
            </w:r>
          </w:p>
        </w:tc>
        <w:tc>
          <w:tcPr>
            <w:tcW w:w="1905" w:type="dxa"/>
          </w:tcPr>
          <w:p w14:paraId="0DEBFAF1" w14:textId="0BEC1BF6" w:rsidR="00F015C6" w:rsidRPr="00C64221" w:rsidRDefault="00F015C6" w:rsidP="00F015C6">
            <w:pPr>
              <w:rPr>
                <w:rFonts w:cs="Arial"/>
              </w:rPr>
            </w:pPr>
            <w:r w:rsidRPr="00C64221">
              <w:t>Зрителни нарушения, конюнктивит</w:t>
            </w:r>
          </w:p>
        </w:tc>
        <w:tc>
          <w:tcPr>
            <w:tcW w:w="1841" w:type="dxa"/>
          </w:tcPr>
          <w:p w14:paraId="3106B1B7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0650DAA7" w14:textId="77777777" w:rsidTr="00F015C6">
        <w:tc>
          <w:tcPr>
            <w:tcW w:w="1866" w:type="dxa"/>
            <w:vAlign w:val="bottom"/>
          </w:tcPr>
          <w:p w14:paraId="6D88CAF0" w14:textId="7BF95C05" w:rsidR="00F015C6" w:rsidRPr="00C64221" w:rsidRDefault="00F015C6" w:rsidP="00F015C6">
            <w:pPr>
              <w:rPr>
                <w:rFonts w:cs="Arial"/>
              </w:rPr>
            </w:pPr>
            <w:proofErr w:type="spellStart"/>
            <w:r w:rsidRPr="00C64221">
              <w:t>Нарупения</w:t>
            </w:r>
            <w:proofErr w:type="spellEnd"/>
            <w:r w:rsidRPr="00C64221">
              <w:t xml:space="preserve"> на ухото и лабиринта</w:t>
            </w:r>
          </w:p>
        </w:tc>
        <w:tc>
          <w:tcPr>
            <w:tcW w:w="1864" w:type="dxa"/>
          </w:tcPr>
          <w:p w14:paraId="33DE4A7B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71DC1CBC" w14:textId="284C19BD" w:rsidR="00F015C6" w:rsidRPr="00C64221" w:rsidRDefault="00F015C6" w:rsidP="00F015C6">
            <w:pPr>
              <w:rPr>
                <w:rFonts w:cs="Arial"/>
              </w:rPr>
            </w:pPr>
            <w:r w:rsidRPr="00C64221">
              <w:t>Болка в ушите</w:t>
            </w:r>
          </w:p>
        </w:tc>
        <w:tc>
          <w:tcPr>
            <w:tcW w:w="1905" w:type="dxa"/>
          </w:tcPr>
          <w:p w14:paraId="24474026" w14:textId="0A842D1F" w:rsidR="00F015C6" w:rsidRPr="00C64221" w:rsidRDefault="00F015C6" w:rsidP="00F015C6">
            <w:pPr>
              <w:rPr>
                <w:rFonts w:cs="Arial"/>
              </w:rPr>
            </w:pPr>
            <w:r w:rsidRPr="00C64221">
              <w:t>Глухота</w:t>
            </w:r>
          </w:p>
        </w:tc>
        <w:tc>
          <w:tcPr>
            <w:tcW w:w="1841" w:type="dxa"/>
          </w:tcPr>
          <w:p w14:paraId="5C74C25A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5E450A8D" w14:textId="77777777" w:rsidTr="00F015C6">
        <w:tc>
          <w:tcPr>
            <w:tcW w:w="1866" w:type="dxa"/>
            <w:vAlign w:val="bottom"/>
          </w:tcPr>
          <w:p w14:paraId="66E0F7FB" w14:textId="0BC3C05A" w:rsidR="00F015C6" w:rsidRPr="00C64221" w:rsidRDefault="00F015C6" w:rsidP="00F015C6">
            <w:pPr>
              <w:rPr>
                <w:rFonts w:cs="Arial"/>
              </w:rPr>
            </w:pPr>
            <w:r w:rsidRPr="00C64221">
              <w:t>Сърдечни нарушения</w:t>
            </w:r>
          </w:p>
        </w:tc>
        <w:tc>
          <w:tcPr>
            <w:tcW w:w="1864" w:type="dxa"/>
          </w:tcPr>
          <w:p w14:paraId="5F9644AE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22D5A1A7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1905" w:type="dxa"/>
          </w:tcPr>
          <w:p w14:paraId="78A7405B" w14:textId="6FB6F81C" w:rsidR="00F015C6" w:rsidRPr="00C64221" w:rsidRDefault="00F015C6" w:rsidP="00F015C6">
            <w:pPr>
              <w:rPr>
                <w:rFonts w:cs="Arial"/>
              </w:rPr>
            </w:pPr>
            <w:r w:rsidRPr="00C64221">
              <w:t>Аритмия</w:t>
            </w:r>
          </w:p>
        </w:tc>
        <w:tc>
          <w:tcPr>
            <w:tcW w:w="1841" w:type="dxa"/>
          </w:tcPr>
          <w:p w14:paraId="435CE835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18DCA7C4" w14:textId="77777777" w:rsidTr="00F015C6">
        <w:tc>
          <w:tcPr>
            <w:tcW w:w="1866" w:type="dxa"/>
            <w:vAlign w:val="bottom"/>
          </w:tcPr>
          <w:p w14:paraId="19B2A023" w14:textId="59594BF2" w:rsidR="00F015C6" w:rsidRPr="00C64221" w:rsidRDefault="00F015C6" w:rsidP="00F015C6">
            <w:pPr>
              <w:rPr>
                <w:rFonts w:cs="Arial"/>
              </w:rPr>
            </w:pPr>
            <w:r w:rsidRPr="00C64221">
              <w:t>Съдови нарушения</w:t>
            </w:r>
          </w:p>
        </w:tc>
        <w:tc>
          <w:tcPr>
            <w:tcW w:w="1864" w:type="dxa"/>
          </w:tcPr>
          <w:p w14:paraId="74B61B2E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093DA3F5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1905" w:type="dxa"/>
            <w:vAlign w:val="bottom"/>
          </w:tcPr>
          <w:p w14:paraId="1CC7A561" w14:textId="51C373D5" w:rsidR="00F015C6" w:rsidRPr="00C64221" w:rsidRDefault="00F015C6" w:rsidP="00F015C6">
            <w:pPr>
              <w:rPr>
                <w:rFonts w:cs="Arial"/>
              </w:rPr>
            </w:pPr>
            <w:r w:rsidRPr="00C64221">
              <w:t>Хипотония</w:t>
            </w:r>
          </w:p>
        </w:tc>
        <w:tc>
          <w:tcPr>
            <w:tcW w:w="1841" w:type="dxa"/>
          </w:tcPr>
          <w:p w14:paraId="322036A2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7378C844" w14:textId="77777777" w:rsidTr="00F015C6">
        <w:tc>
          <w:tcPr>
            <w:tcW w:w="1866" w:type="dxa"/>
            <w:vAlign w:val="bottom"/>
          </w:tcPr>
          <w:p w14:paraId="641CC58B" w14:textId="523F81F4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Респираторни, гръдни и </w:t>
            </w:r>
            <w:proofErr w:type="spellStart"/>
            <w:r w:rsidRPr="00C64221">
              <w:t>медиастинални</w:t>
            </w:r>
            <w:proofErr w:type="spellEnd"/>
            <w:r w:rsidRPr="00C64221">
              <w:t xml:space="preserve"> нарушения</w:t>
            </w:r>
          </w:p>
        </w:tc>
        <w:tc>
          <w:tcPr>
            <w:tcW w:w="1864" w:type="dxa"/>
          </w:tcPr>
          <w:p w14:paraId="3ED3604E" w14:textId="696943BB" w:rsidR="00F015C6" w:rsidRPr="00C64221" w:rsidRDefault="00F015C6" w:rsidP="00F015C6">
            <w:pPr>
              <w:rPr>
                <w:rFonts w:cs="Arial"/>
              </w:rPr>
            </w:pPr>
            <w:proofErr w:type="spellStart"/>
            <w:r w:rsidRPr="00C64221">
              <w:t>Диспнея</w:t>
            </w:r>
            <w:proofErr w:type="spellEnd"/>
          </w:p>
        </w:tc>
        <w:tc>
          <w:tcPr>
            <w:tcW w:w="2100" w:type="dxa"/>
          </w:tcPr>
          <w:p w14:paraId="4E225F03" w14:textId="065851D3" w:rsidR="00F015C6" w:rsidRPr="00C64221" w:rsidRDefault="00F015C6" w:rsidP="00F015C6">
            <w:pPr>
              <w:rPr>
                <w:rFonts w:cs="Arial"/>
              </w:rPr>
            </w:pPr>
            <w:r w:rsidRPr="00C64221">
              <w:t>Кашлица</w:t>
            </w:r>
          </w:p>
        </w:tc>
        <w:tc>
          <w:tcPr>
            <w:tcW w:w="1905" w:type="dxa"/>
            <w:vAlign w:val="bottom"/>
          </w:tcPr>
          <w:p w14:paraId="17A3C54B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00D48180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0A0C2ABC" w14:textId="77777777" w:rsidTr="00F015C6">
        <w:tc>
          <w:tcPr>
            <w:tcW w:w="1866" w:type="dxa"/>
          </w:tcPr>
          <w:p w14:paraId="7BA7BE74" w14:textId="0547CCEB" w:rsidR="00F015C6" w:rsidRPr="00C64221" w:rsidRDefault="00F015C6" w:rsidP="00F015C6">
            <w:pPr>
              <w:rPr>
                <w:rFonts w:cs="Arial"/>
              </w:rPr>
            </w:pPr>
            <w:r w:rsidRPr="00C64221">
              <w:t>Стомашно-чревни нарушения</w:t>
            </w:r>
          </w:p>
        </w:tc>
        <w:tc>
          <w:tcPr>
            <w:tcW w:w="1864" w:type="dxa"/>
          </w:tcPr>
          <w:p w14:paraId="6D426724" w14:textId="2E8D0EDE" w:rsidR="00F015C6" w:rsidRPr="00C64221" w:rsidRDefault="00F015C6" w:rsidP="00F015C6">
            <w:pPr>
              <w:rPr>
                <w:rFonts w:cs="Arial"/>
              </w:rPr>
            </w:pPr>
            <w:r w:rsidRPr="00C64221">
              <w:t>Диария</w:t>
            </w:r>
          </w:p>
        </w:tc>
        <w:tc>
          <w:tcPr>
            <w:tcW w:w="2100" w:type="dxa"/>
          </w:tcPr>
          <w:p w14:paraId="277BCBC9" w14:textId="59BDE4F2" w:rsidR="00F015C6" w:rsidRPr="00C64221" w:rsidRDefault="00F015C6" w:rsidP="00F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221">
              <w:t xml:space="preserve">Гадене, повръщане, </w:t>
            </w:r>
            <w:r w:rsidRPr="00C64221">
              <w:rPr>
                <w:rFonts w:eastAsia="Times New Roman" w:cs="Arial"/>
                <w:color w:val="000000"/>
                <w:lang w:eastAsia="bg-BG"/>
              </w:rPr>
              <w:t xml:space="preserve">коремна болка, болка в горните отдели на корема, диспепсия, запек, </w:t>
            </w:r>
            <w:proofErr w:type="spellStart"/>
            <w:r w:rsidRPr="00C64221">
              <w:rPr>
                <w:rFonts w:eastAsia="Times New Roman" w:cs="Arial"/>
                <w:color w:val="000000"/>
                <w:lang w:eastAsia="bg-BG"/>
              </w:rPr>
              <w:t>флатуленция</w:t>
            </w:r>
            <w:proofErr w:type="spellEnd"/>
            <w:r w:rsidRPr="00C64221">
              <w:rPr>
                <w:rFonts w:eastAsia="Times New Roman" w:cs="Arial"/>
                <w:color w:val="000000"/>
                <w:lang w:eastAsia="bg-BG"/>
              </w:rPr>
              <w:t xml:space="preserve">, </w:t>
            </w:r>
            <w:proofErr w:type="spellStart"/>
            <w:r w:rsidRPr="00C64221">
              <w:rPr>
                <w:rFonts w:eastAsia="Times New Roman" w:cs="Arial"/>
                <w:color w:val="000000"/>
                <w:lang w:eastAsia="bg-BG"/>
              </w:rPr>
              <w:t>дисфагия</w:t>
            </w:r>
            <w:proofErr w:type="spellEnd"/>
          </w:p>
        </w:tc>
        <w:tc>
          <w:tcPr>
            <w:tcW w:w="1905" w:type="dxa"/>
          </w:tcPr>
          <w:p w14:paraId="5345B3A9" w14:textId="43316E83" w:rsidR="00F015C6" w:rsidRPr="00C64221" w:rsidRDefault="00F015C6" w:rsidP="00F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221">
              <w:t xml:space="preserve">Раздуване на корема, язви в </w:t>
            </w:r>
            <w:r w:rsidRPr="00C64221">
              <w:rPr>
                <w:rFonts w:eastAsia="Times New Roman" w:cs="Arial"/>
                <w:color w:val="000000"/>
                <w:lang w:eastAsia="bg-BG"/>
              </w:rPr>
              <w:t xml:space="preserve">устата, </w:t>
            </w:r>
            <w:proofErr w:type="spellStart"/>
            <w:r w:rsidRPr="00C64221">
              <w:rPr>
                <w:rFonts w:eastAsia="Times New Roman" w:cs="Arial"/>
                <w:color w:val="000000"/>
                <w:lang w:eastAsia="bg-BG"/>
              </w:rPr>
              <w:t>панкреатит</w:t>
            </w:r>
            <w:proofErr w:type="spellEnd"/>
          </w:p>
        </w:tc>
        <w:tc>
          <w:tcPr>
            <w:tcW w:w="1841" w:type="dxa"/>
          </w:tcPr>
          <w:p w14:paraId="340A4BD6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5B2EC11B" w14:textId="77777777" w:rsidTr="00F015C6">
        <w:tc>
          <w:tcPr>
            <w:tcW w:w="1866" w:type="dxa"/>
          </w:tcPr>
          <w:p w14:paraId="0FD0278C" w14:textId="2F66A4D6" w:rsidR="00F015C6" w:rsidRPr="00C64221" w:rsidRDefault="00F015C6" w:rsidP="00F015C6">
            <w:pPr>
              <w:rPr>
                <w:rFonts w:cs="Arial"/>
              </w:rPr>
            </w:pPr>
            <w:proofErr w:type="spellStart"/>
            <w:r w:rsidRPr="00C64221">
              <w:lastRenderedPageBreak/>
              <w:t>Хепато-билиарни</w:t>
            </w:r>
            <w:proofErr w:type="spellEnd"/>
            <w:r w:rsidRPr="00C64221">
              <w:t xml:space="preserve"> нарушения</w:t>
            </w:r>
          </w:p>
        </w:tc>
        <w:tc>
          <w:tcPr>
            <w:tcW w:w="1864" w:type="dxa"/>
          </w:tcPr>
          <w:p w14:paraId="3F89D0A5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251618EB" w14:textId="0FCE84FB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(Тежка) </w:t>
            </w:r>
            <w:proofErr w:type="spellStart"/>
            <w:r w:rsidRPr="00C64221">
              <w:t>абнормна</w:t>
            </w:r>
            <w:proofErr w:type="spellEnd"/>
            <w:r w:rsidRPr="00C64221">
              <w:t xml:space="preserve"> чернодробна функция, повишена алкална </w:t>
            </w:r>
            <w:proofErr w:type="spellStart"/>
            <w:r w:rsidRPr="00C64221">
              <w:t>фосфатаза</w:t>
            </w:r>
            <w:proofErr w:type="spellEnd"/>
            <w:r w:rsidRPr="00C64221">
              <w:t xml:space="preserve"> в кръвта, повишена аспартата </w:t>
            </w:r>
            <w:proofErr w:type="spellStart"/>
            <w:r w:rsidRPr="00C64221">
              <w:t>аминотрансфераза</w:t>
            </w:r>
            <w:proofErr w:type="spellEnd"/>
          </w:p>
        </w:tc>
        <w:tc>
          <w:tcPr>
            <w:tcW w:w="1905" w:type="dxa"/>
          </w:tcPr>
          <w:p w14:paraId="5BC6B414" w14:textId="00D03F7E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Повишена </w:t>
            </w:r>
            <w:proofErr w:type="spellStart"/>
            <w:r w:rsidRPr="00C64221">
              <w:t>аланин</w:t>
            </w:r>
            <w:proofErr w:type="spellEnd"/>
            <w:r w:rsidRPr="00C64221">
              <w:t xml:space="preserve"> </w:t>
            </w:r>
            <w:proofErr w:type="spellStart"/>
            <w:r w:rsidRPr="00C64221">
              <w:t>аминотрансфераза</w:t>
            </w:r>
            <w:proofErr w:type="spellEnd"/>
          </w:p>
        </w:tc>
        <w:tc>
          <w:tcPr>
            <w:tcW w:w="1841" w:type="dxa"/>
          </w:tcPr>
          <w:p w14:paraId="70F752C2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4FABFF4E" w14:textId="77777777" w:rsidTr="00F015C6">
        <w:tc>
          <w:tcPr>
            <w:tcW w:w="1866" w:type="dxa"/>
          </w:tcPr>
          <w:p w14:paraId="2BB3008D" w14:textId="502081FD" w:rsidR="00F015C6" w:rsidRPr="00C64221" w:rsidRDefault="00F015C6" w:rsidP="00F015C6">
            <w:pPr>
              <w:rPr>
                <w:rFonts w:cs="Arial"/>
              </w:rPr>
            </w:pPr>
            <w:r w:rsidRPr="00C64221">
              <w:t>Нарушения на кожата и подкожната тъкан</w:t>
            </w:r>
          </w:p>
        </w:tc>
        <w:tc>
          <w:tcPr>
            <w:tcW w:w="1864" w:type="dxa"/>
          </w:tcPr>
          <w:p w14:paraId="0D28EF9A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767C9A45" w14:textId="0A27B01D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Дерматит, нощно изпотяване, </w:t>
            </w:r>
            <w:proofErr w:type="spellStart"/>
            <w:r w:rsidRPr="00C64221">
              <w:t>пруритус</w:t>
            </w:r>
            <w:proofErr w:type="spellEnd"/>
          </w:p>
        </w:tc>
        <w:tc>
          <w:tcPr>
            <w:tcW w:w="1905" w:type="dxa"/>
          </w:tcPr>
          <w:p w14:paraId="2537332B" w14:textId="2F9C0860" w:rsidR="00F015C6" w:rsidRPr="00C64221" w:rsidRDefault="00F015C6" w:rsidP="00F015C6">
            <w:pPr>
              <w:rPr>
                <w:rFonts w:cs="Arial"/>
              </w:rPr>
            </w:pPr>
            <w:r w:rsidRPr="00C64221">
              <w:t>Алопеция, уртикария, сухота на кожата</w:t>
            </w:r>
          </w:p>
        </w:tc>
        <w:tc>
          <w:tcPr>
            <w:tcW w:w="1841" w:type="dxa"/>
          </w:tcPr>
          <w:p w14:paraId="51B2B3E3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3C924289" w14:textId="77777777" w:rsidTr="00F015C6">
        <w:tc>
          <w:tcPr>
            <w:tcW w:w="1866" w:type="dxa"/>
          </w:tcPr>
          <w:p w14:paraId="146E2622" w14:textId="0FFA1B6D" w:rsidR="00F015C6" w:rsidRPr="00C64221" w:rsidRDefault="00F015C6" w:rsidP="00F015C6">
            <w:pPr>
              <w:rPr>
                <w:rFonts w:cs="Arial"/>
              </w:rPr>
            </w:pPr>
            <w:r w:rsidRPr="00C64221">
              <w:t>Нарушения на мускулно-скелетната система и съединителната тъкан</w:t>
            </w:r>
          </w:p>
        </w:tc>
        <w:tc>
          <w:tcPr>
            <w:tcW w:w="1864" w:type="dxa"/>
          </w:tcPr>
          <w:p w14:paraId="60B9B52D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4F685C7C" w14:textId="08FAE231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Болка в гърба, </w:t>
            </w:r>
            <w:proofErr w:type="spellStart"/>
            <w:r w:rsidRPr="00C64221">
              <w:t>миалгия</w:t>
            </w:r>
            <w:proofErr w:type="spellEnd"/>
            <w:r w:rsidRPr="00C64221">
              <w:t xml:space="preserve">, </w:t>
            </w:r>
            <w:proofErr w:type="spellStart"/>
            <w:r w:rsidRPr="00C64221">
              <w:t>артралгия</w:t>
            </w:r>
            <w:proofErr w:type="spellEnd"/>
            <w:r w:rsidRPr="00C64221">
              <w:t>, мускулни спазми</w:t>
            </w:r>
          </w:p>
        </w:tc>
        <w:tc>
          <w:tcPr>
            <w:tcW w:w="1905" w:type="dxa"/>
          </w:tcPr>
          <w:p w14:paraId="71B0D26B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278536C1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76F5260E" w14:textId="77777777" w:rsidTr="00F015C6">
        <w:tc>
          <w:tcPr>
            <w:tcW w:w="1866" w:type="dxa"/>
          </w:tcPr>
          <w:p w14:paraId="520F52FE" w14:textId="1BC4311E" w:rsidR="00F015C6" w:rsidRPr="00C64221" w:rsidRDefault="00F015C6" w:rsidP="00F015C6">
            <w:pPr>
              <w:rPr>
                <w:rFonts w:cs="Arial"/>
              </w:rPr>
            </w:pPr>
            <w:r w:rsidRPr="00C64221">
              <w:t>Нарушения на бъбреците и пикочните пътища</w:t>
            </w:r>
          </w:p>
        </w:tc>
        <w:tc>
          <w:tcPr>
            <w:tcW w:w="1864" w:type="dxa"/>
          </w:tcPr>
          <w:p w14:paraId="30EFB038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764814EE" w14:textId="509D1208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Намален бъбречен </w:t>
            </w:r>
            <w:proofErr w:type="spellStart"/>
            <w:r w:rsidRPr="00C64221">
              <w:t>креатининов</w:t>
            </w:r>
            <w:proofErr w:type="spellEnd"/>
            <w:r w:rsidRPr="00C64221">
              <w:t xml:space="preserve"> клирънс, бъбречни увреждане</w:t>
            </w:r>
          </w:p>
        </w:tc>
        <w:tc>
          <w:tcPr>
            <w:tcW w:w="1905" w:type="dxa"/>
          </w:tcPr>
          <w:p w14:paraId="4657DE54" w14:textId="34C99759" w:rsidR="00F015C6" w:rsidRPr="00C64221" w:rsidRDefault="00F015C6" w:rsidP="00F015C6">
            <w:pPr>
              <w:rPr>
                <w:rFonts w:cs="Arial"/>
              </w:rPr>
            </w:pPr>
            <w:proofErr w:type="spellStart"/>
            <w:r w:rsidRPr="00C64221">
              <w:t>Хематурия</w:t>
            </w:r>
            <w:proofErr w:type="spellEnd"/>
            <w:r w:rsidRPr="00C64221">
              <w:t>, бъбречна недостатъчност</w:t>
            </w:r>
          </w:p>
        </w:tc>
        <w:tc>
          <w:tcPr>
            <w:tcW w:w="1841" w:type="dxa"/>
          </w:tcPr>
          <w:p w14:paraId="33F91DB3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7E6621B3" w14:textId="77777777" w:rsidTr="00F015C6">
        <w:tc>
          <w:tcPr>
            <w:tcW w:w="1866" w:type="dxa"/>
          </w:tcPr>
          <w:p w14:paraId="35C1D29C" w14:textId="34BFEE06" w:rsidR="00F015C6" w:rsidRPr="00C64221" w:rsidRDefault="00F015C6" w:rsidP="00F015C6">
            <w:pPr>
              <w:rPr>
                <w:rFonts w:cs="Arial"/>
              </w:rPr>
            </w:pPr>
            <w:r w:rsidRPr="00C64221">
              <w:t>Нарушения на възпроизводителната система и гърдата</w:t>
            </w:r>
          </w:p>
        </w:tc>
        <w:tc>
          <w:tcPr>
            <w:tcW w:w="1864" w:type="dxa"/>
          </w:tcPr>
          <w:p w14:paraId="67B97752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51237E06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1905" w:type="dxa"/>
          </w:tcPr>
          <w:p w14:paraId="59A681F9" w14:textId="421B3AF7" w:rsidR="00F015C6" w:rsidRPr="00C64221" w:rsidRDefault="00F015C6" w:rsidP="00F015C6">
            <w:pPr>
              <w:rPr>
                <w:rFonts w:cs="Arial"/>
              </w:rPr>
            </w:pPr>
            <w:proofErr w:type="spellStart"/>
            <w:r w:rsidRPr="00C64221">
              <w:t>Инфертилитет</w:t>
            </w:r>
            <w:proofErr w:type="spellEnd"/>
            <w:r w:rsidRPr="00C64221">
              <w:t xml:space="preserve"> при мъжете</w:t>
            </w:r>
          </w:p>
        </w:tc>
        <w:tc>
          <w:tcPr>
            <w:tcW w:w="1841" w:type="dxa"/>
          </w:tcPr>
          <w:p w14:paraId="63D50678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6D3F7B39" w14:textId="77777777" w:rsidTr="00F015C6">
        <w:tc>
          <w:tcPr>
            <w:tcW w:w="1866" w:type="dxa"/>
          </w:tcPr>
          <w:p w14:paraId="2F27D6C0" w14:textId="29B1E6F4" w:rsidR="00F015C6" w:rsidRPr="00C64221" w:rsidRDefault="00F015C6" w:rsidP="00F015C6">
            <w:pPr>
              <w:rPr>
                <w:rFonts w:cs="Arial"/>
              </w:rPr>
            </w:pPr>
            <w:r w:rsidRPr="00C64221">
              <w:t>Общи нарушения и ефекти на мястото на приложение</w:t>
            </w:r>
          </w:p>
        </w:tc>
        <w:tc>
          <w:tcPr>
            <w:tcW w:w="1864" w:type="dxa"/>
          </w:tcPr>
          <w:p w14:paraId="26664E01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3DCB566D" w14:textId="28F5F496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Умора, </w:t>
            </w:r>
            <w:proofErr w:type="spellStart"/>
            <w:r w:rsidRPr="00C64221">
              <w:t>пирексия</w:t>
            </w:r>
            <w:proofErr w:type="spellEnd"/>
            <w:r w:rsidRPr="00C64221">
              <w:t xml:space="preserve">, втрисане, болка, болка в гърдите, неразположение, </w:t>
            </w:r>
            <w:proofErr w:type="spellStart"/>
            <w:r w:rsidRPr="00C64221">
              <w:t>астения</w:t>
            </w:r>
            <w:proofErr w:type="spellEnd"/>
          </w:p>
        </w:tc>
        <w:tc>
          <w:tcPr>
            <w:tcW w:w="1905" w:type="dxa"/>
          </w:tcPr>
          <w:p w14:paraId="3CBF7A2D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18BEDD60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  <w:tr w:rsidR="00F015C6" w:rsidRPr="00C64221" w14:paraId="7DA7603A" w14:textId="77777777" w:rsidTr="00F015C6">
        <w:tc>
          <w:tcPr>
            <w:tcW w:w="1866" w:type="dxa"/>
          </w:tcPr>
          <w:p w14:paraId="37672142" w14:textId="7EB4DF14" w:rsidR="00F015C6" w:rsidRPr="00C64221" w:rsidRDefault="00F015C6" w:rsidP="00F015C6">
            <w:pPr>
              <w:rPr>
                <w:rFonts w:cs="Arial"/>
              </w:rPr>
            </w:pPr>
            <w:r w:rsidRPr="00C64221">
              <w:t>Изследвания</w:t>
            </w:r>
          </w:p>
        </w:tc>
        <w:tc>
          <w:tcPr>
            <w:tcW w:w="1864" w:type="dxa"/>
          </w:tcPr>
          <w:p w14:paraId="0A73BC05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2100" w:type="dxa"/>
          </w:tcPr>
          <w:p w14:paraId="1500B388" w14:textId="7BDEF221" w:rsidR="00F015C6" w:rsidRPr="00C64221" w:rsidRDefault="00F015C6" w:rsidP="00F015C6">
            <w:pPr>
              <w:rPr>
                <w:rFonts w:cs="Arial"/>
              </w:rPr>
            </w:pPr>
            <w:r w:rsidRPr="00C64221">
              <w:t xml:space="preserve">Намалено тегло, повишен </w:t>
            </w:r>
            <w:proofErr w:type="spellStart"/>
            <w:r w:rsidRPr="00C64221">
              <w:t>креатинин</w:t>
            </w:r>
            <w:proofErr w:type="spellEnd"/>
            <w:r w:rsidRPr="00C64221">
              <w:t xml:space="preserve"> в кръвта</w:t>
            </w:r>
          </w:p>
        </w:tc>
        <w:tc>
          <w:tcPr>
            <w:tcW w:w="1905" w:type="dxa"/>
          </w:tcPr>
          <w:p w14:paraId="56F42639" w14:textId="77777777" w:rsidR="00F015C6" w:rsidRPr="00C64221" w:rsidRDefault="00F015C6" w:rsidP="00F015C6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6F6B2CED" w14:textId="77777777" w:rsidR="00F015C6" w:rsidRPr="00C64221" w:rsidRDefault="00F015C6" w:rsidP="00F015C6">
            <w:pPr>
              <w:rPr>
                <w:rFonts w:cs="Arial"/>
              </w:rPr>
            </w:pPr>
          </w:p>
        </w:tc>
      </w:tr>
    </w:tbl>
    <w:p w14:paraId="0556CCA1" w14:textId="32FBE389" w:rsidR="00E302E7" w:rsidRPr="00C64221" w:rsidRDefault="00E302E7" w:rsidP="00E302E7">
      <w:pPr>
        <w:rPr>
          <w:rFonts w:cs="Arial"/>
        </w:rPr>
      </w:pPr>
    </w:p>
    <w:p w14:paraId="17315522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Тежката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може да бъде свързана с потенциално животозастрашаващо кървене.</w:t>
      </w:r>
    </w:p>
    <w:p w14:paraId="4349C826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9BADBA" w14:textId="6FFFCC34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Отлепване на ретината се съобщава само при пациенти със СПИН, лекувани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за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4FC1D9C4" w14:textId="77777777" w:rsidR="00F015C6" w:rsidRPr="00C64221" w:rsidRDefault="00F015C6" w:rsidP="00F015C6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1649123" w14:textId="709545A2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b/>
          <w:bCs/>
          <w:i/>
          <w:iCs/>
          <w:color w:val="000000"/>
          <w:lang w:eastAsia="bg-BG"/>
        </w:rPr>
        <w:t>В) Педиатрична популация</w:t>
      </w:r>
    </w:p>
    <w:p w14:paraId="61ADE8E2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20BA04" w14:textId="5ACC10D0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изследван при 179 педиатрични пациенти с трансплантация на солиден орган с риск от развитие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 (на възраст от 3 седмици до 16 </w:t>
      </w:r>
      <w:r w:rsidRPr="00C64221">
        <w:rPr>
          <w:rFonts w:eastAsia="Times New Roman" w:cs="Arial"/>
          <w:color w:val="000000"/>
          <w:lang w:eastAsia="bg-BG"/>
        </w:rPr>
        <w:lastRenderedPageBreak/>
        <w:t xml:space="preserve">години) и 133 новородени със симптоматично вродено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 (на възраст от 2 до 31 дни), с продължителност на експозицията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от 2 до 200 дни.</w:t>
      </w:r>
    </w:p>
    <w:p w14:paraId="183AB152" w14:textId="77777777" w:rsidR="00F015C6" w:rsidRPr="00C64221" w:rsidRDefault="00F015C6" w:rsidP="00F015C6">
      <w:pPr>
        <w:rPr>
          <w:rFonts w:eastAsia="Times New Roman" w:cs="Arial"/>
          <w:color w:val="000000"/>
          <w:lang w:eastAsia="bg-BG"/>
        </w:rPr>
      </w:pPr>
    </w:p>
    <w:p w14:paraId="0454C8E1" w14:textId="0B19109E" w:rsidR="00F015C6" w:rsidRPr="00C64221" w:rsidRDefault="00F015C6" w:rsidP="00F015C6">
      <w:pPr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 xml:space="preserve">Най-често съобщаваните нежелани реакции при лечение в педиатричните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клини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изпитвания са диария, гадене,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анемия.</w:t>
      </w:r>
    </w:p>
    <w:p w14:paraId="5B9F4674" w14:textId="085EADCE" w:rsidR="00F015C6" w:rsidRPr="00C64221" w:rsidRDefault="00F015C6" w:rsidP="00F015C6">
      <w:pPr>
        <w:rPr>
          <w:rFonts w:eastAsia="Times New Roman" w:cs="Arial"/>
          <w:color w:val="000000"/>
          <w:lang w:eastAsia="bg-BG"/>
        </w:rPr>
      </w:pPr>
    </w:p>
    <w:p w14:paraId="605541B2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пациентите с трансплантация на солиден орган общият профил на безопасност при педиатричните пациенти е подобен на този при възрастните. Честотата на някои нежелани събития обаче, като инфекция на горните дихателни пътища,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пирексия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коремна болка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дизурия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които може да са характерни за педиатричната популация, се съобщават с по-голяма честота при децата, отколкото при възрастните.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също се съобщава с малко по- голяма честота в двете клинични изпитвания, проведени при педиатрични пациенти с трансплантация на солиден орган, в сравнение с възрастните, но няма корелация между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инфекциозните нежелани събития в педиатричната популация.</w:t>
      </w:r>
    </w:p>
    <w:p w14:paraId="4BD8D4EE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C63543" w14:textId="09C4540B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педиатрични пациенти с бъбречна трансплантация удължаването на експозицията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до 200 дни не е свързано с общото увеличение на честотата на нежеланите събития. Честотата на тежка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(АБН </w:t>
      </w:r>
      <w:r w:rsidRPr="00C64221">
        <w:rPr>
          <w:rFonts w:eastAsia="Times New Roman" w:cs="Arial"/>
          <w:color w:val="000000"/>
        </w:rPr>
        <w:t>&lt;500/</w:t>
      </w:r>
      <w:proofErr w:type="spellStart"/>
      <w:r w:rsidRPr="00C64221">
        <w:rPr>
          <w:rFonts w:eastAsia="Times New Roman" w:cs="Arial"/>
          <w:color w:val="000000"/>
          <w:lang w:eastAsia="bg-BG"/>
        </w:rPr>
        <w:t>μ</w:t>
      </w:r>
      <w:r w:rsidRPr="00C64221">
        <w:rPr>
          <w:rFonts w:eastAsia="Times New Roman" w:cs="Arial"/>
          <w:color w:val="000000"/>
        </w:rPr>
        <w:t>L</w:t>
      </w:r>
      <w:proofErr w:type="spellEnd"/>
      <w:r w:rsidRPr="00C64221">
        <w:rPr>
          <w:rFonts w:eastAsia="Times New Roman" w:cs="Arial"/>
          <w:color w:val="000000"/>
        </w:rPr>
        <w:t xml:space="preserve">) </w:t>
      </w:r>
      <w:r w:rsidRPr="00C64221">
        <w:rPr>
          <w:rFonts w:eastAsia="Times New Roman" w:cs="Arial"/>
          <w:color w:val="000000"/>
          <w:lang w:eastAsia="bg-BG"/>
        </w:rPr>
        <w:t>е по-висока при педиатричните пациенти с бъбречна трансплантация, лекувани до ден 200, в сравнение с педиатричните пациенти, лекувани до ден 100, и с възрастните пациенти с бъбречна трансплантация, лекувани до ден 100 или ден 200 (вж. точка 4.4).</w:t>
      </w:r>
    </w:p>
    <w:p w14:paraId="7D889E57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F61EE2" w14:textId="586D8B5F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Има само ограничени данни при новородените или кърмачетата със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симптомна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вродена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инфекция, лекувани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но изглежда, че безопасността съответства на известния профил на безопасност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/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1D7CE592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C0BB23F" w14:textId="7D2F5FD8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7C1F553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съобщаване: Изпълнителна агенция по лекарствата ул. „Дамян Груев” № 8 1303 София</w:t>
      </w:r>
    </w:p>
    <w:p w14:paraId="76ED5434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Тел.:+359 2 8903417 уебсайт: </w:t>
      </w:r>
      <w:r w:rsidRPr="00C64221">
        <w:rPr>
          <w:rFonts w:eastAsia="Times New Roman" w:cs="Arial"/>
          <w:color w:val="000000"/>
          <w:u w:val="single"/>
        </w:rPr>
        <w:t>wAvw.bda.bg</w:t>
      </w:r>
    </w:p>
    <w:p w14:paraId="333E6D43" w14:textId="77777777" w:rsidR="00F015C6" w:rsidRPr="00C64221" w:rsidRDefault="00F015C6" w:rsidP="00F015C6">
      <w:pPr>
        <w:rPr>
          <w:rFonts w:cs="Arial"/>
        </w:rPr>
      </w:pPr>
    </w:p>
    <w:p w14:paraId="5A87DBA3" w14:textId="2A019FBF" w:rsidR="007122AD" w:rsidRPr="00C64221" w:rsidRDefault="002C50EE" w:rsidP="00936AD0">
      <w:pPr>
        <w:pStyle w:val="Heading2"/>
      </w:pPr>
      <w:r w:rsidRPr="00C64221">
        <w:t>4.9. Предозиране</w:t>
      </w:r>
    </w:p>
    <w:p w14:paraId="1B5A1D0F" w14:textId="6B19848A" w:rsidR="00F015C6" w:rsidRPr="00C64221" w:rsidRDefault="00F015C6" w:rsidP="00F015C6"/>
    <w:p w14:paraId="72060C13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 xml:space="preserve">Опит с предозиране на </w:t>
      </w:r>
      <w:proofErr w:type="spellStart"/>
      <w:r w:rsidRPr="00C64221">
        <w:rPr>
          <w:rFonts w:eastAsia="Times New Roman" w:cs="Arial"/>
          <w:color w:val="000000"/>
          <w:u w:val="single"/>
          <w:lang w:eastAsia="bg-BG"/>
        </w:rPr>
        <w:t>валганцикловир</w:t>
      </w:r>
      <w:proofErr w:type="spellEnd"/>
    </w:p>
    <w:p w14:paraId="6D0A29CA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Един възрастен пациент е развил летална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костномозъчна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депресия (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медуларна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аплазия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) след няколко дни прилагане в дози, които са били поне 10 пъти по-високи от препоръчваните за степента на бъбречното увреждане, което е имал пациентът (намален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клирънс).</w:t>
      </w:r>
    </w:p>
    <w:p w14:paraId="75F12716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F21202" w14:textId="54D12123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Очаква се, че предозиране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също би могло да доведе до повишена бъбречна токсичност (вж. точки 4.2 и 4.4).</w:t>
      </w:r>
    </w:p>
    <w:p w14:paraId="145719C9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A9B8A9" w14:textId="3F755BFF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Хемодиализата и хидратирането може да са от полза за понижаване на плазмените нива на кръвта при пациенти с предозиране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(вж. точка 5.2).</w:t>
      </w:r>
    </w:p>
    <w:p w14:paraId="4197E5F9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81DEE62" w14:textId="6C84E6D2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 xml:space="preserve">Опит с предозиране на интравенозно приложен </w:t>
      </w:r>
      <w:proofErr w:type="spellStart"/>
      <w:r w:rsidRPr="00C64221">
        <w:rPr>
          <w:rFonts w:eastAsia="Times New Roman" w:cs="Arial"/>
          <w:color w:val="000000"/>
          <w:u w:val="single"/>
          <w:lang w:eastAsia="bg-BG"/>
        </w:rPr>
        <w:t>ганцикловир</w:t>
      </w:r>
      <w:proofErr w:type="spellEnd"/>
    </w:p>
    <w:p w14:paraId="7F4EE7E9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lastRenderedPageBreak/>
        <w:t xml:space="preserve">Съобщения за предозиране на интравенозно приложен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са получени от клинични изпитвания и по време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постмаркетинговия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опит. В някои от тези случаи не се съобщават нежелани събития. Повечето от пациентите са имали едно или повече от следните нежелани събития:</w:t>
      </w:r>
    </w:p>
    <w:p w14:paraId="6DA20720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123CC56" w14:textId="7B5E59A5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Хематологична токсичност:</w:t>
      </w:r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панцитопения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костномозъчна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депресия,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медуларна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аплазия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гранулоцитопения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7D6D7FB2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62A7EE" w14:textId="6CC8C992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Хепатотоксичност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>:</w:t>
      </w:r>
      <w:r w:rsidRPr="00C64221">
        <w:rPr>
          <w:rFonts w:eastAsia="Times New Roman" w:cs="Arial"/>
          <w:color w:val="000000"/>
          <w:lang w:eastAsia="bg-BG"/>
        </w:rPr>
        <w:t xml:space="preserve"> хепатит, функционални чернодробни нарушения.</w:t>
      </w:r>
    </w:p>
    <w:p w14:paraId="6DE9D442" w14:textId="3E80C94F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7B7BB4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Бъбречна токсичност:</w:t>
      </w:r>
      <w:r w:rsidRPr="00C64221">
        <w:rPr>
          <w:rFonts w:eastAsia="Times New Roman" w:cs="Arial"/>
          <w:color w:val="000000"/>
          <w:lang w:eastAsia="bg-BG"/>
        </w:rPr>
        <w:t xml:space="preserve"> влошаване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хематурия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при пациент с предшестващо бъбречно увреждане, остра бъбречна недостатъчност, повишен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35573B08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7456935" w14:textId="6DB434B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Стомашно-чревна токсичност:</w:t>
      </w:r>
      <w:r w:rsidRPr="00C64221">
        <w:rPr>
          <w:rFonts w:eastAsia="Times New Roman" w:cs="Arial"/>
          <w:color w:val="000000"/>
          <w:lang w:eastAsia="bg-BG"/>
        </w:rPr>
        <w:t xml:space="preserve"> коремна болка, диария, повръщане.</w:t>
      </w:r>
    </w:p>
    <w:p w14:paraId="4E0D4E9E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CFE95E6" w14:textId="1845EE66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Невротоксичност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>:</w:t>
      </w:r>
      <w:r w:rsidRPr="00C64221">
        <w:rPr>
          <w:rFonts w:eastAsia="Times New Roman" w:cs="Arial"/>
          <w:color w:val="000000"/>
          <w:lang w:eastAsia="bg-BG"/>
        </w:rPr>
        <w:t xml:space="preserve"> генерализиран тремор, гърчове.</w:t>
      </w:r>
    </w:p>
    <w:p w14:paraId="02081B24" w14:textId="1F46E296" w:rsidR="00395555" w:rsidRPr="00C64221" w:rsidRDefault="002C50EE" w:rsidP="008A6AF2">
      <w:pPr>
        <w:pStyle w:val="Heading1"/>
      </w:pPr>
      <w:r w:rsidRPr="00C64221">
        <w:t>5. ФАРМАКОЛОГИЧНИ СВОЙСТВА</w:t>
      </w:r>
    </w:p>
    <w:p w14:paraId="7DE36AC8" w14:textId="4DD77A8C" w:rsidR="00B6672E" w:rsidRPr="00C64221" w:rsidRDefault="002C50EE" w:rsidP="00936AD0">
      <w:pPr>
        <w:pStyle w:val="Heading2"/>
      </w:pPr>
      <w:r w:rsidRPr="00C64221">
        <w:t xml:space="preserve">5.1. </w:t>
      </w:r>
      <w:proofErr w:type="spellStart"/>
      <w:r w:rsidRPr="00C64221">
        <w:t>Фармакодинамични</w:t>
      </w:r>
      <w:proofErr w:type="spellEnd"/>
      <w:r w:rsidRPr="00C64221">
        <w:t xml:space="preserve"> свойства</w:t>
      </w:r>
    </w:p>
    <w:p w14:paraId="5E852F3D" w14:textId="367223F5" w:rsidR="00F015C6" w:rsidRPr="00C64221" w:rsidRDefault="00F015C6" w:rsidP="00F015C6"/>
    <w:p w14:paraId="05B48580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Фармакотерапевтична група: противовирусни средства за системно приложение,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нуклеозиди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нуклеотиди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изключение на инхибитори на обратната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транскриптаза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АТС код: </w:t>
      </w:r>
      <w:r w:rsidRPr="00C64221">
        <w:rPr>
          <w:rFonts w:eastAsia="Times New Roman" w:cs="Arial"/>
          <w:color w:val="000000"/>
        </w:rPr>
        <w:t>J05AB14</w:t>
      </w:r>
      <w:r w:rsidRPr="00C64221">
        <w:rPr>
          <w:rFonts w:eastAsia="Times New Roman" w:cs="Arial"/>
          <w:color w:val="000000"/>
          <w:lang w:eastAsia="bg-BG"/>
        </w:rPr>
        <w:t>.</w:t>
      </w:r>
    </w:p>
    <w:p w14:paraId="3985F802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9723705" w14:textId="0EBE671A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2DB5AB83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</w:t>
      </w:r>
      <w:r w:rsidRPr="00C64221">
        <w:rPr>
          <w:rFonts w:eastAsia="Times New Roman" w:cs="Arial"/>
          <w:color w:val="000000"/>
        </w:rPr>
        <w:t>L</w:t>
      </w:r>
      <w:r w:rsidRPr="00C64221">
        <w:rPr>
          <w:rFonts w:eastAsia="Times New Roman" w:cs="Arial"/>
          <w:color w:val="000000"/>
          <w:lang w:eastAsia="bg-BG"/>
        </w:rPr>
        <w:t>-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валилов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естер (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прекурсор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)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След перорално приложение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бързо и в голяма степен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помощта на чревните и чернодробните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естерази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синтетичен аналог на 2'-дезоксигуанозин, който инхибира репликацията на херпес вирусите </w:t>
      </w:r>
      <w:proofErr w:type="spellStart"/>
      <w:r w:rsidRPr="00C64221">
        <w:rPr>
          <w:rFonts w:eastAsia="Times New Roman" w:cs="Arial"/>
          <w:i/>
          <w:iCs/>
          <w:color w:val="000000"/>
        </w:rPr>
        <w:t>in</w:t>
      </w:r>
      <w:proofErr w:type="spellEnd"/>
      <w:r w:rsidRPr="00C6422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C64221">
        <w:rPr>
          <w:rFonts w:eastAsia="Times New Roman" w:cs="Arial"/>
          <w:i/>
          <w:iCs/>
          <w:color w:val="000000"/>
        </w:rPr>
        <w:t>vitro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C64221">
        <w:rPr>
          <w:rFonts w:eastAsia="Times New Roman" w:cs="Arial"/>
          <w:i/>
          <w:iCs/>
          <w:color w:val="000000"/>
        </w:rPr>
        <w:t>in</w:t>
      </w:r>
      <w:proofErr w:type="spellEnd"/>
      <w:r w:rsidRPr="00C6422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C64221">
        <w:rPr>
          <w:rFonts w:eastAsia="Times New Roman" w:cs="Arial"/>
          <w:i/>
          <w:iCs/>
          <w:color w:val="000000"/>
        </w:rPr>
        <w:t>vivo</w:t>
      </w:r>
      <w:proofErr w:type="spellEnd"/>
      <w:r w:rsidRPr="00C64221">
        <w:rPr>
          <w:rFonts w:eastAsia="Times New Roman" w:cs="Arial"/>
          <w:i/>
          <w:iCs/>
          <w:color w:val="000000"/>
        </w:rPr>
        <w:t>.</w:t>
      </w:r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Чувствителните вируси при човека включват човешки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цитомегаловирус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 xml:space="preserve">(HCMV), </w:t>
      </w:r>
      <w:r w:rsidRPr="00C64221">
        <w:rPr>
          <w:rFonts w:eastAsia="Times New Roman" w:cs="Arial"/>
          <w:color w:val="000000"/>
          <w:lang w:eastAsia="bg-BG"/>
        </w:rPr>
        <w:t xml:space="preserve">херпес симплекс вирус-1 и -2 </w:t>
      </w:r>
      <w:r w:rsidRPr="00C64221">
        <w:rPr>
          <w:rFonts w:eastAsia="Times New Roman" w:cs="Arial"/>
          <w:color w:val="000000"/>
        </w:rPr>
        <w:t xml:space="preserve">(HSV-1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r w:rsidRPr="00C64221">
        <w:rPr>
          <w:rFonts w:eastAsia="Times New Roman" w:cs="Arial"/>
          <w:color w:val="000000"/>
        </w:rPr>
        <w:t xml:space="preserve">HSV-2), </w:t>
      </w:r>
      <w:r w:rsidRPr="00C64221">
        <w:rPr>
          <w:rFonts w:eastAsia="Times New Roman" w:cs="Arial"/>
          <w:color w:val="000000"/>
          <w:lang w:eastAsia="bg-BG"/>
        </w:rPr>
        <w:t xml:space="preserve">човешки херпес вирус -6, -7 и -8 </w:t>
      </w:r>
      <w:r w:rsidRPr="00C64221">
        <w:rPr>
          <w:rFonts w:eastAsia="Times New Roman" w:cs="Arial"/>
          <w:color w:val="000000"/>
        </w:rPr>
        <w:t xml:space="preserve">(HHV-6, HHV-7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r w:rsidRPr="00C64221">
        <w:rPr>
          <w:rFonts w:eastAsia="Times New Roman" w:cs="Arial"/>
          <w:color w:val="000000"/>
        </w:rPr>
        <w:t xml:space="preserve">HHV-8), </w:t>
      </w:r>
      <w:proofErr w:type="spellStart"/>
      <w:r w:rsidRPr="00C64221">
        <w:rPr>
          <w:rFonts w:eastAsia="Times New Roman" w:cs="Arial"/>
          <w:color w:val="000000"/>
        </w:rPr>
        <w:t>Epstein-Barr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вирус </w:t>
      </w:r>
      <w:r w:rsidRPr="00C64221">
        <w:rPr>
          <w:rFonts w:eastAsia="Times New Roman" w:cs="Arial"/>
          <w:color w:val="000000"/>
        </w:rPr>
        <w:t xml:space="preserve">(EBV), </w:t>
      </w:r>
      <w:r w:rsidRPr="00C64221">
        <w:rPr>
          <w:rFonts w:eastAsia="Times New Roman" w:cs="Arial"/>
          <w:color w:val="000000"/>
          <w:lang w:eastAsia="bg-BG"/>
        </w:rPr>
        <w:t xml:space="preserve">варицела-зостер вирус </w:t>
      </w:r>
      <w:r w:rsidRPr="00C64221">
        <w:rPr>
          <w:rFonts w:eastAsia="Times New Roman" w:cs="Arial"/>
          <w:color w:val="000000"/>
        </w:rPr>
        <w:t xml:space="preserve">(VZV) </w:t>
      </w:r>
      <w:r w:rsidRPr="00C64221">
        <w:rPr>
          <w:rFonts w:eastAsia="Times New Roman" w:cs="Arial"/>
          <w:color w:val="000000"/>
          <w:lang w:eastAsia="bg-BG"/>
        </w:rPr>
        <w:t xml:space="preserve">и вируса на хепатит В </w:t>
      </w:r>
      <w:r w:rsidRPr="00C64221">
        <w:rPr>
          <w:rFonts w:eastAsia="Times New Roman" w:cs="Arial"/>
          <w:color w:val="000000"/>
        </w:rPr>
        <w:t>(HBV).</w:t>
      </w:r>
    </w:p>
    <w:p w14:paraId="7C4B188D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817B43" w14:textId="63883AF8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В клетките, инфектирани с </w:t>
      </w:r>
      <w:r w:rsidRPr="00C64221">
        <w:rPr>
          <w:rFonts w:eastAsia="Times New Roman" w:cs="Arial"/>
          <w:color w:val="000000"/>
        </w:rPr>
        <w:t xml:space="preserve">CMV,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първоначално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фосфорилира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от вирусната протеин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киназа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 xml:space="preserve">pUL97 </w:t>
      </w:r>
      <w:r w:rsidRPr="00C64221">
        <w:rPr>
          <w:rFonts w:eastAsia="Times New Roman" w:cs="Arial"/>
          <w:color w:val="000000"/>
          <w:lang w:eastAsia="bg-BG"/>
        </w:rPr>
        <w:t xml:space="preserve">до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монофосфат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След това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фосфорилирането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извършва от клетъчните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кинази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като се получава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трифосфат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който после бавно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интрацелуларно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Доказано е, че трифосфатният метаболизъм се наблюдава в клетки, инфектирани с </w:t>
      </w:r>
      <w:r w:rsidRPr="00C64221">
        <w:rPr>
          <w:rFonts w:eastAsia="Times New Roman" w:cs="Arial"/>
          <w:color w:val="000000"/>
        </w:rPr>
        <w:t xml:space="preserve">HSV-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r w:rsidRPr="00C64221">
        <w:rPr>
          <w:rFonts w:eastAsia="Times New Roman" w:cs="Arial"/>
          <w:color w:val="000000"/>
        </w:rPr>
        <w:t xml:space="preserve">HCMV, </w:t>
      </w:r>
      <w:r w:rsidRPr="00C64221">
        <w:rPr>
          <w:rFonts w:eastAsia="Times New Roman" w:cs="Arial"/>
          <w:color w:val="000000"/>
          <w:lang w:eastAsia="bg-BG"/>
        </w:rPr>
        <w:t xml:space="preserve">като времето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подуелиминиране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било съответно 18 и съответно между 6 до 24 часа, след елиминирането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екстрацелуларния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Тъй като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фосфорилирането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зависи в голяма степен от вирусната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киназа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фосфорилирането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извършва преференциално в инфектираните с вирус клетки.</w:t>
      </w:r>
    </w:p>
    <w:p w14:paraId="77EBB2C5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62756E" w14:textId="67F9DEF8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Вирустатичната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активност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дължи на инхибирането на синтезата на вирусната ДНК чрез: (а) конкурентно инхибиране на инкорпорирането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дезоксигуанозин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трифосфат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ДНК от вирусната ДНК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полимераза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(б) инкорпориране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трифосфат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във вирусната ДНК, което предизвиква прекъсване или силно ограничаване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по</w:t>
      </w:r>
      <w:r w:rsidRPr="00C64221">
        <w:rPr>
          <w:rFonts w:eastAsia="Times New Roman" w:cs="Arial"/>
          <w:color w:val="000000"/>
          <w:lang w:eastAsia="bg-BG"/>
        </w:rPr>
        <w:softHyphen/>
        <w:t>нататъшното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удължаване на вирусната ДНК.</w:t>
      </w:r>
    </w:p>
    <w:p w14:paraId="43183BA0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B3FF0B9" w14:textId="2836383D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lastRenderedPageBreak/>
        <w:t>Антивирусна активност</w:t>
      </w:r>
    </w:p>
    <w:p w14:paraId="0F02DB67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Антивирусната активност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срещу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i/>
          <w:iCs/>
          <w:color w:val="000000"/>
        </w:rPr>
        <w:t>in</w:t>
      </w:r>
      <w:proofErr w:type="spellEnd"/>
      <w:r w:rsidRPr="00C6422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C64221">
        <w:rPr>
          <w:rFonts w:eastAsia="Times New Roman" w:cs="Arial"/>
          <w:i/>
          <w:iCs/>
          <w:color w:val="000000"/>
        </w:rPr>
        <w:t>vitro</w:t>
      </w:r>
      <w:proofErr w:type="spellEnd"/>
      <w:r w:rsidRPr="00C64221">
        <w:rPr>
          <w:rFonts w:eastAsia="Times New Roman" w:cs="Arial"/>
          <w:i/>
          <w:iCs/>
          <w:color w:val="000000"/>
        </w:rPr>
        <w:t>,</w:t>
      </w:r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измерена чрез </w:t>
      </w:r>
      <w:r w:rsidRPr="00C64221">
        <w:rPr>
          <w:rFonts w:eastAsia="Times New Roman" w:cs="Arial"/>
          <w:color w:val="000000"/>
        </w:rPr>
        <w:t xml:space="preserve">IC50, </w:t>
      </w:r>
      <w:r w:rsidRPr="00C64221">
        <w:rPr>
          <w:rFonts w:eastAsia="Times New Roman" w:cs="Arial"/>
          <w:color w:val="000000"/>
          <w:lang w:eastAsia="bg-BG"/>
        </w:rPr>
        <w:t xml:space="preserve">е в границите между 0,08 </w:t>
      </w:r>
      <w:proofErr w:type="spellStart"/>
      <w:r w:rsidRPr="00C64221">
        <w:rPr>
          <w:rFonts w:eastAsia="Times New Roman" w:cs="Arial"/>
          <w:color w:val="000000"/>
          <w:lang w:eastAsia="bg-BG"/>
        </w:rPr>
        <w:t>μМ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(0,02 </w:t>
      </w:r>
      <w:proofErr w:type="spellStart"/>
      <w:r w:rsidRPr="00C64221">
        <w:rPr>
          <w:rFonts w:eastAsia="Times New Roman" w:cs="Arial"/>
          <w:color w:val="000000"/>
          <w:lang w:eastAsia="bg-BG"/>
        </w:rPr>
        <w:t>μ</w:t>
      </w:r>
      <w:r w:rsidRPr="00C64221">
        <w:rPr>
          <w:rFonts w:eastAsia="Times New Roman" w:cs="Arial"/>
          <w:color w:val="000000"/>
        </w:rPr>
        <w:t>g</w:t>
      </w:r>
      <w:proofErr w:type="spellEnd"/>
      <w:r w:rsidRPr="00C64221">
        <w:rPr>
          <w:rFonts w:eastAsia="Times New Roman" w:cs="Arial"/>
          <w:color w:val="000000"/>
        </w:rPr>
        <w:t xml:space="preserve">/ml) </w:t>
      </w:r>
      <w:r w:rsidRPr="00C64221">
        <w:rPr>
          <w:rFonts w:eastAsia="Times New Roman" w:cs="Arial"/>
          <w:color w:val="000000"/>
          <w:lang w:eastAsia="bg-BG"/>
        </w:rPr>
        <w:t xml:space="preserve">и 14 </w:t>
      </w:r>
      <w:proofErr w:type="spellStart"/>
      <w:r w:rsidRPr="00C64221">
        <w:rPr>
          <w:rFonts w:eastAsia="Times New Roman" w:cs="Arial"/>
          <w:color w:val="000000"/>
          <w:lang w:eastAsia="bg-BG"/>
        </w:rPr>
        <w:t>μМ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(3,5 </w:t>
      </w:r>
      <w:proofErr w:type="spellStart"/>
      <w:r w:rsidRPr="00C64221">
        <w:rPr>
          <w:rFonts w:eastAsia="Times New Roman" w:cs="Arial"/>
          <w:color w:val="000000"/>
        </w:rPr>
        <w:t>pg</w:t>
      </w:r>
      <w:proofErr w:type="spellEnd"/>
      <w:r w:rsidRPr="00C64221">
        <w:rPr>
          <w:rFonts w:eastAsia="Times New Roman" w:cs="Arial"/>
          <w:color w:val="000000"/>
        </w:rPr>
        <w:t>/ml).</w:t>
      </w:r>
    </w:p>
    <w:p w14:paraId="049C795D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A7AAFF" w14:textId="13B43D33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Клиничният антивирусен ефект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доказан при лечение на пациенти със СПИН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новодиагностициран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Отделянето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в урината намаляло от 46 % (32/69) пациенти в началото на изпитването на 7 % (4/55) болни след 4 седмици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54A462CF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A57FBC2" w14:textId="01E8A23B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708B4EE1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C623CE2" w14:textId="416F93F1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>Възрастни пациенти</w:t>
      </w:r>
    </w:p>
    <w:p w14:paraId="4D9DDE19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FC68A28" w14:textId="2B5DEEC6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Лечение на </w:t>
      </w:r>
      <w:r w:rsidRPr="00C64221">
        <w:rPr>
          <w:rFonts w:eastAsia="Times New Roman" w:cs="Arial"/>
          <w:i/>
          <w:iCs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>:</w:t>
      </w:r>
    </w:p>
    <w:p w14:paraId="0557815E" w14:textId="77777777" w:rsidR="00F015C6" w:rsidRPr="00C64221" w:rsidRDefault="00F015C6" w:rsidP="00F015C6">
      <w:pPr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Пациенти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новодиагностициран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са рандомизирани за участие</w:t>
      </w:r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в изпитване с въвеждащо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два пъти дневно или с интравенозно приложен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5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два пъти дневно. Процентът на болни с прогресиране на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седмица 4 е сравним в двете групи - 7/70 и 7/71 пациенти с прогресиране на заболяването съответно в рамената с интравенозно приложен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27B1DF86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0AB131" w14:textId="05AF0DD2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След дозирането при въвеждащото лечение всички пациенти в това изпитване са получили поддържащо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доза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>дневно. Средното (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медианно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) време от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рандомизирането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до прогресията на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групата, получаваща въвеждащо и поддържащо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е 2 (160) дни, а в групата с въвеждащо лечение с интравенозно приложен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поддържащо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-219 (125) дни.</w:t>
      </w:r>
    </w:p>
    <w:p w14:paraId="3160EA6B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A3C678F" w14:textId="6DD8CDED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Профилактика на СМ</w:t>
      </w:r>
      <w:r w:rsidRPr="00C64221">
        <w:rPr>
          <w:rFonts w:eastAsia="Times New Roman" w:cs="Arial"/>
          <w:i/>
          <w:iCs/>
          <w:color w:val="000000"/>
        </w:rPr>
        <w:t>V</w:t>
      </w:r>
      <w:r w:rsidRPr="00C64221">
        <w:rPr>
          <w:rFonts w:eastAsia="Times New Roman" w:cs="Arial"/>
          <w:i/>
          <w:iCs/>
          <w:color w:val="000000"/>
          <w:lang w:eastAsia="bg-BG"/>
        </w:rPr>
        <w:t xml:space="preserve"> заболяване при трансплантация:</w:t>
      </w:r>
    </w:p>
    <w:p w14:paraId="7A5DD314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Двойно-сляпо клинично изпитване с активен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компаратор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двойна имитация е проведено при пациенти с трансплантация на сърце, черен дроб и бъбреци (болни с белодробна и стомашно- чревна трансплантация не са включени в изпитването) с висок риск от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 </w:t>
      </w:r>
      <w:r w:rsidRPr="00C64221">
        <w:rPr>
          <w:rFonts w:eastAsia="Times New Roman" w:cs="Arial"/>
          <w:color w:val="000000"/>
        </w:rPr>
        <w:t xml:space="preserve">(D+/R- </w:t>
      </w:r>
      <w:r w:rsidRPr="00C64221">
        <w:rPr>
          <w:rFonts w:eastAsia="Times New Roman" w:cs="Arial"/>
          <w:color w:val="000000"/>
          <w:lang w:eastAsia="bg-BG"/>
        </w:rPr>
        <w:t xml:space="preserve">), които са приемали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веднъж дневно) или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перорално (1000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три пъти дневно) с начало до 10 дни от трансплантацията до Ден 100 след трансплантацията. Честотата на възникване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 </w:t>
      </w:r>
      <w:r w:rsidRPr="00C64221">
        <w:rPr>
          <w:rFonts w:eastAsia="Times New Roman" w:cs="Arial"/>
          <w:color w:val="000000"/>
        </w:rPr>
        <w:t xml:space="preserve">(CMV </w:t>
      </w:r>
      <w:r w:rsidRPr="00C64221">
        <w:rPr>
          <w:rFonts w:eastAsia="Times New Roman" w:cs="Arial"/>
          <w:color w:val="000000"/>
          <w:lang w:eastAsia="bg-BG"/>
        </w:rPr>
        <w:t xml:space="preserve">синдром + заболяване с тъканна инвазия) през първите 6 месеца след трансплантацията е 12,1 % в рамото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</w:t>
      </w:r>
      <w:r w:rsidRPr="00C64221">
        <w:rPr>
          <w:rFonts w:eastAsia="Times New Roman" w:cs="Arial"/>
          <w:color w:val="000000"/>
        </w:rPr>
        <w:t>n=</w:t>
      </w:r>
      <w:r w:rsidRPr="00C64221">
        <w:rPr>
          <w:rFonts w:eastAsia="Times New Roman" w:cs="Arial"/>
          <w:color w:val="000000"/>
          <w:lang w:eastAsia="bg-BG"/>
        </w:rPr>
        <w:t xml:space="preserve">239) в сравнение с 15,2 % в рамото с перорален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>(n= 12</w:t>
      </w:r>
      <w:r w:rsidRPr="00C64221">
        <w:rPr>
          <w:rFonts w:eastAsia="Times New Roman" w:cs="Arial"/>
          <w:color w:val="000000"/>
          <w:lang w:eastAsia="bg-BG"/>
        </w:rPr>
        <w:t xml:space="preserve">5). В голяма част от случаите заболяването се е появило след прекратяване на профилактиката (след Ден 100), като в рамото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е появило средно по-късно, отколкото в рамото с перорален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Честотата на остро отхвърляне през първите 6 месеца е 29,7% при пациентите, рандомизирани за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в сравнение с 36,0% в рамото с перорално приложен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, като честотата на загуба на присадката (0,8%) е еквивалентна при пациентите във всяко от рамената.</w:t>
      </w:r>
    </w:p>
    <w:p w14:paraId="2622EAC2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77A976" w14:textId="6E0DE54F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Едно двойно-сляпо, плацебо-контролирано изпитване е проведено при 326 пациенти с бъбречна трансплантация с висок риск от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 </w:t>
      </w:r>
      <w:r w:rsidRPr="00C64221">
        <w:rPr>
          <w:rFonts w:eastAsia="Times New Roman" w:cs="Arial"/>
          <w:color w:val="000000"/>
        </w:rPr>
        <w:t xml:space="preserve">(D+/R-) </w:t>
      </w:r>
      <w:r w:rsidRPr="00C64221">
        <w:rPr>
          <w:rFonts w:eastAsia="Times New Roman" w:cs="Arial"/>
          <w:color w:val="000000"/>
          <w:lang w:eastAsia="bg-BG"/>
        </w:rPr>
        <w:t xml:space="preserve">за оценка на ефикасността и безопасността при удължаване на профилактиката за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от 100 на 200 дни след трансплантацията. Пациентите са рандомизирани (1:1) да получават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таблетки (900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веднъж дневно), започвайки до 10 </w:t>
      </w:r>
      <w:r w:rsidRPr="00C64221">
        <w:rPr>
          <w:rFonts w:eastAsia="Times New Roman" w:cs="Arial"/>
          <w:color w:val="000000"/>
          <w:lang w:eastAsia="bg-BG"/>
        </w:rPr>
        <w:lastRenderedPageBreak/>
        <w:t>дни след трансплантацията до Ден 200 след трансплантацията или до Ден 100 след трансплантацията, последвано от 100 дни прием на плацебо.</w:t>
      </w:r>
    </w:p>
    <w:p w14:paraId="7B8B2484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AD162C" w14:textId="2494CD0D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Процентът пациенти, които са развили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>заболяване през първите 12 месеца след трансплантацията, е представен в таблицата по-долу.</w:t>
      </w:r>
    </w:p>
    <w:p w14:paraId="67AD113A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C3844AB" w14:textId="11A0A0DB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Процент пациенти с бъбречна трансплантация и с </w:t>
      </w:r>
      <w:r w:rsidRPr="00C64221">
        <w:rPr>
          <w:rFonts w:eastAsia="Times New Roman" w:cs="Arial"/>
          <w:i/>
          <w:iCs/>
          <w:color w:val="000000"/>
        </w:rPr>
        <w:t xml:space="preserve">CMV </w:t>
      </w:r>
      <w:r w:rsidRPr="00C64221">
        <w:rPr>
          <w:rFonts w:eastAsia="Times New Roman" w:cs="Arial"/>
          <w:i/>
          <w:iCs/>
          <w:color w:val="000000"/>
          <w:lang w:eastAsia="bg-BG"/>
        </w:rPr>
        <w:t>заболяване</w:t>
      </w:r>
      <w:r w:rsidRPr="00C64221">
        <w:rPr>
          <w:rFonts w:eastAsia="Times New Roman" w:cs="Arial"/>
          <w:i/>
          <w:iCs/>
          <w:color w:val="000000"/>
          <w:vertAlign w:val="superscript"/>
          <w:lang w:eastAsia="bg-BG"/>
        </w:rPr>
        <w:t>1</w:t>
      </w:r>
      <w:r w:rsidRPr="00C64221">
        <w:rPr>
          <w:rFonts w:eastAsia="Times New Roman" w:cs="Arial"/>
          <w:i/>
          <w:iCs/>
          <w:color w:val="000000"/>
          <w:lang w:eastAsia="bg-BG"/>
        </w:rPr>
        <w:t xml:space="preserve">, 12 месеца </w:t>
      </w:r>
      <w:r w:rsidRPr="00C64221">
        <w:rPr>
          <w:rFonts w:eastAsia="Times New Roman" w:cs="Arial"/>
          <w:i/>
          <w:iCs/>
          <w:color w:val="000000"/>
        </w:rPr>
        <w:t xml:space="preserve">ITT </w:t>
      </w:r>
      <w:r w:rsidRPr="00C64221">
        <w:rPr>
          <w:rFonts w:eastAsia="Times New Roman" w:cs="Arial"/>
          <w:i/>
          <w:iCs/>
          <w:color w:val="000000"/>
          <w:lang w:eastAsia="bg-BG"/>
        </w:rPr>
        <w:t xml:space="preserve">популация </w:t>
      </w:r>
      <w:r w:rsidRPr="00C64221">
        <w:rPr>
          <w:rFonts w:eastAsia="Times New Roman" w:cs="Arial"/>
          <w:i/>
          <w:iCs/>
          <w:color w:val="000000"/>
          <w:vertAlign w:val="superscript"/>
          <w:lang w:eastAsia="bg-BG"/>
        </w:rPr>
        <w:t>А</w:t>
      </w:r>
    </w:p>
    <w:p w14:paraId="53DA3DF4" w14:textId="5A47BF2F" w:rsidR="00F015C6" w:rsidRPr="00C64221" w:rsidRDefault="00F015C6" w:rsidP="00F0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67"/>
        <w:gridCol w:w="2367"/>
        <w:gridCol w:w="2295"/>
      </w:tblGrid>
      <w:tr w:rsidR="00F015C6" w:rsidRPr="00C64221" w14:paraId="49CC9A69" w14:textId="77777777" w:rsidTr="00F015C6">
        <w:tc>
          <w:tcPr>
            <w:tcW w:w="2394" w:type="dxa"/>
          </w:tcPr>
          <w:p w14:paraId="74712728" w14:textId="77777777" w:rsidR="00F015C6" w:rsidRPr="00C64221" w:rsidRDefault="00F015C6" w:rsidP="00F015C6"/>
        </w:tc>
        <w:tc>
          <w:tcPr>
            <w:tcW w:w="2394" w:type="dxa"/>
          </w:tcPr>
          <w:p w14:paraId="33F81D39" w14:textId="05588B3D" w:rsidR="00F015C6" w:rsidRPr="00C64221" w:rsidRDefault="00F015C6" w:rsidP="00F015C6">
            <w:proofErr w:type="spellStart"/>
            <w:r w:rsidRPr="00C64221">
              <w:rPr>
                <w:b/>
                <w:bCs/>
                <w:i/>
                <w:iCs/>
              </w:rPr>
              <w:t>Валганцикловир</w:t>
            </w:r>
            <w:proofErr w:type="spellEnd"/>
            <w:r w:rsidRPr="00C64221">
              <w:rPr>
                <w:b/>
                <w:bCs/>
                <w:i/>
                <w:iCs/>
              </w:rPr>
              <w:t xml:space="preserve"> 900 </w:t>
            </w:r>
            <w:proofErr w:type="spellStart"/>
            <w:r w:rsidRPr="00C64221">
              <w:rPr>
                <w:b/>
                <w:bCs/>
                <w:i/>
                <w:iCs/>
              </w:rPr>
              <w:t>mg</w:t>
            </w:r>
            <w:proofErr w:type="spellEnd"/>
            <w:r w:rsidRPr="00C64221">
              <w:rPr>
                <w:b/>
                <w:bCs/>
                <w:i/>
                <w:iCs/>
              </w:rPr>
              <w:t xml:space="preserve"> веднъж дневно 100 дни (N = 163)</w:t>
            </w:r>
          </w:p>
        </w:tc>
        <w:tc>
          <w:tcPr>
            <w:tcW w:w="2394" w:type="dxa"/>
          </w:tcPr>
          <w:p w14:paraId="5085D891" w14:textId="30E24CE5" w:rsidR="00F015C6" w:rsidRPr="00C64221" w:rsidRDefault="00F015C6" w:rsidP="00F015C6">
            <w:proofErr w:type="spellStart"/>
            <w:r w:rsidRPr="00C64221">
              <w:rPr>
                <w:b/>
                <w:bCs/>
                <w:i/>
                <w:iCs/>
              </w:rPr>
              <w:t>Валганцикловир</w:t>
            </w:r>
            <w:proofErr w:type="spellEnd"/>
            <w:r w:rsidRPr="00C64221">
              <w:rPr>
                <w:b/>
                <w:bCs/>
                <w:i/>
                <w:iCs/>
              </w:rPr>
              <w:t xml:space="preserve"> 900 </w:t>
            </w:r>
            <w:proofErr w:type="spellStart"/>
            <w:r w:rsidRPr="00C64221">
              <w:rPr>
                <w:b/>
                <w:bCs/>
                <w:i/>
                <w:iCs/>
              </w:rPr>
              <w:t>mg</w:t>
            </w:r>
            <w:proofErr w:type="spellEnd"/>
            <w:r w:rsidRPr="00C64221">
              <w:rPr>
                <w:b/>
                <w:bCs/>
                <w:i/>
                <w:iCs/>
              </w:rPr>
              <w:t xml:space="preserve"> веднъж дневно 200 дни (N = 155)</w:t>
            </w:r>
          </w:p>
        </w:tc>
        <w:tc>
          <w:tcPr>
            <w:tcW w:w="2394" w:type="dxa"/>
          </w:tcPr>
          <w:p w14:paraId="39D209BE" w14:textId="74ACCDB2" w:rsidR="00F015C6" w:rsidRPr="00C64221" w:rsidRDefault="00F015C6" w:rsidP="00F015C6">
            <w:r w:rsidRPr="00C64221">
              <w:rPr>
                <w:b/>
                <w:bCs/>
                <w:i/>
                <w:iCs/>
              </w:rPr>
              <w:t>Разлика между групите на лечение</w:t>
            </w:r>
          </w:p>
        </w:tc>
      </w:tr>
      <w:tr w:rsidR="00F015C6" w:rsidRPr="00C64221" w14:paraId="6215BB6B" w14:textId="77777777" w:rsidTr="00F015C6">
        <w:tc>
          <w:tcPr>
            <w:tcW w:w="2394" w:type="dxa"/>
          </w:tcPr>
          <w:p w14:paraId="494C868F" w14:textId="245C2412" w:rsidR="00F015C6" w:rsidRPr="00C64221" w:rsidRDefault="00F015C6" w:rsidP="00F015C6">
            <w:r w:rsidRPr="00C64221">
              <w:t>Пациенти с потвърдено или подозирано CMV заболяване</w:t>
            </w:r>
            <w:r w:rsidRPr="00C64221">
              <w:rPr>
                <w:vertAlign w:val="superscript"/>
              </w:rPr>
              <w:t>2</w:t>
            </w:r>
          </w:p>
        </w:tc>
        <w:tc>
          <w:tcPr>
            <w:tcW w:w="2394" w:type="dxa"/>
          </w:tcPr>
          <w:p w14:paraId="17D302AE" w14:textId="7DE08A7F" w:rsidR="00F015C6" w:rsidRPr="00C64221" w:rsidRDefault="00F015C6" w:rsidP="00F015C6">
            <w:r w:rsidRPr="00C64221">
              <w:t>71 (43,6%) [35,8%; 51,5%]</w:t>
            </w:r>
          </w:p>
        </w:tc>
        <w:tc>
          <w:tcPr>
            <w:tcW w:w="2394" w:type="dxa"/>
          </w:tcPr>
          <w:p w14:paraId="151A81D0" w14:textId="2A2E20AD" w:rsidR="00F015C6" w:rsidRPr="00C64221" w:rsidRDefault="00F015C6" w:rsidP="00F015C6">
            <w:r w:rsidRPr="00C64221">
              <w:t>36 (23,2%) [16,8%; 3,7%]</w:t>
            </w:r>
          </w:p>
        </w:tc>
        <w:tc>
          <w:tcPr>
            <w:tcW w:w="2394" w:type="dxa"/>
          </w:tcPr>
          <w:p w14:paraId="46A84E1C" w14:textId="77777777" w:rsidR="00F015C6" w:rsidRPr="00C64221" w:rsidRDefault="00F015C6" w:rsidP="00F015C6">
            <w:r w:rsidRPr="00C64221">
              <w:t>20,3%</w:t>
            </w:r>
          </w:p>
          <w:p w14:paraId="34F2CFAC" w14:textId="41C96A07" w:rsidR="00F015C6" w:rsidRPr="00C64221" w:rsidRDefault="00F015C6" w:rsidP="00F015C6">
            <w:r w:rsidRPr="00C64221">
              <w:t>[9,9%; 30,8%]</w:t>
            </w:r>
          </w:p>
        </w:tc>
      </w:tr>
      <w:tr w:rsidR="00F015C6" w:rsidRPr="00C64221" w14:paraId="0D4B017A" w14:textId="77777777" w:rsidTr="00F015C6">
        <w:tc>
          <w:tcPr>
            <w:tcW w:w="2394" w:type="dxa"/>
          </w:tcPr>
          <w:p w14:paraId="76C3F213" w14:textId="66F570EC" w:rsidR="00F015C6" w:rsidRPr="00C64221" w:rsidRDefault="00F015C6" w:rsidP="00F015C6">
            <w:r w:rsidRPr="00C64221">
              <w:t>Пациенти с потвърдено CMV заболяване</w:t>
            </w:r>
          </w:p>
        </w:tc>
        <w:tc>
          <w:tcPr>
            <w:tcW w:w="2394" w:type="dxa"/>
          </w:tcPr>
          <w:p w14:paraId="562ACCEB" w14:textId="70F9FA87" w:rsidR="00F015C6" w:rsidRPr="00C64221" w:rsidRDefault="00F015C6" w:rsidP="00F015C6">
            <w:r w:rsidRPr="00C64221">
              <w:t>60 (36,8%) [29,4%; 44,7%]</w:t>
            </w:r>
          </w:p>
        </w:tc>
        <w:tc>
          <w:tcPr>
            <w:tcW w:w="2394" w:type="dxa"/>
          </w:tcPr>
          <w:p w14:paraId="430443B0" w14:textId="410D035B" w:rsidR="00F015C6" w:rsidRPr="00C64221" w:rsidRDefault="00F015C6" w:rsidP="00F015C6">
            <w:r w:rsidRPr="00C64221">
              <w:t>25(16,1%) [10,7%; 22,9%]</w:t>
            </w:r>
          </w:p>
        </w:tc>
        <w:tc>
          <w:tcPr>
            <w:tcW w:w="2394" w:type="dxa"/>
          </w:tcPr>
          <w:p w14:paraId="15A59B7F" w14:textId="2B468CB5" w:rsidR="00F015C6" w:rsidRPr="00C64221" w:rsidRDefault="00F015C6" w:rsidP="00F015C6">
            <w:r w:rsidRPr="00C64221">
              <w:t>20,7% [10,9%; 30,4%]</w:t>
            </w:r>
          </w:p>
        </w:tc>
      </w:tr>
    </w:tbl>
    <w:p w14:paraId="692087C4" w14:textId="77777777" w:rsidR="00F015C6" w:rsidRPr="00C64221" w:rsidRDefault="00F015C6" w:rsidP="00F015C6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49F564B" w14:textId="43C49F50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vertAlign w:val="superscript"/>
          <w:lang w:eastAsia="bg-BG"/>
        </w:rPr>
        <w:footnoteRef/>
      </w:r>
      <w:r w:rsidRPr="00C64221">
        <w:rPr>
          <w:rFonts w:eastAsia="Times New Roman" w:cs="Arial"/>
          <w:color w:val="000000"/>
          <w:lang w:eastAsia="bg-BG"/>
        </w:rPr>
        <w:t xml:space="preserve"> Случай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 се определя като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синдром или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тьканна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инвазия с</w:t>
      </w:r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u w:val="single"/>
          <w:lang w:eastAsia="bg-BG"/>
        </w:rPr>
        <w:t>СМ</w:t>
      </w:r>
      <w:r w:rsidRPr="00C64221">
        <w:rPr>
          <w:rFonts w:eastAsia="Times New Roman" w:cs="Arial"/>
          <w:color w:val="000000"/>
          <w:u w:val="single"/>
        </w:rPr>
        <w:t>V.</w:t>
      </w:r>
    </w:p>
    <w:p w14:paraId="0D7E4ECF" w14:textId="751008DA" w:rsidR="00F015C6" w:rsidRPr="00C64221" w:rsidRDefault="00F015C6" w:rsidP="00F015C6">
      <w:pPr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vertAlign w:val="superscript"/>
          <w:lang w:eastAsia="bg-BG"/>
        </w:rPr>
        <w:t>2</w:t>
      </w:r>
      <w:r w:rsidRPr="00C64221">
        <w:rPr>
          <w:rFonts w:eastAsia="Times New Roman" w:cs="Arial"/>
          <w:color w:val="000000"/>
          <w:lang w:eastAsia="bg-BG"/>
        </w:rPr>
        <w:t xml:space="preserve">Потвърдено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е клинично потвърден случай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заболяване. Подозира се, че пациентите имат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заболяване, ако няма оценка на седмица 52 и няма по потвърждение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>заболяването преди този момент.</w:t>
      </w:r>
    </w:p>
    <w:p w14:paraId="03308BD5" w14:textId="78712EEF" w:rsidR="00F015C6" w:rsidRPr="00C64221" w:rsidRDefault="00F015C6" w:rsidP="00F015C6">
      <w:pPr>
        <w:rPr>
          <w:rFonts w:eastAsia="Times New Roman" w:cs="Arial"/>
          <w:color w:val="000000"/>
          <w:lang w:eastAsia="bg-BG"/>
        </w:rPr>
      </w:pPr>
    </w:p>
    <w:p w14:paraId="5697056D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vertAlign w:val="superscript"/>
          <w:lang w:eastAsia="bg-BG"/>
        </w:rPr>
        <w:t>А</w:t>
      </w:r>
      <w:r w:rsidRPr="00C64221">
        <w:rPr>
          <w:rFonts w:eastAsia="Times New Roman" w:cs="Arial"/>
          <w:color w:val="000000"/>
          <w:lang w:eastAsia="bg-BG"/>
        </w:rPr>
        <w:t>Получените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резултати до 24 месеца съответстват на резултатите до 12 месеца: потвърденото или подозирано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>заболяване е 48,5% в рамото с лечение в продължение на 100 дни в сравнение с 34,2% в рамото с лечение от 200 дни; разликата между двете групи на лечение е 14,3% [3,2%; 25,3%].</w:t>
      </w:r>
    </w:p>
    <w:p w14:paraId="172BBFEF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B7F9D7" w14:textId="61CD2C5C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Значително по-малко високорискови пациенти с бъбречна трансплантация развиват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 след профилактика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до Ден 200 след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транслантацията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сравнение с пациенти, които получават профилактика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до Ден 100 след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транслаплантацията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2D9267CF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EF8A5BD" w14:textId="046EE6A1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Честотата на преживяване на присадката, както и честотата на остро отхвърляне, потвърдено с биопсия, са сходни в двете групи на лечение. Честотата на преживяемост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трансплантата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12 месеца след трансплантацията е 98,2% (160/163) при схемата на лечение в продължение на 100 дни и 98,1 % (152/155) при схемата на лечение от 200 дни. До 24 месеца след трансплантацията се съобщават още четири случая на загуба на присадката, всички в групата с приложение в продължение на 100 дни. Честотата на остро отхвърляне, доказано чрез биопсия, 12 месеца след трансплантацията е 17,2 % (28/163) за схемата на лечение в продължение на 100 дни и 11,0% (17/155) при схемата на лечение в продължение на 200 дни. До 24 месеца след трансплантацията се съобщава още един случай в групата с приложение в продължение на 200 дни.</w:t>
      </w:r>
    </w:p>
    <w:p w14:paraId="33D41648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3FB2E96" w14:textId="64A54850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>Вирусна резистентност</w:t>
      </w:r>
    </w:p>
    <w:p w14:paraId="7636EBC2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Вирусната резистентност към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може да се повиши след хронично приложение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чрез селекция на мутации на гена на вирусната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киназа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 xml:space="preserve">(UL97), </w:t>
      </w:r>
      <w:r w:rsidRPr="00C64221">
        <w:rPr>
          <w:rFonts w:eastAsia="Times New Roman" w:cs="Arial"/>
          <w:color w:val="000000"/>
          <w:lang w:eastAsia="bg-BG"/>
        </w:rPr>
        <w:lastRenderedPageBreak/>
        <w:t xml:space="preserve">отговорен за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монофосфорилирането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и/или гена на вирусната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полимераза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 xml:space="preserve">(UL54). </w:t>
      </w:r>
      <w:r w:rsidRPr="00C64221">
        <w:rPr>
          <w:rFonts w:eastAsia="Times New Roman" w:cs="Arial"/>
          <w:color w:val="000000"/>
          <w:lang w:eastAsia="bg-BG"/>
        </w:rPr>
        <w:t xml:space="preserve">Вирусите, съдържащи мутации на ген </w:t>
      </w:r>
      <w:r w:rsidRPr="00C64221">
        <w:rPr>
          <w:rFonts w:eastAsia="Times New Roman" w:cs="Arial"/>
          <w:color w:val="000000"/>
        </w:rPr>
        <w:t xml:space="preserve">UL97, </w:t>
      </w:r>
      <w:r w:rsidRPr="00C64221">
        <w:rPr>
          <w:rFonts w:eastAsia="Times New Roman" w:cs="Arial"/>
          <w:color w:val="000000"/>
          <w:lang w:eastAsia="bg-BG"/>
        </w:rPr>
        <w:t xml:space="preserve">са резистентни само към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докато вирусите с мутации в ген </w:t>
      </w:r>
      <w:r w:rsidRPr="00C64221">
        <w:rPr>
          <w:rFonts w:eastAsia="Times New Roman" w:cs="Arial"/>
          <w:color w:val="000000"/>
        </w:rPr>
        <w:t xml:space="preserve">UL54 </w:t>
      </w:r>
      <w:r w:rsidRPr="00C64221">
        <w:rPr>
          <w:rFonts w:eastAsia="Times New Roman" w:cs="Arial"/>
          <w:color w:val="000000"/>
          <w:lang w:eastAsia="bg-BG"/>
        </w:rPr>
        <w:t xml:space="preserve">са резистентни към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но може да покажат кръстосана резистентност към други противовирусни средства, които също са насочени към вирусната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полимераза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21A24922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3FF6551" w14:textId="6A678D3D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Лечение на </w:t>
      </w:r>
      <w:r w:rsidRPr="00C64221">
        <w:rPr>
          <w:rFonts w:eastAsia="Times New Roman" w:cs="Arial"/>
          <w:i/>
          <w:iCs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>:</w:t>
      </w:r>
    </w:p>
    <w:p w14:paraId="67DEA75F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Генотипният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анализ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в изолати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полиморфонуклеарни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левкоцити </w:t>
      </w:r>
      <w:r w:rsidRPr="00C64221">
        <w:rPr>
          <w:rFonts w:eastAsia="Times New Roman" w:cs="Arial"/>
          <w:color w:val="000000"/>
        </w:rPr>
        <w:t xml:space="preserve">(PMNL) </w:t>
      </w:r>
      <w:r w:rsidRPr="00C64221">
        <w:rPr>
          <w:rFonts w:eastAsia="Times New Roman" w:cs="Arial"/>
          <w:color w:val="000000"/>
          <w:lang w:eastAsia="bg-BG"/>
        </w:rPr>
        <w:t xml:space="preserve">от 148 пациенти с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включени в едно клинично изпитване, е показал, че 2,2%, 6,5%, 12,8% и 15,3% съдържат мутации на </w:t>
      </w:r>
      <w:r w:rsidRPr="00C64221">
        <w:rPr>
          <w:rFonts w:eastAsia="Times New Roman" w:cs="Arial"/>
          <w:color w:val="000000"/>
        </w:rPr>
        <w:t xml:space="preserve">UL97 </w:t>
      </w:r>
      <w:r w:rsidRPr="00C64221">
        <w:rPr>
          <w:rFonts w:eastAsia="Times New Roman" w:cs="Arial"/>
          <w:color w:val="000000"/>
          <w:lang w:eastAsia="bg-BG"/>
        </w:rPr>
        <w:t xml:space="preserve">след съответно 3, 6, 12 и 18 месеца на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485CD56A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3C7C445" w14:textId="69DC6D5F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Профилактика на </w:t>
      </w:r>
      <w:r w:rsidRPr="00C64221">
        <w:rPr>
          <w:rFonts w:eastAsia="Times New Roman" w:cs="Arial"/>
          <w:i/>
          <w:iCs/>
          <w:color w:val="000000"/>
        </w:rPr>
        <w:t xml:space="preserve">CMV </w:t>
      </w:r>
      <w:r w:rsidRPr="00C64221">
        <w:rPr>
          <w:rFonts w:eastAsia="Times New Roman" w:cs="Arial"/>
          <w:i/>
          <w:iCs/>
          <w:color w:val="000000"/>
          <w:lang w:eastAsia="bg-BG"/>
        </w:rPr>
        <w:t>заболяване при трансплантация:</w:t>
      </w:r>
    </w:p>
    <w:p w14:paraId="7DEFCCFE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1C18654" w14:textId="2C741FAC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u w:val="single"/>
          <w:lang w:eastAsia="bg-BG"/>
        </w:rPr>
        <w:t>Клинично изпитване с активно сравнително лекарство</w:t>
      </w:r>
    </w:p>
    <w:p w14:paraId="784AF045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Резистентността е проучена чрез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генотипен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анализ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в проби на </w:t>
      </w:r>
      <w:r w:rsidRPr="00C64221">
        <w:rPr>
          <w:rFonts w:eastAsia="Times New Roman" w:cs="Arial"/>
          <w:color w:val="000000"/>
        </w:rPr>
        <w:t xml:space="preserve">PMNL, </w:t>
      </w:r>
      <w:r w:rsidRPr="00C64221">
        <w:rPr>
          <w:rFonts w:eastAsia="Times New Roman" w:cs="Arial"/>
          <w:color w:val="000000"/>
          <w:lang w:eastAsia="bg-BG"/>
        </w:rPr>
        <w:t xml:space="preserve">събрани 1) в Ден 100 (в края на изпитването с лекарствената профилактика) и 2) в случаи,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суспектни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за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 до 6 месеца след трансплантацията. При 245-те пациенти, рандомизирани да получават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са анализирани 198 проби на Ден 100 и не са открити мутации на резистентност към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Това се сравнява с 2 мутации на резистентност към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открити в 103 изследвани проби (1,9%) при пациентите в рамото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компаратора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2DF80CA0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F08A44" w14:textId="73981F5C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245-те пациенти, рандомизирани да получават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са изследвани проби от 50 пациенти с подозрение за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 и не са открити мутации на резистентност. При 127- те пациенти, рандомизирани в рамото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компаратора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са изследвани проби от 29 пациенти с подозрение за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>заболяване, при които са наблюдавани две мутации на резистентност, представляващи честота на резистентност 6,9%.</w:t>
      </w:r>
    </w:p>
    <w:p w14:paraId="1A4B765F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FF54592" w14:textId="200927E0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u w:val="single"/>
          <w:lang w:eastAsia="bg-BG"/>
        </w:rPr>
        <w:t xml:space="preserve">Клинично изпитване с удължаване на профилактиката от 100 до 200 дни след </w:t>
      </w:r>
      <w:proofErr w:type="spellStart"/>
      <w:r w:rsidRPr="00C64221">
        <w:rPr>
          <w:rFonts w:eastAsia="Times New Roman" w:cs="Arial"/>
          <w:i/>
          <w:iCs/>
          <w:color w:val="000000"/>
          <w:u w:val="single"/>
          <w:lang w:eastAsia="bg-BG"/>
        </w:rPr>
        <w:t>трансплантаиията</w:t>
      </w:r>
      <w:proofErr w:type="spellEnd"/>
    </w:p>
    <w:p w14:paraId="5C27CBD8" w14:textId="77777777" w:rsidR="00F015C6" w:rsidRPr="00C64221" w:rsidRDefault="00F015C6" w:rsidP="00F015C6">
      <w:pPr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Извършен 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генотипен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анализ на гени </w:t>
      </w:r>
      <w:r w:rsidRPr="00C64221">
        <w:rPr>
          <w:rFonts w:eastAsia="Times New Roman" w:cs="Arial"/>
          <w:color w:val="000000"/>
        </w:rPr>
        <w:t xml:space="preserve">UL54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r w:rsidRPr="00C64221">
        <w:rPr>
          <w:rFonts w:eastAsia="Times New Roman" w:cs="Arial"/>
          <w:color w:val="000000"/>
        </w:rPr>
        <w:t xml:space="preserve">UL97, </w:t>
      </w:r>
      <w:r w:rsidRPr="00C64221">
        <w:rPr>
          <w:rFonts w:eastAsia="Times New Roman" w:cs="Arial"/>
          <w:color w:val="000000"/>
          <w:lang w:eastAsia="bg-BG"/>
        </w:rPr>
        <w:t>получени от вирус, екстрахиран от 73 пациенти, отговарящи на критериите за резистентност: пациенти с положително вирусно натоварване (&gt;600 копия</w:t>
      </w:r>
      <w:r w:rsidRPr="00C64221">
        <w:rPr>
          <w:rFonts w:eastAsia="Times New Roman" w:cs="Arial"/>
          <w:color w:val="000000"/>
        </w:rPr>
        <w:t xml:space="preserve">/ml) </w:t>
      </w:r>
      <w:r w:rsidRPr="00C64221">
        <w:rPr>
          <w:rFonts w:eastAsia="Times New Roman" w:cs="Arial"/>
          <w:color w:val="000000"/>
          <w:lang w:eastAsia="bg-BG"/>
        </w:rPr>
        <w:t xml:space="preserve">в края на профилактиката и/или болни с потвърдено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 до 12 месеца (52 седмици) след трансплантацията. По трима пациенти във всяка група на лечение са имали известна мутация на резистентност към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35C5E539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DC40C6F" w14:textId="6D6423FF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4E9CB8A3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51DFEE6" w14:textId="0AFE089A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Лечение на </w:t>
      </w:r>
      <w:r w:rsidRPr="00C64221">
        <w:rPr>
          <w:rFonts w:eastAsia="Times New Roman" w:cs="Arial"/>
          <w:i/>
          <w:iCs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>:</w:t>
      </w:r>
    </w:p>
    <w:p w14:paraId="4AC8B211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Европейската агенция по лекарствата отмени задължението да се извършват клинични изпитвания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за всички подгрупи от педиатричната популация при лечение на инфекции, дължащи се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имунокомпрометирани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пациенти (вж. точка 4.2 за информация за педиатричната употреба).</w:t>
      </w:r>
    </w:p>
    <w:p w14:paraId="4B9B7441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642154" w14:textId="03F791A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Профилактика на </w:t>
      </w:r>
      <w:r w:rsidRPr="00C64221">
        <w:rPr>
          <w:rFonts w:eastAsia="Times New Roman" w:cs="Arial"/>
          <w:i/>
          <w:iCs/>
          <w:color w:val="000000"/>
        </w:rPr>
        <w:t xml:space="preserve">CMV </w:t>
      </w:r>
      <w:r w:rsidRPr="00C64221">
        <w:rPr>
          <w:rFonts w:eastAsia="Times New Roman" w:cs="Arial"/>
          <w:i/>
          <w:iCs/>
          <w:color w:val="000000"/>
          <w:lang w:eastAsia="bg-BG"/>
        </w:rPr>
        <w:t>заболяване при трансплантация:</w:t>
      </w:r>
    </w:p>
    <w:p w14:paraId="6C5F3D40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В проведено клинично изпитване на фармакокинетиката и безопасността Фаза II при педиатрични реципиенти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трансплантати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солидни органи (на възраст от 4 месеца до 16 години, </w:t>
      </w:r>
      <w:r w:rsidRPr="00C64221">
        <w:rPr>
          <w:rFonts w:eastAsia="Times New Roman" w:cs="Arial"/>
          <w:color w:val="000000"/>
        </w:rPr>
        <w:t>n</w:t>
      </w:r>
      <w:r w:rsidRPr="00C64221">
        <w:rPr>
          <w:rFonts w:eastAsia="Times New Roman" w:cs="Arial"/>
          <w:color w:val="000000"/>
          <w:lang w:eastAsia="bg-BG"/>
        </w:rPr>
        <w:t xml:space="preserve">=63), приемащи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веднъж дневно в продължение на до 100 дни </w:t>
      </w:r>
      <w:r w:rsidRPr="00C64221">
        <w:rPr>
          <w:rFonts w:eastAsia="Times New Roman" w:cs="Arial"/>
          <w:color w:val="000000"/>
          <w:lang w:eastAsia="bg-BG"/>
        </w:rPr>
        <w:lastRenderedPageBreak/>
        <w:t xml:space="preserve">според педиатричния алгоритъм за дозиране (вж. точка 4.2), са получени експозиции, подобни на тези при възрастните (вж. точка 5.2). Проследяването след лечението е 12 седмици. Серологичният статус </w:t>
      </w:r>
      <w:r w:rsidRPr="00C64221">
        <w:rPr>
          <w:rFonts w:eastAsia="Times New Roman" w:cs="Arial"/>
          <w:color w:val="000000"/>
        </w:rPr>
        <w:t xml:space="preserve">CMV D/R </w:t>
      </w:r>
      <w:r w:rsidRPr="00C64221">
        <w:rPr>
          <w:rFonts w:eastAsia="Times New Roman" w:cs="Arial"/>
          <w:color w:val="000000"/>
          <w:lang w:eastAsia="bg-BG"/>
        </w:rPr>
        <w:t xml:space="preserve">на изходно ниво е </w:t>
      </w:r>
      <w:r w:rsidRPr="00C64221">
        <w:rPr>
          <w:rFonts w:eastAsia="Times New Roman" w:cs="Arial"/>
          <w:color w:val="000000"/>
        </w:rPr>
        <w:t xml:space="preserve">D+/R- </w:t>
      </w:r>
      <w:r w:rsidRPr="00C64221">
        <w:rPr>
          <w:rFonts w:eastAsia="Times New Roman" w:cs="Arial"/>
          <w:color w:val="000000"/>
          <w:lang w:eastAsia="bg-BG"/>
        </w:rPr>
        <w:t xml:space="preserve">в 40%, </w:t>
      </w:r>
      <w:r w:rsidRPr="00C64221">
        <w:rPr>
          <w:rFonts w:eastAsia="Times New Roman" w:cs="Arial"/>
          <w:color w:val="000000"/>
        </w:rPr>
        <w:t xml:space="preserve">D+/R+ </w:t>
      </w:r>
      <w:r w:rsidRPr="00C64221">
        <w:rPr>
          <w:rFonts w:eastAsia="Times New Roman" w:cs="Arial"/>
          <w:color w:val="000000"/>
          <w:lang w:eastAsia="bg-BG"/>
        </w:rPr>
        <w:t xml:space="preserve">в 38%, </w:t>
      </w:r>
      <w:r w:rsidRPr="00C64221">
        <w:rPr>
          <w:rFonts w:eastAsia="Times New Roman" w:cs="Arial"/>
          <w:color w:val="000000"/>
        </w:rPr>
        <w:t xml:space="preserve">D-/R+ </w:t>
      </w:r>
      <w:r w:rsidRPr="00C64221">
        <w:rPr>
          <w:rFonts w:eastAsia="Times New Roman" w:cs="Arial"/>
          <w:color w:val="000000"/>
          <w:lang w:eastAsia="bg-BG"/>
        </w:rPr>
        <w:t xml:space="preserve">в 19% и </w:t>
      </w:r>
      <w:r w:rsidRPr="00C64221">
        <w:rPr>
          <w:rFonts w:eastAsia="Times New Roman" w:cs="Arial"/>
          <w:color w:val="000000"/>
        </w:rPr>
        <w:t xml:space="preserve">D-/R- </w:t>
      </w:r>
      <w:r w:rsidRPr="00C64221">
        <w:rPr>
          <w:rFonts w:eastAsia="Times New Roman" w:cs="Arial"/>
          <w:color w:val="000000"/>
          <w:lang w:eastAsia="bg-BG"/>
        </w:rPr>
        <w:t xml:space="preserve">в 3% от случаите. Наличие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>вирус се съобщава при 7 пациенти. Естеството на наблюдаваните нежелани лекарствени реакции е подобно на тези при възрастните (вж. точка 4.8).</w:t>
      </w:r>
    </w:p>
    <w:p w14:paraId="7DBC3CCA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BDA0C3" w14:textId="25C7D17C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Проведено клинично изпитване за поносимост Фаза IV при педиатрични реципиенти на бъбречен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трансплант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(на възраст от 1 до 16 години, п-57), приемащи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веднъж дневно в продължение на до 200 дни в съответствие с алгоритъма на дозиране (вж. точка 4.2), показва ниска честота на </w:t>
      </w:r>
      <w:r w:rsidRPr="00C64221">
        <w:rPr>
          <w:rFonts w:eastAsia="Times New Roman" w:cs="Arial"/>
          <w:color w:val="000000"/>
        </w:rPr>
        <w:t xml:space="preserve">CMV. </w:t>
      </w:r>
      <w:r w:rsidRPr="00C64221">
        <w:rPr>
          <w:rFonts w:eastAsia="Times New Roman" w:cs="Arial"/>
          <w:color w:val="000000"/>
          <w:lang w:eastAsia="bg-BG"/>
        </w:rPr>
        <w:t xml:space="preserve">Проследяването след лечението е 24 седмици. Изходният серологичен статус </w:t>
      </w:r>
      <w:r w:rsidRPr="00C64221">
        <w:rPr>
          <w:rFonts w:eastAsia="Times New Roman" w:cs="Arial"/>
          <w:color w:val="000000"/>
        </w:rPr>
        <w:t xml:space="preserve">CMV D/R </w:t>
      </w:r>
      <w:r w:rsidRPr="00C64221">
        <w:rPr>
          <w:rFonts w:eastAsia="Times New Roman" w:cs="Arial"/>
          <w:color w:val="000000"/>
          <w:lang w:eastAsia="bg-BG"/>
        </w:rPr>
        <w:t xml:space="preserve">е </w:t>
      </w:r>
      <w:r w:rsidRPr="00C64221">
        <w:rPr>
          <w:rFonts w:eastAsia="Times New Roman" w:cs="Arial"/>
          <w:color w:val="000000"/>
        </w:rPr>
        <w:t xml:space="preserve">D+/R+ </w:t>
      </w:r>
      <w:r w:rsidRPr="00C64221">
        <w:rPr>
          <w:rFonts w:eastAsia="Times New Roman" w:cs="Arial"/>
          <w:color w:val="000000"/>
          <w:lang w:eastAsia="bg-BG"/>
        </w:rPr>
        <w:t xml:space="preserve">в 45%, </w:t>
      </w:r>
      <w:r w:rsidRPr="00C64221">
        <w:rPr>
          <w:rFonts w:eastAsia="Times New Roman" w:cs="Arial"/>
          <w:color w:val="000000"/>
        </w:rPr>
        <w:t xml:space="preserve">D+/R- </w:t>
      </w:r>
      <w:r w:rsidRPr="00C64221">
        <w:rPr>
          <w:rFonts w:eastAsia="Times New Roman" w:cs="Arial"/>
          <w:color w:val="000000"/>
          <w:lang w:eastAsia="bg-BG"/>
        </w:rPr>
        <w:t xml:space="preserve">в 39%, </w:t>
      </w:r>
      <w:r w:rsidRPr="00C64221">
        <w:rPr>
          <w:rFonts w:eastAsia="Times New Roman" w:cs="Arial"/>
          <w:color w:val="000000"/>
        </w:rPr>
        <w:t xml:space="preserve">D-/R+ </w:t>
      </w:r>
      <w:r w:rsidRPr="00C64221">
        <w:rPr>
          <w:rFonts w:eastAsia="Times New Roman" w:cs="Arial"/>
          <w:color w:val="000000"/>
          <w:lang w:eastAsia="bg-BG"/>
        </w:rPr>
        <w:t xml:space="preserve">в 7%, </w:t>
      </w:r>
      <w:r w:rsidRPr="00C64221">
        <w:rPr>
          <w:rFonts w:eastAsia="Times New Roman" w:cs="Arial"/>
          <w:color w:val="000000"/>
        </w:rPr>
        <w:t xml:space="preserve">D-/R- </w:t>
      </w:r>
      <w:r w:rsidRPr="00C64221">
        <w:rPr>
          <w:rFonts w:eastAsia="Times New Roman" w:cs="Arial"/>
          <w:color w:val="000000"/>
          <w:lang w:eastAsia="bg-BG"/>
        </w:rPr>
        <w:t xml:space="preserve">в 7% и </w:t>
      </w:r>
      <w:r w:rsidRPr="00C64221">
        <w:rPr>
          <w:rFonts w:eastAsia="Times New Roman" w:cs="Arial"/>
          <w:color w:val="000000"/>
        </w:rPr>
        <w:t xml:space="preserve">ND/R+ </w:t>
      </w:r>
      <w:r w:rsidRPr="00C64221">
        <w:rPr>
          <w:rFonts w:eastAsia="Times New Roman" w:cs="Arial"/>
          <w:color w:val="000000"/>
          <w:lang w:eastAsia="bg-BG"/>
        </w:rPr>
        <w:t xml:space="preserve">в 2% от случаите.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виремия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съобщава при 3 пациенти, а при 1 пациент има подозрение за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синдром, но той не е потвърден чрез </w:t>
      </w:r>
      <w:r w:rsidRPr="00C64221">
        <w:rPr>
          <w:rFonts w:eastAsia="Times New Roman" w:cs="Arial"/>
          <w:color w:val="000000"/>
        </w:rPr>
        <w:t xml:space="preserve">CMV PCR </w:t>
      </w:r>
      <w:r w:rsidRPr="00C64221">
        <w:rPr>
          <w:rFonts w:eastAsia="Times New Roman" w:cs="Arial"/>
          <w:color w:val="000000"/>
          <w:lang w:eastAsia="bg-BG"/>
        </w:rPr>
        <w:t>от централната лаборатория. Естеството на наблюдаваните нежелани лекарствени реакции е подобно на това при възрастните (вж. точка 4.8).</w:t>
      </w:r>
    </w:p>
    <w:p w14:paraId="57C6A08E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1CD0A85" w14:textId="3974FACF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Тези данни подкрепят екстраполирането на данните за ефикасност от възрастните на децата и осигуряват препоръки за дозиране при педиатричните пациенти. Проведено клинично изпитване Фаза I за проучване на фармакокинетиката и безопасността при пациенти с трансплантация на сърце (на възраст от 3 седмици до 125 дни, п-14), приемащи еднократна дневна доза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съответствие с педиатричния алгоритъм на дозиране (вж. точка 4.2) в 2 последователни дни, показва експозиции, подобни на тези при възрастните (вж. точка 5.2). Проследяването след лечението е 7 дни. Профилът на безопасност съответства на този от другите клинични изпитвания при педиатрични и възрастни пациенти, въпреки че броят на пациентите и експозицията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са ограничени в това клинично изпитване.</w:t>
      </w:r>
    </w:p>
    <w:p w14:paraId="757CEFC7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2195434" w14:textId="7A0A3AC1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Вроден </w:t>
      </w:r>
      <w:r w:rsidRPr="00C64221">
        <w:rPr>
          <w:rFonts w:eastAsia="Times New Roman" w:cs="Arial"/>
          <w:i/>
          <w:iCs/>
          <w:color w:val="000000"/>
        </w:rPr>
        <w:t>CMV:</w:t>
      </w:r>
    </w:p>
    <w:p w14:paraId="40C01819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Ефикасността и безопасността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и/или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са изследвани при новородени и кърмачета с вродена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симптомна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>инфекция в две клинични изпитвания.</w:t>
      </w:r>
    </w:p>
    <w:p w14:paraId="1ECFA8A1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693C51" w14:textId="55079443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В първото клинично изпитване фармакокинетиката и безопасността на единична доза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дозова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граница 14-16-20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/доза) са изследвани при 24 новородени (на възраст от 8 до 34 дни) със симптоматично вродено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>заболяване (вж. точка 5.2).</w:t>
      </w:r>
    </w:p>
    <w:p w14:paraId="743BC2F8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Новородените са получили противовирусно лечение в продължение на 6 седмици, а 19 от 24 пациенти са получили до 4 седмици лечение с перорален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през останалите 2 седмици получавали интравенозно приложен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Останалите 5 пациенти са получавали интравенозно приложен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през голяма част от времето в </w:t>
      </w:r>
      <w:r w:rsidRPr="00C64221">
        <w:rPr>
          <w:rFonts w:eastAsia="Times New Roman" w:cs="Arial"/>
          <w:color w:val="000000"/>
          <w:u w:val="single"/>
          <w:lang w:eastAsia="bg-BG"/>
        </w:rPr>
        <w:t>клинич</w:t>
      </w:r>
      <w:r w:rsidRPr="00C64221">
        <w:rPr>
          <w:rFonts w:eastAsia="Times New Roman" w:cs="Arial"/>
          <w:color w:val="000000"/>
          <w:lang w:eastAsia="bg-BG"/>
        </w:rPr>
        <w:t xml:space="preserve">ното изпиване. Във второто клинично изпитване са проучвани ефикасността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б</w:t>
      </w:r>
      <w:r w:rsidRPr="00C64221">
        <w:rPr>
          <w:rFonts w:eastAsia="Times New Roman" w:cs="Arial"/>
          <w:color w:val="000000"/>
        </w:rPr>
        <w:t>e</w:t>
      </w:r>
      <w:r w:rsidRPr="00C64221">
        <w:rPr>
          <w:rFonts w:eastAsia="Times New Roman" w:cs="Arial"/>
          <w:color w:val="000000"/>
          <w:lang w:eastAsia="bg-BG"/>
        </w:rPr>
        <w:t>зопасността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лечение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продължение на 6 седмици спрямо 6 месеца при 109 кърмачета на възраст от 2 до 30 дни със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симптомно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вродено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заболяване. Всички кърмачета са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плучили</w:t>
      </w:r>
      <w:proofErr w:type="spellEnd"/>
    </w:p>
    <w:p w14:paraId="341E09FC" w14:textId="77777777" w:rsidR="00F015C6" w:rsidRPr="00C64221" w:rsidRDefault="00F015C6" w:rsidP="00F015C6">
      <w:pPr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перорален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доза 16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два пъти дневно в продължение на 6 седмици. След 6 седмици на лечение кърмачетата са рандомизирани 1:1 за продължаване на лечението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същата доза или за получаване на съответно плацебо до завършване на 6 месеца на лечение.</w:t>
      </w:r>
    </w:p>
    <w:p w14:paraId="5F2B31A9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B3923D" w14:textId="4E34EB14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lastRenderedPageBreak/>
        <w:t xml:space="preserve">Това показание за лечение понастоящем не се препоръчва за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Дизайнът на клиничните изпитвания и получените резултати са твърде ограничени, за да позволят подходящи заключения относно ефикасността и безопасността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</w:t>
      </w:r>
    </w:p>
    <w:p w14:paraId="68E2F1FD" w14:textId="77777777" w:rsidR="00F015C6" w:rsidRPr="00C64221" w:rsidRDefault="00F015C6" w:rsidP="00F015C6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324DFE" w14:textId="54B96EF8" w:rsidR="00F015C6" w:rsidRPr="00C64221" w:rsidRDefault="002C50EE" w:rsidP="00F015C6">
      <w:pPr>
        <w:pStyle w:val="Heading2"/>
      </w:pPr>
      <w:r w:rsidRPr="00C64221">
        <w:t>5.2. Фармакокинетични свойства</w:t>
      </w:r>
    </w:p>
    <w:p w14:paraId="65AFE599" w14:textId="656A6534" w:rsidR="00F015C6" w:rsidRPr="00C64221" w:rsidRDefault="00F015C6" w:rsidP="00F015C6"/>
    <w:p w14:paraId="121E941C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свойства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са оценени при </w:t>
      </w:r>
      <w:r w:rsidRPr="00C64221">
        <w:rPr>
          <w:rFonts w:eastAsia="Times New Roman" w:cs="Arial"/>
          <w:color w:val="000000"/>
        </w:rPr>
        <w:t xml:space="preserve">HIV-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r w:rsidRPr="00C64221">
        <w:rPr>
          <w:rFonts w:eastAsia="Times New Roman" w:cs="Arial"/>
          <w:color w:val="000000"/>
        </w:rPr>
        <w:t>CMV</w:t>
      </w:r>
      <w:r w:rsidRPr="00C64221">
        <w:rPr>
          <w:rFonts w:eastAsia="Times New Roman" w:cs="Arial"/>
          <w:color w:val="000000"/>
          <w:lang w:eastAsia="bg-BG"/>
        </w:rPr>
        <w:t xml:space="preserve">-серопозитивни пациенти, при пациенти със СПИН и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при болни с трансплантация на солидни органи.</w:t>
      </w:r>
    </w:p>
    <w:p w14:paraId="3D5ECDC7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24BF27" w14:textId="5E960C32" w:rsidR="00F015C6" w:rsidRPr="00C64221" w:rsidRDefault="00F015C6" w:rsidP="00F015C6">
      <w:pPr>
        <w:pStyle w:val="Heading3"/>
        <w:rPr>
          <w:rFonts w:eastAsia="Times New Roman"/>
          <w:u w:val="single"/>
        </w:rPr>
      </w:pPr>
      <w:r w:rsidRPr="00C64221">
        <w:rPr>
          <w:rFonts w:eastAsia="Times New Roman"/>
          <w:u w:val="single"/>
          <w:lang w:eastAsia="bg-BG"/>
        </w:rPr>
        <w:t>Абсорбция</w:t>
      </w:r>
    </w:p>
    <w:p w14:paraId="2EC611DD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прекурсор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Той се резорбира добре от стомашно-чревния тракт и бързо и в голяма степен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чревната стена и черния дроб до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Системната експозиция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преходна и ниска. Абсолютната бионаличност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получен от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е приблизително 60% при всички изследвани популации пациенти и получената експозиция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подобна на тази след интравенозно приложение (моля, вижте по-долу). За сравнение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бионаличностга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след перорално приложение на 1000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(под формата на капсули) е 6-8%.</w:t>
      </w:r>
    </w:p>
    <w:p w14:paraId="7071E90B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FA804D4" w14:textId="79092F8B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 xml:space="preserve"> при </w:t>
      </w:r>
      <w:r w:rsidRPr="00C64221">
        <w:rPr>
          <w:rFonts w:eastAsia="Times New Roman" w:cs="Arial"/>
          <w:i/>
          <w:iCs/>
          <w:color w:val="000000"/>
        </w:rPr>
        <w:t>HIV</w:t>
      </w:r>
      <w:r w:rsidRPr="00C64221">
        <w:rPr>
          <w:rFonts w:eastAsia="Times New Roman" w:cs="Arial"/>
          <w:i/>
          <w:iCs/>
          <w:color w:val="000000"/>
          <w:lang w:eastAsia="bg-BG"/>
        </w:rPr>
        <w:t xml:space="preserve">-положителни, </w:t>
      </w:r>
      <w:r w:rsidRPr="00C64221">
        <w:rPr>
          <w:rFonts w:eastAsia="Times New Roman" w:cs="Arial"/>
          <w:i/>
          <w:iCs/>
          <w:color w:val="000000"/>
        </w:rPr>
        <w:t>CMV</w:t>
      </w:r>
      <w:r w:rsidRPr="00C64221">
        <w:rPr>
          <w:rFonts w:eastAsia="Times New Roman" w:cs="Arial"/>
          <w:i/>
          <w:iCs/>
          <w:color w:val="000000"/>
          <w:lang w:eastAsia="bg-BG"/>
        </w:rPr>
        <w:t>-положителни пациенти:</w:t>
      </w:r>
    </w:p>
    <w:p w14:paraId="6BCE2609" w14:textId="2CBEC59C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 xml:space="preserve">Системната експозиция на </w:t>
      </w:r>
      <w:r w:rsidRPr="00C64221">
        <w:rPr>
          <w:rFonts w:eastAsia="Times New Roman" w:cs="Arial"/>
          <w:color w:val="000000"/>
        </w:rPr>
        <w:t>HIV</w:t>
      </w:r>
      <w:r w:rsidRPr="00C64221">
        <w:rPr>
          <w:rFonts w:eastAsia="Times New Roman" w:cs="Arial"/>
          <w:color w:val="000000"/>
          <w:lang w:eastAsia="bg-BG"/>
        </w:rPr>
        <w:t xml:space="preserve">-положителни и </w:t>
      </w:r>
      <w:r w:rsidRPr="00C64221">
        <w:rPr>
          <w:rFonts w:eastAsia="Times New Roman" w:cs="Arial"/>
          <w:color w:val="000000"/>
        </w:rPr>
        <w:t>CMV</w:t>
      </w:r>
      <w:r w:rsidRPr="00C64221">
        <w:rPr>
          <w:rFonts w:eastAsia="Times New Roman" w:cs="Arial"/>
          <w:color w:val="000000"/>
          <w:lang w:eastAsia="bg-BG"/>
        </w:rPr>
        <w:t xml:space="preserve">-положителни пациенти след приложение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два пъти дневно в продължение на една седмица е:</w:t>
      </w:r>
    </w:p>
    <w:p w14:paraId="2DAFB5C8" w14:textId="48DD97C4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50"/>
        <w:gridCol w:w="2327"/>
        <w:gridCol w:w="2355"/>
      </w:tblGrid>
      <w:tr w:rsidR="00F015C6" w:rsidRPr="00C64221" w14:paraId="1FEB363B" w14:textId="77777777" w:rsidTr="00F015C6">
        <w:tc>
          <w:tcPr>
            <w:tcW w:w="2394" w:type="dxa"/>
            <w:vMerge w:val="restart"/>
          </w:tcPr>
          <w:p w14:paraId="04817505" w14:textId="216ED2CD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rFonts w:cs="Arial"/>
                <w:b/>
                <w:bCs/>
                <w:i/>
                <w:iCs/>
              </w:rPr>
              <w:t>Показател</w:t>
            </w:r>
          </w:p>
        </w:tc>
        <w:tc>
          <w:tcPr>
            <w:tcW w:w="2394" w:type="dxa"/>
            <w:vMerge w:val="restart"/>
          </w:tcPr>
          <w:p w14:paraId="7572F33D" w14:textId="3399D438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64221">
              <w:rPr>
                <w:rFonts w:cs="Arial"/>
                <w:b/>
                <w:bCs/>
                <w:i/>
                <w:iCs/>
              </w:rPr>
              <w:t>Ганцикловир</w:t>
            </w:r>
            <w:proofErr w:type="spellEnd"/>
            <w:r w:rsidRPr="00C64221">
              <w:rPr>
                <w:rFonts w:cs="Arial"/>
                <w:b/>
                <w:bCs/>
                <w:i/>
                <w:iCs/>
              </w:rPr>
              <w:t xml:space="preserve"> (5 </w:t>
            </w:r>
            <w:proofErr w:type="spellStart"/>
            <w:r w:rsidRPr="00C64221">
              <w:rPr>
                <w:rFonts w:cs="Arial"/>
                <w:b/>
                <w:bCs/>
                <w:i/>
                <w:iCs/>
              </w:rPr>
              <w:t>mg</w:t>
            </w:r>
            <w:proofErr w:type="spellEnd"/>
            <w:r w:rsidRPr="00C64221">
              <w:rPr>
                <w:rFonts w:cs="Arial"/>
                <w:b/>
                <w:bCs/>
                <w:i/>
                <w:iCs/>
              </w:rPr>
              <w:t>/</w:t>
            </w:r>
            <w:proofErr w:type="spellStart"/>
            <w:r w:rsidRPr="00C64221">
              <w:rPr>
                <w:rFonts w:cs="Arial"/>
                <w:b/>
                <w:bCs/>
                <w:i/>
                <w:iCs/>
              </w:rPr>
              <w:t>kg</w:t>
            </w:r>
            <w:proofErr w:type="spellEnd"/>
            <w:r w:rsidRPr="00C64221">
              <w:rPr>
                <w:rFonts w:cs="Arial"/>
                <w:b/>
                <w:bCs/>
                <w:i/>
                <w:iCs/>
              </w:rPr>
              <w:t>, интравенозно приложен) п=18</w:t>
            </w:r>
          </w:p>
        </w:tc>
        <w:tc>
          <w:tcPr>
            <w:tcW w:w="4788" w:type="dxa"/>
            <w:gridSpan w:val="2"/>
          </w:tcPr>
          <w:p w14:paraId="1E8CF04B" w14:textId="44A7209C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64221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Валганцикловир</w:t>
            </w:r>
            <w:proofErr w:type="spellEnd"/>
            <w:r w:rsidRPr="00C64221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 xml:space="preserve"> (900 </w:t>
            </w:r>
            <w:proofErr w:type="spellStart"/>
            <w:r w:rsidRPr="00C64221">
              <w:rPr>
                <w:rFonts w:eastAsia="Times New Roman" w:cs="Arial"/>
                <w:b/>
                <w:bCs/>
                <w:i/>
                <w:iCs/>
                <w:color w:val="000000"/>
              </w:rPr>
              <w:t>mg</w:t>
            </w:r>
            <w:proofErr w:type="spellEnd"/>
            <w:r w:rsidRPr="00C64221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, </w:t>
            </w:r>
            <w:r w:rsidRPr="00C64221">
              <w:rPr>
                <w:rFonts w:eastAsia="Times New Roman" w:cs="Arial"/>
                <w:b/>
                <w:bCs/>
                <w:i/>
                <w:iCs/>
                <w:color w:val="000000"/>
                <w:lang w:eastAsia="bg-BG"/>
              </w:rPr>
              <w:t>перорално приложен) n=25</w:t>
            </w:r>
          </w:p>
        </w:tc>
      </w:tr>
      <w:tr w:rsidR="00F015C6" w:rsidRPr="00C64221" w14:paraId="77741E92" w14:textId="77777777" w:rsidTr="00F015C6">
        <w:tc>
          <w:tcPr>
            <w:tcW w:w="2394" w:type="dxa"/>
            <w:vMerge/>
          </w:tcPr>
          <w:p w14:paraId="1D8C25C4" w14:textId="77777777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49189C0" w14:textId="77777777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5E5167" w14:textId="309D0DD4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64221">
              <w:rPr>
                <w:rFonts w:cs="Arial"/>
              </w:rPr>
              <w:t>Ганцикловир</w:t>
            </w:r>
            <w:proofErr w:type="spellEnd"/>
          </w:p>
        </w:tc>
        <w:tc>
          <w:tcPr>
            <w:tcW w:w="2394" w:type="dxa"/>
          </w:tcPr>
          <w:p w14:paraId="0365E7A4" w14:textId="14285B61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64221">
              <w:rPr>
                <w:rFonts w:cs="Arial"/>
              </w:rPr>
              <w:t>Валганцикловир</w:t>
            </w:r>
            <w:proofErr w:type="spellEnd"/>
          </w:p>
        </w:tc>
      </w:tr>
      <w:tr w:rsidR="00F015C6" w:rsidRPr="00C64221" w14:paraId="5AF140B3" w14:textId="77777777" w:rsidTr="00F015C6">
        <w:tc>
          <w:tcPr>
            <w:tcW w:w="2394" w:type="dxa"/>
          </w:tcPr>
          <w:p w14:paraId="3CC5B662" w14:textId="2F6F48B4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rFonts w:cs="Arial"/>
              </w:rPr>
              <w:t>AUC(0-12h) (</w:t>
            </w:r>
            <w:proofErr w:type="spellStart"/>
            <w:r w:rsidRPr="00C64221">
              <w:rPr>
                <w:rFonts w:cs="Arial"/>
              </w:rPr>
              <w:t>μg.h</w:t>
            </w:r>
            <w:proofErr w:type="spellEnd"/>
            <w:r w:rsidRPr="00C64221">
              <w:rPr>
                <w:rFonts w:cs="Arial"/>
              </w:rPr>
              <w:t>/ml)</w:t>
            </w:r>
          </w:p>
        </w:tc>
        <w:tc>
          <w:tcPr>
            <w:tcW w:w="2394" w:type="dxa"/>
          </w:tcPr>
          <w:p w14:paraId="07F2A472" w14:textId="5B44EB7E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rFonts w:cs="Arial"/>
              </w:rPr>
              <w:t>28,6 ± 9,0</w:t>
            </w:r>
          </w:p>
        </w:tc>
        <w:tc>
          <w:tcPr>
            <w:tcW w:w="2394" w:type="dxa"/>
          </w:tcPr>
          <w:p w14:paraId="029B70E6" w14:textId="6B465826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rFonts w:cs="Arial"/>
              </w:rPr>
              <w:t>32,8 ± 10,1</w:t>
            </w:r>
          </w:p>
        </w:tc>
        <w:tc>
          <w:tcPr>
            <w:tcW w:w="2394" w:type="dxa"/>
          </w:tcPr>
          <w:p w14:paraId="2046E5F9" w14:textId="04B0A7B0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rFonts w:cs="Arial"/>
              </w:rPr>
              <w:t>0,37 ±0,22</w:t>
            </w:r>
          </w:p>
        </w:tc>
      </w:tr>
      <w:tr w:rsidR="00F015C6" w:rsidRPr="00C64221" w14:paraId="22DB32C1" w14:textId="77777777" w:rsidTr="00F015C6">
        <w:tc>
          <w:tcPr>
            <w:tcW w:w="2394" w:type="dxa"/>
          </w:tcPr>
          <w:p w14:paraId="744BE931" w14:textId="7E0B3343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64221">
              <w:rPr>
                <w:rFonts w:cs="Arial"/>
              </w:rPr>
              <w:t>Cmax</w:t>
            </w:r>
            <w:proofErr w:type="spellEnd"/>
            <w:r w:rsidRPr="00C64221">
              <w:rPr>
                <w:rFonts w:cs="Arial"/>
              </w:rPr>
              <w:t xml:space="preserve"> (</w:t>
            </w:r>
            <w:proofErr w:type="spellStart"/>
            <w:r w:rsidRPr="00C64221">
              <w:rPr>
                <w:rFonts w:cs="Arial"/>
              </w:rPr>
              <w:t>μg</w:t>
            </w:r>
            <w:proofErr w:type="spellEnd"/>
            <w:r w:rsidRPr="00C64221">
              <w:rPr>
                <w:rFonts w:cs="Arial"/>
              </w:rPr>
              <w:t>/ml)</w:t>
            </w:r>
          </w:p>
        </w:tc>
        <w:tc>
          <w:tcPr>
            <w:tcW w:w="2394" w:type="dxa"/>
          </w:tcPr>
          <w:p w14:paraId="1F3DF8A9" w14:textId="0EBA802A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rFonts w:cs="Arial"/>
              </w:rPr>
              <w:t>10,4 ±4,9</w:t>
            </w:r>
          </w:p>
        </w:tc>
        <w:tc>
          <w:tcPr>
            <w:tcW w:w="2394" w:type="dxa"/>
          </w:tcPr>
          <w:p w14:paraId="2779289D" w14:textId="081DC469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rFonts w:cs="Arial"/>
              </w:rPr>
              <w:t>6,7 ±2,1</w:t>
            </w:r>
          </w:p>
        </w:tc>
        <w:tc>
          <w:tcPr>
            <w:tcW w:w="2394" w:type="dxa"/>
          </w:tcPr>
          <w:p w14:paraId="6E17D1DE" w14:textId="7904AFD5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rFonts w:cs="Arial"/>
              </w:rPr>
              <w:t>0,18 ±0,06</w:t>
            </w:r>
          </w:p>
        </w:tc>
      </w:tr>
    </w:tbl>
    <w:p w14:paraId="7814196F" w14:textId="5A9AD62A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</w:p>
    <w:p w14:paraId="2D61205B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Доказано е, че ефикасността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по отношение на удължаването на времето до прогресия на </w:t>
      </w:r>
      <w:r w:rsidRPr="00C64221">
        <w:rPr>
          <w:rFonts w:eastAsia="Times New Roman" w:cs="Arial"/>
          <w:color w:val="000000"/>
        </w:rPr>
        <w:t xml:space="preserve">CMV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ретинит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корелира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със системната експозиция </w:t>
      </w:r>
      <w:r w:rsidRPr="00C64221">
        <w:rPr>
          <w:rFonts w:eastAsia="Times New Roman" w:cs="Arial"/>
          <w:color w:val="000000"/>
        </w:rPr>
        <w:t>(AUC).</w:t>
      </w:r>
    </w:p>
    <w:p w14:paraId="13E2A5BC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2231DE0" w14:textId="16E96C0B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i/>
          <w:iCs/>
          <w:color w:val="000000"/>
          <w:lang w:eastAsia="bg-BG"/>
        </w:rPr>
        <w:t xml:space="preserve"> при пациенти с трансплантация на солидни органи:</w:t>
      </w:r>
    </w:p>
    <w:p w14:paraId="183DD38C" w14:textId="3FEDFC3B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 xml:space="preserve">Системната експозиция в равновесно състояние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при пациенти с трансплантация на солидни органи след ежедневно перорално приложение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е:</w:t>
      </w:r>
    </w:p>
    <w:p w14:paraId="27F240B9" w14:textId="13A9B228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14"/>
        <w:gridCol w:w="3134"/>
      </w:tblGrid>
      <w:tr w:rsidR="00F015C6" w:rsidRPr="00C64221" w14:paraId="62A6EB4D" w14:textId="77777777" w:rsidTr="00F015C6">
        <w:tc>
          <w:tcPr>
            <w:tcW w:w="3192" w:type="dxa"/>
            <w:vMerge w:val="restart"/>
          </w:tcPr>
          <w:p w14:paraId="792F0A9A" w14:textId="13FD6A8D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b/>
                <w:bCs/>
                <w:i/>
                <w:iCs/>
              </w:rPr>
              <w:t>Показател</w:t>
            </w:r>
          </w:p>
        </w:tc>
        <w:tc>
          <w:tcPr>
            <w:tcW w:w="3192" w:type="dxa"/>
            <w:vMerge w:val="restart"/>
          </w:tcPr>
          <w:p w14:paraId="7BED6B4D" w14:textId="77777777" w:rsidR="00F015C6" w:rsidRPr="00C64221" w:rsidRDefault="00F015C6" w:rsidP="00F015C6">
            <w:proofErr w:type="spellStart"/>
            <w:r w:rsidRPr="00C64221">
              <w:rPr>
                <w:b/>
                <w:bCs/>
                <w:i/>
                <w:iCs/>
              </w:rPr>
              <w:t>Ганцикловир</w:t>
            </w:r>
            <w:proofErr w:type="spellEnd"/>
          </w:p>
          <w:p w14:paraId="1CB6A67D" w14:textId="5E3A5F22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b/>
                <w:bCs/>
                <w:i/>
                <w:iCs/>
              </w:rPr>
              <w:t xml:space="preserve">(1000 </w:t>
            </w:r>
            <w:proofErr w:type="spellStart"/>
            <w:r w:rsidRPr="00C64221">
              <w:rPr>
                <w:b/>
                <w:bCs/>
                <w:i/>
                <w:iCs/>
              </w:rPr>
              <w:t>mg</w:t>
            </w:r>
            <w:proofErr w:type="spellEnd"/>
            <w:r w:rsidRPr="00C64221">
              <w:rPr>
                <w:b/>
                <w:bCs/>
                <w:i/>
                <w:iCs/>
              </w:rPr>
              <w:t xml:space="preserve"> три пъти дневно) п=82</w:t>
            </w:r>
          </w:p>
        </w:tc>
        <w:tc>
          <w:tcPr>
            <w:tcW w:w="3192" w:type="dxa"/>
          </w:tcPr>
          <w:p w14:paraId="261DDCA8" w14:textId="76104581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64221">
              <w:rPr>
                <w:b/>
                <w:bCs/>
                <w:i/>
                <w:iCs/>
              </w:rPr>
              <w:t>Валганцикловир</w:t>
            </w:r>
            <w:proofErr w:type="spellEnd"/>
            <w:r w:rsidRPr="00C64221">
              <w:rPr>
                <w:b/>
                <w:bCs/>
                <w:i/>
                <w:iCs/>
              </w:rPr>
              <w:t xml:space="preserve"> (900 </w:t>
            </w:r>
            <w:proofErr w:type="spellStart"/>
            <w:r w:rsidRPr="00C64221">
              <w:rPr>
                <w:b/>
                <w:bCs/>
                <w:i/>
                <w:iCs/>
              </w:rPr>
              <w:t>mg</w:t>
            </w:r>
            <w:proofErr w:type="spellEnd"/>
            <w:r w:rsidRPr="00C64221">
              <w:rPr>
                <w:b/>
                <w:bCs/>
                <w:i/>
                <w:iCs/>
              </w:rPr>
              <w:t>, веднъж дневно) п=161</w:t>
            </w:r>
          </w:p>
        </w:tc>
      </w:tr>
      <w:tr w:rsidR="00F015C6" w:rsidRPr="00C64221" w14:paraId="6C43577C" w14:textId="77777777" w:rsidTr="00F015C6">
        <w:tc>
          <w:tcPr>
            <w:tcW w:w="3192" w:type="dxa"/>
            <w:vMerge/>
          </w:tcPr>
          <w:p w14:paraId="389DD3BF" w14:textId="77777777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14:paraId="19D11A02" w14:textId="77777777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5DF8D7B" w14:textId="69475641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64221">
              <w:t>Ганцикловир</w:t>
            </w:r>
            <w:proofErr w:type="spellEnd"/>
          </w:p>
        </w:tc>
      </w:tr>
      <w:tr w:rsidR="00F015C6" w:rsidRPr="00C64221" w14:paraId="181F4ADB" w14:textId="77777777" w:rsidTr="00F015C6">
        <w:tc>
          <w:tcPr>
            <w:tcW w:w="3192" w:type="dxa"/>
          </w:tcPr>
          <w:p w14:paraId="6E802BE7" w14:textId="0060866E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AUC(0-24h) (</w:t>
            </w:r>
            <w:proofErr w:type="spellStart"/>
            <w:r w:rsidRPr="00C64221">
              <w:t>μg.h</w:t>
            </w:r>
            <w:proofErr w:type="spellEnd"/>
            <w:r w:rsidRPr="00C64221">
              <w:t>/ml)</w:t>
            </w:r>
          </w:p>
        </w:tc>
        <w:tc>
          <w:tcPr>
            <w:tcW w:w="3192" w:type="dxa"/>
          </w:tcPr>
          <w:p w14:paraId="4621207F" w14:textId="1211CCBB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28,0 ± 10,9</w:t>
            </w:r>
          </w:p>
        </w:tc>
        <w:tc>
          <w:tcPr>
            <w:tcW w:w="3192" w:type="dxa"/>
          </w:tcPr>
          <w:p w14:paraId="7FE89168" w14:textId="70C4E722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46,3 ± 15,2</w:t>
            </w:r>
          </w:p>
        </w:tc>
      </w:tr>
      <w:tr w:rsidR="00F015C6" w:rsidRPr="00C64221" w14:paraId="1B45B841" w14:textId="77777777" w:rsidTr="00F015C6">
        <w:tc>
          <w:tcPr>
            <w:tcW w:w="3192" w:type="dxa"/>
          </w:tcPr>
          <w:p w14:paraId="038761A5" w14:textId="4FE7E033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64221">
              <w:t>C</w:t>
            </w:r>
            <w:r w:rsidRPr="00C64221">
              <w:rPr>
                <w:vertAlign w:val="subscript"/>
              </w:rPr>
              <w:t>max</w:t>
            </w:r>
            <w:proofErr w:type="spellEnd"/>
            <w:r w:rsidRPr="00C64221">
              <w:t xml:space="preserve"> (</w:t>
            </w:r>
            <w:proofErr w:type="spellStart"/>
            <w:r w:rsidRPr="00C64221">
              <w:t>μg</w:t>
            </w:r>
            <w:proofErr w:type="spellEnd"/>
            <w:r w:rsidRPr="00C64221">
              <w:t>/ml)</w:t>
            </w:r>
          </w:p>
        </w:tc>
        <w:tc>
          <w:tcPr>
            <w:tcW w:w="3192" w:type="dxa"/>
          </w:tcPr>
          <w:p w14:paraId="7BB99F40" w14:textId="0D90EA90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1,4 ±0,5</w:t>
            </w:r>
          </w:p>
        </w:tc>
        <w:tc>
          <w:tcPr>
            <w:tcW w:w="3192" w:type="dxa"/>
          </w:tcPr>
          <w:p w14:paraId="1B1F4FD1" w14:textId="4CE3F64B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5,3 ± 1,5</w:t>
            </w:r>
          </w:p>
        </w:tc>
      </w:tr>
    </w:tbl>
    <w:p w14:paraId="70245DCD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</w:p>
    <w:p w14:paraId="0116ECC4" w14:textId="0EA63EC3" w:rsidR="00F015C6" w:rsidRPr="00C64221" w:rsidRDefault="00F015C6" w:rsidP="00F015C6">
      <w:pPr>
        <w:spacing w:line="240" w:lineRule="auto"/>
      </w:pPr>
      <w:r w:rsidRPr="00C64221">
        <w:lastRenderedPageBreak/>
        <w:t xml:space="preserve">Системната експозиция на </w:t>
      </w:r>
      <w:proofErr w:type="spellStart"/>
      <w:r w:rsidRPr="00C64221">
        <w:t>ганцикловир</w:t>
      </w:r>
      <w:proofErr w:type="spellEnd"/>
      <w:r w:rsidRPr="00C64221">
        <w:t xml:space="preserve"> при реципиенти с трансплантация на сърце, бъбреци и черен дроб е била подобна след перорално приложение на </w:t>
      </w:r>
      <w:proofErr w:type="spellStart"/>
      <w:r w:rsidRPr="00C64221">
        <w:t>валганцикловир</w:t>
      </w:r>
      <w:proofErr w:type="spellEnd"/>
      <w:r w:rsidRPr="00C64221">
        <w:t xml:space="preserve"> според алгоритъма за приложение в зависимост от бъбречната функция.</w:t>
      </w:r>
    </w:p>
    <w:p w14:paraId="1AC26E1F" w14:textId="30076657" w:rsidR="00F015C6" w:rsidRPr="00C64221" w:rsidRDefault="00F015C6" w:rsidP="00F015C6">
      <w:pPr>
        <w:spacing w:line="240" w:lineRule="auto"/>
      </w:pPr>
    </w:p>
    <w:p w14:paraId="3F6E5BD1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Ефекти на храната:</w:t>
      </w:r>
    </w:p>
    <w:p w14:paraId="07C546E9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Пропорционалност на дозата по отношение на </w:t>
      </w:r>
      <w:r w:rsidRPr="00C64221">
        <w:rPr>
          <w:rFonts w:eastAsia="Times New Roman" w:cs="Arial"/>
          <w:color w:val="000000"/>
        </w:rPr>
        <w:t xml:space="preserve">AUC </w:t>
      </w:r>
      <w:r w:rsidRPr="00C64221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след прилагане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дозови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граници 450 до 25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е доказана само след нахранване. Когато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дава с храна в препоръчваната доза от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, </w:t>
      </w:r>
      <w:r w:rsidRPr="00C64221">
        <w:rPr>
          <w:rFonts w:eastAsia="Times New Roman" w:cs="Arial"/>
          <w:color w:val="000000"/>
          <w:lang w:eastAsia="bg-BG"/>
        </w:rPr>
        <w:t xml:space="preserve">се наблюдава повишение както на средната </w:t>
      </w:r>
      <w:r w:rsidRPr="00C64221">
        <w:rPr>
          <w:rFonts w:eastAsia="Times New Roman" w:cs="Arial"/>
          <w:color w:val="000000"/>
        </w:rPr>
        <w:t xml:space="preserve">AUC </w:t>
      </w:r>
      <w:r w:rsidRPr="00C64221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(приблизително 30%), така и на средните стойности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</w:t>
      </w:r>
      <w:r w:rsidRPr="00C64221">
        <w:rPr>
          <w:rFonts w:eastAsia="Times New Roman" w:cs="Arial"/>
          <w:color w:val="000000"/>
          <w:vertAlign w:val="subscript"/>
        </w:rPr>
        <w:t>max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(приблизително 14%) в сравнение със стойностите на гладно. Освен това интериндивидуалните разлики в експозицията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намаляват при приемане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храната. По време на клиничните изпитвания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прилаган само с храна. Затова се препоръчва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да се прилага с храна (вж. точка 4.2).</w:t>
      </w:r>
    </w:p>
    <w:p w14:paraId="1A43B0E0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63E04EE" w14:textId="39700A30" w:rsidR="00F015C6" w:rsidRPr="00C64221" w:rsidRDefault="00F015C6" w:rsidP="00F015C6">
      <w:pPr>
        <w:pStyle w:val="Heading3"/>
        <w:rPr>
          <w:rFonts w:eastAsia="Times New Roman"/>
          <w:u w:val="single"/>
        </w:rPr>
      </w:pPr>
      <w:r w:rsidRPr="00C64221">
        <w:rPr>
          <w:rFonts w:eastAsia="Times New Roman"/>
          <w:u w:val="single"/>
          <w:lang w:eastAsia="bg-BG"/>
        </w:rPr>
        <w:t>Разпределение</w:t>
      </w:r>
    </w:p>
    <w:p w14:paraId="044FDF5A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Поради бързото превръщане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свързването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протеините не е определяно. Свързването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плазмените протеини е 1-2 % при концентрации 0,5 и 51 </w:t>
      </w:r>
      <w:proofErr w:type="spellStart"/>
      <w:r w:rsidRPr="00C64221">
        <w:rPr>
          <w:rFonts w:eastAsia="Times New Roman" w:cs="Arial"/>
          <w:color w:val="000000"/>
          <w:lang w:eastAsia="bg-BG"/>
        </w:rPr>
        <w:t>μ</w:t>
      </w:r>
      <w:r w:rsidRPr="00C64221">
        <w:rPr>
          <w:rFonts w:eastAsia="Times New Roman" w:cs="Arial"/>
          <w:color w:val="000000"/>
        </w:rPr>
        <w:t>g</w:t>
      </w:r>
      <w:proofErr w:type="spellEnd"/>
      <w:r w:rsidRPr="00C64221">
        <w:rPr>
          <w:rFonts w:eastAsia="Times New Roman" w:cs="Arial"/>
          <w:color w:val="000000"/>
        </w:rPr>
        <w:t xml:space="preserve">/ml. </w:t>
      </w:r>
      <w:r w:rsidRPr="00C64221">
        <w:rPr>
          <w:rFonts w:eastAsia="Times New Roman" w:cs="Arial"/>
          <w:color w:val="000000"/>
          <w:lang w:eastAsia="bg-BG"/>
        </w:rPr>
        <w:t xml:space="preserve">Обемът на разпределение в равновесно състояние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след интравенозно приложение е 0,680 ±0,161 </w:t>
      </w:r>
      <w:r w:rsidRPr="00C64221">
        <w:rPr>
          <w:rFonts w:eastAsia="Times New Roman" w:cs="Arial"/>
          <w:color w:val="000000"/>
        </w:rPr>
        <w:t>1/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>(</w:t>
      </w:r>
      <w:r w:rsidRPr="00C64221">
        <w:rPr>
          <w:rFonts w:eastAsia="Times New Roman" w:cs="Arial"/>
          <w:color w:val="000000"/>
        </w:rPr>
        <w:t>n</w:t>
      </w:r>
      <w:r w:rsidRPr="00C64221">
        <w:rPr>
          <w:rFonts w:eastAsia="Times New Roman" w:cs="Arial"/>
          <w:color w:val="000000"/>
          <w:lang w:eastAsia="bg-BG"/>
        </w:rPr>
        <w:t>=114).</w:t>
      </w:r>
    </w:p>
    <w:p w14:paraId="7ED4B85F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7383EB7" w14:textId="7CB31FB7" w:rsidR="00F015C6" w:rsidRPr="00C64221" w:rsidRDefault="00F015C6" w:rsidP="00F015C6">
      <w:pPr>
        <w:pStyle w:val="Heading3"/>
        <w:rPr>
          <w:rFonts w:eastAsia="Times New Roman"/>
          <w:u w:val="single"/>
        </w:rPr>
      </w:pPr>
      <w:r w:rsidRPr="00C64221">
        <w:rPr>
          <w:rFonts w:eastAsia="Times New Roman"/>
          <w:u w:val="single"/>
          <w:lang w:eastAsia="bg-BG"/>
        </w:rPr>
        <w:t>Биотрансформация</w:t>
      </w:r>
    </w:p>
    <w:p w14:paraId="13CA9CBE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бързо и в голяма степен до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Не са открити други метаболити. При перорално приложение на белязан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(1000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>еднократна доза) не са открити метаболити, които да дават повече от 1-2 % от радиоактивността във фекалиите или урината.</w:t>
      </w:r>
    </w:p>
    <w:p w14:paraId="4411DF5F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EBE995" w14:textId="31E54842" w:rsidR="00F015C6" w:rsidRPr="00C64221" w:rsidRDefault="00F015C6" w:rsidP="00F015C6">
      <w:pPr>
        <w:pStyle w:val="Heading3"/>
        <w:rPr>
          <w:rFonts w:eastAsia="Times New Roman"/>
          <w:u w:val="single"/>
        </w:rPr>
      </w:pPr>
      <w:r w:rsidRPr="00C64221">
        <w:rPr>
          <w:rFonts w:eastAsia="Times New Roman"/>
          <w:u w:val="single"/>
          <w:lang w:eastAsia="bg-BG"/>
        </w:rPr>
        <w:t>Елиминиране</w:t>
      </w:r>
    </w:p>
    <w:p w14:paraId="1B6CDAB0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След прилагане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бъбречната екскреция във вид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чрез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гломерулна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филтрация и активна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тубулна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секреция е основният път на елиминирането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 Бъбречният клирънс представлява 81,5% ± 22% (</w:t>
      </w:r>
      <w:r w:rsidRPr="00C64221">
        <w:rPr>
          <w:rFonts w:eastAsia="Times New Roman" w:cs="Arial"/>
          <w:color w:val="000000"/>
        </w:rPr>
        <w:t>n</w:t>
      </w:r>
      <w:r w:rsidRPr="00C64221">
        <w:rPr>
          <w:rFonts w:eastAsia="Times New Roman" w:cs="Arial"/>
          <w:color w:val="000000"/>
          <w:lang w:eastAsia="bg-BG"/>
        </w:rPr>
        <w:t xml:space="preserve">=70) от системния клирънс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. Пост-</w:t>
      </w:r>
      <w:proofErr w:type="spellStart"/>
      <w:r w:rsidRPr="00C64221">
        <w:rPr>
          <w:rFonts w:eastAsia="Times New Roman" w:cs="Arial"/>
          <w:color w:val="000000"/>
          <w:lang w:eastAsia="bg-BG"/>
        </w:rPr>
        <w:t>хок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изчисленият по </w:t>
      </w:r>
      <w:proofErr w:type="spellStart"/>
      <w:r w:rsidRPr="00C64221">
        <w:rPr>
          <w:rFonts w:eastAsia="Times New Roman" w:cs="Arial"/>
          <w:color w:val="000000"/>
        </w:rPr>
        <w:t>Bayes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среден видим клирънс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популацията при пациенти с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СгС</w:t>
      </w:r>
      <w:r w:rsidRPr="00C64221">
        <w:rPr>
          <w:rFonts w:eastAsia="Times New Roman" w:cs="Arial"/>
          <w:color w:val="000000"/>
        </w:rPr>
        <w:t>I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&gt;60 </w:t>
      </w:r>
      <w:r w:rsidRPr="00C64221">
        <w:rPr>
          <w:rFonts w:eastAsia="Times New Roman" w:cs="Arial"/>
          <w:color w:val="000000"/>
        </w:rPr>
        <w:t>ml/</w:t>
      </w:r>
      <w:proofErr w:type="spellStart"/>
      <w:r w:rsidRPr="00C64221">
        <w:rPr>
          <w:rFonts w:eastAsia="Times New Roman" w:cs="Arial"/>
          <w:color w:val="000000"/>
        </w:rPr>
        <w:t>min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е 14,05 ±4,13 </w:t>
      </w:r>
      <w:r w:rsidRPr="00C64221">
        <w:rPr>
          <w:rFonts w:eastAsia="Times New Roman" w:cs="Arial"/>
          <w:color w:val="000000"/>
        </w:rPr>
        <w:t xml:space="preserve">1/h. </w:t>
      </w:r>
      <w:r w:rsidRPr="00C64221">
        <w:rPr>
          <w:rFonts w:eastAsia="Times New Roman" w:cs="Arial"/>
          <w:color w:val="000000"/>
          <w:lang w:eastAsia="bg-BG"/>
        </w:rPr>
        <w:t xml:space="preserve">При пациенти с бъбречно увреждане средният видим клирънс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8,46 ± 1,67 </w:t>
      </w:r>
      <w:r w:rsidRPr="00C64221">
        <w:rPr>
          <w:rFonts w:eastAsia="Times New Roman" w:cs="Arial"/>
          <w:color w:val="000000"/>
        </w:rPr>
        <w:t xml:space="preserve">1/h </w:t>
      </w:r>
      <w:r w:rsidRPr="00C64221">
        <w:rPr>
          <w:rFonts w:eastAsia="Times New Roman" w:cs="Arial"/>
          <w:color w:val="000000"/>
          <w:lang w:eastAsia="bg-BG"/>
        </w:rPr>
        <w:t>(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СгС</w:t>
      </w:r>
      <w:r w:rsidRPr="00C64221">
        <w:rPr>
          <w:rFonts w:eastAsia="Times New Roman" w:cs="Arial"/>
          <w:color w:val="000000"/>
        </w:rPr>
        <w:t>I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между 40 и 60 </w:t>
      </w:r>
      <w:r w:rsidRPr="00C64221">
        <w:rPr>
          <w:rFonts w:eastAsia="Times New Roman" w:cs="Arial"/>
          <w:color w:val="000000"/>
        </w:rPr>
        <w:t>ml/</w:t>
      </w:r>
      <w:proofErr w:type="spellStart"/>
      <w:r w:rsidRPr="00C64221">
        <w:rPr>
          <w:rFonts w:eastAsia="Times New Roman" w:cs="Arial"/>
          <w:color w:val="000000"/>
        </w:rPr>
        <w:t>min</w:t>
      </w:r>
      <w:proofErr w:type="spellEnd"/>
      <w:r w:rsidRPr="00C64221">
        <w:rPr>
          <w:rFonts w:eastAsia="Times New Roman" w:cs="Arial"/>
          <w:color w:val="000000"/>
        </w:rPr>
        <w:t xml:space="preserve">) </w:t>
      </w:r>
      <w:proofErr w:type="spellStart"/>
      <w:r w:rsidRPr="00C64221">
        <w:rPr>
          <w:rFonts w:eastAsia="Times New Roman" w:cs="Arial"/>
          <w:color w:val="000000"/>
        </w:rPr>
        <w:t>and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7,00 ± 1,08 </w:t>
      </w:r>
      <w:r w:rsidRPr="00C64221">
        <w:rPr>
          <w:rFonts w:eastAsia="Times New Roman" w:cs="Arial"/>
          <w:color w:val="000000"/>
        </w:rPr>
        <w:t xml:space="preserve">1/h </w:t>
      </w:r>
      <w:r w:rsidRPr="00C64221">
        <w:rPr>
          <w:rFonts w:eastAsia="Times New Roman" w:cs="Arial"/>
          <w:color w:val="000000"/>
          <w:lang w:eastAsia="bg-BG"/>
        </w:rPr>
        <w:t xml:space="preserve">(СгС1 между 25 и 40 </w:t>
      </w:r>
      <w:r w:rsidRPr="00C64221">
        <w:rPr>
          <w:rFonts w:eastAsia="Times New Roman" w:cs="Arial"/>
          <w:color w:val="000000"/>
        </w:rPr>
        <w:t>ml/</w:t>
      </w:r>
      <w:proofErr w:type="spellStart"/>
      <w:r w:rsidRPr="00C64221">
        <w:rPr>
          <w:rFonts w:eastAsia="Times New Roman" w:cs="Arial"/>
          <w:color w:val="000000"/>
        </w:rPr>
        <w:t>min</w:t>
      </w:r>
      <w:proofErr w:type="spellEnd"/>
      <w:r w:rsidRPr="00C64221">
        <w:rPr>
          <w:rFonts w:eastAsia="Times New Roman" w:cs="Arial"/>
          <w:color w:val="000000"/>
        </w:rPr>
        <w:t xml:space="preserve">). </w:t>
      </w:r>
      <w:r w:rsidRPr="00C64221">
        <w:rPr>
          <w:rFonts w:eastAsia="Times New Roman" w:cs="Arial"/>
          <w:color w:val="000000"/>
          <w:lang w:eastAsia="bg-BG"/>
        </w:rPr>
        <w:t xml:space="preserve">Времето на полуелиминиране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от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4,1 ± 0,9 часа при </w:t>
      </w:r>
      <w:r w:rsidRPr="00C64221">
        <w:rPr>
          <w:rFonts w:eastAsia="Times New Roman" w:cs="Arial"/>
          <w:color w:val="000000"/>
        </w:rPr>
        <w:t xml:space="preserve">HIV-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r w:rsidRPr="00C64221">
        <w:rPr>
          <w:rFonts w:eastAsia="Times New Roman" w:cs="Arial"/>
          <w:color w:val="000000"/>
        </w:rPr>
        <w:t>CMV</w:t>
      </w:r>
      <w:r w:rsidRPr="00C64221">
        <w:rPr>
          <w:rFonts w:eastAsia="Times New Roman" w:cs="Arial"/>
          <w:color w:val="000000"/>
          <w:lang w:eastAsia="bg-BG"/>
        </w:rPr>
        <w:t>-серопозитивни пациенти.</w:t>
      </w:r>
    </w:p>
    <w:p w14:paraId="67028B89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0E5872" w14:textId="41B20F52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u w:val="single"/>
          <w:lang w:eastAsia="bg-BG"/>
        </w:rPr>
        <w:t>Фармакокинетика в специални клинични ситуации</w:t>
      </w:r>
    </w:p>
    <w:p w14:paraId="667B7677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363E454" w14:textId="67B0034C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Пациенти с бъбречно увреждане</w:t>
      </w:r>
    </w:p>
    <w:p w14:paraId="3A3B5F54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Намалената бъбречна функция е довела до намален клирънс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получен от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, със съответното увеличение на терминалното време на полуелиминиране. Затова при пациенти с бъбречно увреждане се налага коригиране на дозата (вж. точки 4.2 и 4.4).</w:t>
      </w:r>
    </w:p>
    <w:p w14:paraId="2BAF8C88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2C4FA2D" w14:textId="297C96BD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Пациенти, подложени на хемодиализа</w:t>
      </w:r>
    </w:p>
    <w:p w14:paraId="29BE4FF7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При пациенти на хемодиализа не може да се дадат препоръки за дозиране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Това е така, защото индивидуалната доза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r w:rsidRPr="00C64221">
        <w:rPr>
          <w:rFonts w:eastAsia="Times New Roman" w:cs="Arial"/>
          <w:color w:val="000000"/>
          <w:lang w:eastAsia="bg-BG"/>
        </w:rPr>
        <w:lastRenderedPageBreak/>
        <w:t xml:space="preserve">необходима при тези пациенти, е по-малка от 450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>таблетка. Затова АЛВАНОЦИТ не трябва да се използва при тези пациенти (вж. точки 4.2 и 4.4).</w:t>
      </w:r>
    </w:p>
    <w:p w14:paraId="3B1C771C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50E7261" w14:textId="08AEF5E8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Пациенти с чернодробно увреждане</w:t>
      </w:r>
    </w:p>
    <w:p w14:paraId="164696D5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Безопасността и ефикасността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не са изследвани при пациенти с чернодробно увреждане. Чернодробното увреждане не би трябвало да повлиява фармакокинетиката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тъй като той се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през бъбреците и затова не са направени специфични препоръки за дозиране.</w:t>
      </w:r>
    </w:p>
    <w:p w14:paraId="2D077D9A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D152792" w14:textId="4E123EFE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 xml:space="preserve">Пациенти с </w:t>
      </w:r>
      <w:proofErr w:type="spellStart"/>
      <w:r w:rsidRPr="00C64221">
        <w:rPr>
          <w:rFonts w:eastAsia="Times New Roman" w:cs="Arial"/>
          <w:i/>
          <w:iCs/>
          <w:color w:val="000000"/>
          <w:lang w:eastAsia="bg-BG"/>
        </w:rPr>
        <w:t>муковисцидоза</w:t>
      </w:r>
      <w:proofErr w:type="spellEnd"/>
    </w:p>
    <w:p w14:paraId="4B0822CC" w14:textId="77777777" w:rsidR="00F015C6" w:rsidRPr="00C64221" w:rsidRDefault="00F015C6" w:rsidP="00F015C6">
      <w:pPr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В проведено проучване Фаза I за проучване на фармакокинетиката при реципиенти с белодробна трансплантация с или без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муковисцидоза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r w:rsidRPr="00C64221">
        <w:rPr>
          <w:rFonts w:eastAsia="Times New Roman" w:cs="Arial"/>
          <w:color w:val="000000"/>
        </w:rPr>
        <w:t xml:space="preserve">(CF) </w:t>
      </w:r>
      <w:r w:rsidRPr="00C64221">
        <w:rPr>
          <w:rFonts w:eastAsia="Times New Roman" w:cs="Arial"/>
          <w:color w:val="000000"/>
          <w:lang w:eastAsia="bg-BG"/>
        </w:rPr>
        <w:t>31 от пациентите (16</w:t>
      </w:r>
      <w:r w:rsidRPr="00C64221">
        <w:rPr>
          <w:rFonts w:eastAsia="Times New Roman" w:cs="Arial"/>
          <w:color w:val="000000"/>
        </w:rPr>
        <w:t xml:space="preserve"> CF/15 </w:t>
      </w:r>
      <w:r w:rsidRPr="00C64221">
        <w:rPr>
          <w:rFonts w:eastAsia="Times New Roman" w:cs="Arial"/>
          <w:color w:val="000000"/>
          <w:lang w:eastAsia="bg-BG"/>
        </w:rPr>
        <w:t xml:space="preserve">не </w:t>
      </w:r>
      <w:r w:rsidRPr="00C64221">
        <w:rPr>
          <w:rFonts w:eastAsia="Times New Roman" w:cs="Arial"/>
          <w:color w:val="000000"/>
        </w:rPr>
        <w:t xml:space="preserve">CF) </w:t>
      </w:r>
      <w:r w:rsidRPr="00C64221">
        <w:rPr>
          <w:rFonts w:eastAsia="Times New Roman" w:cs="Arial"/>
          <w:color w:val="000000"/>
          <w:lang w:eastAsia="bg-BG"/>
        </w:rPr>
        <w:t>са</w:t>
      </w:r>
      <w:r w:rsidRPr="00C64221">
        <w:rPr>
          <w:rFonts w:eastAsia="Times New Roman" w:cs="Arial"/>
          <w:color w:val="000000"/>
        </w:rPr>
        <w:t xml:space="preserve">  </w:t>
      </w:r>
      <w:r w:rsidRPr="00C64221">
        <w:rPr>
          <w:rFonts w:eastAsia="Times New Roman" w:cs="Arial"/>
          <w:color w:val="000000"/>
          <w:lang w:eastAsia="bg-BG"/>
        </w:rPr>
        <w:t>приемали пост-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трансплантационна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профилактика с 900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дневно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Проучването показва, че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муковисцидозата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не повлиява значимо системната експозиция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при реципиентите с белодробна трансплантация. Експозицията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при реципиентите с белодробна трансплантация е сравнима с експозицията с доказана ефикасност за профилактика 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>заболяване при реципиенти с трансплантация на други солидни органи.</w:t>
      </w:r>
    </w:p>
    <w:p w14:paraId="4D86E299" w14:textId="77777777" w:rsidR="00F015C6" w:rsidRPr="00C64221" w:rsidRDefault="00F015C6" w:rsidP="00F015C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22BD071" w14:textId="2B5741DF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35E83AD8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В проведено клинично изпитване Фаза II за проучване на фармакокинетиката и безопасността при педиатрични реципиенти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трансплантати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солидни органи (на възраст 4 месеца до 16 години, </w:t>
      </w:r>
      <w:r w:rsidRPr="00C64221">
        <w:rPr>
          <w:rFonts w:eastAsia="Times New Roman" w:cs="Arial"/>
          <w:color w:val="000000"/>
        </w:rPr>
        <w:t>n=</w:t>
      </w:r>
      <w:r w:rsidRPr="00C64221">
        <w:rPr>
          <w:rFonts w:eastAsia="Times New Roman" w:cs="Arial"/>
          <w:color w:val="000000"/>
          <w:lang w:eastAsia="bg-BG"/>
        </w:rPr>
        <w:t xml:space="preserve">63)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даван веднъж дневно в продължение на до 100 дни.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показатели са сходни при всички видове органи и възрастови граници и са сравними с тези на възрастните.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Популационното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фармакокинетично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моделиране показва, че бионаличността е приблизително 60%.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Клирънсът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повлиява положително от телесната повърхност и бъбречната функция.</w:t>
      </w:r>
    </w:p>
    <w:p w14:paraId="5BDFF5F1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26485D" w14:textId="4AAFF893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В проведено клинично изпитване Фаза I за проучване на фармакокинетиката и безопасността при педиатрични реципиенти с трансплантация на сърце (на възраст от 3 седмици до 125 дни, </w:t>
      </w:r>
      <w:r w:rsidRPr="00C64221">
        <w:rPr>
          <w:rFonts w:eastAsia="Times New Roman" w:cs="Arial"/>
          <w:color w:val="000000"/>
        </w:rPr>
        <w:t>n</w:t>
      </w:r>
      <w:r w:rsidRPr="00C64221">
        <w:rPr>
          <w:rFonts w:eastAsia="Times New Roman" w:cs="Arial"/>
          <w:color w:val="000000"/>
          <w:lang w:eastAsia="bg-BG"/>
        </w:rPr>
        <w:t xml:space="preserve">=14),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даван веднъж дневно в продължение на два дни от изпитването.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Популационната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фармакокинетика изчислява средна бионаличност от 64%.</w:t>
      </w:r>
    </w:p>
    <w:p w14:paraId="0AD9D15E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B2CDBC" w14:textId="39EB16E3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Сравнение на резултатите от тези две клинични изпитвания 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резултати от възрастната популация показва, че границите на </w:t>
      </w:r>
      <w:r w:rsidRPr="00C64221">
        <w:rPr>
          <w:rFonts w:eastAsia="Times New Roman" w:cs="Arial"/>
          <w:color w:val="000000"/>
        </w:rPr>
        <w:t>AUC</w:t>
      </w:r>
      <w:r w:rsidRPr="00C64221">
        <w:rPr>
          <w:rFonts w:eastAsia="Times New Roman" w:cs="Arial"/>
          <w:color w:val="000000"/>
          <w:vertAlign w:val="subscript"/>
        </w:rPr>
        <w:t>0-24h</w:t>
      </w:r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са много сходни във всички възрастови групи, включително възрастните. Средните стойности за </w:t>
      </w:r>
      <w:r w:rsidRPr="00C64221">
        <w:rPr>
          <w:rFonts w:eastAsia="Times New Roman" w:cs="Arial"/>
          <w:color w:val="000000"/>
        </w:rPr>
        <w:t>AUC</w:t>
      </w:r>
      <w:r w:rsidRPr="00C64221">
        <w:rPr>
          <w:rFonts w:eastAsia="Times New Roman" w:cs="Arial"/>
          <w:color w:val="000000"/>
          <w:vertAlign w:val="subscript"/>
        </w:rPr>
        <w:t>0-24h</w:t>
      </w:r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C64221">
        <w:rPr>
          <w:rFonts w:eastAsia="Times New Roman" w:cs="Arial"/>
          <w:color w:val="000000"/>
        </w:rPr>
        <w:t>Cmax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също са сходни в педиатричните групи на възраст &lt;12 години, въпреки че съществува тенденция за намаляване на средните стойности на </w:t>
      </w:r>
      <w:r w:rsidRPr="00C64221">
        <w:rPr>
          <w:rFonts w:eastAsia="Times New Roman" w:cs="Arial"/>
          <w:color w:val="000000"/>
        </w:rPr>
        <w:t>AUC</w:t>
      </w:r>
      <w:r w:rsidRPr="00C64221">
        <w:rPr>
          <w:rFonts w:eastAsia="Times New Roman" w:cs="Arial"/>
          <w:color w:val="000000"/>
          <w:vertAlign w:val="subscript"/>
        </w:rPr>
        <w:t>0-24h</w:t>
      </w:r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</w:t>
      </w:r>
      <w:r w:rsidRPr="00C64221">
        <w:rPr>
          <w:rFonts w:eastAsia="Times New Roman" w:cs="Arial"/>
          <w:color w:val="000000"/>
          <w:vertAlign w:val="subscript"/>
        </w:rPr>
        <w:t>max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целия педиатричен възрастов диапазон, което изглежда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корелира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 увеличаващата се възраст. Тази тенденция е по-очевидна при средните стойности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клирънса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полуживота </w:t>
      </w:r>
      <w:r w:rsidRPr="00C64221">
        <w:rPr>
          <w:rFonts w:eastAsia="Times New Roman" w:cs="Arial"/>
          <w:color w:val="000000"/>
        </w:rPr>
        <w:t>(t</w:t>
      </w:r>
      <w:r w:rsidRPr="00C64221">
        <w:rPr>
          <w:rFonts w:eastAsia="Times New Roman" w:cs="Arial"/>
          <w:color w:val="000000"/>
          <w:vertAlign w:val="subscript"/>
        </w:rPr>
        <w:t>1/2</w:t>
      </w:r>
      <w:r w:rsidRPr="00C64221">
        <w:rPr>
          <w:rFonts w:eastAsia="Times New Roman" w:cs="Arial"/>
          <w:color w:val="000000"/>
          <w:lang w:eastAsia="bg-BG"/>
        </w:rPr>
        <w:t xml:space="preserve">). Това обаче трябва да се очаква, тъй като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клирънсът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се повлиява от промените в теглото, ръста и бъбречната функция, свързани с израстването на пациентите, както показва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популационното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фармакокинетично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моделиране.</w:t>
      </w:r>
    </w:p>
    <w:p w14:paraId="3291B815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8B76BF" w14:textId="6141C0E3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В следната таблица са обобщени изчислените от модела граници на </w:t>
      </w:r>
      <w:r w:rsidRPr="00C64221">
        <w:rPr>
          <w:rFonts w:eastAsia="Times New Roman" w:cs="Arial"/>
          <w:color w:val="000000"/>
        </w:rPr>
        <w:t xml:space="preserve">AUCo-24h </w:t>
      </w:r>
      <w:r w:rsidRPr="00C64221">
        <w:rPr>
          <w:rFonts w:eastAsia="Times New Roman" w:cs="Arial"/>
          <w:color w:val="000000"/>
          <w:lang w:eastAsia="bg-BG"/>
        </w:rPr>
        <w:t xml:space="preserve">за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тези две клинични изпитвания, както и стойностите на средното и стандартното отклонение за </w:t>
      </w:r>
      <w:r w:rsidRPr="00C64221">
        <w:rPr>
          <w:rFonts w:eastAsia="Times New Roman" w:cs="Arial"/>
          <w:color w:val="000000"/>
        </w:rPr>
        <w:t>AUC</w:t>
      </w:r>
      <w:r w:rsidRPr="00C64221">
        <w:rPr>
          <w:rFonts w:eastAsia="Times New Roman" w:cs="Arial"/>
          <w:color w:val="000000"/>
          <w:vertAlign w:val="subscript"/>
        </w:rPr>
        <w:t>0-24h</w:t>
      </w:r>
      <w:r w:rsidRPr="00C64221">
        <w:rPr>
          <w:rFonts w:eastAsia="Times New Roman" w:cs="Arial"/>
          <w:color w:val="000000"/>
        </w:rPr>
        <w:t xml:space="preserve">, </w:t>
      </w:r>
      <w:proofErr w:type="spellStart"/>
      <w:r w:rsidRPr="00C64221">
        <w:rPr>
          <w:rFonts w:eastAsia="Times New Roman" w:cs="Arial"/>
          <w:color w:val="000000"/>
        </w:rPr>
        <w:t>Cmax</w:t>
      </w:r>
      <w:proofErr w:type="spellEnd"/>
      <w:r w:rsidRPr="00C64221">
        <w:rPr>
          <w:rFonts w:eastAsia="Times New Roman" w:cs="Arial"/>
          <w:color w:val="000000"/>
        </w:rPr>
        <w:t xml:space="preserve">, CL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r w:rsidRPr="00C64221">
        <w:rPr>
          <w:rFonts w:eastAsia="Times New Roman" w:cs="Arial"/>
          <w:color w:val="000000"/>
        </w:rPr>
        <w:t>t</w:t>
      </w:r>
      <w:r w:rsidRPr="00C64221">
        <w:rPr>
          <w:rFonts w:eastAsia="Times New Roman" w:cs="Arial"/>
          <w:color w:val="000000"/>
          <w:vertAlign w:val="subscript"/>
          <w:lang w:eastAsia="bg-BG"/>
        </w:rPr>
        <w:t>1/2</w:t>
      </w:r>
      <w:r w:rsidRPr="00C64221">
        <w:rPr>
          <w:rFonts w:eastAsia="Times New Roman" w:cs="Arial"/>
          <w:color w:val="000000"/>
          <w:lang w:eastAsia="bg-BG"/>
        </w:rPr>
        <w:t xml:space="preserve"> за съответните педиатрични възрастови групи, сравнени с данните при възрастните: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83"/>
        <w:gridCol w:w="1596"/>
        <w:gridCol w:w="1596"/>
        <w:gridCol w:w="1596"/>
        <w:gridCol w:w="1596"/>
      </w:tblGrid>
      <w:tr w:rsidR="00F015C6" w:rsidRPr="00C64221" w14:paraId="7D70ED11" w14:textId="77777777" w:rsidTr="00F015C6">
        <w:tc>
          <w:tcPr>
            <w:tcW w:w="1809" w:type="dxa"/>
          </w:tcPr>
          <w:p w14:paraId="28B4F89C" w14:textId="529BFC64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b/>
                <w:bCs/>
                <w:i/>
                <w:iCs/>
              </w:rPr>
              <w:lastRenderedPageBreak/>
              <w:t>ФК Показател</w:t>
            </w:r>
          </w:p>
        </w:tc>
        <w:tc>
          <w:tcPr>
            <w:tcW w:w="1383" w:type="dxa"/>
          </w:tcPr>
          <w:p w14:paraId="41B23C42" w14:textId="452E75E0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b/>
                <w:bCs/>
                <w:i/>
                <w:iCs/>
              </w:rPr>
              <w:t>Възрастни*</w:t>
            </w:r>
          </w:p>
        </w:tc>
        <w:tc>
          <w:tcPr>
            <w:tcW w:w="6384" w:type="dxa"/>
            <w:gridSpan w:val="4"/>
          </w:tcPr>
          <w:p w14:paraId="2B62840F" w14:textId="226CDB48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b/>
                <w:bCs/>
                <w:i/>
                <w:iCs/>
              </w:rPr>
              <w:t>Педиатрични пациенти</w:t>
            </w:r>
          </w:p>
        </w:tc>
      </w:tr>
      <w:tr w:rsidR="00F015C6" w:rsidRPr="00C64221" w14:paraId="6A2F3700" w14:textId="77777777" w:rsidTr="00F015C6">
        <w:tc>
          <w:tcPr>
            <w:tcW w:w="1809" w:type="dxa"/>
          </w:tcPr>
          <w:p w14:paraId="7043992A" w14:textId="77777777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C57C0FD" w14:textId="603B8A4A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lang w:eastAsia="bg-BG"/>
              </w:rPr>
              <w:t>≥</w:t>
            </w:r>
            <w:r w:rsidRPr="00C64221">
              <w:t xml:space="preserve">18 </w:t>
            </w:r>
            <w:r w:rsidRPr="00C64221">
              <w:rPr>
                <w:lang w:eastAsia="bg-BG"/>
              </w:rPr>
              <w:t xml:space="preserve">години </w:t>
            </w:r>
            <w:r w:rsidRPr="00C64221">
              <w:t>(n=160)</w:t>
            </w:r>
          </w:p>
        </w:tc>
        <w:tc>
          <w:tcPr>
            <w:tcW w:w="1596" w:type="dxa"/>
          </w:tcPr>
          <w:p w14:paraId="67351139" w14:textId="77777777" w:rsidR="00F015C6" w:rsidRPr="00C64221" w:rsidRDefault="00F015C6" w:rsidP="00F015C6">
            <w:r w:rsidRPr="00C64221">
              <w:t xml:space="preserve">&lt;4 </w:t>
            </w:r>
            <w:r w:rsidRPr="00C64221">
              <w:rPr>
                <w:lang w:eastAsia="bg-BG"/>
              </w:rPr>
              <w:t>месеца</w:t>
            </w:r>
          </w:p>
          <w:p w14:paraId="7D9396ED" w14:textId="79E29776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(n=14)</w:t>
            </w:r>
          </w:p>
        </w:tc>
        <w:tc>
          <w:tcPr>
            <w:tcW w:w="1596" w:type="dxa"/>
          </w:tcPr>
          <w:p w14:paraId="22120D64" w14:textId="04D98F52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 xml:space="preserve">4 </w:t>
            </w:r>
            <w:r w:rsidRPr="00C64221">
              <w:rPr>
                <w:lang w:eastAsia="bg-BG"/>
              </w:rPr>
              <w:t xml:space="preserve">месеца </w:t>
            </w:r>
            <w:r w:rsidRPr="00C64221">
              <w:t xml:space="preserve">- </w:t>
            </w:r>
            <w:r w:rsidRPr="00C64221">
              <w:rPr>
                <w:lang w:eastAsia="bg-BG"/>
              </w:rPr>
              <w:t>≤</w:t>
            </w:r>
            <w:r w:rsidRPr="00C64221">
              <w:t xml:space="preserve">2 </w:t>
            </w:r>
            <w:r w:rsidRPr="00C64221">
              <w:rPr>
                <w:lang w:eastAsia="bg-BG"/>
              </w:rPr>
              <w:t xml:space="preserve">години </w:t>
            </w:r>
            <w:r w:rsidRPr="00C64221">
              <w:t>(n=17)</w:t>
            </w:r>
          </w:p>
        </w:tc>
        <w:tc>
          <w:tcPr>
            <w:tcW w:w="1596" w:type="dxa"/>
          </w:tcPr>
          <w:p w14:paraId="29988295" w14:textId="295BDD3C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 xml:space="preserve">&gt;2-&lt;12 </w:t>
            </w:r>
            <w:r w:rsidRPr="00C64221">
              <w:rPr>
                <w:lang w:eastAsia="bg-BG"/>
              </w:rPr>
              <w:t xml:space="preserve">години </w:t>
            </w:r>
            <w:r w:rsidRPr="00C64221">
              <w:t>(n=21)</w:t>
            </w:r>
          </w:p>
        </w:tc>
        <w:tc>
          <w:tcPr>
            <w:tcW w:w="1596" w:type="dxa"/>
          </w:tcPr>
          <w:p w14:paraId="44431339" w14:textId="77777777" w:rsidR="00F015C6" w:rsidRPr="00C64221" w:rsidRDefault="00F015C6" w:rsidP="00F015C6">
            <w:r w:rsidRPr="00C64221">
              <w:rPr>
                <w:lang w:eastAsia="bg-BG"/>
              </w:rPr>
              <w:t>≥</w:t>
            </w:r>
          </w:p>
          <w:p w14:paraId="5AD64C05" w14:textId="5C455609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 xml:space="preserve">12 </w:t>
            </w:r>
            <w:r w:rsidRPr="00C64221">
              <w:rPr>
                <w:lang w:eastAsia="bg-BG"/>
              </w:rPr>
              <w:t xml:space="preserve">години </w:t>
            </w:r>
            <w:r w:rsidRPr="00C64221">
              <w:t xml:space="preserve">- 16 </w:t>
            </w:r>
            <w:r w:rsidRPr="00C64221">
              <w:rPr>
                <w:lang w:eastAsia="bg-BG"/>
              </w:rPr>
              <w:t xml:space="preserve">години </w:t>
            </w:r>
            <w:r w:rsidRPr="00C64221">
              <w:t>(n=25)</w:t>
            </w:r>
          </w:p>
        </w:tc>
      </w:tr>
      <w:tr w:rsidR="00F015C6" w:rsidRPr="00C64221" w14:paraId="247894CE" w14:textId="77777777" w:rsidTr="00F015C6">
        <w:tc>
          <w:tcPr>
            <w:tcW w:w="1809" w:type="dxa"/>
          </w:tcPr>
          <w:p w14:paraId="305DFD60" w14:textId="6B02796C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AUCo-24h(</w:t>
            </w:r>
            <w:proofErr w:type="spellStart"/>
            <w:r w:rsidRPr="00C64221">
              <w:rPr>
                <w:lang w:eastAsia="bg-BG"/>
              </w:rPr>
              <w:t>μ</w:t>
            </w:r>
            <w:r w:rsidRPr="00C64221">
              <w:t>g</w:t>
            </w:r>
            <w:r w:rsidRPr="00C64221">
              <w:rPr>
                <w:vertAlign w:val="superscript"/>
              </w:rPr>
              <w:t>.</w:t>
            </w:r>
            <w:r w:rsidRPr="00C64221">
              <w:t>h</w:t>
            </w:r>
            <w:proofErr w:type="spellEnd"/>
            <w:r w:rsidRPr="00C64221">
              <w:t>/ml)</w:t>
            </w:r>
          </w:p>
        </w:tc>
        <w:tc>
          <w:tcPr>
            <w:tcW w:w="1383" w:type="dxa"/>
          </w:tcPr>
          <w:p w14:paraId="20CE27D0" w14:textId="58F9227D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46,3 ±15,2</w:t>
            </w:r>
          </w:p>
        </w:tc>
        <w:tc>
          <w:tcPr>
            <w:tcW w:w="1596" w:type="dxa"/>
          </w:tcPr>
          <w:p w14:paraId="1FDA2B89" w14:textId="68ACF1CB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68 ± 19,8</w:t>
            </w:r>
          </w:p>
        </w:tc>
        <w:tc>
          <w:tcPr>
            <w:tcW w:w="1596" w:type="dxa"/>
          </w:tcPr>
          <w:p w14:paraId="0FC4D980" w14:textId="4DC4F786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64,3 ± 29,2</w:t>
            </w:r>
          </w:p>
        </w:tc>
        <w:tc>
          <w:tcPr>
            <w:tcW w:w="1596" w:type="dxa"/>
          </w:tcPr>
          <w:p w14:paraId="0DD8B5DB" w14:textId="1858B669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59,2 ± 15,1</w:t>
            </w:r>
          </w:p>
        </w:tc>
        <w:tc>
          <w:tcPr>
            <w:tcW w:w="1596" w:type="dxa"/>
          </w:tcPr>
          <w:p w14:paraId="4DC5486E" w14:textId="1E5A8EBF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50,3 ± 15,0</w:t>
            </w:r>
          </w:p>
        </w:tc>
      </w:tr>
      <w:tr w:rsidR="00F015C6" w:rsidRPr="00C64221" w14:paraId="227DF58C" w14:textId="77777777" w:rsidTr="00F015C6">
        <w:tc>
          <w:tcPr>
            <w:tcW w:w="1809" w:type="dxa"/>
          </w:tcPr>
          <w:p w14:paraId="1322FC7F" w14:textId="77777777" w:rsidR="00F015C6" w:rsidRPr="00C64221" w:rsidRDefault="00F015C6" w:rsidP="00F015C6">
            <w:r w:rsidRPr="00C64221">
              <w:rPr>
                <w:lang w:eastAsia="bg-BG"/>
              </w:rPr>
              <w:t>Диапазон на</w:t>
            </w:r>
          </w:p>
          <w:p w14:paraId="40F16B71" w14:textId="403D5613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AUC</w:t>
            </w:r>
            <w:r w:rsidRPr="00C64221">
              <w:rPr>
                <w:vertAlign w:val="subscript"/>
              </w:rPr>
              <w:t>0-24h</w:t>
            </w:r>
          </w:p>
        </w:tc>
        <w:tc>
          <w:tcPr>
            <w:tcW w:w="1383" w:type="dxa"/>
          </w:tcPr>
          <w:p w14:paraId="08B3A845" w14:textId="0C1BEAC0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15,4-116,1</w:t>
            </w:r>
          </w:p>
        </w:tc>
        <w:tc>
          <w:tcPr>
            <w:tcW w:w="1596" w:type="dxa"/>
          </w:tcPr>
          <w:p w14:paraId="6F4B06DA" w14:textId="2609850B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34-124</w:t>
            </w:r>
          </w:p>
        </w:tc>
        <w:tc>
          <w:tcPr>
            <w:tcW w:w="1596" w:type="dxa"/>
          </w:tcPr>
          <w:p w14:paraId="2C52C458" w14:textId="5641C0CD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34-152</w:t>
            </w:r>
          </w:p>
        </w:tc>
        <w:tc>
          <w:tcPr>
            <w:tcW w:w="1596" w:type="dxa"/>
          </w:tcPr>
          <w:p w14:paraId="7E433437" w14:textId="338E4F17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36-108</w:t>
            </w:r>
          </w:p>
        </w:tc>
        <w:tc>
          <w:tcPr>
            <w:tcW w:w="1596" w:type="dxa"/>
          </w:tcPr>
          <w:p w14:paraId="7337106C" w14:textId="757CFE4B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22-93</w:t>
            </w:r>
          </w:p>
        </w:tc>
      </w:tr>
      <w:tr w:rsidR="00F015C6" w:rsidRPr="00C64221" w14:paraId="7F1947E5" w14:textId="77777777" w:rsidTr="00F015C6">
        <w:tc>
          <w:tcPr>
            <w:tcW w:w="1809" w:type="dxa"/>
          </w:tcPr>
          <w:p w14:paraId="5541CE81" w14:textId="57347463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64221">
              <w:t>Cmax</w:t>
            </w:r>
            <w:proofErr w:type="spellEnd"/>
            <w:r w:rsidRPr="00C64221">
              <w:t xml:space="preserve"> (</w:t>
            </w:r>
            <w:proofErr w:type="spellStart"/>
            <w:r w:rsidRPr="00C64221">
              <w:rPr>
                <w:lang w:eastAsia="bg-BG"/>
              </w:rPr>
              <w:t>μ</w:t>
            </w:r>
            <w:r w:rsidRPr="00C64221">
              <w:t>g</w:t>
            </w:r>
            <w:proofErr w:type="spellEnd"/>
            <w:r w:rsidRPr="00C64221">
              <w:t>/ml)</w:t>
            </w:r>
          </w:p>
        </w:tc>
        <w:tc>
          <w:tcPr>
            <w:tcW w:w="1383" w:type="dxa"/>
          </w:tcPr>
          <w:p w14:paraId="589C121D" w14:textId="1261DE99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5,3 ± 1,5</w:t>
            </w:r>
          </w:p>
        </w:tc>
        <w:tc>
          <w:tcPr>
            <w:tcW w:w="1596" w:type="dxa"/>
          </w:tcPr>
          <w:p w14:paraId="766FC7E9" w14:textId="4FA544E2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10,5 ±3,36</w:t>
            </w:r>
          </w:p>
        </w:tc>
        <w:tc>
          <w:tcPr>
            <w:tcW w:w="1596" w:type="dxa"/>
          </w:tcPr>
          <w:p w14:paraId="39552CA2" w14:textId="12507FE0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10,3 ±3,3</w:t>
            </w:r>
          </w:p>
        </w:tc>
        <w:tc>
          <w:tcPr>
            <w:tcW w:w="1596" w:type="dxa"/>
          </w:tcPr>
          <w:p w14:paraId="139E076A" w14:textId="35466BD3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9,4 ± 2,7</w:t>
            </w:r>
          </w:p>
        </w:tc>
        <w:tc>
          <w:tcPr>
            <w:tcW w:w="1596" w:type="dxa"/>
          </w:tcPr>
          <w:p w14:paraId="308F28B4" w14:textId="69A34103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8,0 ± 2,4</w:t>
            </w:r>
          </w:p>
        </w:tc>
      </w:tr>
      <w:tr w:rsidR="00F015C6" w:rsidRPr="00C64221" w14:paraId="0B7DF83C" w14:textId="77777777" w:rsidTr="00F015C6">
        <w:tc>
          <w:tcPr>
            <w:tcW w:w="1809" w:type="dxa"/>
          </w:tcPr>
          <w:p w14:paraId="07E8197A" w14:textId="3701F53E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rPr>
                <w:lang w:eastAsia="bg-BG"/>
              </w:rPr>
              <w:t xml:space="preserve">Клирънс </w:t>
            </w:r>
            <w:r w:rsidRPr="00C64221">
              <w:t>(l/h)</w:t>
            </w:r>
          </w:p>
        </w:tc>
        <w:tc>
          <w:tcPr>
            <w:tcW w:w="1383" w:type="dxa"/>
          </w:tcPr>
          <w:p w14:paraId="6E260568" w14:textId="612A2D9A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12,7 ±4,5</w:t>
            </w:r>
          </w:p>
        </w:tc>
        <w:tc>
          <w:tcPr>
            <w:tcW w:w="1596" w:type="dxa"/>
          </w:tcPr>
          <w:p w14:paraId="43AA4770" w14:textId="2A24643C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1,25 ± 0,473</w:t>
            </w:r>
          </w:p>
        </w:tc>
        <w:tc>
          <w:tcPr>
            <w:tcW w:w="1596" w:type="dxa"/>
          </w:tcPr>
          <w:p w14:paraId="768379D0" w14:textId="51260BDE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2,5 ± 2,4</w:t>
            </w:r>
          </w:p>
        </w:tc>
        <w:tc>
          <w:tcPr>
            <w:tcW w:w="1596" w:type="dxa"/>
          </w:tcPr>
          <w:p w14:paraId="2CE51082" w14:textId="3BA214B9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4,5 ±2,9</w:t>
            </w:r>
          </w:p>
        </w:tc>
        <w:tc>
          <w:tcPr>
            <w:tcW w:w="1596" w:type="dxa"/>
          </w:tcPr>
          <w:p w14:paraId="6AB70D16" w14:textId="5401C536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6,4 ± 2,9</w:t>
            </w:r>
          </w:p>
        </w:tc>
      </w:tr>
      <w:tr w:rsidR="00F015C6" w:rsidRPr="00C64221" w14:paraId="10492CD0" w14:textId="77777777" w:rsidTr="00F015C6">
        <w:tc>
          <w:tcPr>
            <w:tcW w:w="1809" w:type="dxa"/>
          </w:tcPr>
          <w:p w14:paraId="7AA8D735" w14:textId="62F797CF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t</w:t>
            </w:r>
            <w:r w:rsidRPr="00C64221">
              <w:rPr>
                <w:vertAlign w:val="subscript"/>
              </w:rPr>
              <w:t>1/2</w:t>
            </w:r>
            <w:r w:rsidRPr="00C64221">
              <w:t xml:space="preserve"> (h)</w:t>
            </w:r>
          </w:p>
        </w:tc>
        <w:tc>
          <w:tcPr>
            <w:tcW w:w="1383" w:type="dxa"/>
          </w:tcPr>
          <w:p w14:paraId="3A54FC0C" w14:textId="4F87CF51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6,5 ± 1,4</w:t>
            </w:r>
          </w:p>
        </w:tc>
        <w:tc>
          <w:tcPr>
            <w:tcW w:w="1596" w:type="dxa"/>
          </w:tcPr>
          <w:p w14:paraId="6956327F" w14:textId="28293E94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1,97 ±0,185</w:t>
            </w:r>
          </w:p>
        </w:tc>
        <w:tc>
          <w:tcPr>
            <w:tcW w:w="1596" w:type="dxa"/>
          </w:tcPr>
          <w:p w14:paraId="2ADC1FAF" w14:textId="515279AC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3,1 ±1,4</w:t>
            </w:r>
          </w:p>
        </w:tc>
        <w:tc>
          <w:tcPr>
            <w:tcW w:w="1596" w:type="dxa"/>
          </w:tcPr>
          <w:p w14:paraId="59B8457A" w14:textId="6412A761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4,1 ± 1,3</w:t>
            </w:r>
          </w:p>
        </w:tc>
        <w:tc>
          <w:tcPr>
            <w:tcW w:w="1596" w:type="dxa"/>
          </w:tcPr>
          <w:p w14:paraId="0D4E4F69" w14:textId="3AAC23A8" w:rsidR="00F015C6" w:rsidRPr="00C64221" w:rsidRDefault="00F015C6" w:rsidP="00F015C6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C64221">
              <w:t>5,5 ± 1,1</w:t>
            </w:r>
          </w:p>
        </w:tc>
      </w:tr>
    </w:tbl>
    <w:p w14:paraId="36B672E5" w14:textId="75EA45F8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* Извлечени от доклад на клинично изпитване </w:t>
      </w:r>
      <w:r w:rsidRPr="00C64221">
        <w:rPr>
          <w:rFonts w:eastAsia="Times New Roman" w:cs="Arial"/>
          <w:color w:val="000000"/>
        </w:rPr>
        <w:t xml:space="preserve">PV </w:t>
      </w:r>
      <w:r w:rsidRPr="00C64221">
        <w:rPr>
          <w:rFonts w:eastAsia="Times New Roman" w:cs="Arial"/>
          <w:color w:val="000000"/>
          <w:lang w:eastAsia="bg-BG"/>
        </w:rPr>
        <w:t>16000</w:t>
      </w:r>
    </w:p>
    <w:p w14:paraId="69E0F37F" w14:textId="77777777" w:rsidR="00F015C6" w:rsidRPr="00C64221" w:rsidRDefault="00F015C6" w:rsidP="00F015C6">
      <w:pPr>
        <w:rPr>
          <w:rFonts w:eastAsia="Times New Roman" w:cs="Arial"/>
          <w:color w:val="000000"/>
          <w:lang w:eastAsia="bg-BG"/>
        </w:rPr>
      </w:pPr>
    </w:p>
    <w:p w14:paraId="3DB9641E" w14:textId="378B3E72" w:rsidR="00F015C6" w:rsidRPr="00C64221" w:rsidRDefault="00F015C6" w:rsidP="00F015C6">
      <w:pPr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 xml:space="preserve">Дозата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двете изпитвания, описани по-горе, с приложение веднъж дневно се основава на телесната повърхност </w:t>
      </w:r>
      <w:r w:rsidRPr="00C64221">
        <w:rPr>
          <w:rFonts w:eastAsia="Times New Roman" w:cs="Arial"/>
          <w:color w:val="000000"/>
        </w:rPr>
        <w:t xml:space="preserve">(BSA) </w:t>
      </w:r>
      <w:r w:rsidRPr="00C64221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клирънс (СгС1), получени чрез модифицирана формула на </w:t>
      </w:r>
      <w:proofErr w:type="spellStart"/>
      <w:r w:rsidRPr="00C64221">
        <w:rPr>
          <w:rFonts w:eastAsia="Times New Roman" w:cs="Arial"/>
          <w:color w:val="000000"/>
        </w:rPr>
        <w:t>Schwartz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>и изчислени с помощта на алгоритъма за дозиране, представен в точка 4.2.</w:t>
      </w:r>
    </w:p>
    <w:p w14:paraId="73E75EEC" w14:textId="0E3176D4" w:rsidR="00F015C6" w:rsidRPr="00C64221" w:rsidRDefault="00F015C6" w:rsidP="00F015C6">
      <w:pPr>
        <w:rPr>
          <w:rFonts w:eastAsia="Times New Roman" w:cs="Arial"/>
          <w:color w:val="000000"/>
          <w:lang w:eastAsia="bg-BG"/>
        </w:rPr>
      </w:pPr>
    </w:p>
    <w:p w14:paraId="226BC0F2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Фармакокинетиката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след приложение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също е оценена в две клинични изпитвания при новородени и кърмачета със симптоматично вродено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 xml:space="preserve">заболяване. В първото клинично изпитване 24 новородени на възраст 8 до 34 дни са получили 6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интравенозно два пъти дневно. След това пациентите са лекувани с перорален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при което дозата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прах за перорален разтвор варира от 14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до 20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два пъти дневно. Общата продължителност на лечението е 6 седмици. Доза от 16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два пъти дневно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прах за перорален разтвор осигурява експозиция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сравнима с 6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интравенозно два пъти дневно при новородени, като също постига експозиция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сходна с ефективната интравенозна доза от 5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>при възрастни.</w:t>
      </w:r>
    </w:p>
    <w:p w14:paraId="16CB4E0E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D5C554" w14:textId="15FFF0F3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Във второто клинично изпитване 109 новородени на възраст от 2 до 30 дни са получавали 16 </w:t>
      </w:r>
      <w:proofErr w:type="spellStart"/>
      <w:r w:rsidRPr="00C64221">
        <w:rPr>
          <w:rFonts w:eastAsia="Times New Roman" w:cs="Arial"/>
          <w:color w:val="000000"/>
        </w:rPr>
        <w:t>mg</w:t>
      </w:r>
      <w:proofErr w:type="spellEnd"/>
      <w:r w:rsidRPr="00C64221">
        <w:rPr>
          <w:rFonts w:eastAsia="Times New Roman" w:cs="Arial"/>
          <w:color w:val="000000"/>
        </w:rPr>
        <w:t>/</w:t>
      </w:r>
      <w:proofErr w:type="spellStart"/>
      <w:r w:rsidRPr="00C64221">
        <w:rPr>
          <w:rFonts w:eastAsia="Times New Roman" w:cs="Arial"/>
          <w:color w:val="000000"/>
        </w:rPr>
        <w:t>kg</w:t>
      </w:r>
      <w:proofErr w:type="spellEnd"/>
      <w:r w:rsidRPr="00C64221">
        <w:rPr>
          <w:rFonts w:eastAsia="Times New Roman" w:cs="Arial"/>
          <w:color w:val="000000"/>
        </w:rPr>
        <w:t xml:space="preserve">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прах за перорален разтвор два пъти дневно в продължение на 6 седмици и след това 96 от всичките 109 включени пациенти са рандомизирани да продължат да получават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или плацебо в продължение на 6 месеца. Средната </w:t>
      </w:r>
      <w:r w:rsidRPr="00C64221">
        <w:rPr>
          <w:rFonts w:eastAsia="Times New Roman" w:cs="Arial"/>
          <w:color w:val="000000"/>
        </w:rPr>
        <w:t>AUC</w:t>
      </w:r>
      <w:r w:rsidRPr="00C64221">
        <w:rPr>
          <w:rFonts w:eastAsia="Times New Roman" w:cs="Arial"/>
          <w:color w:val="000000"/>
          <w:vertAlign w:val="subscript"/>
        </w:rPr>
        <w:t>0-12h</w:t>
      </w:r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обаче е по-ниска в сравнение със стойностите на средната </w:t>
      </w:r>
      <w:r w:rsidRPr="00C64221">
        <w:rPr>
          <w:rFonts w:eastAsia="Times New Roman" w:cs="Arial"/>
          <w:color w:val="000000"/>
        </w:rPr>
        <w:t>AUC</w:t>
      </w:r>
      <w:r w:rsidRPr="00C64221">
        <w:rPr>
          <w:rFonts w:eastAsia="Times New Roman" w:cs="Arial"/>
          <w:color w:val="000000"/>
          <w:vertAlign w:val="subscript"/>
        </w:rPr>
        <w:t>0-12h</w:t>
      </w:r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 xml:space="preserve">в първото клинично изпитване. В таблицата по-долу са показани средните стойности на </w:t>
      </w:r>
      <w:r w:rsidRPr="00C64221">
        <w:rPr>
          <w:rFonts w:eastAsia="Times New Roman" w:cs="Arial"/>
          <w:color w:val="000000"/>
        </w:rPr>
        <w:t xml:space="preserve">AUC,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С</w:t>
      </w:r>
      <w:r w:rsidRPr="00C64221">
        <w:rPr>
          <w:rFonts w:eastAsia="Times New Roman" w:cs="Arial"/>
          <w:color w:val="000000"/>
          <w:vertAlign w:val="subscript"/>
          <w:lang w:eastAsia="bg-BG"/>
        </w:rPr>
        <w:t>тах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и </w:t>
      </w:r>
      <w:proofErr w:type="spellStart"/>
      <w:r w:rsidRPr="00C64221">
        <w:rPr>
          <w:rFonts w:eastAsia="Times New Roman" w:cs="Arial"/>
          <w:i/>
          <w:iCs/>
          <w:color w:val="000000"/>
        </w:rPr>
        <w:t>tin</w:t>
      </w:r>
      <w:proofErr w:type="spellEnd"/>
      <w:r w:rsidRPr="00C64221">
        <w:rPr>
          <w:rFonts w:eastAsia="Times New Roman" w:cs="Arial"/>
          <w:i/>
          <w:iCs/>
          <w:color w:val="000000"/>
        </w:rPr>
        <w:t>,</w:t>
      </w:r>
      <w:r w:rsidRPr="00C64221">
        <w:rPr>
          <w:rFonts w:eastAsia="Times New Roman" w:cs="Arial"/>
          <w:color w:val="000000"/>
        </w:rPr>
        <w:t xml:space="preserve"> </w:t>
      </w:r>
      <w:r w:rsidRPr="00C64221">
        <w:rPr>
          <w:rFonts w:eastAsia="Times New Roman" w:cs="Arial"/>
          <w:color w:val="000000"/>
          <w:lang w:eastAsia="bg-BG"/>
        </w:rPr>
        <w:t>включително стандартните отклонения, в сравнение с данните при възрастни:</w:t>
      </w:r>
    </w:p>
    <w:p w14:paraId="1AA8567E" w14:textId="4073B84E" w:rsidR="00F015C6" w:rsidRPr="00C64221" w:rsidRDefault="00F015C6" w:rsidP="00F0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89"/>
        <w:gridCol w:w="1858"/>
        <w:gridCol w:w="1858"/>
        <w:gridCol w:w="1860"/>
      </w:tblGrid>
      <w:tr w:rsidR="00F015C6" w:rsidRPr="00C64221" w14:paraId="5D5170EA" w14:textId="77777777" w:rsidTr="00F015C6">
        <w:tc>
          <w:tcPr>
            <w:tcW w:w="1915" w:type="dxa"/>
          </w:tcPr>
          <w:p w14:paraId="5E3A0C3B" w14:textId="16CF6B20" w:rsidR="00F015C6" w:rsidRPr="00C64221" w:rsidRDefault="00F015C6" w:rsidP="00F015C6">
            <w:r w:rsidRPr="00C64221">
              <w:rPr>
                <w:b/>
                <w:bCs/>
                <w:i/>
                <w:iCs/>
              </w:rPr>
              <w:t>ФК показател</w:t>
            </w:r>
          </w:p>
        </w:tc>
        <w:tc>
          <w:tcPr>
            <w:tcW w:w="1915" w:type="dxa"/>
          </w:tcPr>
          <w:p w14:paraId="73F41AC2" w14:textId="2E4D62E6" w:rsidR="00F015C6" w:rsidRPr="00C64221" w:rsidRDefault="00F015C6" w:rsidP="00F015C6">
            <w:r w:rsidRPr="00C64221">
              <w:rPr>
                <w:b/>
                <w:bCs/>
                <w:i/>
                <w:iCs/>
              </w:rPr>
              <w:t>Възрастни</w:t>
            </w:r>
          </w:p>
        </w:tc>
        <w:tc>
          <w:tcPr>
            <w:tcW w:w="5746" w:type="dxa"/>
            <w:gridSpan w:val="3"/>
          </w:tcPr>
          <w:p w14:paraId="4EB05248" w14:textId="69D7D4D7" w:rsidR="00F015C6" w:rsidRPr="00C64221" w:rsidRDefault="00F015C6" w:rsidP="00F015C6">
            <w:r w:rsidRPr="00C64221">
              <w:rPr>
                <w:b/>
                <w:bCs/>
                <w:i/>
                <w:iCs/>
              </w:rPr>
              <w:t>Педиатрични пациенти (новородени и кърмачета)</w:t>
            </w:r>
          </w:p>
        </w:tc>
      </w:tr>
      <w:tr w:rsidR="00F015C6" w:rsidRPr="00C64221" w14:paraId="0BCA3C2D" w14:textId="77777777" w:rsidTr="00F015C6">
        <w:tc>
          <w:tcPr>
            <w:tcW w:w="1915" w:type="dxa"/>
          </w:tcPr>
          <w:p w14:paraId="1865BC45" w14:textId="77777777" w:rsidR="00F015C6" w:rsidRPr="00C64221" w:rsidRDefault="00F015C6" w:rsidP="00F015C6"/>
        </w:tc>
        <w:tc>
          <w:tcPr>
            <w:tcW w:w="1915" w:type="dxa"/>
          </w:tcPr>
          <w:p w14:paraId="71A8CDD4" w14:textId="77777777" w:rsidR="00F015C6" w:rsidRPr="00C64221" w:rsidRDefault="00F015C6" w:rsidP="00F015C6">
            <w:r w:rsidRPr="00C64221">
              <w:t xml:space="preserve">5 </w:t>
            </w:r>
            <w:proofErr w:type="spellStart"/>
            <w:r w:rsidRPr="00C64221">
              <w:t>mg</w:t>
            </w:r>
            <w:proofErr w:type="spellEnd"/>
            <w:r w:rsidRPr="00C64221">
              <w:t>/</w:t>
            </w:r>
            <w:proofErr w:type="spellStart"/>
            <w:r w:rsidRPr="00C64221">
              <w:t>kg</w:t>
            </w:r>
            <w:proofErr w:type="spellEnd"/>
            <w:r w:rsidRPr="00C64221">
              <w:t xml:space="preserve"> GAN Еднократна доза</w:t>
            </w:r>
          </w:p>
          <w:p w14:paraId="11F44ED4" w14:textId="73ED28DC" w:rsidR="00F015C6" w:rsidRPr="00C64221" w:rsidRDefault="00F015C6" w:rsidP="00F015C6">
            <w:r w:rsidRPr="00C64221">
              <w:t>(n=8)</w:t>
            </w:r>
          </w:p>
        </w:tc>
        <w:tc>
          <w:tcPr>
            <w:tcW w:w="1915" w:type="dxa"/>
          </w:tcPr>
          <w:p w14:paraId="6480D17D" w14:textId="6C458105" w:rsidR="00F015C6" w:rsidRPr="00C64221" w:rsidRDefault="00F015C6" w:rsidP="00F015C6">
            <w:r w:rsidRPr="00C64221">
              <w:rPr>
                <w:i/>
                <w:iCs/>
              </w:rPr>
              <w:t>6</w:t>
            </w:r>
            <w:r w:rsidRPr="00C64221">
              <w:t xml:space="preserve"> </w:t>
            </w:r>
            <w:proofErr w:type="spellStart"/>
            <w:r w:rsidRPr="00C64221">
              <w:t>mg</w:t>
            </w:r>
            <w:proofErr w:type="spellEnd"/>
            <w:r w:rsidRPr="00C64221">
              <w:t>/</w:t>
            </w:r>
            <w:proofErr w:type="spellStart"/>
            <w:r w:rsidRPr="00C64221">
              <w:t>kg</w:t>
            </w:r>
            <w:proofErr w:type="spellEnd"/>
            <w:r w:rsidRPr="00C64221">
              <w:t xml:space="preserve"> GAN Два пъти дневно (n=19)</w:t>
            </w:r>
          </w:p>
        </w:tc>
        <w:tc>
          <w:tcPr>
            <w:tcW w:w="1915" w:type="dxa"/>
          </w:tcPr>
          <w:p w14:paraId="3CF18446" w14:textId="41739BD2" w:rsidR="00F015C6" w:rsidRPr="00C64221" w:rsidRDefault="00F015C6" w:rsidP="00F015C6">
            <w:r w:rsidRPr="00C64221">
              <w:t xml:space="preserve">16 </w:t>
            </w:r>
            <w:proofErr w:type="spellStart"/>
            <w:r w:rsidRPr="00C64221">
              <w:t>mg</w:t>
            </w:r>
            <w:proofErr w:type="spellEnd"/>
            <w:r w:rsidRPr="00C64221">
              <w:t>/</w:t>
            </w:r>
            <w:proofErr w:type="spellStart"/>
            <w:r w:rsidRPr="00C64221">
              <w:t>kg</w:t>
            </w:r>
            <w:proofErr w:type="spellEnd"/>
            <w:r w:rsidRPr="00C64221">
              <w:t xml:space="preserve"> VAL Два пъти дневно (n=19)</w:t>
            </w:r>
          </w:p>
        </w:tc>
        <w:tc>
          <w:tcPr>
            <w:tcW w:w="1916" w:type="dxa"/>
          </w:tcPr>
          <w:p w14:paraId="0B2D9CA3" w14:textId="77777777" w:rsidR="00F015C6" w:rsidRPr="00C64221" w:rsidRDefault="00F015C6" w:rsidP="00F015C6">
            <w:r w:rsidRPr="00C64221">
              <w:t xml:space="preserve">16 </w:t>
            </w:r>
            <w:proofErr w:type="spellStart"/>
            <w:r w:rsidRPr="00C64221">
              <w:t>mg</w:t>
            </w:r>
            <w:proofErr w:type="spellEnd"/>
            <w:r w:rsidRPr="00C64221">
              <w:t>/</w:t>
            </w:r>
            <w:proofErr w:type="spellStart"/>
            <w:r w:rsidRPr="00C64221">
              <w:t>kg</w:t>
            </w:r>
            <w:proofErr w:type="spellEnd"/>
            <w:r w:rsidRPr="00C64221">
              <w:t xml:space="preserve"> VAL Два пъти дневно</w:t>
            </w:r>
          </w:p>
          <w:p w14:paraId="186C3F6F" w14:textId="6FDEC86B" w:rsidR="00F015C6" w:rsidRPr="00C64221" w:rsidRDefault="00F015C6" w:rsidP="00F015C6">
            <w:r w:rsidRPr="00C64221">
              <w:t>(n=100)</w:t>
            </w:r>
          </w:p>
        </w:tc>
      </w:tr>
      <w:tr w:rsidR="00F015C6" w:rsidRPr="00C64221" w14:paraId="21DFEB4B" w14:textId="77777777" w:rsidTr="00F015C6">
        <w:tc>
          <w:tcPr>
            <w:tcW w:w="1915" w:type="dxa"/>
          </w:tcPr>
          <w:p w14:paraId="68733C53" w14:textId="50BB9B58" w:rsidR="00F015C6" w:rsidRPr="00C64221" w:rsidRDefault="00F015C6" w:rsidP="00F015C6">
            <w:r w:rsidRPr="00C64221">
              <w:t>AUC0-∞ (</w:t>
            </w:r>
            <w:proofErr w:type="spellStart"/>
            <w:r w:rsidRPr="00C64221">
              <w:t>μgh</w:t>
            </w:r>
            <w:proofErr w:type="spellEnd"/>
            <w:r w:rsidRPr="00C64221">
              <w:t>/</w:t>
            </w:r>
            <w:proofErr w:type="spellStart"/>
            <w:r w:rsidRPr="00C64221">
              <w:t>mL</w:t>
            </w:r>
            <w:proofErr w:type="spellEnd"/>
            <w:r w:rsidRPr="00C64221">
              <w:t>)</w:t>
            </w:r>
          </w:p>
        </w:tc>
        <w:tc>
          <w:tcPr>
            <w:tcW w:w="1915" w:type="dxa"/>
          </w:tcPr>
          <w:p w14:paraId="27DE1BEA" w14:textId="48435D27" w:rsidR="00F015C6" w:rsidRPr="00C64221" w:rsidRDefault="00F015C6" w:rsidP="00F015C6">
            <w:r w:rsidRPr="00C64221">
              <w:t>25,4 ±4,32</w:t>
            </w:r>
          </w:p>
        </w:tc>
        <w:tc>
          <w:tcPr>
            <w:tcW w:w="1915" w:type="dxa"/>
          </w:tcPr>
          <w:p w14:paraId="0EE198BB" w14:textId="77777777" w:rsidR="00F015C6" w:rsidRPr="00C64221" w:rsidRDefault="00F015C6" w:rsidP="00F015C6"/>
        </w:tc>
        <w:tc>
          <w:tcPr>
            <w:tcW w:w="1915" w:type="dxa"/>
          </w:tcPr>
          <w:p w14:paraId="7FAD04AA" w14:textId="77777777" w:rsidR="00F015C6" w:rsidRPr="00C64221" w:rsidRDefault="00F015C6" w:rsidP="00F015C6"/>
        </w:tc>
        <w:tc>
          <w:tcPr>
            <w:tcW w:w="1916" w:type="dxa"/>
          </w:tcPr>
          <w:p w14:paraId="2B98D995" w14:textId="5B59875E" w:rsidR="00F015C6" w:rsidRPr="00C64221" w:rsidRDefault="00F015C6" w:rsidP="00F015C6">
            <w:r w:rsidRPr="00C64221">
              <w:t>-</w:t>
            </w:r>
          </w:p>
        </w:tc>
      </w:tr>
      <w:tr w:rsidR="00F015C6" w:rsidRPr="00C64221" w14:paraId="3A57B8A9" w14:textId="77777777" w:rsidTr="00F015C6">
        <w:tc>
          <w:tcPr>
            <w:tcW w:w="1915" w:type="dxa"/>
          </w:tcPr>
          <w:p w14:paraId="26525EA2" w14:textId="14AB1810" w:rsidR="00F015C6" w:rsidRPr="00C64221" w:rsidRDefault="00F015C6" w:rsidP="00F015C6">
            <w:r w:rsidRPr="00C64221">
              <w:lastRenderedPageBreak/>
              <w:t>AUC</w:t>
            </w:r>
            <w:r w:rsidRPr="00C64221">
              <w:rPr>
                <w:vertAlign w:val="subscript"/>
              </w:rPr>
              <w:t>0-12h</w:t>
            </w:r>
            <w:r w:rsidRPr="00C64221">
              <w:t xml:space="preserve"> (</w:t>
            </w:r>
            <w:proofErr w:type="spellStart"/>
            <w:r w:rsidRPr="00C64221">
              <w:t>μg</w:t>
            </w:r>
            <w:proofErr w:type="spellEnd"/>
            <w:r w:rsidRPr="00C64221">
              <w:t>-h/</w:t>
            </w:r>
            <w:proofErr w:type="spellStart"/>
            <w:r w:rsidRPr="00C64221">
              <w:t>mL</w:t>
            </w:r>
            <w:proofErr w:type="spellEnd"/>
            <w:r w:rsidRPr="00C64221">
              <w:t>)</w:t>
            </w:r>
          </w:p>
        </w:tc>
        <w:tc>
          <w:tcPr>
            <w:tcW w:w="1915" w:type="dxa"/>
          </w:tcPr>
          <w:p w14:paraId="41054425" w14:textId="02C6DB68" w:rsidR="00F015C6" w:rsidRPr="00C64221" w:rsidRDefault="00F015C6" w:rsidP="00F015C6">
            <w:r w:rsidRPr="00C64221">
              <w:t>-</w:t>
            </w:r>
          </w:p>
        </w:tc>
        <w:tc>
          <w:tcPr>
            <w:tcW w:w="1915" w:type="dxa"/>
          </w:tcPr>
          <w:p w14:paraId="02140A60" w14:textId="21DBE419" w:rsidR="00F015C6" w:rsidRPr="00C64221" w:rsidRDefault="00F015C6" w:rsidP="00F015C6">
            <w:r w:rsidRPr="00C64221">
              <w:t>38,2 5 ±42,7</w:t>
            </w:r>
          </w:p>
        </w:tc>
        <w:tc>
          <w:tcPr>
            <w:tcW w:w="1915" w:type="dxa"/>
          </w:tcPr>
          <w:p w14:paraId="55DEAA90" w14:textId="0BCA5939" w:rsidR="00F015C6" w:rsidRPr="00C64221" w:rsidRDefault="00F015C6" w:rsidP="00F015C6">
            <w:r w:rsidRPr="00C64221">
              <w:t>30,1 ±15,1</w:t>
            </w:r>
          </w:p>
        </w:tc>
        <w:tc>
          <w:tcPr>
            <w:tcW w:w="1916" w:type="dxa"/>
          </w:tcPr>
          <w:p w14:paraId="5A423E2A" w14:textId="6CCD846B" w:rsidR="00F015C6" w:rsidRPr="00C64221" w:rsidRDefault="00F015C6" w:rsidP="00F015C6">
            <w:r w:rsidRPr="00C64221">
              <w:t>20,85 ± 5,40</w:t>
            </w:r>
          </w:p>
        </w:tc>
      </w:tr>
      <w:tr w:rsidR="00F015C6" w:rsidRPr="00C64221" w14:paraId="5D59337A" w14:textId="77777777" w:rsidTr="00F015C6">
        <w:tc>
          <w:tcPr>
            <w:tcW w:w="1915" w:type="dxa"/>
          </w:tcPr>
          <w:p w14:paraId="5253F858" w14:textId="235DFD3A" w:rsidR="00F015C6" w:rsidRPr="00C64221" w:rsidRDefault="00F015C6" w:rsidP="00F015C6">
            <w:proofErr w:type="spellStart"/>
            <w:r w:rsidRPr="00C64221">
              <w:t>C</w:t>
            </w:r>
            <w:r w:rsidRPr="00C64221">
              <w:rPr>
                <w:vertAlign w:val="subscript"/>
              </w:rPr>
              <w:t>max</w:t>
            </w:r>
            <w:proofErr w:type="spellEnd"/>
            <w:r w:rsidRPr="00C64221">
              <w:t xml:space="preserve"> (</w:t>
            </w:r>
            <w:proofErr w:type="spellStart"/>
            <w:r w:rsidRPr="00C64221">
              <w:t>μg</w:t>
            </w:r>
            <w:proofErr w:type="spellEnd"/>
            <w:r w:rsidRPr="00C64221">
              <w:t>/ml)</w:t>
            </w:r>
          </w:p>
        </w:tc>
        <w:tc>
          <w:tcPr>
            <w:tcW w:w="1915" w:type="dxa"/>
          </w:tcPr>
          <w:p w14:paraId="7A6B36B6" w14:textId="67C85363" w:rsidR="00F015C6" w:rsidRPr="00C64221" w:rsidRDefault="00F015C6" w:rsidP="00F015C6">
            <w:r w:rsidRPr="00C64221">
              <w:t>9,03 ±1,26</w:t>
            </w:r>
          </w:p>
        </w:tc>
        <w:tc>
          <w:tcPr>
            <w:tcW w:w="1915" w:type="dxa"/>
          </w:tcPr>
          <w:p w14:paraId="7E1ECFC9" w14:textId="0B33FB73" w:rsidR="00F015C6" w:rsidRPr="00C64221" w:rsidRDefault="00F015C6" w:rsidP="00F015C6">
            <w:r w:rsidRPr="00C64221">
              <w:t>12,9 ±21,5</w:t>
            </w:r>
          </w:p>
        </w:tc>
        <w:tc>
          <w:tcPr>
            <w:tcW w:w="1915" w:type="dxa"/>
          </w:tcPr>
          <w:p w14:paraId="7F1652F8" w14:textId="64420F44" w:rsidR="00F015C6" w:rsidRPr="00C64221" w:rsidRDefault="00F015C6" w:rsidP="00F015C6">
            <w:r w:rsidRPr="00C64221">
              <w:t>5,44 ± 4,04</w:t>
            </w:r>
          </w:p>
        </w:tc>
        <w:tc>
          <w:tcPr>
            <w:tcW w:w="1916" w:type="dxa"/>
          </w:tcPr>
          <w:p w14:paraId="1679E52A" w14:textId="55508F26" w:rsidR="00F015C6" w:rsidRPr="00C64221" w:rsidRDefault="00F015C6" w:rsidP="00F015C6">
            <w:r w:rsidRPr="00C64221">
              <w:t>-</w:t>
            </w:r>
          </w:p>
        </w:tc>
      </w:tr>
      <w:tr w:rsidR="00F015C6" w:rsidRPr="00C64221" w14:paraId="670AF953" w14:textId="77777777" w:rsidTr="00F015C6">
        <w:tc>
          <w:tcPr>
            <w:tcW w:w="1915" w:type="dxa"/>
          </w:tcPr>
          <w:p w14:paraId="4218CA81" w14:textId="0E9090C8" w:rsidR="00F015C6" w:rsidRPr="00C64221" w:rsidRDefault="00F015C6" w:rsidP="00F015C6">
            <w:r w:rsidRPr="00C64221">
              <w:t>t</w:t>
            </w:r>
            <w:r w:rsidRPr="00C64221">
              <w:rPr>
                <w:vertAlign w:val="subscript"/>
              </w:rPr>
              <w:t xml:space="preserve">1/2 </w:t>
            </w:r>
            <w:r w:rsidRPr="00C64221">
              <w:t>(h)</w:t>
            </w:r>
          </w:p>
        </w:tc>
        <w:tc>
          <w:tcPr>
            <w:tcW w:w="1915" w:type="dxa"/>
          </w:tcPr>
          <w:p w14:paraId="4C1D8204" w14:textId="5B0EF251" w:rsidR="00F015C6" w:rsidRPr="00C64221" w:rsidRDefault="00F015C6" w:rsidP="00F015C6">
            <w:r w:rsidRPr="00C64221">
              <w:t>3,32 ±0,47</w:t>
            </w:r>
          </w:p>
        </w:tc>
        <w:tc>
          <w:tcPr>
            <w:tcW w:w="1915" w:type="dxa"/>
          </w:tcPr>
          <w:p w14:paraId="2311B46A" w14:textId="6772E6F7" w:rsidR="00F015C6" w:rsidRPr="00C64221" w:rsidRDefault="00F015C6" w:rsidP="00F015C6">
            <w:r w:rsidRPr="00C64221">
              <w:t>2,52 ± 0,55</w:t>
            </w:r>
          </w:p>
        </w:tc>
        <w:tc>
          <w:tcPr>
            <w:tcW w:w="1915" w:type="dxa"/>
          </w:tcPr>
          <w:p w14:paraId="7942FBA1" w14:textId="3E136DE5" w:rsidR="00F015C6" w:rsidRPr="00C64221" w:rsidRDefault="00F015C6" w:rsidP="00F015C6">
            <w:r w:rsidRPr="00C64221">
              <w:t>2,98 ± 1,26</w:t>
            </w:r>
          </w:p>
        </w:tc>
        <w:tc>
          <w:tcPr>
            <w:tcW w:w="1916" w:type="dxa"/>
          </w:tcPr>
          <w:p w14:paraId="19BC4760" w14:textId="0A6BADB5" w:rsidR="00F015C6" w:rsidRPr="00C64221" w:rsidRDefault="00F015C6" w:rsidP="00F015C6">
            <w:r w:rsidRPr="00C64221">
              <w:t>2,98 ± 1,12</w:t>
            </w:r>
          </w:p>
        </w:tc>
      </w:tr>
    </w:tbl>
    <w:p w14:paraId="675E2A52" w14:textId="77777777" w:rsidR="00F015C6" w:rsidRPr="00C64221" w:rsidRDefault="00F015C6" w:rsidP="00F015C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250EE89" w14:textId="5EA47D0C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</w:rPr>
        <w:t xml:space="preserve">GAN </w:t>
      </w:r>
      <w:r w:rsidRPr="00C64221">
        <w:rPr>
          <w:rFonts w:eastAsia="Times New Roman" w:cs="Arial"/>
          <w:color w:val="000000"/>
          <w:lang w:eastAsia="bg-BG"/>
        </w:rPr>
        <w:t xml:space="preserve">=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, приложен интравенозно</w:t>
      </w:r>
    </w:p>
    <w:p w14:paraId="55DBF85A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</w:rPr>
        <w:t xml:space="preserve">VAL </w:t>
      </w:r>
      <w:r w:rsidRPr="00C64221">
        <w:rPr>
          <w:rFonts w:eastAsia="Times New Roman" w:cs="Arial"/>
          <w:color w:val="000000"/>
          <w:lang w:eastAsia="bg-BG"/>
        </w:rPr>
        <w:t xml:space="preserve">=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, приложен перорално</w:t>
      </w:r>
    </w:p>
    <w:p w14:paraId="6AC33A67" w14:textId="77777777" w:rsidR="00F015C6" w:rsidRPr="00C64221" w:rsidRDefault="00F015C6" w:rsidP="00F015C6">
      <w:pPr>
        <w:rPr>
          <w:rFonts w:eastAsia="Times New Roman" w:cs="Arial"/>
          <w:color w:val="000000"/>
          <w:lang w:eastAsia="bg-BG"/>
        </w:rPr>
      </w:pPr>
    </w:p>
    <w:p w14:paraId="327270B6" w14:textId="5D5647FA" w:rsidR="00F015C6" w:rsidRPr="00C64221" w:rsidRDefault="00F015C6" w:rsidP="00F015C6">
      <w:pPr>
        <w:rPr>
          <w:rFonts w:eastAsia="Times New Roman" w:cs="Arial"/>
          <w:color w:val="000000"/>
          <w:lang w:eastAsia="bg-BG"/>
        </w:rPr>
      </w:pPr>
      <w:r w:rsidRPr="00C64221">
        <w:rPr>
          <w:rFonts w:eastAsia="Times New Roman" w:cs="Arial"/>
          <w:color w:val="000000"/>
          <w:lang w:eastAsia="bg-BG"/>
        </w:rPr>
        <w:t xml:space="preserve">Тези данни са твърде ограничени, за да позволяват да се направят заключения относно ефикасността или препоръки за дозиране при педиатрични пациенти с вродена </w:t>
      </w:r>
      <w:r w:rsidRPr="00C64221">
        <w:rPr>
          <w:rFonts w:eastAsia="Times New Roman" w:cs="Arial"/>
          <w:color w:val="000000"/>
        </w:rPr>
        <w:t xml:space="preserve">CMV </w:t>
      </w:r>
      <w:r w:rsidRPr="00C64221">
        <w:rPr>
          <w:rFonts w:eastAsia="Times New Roman" w:cs="Arial"/>
          <w:color w:val="000000"/>
          <w:lang w:eastAsia="bg-BG"/>
        </w:rPr>
        <w:t>инфекция.</w:t>
      </w:r>
    </w:p>
    <w:p w14:paraId="52142E9E" w14:textId="77777777" w:rsidR="00F015C6" w:rsidRPr="00C64221" w:rsidRDefault="00F015C6" w:rsidP="00F015C6">
      <w:pPr>
        <w:rPr>
          <w:rFonts w:cs="Arial"/>
        </w:rPr>
      </w:pPr>
    </w:p>
    <w:p w14:paraId="4FB791BE" w14:textId="23F3040C" w:rsidR="00B6672E" w:rsidRPr="00C64221" w:rsidRDefault="002C50EE" w:rsidP="00936AD0">
      <w:pPr>
        <w:pStyle w:val="Heading2"/>
      </w:pPr>
      <w:r w:rsidRPr="00C64221">
        <w:t>5.3. Предклинични данни за безопасност</w:t>
      </w:r>
    </w:p>
    <w:p w14:paraId="3CEF0EE2" w14:textId="3A1ADBBA" w:rsidR="00F015C6" w:rsidRPr="00C64221" w:rsidRDefault="00F015C6" w:rsidP="00F015C6"/>
    <w:p w14:paraId="447140FF" w14:textId="77777777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прекурсор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затова ефектите, наблюдавани при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се отнасят и за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. Токсичността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валганцикловир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в предклиничните проучвания за безопасност е същата като наблюдаваната при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 е индуцирана при експозиция на нива на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>, сравними или по-ниски от тези при човека след приложение на въвеждаща доза.</w:t>
      </w:r>
    </w:p>
    <w:p w14:paraId="3BDF0F95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D74529" w14:textId="0ECBCF5E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Тези находки са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гонадотоксичност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(загуба на клетки от тестисите) и нефротоксичност (уремия, клетъчна дегенерация), които са необратими;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миелотоксичност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(анемия,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лимфоцитопения</w:t>
      </w:r>
      <w:proofErr w:type="spellEnd"/>
      <w:r w:rsidRPr="00C64221">
        <w:rPr>
          <w:rFonts w:eastAsia="Times New Roman" w:cs="Arial"/>
          <w:color w:val="000000"/>
          <w:lang w:eastAsia="bg-BG"/>
        </w:rPr>
        <w:t>) и стомашно-чревна токсичност (клетъчна некроза на лигавицата), които са обратими.</w:t>
      </w:r>
    </w:p>
    <w:p w14:paraId="0F61ACD7" w14:textId="77777777" w:rsidR="00F015C6" w:rsidRPr="00C64221" w:rsidRDefault="00F015C6" w:rsidP="00F015C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851D86" w14:textId="77659713" w:rsidR="00F015C6" w:rsidRPr="00C64221" w:rsidRDefault="00F015C6" w:rsidP="00F015C6">
      <w:pPr>
        <w:spacing w:line="240" w:lineRule="auto"/>
        <w:rPr>
          <w:rFonts w:eastAsia="Times New Roman" w:cs="Arial"/>
          <w:sz w:val="24"/>
          <w:szCs w:val="24"/>
        </w:rPr>
      </w:pPr>
      <w:r w:rsidRPr="00C64221">
        <w:rPr>
          <w:rFonts w:eastAsia="Times New Roman" w:cs="Arial"/>
          <w:color w:val="000000"/>
          <w:lang w:eastAsia="bg-BG"/>
        </w:rPr>
        <w:t xml:space="preserve">По-нататъшни изпитвания показват, че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ганцикловир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има мутагенен, карциногенен, тератогенен,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ембриотоксичен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64221">
        <w:rPr>
          <w:rFonts w:eastAsia="Times New Roman" w:cs="Arial"/>
          <w:color w:val="000000"/>
          <w:lang w:eastAsia="bg-BG"/>
        </w:rPr>
        <w:t>асперматогенен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(т.е. уврежда фертилността при мъжа) ефект и потиска</w:t>
      </w:r>
    </w:p>
    <w:p w14:paraId="336C506E" w14:textId="15CA592D" w:rsidR="00F015C6" w:rsidRPr="00C64221" w:rsidRDefault="00F015C6" w:rsidP="00F015C6">
      <w:pPr>
        <w:rPr>
          <w:rFonts w:cs="Arial"/>
        </w:rPr>
      </w:pPr>
      <w:proofErr w:type="spellStart"/>
      <w:r w:rsidRPr="00C64221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C64221">
        <w:rPr>
          <w:rFonts w:eastAsia="Times New Roman" w:cs="Arial"/>
          <w:color w:val="000000"/>
          <w:lang w:eastAsia="bg-BG"/>
        </w:rPr>
        <w:t xml:space="preserve"> при жената.</w:t>
      </w:r>
    </w:p>
    <w:p w14:paraId="1BA6531D" w14:textId="229D9F58" w:rsidR="00B6672E" w:rsidRPr="00C64221" w:rsidRDefault="002C50EE" w:rsidP="00936AD0">
      <w:pPr>
        <w:pStyle w:val="Heading1"/>
      </w:pPr>
      <w:r w:rsidRPr="00C64221">
        <w:t>7. ПРИТЕЖАТЕЛ НА РАЗРЕШЕНИЕТО ЗА УПОТРЕБА</w:t>
      </w:r>
    </w:p>
    <w:p w14:paraId="13F6AA45" w14:textId="78EECE7D" w:rsidR="00F015C6" w:rsidRPr="00C64221" w:rsidRDefault="00F015C6" w:rsidP="00F015C6"/>
    <w:p w14:paraId="5AD1A8F7" w14:textId="77777777" w:rsidR="00F015C6" w:rsidRPr="00C64221" w:rsidRDefault="00F015C6" w:rsidP="00F015C6">
      <w:pPr>
        <w:rPr>
          <w:sz w:val="24"/>
          <w:szCs w:val="24"/>
        </w:rPr>
      </w:pPr>
      <w:proofErr w:type="spellStart"/>
      <w:r w:rsidRPr="00C64221">
        <w:t>Zentiva</w:t>
      </w:r>
      <w:proofErr w:type="spellEnd"/>
      <w:r w:rsidRPr="00C64221">
        <w:t xml:space="preserve"> </w:t>
      </w:r>
      <w:proofErr w:type="spellStart"/>
      <w:r w:rsidRPr="00C64221">
        <w:t>k.s</w:t>
      </w:r>
      <w:proofErr w:type="spellEnd"/>
      <w:r w:rsidRPr="00C64221">
        <w:t>.</w:t>
      </w:r>
    </w:p>
    <w:p w14:paraId="7C6598CA" w14:textId="77777777" w:rsidR="00F015C6" w:rsidRPr="00C64221" w:rsidRDefault="00F015C6" w:rsidP="00F015C6">
      <w:pPr>
        <w:rPr>
          <w:lang w:eastAsia="bg-BG"/>
        </w:rPr>
      </w:pPr>
      <w:r w:rsidRPr="00C64221">
        <w:t xml:space="preserve">U </w:t>
      </w:r>
      <w:proofErr w:type="spellStart"/>
      <w:r w:rsidRPr="00C64221">
        <w:t>kabelovny</w:t>
      </w:r>
      <w:proofErr w:type="spellEnd"/>
      <w:r w:rsidRPr="00C64221">
        <w:t xml:space="preserve"> </w:t>
      </w:r>
      <w:r w:rsidRPr="00C64221">
        <w:rPr>
          <w:lang w:eastAsia="bg-BG"/>
        </w:rPr>
        <w:t xml:space="preserve">130, </w:t>
      </w:r>
    </w:p>
    <w:p w14:paraId="7CB0C2D1" w14:textId="77777777" w:rsidR="00F015C6" w:rsidRPr="00C64221" w:rsidRDefault="00F015C6" w:rsidP="00F015C6">
      <w:proofErr w:type="spellStart"/>
      <w:r w:rsidRPr="00C64221">
        <w:t>Dolin</w:t>
      </w:r>
      <w:proofErr w:type="spellEnd"/>
      <w:r w:rsidRPr="00C64221">
        <w:t xml:space="preserve">' </w:t>
      </w:r>
      <w:proofErr w:type="spellStart"/>
      <w:r w:rsidRPr="00C64221">
        <w:t>Mecholupy</w:t>
      </w:r>
      <w:proofErr w:type="spellEnd"/>
      <w:r w:rsidRPr="00C64221">
        <w:t xml:space="preserve"> </w:t>
      </w:r>
    </w:p>
    <w:p w14:paraId="324B8075" w14:textId="77777777" w:rsidR="00F015C6" w:rsidRPr="00C64221" w:rsidRDefault="00F015C6" w:rsidP="00F015C6">
      <w:r w:rsidRPr="00C64221">
        <w:t xml:space="preserve">102 37, </w:t>
      </w:r>
      <w:proofErr w:type="spellStart"/>
      <w:r w:rsidRPr="00C64221">
        <w:t>Prague</w:t>
      </w:r>
      <w:proofErr w:type="spellEnd"/>
      <w:r w:rsidRPr="00C64221">
        <w:t xml:space="preserve"> 10 </w:t>
      </w:r>
    </w:p>
    <w:p w14:paraId="7C747ECD" w14:textId="242ECBC1" w:rsidR="00F015C6" w:rsidRPr="00C64221" w:rsidRDefault="00F015C6" w:rsidP="00F015C6">
      <w:r w:rsidRPr="00C64221">
        <w:rPr>
          <w:lang w:eastAsia="bg-BG"/>
        </w:rPr>
        <w:t>Чешка република</w:t>
      </w:r>
    </w:p>
    <w:p w14:paraId="508F3A54" w14:textId="158BDE13" w:rsidR="00B6672E" w:rsidRPr="00C64221" w:rsidRDefault="00936AD0" w:rsidP="00936AD0">
      <w:pPr>
        <w:pStyle w:val="Heading1"/>
      </w:pPr>
      <w:r w:rsidRPr="00C64221">
        <w:t>8.</w:t>
      </w:r>
      <w:r w:rsidR="002C50EE" w:rsidRPr="00C64221">
        <w:t>НОМЕР НА РАЗРЕШЕНИЕТО ЗА УПОТРЕБА</w:t>
      </w:r>
    </w:p>
    <w:p w14:paraId="31D34303" w14:textId="10BEA834" w:rsidR="00F015C6" w:rsidRPr="00C64221" w:rsidRDefault="00F015C6" w:rsidP="00F015C6"/>
    <w:p w14:paraId="7D478BC2" w14:textId="62B36A82" w:rsidR="00F015C6" w:rsidRPr="00C64221" w:rsidRDefault="00F015C6" w:rsidP="00F015C6">
      <w:proofErr w:type="spellStart"/>
      <w:r w:rsidRPr="00C64221">
        <w:t>Peг</w:t>
      </w:r>
      <w:proofErr w:type="spellEnd"/>
      <w:r w:rsidRPr="00C64221">
        <w:t>. №20150044</w:t>
      </w:r>
    </w:p>
    <w:p w14:paraId="2CCB5832" w14:textId="1809E262" w:rsidR="007C605B" w:rsidRPr="00C64221" w:rsidRDefault="002C50EE" w:rsidP="007C605B">
      <w:pPr>
        <w:pStyle w:val="Heading1"/>
      </w:pPr>
      <w:r w:rsidRPr="00C64221">
        <w:t>9. ДАТА НА ПЪРВО РАЗРЕШАВАНЕ/ПОДНОВЯВАНЕ НА РАЗРЕШЕНИЕТО ЗА УПОТРЕБА</w:t>
      </w:r>
    </w:p>
    <w:p w14:paraId="4E3E8552" w14:textId="4F8D6BB6" w:rsidR="00F015C6" w:rsidRPr="00C64221" w:rsidRDefault="00F015C6" w:rsidP="00F015C6"/>
    <w:p w14:paraId="79F7FEF7" w14:textId="77777777" w:rsidR="00F015C6" w:rsidRPr="00C64221" w:rsidRDefault="00F015C6" w:rsidP="00F015C6">
      <w:pPr>
        <w:rPr>
          <w:sz w:val="24"/>
          <w:szCs w:val="24"/>
        </w:rPr>
      </w:pPr>
      <w:r w:rsidRPr="00C64221">
        <w:rPr>
          <w:lang w:eastAsia="bg-BG"/>
        </w:rPr>
        <w:t>Дата на първо разрешаване 02.2015</w:t>
      </w:r>
    </w:p>
    <w:p w14:paraId="39FD4A88" w14:textId="77777777" w:rsidR="00F015C6" w:rsidRPr="00C64221" w:rsidRDefault="00F015C6" w:rsidP="00F015C6">
      <w:pPr>
        <w:rPr>
          <w:sz w:val="24"/>
          <w:szCs w:val="24"/>
        </w:rPr>
      </w:pPr>
      <w:r w:rsidRPr="00C64221">
        <w:rPr>
          <w:lang w:eastAsia="bg-BG"/>
        </w:rPr>
        <w:t>Дата на подновяване:</w:t>
      </w:r>
    </w:p>
    <w:p w14:paraId="7F6A058C" w14:textId="77777777" w:rsidR="00F015C6" w:rsidRPr="00C64221" w:rsidRDefault="00F015C6" w:rsidP="00F015C6"/>
    <w:p w14:paraId="0E9D0119" w14:textId="0245C6D7" w:rsidR="002C50EE" w:rsidRPr="00C64221" w:rsidRDefault="002C50EE" w:rsidP="002C50EE">
      <w:pPr>
        <w:pStyle w:val="Heading1"/>
      </w:pPr>
      <w:r w:rsidRPr="00C64221">
        <w:t>10. ДАТА НА АКТУАЛИЗИРАНЕ НА ТЕКСТА</w:t>
      </w:r>
    </w:p>
    <w:bookmarkEnd w:id="0"/>
    <w:p w14:paraId="43FB38A2" w14:textId="63F6EA5A" w:rsidR="007C605B" w:rsidRPr="00C64221" w:rsidRDefault="00F015C6" w:rsidP="00F015C6">
      <w:r w:rsidRPr="00C64221">
        <w:t>09.04.2021 г.</w:t>
      </w:r>
    </w:p>
    <w:sectPr w:rsidR="007C605B" w:rsidRPr="00C6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E49DA"/>
    <w:multiLevelType w:val="hybridMultilevel"/>
    <w:tmpl w:val="E4E8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629974482">
    <w:abstractNumId w:val="29"/>
  </w:num>
  <w:num w:numId="2" w16cid:durableId="2043675949">
    <w:abstractNumId w:val="0"/>
  </w:num>
  <w:num w:numId="3" w16cid:durableId="1101536963">
    <w:abstractNumId w:val="15"/>
  </w:num>
  <w:num w:numId="4" w16cid:durableId="1966736587">
    <w:abstractNumId w:val="3"/>
  </w:num>
  <w:num w:numId="5" w16cid:durableId="554197428">
    <w:abstractNumId w:val="1"/>
  </w:num>
  <w:num w:numId="6" w16cid:durableId="592208567">
    <w:abstractNumId w:val="18"/>
  </w:num>
  <w:num w:numId="7" w16cid:durableId="2099249392">
    <w:abstractNumId w:val="13"/>
  </w:num>
  <w:num w:numId="8" w16cid:durableId="93402451">
    <w:abstractNumId w:val="17"/>
  </w:num>
  <w:num w:numId="9" w16cid:durableId="1430006475">
    <w:abstractNumId w:val="2"/>
  </w:num>
  <w:num w:numId="10" w16cid:durableId="1215585692">
    <w:abstractNumId w:val="4"/>
  </w:num>
  <w:num w:numId="11" w16cid:durableId="504710300">
    <w:abstractNumId w:val="32"/>
  </w:num>
  <w:num w:numId="12" w16cid:durableId="662437908">
    <w:abstractNumId w:val="16"/>
  </w:num>
  <w:num w:numId="13" w16cid:durableId="1702824859">
    <w:abstractNumId w:val="21"/>
  </w:num>
  <w:num w:numId="14" w16cid:durableId="468982916">
    <w:abstractNumId w:val="14"/>
  </w:num>
  <w:num w:numId="15" w16cid:durableId="466163417">
    <w:abstractNumId w:val="31"/>
  </w:num>
  <w:num w:numId="16" w16cid:durableId="550308671">
    <w:abstractNumId w:val="12"/>
  </w:num>
  <w:num w:numId="17" w16cid:durableId="1624337668">
    <w:abstractNumId w:val="26"/>
  </w:num>
  <w:num w:numId="18" w16cid:durableId="286620516">
    <w:abstractNumId w:val="9"/>
  </w:num>
  <w:num w:numId="19" w16cid:durableId="2130539148">
    <w:abstractNumId w:val="28"/>
  </w:num>
  <w:num w:numId="20" w16cid:durableId="1267159267">
    <w:abstractNumId w:val="25"/>
  </w:num>
  <w:num w:numId="21" w16cid:durableId="1869289627">
    <w:abstractNumId w:val="19"/>
  </w:num>
  <w:num w:numId="22" w16cid:durableId="223880618">
    <w:abstractNumId w:val="27"/>
  </w:num>
  <w:num w:numId="23" w16cid:durableId="1579365055">
    <w:abstractNumId w:val="20"/>
  </w:num>
  <w:num w:numId="24" w16cid:durableId="2050106566">
    <w:abstractNumId w:val="10"/>
  </w:num>
  <w:num w:numId="25" w16cid:durableId="1798839485">
    <w:abstractNumId w:val="24"/>
  </w:num>
  <w:num w:numId="26" w16cid:durableId="2135174072">
    <w:abstractNumId w:val="23"/>
  </w:num>
  <w:num w:numId="27" w16cid:durableId="827136515">
    <w:abstractNumId w:val="33"/>
  </w:num>
  <w:num w:numId="28" w16cid:durableId="1306426718">
    <w:abstractNumId w:val="7"/>
  </w:num>
  <w:num w:numId="29" w16cid:durableId="1438671618">
    <w:abstractNumId w:val="22"/>
  </w:num>
  <w:num w:numId="30" w16cid:durableId="583489816">
    <w:abstractNumId w:val="36"/>
  </w:num>
  <w:num w:numId="31" w16cid:durableId="861939307">
    <w:abstractNumId w:val="5"/>
  </w:num>
  <w:num w:numId="32" w16cid:durableId="1418165436">
    <w:abstractNumId w:val="35"/>
  </w:num>
  <w:num w:numId="33" w16cid:durableId="2130196476">
    <w:abstractNumId w:val="30"/>
  </w:num>
  <w:num w:numId="34" w16cid:durableId="1285430085">
    <w:abstractNumId w:val="34"/>
  </w:num>
  <w:num w:numId="35" w16cid:durableId="1144469970">
    <w:abstractNumId w:val="8"/>
  </w:num>
  <w:num w:numId="36" w16cid:durableId="489713792">
    <w:abstractNumId w:val="11"/>
  </w:num>
  <w:num w:numId="37" w16cid:durableId="13382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93B92"/>
    <w:rsid w:val="00893BD6"/>
    <w:rsid w:val="008A6AF2"/>
    <w:rsid w:val="008C70A2"/>
    <w:rsid w:val="008D3D13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64221"/>
    <w:rsid w:val="00C809A7"/>
    <w:rsid w:val="00C83063"/>
    <w:rsid w:val="00C87E90"/>
    <w:rsid w:val="00CA1B57"/>
    <w:rsid w:val="00CF77F7"/>
    <w:rsid w:val="00D86297"/>
    <w:rsid w:val="00DD466D"/>
    <w:rsid w:val="00E302E7"/>
    <w:rsid w:val="00EB6364"/>
    <w:rsid w:val="00F015C6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0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8136</Words>
  <Characters>46378</Characters>
  <Application>Microsoft Office Word</Application>
  <DocSecurity>0</DocSecurity>
  <Lines>386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Maria Vasileva</cp:lastModifiedBy>
  <cp:revision>6</cp:revision>
  <dcterms:created xsi:type="dcterms:W3CDTF">2022-06-20T17:58:00Z</dcterms:created>
  <dcterms:modified xsi:type="dcterms:W3CDTF">2022-07-05T12:28:00Z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