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320F4BE" w14:textId="5254BABC" w:rsidR="00C40420" w:rsidRDefault="00DD466D" w:rsidP="004A448E">
      <w:pPr>
        <w:pStyle w:val="Heading1"/>
      </w:pPr>
      <w:r>
        <w:t>1.ИМЕ НА ЛЕКАРСТВЕНИЯ ПРОДУКТ</w:t>
      </w:r>
    </w:p>
    <w:p w14:paraId="178C931E" w14:textId="06F4B10E" w:rsidR="00AC15C2" w:rsidRDefault="00AC15C2" w:rsidP="00AC15C2"/>
    <w:p w14:paraId="1C20E91A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 xml:space="preserve">Алвокаст 10 </w:t>
      </w:r>
      <w:r w:rsidRPr="00AC15C2">
        <w:rPr>
          <w:lang w:val="en-US"/>
        </w:rPr>
        <w:t>mg</w:t>
      </w:r>
      <w:r w:rsidRPr="00AC15C2">
        <w:t xml:space="preserve"> </w:t>
      </w:r>
      <w:r w:rsidRPr="00AC15C2">
        <w:rPr>
          <w:lang w:eastAsia="bg-BG"/>
        </w:rPr>
        <w:t>филмирани таблетки</w:t>
      </w:r>
    </w:p>
    <w:p w14:paraId="743920AD" w14:textId="359B553A" w:rsidR="00AC15C2" w:rsidRPr="00AC15C2" w:rsidRDefault="00AC15C2" w:rsidP="00AC15C2">
      <w:proofErr w:type="spellStart"/>
      <w:r w:rsidRPr="00AC15C2">
        <w:rPr>
          <w:lang w:val="en-US"/>
        </w:rPr>
        <w:t>Alvokast</w:t>
      </w:r>
      <w:proofErr w:type="spellEnd"/>
      <w:r w:rsidRPr="00AC15C2">
        <w:t xml:space="preserve"> </w:t>
      </w:r>
      <w:r w:rsidRPr="00AC15C2">
        <w:rPr>
          <w:lang w:eastAsia="bg-BG"/>
        </w:rPr>
        <w:t xml:space="preserve">10 </w:t>
      </w:r>
      <w:r w:rsidRPr="00AC15C2">
        <w:rPr>
          <w:lang w:val="en-US"/>
        </w:rPr>
        <w:t>mg</w:t>
      </w:r>
      <w:r w:rsidRPr="00AC15C2">
        <w:t xml:space="preserve"> </w:t>
      </w:r>
      <w:r w:rsidRPr="00AC15C2">
        <w:rPr>
          <w:lang w:val="en-US"/>
        </w:rPr>
        <w:t>film</w:t>
      </w:r>
      <w:r w:rsidRPr="00AC15C2">
        <w:t>-</w:t>
      </w:r>
      <w:r w:rsidRPr="00AC15C2">
        <w:rPr>
          <w:lang w:val="en-US"/>
        </w:rPr>
        <w:t>coated</w:t>
      </w:r>
      <w:r w:rsidRPr="00AC15C2">
        <w:t xml:space="preserve"> </w:t>
      </w:r>
      <w:r w:rsidRPr="00AC15C2">
        <w:rPr>
          <w:lang w:val="en-US"/>
        </w:rPr>
        <w:t>tablets</w:t>
      </w:r>
    </w:p>
    <w:p w14:paraId="6920A680" w14:textId="23215030" w:rsidR="00C40420" w:rsidRDefault="00DD466D" w:rsidP="004A448E">
      <w:pPr>
        <w:pStyle w:val="Heading1"/>
      </w:pPr>
      <w:r>
        <w:t>2. КАЧЕСТВЕН И КОЛИЧЕСТВЕН СЪСТАВ</w:t>
      </w:r>
    </w:p>
    <w:p w14:paraId="500E0B2B" w14:textId="45CF4045" w:rsidR="00AC15C2" w:rsidRDefault="00AC15C2" w:rsidP="00AC15C2"/>
    <w:p w14:paraId="245E51BB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Всяка филмирана таблетка съдържа 10,4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монтелукаст натрий </w:t>
      </w:r>
      <w:r w:rsidRPr="00AC15C2">
        <w:rPr>
          <w:rFonts w:eastAsia="Times New Roman" w:cs="Arial"/>
          <w:color w:val="000000"/>
        </w:rPr>
        <w:t>(</w:t>
      </w:r>
      <w:proofErr w:type="spellStart"/>
      <w:r w:rsidRPr="00AC15C2">
        <w:rPr>
          <w:rFonts w:eastAsia="Times New Roman" w:cs="Arial"/>
          <w:color w:val="000000"/>
          <w:lang w:val="en-US"/>
        </w:rPr>
        <w:t>montelukast</w:t>
      </w:r>
      <w:proofErr w:type="spellEnd"/>
      <w:r w:rsidRPr="00AC15C2">
        <w:rPr>
          <w:rFonts w:eastAsia="Times New Roman" w:cs="Arial"/>
          <w:color w:val="000000"/>
        </w:rPr>
        <w:t xml:space="preserve"> </w:t>
      </w:r>
      <w:r w:rsidRPr="00AC15C2">
        <w:rPr>
          <w:rFonts w:eastAsia="Times New Roman" w:cs="Arial"/>
          <w:color w:val="000000"/>
          <w:lang w:val="en-US"/>
        </w:rPr>
        <w:t>sodium</w:t>
      </w:r>
      <w:r w:rsidRPr="00AC15C2">
        <w:rPr>
          <w:rFonts w:eastAsia="Times New Roman" w:cs="Arial"/>
          <w:color w:val="000000"/>
        </w:rPr>
        <w:t xml:space="preserve">), </w:t>
      </w:r>
      <w:r w:rsidRPr="00AC15C2">
        <w:rPr>
          <w:rFonts w:eastAsia="Times New Roman" w:cs="Arial"/>
          <w:color w:val="000000"/>
          <w:lang w:eastAsia="bg-BG"/>
        </w:rPr>
        <w:t xml:space="preserve">еквивалентен на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монтелукаст </w:t>
      </w:r>
      <w:r w:rsidRPr="00AC15C2">
        <w:rPr>
          <w:rFonts w:eastAsia="Times New Roman" w:cs="Arial"/>
          <w:color w:val="000000"/>
        </w:rPr>
        <w:t>(</w:t>
      </w:r>
      <w:proofErr w:type="spellStart"/>
      <w:r w:rsidRPr="00AC15C2">
        <w:rPr>
          <w:rFonts w:eastAsia="Times New Roman" w:cs="Arial"/>
          <w:color w:val="000000"/>
          <w:lang w:val="en-US"/>
        </w:rPr>
        <w:t>montelukast</w:t>
      </w:r>
      <w:proofErr w:type="spellEnd"/>
      <w:r w:rsidRPr="00AC15C2">
        <w:rPr>
          <w:rFonts w:eastAsia="Times New Roman" w:cs="Arial"/>
          <w:color w:val="000000"/>
        </w:rPr>
        <w:t>).</w:t>
      </w:r>
    </w:p>
    <w:p w14:paraId="2DBDEA9A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723AB7" w14:textId="00B152B0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действие:</w:t>
      </w:r>
    </w:p>
    <w:p w14:paraId="264358C5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89,30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лактоза монохидрат, 0,042 </w:t>
      </w:r>
      <w:proofErr w:type="spellStart"/>
      <w:r w:rsidRPr="00AC15C2">
        <w:rPr>
          <w:rFonts w:eastAsia="Times New Roman" w:cs="Arial"/>
          <w:color w:val="000000"/>
          <w:lang w:val="en-US"/>
        </w:rPr>
        <w:t>mmol</w:t>
      </w:r>
      <w:proofErr w:type="spellEnd"/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(0,96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) </w:t>
      </w:r>
      <w:r w:rsidRPr="00AC15C2">
        <w:rPr>
          <w:rFonts w:eastAsia="Times New Roman" w:cs="Arial"/>
          <w:color w:val="000000"/>
          <w:lang w:eastAsia="bg-BG"/>
        </w:rPr>
        <w:t xml:space="preserve">натрий и 0,12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лецитин (соя)/ филмирана таблетка</w:t>
      </w:r>
    </w:p>
    <w:p w14:paraId="3AE17421" w14:textId="77777777" w:rsidR="00AC15C2" w:rsidRPr="00AC15C2" w:rsidRDefault="00AC15C2" w:rsidP="00AC15C2"/>
    <w:p w14:paraId="614984C4" w14:textId="447B1F34" w:rsidR="008A6AF2" w:rsidRDefault="00DD466D" w:rsidP="002C50EE">
      <w:pPr>
        <w:pStyle w:val="Heading1"/>
      </w:pPr>
      <w:r>
        <w:t>3. ЛЕКАРСТВЕНА ФОРМА</w:t>
      </w:r>
    </w:p>
    <w:p w14:paraId="4268FA3D" w14:textId="5054C2A9" w:rsidR="00AC15C2" w:rsidRDefault="00AC15C2" w:rsidP="00AC15C2"/>
    <w:p w14:paraId="5001A4F3" w14:textId="77777777" w:rsidR="00AC15C2" w:rsidRDefault="00AC15C2" w:rsidP="00AC15C2">
      <w:pPr>
        <w:rPr>
          <w:lang w:eastAsia="bg-BG"/>
        </w:rPr>
      </w:pPr>
      <w:r w:rsidRPr="00AC15C2">
        <w:rPr>
          <w:lang w:eastAsia="bg-BG"/>
        </w:rPr>
        <w:t xml:space="preserve">Филмирана таблетка </w:t>
      </w:r>
    </w:p>
    <w:p w14:paraId="64EF7E54" w14:textId="52CE50E1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Бежови, кръгли, двойно изпъкнали филмирани таблетки.</w:t>
      </w:r>
    </w:p>
    <w:p w14:paraId="5EBCB8B1" w14:textId="77777777" w:rsidR="00AC15C2" w:rsidRPr="00AC15C2" w:rsidRDefault="00AC15C2" w:rsidP="00AC15C2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0C8E6903" w14:textId="6A21D69E" w:rsidR="008134C8" w:rsidRDefault="002C50EE" w:rsidP="004A448E">
      <w:pPr>
        <w:pStyle w:val="Heading2"/>
      </w:pPr>
      <w:r>
        <w:t>4.1. Терапевтични показания</w:t>
      </w:r>
    </w:p>
    <w:p w14:paraId="2F334B28" w14:textId="5DD71C9D" w:rsidR="00AC15C2" w:rsidRDefault="00AC15C2" w:rsidP="00AC15C2"/>
    <w:p w14:paraId="0DB120ED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 xml:space="preserve">Алвокаст 10 </w:t>
      </w:r>
      <w:r w:rsidRPr="00AC15C2">
        <w:rPr>
          <w:lang w:val="en-US"/>
        </w:rPr>
        <w:t>mg</w:t>
      </w:r>
      <w:r w:rsidRPr="00AC15C2">
        <w:rPr>
          <w:lang w:val="ru-RU"/>
        </w:rPr>
        <w:t xml:space="preserve"> </w:t>
      </w:r>
      <w:r w:rsidRPr="00AC15C2">
        <w:rPr>
          <w:lang w:eastAsia="bg-BG"/>
        </w:rPr>
        <w:t>е предназначен за възрастни и юноши над 15 години за лечение на астма като съпътстваща терапия при пациенти с лека до умерена персистираща астма, които не са контролирани адекватно чрез инхалаторни кортикостероиди и при които краткодействащите бета-агонисти, прилагани при необходимост, не осигуряват адекватен клиничен контрол върху астмата. При пациенти, на които Монтелукаст е назначен за лечение на астма, лекарственият продукт може също да допринесе за симптоматично облекчаване на сезонния алергичен ринит.</w:t>
      </w:r>
    </w:p>
    <w:p w14:paraId="57E7FB83" w14:textId="77777777" w:rsidR="00AC15C2" w:rsidRDefault="00AC15C2" w:rsidP="00AC15C2">
      <w:pPr>
        <w:rPr>
          <w:lang w:eastAsia="bg-BG"/>
        </w:rPr>
      </w:pPr>
    </w:p>
    <w:p w14:paraId="5F48DC38" w14:textId="09352C0F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 xml:space="preserve">Алвокаст 10 </w:t>
      </w:r>
      <w:r w:rsidRPr="00AC15C2">
        <w:rPr>
          <w:lang w:val="en-US"/>
        </w:rPr>
        <w:t>mg</w:t>
      </w:r>
      <w:r w:rsidRPr="00AC15C2">
        <w:rPr>
          <w:lang w:val="ru-RU"/>
        </w:rPr>
        <w:t xml:space="preserve"> </w:t>
      </w:r>
      <w:r w:rsidRPr="00AC15C2">
        <w:rPr>
          <w:lang w:eastAsia="bg-BG"/>
        </w:rPr>
        <w:t>е също показан за профилактика на астма, в която преобладаващият компонент е предизвикан от физическо усилие бронхоспазъм.</w:t>
      </w:r>
    </w:p>
    <w:p w14:paraId="2071A022" w14:textId="77777777" w:rsidR="00AC15C2" w:rsidRPr="00AC15C2" w:rsidRDefault="00AC15C2" w:rsidP="00AC15C2"/>
    <w:p w14:paraId="30BE2C7B" w14:textId="79A8B60A" w:rsidR="008134C8" w:rsidRDefault="002C50EE" w:rsidP="004A448E">
      <w:pPr>
        <w:pStyle w:val="Heading2"/>
      </w:pPr>
      <w:r>
        <w:t>4.2. Дозировка и начин на приложение</w:t>
      </w:r>
    </w:p>
    <w:p w14:paraId="585C9B96" w14:textId="73C9B05E" w:rsidR="00AC15C2" w:rsidRDefault="00AC15C2" w:rsidP="00AC15C2"/>
    <w:p w14:paraId="285BCAFF" w14:textId="77777777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t>Дозировка</w:t>
      </w:r>
    </w:p>
    <w:p w14:paraId="64875E2B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Препоръчителната доза за възрастни и юноши на и над 15-годишна възраст с астма или с астма и съпътстващ сезонен алергичен ринит е една таблетка от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дневно, приета вечер.</w:t>
      </w:r>
    </w:p>
    <w:p w14:paraId="707AEC4D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34870A" w14:textId="0B7DB44F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lastRenderedPageBreak/>
        <w:t>Общи препоръки:</w:t>
      </w:r>
    </w:p>
    <w:p w14:paraId="522D684B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Терапевтичният ефект на Алвокаст върху параметрите за контрол на астмата се появява в рамките на един ден. Монтелукаст може да се приема с храна или без храна. Пациентите трябва да бъдат съветвани да продължат да вземат Монтелукаст, дори ако астмата им е под кон</w:t>
      </w:r>
      <w:r w:rsidRPr="00AC15C2">
        <w:rPr>
          <w:rFonts w:eastAsia="Times New Roman" w:cs="Arial"/>
          <w:color w:val="000000"/>
          <w:u w:val="single"/>
          <w:lang w:eastAsia="bg-BG"/>
        </w:rPr>
        <w:t xml:space="preserve">трол, </w:t>
      </w:r>
      <w:r w:rsidRPr="00AC15C2">
        <w:rPr>
          <w:rFonts w:eastAsia="Times New Roman" w:cs="Arial"/>
          <w:color w:val="000000"/>
          <w:lang w:eastAsia="bg-BG"/>
        </w:rPr>
        <w:t>както и в периодите на влошаване на астмата. Монтелукаст не трябва да се употребяв</w:t>
      </w:r>
      <w:r w:rsidRPr="00AC15C2">
        <w:rPr>
          <w:rFonts w:eastAsia="Times New Roman" w:cs="Arial"/>
          <w:color w:val="000000"/>
          <w:lang w:val="en-US"/>
        </w:rPr>
        <w:t>a</w:t>
      </w:r>
      <w:r w:rsidRPr="00AC15C2">
        <w:rPr>
          <w:rFonts w:eastAsia="Times New Roman" w:cs="Arial"/>
          <w:color w:val="000000"/>
          <w:lang w:eastAsia="bg-BG"/>
        </w:rPr>
        <w:t xml:space="preserve"> едновременно с други продукти, съдържащи същото активно вещество монтелукаст</w:t>
      </w:r>
    </w:p>
    <w:p w14:paraId="3306E109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</w:p>
    <w:p w14:paraId="14A900B1" w14:textId="77777777" w:rsidR="00AC15C2" w:rsidRPr="00AC15C2" w:rsidRDefault="00AC15C2" w:rsidP="00AC15C2">
      <w:pPr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Не е необходима корекция на дозировката за по-възрастните пациенти или за пациенти с бъбречна недостатъчност или с леко до умерено тежко увреждане на черния дроб. Няма данни за приложение при пациенти с тежко чернодробно увреждане. Дозировката е една и съща при мъже и жени.</w:t>
      </w:r>
    </w:p>
    <w:p w14:paraId="00760900" w14:textId="77777777" w:rsidR="00AC15C2" w:rsidRPr="00AC15C2" w:rsidRDefault="00AC15C2" w:rsidP="00AC15C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28C494A" w14:textId="4176AA74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eastAsia="bg-BG"/>
        </w:rPr>
        <w:t>Терапия с Алвокаст при други лечения на астма:</w:t>
      </w:r>
    </w:p>
    <w:p w14:paraId="4AE45E32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Алвокаст може да се прилага като допълнение към съществуващ режим на лечение на пациента.</w:t>
      </w:r>
    </w:p>
    <w:p w14:paraId="074A1E3C" w14:textId="77777777" w:rsidR="00AC15C2" w:rsidRPr="00AC15C2" w:rsidRDefault="00AC15C2" w:rsidP="00AC15C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5FE747D" w14:textId="255D4C70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eastAsia="bg-BG"/>
        </w:rPr>
        <w:t>Инхалаторни кортикостероиди:</w:t>
      </w:r>
    </w:p>
    <w:p w14:paraId="7DC7AE75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Лечението с Алвокаст може да се прилага като съпътстваща терапия при пациенти, когато инхалираните кортикостероиди плюс краткодействащите бета-агонисти „при нужда” не дават адекватен клиничен контрол. Алвокаст не трябва рязко да замести приложението на инхалаторните кортикостероиди (вж. раздел 4.4).</w:t>
      </w:r>
    </w:p>
    <w:p w14:paraId="6AA3B4D5" w14:textId="77777777" w:rsidR="00AC15C2" w:rsidRPr="00AC15C2" w:rsidRDefault="00AC15C2" w:rsidP="00AC15C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7CB08B" w14:textId="4186C79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eastAsia="bg-BG"/>
        </w:rPr>
        <w:t>Педиатрична популация:</w:t>
      </w:r>
    </w:p>
    <w:p w14:paraId="7A8DB004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Алвокаст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филмирани таблетки не трябва да се дават на деца под 15 годишна възраст.</w:t>
      </w:r>
    </w:p>
    <w:p w14:paraId="28A67C78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Безопасността и ефикасността на Алвокаст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филмирани таблетки при деца под 15 годишна възраст не е установена.</w:t>
      </w:r>
    </w:p>
    <w:p w14:paraId="1601DA8B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Налични са други продукти от 5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таблетки за дъвчене от за педиатрични пациенти от 6 до 14 годишна възраст.</w:t>
      </w:r>
    </w:p>
    <w:p w14:paraId="6029BCE4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Налични са други продукти от 4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таблетки за дъвчене за педиатрични пациенти от 2 до 5 годишна възраст.</w:t>
      </w:r>
    </w:p>
    <w:p w14:paraId="3C407216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Налични са други продукти от 4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гранули за педиатрични пациенти от 6 месеца до 5 години.</w:t>
      </w:r>
    </w:p>
    <w:p w14:paraId="30622DE0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F65881E" w14:textId="02592161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t>Начин на приложение:</w:t>
      </w:r>
    </w:p>
    <w:p w14:paraId="45239D5F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ПерораЛно приложение.</w:t>
      </w:r>
    </w:p>
    <w:p w14:paraId="29F3DD4E" w14:textId="36C82941" w:rsidR="00AC15C2" w:rsidRPr="00AC15C2" w:rsidRDefault="00AC15C2" w:rsidP="00AC15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FEF0D" w14:textId="77777777" w:rsidR="00AC15C2" w:rsidRPr="00AC15C2" w:rsidRDefault="00AC15C2" w:rsidP="00AC15C2"/>
    <w:p w14:paraId="28C984E8" w14:textId="059A62C7" w:rsidR="008134C8" w:rsidRDefault="002C50EE" w:rsidP="004A448E">
      <w:pPr>
        <w:pStyle w:val="Heading2"/>
      </w:pPr>
      <w:r>
        <w:t>4.3. Противопоказания</w:t>
      </w:r>
    </w:p>
    <w:p w14:paraId="0ECC1D13" w14:textId="47841EE5" w:rsidR="00AC15C2" w:rsidRDefault="00AC15C2" w:rsidP="00AC15C2"/>
    <w:p w14:paraId="77357DD5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Свръхчувствителност към активното вещество, соя, фъстъци или към някое от помощните вещества, изброени в точка 6.1.</w:t>
      </w:r>
    </w:p>
    <w:p w14:paraId="32A20B7D" w14:textId="77777777" w:rsidR="00AC15C2" w:rsidRPr="00AC15C2" w:rsidRDefault="00AC15C2" w:rsidP="00AC15C2"/>
    <w:p w14:paraId="212F509C" w14:textId="5A2958DA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7F42826D" w14:textId="35928AA2" w:rsidR="00AC15C2" w:rsidRDefault="00AC15C2" w:rsidP="00AC15C2"/>
    <w:p w14:paraId="42FE6B25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 xml:space="preserve">Пациентите трябва да бъдат съветвани никога да не използват пероралния Монтелукаст за лечение на остри астматични пристъпи и винаги да имат на разположение своето обичайно животоспасяващо лекарство в готовност. Ако настъпи остър пристъп, трябва да </w:t>
      </w:r>
      <w:r w:rsidRPr="00AC15C2">
        <w:rPr>
          <w:lang w:eastAsia="bg-BG"/>
        </w:rPr>
        <w:lastRenderedPageBreak/>
        <w:t>се използва бързодействащ инхалаторен β-агонист. Пациентите трябва да потърсят лекарски съвет възможно най-бързо ако имат нужда от повече инхалации от бързодействащ р-агонист, отколкото обикновено.</w:t>
      </w:r>
    </w:p>
    <w:p w14:paraId="21C52E2C" w14:textId="77777777" w:rsidR="00AC15C2" w:rsidRDefault="00AC15C2" w:rsidP="00AC15C2">
      <w:pPr>
        <w:rPr>
          <w:lang w:eastAsia="bg-BG"/>
        </w:rPr>
      </w:pPr>
    </w:p>
    <w:p w14:paraId="356136DF" w14:textId="3767BCDD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Монтелукаст не трябва рязко да замести инхалаторните или пероралните кортикостероиди.</w:t>
      </w:r>
    </w:p>
    <w:p w14:paraId="3A4B7809" w14:textId="77777777" w:rsidR="00AC15C2" w:rsidRDefault="00AC15C2" w:rsidP="00AC15C2">
      <w:pPr>
        <w:rPr>
          <w:lang w:eastAsia="bg-BG"/>
        </w:rPr>
      </w:pPr>
    </w:p>
    <w:p w14:paraId="6D82C6FA" w14:textId="24891731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Няма данни, които да показват, че дозата на пероралните кортикостероиди може да се намали, когато се приемат едновременно с монтелукаст.</w:t>
      </w:r>
    </w:p>
    <w:p w14:paraId="0EB34DB6" w14:textId="77777777" w:rsidR="00AC15C2" w:rsidRDefault="00AC15C2" w:rsidP="00AC15C2">
      <w:pPr>
        <w:rPr>
          <w:lang w:eastAsia="bg-BG"/>
        </w:rPr>
      </w:pPr>
    </w:p>
    <w:p w14:paraId="51DD2638" w14:textId="0FB8F332" w:rsidR="00AC15C2" w:rsidRDefault="00AC15C2" w:rsidP="00AC15C2">
      <w:pPr>
        <w:rPr>
          <w:lang w:eastAsia="bg-BG"/>
        </w:rPr>
      </w:pPr>
      <w:r w:rsidRPr="00AC15C2">
        <w:rPr>
          <w:lang w:eastAsia="bg-BG"/>
        </w:rPr>
        <w:t xml:space="preserve">В редки случаи, при пациенти на лечение с антиастматични средства, включително Монтелукаст, може да настъпи системна еозинофилия, изявяваща се понякога с клинични прояви на васкулит, съответстващи на синдрома на </w:t>
      </w:r>
      <w:proofErr w:type="spellStart"/>
      <w:r w:rsidRPr="00AC15C2">
        <w:rPr>
          <w:lang w:val="en-US"/>
        </w:rPr>
        <w:t>Churg</w:t>
      </w:r>
      <w:proofErr w:type="spellEnd"/>
      <w:r w:rsidRPr="00AC15C2">
        <w:rPr>
          <w:lang w:val="ru-RU"/>
        </w:rPr>
        <w:t>-</w:t>
      </w:r>
      <w:r w:rsidRPr="00AC15C2">
        <w:rPr>
          <w:lang w:val="en-US"/>
        </w:rPr>
        <w:t>Strauss</w:t>
      </w:r>
      <w:r w:rsidRPr="00AC15C2">
        <w:rPr>
          <w:lang w:val="ru-RU"/>
        </w:rPr>
        <w:t xml:space="preserve"> </w:t>
      </w:r>
      <w:r w:rsidRPr="00AC15C2">
        <w:rPr>
          <w:lang w:eastAsia="bg-BG"/>
        </w:rPr>
        <w:t>- състояние, което често се лекува със системни кортикостероиди. Понякога тези съсътояния се свързват с намаляване или прекъсване на пероралната терапия с кортикостероиди. Въпреки, че не е установена причинно- следствена връзка с антагонизъм на левкотриеновите рецептори, лекарите трябва да внимават за появата на еозинофилия, васкулитен обрив, влошаване на белодробните симптоми, усложнения от страна на сърцето и/или невропатия при пациентите. На пациенти, които развият тези симптоми, трябва да бъде направена преоценка и техните лечебни схеми да се преразгледат.</w:t>
      </w:r>
    </w:p>
    <w:p w14:paraId="455681DB" w14:textId="22C08D58" w:rsidR="00AC15C2" w:rsidRDefault="00AC15C2" w:rsidP="00AC15C2">
      <w:pPr>
        <w:rPr>
          <w:lang w:eastAsia="bg-BG"/>
        </w:rPr>
      </w:pPr>
    </w:p>
    <w:p w14:paraId="0E8AA73D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Лечението с монтелукаст не отменя необходимостта пациентите с аспирин - чувствителна астма да избягват приема на аспирин и други нестероидни противовъзпалителни лекарства.</w:t>
      </w:r>
    </w:p>
    <w:p w14:paraId="7D1137CE" w14:textId="77777777" w:rsidR="00AC15C2" w:rsidRDefault="00AC15C2" w:rsidP="00AC15C2">
      <w:pPr>
        <w:rPr>
          <w:lang w:eastAsia="bg-BG"/>
        </w:rPr>
      </w:pPr>
    </w:p>
    <w:p w14:paraId="783E9344" w14:textId="13CEBC0F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 xml:space="preserve">Съобщават се невро-психични събития при възрастни, юноши и деца, приемащи Алвокаст 10 </w:t>
      </w:r>
      <w:r w:rsidRPr="00AC15C2">
        <w:rPr>
          <w:lang w:val="en-US"/>
        </w:rPr>
        <w:t>mg</w:t>
      </w:r>
      <w:r w:rsidRPr="00AC15C2">
        <w:rPr>
          <w:lang w:val="ru-RU"/>
        </w:rPr>
        <w:t xml:space="preserve"> </w:t>
      </w:r>
      <w:r w:rsidRPr="00AC15C2">
        <w:rPr>
          <w:lang w:eastAsia="bg-BG"/>
        </w:rPr>
        <w:t xml:space="preserve">(вж. точка 4.8). Пациентите и лекарите трябва да бъдат предупредени за невро-психични събития. Пациентите и/или лицата, полагащи грижи, трябва да бъдат инструктирани да уведомят лекаря си, ако настъпят такива промени. Лекуващите лекари трябва внимателно да преценят съотношението полза/риск от продължителното лечение с Алвокаст 10 </w:t>
      </w:r>
      <w:r w:rsidRPr="00AC15C2">
        <w:rPr>
          <w:lang w:val="en-US"/>
        </w:rPr>
        <w:t>mg</w:t>
      </w:r>
      <w:r w:rsidRPr="00AC15C2">
        <w:rPr>
          <w:lang w:val="ru-RU"/>
        </w:rPr>
        <w:t xml:space="preserve">, </w:t>
      </w:r>
      <w:r w:rsidRPr="00AC15C2">
        <w:rPr>
          <w:lang w:eastAsia="bg-BG"/>
        </w:rPr>
        <w:t>ако възникнат такива събития.</w:t>
      </w:r>
    </w:p>
    <w:p w14:paraId="057926B6" w14:textId="77777777" w:rsidR="00AC15C2" w:rsidRDefault="00AC15C2" w:rsidP="00AC15C2">
      <w:pPr>
        <w:rPr>
          <w:lang w:eastAsia="bg-BG"/>
        </w:rPr>
      </w:pPr>
    </w:p>
    <w:p w14:paraId="13A49C2E" w14:textId="32BFDC74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Лекарственият продукт съдържа лактоза.</w:t>
      </w:r>
    </w:p>
    <w:p w14:paraId="2D084995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Пациенти с редките наследствени форми на непоносимост към галактоза, с общ лактазен дефицит или с глюкозно-галактозна малабсорбция не трябва да приемат този лекарствен продукт.</w:t>
      </w:r>
    </w:p>
    <w:p w14:paraId="0DA29F24" w14:textId="77777777" w:rsidR="00AC15C2" w:rsidRDefault="00AC15C2" w:rsidP="00AC15C2">
      <w:pPr>
        <w:rPr>
          <w:lang w:eastAsia="bg-BG"/>
        </w:rPr>
      </w:pPr>
    </w:p>
    <w:p w14:paraId="31FBADCD" w14:textId="1F474EB1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 xml:space="preserve">Този лекарствен продукт съдържа по-малко от 1 </w:t>
      </w:r>
      <w:proofErr w:type="spellStart"/>
      <w:r w:rsidRPr="00AC15C2">
        <w:rPr>
          <w:lang w:val="en-US"/>
        </w:rPr>
        <w:t>mmol</w:t>
      </w:r>
      <w:proofErr w:type="spellEnd"/>
      <w:r w:rsidRPr="00AC15C2">
        <w:rPr>
          <w:lang w:val="ru-RU"/>
        </w:rPr>
        <w:t xml:space="preserve"> </w:t>
      </w:r>
      <w:r w:rsidRPr="00AC15C2">
        <w:rPr>
          <w:lang w:eastAsia="bg-BG"/>
        </w:rPr>
        <w:t xml:space="preserve">натрий (23 </w:t>
      </w:r>
      <w:r w:rsidRPr="00AC15C2">
        <w:rPr>
          <w:lang w:val="en-US"/>
        </w:rPr>
        <w:t>mg</w:t>
      </w:r>
      <w:r w:rsidRPr="00AC15C2">
        <w:rPr>
          <w:lang w:val="ru-RU"/>
        </w:rPr>
        <w:t xml:space="preserve">) </w:t>
      </w:r>
      <w:r w:rsidRPr="00AC15C2">
        <w:rPr>
          <w:lang w:eastAsia="bg-BG"/>
        </w:rPr>
        <w:t>за таблетка, т.е. практически не съдържа натрий.</w:t>
      </w:r>
    </w:p>
    <w:p w14:paraId="4FFB3A31" w14:textId="77777777" w:rsidR="00AC15C2" w:rsidRPr="00AC15C2" w:rsidRDefault="00AC15C2" w:rsidP="00AC15C2"/>
    <w:p w14:paraId="619DED1E" w14:textId="1896C80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6B85A26A" w14:textId="00B4BAD7" w:rsidR="00AC15C2" w:rsidRDefault="00AC15C2" w:rsidP="00AC15C2"/>
    <w:p w14:paraId="630D8CCA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Монтелукаст може да бъде прилаган с други видове лечение, използвани обичайно за профилактиката или лечението на хронична астма. В клиничните изпитвания за лекарствени взаимодействия, препоръчваната доза монтелукаст няма значими ефекти върху фармакокинетиката на следните лекарствени продукти: теофилин, преднизон, </w:t>
      </w:r>
      <w:r w:rsidRPr="00AC15C2">
        <w:rPr>
          <w:rFonts w:eastAsia="Times New Roman" w:cs="Arial"/>
          <w:color w:val="000000"/>
          <w:lang w:eastAsia="bg-BG"/>
        </w:rPr>
        <w:lastRenderedPageBreak/>
        <w:t>преднизолон, перорални контрацептиви (етинил естрадиол/норетиндрон 35/1), терфенадин, дигоксин и варфарин.</w:t>
      </w:r>
    </w:p>
    <w:p w14:paraId="1115E092" w14:textId="77777777" w:rsid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9DF197F" w14:textId="4606E1EB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Площта под кривата на плазмената концентрация </w:t>
      </w:r>
      <w:r w:rsidRPr="00AC15C2">
        <w:rPr>
          <w:rFonts w:eastAsia="Times New Roman" w:cs="Arial"/>
          <w:color w:val="000000"/>
          <w:lang w:val="ru-RU"/>
        </w:rPr>
        <w:t>(</w:t>
      </w:r>
      <w:r w:rsidRPr="00AC15C2">
        <w:rPr>
          <w:rFonts w:eastAsia="Times New Roman" w:cs="Arial"/>
          <w:color w:val="000000"/>
          <w:lang w:val="en-US"/>
        </w:rPr>
        <w:t>AUC</w:t>
      </w:r>
      <w:r w:rsidRPr="00AC15C2">
        <w:rPr>
          <w:rFonts w:eastAsia="Times New Roman" w:cs="Arial"/>
          <w:color w:val="000000"/>
          <w:lang w:val="ru-RU"/>
        </w:rPr>
        <w:t xml:space="preserve">) </w:t>
      </w:r>
      <w:r w:rsidRPr="00AC15C2">
        <w:rPr>
          <w:rFonts w:eastAsia="Times New Roman" w:cs="Arial"/>
          <w:color w:val="000000"/>
          <w:lang w:eastAsia="bg-BG"/>
        </w:rPr>
        <w:t xml:space="preserve">за монтелукаст намалява приблизително с 40 % при лица с едновременно приложение на фенобарбитал. Тъй като монтелукаст се метаболизира от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ЗА4,2С8 и 2С9 трябва да се внимава, особено при деца, когато монтелукаст се прилага с индуктори на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ЗА4, 2С8 и 2С9 като фенитоин, фенобарбитал и рифампицин.</w:t>
      </w:r>
    </w:p>
    <w:p w14:paraId="4ADEAA7C" w14:textId="77777777" w:rsidR="00AC15C2" w:rsidRDefault="00AC15C2" w:rsidP="00AC15C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EE1D722" w14:textId="0F54FF9C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u w:val="single"/>
          <w:lang w:eastAsia="bg-BG"/>
        </w:rPr>
        <w:t>Взаимодействие на монтелукаст с други лекарствени продукти</w:t>
      </w:r>
    </w:p>
    <w:p w14:paraId="5906FD74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val="en-US"/>
        </w:rPr>
        <w:t>In</w:t>
      </w:r>
      <w:r w:rsidRPr="00AC15C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AC15C2">
        <w:rPr>
          <w:rFonts w:eastAsia="Times New Roman" w:cs="Arial"/>
          <w:i/>
          <w:iCs/>
          <w:color w:val="000000"/>
          <w:lang w:val="en-US"/>
        </w:rPr>
        <w:t>vitro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проучвания са показали, че монтелукаст е силен инхибитор на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2С8. Но данни от клинични изпитвания за лекарствени взаимодействия, включващи монтелукаст и розиглитазон (проучван субстрат, представител на лекарствени продукти, които се метаболизират основно чрез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2С8), показват, че монтелукаст не инхибира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2С8 </w:t>
      </w:r>
      <w:r w:rsidRPr="00AC15C2">
        <w:rPr>
          <w:rFonts w:eastAsia="Times New Roman" w:cs="Arial"/>
          <w:i/>
          <w:iCs/>
          <w:color w:val="000000"/>
          <w:lang w:val="en-US"/>
        </w:rPr>
        <w:t>in</w:t>
      </w:r>
      <w:r w:rsidRPr="00AC15C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AC15C2">
        <w:rPr>
          <w:rFonts w:eastAsia="Times New Roman" w:cs="Arial"/>
          <w:i/>
          <w:iCs/>
          <w:color w:val="000000"/>
          <w:lang w:val="en-US"/>
        </w:rPr>
        <w:t>vivo</w:t>
      </w:r>
      <w:r w:rsidRPr="00AC15C2">
        <w:rPr>
          <w:rFonts w:eastAsia="Times New Roman" w:cs="Arial"/>
          <w:i/>
          <w:iCs/>
          <w:color w:val="000000"/>
          <w:lang w:val="ru-RU"/>
        </w:rPr>
        <w:t>.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Следователно, не се допуска, че Монтелукаст променя метаболизма на лекарствени продукти, метаболизиращи се от този ензим (например паклитаксел, розиглитазон, репаглинид).</w:t>
      </w:r>
    </w:p>
    <w:p w14:paraId="22C78031" w14:textId="77777777" w:rsidR="00AC15C2" w:rsidRDefault="00AC15C2" w:rsidP="00AC15C2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7C363DA1" w14:textId="5B3F3455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val="en-US"/>
        </w:rPr>
        <w:t>In</w:t>
      </w:r>
      <w:r w:rsidRPr="00AC15C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AC15C2">
        <w:rPr>
          <w:rFonts w:eastAsia="Times New Roman" w:cs="Arial"/>
          <w:i/>
          <w:iCs/>
          <w:color w:val="000000"/>
          <w:lang w:val="en-US"/>
        </w:rPr>
        <w:t>vitro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проучвания са показали, че монтелукаст е субстрат на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2С8, и в значително по- малка степен на 2С9 и ЗА4. В клинични изпитвания за лекарствени взаимодействия, включващи монтелукаст и гемфиброзил (инхибитор на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2С8 както и 2С9) гемфиброзил повишава системната експозиция на монтелукаст 4,4 пъти. Не се изисква корекция на обичайната доза на монтелукаст при едновременното прилагане с гемфиброзил или други мощни инхибитори на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2С8, но лекарят трябва да има предвид потенциална възможност за увеличаване на нежеланите реакции.</w:t>
      </w:r>
    </w:p>
    <w:p w14:paraId="0369F15D" w14:textId="77777777" w:rsidR="00AC15C2" w:rsidRDefault="00AC15C2" w:rsidP="00AC15C2">
      <w:pPr>
        <w:rPr>
          <w:rFonts w:eastAsia="Times New Roman" w:cs="Arial"/>
          <w:color w:val="000000"/>
          <w:lang w:eastAsia="bg-BG"/>
        </w:rPr>
      </w:pPr>
    </w:p>
    <w:p w14:paraId="3070872C" w14:textId="5A8D8D13" w:rsidR="00AC15C2" w:rsidRPr="00AC15C2" w:rsidRDefault="00AC15C2" w:rsidP="00AC15C2">
      <w:pPr>
        <w:rPr>
          <w:rFonts w:eastAsia="Times New Roman" w:cs="Arial"/>
          <w:color w:val="000000"/>
          <w:lang w:eastAsia="bg-BG"/>
        </w:rPr>
      </w:pPr>
      <w:r w:rsidRPr="00AC15C2">
        <w:rPr>
          <w:rFonts w:eastAsia="Times New Roman" w:cs="Arial"/>
          <w:color w:val="000000"/>
          <w:lang w:eastAsia="bg-BG"/>
        </w:rPr>
        <w:t xml:space="preserve">Въз основа на </w:t>
      </w:r>
      <w:r w:rsidRPr="00AC15C2">
        <w:rPr>
          <w:rFonts w:eastAsia="Times New Roman" w:cs="Arial"/>
          <w:i/>
          <w:iCs/>
          <w:color w:val="000000"/>
          <w:lang w:val="en-US"/>
        </w:rPr>
        <w:t>in</w:t>
      </w:r>
      <w:r w:rsidRPr="00AC15C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AC15C2">
        <w:rPr>
          <w:rFonts w:eastAsia="Times New Roman" w:cs="Arial"/>
          <w:i/>
          <w:iCs/>
          <w:color w:val="000000"/>
          <w:lang w:val="en-US"/>
        </w:rPr>
        <w:t>vitro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данни, клинично значими лекарствени взаимодействия с по-малко мощни инхибитори на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2С8 (напр. триметоприм), не се очакват. Едновременното приложение на монтелукаст с итраконазол, силен инхибитор на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ЗА4, не води до значително увеличаване на системната експозиция на монтелукаст.</w:t>
      </w:r>
    </w:p>
    <w:p w14:paraId="0C16FF16" w14:textId="77777777" w:rsidR="00AC15C2" w:rsidRPr="00AC15C2" w:rsidRDefault="00AC15C2" w:rsidP="00AC15C2"/>
    <w:p w14:paraId="394A7584" w14:textId="125D4000" w:rsidR="004F498A" w:rsidRDefault="002C50EE" w:rsidP="004A448E">
      <w:pPr>
        <w:pStyle w:val="Heading2"/>
      </w:pPr>
      <w:r>
        <w:t>4.6. Фертилитет, бременност и кърмене</w:t>
      </w:r>
    </w:p>
    <w:p w14:paraId="1E6CF0DB" w14:textId="5460C585" w:rsidR="00AC15C2" w:rsidRDefault="00AC15C2" w:rsidP="00AC15C2"/>
    <w:p w14:paraId="0DF34219" w14:textId="77777777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t>Бременност</w:t>
      </w:r>
    </w:p>
    <w:p w14:paraId="483B72B4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Проучванията върху животни не показват вредни ефекти във връзка с въздействието върху бременността или ембрионалното/феталното развитие.</w:t>
      </w:r>
    </w:p>
    <w:p w14:paraId="56BDBD09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AC3105" w14:textId="216910FF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Ограничените данни за опита от приложение на лекарството по време на бременност не подсказват причинна връзка между Монтелукаст и малформации (напр. дефекти на крайниците), които са докладвани в периода на постмаркетингова употреба.</w:t>
      </w:r>
    </w:p>
    <w:p w14:paraId="2463BD7C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E14730" w14:textId="5B7B4DC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Монтелукаст може да бъде използван по време на бременност само ако е категорично наложително.</w:t>
      </w:r>
    </w:p>
    <w:p w14:paraId="56D599D4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74C305" w14:textId="48C55EE0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t>Кърмене</w:t>
      </w:r>
    </w:p>
    <w:p w14:paraId="626A74B3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Проучвания при плъхове показват, че монтелукаст се екскретира в млякото (вж. раздел 5.3). Не е известно дали монтелукаст или неговите метаболите се отделят в майчиното мляко.</w:t>
      </w:r>
    </w:p>
    <w:p w14:paraId="3C903861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0BE7B9" w14:textId="4809D72A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lastRenderedPageBreak/>
        <w:t>Монтелукаст може да бъде използван по време на кърмене само, ако е категорично наложително.</w:t>
      </w:r>
    </w:p>
    <w:p w14:paraId="7DA14AC6" w14:textId="2FBE9361" w:rsidR="00AC15C2" w:rsidRPr="00AC15C2" w:rsidRDefault="00AC15C2" w:rsidP="00AC15C2"/>
    <w:p w14:paraId="064DF1DE" w14:textId="3D28B70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5E0313C9" w14:textId="371AEA59" w:rsidR="00AC15C2" w:rsidRDefault="00AC15C2" w:rsidP="00AC15C2"/>
    <w:p w14:paraId="70659C0E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Монтелукаст не повлиява или повлиява незначително способността за шофиране на автомобил или на работата с машини. Въпреки това, има съобщения за сънливост или световъртеж.</w:t>
      </w:r>
    </w:p>
    <w:p w14:paraId="1E9D3A7E" w14:textId="77777777" w:rsidR="00AC15C2" w:rsidRPr="00AC15C2" w:rsidRDefault="00AC15C2" w:rsidP="00AC15C2"/>
    <w:p w14:paraId="37A3FD9F" w14:textId="0520B7A8" w:rsidR="00CF77F7" w:rsidRDefault="002C50EE" w:rsidP="004A448E">
      <w:pPr>
        <w:pStyle w:val="Heading2"/>
      </w:pPr>
      <w:r>
        <w:t>4.8. Нежелани лекарствени реакции</w:t>
      </w:r>
    </w:p>
    <w:p w14:paraId="5332512B" w14:textId="4C60ADBF" w:rsidR="00AC15C2" w:rsidRDefault="00AC15C2" w:rsidP="00AC15C2"/>
    <w:p w14:paraId="32E75318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Монтелукаст е оценяван в клинични изпитания както следва:</w:t>
      </w:r>
    </w:p>
    <w:p w14:paraId="70270128" w14:textId="77777777" w:rsidR="00AC15C2" w:rsidRPr="00AC15C2" w:rsidRDefault="00AC15C2" w:rsidP="00AC15C2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филмирани таблетки при приблизително 4000 възрастни и юноши с астма на възраст на и над 15 години.</w:t>
      </w:r>
    </w:p>
    <w:p w14:paraId="10001E68" w14:textId="77777777" w:rsidR="00AC15C2" w:rsidRPr="00AC15C2" w:rsidRDefault="00AC15C2" w:rsidP="00AC15C2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филмирани таблетки при приблизително 400 възрастни и юноши с астма и сезонен алергичен ринит, на възраст на и над 15 години.</w:t>
      </w:r>
    </w:p>
    <w:p w14:paraId="2CA8D69B" w14:textId="35A181DF" w:rsidR="00AC15C2" w:rsidRPr="00AC15C2" w:rsidRDefault="00AC15C2" w:rsidP="00AC15C2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Таблетки за дъвчене от 5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при приблизително 1750 педиатрични пациенти с астма на възраст от 6 до 14-години.</w:t>
      </w:r>
    </w:p>
    <w:p w14:paraId="727AB7DE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3DBCCB" w14:textId="2F809256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Следните лскарство-свързани нежелани реакции са докладвани в клиничните изпитания често (≥1/100 </w:t>
      </w:r>
      <w:r w:rsidRPr="00AC15C2">
        <w:rPr>
          <w:rFonts w:eastAsia="Times New Roman" w:cs="Arial"/>
          <w:color w:val="000000"/>
          <w:lang w:val="en-US"/>
        </w:rPr>
        <w:t>to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&lt;1/10) при пациенти, лекувани с монтелукаст и с по-голяма честота, отколкото при пациенти, лекувани с плацебо: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8"/>
        <w:gridCol w:w="3121"/>
      </w:tblGrid>
      <w:tr w:rsidR="00AC15C2" w14:paraId="18360617" w14:textId="77777777" w:rsidTr="008C3EA6">
        <w:tc>
          <w:tcPr>
            <w:tcW w:w="3192" w:type="dxa"/>
            <w:vAlign w:val="center"/>
          </w:tcPr>
          <w:p w14:paraId="0359EE88" w14:textId="37C72691" w:rsidR="00AC15C2" w:rsidRDefault="00AC15C2" w:rsidP="00AC15C2">
            <w:r>
              <w:rPr>
                <w:i/>
                <w:iCs/>
              </w:rPr>
              <w:t>Системо-органен клас</w:t>
            </w:r>
          </w:p>
        </w:tc>
        <w:tc>
          <w:tcPr>
            <w:tcW w:w="3192" w:type="dxa"/>
            <w:vAlign w:val="center"/>
          </w:tcPr>
          <w:p w14:paraId="6E1F4943" w14:textId="77777777" w:rsidR="00AC15C2" w:rsidRDefault="00AC15C2" w:rsidP="00AC15C2">
            <w:r>
              <w:rPr>
                <w:i/>
                <w:iCs/>
              </w:rPr>
              <w:t>Възрастни пациенти и юноши на и над 15 години</w:t>
            </w:r>
          </w:p>
          <w:p w14:paraId="2C208F28" w14:textId="6F7043C4" w:rsidR="00AC15C2" w:rsidRDefault="00AC15C2" w:rsidP="00AC15C2">
            <w:r>
              <w:rPr>
                <w:i/>
                <w:iCs/>
              </w:rPr>
              <w:t xml:space="preserve">(две 12-седмични изследвания,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>=795)</w:t>
            </w:r>
          </w:p>
        </w:tc>
        <w:tc>
          <w:tcPr>
            <w:tcW w:w="3192" w:type="dxa"/>
          </w:tcPr>
          <w:p w14:paraId="61FEF56F" w14:textId="77777777" w:rsidR="00AC15C2" w:rsidRDefault="00AC15C2" w:rsidP="00AC15C2">
            <w:r>
              <w:rPr>
                <w:i/>
                <w:iCs/>
              </w:rPr>
              <w:t>Педиатрични пациенти</w:t>
            </w:r>
          </w:p>
          <w:p w14:paraId="0D1A93B8" w14:textId="77777777" w:rsidR="00AC15C2" w:rsidRDefault="00AC15C2" w:rsidP="00AC15C2">
            <w:r>
              <w:rPr>
                <w:i/>
                <w:iCs/>
              </w:rPr>
              <w:t>от 6 до 14-годишни</w:t>
            </w:r>
          </w:p>
          <w:p w14:paraId="4FA1BF00" w14:textId="31E8106B" w:rsidR="00AC15C2" w:rsidRDefault="00AC15C2" w:rsidP="00AC15C2">
            <w:r>
              <w:rPr>
                <w:i/>
                <w:iCs/>
              </w:rPr>
              <w:t>(едно 8-седмично изследвание, n=201)</w:t>
            </w:r>
          </w:p>
          <w:p w14:paraId="7820AA66" w14:textId="2E4EB89B" w:rsidR="00AC15C2" w:rsidRDefault="00AC15C2" w:rsidP="00AC15C2">
            <w:r>
              <w:rPr>
                <w:i/>
                <w:iCs/>
              </w:rPr>
              <w:t>(две 56-седмични изследвания, n=615)</w:t>
            </w:r>
          </w:p>
        </w:tc>
      </w:tr>
      <w:tr w:rsidR="00AC15C2" w14:paraId="197F6145" w14:textId="77777777" w:rsidTr="008C3EA6">
        <w:tc>
          <w:tcPr>
            <w:tcW w:w="3192" w:type="dxa"/>
            <w:vAlign w:val="bottom"/>
          </w:tcPr>
          <w:p w14:paraId="6B945DB8" w14:textId="4BD2CA74" w:rsidR="00AC15C2" w:rsidRDefault="00AC15C2" w:rsidP="00AC15C2">
            <w:r>
              <w:t>Нарушения на нервната система</w:t>
            </w:r>
          </w:p>
        </w:tc>
        <w:tc>
          <w:tcPr>
            <w:tcW w:w="3192" w:type="dxa"/>
            <w:vAlign w:val="bottom"/>
          </w:tcPr>
          <w:p w14:paraId="35DC52FB" w14:textId="70AD9E0D" w:rsidR="00AC15C2" w:rsidRDefault="00AC15C2" w:rsidP="00AC15C2">
            <w:r>
              <w:t>главоболие</w:t>
            </w:r>
          </w:p>
        </w:tc>
        <w:tc>
          <w:tcPr>
            <w:tcW w:w="3192" w:type="dxa"/>
            <w:vAlign w:val="bottom"/>
          </w:tcPr>
          <w:p w14:paraId="606839D4" w14:textId="4F9557BA" w:rsidR="00AC15C2" w:rsidRDefault="00AC15C2" w:rsidP="00AC15C2">
            <w:r>
              <w:t>главоболие.</w:t>
            </w:r>
          </w:p>
        </w:tc>
      </w:tr>
      <w:tr w:rsidR="00AC15C2" w14:paraId="3F5B788B" w14:textId="77777777" w:rsidTr="008C3EA6">
        <w:tc>
          <w:tcPr>
            <w:tcW w:w="3192" w:type="dxa"/>
            <w:vAlign w:val="bottom"/>
          </w:tcPr>
          <w:p w14:paraId="46C35315" w14:textId="2F534FEA" w:rsidR="00AC15C2" w:rsidRDefault="00AC15C2" w:rsidP="00AC15C2">
            <w:r>
              <w:t>Стомашно-чревни нарушения:</w:t>
            </w:r>
          </w:p>
        </w:tc>
        <w:tc>
          <w:tcPr>
            <w:tcW w:w="3192" w:type="dxa"/>
            <w:vAlign w:val="bottom"/>
          </w:tcPr>
          <w:p w14:paraId="4E571D40" w14:textId="2A2D9994" w:rsidR="00AC15C2" w:rsidRDefault="00AC15C2" w:rsidP="00AC15C2">
            <w:r>
              <w:t>коремна болка</w:t>
            </w:r>
          </w:p>
        </w:tc>
        <w:tc>
          <w:tcPr>
            <w:tcW w:w="3192" w:type="dxa"/>
          </w:tcPr>
          <w:p w14:paraId="7F0A0B2B" w14:textId="77777777" w:rsidR="00AC15C2" w:rsidRDefault="00AC15C2" w:rsidP="00AC15C2"/>
        </w:tc>
      </w:tr>
      <w:tr w:rsidR="00AC15C2" w14:paraId="218F9760" w14:textId="77777777" w:rsidTr="000F23C5">
        <w:tc>
          <w:tcPr>
            <w:tcW w:w="9576" w:type="dxa"/>
            <w:gridSpan w:val="3"/>
          </w:tcPr>
          <w:p w14:paraId="15456064" w14:textId="4CDE9BA0" w:rsidR="00AC15C2" w:rsidRPr="00AC15C2" w:rsidRDefault="00AC15C2" w:rsidP="00AC15C2">
            <w:r w:rsidRPr="00AC15C2">
              <w:rPr>
                <w:color w:val="000000"/>
                <w:lang w:eastAsia="bg-BG"/>
              </w:rPr>
              <w:t>При продължително лечение в клиничните изпитвания с ограничен брой пациенти за период до 2 години при възрастни и за период до 12 месеца при педиатрични пациенти от 6 до 14 годишна възраст, профилът на безопасност не се променя.</w:t>
            </w:r>
          </w:p>
        </w:tc>
      </w:tr>
    </w:tbl>
    <w:p w14:paraId="31EC0C12" w14:textId="2ECAAD8B" w:rsidR="00AC15C2" w:rsidRDefault="00AC15C2" w:rsidP="00AC15C2"/>
    <w:p w14:paraId="6FEB455B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u w:val="single"/>
          <w:lang w:eastAsia="bg-BG"/>
        </w:rPr>
        <w:t>Табличен вид на нежеланите лекарствени реакции</w:t>
      </w:r>
    </w:p>
    <w:p w14:paraId="2FD0B337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Нежеланите реакции, докладвани в периода след пускане на лекарството на пазара, са изброени по системо-органни класове и специфични нежелани реакции, в таблицата по-долу.</w:t>
      </w:r>
    </w:p>
    <w:p w14:paraId="747801E5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Категориите честоти се определят на базата на съответните клинични изпитвания.</w:t>
      </w:r>
    </w:p>
    <w:p w14:paraId="30706AB7" w14:textId="3A9EF76F" w:rsidR="00AC15C2" w:rsidRDefault="00AC15C2" w:rsidP="00AC15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49"/>
        <w:gridCol w:w="3083"/>
      </w:tblGrid>
      <w:tr w:rsidR="00AC15C2" w14:paraId="4F802CAC" w14:textId="77777777" w:rsidTr="00AC15C2">
        <w:tc>
          <w:tcPr>
            <w:tcW w:w="3192" w:type="dxa"/>
          </w:tcPr>
          <w:p w14:paraId="6DDCBE99" w14:textId="4936C3C7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  <w:i/>
                <w:iCs/>
              </w:rPr>
              <w:t>Системо-органен клас</w:t>
            </w:r>
          </w:p>
        </w:tc>
        <w:tc>
          <w:tcPr>
            <w:tcW w:w="3192" w:type="dxa"/>
          </w:tcPr>
          <w:p w14:paraId="4888DC68" w14:textId="55018D9F" w:rsidR="00AC15C2" w:rsidRDefault="00AC15C2" w:rsidP="00AC15C2">
            <w:r>
              <w:rPr>
                <w:i/>
                <w:iCs/>
              </w:rPr>
              <w:t>Нежелани реакции</w:t>
            </w:r>
          </w:p>
        </w:tc>
        <w:tc>
          <w:tcPr>
            <w:tcW w:w="3192" w:type="dxa"/>
          </w:tcPr>
          <w:p w14:paraId="457C601E" w14:textId="37A2EEEB" w:rsidR="00AC15C2" w:rsidRDefault="00AC15C2" w:rsidP="00AC15C2">
            <w:r>
              <w:rPr>
                <w:i/>
                <w:iCs/>
              </w:rPr>
              <w:t>Категория честота*</w:t>
            </w:r>
          </w:p>
        </w:tc>
      </w:tr>
      <w:tr w:rsidR="00AC15C2" w14:paraId="21CF5098" w14:textId="77777777" w:rsidTr="00367CCB">
        <w:tc>
          <w:tcPr>
            <w:tcW w:w="3192" w:type="dxa"/>
          </w:tcPr>
          <w:p w14:paraId="033EB128" w14:textId="00B48544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Инфекции и инфестации</w:t>
            </w:r>
          </w:p>
        </w:tc>
        <w:tc>
          <w:tcPr>
            <w:tcW w:w="3192" w:type="dxa"/>
            <w:vAlign w:val="bottom"/>
          </w:tcPr>
          <w:p w14:paraId="171F09E0" w14:textId="286937A7" w:rsidR="00AC15C2" w:rsidRDefault="00AC15C2" w:rsidP="00AC15C2">
            <w:r>
              <w:t>инфекция на горните дихателни пътища</w:t>
            </w:r>
            <w:r>
              <w:rPr>
                <w:vertAlign w:val="superscript"/>
              </w:rPr>
              <w:t>+</w:t>
            </w:r>
          </w:p>
        </w:tc>
        <w:tc>
          <w:tcPr>
            <w:tcW w:w="3192" w:type="dxa"/>
          </w:tcPr>
          <w:p w14:paraId="1CCA8EA7" w14:textId="6788D31D" w:rsidR="00AC15C2" w:rsidRDefault="00AC15C2" w:rsidP="00AC15C2">
            <w:r>
              <w:t>Много чести</w:t>
            </w:r>
          </w:p>
        </w:tc>
      </w:tr>
      <w:tr w:rsidR="00AC15C2" w14:paraId="5AB8AC1E" w14:textId="77777777" w:rsidTr="00367CCB">
        <w:tc>
          <w:tcPr>
            <w:tcW w:w="3192" w:type="dxa"/>
            <w:vAlign w:val="bottom"/>
          </w:tcPr>
          <w:p w14:paraId="2953AC57" w14:textId="0717F5E3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Нарушения на кръвта и лимфната система</w:t>
            </w:r>
          </w:p>
        </w:tc>
        <w:tc>
          <w:tcPr>
            <w:tcW w:w="3192" w:type="dxa"/>
            <w:vAlign w:val="bottom"/>
          </w:tcPr>
          <w:p w14:paraId="0A074646" w14:textId="3D40C84D" w:rsidR="00AC15C2" w:rsidRDefault="00AC15C2" w:rsidP="00AC15C2">
            <w:r>
              <w:t>повишена склонност към кървене</w:t>
            </w:r>
          </w:p>
        </w:tc>
        <w:tc>
          <w:tcPr>
            <w:tcW w:w="3192" w:type="dxa"/>
          </w:tcPr>
          <w:p w14:paraId="541F958A" w14:textId="79510CB5" w:rsidR="00AC15C2" w:rsidRDefault="00AC15C2" w:rsidP="00AC15C2">
            <w:r>
              <w:t>Редки</w:t>
            </w:r>
          </w:p>
        </w:tc>
      </w:tr>
      <w:tr w:rsidR="00AC15C2" w14:paraId="0718A66E" w14:textId="77777777" w:rsidTr="00367CCB">
        <w:tc>
          <w:tcPr>
            <w:tcW w:w="3192" w:type="dxa"/>
            <w:vMerge w:val="restart"/>
          </w:tcPr>
          <w:p w14:paraId="79AFE4B2" w14:textId="35617AAF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lastRenderedPageBreak/>
              <w:t>Нарушения на имунната система</w:t>
            </w:r>
          </w:p>
        </w:tc>
        <w:tc>
          <w:tcPr>
            <w:tcW w:w="3192" w:type="dxa"/>
            <w:vAlign w:val="bottom"/>
          </w:tcPr>
          <w:p w14:paraId="6BE56CC9" w14:textId="77AC5A05" w:rsidR="00AC15C2" w:rsidRDefault="00AC15C2" w:rsidP="00AC15C2">
            <w:r>
              <w:t>реакции на свръхчувствителност, включващи анафилаксия</w:t>
            </w:r>
          </w:p>
        </w:tc>
        <w:tc>
          <w:tcPr>
            <w:tcW w:w="3192" w:type="dxa"/>
          </w:tcPr>
          <w:p w14:paraId="5B8B390E" w14:textId="2A0678D7" w:rsidR="00AC15C2" w:rsidRDefault="00AC15C2" w:rsidP="00AC15C2">
            <w:r>
              <w:t>Нечести</w:t>
            </w:r>
          </w:p>
        </w:tc>
      </w:tr>
      <w:tr w:rsidR="00AC15C2" w14:paraId="7E94EECD" w14:textId="77777777" w:rsidTr="00367CCB">
        <w:tc>
          <w:tcPr>
            <w:tcW w:w="3192" w:type="dxa"/>
            <w:vMerge/>
          </w:tcPr>
          <w:p w14:paraId="57B5835B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  <w:vAlign w:val="bottom"/>
          </w:tcPr>
          <w:p w14:paraId="697D1924" w14:textId="55568FDE" w:rsidR="00AC15C2" w:rsidRDefault="00AC15C2" w:rsidP="00AC15C2">
            <w:r>
              <w:t>еозинофилна инфилтрация в черния дроб</w:t>
            </w:r>
          </w:p>
        </w:tc>
        <w:tc>
          <w:tcPr>
            <w:tcW w:w="3192" w:type="dxa"/>
          </w:tcPr>
          <w:p w14:paraId="7F3A672C" w14:textId="74DA2797" w:rsidR="00AC15C2" w:rsidRDefault="00AC15C2" w:rsidP="00AC15C2">
            <w:r>
              <w:t>Много редки</w:t>
            </w:r>
          </w:p>
        </w:tc>
      </w:tr>
      <w:tr w:rsidR="00AC15C2" w14:paraId="50F21E9C" w14:textId="77777777" w:rsidTr="00367CCB">
        <w:tc>
          <w:tcPr>
            <w:tcW w:w="3192" w:type="dxa"/>
            <w:vMerge w:val="restart"/>
          </w:tcPr>
          <w:p w14:paraId="329A3D5D" w14:textId="702DB3EE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Психични нарушения</w:t>
            </w:r>
          </w:p>
        </w:tc>
        <w:tc>
          <w:tcPr>
            <w:tcW w:w="3192" w:type="dxa"/>
            <w:vAlign w:val="bottom"/>
          </w:tcPr>
          <w:p w14:paraId="6230DB3F" w14:textId="245C96D7" w:rsidR="00AC15C2" w:rsidRDefault="00AC15C2" w:rsidP="00AC15C2">
            <w:r>
              <w:t>нарушения на съня, включително кошмари, безсъние, сомнамбулизъм, тревожност, безпокойство, възбуда, включително агресивно поведение или враждебност, депресия, психомоторна хиперактивност (включително раздразнителност, безпокойство, тремор</w:t>
            </w:r>
            <w:r>
              <w:rPr>
                <w:vertAlign w:val="superscript"/>
              </w:rPr>
              <w:t>§</w:t>
            </w:r>
            <w:r>
              <w:t>)</w:t>
            </w:r>
          </w:p>
        </w:tc>
        <w:tc>
          <w:tcPr>
            <w:tcW w:w="3192" w:type="dxa"/>
          </w:tcPr>
          <w:p w14:paraId="0757DE26" w14:textId="0F1386CE" w:rsidR="00AC15C2" w:rsidRDefault="00AC15C2" w:rsidP="00AC15C2">
            <w:r>
              <w:t>Нечести</w:t>
            </w:r>
          </w:p>
        </w:tc>
      </w:tr>
      <w:tr w:rsidR="00AC15C2" w14:paraId="1395698E" w14:textId="77777777" w:rsidTr="00367CCB">
        <w:tc>
          <w:tcPr>
            <w:tcW w:w="3192" w:type="dxa"/>
            <w:vMerge/>
          </w:tcPr>
          <w:p w14:paraId="738D3976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  <w:vAlign w:val="bottom"/>
          </w:tcPr>
          <w:p w14:paraId="0BE24833" w14:textId="7B27585C" w:rsidR="00AC15C2" w:rsidRDefault="00AC15C2" w:rsidP="00AC15C2">
            <w:r>
              <w:t>нарушения на вниманието, нарушения на паметта</w:t>
            </w:r>
          </w:p>
        </w:tc>
        <w:tc>
          <w:tcPr>
            <w:tcW w:w="3192" w:type="dxa"/>
          </w:tcPr>
          <w:p w14:paraId="02F88866" w14:textId="2F75C539" w:rsidR="00AC15C2" w:rsidRDefault="00AC15C2" w:rsidP="00AC15C2">
            <w:r>
              <w:t>Редки</w:t>
            </w:r>
          </w:p>
        </w:tc>
      </w:tr>
      <w:tr w:rsidR="00AC15C2" w14:paraId="484773E3" w14:textId="77777777" w:rsidTr="00367CCB">
        <w:tc>
          <w:tcPr>
            <w:tcW w:w="3192" w:type="dxa"/>
            <w:vMerge/>
          </w:tcPr>
          <w:p w14:paraId="65FF1E6A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  <w:vAlign w:val="bottom"/>
          </w:tcPr>
          <w:p w14:paraId="073EB156" w14:textId="541BE2AA" w:rsidR="00AC15C2" w:rsidRDefault="00AC15C2" w:rsidP="00AC15C2">
            <w:r>
              <w:t>халюцинации, дезориентация, мисли и опити за самоубийство (склонност към самоубийство), заекване</w:t>
            </w:r>
          </w:p>
        </w:tc>
        <w:tc>
          <w:tcPr>
            <w:tcW w:w="3192" w:type="dxa"/>
          </w:tcPr>
          <w:p w14:paraId="0B25E824" w14:textId="4CD36E1F" w:rsidR="00AC15C2" w:rsidRDefault="00AC15C2" w:rsidP="00AC15C2">
            <w:r>
              <w:t>Много редки</w:t>
            </w:r>
          </w:p>
        </w:tc>
      </w:tr>
      <w:tr w:rsidR="00AC15C2" w14:paraId="314F31B3" w14:textId="77777777" w:rsidTr="00950D00">
        <w:tc>
          <w:tcPr>
            <w:tcW w:w="3192" w:type="dxa"/>
          </w:tcPr>
          <w:p w14:paraId="783597E3" w14:textId="583CE509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Нарушения на нервната система</w:t>
            </w:r>
          </w:p>
        </w:tc>
        <w:tc>
          <w:tcPr>
            <w:tcW w:w="3192" w:type="dxa"/>
            <w:vAlign w:val="bottom"/>
          </w:tcPr>
          <w:p w14:paraId="3B10EA28" w14:textId="332B671B" w:rsidR="00AC15C2" w:rsidRDefault="00AC15C2" w:rsidP="00AC15C2">
            <w:r>
              <w:t>замаяност, сънливост, парестезия / хипоестезия, гърчове</w:t>
            </w:r>
          </w:p>
        </w:tc>
        <w:tc>
          <w:tcPr>
            <w:tcW w:w="3192" w:type="dxa"/>
          </w:tcPr>
          <w:p w14:paraId="12F3E2C4" w14:textId="231F52AC" w:rsidR="00AC15C2" w:rsidRDefault="00AC15C2" w:rsidP="00AC15C2">
            <w:r>
              <w:t>Нечести</w:t>
            </w:r>
          </w:p>
        </w:tc>
      </w:tr>
      <w:tr w:rsidR="00AC15C2" w14:paraId="35CA287A" w14:textId="77777777" w:rsidTr="00950D00">
        <w:tc>
          <w:tcPr>
            <w:tcW w:w="3192" w:type="dxa"/>
            <w:vAlign w:val="bottom"/>
          </w:tcPr>
          <w:p w14:paraId="46327838" w14:textId="03B35E7D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Сърдечни нарушения</w:t>
            </w:r>
          </w:p>
        </w:tc>
        <w:tc>
          <w:tcPr>
            <w:tcW w:w="3192" w:type="dxa"/>
            <w:vAlign w:val="bottom"/>
          </w:tcPr>
          <w:p w14:paraId="193ACE2B" w14:textId="133C9843" w:rsidR="00AC15C2" w:rsidRDefault="00AC15C2" w:rsidP="00AC15C2">
            <w:r>
              <w:t>палпитации</w:t>
            </w:r>
          </w:p>
        </w:tc>
        <w:tc>
          <w:tcPr>
            <w:tcW w:w="3192" w:type="dxa"/>
            <w:vAlign w:val="bottom"/>
          </w:tcPr>
          <w:p w14:paraId="00040897" w14:textId="16A9F452" w:rsidR="00AC15C2" w:rsidRDefault="00AC15C2" w:rsidP="00AC15C2">
            <w:r>
              <w:t>Редки</w:t>
            </w:r>
          </w:p>
        </w:tc>
      </w:tr>
      <w:tr w:rsidR="00AC15C2" w14:paraId="6A395814" w14:textId="77777777" w:rsidTr="00950D00">
        <w:tc>
          <w:tcPr>
            <w:tcW w:w="3192" w:type="dxa"/>
            <w:vMerge w:val="restart"/>
          </w:tcPr>
          <w:p w14:paraId="277F9CD3" w14:textId="110EA730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Респираторни, гръдни и мсдиастинални нарушения</w:t>
            </w:r>
          </w:p>
        </w:tc>
        <w:tc>
          <w:tcPr>
            <w:tcW w:w="3192" w:type="dxa"/>
            <w:vAlign w:val="bottom"/>
          </w:tcPr>
          <w:p w14:paraId="65B01D72" w14:textId="7A309528" w:rsidR="00AC15C2" w:rsidRDefault="00AC15C2" w:rsidP="00AC15C2">
            <w:r>
              <w:t>епистаксис</w:t>
            </w:r>
          </w:p>
        </w:tc>
        <w:tc>
          <w:tcPr>
            <w:tcW w:w="3192" w:type="dxa"/>
            <w:vAlign w:val="bottom"/>
          </w:tcPr>
          <w:p w14:paraId="3066939A" w14:textId="34D70CA1" w:rsidR="00AC15C2" w:rsidRDefault="00AC15C2" w:rsidP="00AC15C2">
            <w:r>
              <w:t>Нечести</w:t>
            </w:r>
          </w:p>
        </w:tc>
      </w:tr>
      <w:tr w:rsidR="00AC15C2" w14:paraId="63846A08" w14:textId="77777777" w:rsidTr="00950D00">
        <w:tc>
          <w:tcPr>
            <w:tcW w:w="3192" w:type="dxa"/>
            <w:vMerge/>
          </w:tcPr>
          <w:p w14:paraId="34F4EF01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  <w:vAlign w:val="bottom"/>
          </w:tcPr>
          <w:p w14:paraId="3381B6E1" w14:textId="390C41F3" w:rsidR="00AC15C2" w:rsidRDefault="00AC15C2" w:rsidP="00AC15C2">
            <w:r>
              <w:t xml:space="preserve">синдром на </w:t>
            </w:r>
            <w:proofErr w:type="spellStart"/>
            <w:r>
              <w:rPr>
                <w:lang w:val="en-US"/>
              </w:rPr>
              <w:t>Churg</w:t>
            </w:r>
            <w:proofErr w:type="spellEnd"/>
            <w:r w:rsidRPr="00AC15C2">
              <w:rPr>
                <w:lang w:val="ru-RU"/>
              </w:rPr>
              <w:t xml:space="preserve">- </w:t>
            </w:r>
            <w:r>
              <w:rPr>
                <w:lang w:val="en-US"/>
              </w:rPr>
              <w:t>Strauss</w:t>
            </w:r>
            <w:r w:rsidRPr="00AC15C2">
              <w:rPr>
                <w:lang w:val="ru-RU"/>
              </w:rPr>
              <w:t>(</w:t>
            </w:r>
            <w:r>
              <w:rPr>
                <w:lang w:val="en-US"/>
              </w:rPr>
              <w:t>CSS</w:t>
            </w:r>
            <w:r w:rsidRPr="00AC15C2">
              <w:rPr>
                <w:lang w:val="ru-RU"/>
              </w:rPr>
              <w:t xml:space="preserve">) </w:t>
            </w:r>
            <w:r>
              <w:t>(вж. точка 4.4)</w:t>
            </w:r>
          </w:p>
        </w:tc>
        <w:tc>
          <w:tcPr>
            <w:tcW w:w="3192" w:type="dxa"/>
          </w:tcPr>
          <w:p w14:paraId="1251B473" w14:textId="264AC95E" w:rsidR="00AC15C2" w:rsidRDefault="00AC15C2" w:rsidP="00AC15C2">
            <w:r>
              <w:t>Много редки</w:t>
            </w:r>
          </w:p>
        </w:tc>
      </w:tr>
      <w:tr w:rsidR="00AC15C2" w14:paraId="1C7B2DF1" w14:textId="77777777" w:rsidTr="00950D00">
        <w:tc>
          <w:tcPr>
            <w:tcW w:w="3192" w:type="dxa"/>
            <w:vMerge/>
          </w:tcPr>
          <w:p w14:paraId="69E48EF8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  <w:vAlign w:val="bottom"/>
          </w:tcPr>
          <w:p w14:paraId="004DA6AD" w14:textId="1E1BD692" w:rsidR="00AC15C2" w:rsidRDefault="00AC15C2" w:rsidP="00AC15C2">
            <w:r>
              <w:t>белодробна еозинофилия</w:t>
            </w:r>
          </w:p>
        </w:tc>
        <w:tc>
          <w:tcPr>
            <w:tcW w:w="3192" w:type="dxa"/>
            <w:vAlign w:val="bottom"/>
          </w:tcPr>
          <w:p w14:paraId="3DFFE183" w14:textId="2D035417" w:rsidR="00AC15C2" w:rsidRDefault="00AC15C2" w:rsidP="00AC15C2">
            <w:r>
              <w:t>Много редки</w:t>
            </w:r>
          </w:p>
        </w:tc>
      </w:tr>
      <w:tr w:rsidR="00AC15C2" w14:paraId="62A801C6" w14:textId="77777777" w:rsidTr="00950D00">
        <w:tc>
          <w:tcPr>
            <w:tcW w:w="3192" w:type="dxa"/>
            <w:vMerge w:val="restart"/>
          </w:tcPr>
          <w:p w14:paraId="3C9E4620" w14:textId="73BDC0E8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Стомашно-чревни нарушения</w:t>
            </w:r>
          </w:p>
        </w:tc>
        <w:tc>
          <w:tcPr>
            <w:tcW w:w="3192" w:type="dxa"/>
            <w:vAlign w:val="bottom"/>
          </w:tcPr>
          <w:p w14:paraId="1EF50FB8" w14:textId="519E7A38" w:rsidR="00AC15C2" w:rsidRDefault="00AC15C2" w:rsidP="00AC15C2">
            <w:r>
              <w:t>диария</w:t>
            </w:r>
            <w:r>
              <w:rPr>
                <w:vertAlign w:val="superscript"/>
              </w:rPr>
              <w:t>++</w:t>
            </w:r>
            <w:r>
              <w:t>, гадене</w:t>
            </w:r>
            <w:r>
              <w:rPr>
                <w:vertAlign w:val="superscript"/>
              </w:rPr>
              <w:t>++</w:t>
            </w:r>
            <w:r>
              <w:t>, повръщане</w:t>
            </w:r>
            <w:r>
              <w:rPr>
                <w:vertAlign w:val="superscript"/>
              </w:rPr>
              <w:t>++</w:t>
            </w:r>
          </w:p>
        </w:tc>
        <w:tc>
          <w:tcPr>
            <w:tcW w:w="3192" w:type="dxa"/>
          </w:tcPr>
          <w:p w14:paraId="3A68D45F" w14:textId="47C38C96" w:rsidR="00AC15C2" w:rsidRDefault="00AC15C2" w:rsidP="00AC15C2">
            <w:r>
              <w:t>Чести</w:t>
            </w:r>
          </w:p>
        </w:tc>
      </w:tr>
      <w:tr w:rsidR="00AC15C2" w14:paraId="38581725" w14:textId="77777777" w:rsidTr="00950D00">
        <w:tc>
          <w:tcPr>
            <w:tcW w:w="3192" w:type="dxa"/>
            <w:vMerge/>
          </w:tcPr>
          <w:p w14:paraId="6258EAC9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  <w:vAlign w:val="bottom"/>
          </w:tcPr>
          <w:p w14:paraId="08340367" w14:textId="33F532F4" w:rsidR="00AC15C2" w:rsidRDefault="00AC15C2" w:rsidP="00AC15C2">
            <w:r>
              <w:t>сухота в устата, диспепсия</w:t>
            </w:r>
          </w:p>
        </w:tc>
        <w:tc>
          <w:tcPr>
            <w:tcW w:w="3192" w:type="dxa"/>
            <w:vAlign w:val="bottom"/>
          </w:tcPr>
          <w:p w14:paraId="4E734CDA" w14:textId="60B09A06" w:rsidR="00AC15C2" w:rsidRDefault="00AC15C2" w:rsidP="00AC15C2">
            <w:r>
              <w:t>Нечести</w:t>
            </w:r>
          </w:p>
        </w:tc>
      </w:tr>
      <w:tr w:rsidR="00AC15C2" w14:paraId="2842D957" w14:textId="77777777" w:rsidTr="00C611ED">
        <w:tc>
          <w:tcPr>
            <w:tcW w:w="3192" w:type="dxa"/>
            <w:vMerge w:val="restart"/>
          </w:tcPr>
          <w:p w14:paraId="267CB904" w14:textId="5D8862D7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Хепатобилиарни нарушения</w:t>
            </w:r>
          </w:p>
        </w:tc>
        <w:tc>
          <w:tcPr>
            <w:tcW w:w="3192" w:type="dxa"/>
            <w:vAlign w:val="bottom"/>
          </w:tcPr>
          <w:p w14:paraId="5444C472" w14:textId="77777777" w:rsidR="00AC15C2" w:rsidRDefault="00AC15C2" w:rsidP="00AC15C2">
            <w:r>
              <w:t>повишени нива на</w:t>
            </w:r>
          </w:p>
          <w:p w14:paraId="19D28860" w14:textId="6D312A4B" w:rsidR="00AC15C2" w:rsidRDefault="00AC15C2" w:rsidP="00AC15C2">
            <w:r>
              <w:t xml:space="preserve">серумните трансаминази </w:t>
            </w:r>
            <w:r w:rsidRPr="00AC15C2">
              <w:rPr>
                <w:lang w:val="ru-RU"/>
              </w:rPr>
              <w:t>(</w:t>
            </w:r>
            <w:r>
              <w:rPr>
                <w:lang w:val="en-US"/>
              </w:rPr>
              <w:t>ALT</w:t>
            </w:r>
            <w:r w:rsidRPr="00AC15C2">
              <w:rPr>
                <w:lang w:val="ru-RU"/>
              </w:rPr>
              <w:t xml:space="preserve">, </w:t>
            </w:r>
            <w:r>
              <w:rPr>
                <w:lang w:val="en-US"/>
              </w:rPr>
              <w:t>AST</w:t>
            </w:r>
            <w:r w:rsidRPr="00AC15C2">
              <w:rPr>
                <w:lang w:val="ru-RU"/>
              </w:rPr>
              <w:t>)</w:t>
            </w:r>
          </w:p>
        </w:tc>
        <w:tc>
          <w:tcPr>
            <w:tcW w:w="3192" w:type="dxa"/>
          </w:tcPr>
          <w:p w14:paraId="3CC68E03" w14:textId="12307A22" w:rsidR="00AC15C2" w:rsidRDefault="00AC15C2" w:rsidP="00AC15C2">
            <w:r>
              <w:t>Чести</w:t>
            </w:r>
          </w:p>
        </w:tc>
      </w:tr>
      <w:tr w:rsidR="00AC15C2" w14:paraId="3C91A5C6" w14:textId="77777777" w:rsidTr="00C611ED">
        <w:tc>
          <w:tcPr>
            <w:tcW w:w="3192" w:type="dxa"/>
            <w:vMerge/>
          </w:tcPr>
          <w:p w14:paraId="2798A6B0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  <w:vAlign w:val="bottom"/>
          </w:tcPr>
          <w:p w14:paraId="263F7DBD" w14:textId="68CA19A1" w:rsidR="00AC15C2" w:rsidRDefault="00AC15C2" w:rsidP="00AC15C2">
            <w:r>
              <w:t>хепатит (включително холестатичен, хепатоцелуларен и смесена форма на увреждане на черния дроб).</w:t>
            </w:r>
          </w:p>
        </w:tc>
        <w:tc>
          <w:tcPr>
            <w:tcW w:w="3192" w:type="dxa"/>
            <w:vAlign w:val="bottom"/>
          </w:tcPr>
          <w:p w14:paraId="6CC7804B" w14:textId="2C4626EE" w:rsidR="00AC15C2" w:rsidRDefault="00AC15C2" w:rsidP="00AC15C2">
            <w:r>
              <w:t>Много редки</w:t>
            </w:r>
          </w:p>
        </w:tc>
      </w:tr>
      <w:tr w:rsidR="00AC15C2" w14:paraId="3B2BB643" w14:textId="77777777" w:rsidTr="00C611ED">
        <w:tc>
          <w:tcPr>
            <w:tcW w:w="3192" w:type="dxa"/>
            <w:vMerge w:val="restart"/>
          </w:tcPr>
          <w:p w14:paraId="3A915F64" w14:textId="1A505274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Нарушения на кожата и подкожната тъкан</w:t>
            </w:r>
          </w:p>
        </w:tc>
        <w:tc>
          <w:tcPr>
            <w:tcW w:w="3192" w:type="dxa"/>
            <w:vAlign w:val="bottom"/>
          </w:tcPr>
          <w:p w14:paraId="76055D96" w14:textId="1677E564" w:rsidR="00AC15C2" w:rsidRDefault="00AC15C2" w:rsidP="00AC15C2">
            <w:r>
              <w:t>обрив</w:t>
            </w:r>
            <w:r>
              <w:rPr>
                <w:vertAlign w:val="superscript"/>
              </w:rPr>
              <w:t>++</w:t>
            </w:r>
          </w:p>
        </w:tc>
        <w:tc>
          <w:tcPr>
            <w:tcW w:w="3192" w:type="dxa"/>
            <w:vAlign w:val="bottom"/>
          </w:tcPr>
          <w:p w14:paraId="46E430AA" w14:textId="10A7D81E" w:rsidR="00AC15C2" w:rsidRDefault="00AC15C2" w:rsidP="00AC15C2">
            <w:r>
              <w:t>Чести</w:t>
            </w:r>
          </w:p>
        </w:tc>
      </w:tr>
      <w:tr w:rsidR="00AC15C2" w14:paraId="068BCDEE" w14:textId="77777777" w:rsidTr="00AC15C2">
        <w:tc>
          <w:tcPr>
            <w:tcW w:w="3192" w:type="dxa"/>
            <w:vMerge/>
          </w:tcPr>
          <w:p w14:paraId="16FBED47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59CA7477" w14:textId="5D285056" w:rsidR="00AC15C2" w:rsidRPr="00AC15C2" w:rsidRDefault="00AC15C2" w:rsidP="00AC15C2">
            <w:pPr>
              <w:rPr>
                <w:lang w:val="en-US"/>
              </w:rPr>
            </w:pPr>
            <w:r>
              <w:t>кръвонасяданс, уртикария,</w:t>
            </w:r>
            <w:r>
              <w:rPr>
                <w:lang w:val="en-US"/>
              </w:rPr>
              <w:t xml:space="preserve"> </w:t>
            </w:r>
            <w:r>
              <w:t>сърбеж</w:t>
            </w:r>
          </w:p>
        </w:tc>
        <w:tc>
          <w:tcPr>
            <w:tcW w:w="3192" w:type="dxa"/>
          </w:tcPr>
          <w:p w14:paraId="46E2D17F" w14:textId="2266294D" w:rsidR="00AC15C2" w:rsidRDefault="00AC15C2" w:rsidP="00AC15C2">
            <w:r>
              <w:t>Нечести</w:t>
            </w:r>
          </w:p>
        </w:tc>
      </w:tr>
      <w:tr w:rsidR="00AC15C2" w14:paraId="283317C9" w14:textId="77777777" w:rsidTr="00AC15C2">
        <w:tc>
          <w:tcPr>
            <w:tcW w:w="3192" w:type="dxa"/>
            <w:vMerge/>
          </w:tcPr>
          <w:p w14:paraId="3C67E04E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7814D6B1" w14:textId="33D102F6" w:rsidR="00AC15C2" w:rsidRDefault="00AC15C2" w:rsidP="00AC15C2">
            <w:r>
              <w:t>ангиоедем</w:t>
            </w:r>
          </w:p>
        </w:tc>
        <w:tc>
          <w:tcPr>
            <w:tcW w:w="3192" w:type="dxa"/>
          </w:tcPr>
          <w:p w14:paraId="527D33A5" w14:textId="746B6C1C" w:rsidR="00AC15C2" w:rsidRDefault="00AC15C2" w:rsidP="00AC15C2">
            <w:r>
              <w:t>Редки</w:t>
            </w:r>
          </w:p>
        </w:tc>
      </w:tr>
      <w:tr w:rsidR="00AC15C2" w14:paraId="75B1FD37" w14:textId="77777777" w:rsidTr="00AC15C2">
        <w:tc>
          <w:tcPr>
            <w:tcW w:w="3192" w:type="dxa"/>
            <w:vMerge/>
          </w:tcPr>
          <w:p w14:paraId="4B244180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48F1B047" w14:textId="581F58B8" w:rsidR="00AC15C2" w:rsidRDefault="00AC15C2" w:rsidP="00AC15C2">
            <w:r>
              <w:t>еритема нодозум, еритема мултиформе</w:t>
            </w:r>
          </w:p>
        </w:tc>
        <w:tc>
          <w:tcPr>
            <w:tcW w:w="3192" w:type="dxa"/>
          </w:tcPr>
          <w:p w14:paraId="7B047964" w14:textId="459B7012" w:rsidR="00AC15C2" w:rsidRDefault="00AC15C2" w:rsidP="00AC15C2">
            <w:r>
              <w:t>Много редки</w:t>
            </w:r>
          </w:p>
        </w:tc>
      </w:tr>
      <w:tr w:rsidR="00AC15C2" w14:paraId="7F5E2E62" w14:textId="77777777" w:rsidTr="00AC15C2">
        <w:tc>
          <w:tcPr>
            <w:tcW w:w="3192" w:type="dxa"/>
          </w:tcPr>
          <w:p w14:paraId="484C2BFA" w14:textId="17842808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92" w:type="dxa"/>
          </w:tcPr>
          <w:p w14:paraId="2D3FFF8C" w14:textId="44007739" w:rsidR="00AC15C2" w:rsidRDefault="00AC15C2" w:rsidP="00AC15C2">
            <w:r>
              <w:t>артралгия, миалгия, включително мускулни крампи</w:t>
            </w:r>
          </w:p>
        </w:tc>
        <w:tc>
          <w:tcPr>
            <w:tcW w:w="3192" w:type="dxa"/>
          </w:tcPr>
          <w:p w14:paraId="0B3B5CA7" w14:textId="60EAA803" w:rsidR="00AC15C2" w:rsidRDefault="00AC15C2" w:rsidP="00AC15C2">
            <w:r>
              <w:t>Нечести</w:t>
            </w:r>
          </w:p>
        </w:tc>
      </w:tr>
      <w:tr w:rsidR="00AC15C2" w14:paraId="25C6E07F" w14:textId="77777777" w:rsidTr="00AC15C2">
        <w:tc>
          <w:tcPr>
            <w:tcW w:w="3192" w:type="dxa"/>
            <w:vMerge w:val="restart"/>
          </w:tcPr>
          <w:p w14:paraId="5B265CE3" w14:textId="253C60EB" w:rsidR="00AC15C2" w:rsidRPr="00AC15C2" w:rsidRDefault="00AC15C2" w:rsidP="00AC15C2">
            <w:pPr>
              <w:rPr>
                <w:rFonts w:cs="Arial"/>
              </w:rPr>
            </w:pPr>
            <w:r w:rsidRPr="00AC15C2">
              <w:rPr>
                <w:rFonts w:cs="Arial"/>
              </w:rP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69C650E5" w14:textId="185EEB72" w:rsidR="00AC15C2" w:rsidRDefault="00AC15C2" w:rsidP="00AC15C2">
            <w:r>
              <w:t>треска</w:t>
            </w:r>
            <w:r>
              <w:rPr>
                <w:vertAlign w:val="superscript"/>
              </w:rPr>
              <w:t>++</w:t>
            </w:r>
          </w:p>
        </w:tc>
        <w:tc>
          <w:tcPr>
            <w:tcW w:w="3192" w:type="dxa"/>
          </w:tcPr>
          <w:p w14:paraId="781A58A0" w14:textId="0C7B2040" w:rsidR="00AC15C2" w:rsidRDefault="00AC15C2" w:rsidP="00AC15C2">
            <w:r>
              <w:t>Чести</w:t>
            </w:r>
          </w:p>
        </w:tc>
      </w:tr>
      <w:tr w:rsidR="00AC15C2" w14:paraId="318407A9" w14:textId="77777777" w:rsidTr="00AC15C2">
        <w:tc>
          <w:tcPr>
            <w:tcW w:w="3192" w:type="dxa"/>
            <w:vMerge/>
          </w:tcPr>
          <w:p w14:paraId="599F310A" w14:textId="77777777" w:rsidR="00AC15C2" w:rsidRPr="00AC15C2" w:rsidRDefault="00AC15C2" w:rsidP="00AC15C2">
            <w:pPr>
              <w:rPr>
                <w:rFonts w:cs="Arial"/>
              </w:rPr>
            </w:pPr>
          </w:p>
        </w:tc>
        <w:tc>
          <w:tcPr>
            <w:tcW w:w="3192" w:type="dxa"/>
          </w:tcPr>
          <w:p w14:paraId="4B2942B8" w14:textId="6A90F4B0" w:rsidR="00AC15C2" w:rsidRDefault="00AC15C2" w:rsidP="00AC15C2">
            <w:r>
              <w:t>Астсния / умора, неразположение, оток</w:t>
            </w:r>
          </w:p>
        </w:tc>
        <w:tc>
          <w:tcPr>
            <w:tcW w:w="3192" w:type="dxa"/>
          </w:tcPr>
          <w:p w14:paraId="08F170E0" w14:textId="5608020A" w:rsidR="00AC15C2" w:rsidRDefault="00AC15C2" w:rsidP="00AC15C2">
            <w:r>
              <w:t>Нечести</w:t>
            </w:r>
          </w:p>
        </w:tc>
      </w:tr>
      <w:tr w:rsidR="00AC15C2" w14:paraId="1C86144B" w14:textId="77777777" w:rsidTr="00E45371">
        <w:tc>
          <w:tcPr>
            <w:tcW w:w="9576" w:type="dxa"/>
            <w:gridSpan w:val="3"/>
          </w:tcPr>
          <w:p w14:paraId="3C6667E3" w14:textId="77777777" w:rsidR="00AC15C2" w:rsidRPr="00AC15C2" w:rsidRDefault="00AC15C2" w:rsidP="00AC15C2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AC15C2">
              <w:rPr>
                <w:rFonts w:eastAsia="Times New Roman" w:cs="Arial"/>
                <w:color w:val="000000"/>
                <w:lang w:eastAsia="bg-BG"/>
              </w:rPr>
              <w:t>* Категория честота: определена за всяка нежелана реакция според честотата в базата данни съобщена по време на клиничните изпитвания: много чести (≥ 1/10), чести (≥ 1/100 до &lt;1/10), нечести (≥1/1000 до &lt;1/100), редки (≥ 1/10 000 до &lt;1/1000), много редки (&lt;1/10 000).</w:t>
            </w:r>
          </w:p>
          <w:p w14:paraId="3FAC35BF" w14:textId="77777777" w:rsidR="00AC15C2" w:rsidRPr="00AC15C2" w:rsidRDefault="00AC15C2" w:rsidP="00AC15C2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AC15C2">
              <w:rPr>
                <w:rFonts w:eastAsia="Times New Roman" w:cs="Arial"/>
                <w:color w:val="000000"/>
                <w:vertAlign w:val="superscript"/>
                <w:lang w:eastAsia="bg-BG"/>
              </w:rPr>
              <w:t>+</w:t>
            </w:r>
            <w:r w:rsidRPr="00AC15C2">
              <w:rPr>
                <w:rFonts w:eastAsia="Times New Roman" w:cs="Arial"/>
                <w:color w:val="000000"/>
                <w:lang w:eastAsia="bg-BG"/>
              </w:rPr>
              <w:t>Тази нежелана лекарствена реакция, съобщена като много честа при пациентите, приемали монтелукаст, се съобщава също като много честа при пациентите, приемали плацебо в клинични изпитвания.</w:t>
            </w:r>
          </w:p>
          <w:p w14:paraId="288BF6C1" w14:textId="644BD533" w:rsidR="00AC15C2" w:rsidRPr="00AC15C2" w:rsidRDefault="00AC15C2" w:rsidP="00AC15C2">
            <w:p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AC15C2">
              <w:rPr>
                <w:rFonts w:eastAsia="Times New Roman" w:cs="Arial"/>
                <w:color w:val="000000"/>
                <w:vertAlign w:val="superscript"/>
                <w:lang w:val="ru-RU"/>
              </w:rPr>
              <w:t xml:space="preserve">++ </w:t>
            </w:r>
            <w:r w:rsidRPr="00AC15C2">
              <w:rPr>
                <w:rFonts w:eastAsia="Times New Roman" w:cs="Arial"/>
                <w:color w:val="000000"/>
                <w:lang w:eastAsia="bg-BG"/>
              </w:rPr>
              <w:t xml:space="preserve">Тази нежелана лекарствена реакция, докладвана като честа при пациентите, приемали монтелукаст, също се съобщава като честа при пациентите, приемали плацебо в клинични изпитвания </w:t>
            </w:r>
            <w:r w:rsidRPr="00AC15C2">
              <w:rPr>
                <w:rFonts w:eastAsia="Times New Roman" w:cs="Arial"/>
                <w:color w:val="000000"/>
                <w:vertAlign w:val="superscript"/>
                <w:lang w:eastAsia="bg-BG"/>
              </w:rPr>
              <w:t>§</w:t>
            </w:r>
            <w:r w:rsidRPr="00AC15C2">
              <w:rPr>
                <w:rFonts w:eastAsia="Times New Roman" w:cs="Arial"/>
                <w:color w:val="000000"/>
                <w:lang w:eastAsia="bg-BG"/>
              </w:rPr>
              <w:t>Категория честота: редки</w:t>
            </w:r>
          </w:p>
        </w:tc>
      </w:tr>
    </w:tbl>
    <w:p w14:paraId="239AD259" w14:textId="77777777" w:rsidR="00AC15C2" w:rsidRDefault="00AC15C2" w:rsidP="00AC15C2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3EA04E21" w14:textId="4D0A6A3F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26E2274D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Дамян Груев №8, 1303 София, тел. +35928903417.</w:t>
      </w:r>
    </w:p>
    <w:p w14:paraId="7F8739B5" w14:textId="77777777" w:rsidR="00AC15C2" w:rsidRPr="00AC15C2" w:rsidRDefault="00AC15C2" w:rsidP="00AC15C2"/>
    <w:p w14:paraId="0A023CE0" w14:textId="1865AF30" w:rsidR="00CF77F7" w:rsidRDefault="002C50EE" w:rsidP="004A448E">
      <w:pPr>
        <w:pStyle w:val="Heading2"/>
      </w:pPr>
      <w:r>
        <w:t>4.9. Предозиране</w:t>
      </w:r>
    </w:p>
    <w:p w14:paraId="0FFE71FF" w14:textId="2F6807E6" w:rsidR="00AC15C2" w:rsidRDefault="00AC15C2" w:rsidP="00AC15C2"/>
    <w:p w14:paraId="0622F595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При изпитвания за хронична астма, монтелукаст е прилаган в дози до 200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eastAsia="bg-BG"/>
        </w:rPr>
        <w:t xml:space="preserve">/дневно при възрастни пациенти в продължение на 22 седмици, а при краткосрочни проучвания - до 900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eastAsia="bg-BG"/>
        </w:rPr>
        <w:t>/дневно за приблизително една седмица, без клинично значими нежелани реакции.</w:t>
      </w:r>
    </w:p>
    <w:p w14:paraId="5CCD2DFA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341BF1" w14:textId="3A39F733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Съществуват съобщения за остро предозиране по време на постмаркетинговия период и клинични изпитвания с монтелукаст. Те включват доклади за възрастни и деца с дози до 1000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(приблизително 61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kg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при 42 месечна възраст). Клиничните и лабораторни наблюдавани находки са в съответствие с профила на безопасност при възрастни и деца. В повечето от доклади за предозиране не е имало нежелани лекарствени реакции.</w:t>
      </w:r>
    </w:p>
    <w:p w14:paraId="02560CE9" w14:textId="77777777" w:rsidR="00AC15C2" w:rsidRPr="00AC15C2" w:rsidRDefault="00AC15C2" w:rsidP="00AC15C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820929E" w14:textId="0C8C6D9E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eastAsia="bg-BG"/>
        </w:rPr>
        <w:t>Симптоми на предозиране</w:t>
      </w:r>
    </w:p>
    <w:p w14:paraId="34A5755D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Най-често възниквалите нежелани реакции са в съответствие е профила на безопасност на монтелукаст и включват болка в корема, безсъние, жажда, главоболие, повръщане и психомоторна хиперактивност.</w:t>
      </w:r>
    </w:p>
    <w:p w14:paraId="3128FD5C" w14:textId="77777777" w:rsidR="00AC15C2" w:rsidRPr="00AC15C2" w:rsidRDefault="00AC15C2" w:rsidP="00AC15C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A9452F1" w14:textId="1556773C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eastAsia="bg-BG"/>
        </w:rPr>
        <w:t>Поведение при предозиране</w:t>
      </w:r>
    </w:p>
    <w:p w14:paraId="373EBF71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Няма специфична информация относно лечението на предозиране с монтелукаст.</w:t>
      </w:r>
    </w:p>
    <w:p w14:paraId="7D432E5C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Не е известно дали монтелукаст се диализира чрез перитонеална диализа или хемодиализа.</w:t>
      </w:r>
    </w:p>
    <w:p w14:paraId="4503C83D" w14:textId="77777777" w:rsidR="00AC15C2" w:rsidRPr="00AC15C2" w:rsidRDefault="00AC15C2" w:rsidP="00AC15C2"/>
    <w:p w14:paraId="02081B24" w14:textId="1F46E296" w:rsidR="00395555" w:rsidRPr="00395555" w:rsidRDefault="002C50EE" w:rsidP="008A6AF2">
      <w:pPr>
        <w:pStyle w:val="Heading1"/>
      </w:pPr>
      <w:r>
        <w:lastRenderedPageBreak/>
        <w:t>5. ФАРМАКОЛОГИЧНИ СВОЙСТВА</w:t>
      </w:r>
    </w:p>
    <w:p w14:paraId="32B6DE66" w14:textId="4F89A5AE" w:rsidR="00CF77F7" w:rsidRDefault="002C50EE" w:rsidP="004A448E">
      <w:pPr>
        <w:pStyle w:val="Heading2"/>
      </w:pPr>
      <w:r>
        <w:t>5.1. Фармакодинамични свойства</w:t>
      </w:r>
    </w:p>
    <w:p w14:paraId="6EA5E6F7" w14:textId="6D9A7B01" w:rsidR="00AC15C2" w:rsidRDefault="00AC15C2" w:rsidP="00AC15C2"/>
    <w:p w14:paraId="201343C1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C15C2">
        <w:rPr>
          <w:rFonts w:eastAsia="Times New Roman" w:cs="Arial"/>
          <w:color w:val="000000"/>
          <w:lang w:eastAsia="bg-BG"/>
        </w:rPr>
        <w:t xml:space="preserve">Фармакотерапевтична група: Антагонисти на левкотриеновия рецептор </w:t>
      </w:r>
    </w:p>
    <w:p w14:paraId="125D272D" w14:textId="1E1B0CC5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val="ru-RU"/>
        </w:rPr>
      </w:pPr>
      <w:r w:rsidRPr="00AC15C2">
        <w:rPr>
          <w:rFonts w:eastAsia="Times New Roman" w:cs="Arial"/>
          <w:color w:val="000000"/>
          <w:lang w:eastAsia="bg-BG"/>
        </w:rPr>
        <w:t xml:space="preserve">АТС код: </w:t>
      </w:r>
      <w:r w:rsidRPr="00AC15C2">
        <w:rPr>
          <w:rFonts w:eastAsia="Times New Roman" w:cs="Arial"/>
          <w:color w:val="000000"/>
          <w:lang w:val="en-US"/>
        </w:rPr>
        <w:t>R</w:t>
      </w:r>
      <w:r w:rsidRPr="00AC15C2">
        <w:rPr>
          <w:rFonts w:eastAsia="Times New Roman" w:cs="Arial"/>
          <w:color w:val="000000"/>
          <w:lang w:val="ru-RU"/>
        </w:rPr>
        <w:t>03</w:t>
      </w:r>
      <w:r w:rsidRPr="00AC15C2">
        <w:rPr>
          <w:rFonts w:eastAsia="Times New Roman" w:cs="Arial"/>
          <w:color w:val="000000"/>
          <w:lang w:val="en-US"/>
        </w:rPr>
        <w:t>DC</w:t>
      </w:r>
      <w:r w:rsidRPr="00AC15C2">
        <w:rPr>
          <w:rFonts w:eastAsia="Times New Roman" w:cs="Arial"/>
          <w:color w:val="000000"/>
          <w:lang w:val="ru-RU"/>
        </w:rPr>
        <w:t>03</w:t>
      </w:r>
    </w:p>
    <w:p w14:paraId="0EC5AA40" w14:textId="50211411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val="ru-RU"/>
        </w:rPr>
      </w:pPr>
    </w:p>
    <w:p w14:paraId="32345072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eastAsia="bg-BG"/>
        </w:rPr>
        <w:t>Механизъм на действие</w:t>
      </w:r>
    </w:p>
    <w:p w14:paraId="1BFEF3B7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Цистеинил-левкотриените </w:t>
      </w:r>
      <w:r w:rsidRPr="00AC15C2">
        <w:rPr>
          <w:rFonts w:eastAsia="Times New Roman" w:cs="Arial"/>
          <w:color w:val="000000"/>
          <w:lang w:val="ru-RU"/>
        </w:rPr>
        <w:t>(</w:t>
      </w:r>
      <w:r w:rsidRPr="00AC15C2">
        <w:rPr>
          <w:rFonts w:eastAsia="Times New Roman" w:cs="Arial"/>
          <w:color w:val="000000"/>
          <w:lang w:val="en-US"/>
        </w:rPr>
        <w:t>LTC</w:t>
      </w:r>
      <w:r w:rsidRPr="00AC15C2">
        <w:rPr>
          <w:rFonts w:eastAsia="Times New Roman" w:cs="Arial"/>
          <w:color w:val="000000"/>
          <w:lang w:val="ru-RU"/>
        </w:rPr>
        <w:t xml:space="preserve">4, </w:t>
      </w:r>
      <w:r w:rsidRPr="00AC15C2">
        <w:rPr>
          <w:rFonts w:eastAsia="Times New Roman" w:cs="Arial"/>
          <w:color w:val="000000"/>
          <w:lang w:val="en-US"/>
        </w:rPr>
        <w:t>LTD</w:t>
      </w:r>
      <w:r w:rsidRPr="00AC15C2">
        <w:rPr>
          <w:rFonts w:eastAsia="Times New Roman" w:cs="Arial"/>
          <w:color w:val="000000"/>
          <w:lang w:val="ru-RU"/>
        </w:rPr>
        <w:t xml:space="preserve">4, </w:t>
      </w:r>
      <w:r w:rsidRPr="00AC15C2">
        <w:rPr>
          <w:rFonts w:eastAsia="Times New Roman" w:cs="Arial"/>
          <w:color w:val="000000"/>
          <w:lang w:val="en-US"/>
        </w:rPr>
        <w:t>LTE</w:t>
      </w:r>
      <w:r w:rsidRPr="00AC15C2">
        <w:rPr>
          <w:rFonts w:eastAsia="Times New Roman" w:cs="Arial"/>
          <w:color w:val="000000"/>
          <w:lang w:val="ru-RU"/>
        </w:rPr>
        <w:t xml:space="preserve">4) </w:t>
      </w:r>
      <w:r w:rsidRPr="00AC15C2">
        <w:rPr>
          <w:rFonts w:eastAsia="Times New Roman" w:cs="Arial"/>
          <w:color w:val="000000"/>
          <w:lang w:eastAsia="bg-BG"/>
        </w:rPr>
        <w:t xml:space="preserve">са мощни възпалителни ейкозаноиди, освобождавани от различни клетки, включително мастоцити и еозинофили. Тези важни про- астматични медиатори се свързват с цистеинил - левкотриенови </w:t>
      </w:r>
      <w:r w:rsidRPr="00AC15C2">
        <w:rPr>
          <w:rFonts w:eastAsia="Times New Roman" w:cs="Arial"/>
          <w:color w:val="000000"/>
        </w:rPr>
        <w:t>(</w:t>
      </w:r>
      <w:proofErr w:type="spellStart"/>
      <w:r w:rsidRPr="00AC15C2">
        <w:rPr>
          <w:rFonts w:eastAsia="Times New Roman" w:cs="Arial"/>
          <w:color w:val="000000"/>
          <w:lang w:val="en-US"/>
        </w:rPr>
        <w:t>CysLT</w:t>
      </w:r>
      <w:proofErr w:type="spellEnd"/>
      <w:r w:rsidRPr="00AC15C2">
        <w:rPr>
          <w:rFonts w:eastAsia="Times New Roman" w:cs="Arial"/>
          <w:color w:val="000000"/>
        </w:rPr>
        <w:t xml:space="preserve">) </w:t>
      </w:r>
      <w:r w:rsidRPr="00AC15C2">
        <w:rPr>
          <w:rFonts w:eastAsia="Times New Roman" w:cs="Arial"/>
          <w:color w:val="000000"/>
          <w:lang w:eastAsia="bg-BG"/>
        </w:rPr>
        <w:t>рецептори, които се намират във въздухоносните пътища на човека и причиняват реакции на въздухоносните пътища, включващи бронхоконстрикция, лигавична секреция, съдова пропускливост и еозинофилно въвличане.</w:t>
      </w:r>
    </w:p>
    <w:p w14:paraId="28FC411A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1ED88634" w14:textId="4EAEF510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AC15C2">
        <w:rPr>
          <w:rFonts w:eastAsia="Times New Roman" w:cs="Arial"/>
          <w:color w:val="000000"/>
          <w:lang w:val="en-US"/>
        </w:rPr>
        <w:t>CysLT</w:t>
      </w:r>
      <w:proofErr w:type="spellEnd"/>
      <w:r w:rsidRPr="00AC15C2">
        <w:rPr>
          <w:rFonts w:eastAsia="Times New Roman" w:cs="Arial"/>
          <w:color w:val="000000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тип 1 </w:t>
      </w:r>
      <w:r w:rsidRPr="00AC15C2">
        <w:rPr>
          <w:rFonts w:eastAsia="Times New Roman" w:cs="Arial"/>
          <w:color w:val="000000"/>
        </w:rPr>
        <w:t>(</w:t>
      </w:r>
      <w:proofErr w:type="spellStart"/>
      <w:r w:rsidRPr="00AC15C2">
        <w:rPr>
          <w:rFonts w:eastAsia="Times New Roman" w:cs="Arial"/>
          <w:color w:val="000000"/>
          <w:lang w:val="en-US"/>
        </w:rPr>
        <w:t>CysLT</w:t>
      </w:r>
      <w:proofErr w:type="spellEnd"/>
      <w:r w:rsidRPr="00AC15C2">
        <w:rPr>
          <w:rFonts w:eastAsia="Times New Roman" w:cs="Arial"/>
          <w:color w:val="000000"/>
          <w:vertAlign w:val="subscript"/>
        </w:rPr>
        <w:t>1</w:t>
      </w:r>
      <w:r w:rsidRPr="00AC15C2">
        <w:rPr>
          <w:rFonts w:eastAsia="Times New Roman" w:cs="Arial"/>
          <w:color w:val="000000"/>
        </w:rPr>
        <w:t xml:space="preserve">) </w:t>
      </w:r>
      <w:r w:rsidRPr="00AC15C2">
        <w:rPr>
          <w:rFonts w:eastAsia="Times New Roman" w:cs="Arial"/>
          <w:color w:val="000000"/>
          <w:lang w:eastAsia="bg-BG"/>
        </w:rPr>
        <w:t xml:space="preserve">рецепторът е разположен в дихателните пътища при човека (включително гладката мускулатура на дихателните пътища и макрофагите) и върху други про- инфламаторни клетки (включително еозинофили и някои типове миелоидни стволови клетки). </w:t>
      </w:r>
      <w:proofErr w:type="spellStart"/>
      <w:r w:rsidRPr="00AC15C2">
        <w:rPr>
          <w:rFonts w:eastAsia="Times New Roman" w:cs="Arial"/>
          <w:color w:val="000000"/>
          <w:lang w:val="en-US"/>
        </w:rPr>
        <w:t>CysLT</w:t>
      </w:r>
      <w:proofErr w:type="spellEnd"/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са свързани с патофизиологията на астмата и алергичния ринит. При астма медиираните от левкотриените ефекти включват бронхоспазъм, лигавична секреция, васкуларен пермеабилитет и струпване на еозинофили.</w:t>
      </w:r>
    </w:p>
    <w:p w14:paraId="73A140BE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При алергичния ринит цистенил-левкотриените се отделят от носната лигавица след алергенно излагане по време на реакциите както на ранната, така и на късната фаза, и се свързват със симптомите на алергичния ринит. Интраназалната интервенция с цистенид-левкотриените показва завишаване на резистентността на назалния дихателен път и симптоми на назална обструкция.</w:t>
      </w:r>
    </w:p>
    <w:p w14:paraId="54DE1657" w14:textId="77777777" w:rsidR="00AC15C2" w:rsidRPr="00AC15C2" w:rsidRDefault="00AC15C2" w:rsidP="00AC15C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C3DC0A6" w14:textId="705A5790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eastAsia="bg-BG"/>
        </w:rPr>
        <w:t>Фармакодинамични ефекти</w:t>
      </w:r>
    </w:p>
    <w:p w14:paraId="38144B17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Монтелукаст е перорално активно вещество, което се свързва с висок афинитет и селективност с </w:t>
      </w:r>
      <w:proofErr w:type="spellStart"/>
      <w:r w:rsidRPr="00AC15C2">
        <w:rPr>
          <w:rFonts w:eastAsia="Times New Roman" w:cs="Arial"/>
          <w:color w:val="000000"/>
          <w:lang w:val="en-US"/>
        </w:rPr>
        <w:t>CysLT</w:t>
      </w:r>
      <w:proofErr w:type="spellEnd"/>
      <w:r w:rsidRPr="00AC15C2">
        <w:rPr>
          <w:rFonts w:eastAsia="Times New Roman" w:cs="Arial"/>
          <w:color w:val="000000"/>
          <w:vertAlign w:val="subscript"/>
          <w:lang w:val="ru-RU"/>
        </w:rPr>
        <w:t>1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рецептора. В клинични изпитвания, Монтелукаст инхибира бронхоконстрикцията, дължаща се на инхалиран </w:t>
      </w:r>
      <w:r w:rsidRPr="00AC15C2">
        <w:rPr>
          <w:rFonts w:eastAsia="Times New Roman" w:cs="Arial"/>
          <w:color w:val="000000"/>
          <w:lang w:val="en-US"/>
        </w:rPr>
        <w:t>LTD</w:t>
      </w:r>
      <w:r w:rsidRPr="00AC15C2">
        <w:rPr>
          <w:rFonts w:eastAsia="Times New Roman" w:cs="Arial"/>
          <w:color w:val="000000"/>
          <w:lang w:val="ru-RU"/>
        </w:rPr>
        <w:t xml:space="preserve">4 </w:t>
      </w:r>
      <w:r w:rsidRPr="00AC15C2">
        <w:rPr>
          <w:rFonts w:eastAsia="Times New Roman" w:cs="Arial"/>
          <w:color w:val="000000"/>
          <w:lang w:eastAsia="bg-BG"/>
        </w:rPr>
        <w:t xml:space="preserve">при дози по-ниски от 5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. </w:t>
      </w:r>
      <w:r w:rsidRPr="00AC15C2">
        <w:rPr>
          <w:rFonts w:eastAsia="Times New Roman" w:cs="Arial"/>
          <w:color w:val="000000"/>
          <w:lang w:eastAsia="bg-BG"/>
        </w:rPr>
        <w:t>Бронходилатацията се наблюдава в рамките на 2 часа от пероралния прием. Бронходилатацията, предизвикана от р-агонисти е адитивна към тази предизвикана от монтелукаст. Лечението с монтелукаст повлиява както ранната, така и късната фаза на бронхоконстрикцията, дължащ се на антигенна заплаха. Монтелукаст, сравнен с плацебо, намалява еозинофилите в периферната кръв на възрастни и деца. В отделно изпитване, лечението с монтелукаст значимо намалява еозинофилите във въздухоносните пътища (измерено в храчката).</w:t>
      </w:r>
    </w:p>
    <w:p w14:paraId="4C70341F" w14:textId="77777777" w:rsidR="00AC15C2" w:rsidRPr="00AC15C2" w:rsidRDefault="00AC15C2" w:rsidP="00AC15C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D918054" w14:textId="670BD82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i/>
          <w:iCs/>
          <w:color w:val="000000"/>
          <w:lang w:eastAsia="bg-BG"/>
        </w:rPr>
        <w:t>Клинична ефикасност и безопасност</w:t>
      </w:r>
    </w:p>
    <w:p w14:paraId="51F50196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В изпитвания при възрастни, монтелукаст,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веднъж дневно, сравнен с плацебо, показва значително подобрение в сутрешния ФЕО1 (10,4 % спрямо 2,7 % промяна спрямо изходните стойности), АМ скорост на пиковия експираторен поток </w:t>
      </w:r>
      <w:r w:rsidRPr="00AC15C2">
        <w:rPr>
          <w:rFonts w:eastAsia="Times New Roman" w:cs="Arial"/>
          <w:color w:val="000000"/>
          <w:lang w:val="ru-RU"/>
        </w:rPr>
        <w:t>(</w:t>
      </w:r>
      <w:r w:rsidRPr="00AC15C2">
        <w:rPr>
          <w:rFonts w:eastAsia="Times New Roman" w:cs="Arial"/>
          <w:color w:val="000000"/>
          <w:lang w:val="en-US"/>
        </w:rPr>
        <w:t>PEFR</w:t>
      </w:r>
      <w:r w:rsidRPr="00AC15C2">
        <w:rPr>
          <w:rFonts w:eastAsia="Times New Roman" w:cs="Arial"/>
          <w:color w:val="000000"/>
          <w:lang w:val="ru-RU"/>
        </w:rPr>
        <w:t xml:space="preserve">) </w:t>
      </w:r>
      <w:r w:rsidRPr="00AC15C2">
        <w:rPr>
          <w:rFonts w:eastAsia="Times New Roman" w:cs="Arial"/>
          <w:color w:val="000000"/>
          <w:lang w:eastAsia="bg-BG"/>
        </w:rPr>
        <w:t xml:space="preserve">(24,5 </w:t>
      </w:r>
      <w:r w:rsidRPr="00AC15C2">
        <w:rPr>
          <w:rFonts w:eastAsia="Times New Roman" w:cs="Arial"/>
          <w:color w:val="000000"/>
          <w:lang w:val="en-US"/>
        </w:rPr>
        <w:t>L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min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спрямо 3,3 </w:t>
      </w:r>
      <w:r w:rsidRPr="00AC15C2">
        <w:rPr>
          <w:rFonts w:eastAsia="Times New Roman" w:cs="Arial"/>
          <w:color w:val="000000"/>
          <w:lang w:val="en-US"/>
        </w:rPr>
        <w:t>L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min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промяна спрямо изходните стойности) и значително понижава общата употреба на р-агонист (- 26,1 % спрямо -4,6 % промяна спрямо изходните стойности). Подобрението на докладвания брой от пациентите дневни и нощни астматични симптоми е значително по-добро спрямо плацебо.</w:t>
      </w:r>
    </w:p>
    <w:p w14:paraId="3188D9AF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4AC710" w14:textId="078C6EF1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Изпитвания при пациенти показват способността на монтелукаст да допълва клиничния ефект на инхалационния кортикостероид (% промяна спрямо изходните стойности за инхалационен беклометазон плюс монтелукаст срещу беклометазон, съответно за ФЕО1: </w:t>
      </w:r>
      <w:r w:rsidRPr="00AC15C2">
        <w:rPr>
          <w:rFonts w:eastAsia="Times New Roman" w:cs="Arial"/>
          <w:color w:val="000000"/>
          <w:lang w:eastAsia="bg-BG"/>
        </w:rPr>
        <w:lastRenderedPageBreak/>
        <w:t>5,43 % спрямо 1,04 %; употреба на β-агонист: -8,70 % спрямо 2,64 %). В сравнение с инхалационен беклометазон (200 μ</w:t>
      </w:r>
      <w:r w:rsidRPr="00AC15C2">
        <w:rPr>
          <w:rFonts w:eastAsia="Times New Roman" w:cs="Arial"/>
          <w:color w:val="000000"/>
          <w:lang w:val="en-US"/>
        </w:rPr>
        <w:t>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два пъти дневно с устройство за впръскване), монтелукаст показва по-бърз начален отговор, въпреки че след 12-седмично изпитване, беклометазон постига по-висок среден клиничен отговор (% промяна спрямо изходните стойности за монтелукаст срещу </w:t>
      </w:r>
      <w:proofErr w:type="spellStart"/>
      <w:r w:rsidRPr="00AC15C2">
        <w:rPr>
          <w:rFonts w:eastAsia="Times New Roman" w:cs="Arial"/>
          <w:color w:val="000000"/>
          <w:lang w:val="en-US"/>
        </w:rPr>
        <w:t>beclomethasone</w:t>
      </w:r>
      <w:proofErr w:type="spellEnd"/>
      <w:r w:rsidRPr="00AC15C2">
        <w:rPr>
          <w:rFonts w:eastAsia="Times New Roman" w:cs="Arial"/>
          <w:color w:val="000000"/>
          <w:lang w:val="ru-RU"/>
        </w:rPr>
        <w:t xml:space="preserve">, </w:t>
      </w:r>
      <w:r w:rsidRPr="00AC15C2">
        <w:rPr>
          <w:rFonts w:eastAsia="Times New Roman" w:cs="Arial"/>
          <w:color w:val="000000"/>
          <w:lang w:eastAsia="bg-BG"/>
        </w:rPr>
        <w:t>респективно за ФЕО1: 7,49 % спрямо 13,3 %; употреба на р-агонист: -28,28 % спрямо -43,89 %). Въпреки това, сравнен с беклометазон, висок процент пациенти, лекувани с беклометазон постигат подобен клиничен отговор (напр. 50 % от пациентите лекувани с беклометазон постигат подобрение на ФЕО1 от приблизително 11 % или повече от и</w:t>
      </w:r>
      <w:r w:rsidRPr="00AC15C2">
        <w:rPr>
          <w:rFonts w:eastAsia="Times New Roman" w:cs="Arial"/>
          <w:color w:val="000000"/>
          <w:u w:val="single"/>
          <w:lang w:eastAsia="bg-BG"/>
        </w:rPr>
        <w:t>зходнит</w:t>
      </w:r>
      <w:r w:rsidRPr="00AC15C2">
        <w:rPr>
          <w:rFonts w:eastAsia="Times New Roman" w:cs="Arial"/>
          <w:color w:val="000000"/>
          <w:lang w:eastAsia="bg-BG"/>
        </w:rPr>
        <w:t>е докато приблизително 42 % от пациентите лекувани с монтелукаст постигат</w:t>
      </w:r>
    </w:p>
    <w:p w14:paraId="18DEFB26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C3760C" w14:textId="6A13E903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Беше направено клинично изследване на монтелукаст за ефекта му при симптоматично лечение на сезонен алергичен ринит във възрастни и юноши с астма на възраст на и над 15 години</w:t>
      </w:r>
    </w:p>
    <w:p w14:paraId="0454DDC6" w14:textId="77777777" w:rsidR="00AC15C2" w:rsidRPr="00AC15C2" w:rsidRDefault="00AC15C2" w:rsidP="00AC15C2">
      <w:pPr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които имат съпътстващ сезонен алергичен ринит. При това изследване с прилагне на една</w:t>
      </w:r>
      <w:r w:rsidRPr="00AC15C2">
        <w:rPr>
          <w:rFonts w:eastAsia="Times New Roman" w:cs="Arial"/>
          <w:color w:val="000000"/>
          <w:lang w:val="ru-RU" w:eastAsia="bg-BG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таблетка от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дневно, резултатите показват статистическо значимо намаляване на дневните симптоми на ринит в сравнение с лечението с плацебо. Дневните ринитни симптоми са средните на дневните назални симптоми (назална конгестия, ринорея, кихане, сърбеж в носа) и нощните назални симптоми (назална конгестия при ставане, трудно заспиване, събуждане през нощта). Глобалните оценки за алергичен ринит от пациенти и лекари са значително по-добри от тези с плацебо. Оценката на ефикасността за астмата не беше първостепенна цел на това изследване.</w:t>
      </w:r>
    </w:p>
    <w:p w14:paraId="6D89ECF5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CCA1D0" w14:textId="30093D85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В 8-седмично изпитване при педиатрични пациенти от 6 до 14 годишна възраст, монтелукаст 5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веднъж дневно, сравнен с плацебо, значително подобрява респираторната функция (ФЕО1 8,71 % спрямо 4,16 % промяна спрямо изходните стойности; </w:t>
      </w:r>
      <w:r w:rsidRPr="00AC15C2">
        <w:rPr>
          <w:rFonts w:eastAsia="Times New Roman" w:cs="Arial"/>
          <w:color w:val="000000"/>
          <w:lang w:val="en-US"/>
        </w:rPr>
        <w:t>AM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val="en-US"/>
        </w:rPr>
        <w:t>PEFR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27,9 </w:t>
      </w:r>
      <w:r w:rsidRPr="00AC15C2">
        <w:rPr>
          <w:rFonts w:eastAsia="Times New Roman" w:cs="Arial"/>
          <w:color w:val="000000"/>
          <w:lang w:val="en-US"/>
        </w:rPr>
        <w:t>L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min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спрямо 17,8 </w:t>
      </w:r>
      <w:r w:rsidRPr="00AC15C2">
        <w:rPr>
          <w:rFonts w:eastAsia="Times New Roman" w:cs="Arial"/>
          <w:color w:val="000000"/>
          <w:lang w:val="en-US"/>
        </w:rPr>
        <w:t>L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min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промяна спрямо изходните стойности) и намалява нуждата от използване на бета- агонисти при нужда (-11,7 % спрямо + 8,2 % промяна спрямо изходните стойности).</w:t>
      </w:r>
    </w:p>
    <w:p w14:paraId="7EE19B21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687AD6" w14:textId="273A33CA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Значително намаление на индуцираната от усилие бронхоконстрикция </w:t>
      </w:r>
      <w:r w:rsidRPr="00AC15C2">
        <w:rPr>
          <w:rFonts w:eastAsia="Times New Roman" w:cs="Arial"/>
          <w:color w:val="000000"/>
          <w:lang w:val="ru-RU"/>
        </w:rPr>
        <w:t>(</w:t>
      </w:r>
      <w:r w:rsidRPr="00AC15C2">
        <w:rPr>
          <w:rFonts w:eastAsia="Times New Roman" w:cs="Arial"/>
          <w:color w:val="000000"/>
          <w:lang w:val="en-US"/>
        </w:rPr>
        <w:t>EIB</w:t>
      </w:r>
      <w:r w:rsidRPr="00AC15C2">
        <w:rPr>
          <w:rFonts w:eastAsia="Times New Roman" w:cs="Arial"/>
          <w:color w:val="000000"/>
          <w:lang w:val="ru-RU"/>
        </w:rPr>
        <w:t xml:space="preserve">) </w:t>
      </w:r>
      <w:r w:rsidRPr="00AC15C2">
        <w:rPr>
          <w:rFonts w:eastAsia="Times New Roman" w:cs="Arial"/>
          <w:color w:val="000000"/>
          <w:lang w:eastAsia="bg-BG"/>
        </w:rPr>
        <w:t xml:space="preserve">е демонстрирана при 12-седмично изпитване при възрастни (максимално понижение на ФЕО1 22,33 % за монтелукаст спрямо 32,40 % за плацебо; време за възстановяване до ниво около 5 % от изходните стойности ФЕО1 44,22 минути спрямо у 60,64 минути). Този ефект е последователен през 12-седмичния период на проучването. Намалението на </w:t>
      </w:r>
      <w:r w:rsidRPr="00AC15C2">
        <w:rPr>
          <w:rFonts w:eastAsia="Times New Roman" w:cs="Arial"/>
          <w:color w:val="000000"/>
          <w:lang w:val="en-US"/>
        </w:rPr>
        <w:t>EIB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също е демонстрирано в краткосрочно изпитване при педиатрични пациенти на възраст от 6 до 14 години (максимално понижение наФЕО1 18,27 % спрямо 26,11 %; време за възстановяване до ниво около 5 % от изходното ФЕО1 17,76 минути спрямо 27,98 минути). Ефектът на двете изпитвания е демонстриран в края на еднодневен дозиращ интервал.</w:t>
      </w:r>
    </w:p>
    <w:p w14:paraId="439E438E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3D2827" w14:textId="5F546472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При чувствителни към аспирин астматици получаващи едновременно инхалаторни и/или перорални кортикостероиди, лечението с монтелукаст, сравнено с плацебо, води да значително подобрение в контрола на астмата (ФЕО1 8,55 % спрямо -1,74% промяна спрямо изходните стойности и понижение в общата употреба на β-агонисти -27,78 % спрямо 2,09 % промяна спрямо изходните стойности).</w:t>
      </w:r>
    </w:p>
    <w:p w14:paraId="200BC092" w14:textId="3D55993A" w:rsidR="00AC15C2" w:rsidRPr="00AC15C2" w:rsidRDefault="00AC15C2" w:rsidP="00AC15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DB725" w14:textId="77777777" w:rsidR="00AC15C2" w:rsidRPr="00AC15C2" w:rsidRDefault="00AC15C2" w:rsidP="00AC15C2"/>
    <w:p w14:paraId="35F84B81" w14:textId="549394AE" w:rsidR="00CF77F7" w:rsidRDefault="002C50EE" w:rsidP="004A448E">
      <w:pPr>
        <w:pStyle w:val="Heading2"/>
      </w:pPr>
      <w:r>
        <w:t>5.2. Фармакокинетични свойства</w:t>
      </w:r>
    </w:p>
    <w:p w14:paraId="3CBBBB3E" w14:textId="090AFFCF" w:rsidR="00AC15C2" w:rsidRDefault="00AC15C2" w:rsidP="00AC15C2"/>
    <w:p w14:paraId="755C30B6" w14:textId="77777777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lastRenderedPageBreak/>
        <w:t>Абсорбция</w:t>
      </w:r>
    </w:p>
    <w:p w14:paraId="6CC5AD07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След перорално приложение монтелукаст се абсорбира бързо. Средната пикова плазмена концентрация (С</w:t>
      </w:r>
      <w:r w:rsidRPr="00AC15C2">
        <w:rPr>
          <w:rFonts w:eastAsia="Times New Roman" w:cs="Arial"/>
          <w:color w:val="000000"/>
          <w:vertAlign w:val="subscript"/>
          <w:lang w:val="en-US"/>
        </w:rPr>
        <w:t>max</w:t>
      </w:r>
      <w:r w:rsidRPr="00AC15C2">
        <w:rPr>
          <w:rFonts w:eastAsia="Times New Roman" w:cs="Arial"/>
          <w:color w:val="000000"/>
          <w:lang w:eastAsia="bg-BG"/>
        </w:rPr>
        <w:t xml:space="preserve">) за филмираните таблетки от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се достига 3 часа (Т</w:t>
      </w:r>
      <w:r w:rsidRPr="00AC15C2">
        <w:rPr>
          <w:rFonts w:eastAsia="Times New Roman" w:cs="Arial"/>
          <w:color w:val="000000"/>
          <w:vertAlign w:val="subscript"/>
          <w:lang w:val="en-US"/>
        </w:rPr>
        <w:t>max</w:t>
      </w:r>
      <w:r w:rsidRPr="00AC15C2">
        <w:rPr>
          <w:rFonts w:eastAsia="Times New Roman" w:cs="Arial"/>
          <w:color w:val="000000"/>
          <w:lang w:eastAsia="bg-BG"/>
        </w:rPr>
        <w:t>) след приложение на гладно при възрастни. Средната перорална бионаличност е 64 %. Пероралната бионаличност и С</w:t>
      </w:r>
      <w:r w:rsidRPr="00AC15C2">
        <w:rPr>
          <w:rFonts w:eastAsia="Times New Roman" w:cs="Arial"/>
          <w:color w:val="000000"/>
          <w:vertAlign w:val="subscript"/>
          <w:lang w:val="en-US"/>
        </w:rPr>
        <w:t>max</w:t>
      </w:r>
      <w:r w:rsidRPr="00AC15C2">
        <w:rPr>
          <w:rFonts w:eastAsia="Times New Roman" w:cs="Arial"/>
          <w:color w:val="000000"/>
          <w:lang w:eastAsia="bg-BG"/>
        </w:rPr>
        <w:t xml:space="preserve"> не се повлияват от стандартно хранене. Безопасността и ефикасността са демонстрирани при клинични изпитвания, при които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филмирани таблетки са прилагани независимо от времето на поемане на храна.</w:t>
      </w:r>
    </w:p>
    <w:p w14:paraId="768BC992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С таблетките за дъвчене от 5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С</w:t>
      </w:r>
      <w:r w:rsidRPr="00AC15C2">
        <w:rPr>
          <w:rFonts w:eastAsia="Times New Roman" w:cs="Arial"/>
          <w:color w:val="000000"/>
          <w:vertAlign w:val="subscript"/>
          <w:lang w:val="en-US"/>
        </w:rPr>
        <w:t>max</w:t>
      </w:r>
      <w:r w:rsidRPr="00AC15C2">
        <w:rPr>
          <w:rFonts w:eastAsia="Times New Roman" w:cs="Arial"/>
          <w:color w:val="000000"/>
          <w:lang w:eastAsia="bg-BG"/>
        </w:rPr>
        <w:t xml:space="preserve"> се достига 2 часа след приложение при възрастни на гладно. Средната перорална бионаличност е 73 % и се намалява до 63 % при стандартно хранене.</w:t>
      </w:r>
    </w:p>
    <w:p w14:paraId="09F8EB10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BC0D2C2" w14:textId="4C5F958C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t>Разпределение</w:t>
      </w:r>
    </w:p>
    <w:p w14:paraId="5F624BE5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Монтелукаст се свързва с повече от 99 % от плазмените протеини. Обемът на разпределение на монтелукаст при равновесно състояние е средно 8-11 литра. Изпитвания при плъхове с радиомаркиран монтелукаст показват минимално преминаване през кръвно-мозъчната бариера. Освен това, концентрациите на радиомаркиран материал на 24 часа след дозата са минимални във всички други тъкани.</w:t>
      </w:r>
    </w:p>
    <w:p w14:paraId="40E5D66B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9066DED" w14:textId="063BD84E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t>Биотрансформация</w:t>
      </w:r>
    </w:p>
    <w:p w14:paraId="66B3FFDA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>Монтелукаст се метаболизира в голяма степен. При проучвания с терапевтични плазмените концентрации на метаболитите на монтелукаст не са измерими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в -равновесно състояние при възрастни и деца.</w:t>
      </w:r>
    </w:p>
    <w:p w14:paraId="1C30E0F2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497044" w14:textId="60478565" w:rsidR="00AC15C2" w:rsidRPr="00AC15C2" w:rsidRDefault="00AC15C2" w:rsidP="00AC15C2">
      <w:pPr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Цитохром Р450 2С8 е главният ензим в метаболизма на монтелукаст. Освен отва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>3</w:t>
      </w:r>
      <w:r w:rsidRPr="00AC15C2">
        <w:rPr>
          <w:rFonts w:eastAsia="Times New Roman" w:cs="Arial"/>
          <w:color w:val="000000"/>
          <w:lang w:val="en-US"/>
        </w:rPr>
        <w:t>A</w:t>
      </w:r>
      <w:r w:rsidRPr="00AC15C2">
        <w:rPr>
          <w:rFonts w:eastAsia="Times New Roman" w:cs="Arial"/>
          <w:color w:val="000000"/>
          <w:lang w:val="ru-RU"/>
        </w:rPr>
        <w:t xml:space="preserve">4 </w:t>
      </w:r>
      <w:r w:rsidRPr="00AC15C2">
        <w:rPr>
          <w:rFonts w:eastAsia="Times New Roman" w:cs="Arial"/>
          <w:color w:val="000000"/>
          <w:lang w:eastAsia="bg-BG"/>
        </w:rPr>
        <w:t xml:space="preserve">и 2С9 могат да имат по-слабо влияние, въпреки това итраконазол, инхибитор на </w:t>
      </w:r>
      <w:r w:rsidRPr="00AC15C2">
        <w:rPr>
          <w:rFonts w:eastAsia="Times New Roman" w:cs="Arial"/>
          <w:color w:val="000000"/>
          <w:lang w:val="en-US"/>
        </w:rPr>
        <w:t>CYP</w:t>
      </w:r>
      <w:r w:rsidRPr="00AC15C2">
        <w:rPr>
          <w:rFonts w:eastAsia="Times New Roman" w:cs="Arial"/>
          <w:color w:val="000000"/>
          <w:lang w:val="ru-RU"/>
        </w:rPr>
        <w:t>3</w:t>
      </w:r>
      <w:r w:rsidRPr="00AC15C2">
        <w:rPr>
          <w:rFonts w:eastAsia="Times New Roman" w:cs="Arial"/>
          <w:color w:val="000000"/>
          <w:lang w:val="en-US"/>
        </w:rPr>
        <w:t>A</w:t>
      </w:r>
      <w:r w:rsidRPr="00AC15C2">
        <w:rPr>
          <w:rFonts w:eastAsia="Times New Roman" w:cs="Arial"/>
          <w:color w:val="000000"/>
          <w:lang w:val="ru-RU"/>
        </w:rPr>
        <w:t xml:space="preserve">4 </w:t>
      </w:r>
      <w:r w:rsidRPr="00AC15C2">
        <w:rPr>
          <w:rFonts w:eastAsia="Times New Roman" w:cs="Arial"/>
          <w:color w:val="000000"/>
          <w:lang w:eastAsia="bg-BG"/>
        </w:rPr>
        <w:t xml:space="preserve">показва че не променя фармакокинетичните променливи на монтелукаст при здрави индивиди приемащи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монтелукаст дневно. </w:t>
      </w:r>
      <w:r w:rsidRPr="00AC15C2">
        <w:rPr>
          <w:rFonts w:eastAsia="Times New Roman" w:cs="Arial"/>
          <w:color w:val="000000"/>
          <w:lang w:val="en-US"/>
        </w:rPr>
        <w:t>In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val="en-US"/>
        </w:rPr>
        <w:t>vitro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изследвания, при които са използвани човешки чернодробни микрозоми, терапевтичните плазмени концентрации на монтелукаст не потискат цитохроми Р450 ЗА4, 2С9,</w:t>
      </w:r>
      <w:r w:rsidRPr="00AC15C2">
        <w:rPr>
          <w:rFonts w:eastAsia="Times New Roman" w:cs="Arial"/>
          <w:color w:val="000000"/>
          <w:lang w:val="ru-RU" w:eastAsia="bg-BG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1А2,</w:t>
      </w:r>
      <w:r w:rsidRPr="00AC15C2">
        <w:rPr>
          <w:rFonts w:eastAsia="Times New Roman" w:cs="Arial"/>
          <w:color w:val="000000"/>
          <w:lang w:val="ru-RU" w:eastAsia="bg-BG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2А6, 2С19 или </w:t>
      </w:r>
      <w:r w:rsidRPr="00AC15C2">
        <w:rPr>
          <w:rFonts w:eastAsia="Times New Roman" w:cs="Arial"/>
          <w:color w:val="000000"/>
          <w:lang w:val="ru-RU"/>
        </w:rPr>
        <w:t>2</w:t>
      </w:r>
      <w:r w:rsidRPr="00AC15C2">
        <w:rPr>
          <w:rFonts w:eastAsia="Times New Roman" w:cs="Arial"/>
          <w:color w:val="000000"/>
          <w:lang w:val="en-US"/>
        </w:rPr>
        <w:t>D</w:t>
      </w:r>
      <w:r w:rsidRPr="00AC15C2">
        <w:rPr>
          <w:rFonts w:eastAsia="Times New Roman" w:cs="Arial"/>
          <w:color w:val="000000"/>
          <w:lang w:val="ru-RU"/>
        </w:rPr>
        <w:t xml:space="preserve">6. </w:t>
      </w:r>
      <w:r w:rsidRPr="00AC15C2">
        <w:rPr>
          <w:rFonts w:eastAsia="Times New Roman" w:cs="Arial"/>
          <w:color w:val="000000"/>
          <w:lang w:eastAsia="bg-BG"/>
        </w:rPr>
        <w:t>Приносът на метаболитите на монтелукаст към терапевтичния ефект е минимален.</w:t>
      </w:r>
    </w:p>
    <w:p w14:paraId="2CB8543C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64A543" w14:textId="32E8EC27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t>Елиминиране</w:t>
      </w:r>
    </w:p>
    <w:p w14:paraId="6D24DCE5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При здрави възрастни плазменият клирънс на монтелукаст е средно 45 </w:t>
      </w:r>
      <w:r w:rsidRPr="00AC15C2">
        <w:rPr>
          <w:rFonts w:eastAsia="Times New Roman" w:cs="Arial"/>
          <w:color w:val="000000"/>
          <w:lang w:val="en-US"/>
        </w:rPr>
        <w:t>ml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min</w:t>
      </w:r>
      <w:r w:rsidRPr="00AC15C2">
        <w:rPr>
          <w:rFonts w:eastAsia="Times New Roman" w:cs="Arial"/>
          <w:color w:val="000000"/>
          <w:lang w:val="ru-RU"/>
        </w:rPr>
        <w:t xml:space="preserve">. </w:t>
      </w:r>
      <w:r w:rsidRPr="00AC15C2">
        <w:rPr>
          <w:rFonts w:eastAsia="Times New Roman" w:cs="Arial"/>
          <w:color w:val="000000"/>
          <w:lang w:eastAsia="bg-BG"/>
        </w:rPr>
        <w:t>След перорална доза на радиомаркиран монтелукаст, 86 % от радиоактивността е открита във фекалните маси от 5 дни и &lt; 0,2 % - в урината. Това, свързвано с определената за монтелукаст перорална бионаличност, показва, че Монтелукаст се екскретира почти изключително чрез жлъчката.</w:t>
      </w:r>
    </w:p>
    <w:p w14:paraId="0ABA1C0F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3B2A10" w14:textId="368440E3" w:rsidR="00AC15C2" w:rsidRPr="00AC15C2" w:rsidRDefault="00AC15C2" w:rsidP="00AC15C2">
      <w:pPr>
        <w:pStyle w:val="Heading3"/>
        <w:rPr>
          <w:rFonts w:eastAsia="Times New Roman"/>
          <w:u w:val="single"/>
        </w:rPr>
      </w:pPr>
      <w:r w:rsidRPr="00AC15C2">
        <w:rPr>
          <w:rFonts w:eastAsia="Times New Roman"/>
          <w:u w:val="single"/>
          <w:lang w:eastAsia="bg-BG"/>
        </w:rPr>
        <w:t>Характерни особености на пациента</w:t>
      </w:r>
    </w:p>
    <w:p w14:paraId="0AC97ECF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Не е необходимо съобразяване на дозата за пациенти в напреднала възраст или лека до умерена чернодробна недостатъчност. Не са провеждани изпитвания с пациенти с бъбречни увреждания. Тъй като монтелукаст и неговите метаболитите се елиминират чрез жлъчката, не е необходимо съобразяване на дозировката при пациенти с бъбрено увреждане. Няма клинични данни за фармакокинетиката на пациенти с тежка чернодробна недостатъчност </w:t>
      </w:r>
      <w:r w:rsidRPr="00AC15C2">
        <w:rPr>
          <w:rFonts w:eastAsia="Times New Roman" w:cs="Arial"/>
          <w:color w:val="000000"/>
          <w:lang w:val="ru-RU"/>
        </w:rPr>
        <w:t>(</w:t>
      </w:r>
      <w:r w:rsidRPr="00AC15C2">
        <w:rPr>
          <w:rFonts w:eastAsia="Times New Roman" w:cs="Arial"/>
          <w:color w:val="000000"/>
          <w:lang w:val="en-US"/>
        </w:rPr>
        <w:t>Child</w:t>
      </w:r>
      <w:r w:rsidRPr="00AC15C2">
        <w:rPr>
          <w:rFonts w:eastAsia="Times New Roman" w:cs="Arial"/>
          <w:color w:val="000000"/>
          <w:lang w:val="ru-RU"/>
        </w:rPr>
        <w:t>-</w:t>
      </w:r>
      <w:r w:rsidRPr="00AC15C2">
        <w:rPr>
          <w:rFonts w:eastAsia="Times New Roman" w:cs="Arial"/>
          <w:color w:val="000000"/>
          <w:lang w:val="en-US"/>
        </w:rPr>
        <w:t>Pugh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степен &gt;9).</w:t>
      </w:r>
    </w:p>
    <w:p w14:paraId="3E5F314F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127A40" w14:textId="32D55D0B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При високи дози монтелукаст (20- и 60-пъти над препоръчителната доза при възрастни) се наблюдава намаление в плазмените концентрации на теофилин. Този ефект не е наблюдаван при препоръчителната доза от 10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дневно.</w:t>
      </w:r>
    </w:p>
    <w:p w14:paraId="226B3779" w14:textId="1A32634E" w:rsidR="00AC15C2" w:rsidRPr="00AC15C2" w:rsidRDefault="00AC15C2" w:rsidP="00AC15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46A37" w14:textId="77777777" w:rsidR="00AC15C2" w:rsidRPr="00AC15C2" w:rsidRDefault="00AC15C2" w:rsidP="00AC15C2"/>
    <w:p w14:paraId="648E39DA" w14:textId="1F157A80" w:rsidR="00CF77F7" w:rsidRDefault="002C50EE" w:rsidP="004A448E">
      <w:pPr>
        <w:pStyle w:val="Heading2"/>
      </w:pPr>
      <w:r>
        <w:t>5.3. Предклинични данни за безопасност</w:t>
      </w:r>
    </w:p>
    <w:p w14:paraId="160954A6" w14:textId="7F01171A" w:rsidR="00AC15C2" w:rsidRDefault="00AC15C2" w:rsidP="00AC15C2"/>
    <w:p w14:paraId="5D18A81B" w14:textId="77777777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В проучвания при животни за токсичността на лекарствения продукт са били наблюдавани минимални биохимични промени в серумните нива на </w:t>
      </w:r>
      <w:r w:rsidRPr="00AC15C2">
        <w:rPr>
          <w:rFonts w:eastAsia="Times New Roman" w:cs="Arial"/>
          <w:color w:val="000000"/>
          <w:lang w:val="en-US"/>
        </w:rPr>
        <w:t>ALT</w:t>
      </w:r>
      <w:r w:rsidRPr="00AC15C2">
        <w:rPr>
          <w:rFonts w:eastAsia="Times New Roman" w:cs="Arial"/>
          <w:color w:val="000000"/>
          <w:lang w:val="ru-RU"/>
        </w:rPr>
        <w:t xml:space="preserve">, </w:t>
      </w:r>
      <w:r w:rsidRPr="00AC15C2">
        <w:rPr>
          <w:rFonts w:eastAsia="Times New Roman" w:cs="Arial"/>
          <w:color w:val="000000"/>
          <w:lang w:eastAsia="bg-BG"/>
        </w:rPr>
        <w:t xml:space="preserve">глюкозата, фосфора и триглицеридите, които са били преходни. Проявите на токсичност при животните са били увеличаване на саливацията, гастроинтестинални симптоми, редки изпражнения и йонен дисбаланс. Тези симптоми са наблюдавани при дози 17 пъти по-високи от клиничните. При маймуни нежеланите лекарствени реакции са възниквали при дози от 150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kg</w:t>
      </w:r>
      <w:r w:rsidRPr="00AC15C2">
        <w:rPr>
          <w:rFonts w:eastAsia="Times New Roman" w:cs="Arial"/>
          <w:color w:val="000000"/>
          <w:lang w:eastAsia="bg-BG"/>
        </w:rPr>
        <w:t xml:space="preserve">/дневно (&gt; 232 пъти по-голяма доза от клиничната). При проучвания при животни монтелукаст не е оказал ефект върху фертилитета или репродуктивните възможности при доза надхвърляща клиничната с повече от 24 пъти. В проучване с плъхове за фертилността, е било наблюдавано леко намаляване на теглото при малките при доза 200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kg</w:t>
      </w:r>
      <w:r w:rsidRPr="00AC15C2">
        <w:rPr>
          <w:rFonts w:eastAsia="Times New Roman" w:cs="Arial"/>
          <w:color w:val="000000"/>
          <w:lang w:eastAsia="bg-BG"/>
        </w:rPr>
        <w:t>/дневно (&gt; 69 пъти клиничната доза). В проучвания със зайци, е наблюдавана по-висока честота на непълна осификация в сравнение със съответни контролни животни при приложение на доза 24 пъти над клиничната. Не са наблюдавани аномалии при плъхове. Монтелукаст преминава през плацентарната бариера и се екскретира в кърмата при животни.</w:t>
      </w:r>
    </w:p>
    <w:p w14:paraId="4CBAC5E8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F5FBBD" w14:textId="023F2D55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Смърт не настъпва при еднократен перорален прием на монтелукаст натрий в дози до 5 000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kg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при мишки и плъхове, (15 000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m</w:t>
      </w:r>
      <w:r w:rsidRPr="00AC15C2">
        <w:rPr>
          <w:rFonts w:eastAsia="Times New Roman" w:cs="Arial"/>
          <w:color w:val="000000"/>
          <w:vertAlign w:val="superscript"/>
          <w:lang w:val="ru-RU"/>
        </w:rPr>
        <w:t>2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при мишки и 30 000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m</w:t>
      </w:r>
      <w:r w:rsidRPr="00AC15C2">
        <w:rPr>
          <w:rFonts w:eastAsia="Times New Roman" w:cs="Arial"/>
          <w:color w:val="000000"/>
          <w:vertAlign w:val="superscript"/>
          <w:lang w:val="ru-RU"/>
        </w:rPr>
        <w:t>2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съответно при плъхове) максимално изпитана доза. Тази доза отговаря на 25 000 пъти препоръчителната човешка дневна доза при възрастни (определена при възрастни пациенти с тегло 50 </w:t>
      </w:r>
      <w:r w:rsidRPr="00AC15C2">
        <w:rPr>
          <w:rFonts w:eastAsia="Times New Roman" w:cs="Arial"/>
          <w:color w:val="000000"/>
          <w:lang w:val="en-US"/>
        </w:rPr>
        <w:t>kg</w:t>
      </w:r>
      <w:r w:rsidRPr="00AC15C2">
        <w:rPr>
          <w:rFonts w:eastAsia="Times New Roman" w:cs="Arial"/>
          <w:color w:val="000000"/>
          <w:lang w:val="ru-RU"/>
        </w:rPr>
        <w:t>).</w:t>
      </w:r>
    </w:p>
    <w:p w14:paraId="446C1A71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C732AA" w14:textId="247C022C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Установено е, че монтелукаст не е фототоксичен при мишки за УВА, УВБ или лъчите от видимия спектър при дози до 500 </w:t>
      </w:r>
      <w:r w:rsidRPr="00AC15C2">
        <w:rPr>
          <w:rFonts w:eastAsia="Times New Roman" w:cs="Arial"/>
          <w:color w:val="000000"/>
          <w:lang w:val="en-US"/>
        </w:rPr>
        <w:t>mg</w:t>
      </w:r>
      <w:r w:rsidRPr="00AC15C2">
        <w:rPr>
          <w:rFonts w:eastAsia="Times New Roman" w:cs="Arial"/>
          <w:color w:val="000000"/>
          <w:lang w:val="ru-RU"/>
        </w:rPr>
        <w:t>/</w:t>
      </w:r>
      <w:r w:rsidRPr="00AC15C2">
        <w:rPr>
          <w:rFonts w:eastAsia="Times New Roman" w:cs="Arial"/>
          <w:color w:val="000000"/>
          <w:lang w:val="en-US"/>
        </w:rPr>
        <w:t>kg</w:t>
      </w:r>
      <w:r w:rsidRPr="00AC15C2">
        <w:rPr>
          <w:rFonts w:eastAsia="Times New Roman" w:cs="Arial"/>
          <w:color w:val="000000"/>
          <w:lang w:eastAsia="bg-BG"/>
        </w:rPr>
        <w:t>/дневно (приблизително &gt; 200 пъти над клиничната доза).</w:t>
      </w:r>
    </w:p>
    <w:p w14:paraId="76974697" w14:textId="77777777" w:rsidR="00AC15C2" w:rsidRPr="00AC15C2" w:rsidRDefault="00AC15C2" w:rsidP="00AC15C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EF75A8" w14:textId="798175F6" w:rsidR="00AC15C2" w:rsidRPr="00AC15C2" w:rsidRDefault="00AC15C2" w:rsidP="00AC15C2">
      <w:pPr>
        <w:spacing w:line="240" w:lineRule="auto"/>
        <w:rPr>
          <w:rFonts w:eastAsia="Times New Roman" w:cs="Arial"/>
          <w:sz w:val="24"/>
          <w:szCs w:val="24"/>
        </w:rPr>
      </w:pPr>
      <w:r w:rsidRPr="00AC15C2">
        <w:rPr>
          <w:rFonts w:eastAsia="Times New Roman" w:cs="Arial"/>
          <w:color w:val="000000"/>
          <w:lang w:eastAsia="bg-BG"/>
        </w:rPr>
        <w:t xml:space="preserve">Монтелукаст не е бил мутагенен в </w:t>
      </w:r>
      <w:r w:rsidRPr="00AC15C2">
        <w:rPr>
          <w:rFonts w:eastAsia="Times New Roman" w:cs="Arial"/>
          <w:i/>
          <w:iCs/>
          <w:color w:val="000000"/>
          <w:lang w:val="en-US"/>
        </w:rPr>
        <w:t>in</w:t>
      </w:r>
      <w:r w:rsidRPr="00AC15C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AC15C2">
        <w:rPr>
          <w:rFonts w:eastAsia="Times New Roman" w:cs="Arial"/>
          <w:i/>
          <w:iCs/>
          <w:color w:val="000000"/>
          <w:lang w:val="en-US"/>
        </w:rPr>
        <w:t>vitro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 xml:space="preserve">и </w:t>
      </w:r>
      <w:r w:rsidRPr="00AC15C2">
        <w:rPr>
          <w:rFonts w:eastAsia="Times New Roman" w:cs="Arial"/>
          <w:i/>
          <w:iCs/>
          <w:color w:val="000000"/>
          <w:lang w:val="en-US"/>
        </w:rPr>
        <w:t>in</w:t>
      </w:r>
      <w:r w:rsidRPr="00AC15C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AC15C2">
        <w:rPr>
          <w:rFonts w:eastAsia="Times New Roman" w:cs="Arial"/>
          <w:i/>
          <w:iCs/>
          <w:color w:val="000000"/>
          <w:lang w:val="en-US"/>
        </w:rPr>
        <w:t>vivo</w:t>
      </w:r>
      <w:r w:rsidRPr="00AC15C2">
        <w:rPr>
          <w:rFonts w:eastAsia="Times New Roman" w:cs="Arial"/>
          <w:color w:val="000000"/>
          <w:lang w:val="ru-RU"/>
        </w:rPr>
        <w:t xml:space="preserve"> </w:t>
      </w:r>
      <w:r w:rsidRPr="00AC15C2">
        <w:rPr>
          <w:rFonts w:eastAsia="Times New Roman" w:cs="Arial"/>
          <w:color w:val="000000"/>
          <w:lang w:eastAsia="bg-BG"/>
        </w:rPr>
        <w:t>тестванията, нито туморогенен при гризачи.</w:t>
      </w:r>
    </w:p>
    <w:p w14:paraId="67E0467D" w14:textId="77777777" w:rsidR="00AC15C2" w:rsidRPr="00AC15C2" w:rsidRDefault="00AC15C2" w:rsidP="00AC15C2"/>
    <w:p w14:paraId="6A7820AB" w14:textId="68DF5158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5A409873" w14:textId="7B255ACD" w:rsidR="00AC15C2" w:rsidRDefault="00AC15C2" w:rsidP="00AC15C2"/>
    <w:p w14:paraId="4BC97EF6" w14:textId="77777777" w:rsidR="00AC15C2" w:rsidRPr="00AC15C2" w:rsidRDefault="00AC15C2" w:rsidP="00AC15C2">
      <w:pPr>
        <w:rPr>
          <w:sz w:val="24"/>
          <w:szCs w:val="24"/>
          <w:lang w:val="en-US"/>
        </w:rPr>
      </w:pPr>
      <w:proofErr w:type="spellStart"/>
      <w:r w:rsidRPr="00AC15C2">
        <w:rPr>
          <w:lang w:val="en-US"/>
        </w:rPr>
        <w:t>Zentiva</w:t>
      </w:r>
      <w:proofErr w:type="spellEnd"/>
      <w:r w:rsidRPr="00AC15C2">
        <w:rPr>
          <w:lang w:val="en-US"/>
        </w:rPr>
        <w:t xml:space="preserve"> </w:t>
      </w:r>
      <w:proofErr w:type="spellStart"/>
      <w:r w:rsidRPr="00AC15C2">
        <w:rPr>
          <w:lang w:val="en-US"/>
        </w:rPr>
        <w:t>k.s</w:t>
      </w:r>
      <w:proofErr w:type="spellEnd"/>
      <w:r w:rsidRPr="00AC15C2">
        <w:rPr>
          <w:lang w:val="en-US"/>
        </w:rPr>
        <w:t>.</w:t>
      </w:r>
    </w:p>
    <w:p w14:paraId="0C1875CB" w14:textId="77777777" w:rsidR="00AC15C2" w:rsidRPr="00AC15C2" w:rsidRDefault="00AC15C2" w:rsidP="00AC15C2">
      <w:pPr>
        <w:rPr>
          <w:sz w:val="24"/>
          <w:szCs w:val="24"/>
          <w:lang w:val="en-US"/>
        </w:rPr>
      </w:pPr>
      <w:r w:rsidRPr="00AC15C2">
        <w:rPr>
          <w:lang w:val="en-US"/>
        </w:rPr>
        <w:t xml:space="preserve">U </w:t>
      </w:r>
      <w:proofErr w:type="spellStart"/>
      <w:r w:rsidRPr="00AC15C2">
        <w:rPr>
          <w:lang w:val="en-US"/>
        </w:rPr>
        <w:t>kabelovny</w:t>
      </w:r>
      <w:proofErr w:type="spellEnd"/>
      <w:r w:rsidRPr="00AC15C2">
        <w:rPr>
          <w:lang w:val="en-US"/>
        </w:rPr>
        <w:t xml:space="preserve"> </w:t>
      </w:r>
      <w:r w:rsidRPr="00AC15C2">
        <w:rPr>
          <w:lang w:eastAsia="bg-BG"/>
        </w:rPr>
        <w:t>130,</w:t>
      </w:r>
    </w:p>
    <w:p w14:paraId="216B98BB" w14:textId="77777777" w:rsidR="00AC15C2" w:rsidRPr="00AC15C2" w:rsidRDefault="00AC15C2" w:rsidP="00AC15C2">
      <w:pPr>
        <w:rPr>
          <w:sz w:val="24"/>
          <w:szCs w:val="24"/>
          <w:lang w:val="ru-RU"/>
        </w:rPr>
      </w:pPr>
      <w:proofErr w:type="spellStart"/>
      <w:r w:rsidRPr="00AC15C2">
        <w:rPr>
          <w:lang w:val="en-US"/>
        </w:rPr>
        <w:t>Dolni</w:t>
      </w:r>
      <w:proofErr w:type="spellEnd"/>
      <w:r w:rsidRPr="00AC15C2">
        <w:rPr>
          <w:lang w:val="ru-RU"/>
        </w:rPr>
        <w:t xml:space="preserve"> </w:t>
      </w:r>
      <w:proofErr w:type="spellStart"/>
      <w:r w:rsidRPr="00AC15C2">
        <w:rPr>
          <w:lang w:val="en-US"/>
        </w:rPr>
        <w:t>Mecholupy</w:t>
      </w:r>
      <w:proofErr w:type="spellEnd"/>
    </w:p>
    <w:p w14:paraId="37CF0950" w14:textId="77777777" w:rsidR="00AC15C2" w:rsidRPr="00AC15C2" w:rsidRDefault="00AC15C2" w:rsidP="00AC15C2">
      <w:pPr>
        <w:rPr>
          <w:sz w:val="24"/>
          <w:szCs w:val="24"/>
          <w:lang w:val="ru-RU"/>
        </w:rPr>
      </w:pPr>
      <w:r w:rsidRPr="00AC15C2">
        <w:rPr>
          <w:lang w:val="ru-RU"/>
        </w:rPr>
        <w:t xml:space="preserve">102 37, </w:t>
      </w:r>
      <w:r w:rsidRPr="00AC15C2">
        <w:rPr>
          <w:lang w:val="en-US"/>
        </w:rPr>
        <w:t>Prague</w:t>
      </w:r>
      <w:r w:rsidRPr="00AC15C2">
        <w:rPr>
          <w:lang w:val="ru-RU"/>
        </w:rPr>
        <w:t xml:space="preserve"> 10</w:t>
      </w:r>
    </w:p>
    <w:p w14:paraId="6319614F" w14:textId="1CA51190" w:rsidR="00AC15C2" w:rsidRPr="00AC15C2" w:rsidRDefault="00AC15C2" w:rsidP="00AC15C2">
      <w:r w:rsidRPr="00AC15C2">
        <w:rPr>
          <w:lang w:eastAsia="bg-BG"/>
        </w:rPr>
        <w:t>Чешка Република</w:t>
      </w:r>
    </w:p>
    <w:p w14:paraId="7BA1BA64" w14:textId="039F9071" w:rsidR="00CF77F7" w:rsidRDefault="002C50EE" w:rsidP="004A448E">
      <w:pPr>
        <w:pStyle w:val="Heading1"/>
      </w:pPr>
      <w:r>
        <w:t>8. НОМЕР НА РАЗРЕШЕНИЕТО ЗА УПОТРЕБА</w:t>
      </w:r>
    </w:p>
    <w:p w14:paraId="1B74EB56" w14:textId="6F750321" w:rsidR="00AC15C2" w:rsidRDefault="00AC15C2" w:rsidP="00AC15C2"/>
    <w:p w14:paraId="7705EE5D" w14:textId="36AFBD62" w:rsidR="00AC15C2" w:rsidRPr="00AC15C2" w:rsidRDefault="00AC15C2" w:rsidP="00AC15C2">
      <w:proofErr w:type="spellStart"/>
      <w:r>
        <w:rPr>
          <w:lang w:val="en-US"/>
        </w:rPr>
        <w:t>Pe</w:t>
      </w:r>
      <w:proofErr w:type="spellEnd"/>
      <w:r>
        <w:t>г</w:t>
      </w:r>
      <w:r>
        <w:rPr>
          <w:lang w:val="en-US"/>
        </w:rPr>
        <w:t xml:space="preserve">. </w:t>
      </w:r>
      <w:r>
        <w:t>№20110050</w:t>
      </w:r>
    </w:p>
    <w:p w14:paraId="2CCB5832" w14:textId="0F012A47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3ABF98D2" w14:textId="63567E83" w:rsidR="00AC15C2" w:rsidRDefault="00AC15C2" w:rsidP="00AC15C2"/>
    <w:p w14:paraId="464680C4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Дата на първо разрешаване 19.01.2011</w:t>
      </w:r>
    </w:p>
    <w:p w14:paraId="19C6B61F" w14:textId="77777777" w:rsidR="00AC15C2" w:rsidRPr="00AC15C2" w:rsidRDefault="00AC15C2" w:rsidP="00AC15C2">
      <w:pPr>
        <w:rPr>
          <w:sz w:val="24"/>
          <w:szCs w:val="24"/>
        </w:rPr>
      </w:pPr>
      <w:r w:rsidRPr="00AC15C2">
        <w:rPr>
          <w:lang w:eastAsia="bg-BG"/>
        </w:rPr>
        <w:t>Дата на подновяване: 26.05.2017</w:t>
      </w:r>
    </w:p>
    <w:p w14:paraId="084059B6" w14:textId="77777777" w:rsidR="00AC15C2" w:rsidRPr="00AC15C2" w:rsidRDefault="00AC15C2" w:rsidP="00AC15C2"/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71875FD0" w:rsidR="007C605B" w:rsidRPr="003E3126" w:rsidRDefault="00AC15C2" w:rsidP="00AC15C2">
      <w:r>
        <w:t>07.12.2020 г.</w:t>
      </w:r>
      <w:bookmarkStart w:id="1" w:name="_GoBack"/>
      <w:bookmarkEnd w:id="1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6751"/>
    <w:multiLevelType w:val="hybridMultilevel"/>
    <w:tmpl w:val="BCF4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8"/>
  </w:num>
  <w:num w:numId="14">
    <w:abstractNumId w:val="11"/>
  </w:num>
  <w:num w:numId="15">
    <w:abstractNumId w:val="28"/>
  </w:num>
  <w:num w:numId="16">
    <w:abstractNumId w:val="9"/>
  </w:num>
  <w:num w:numId="17">
    <w:abstractNumId w:val="23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1"/>
  </w:num>
  <w:num w:numId="28">
    <w:abstractNumId w:val="6"/>
  </w:num>
  <w:num w:numId="29">
    <w:abstractNumId w:val="19"/>
  </w:num>
  <w:num w:numId="30">
    <w:abstractNumId w:val="34"/>
  </w:num>
  <w:num w:numId="31">
    <w:abstractNumId w:val="5"/>
  </w:num>
  <w:num w:numId="32">
    <w:abstractNumId w:val="33"/>
  </w:num>
  <w:num w:numId="33">
    <w:abstractNumId w:val="27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65A81"/>
    <w:rsid w:val="00AA23EC"/>
    <w:rsid w:val="00AC15C2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3860</Words>
  <Characters>22003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2022-05-25T14:41:00Z</dcterms:created>
  <dcterms:modified xsi:type="dcterms:W3CDTF">2022-05-25T14:41:00Z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