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7F9D3FA7" w:rsidR="00C40420" w:rsidRDefault="00DD466D" w:rsidP="004A448E">
      <w:pPr>
        <w:pStyle w:val="Heading1"/>
      </w:pPr>
      <w:r>
        <w:t>1.ИМЕ НА ЛЕКАРСТВЕНИЯ ПРОДУКТ</w:t>
      </w:r>
    </w:p>
    <w:p w14:paraId="4E9FF2A3" w14:textId="692C328D" w:rsidR="00800A11" w:rsidRDefault="00800A11" w:rsidP="00800A11"/>
    <w:p w14:paraId="7373C8D1" w14:textId="77777777" w:rsidR="00800A11" w:rsidRPr="00800A11" w:rsidRDefault="00800A11" w:rsidP="00800A11">
      <w:pPr>
        <w:rPr>
          <w:sz w:val="24"/>
          <w:szCs w:val="24"/>
        </w:rPr>
      </w:pPr>
      <w:r w:rsidRPr="00800A11">
        <w:rPr>
          <w:lang w:eastAsia="bg-BG"/>
        </w:rPr>
        <w:t xml:space="preserve">Амбрисентан Тева 5 </w:t>
      </w:r>
      <w:r w:rsidRPr="00800A11">
        <w:rPr>
          <w:lang w:val="en-US"/>
        </w:rPr>
        <w:t>mg</w:t>
      </w:r>
      <w:r w:rsidRPr="00800A11">
        <w:t xml:space="preserve"> </w:t>
      </w:r>
      <w:r w:rsidRPr="00800A11">
        <w:rPr>
          <w:lang w:eastAsia="bg-BG"/>
        </w:rPr>
        <w:t>филмирани таблетки</w:t>
      </w:r>
    </w:p>
    <w:p w14:paraId="3BEBEAB2" w14:textId="77777777" w:rsidR="00800A11" w:rsidRPr="00800A11" w:rsidRDefault="00800A11" w:rsidP="00800A11">
      <w:pPr>
        <w:rPr>
          <w:sz w:val="24"/>
          <w:szCs w:val="24"/>
        </w:rPr>
      </w:pPr>
      <w:proofErr w:type="spellStart"/>
      <w:r w:rsidRPr="00800A11">
        <w:rPr>
          <w:lang w:val="en-US"/>
        </w:rPr>
        <w:t>Ambrisentan</w:t>
      </w:r>
      <w:proofErr w:type="spellEnd"/>
      <w:r w:rsidRPr="00800A11">
        <w:t xml:space="preserve"> </w:t>
      </w:r>
      <w:proofErr w:type="spellStart"/>
      <w:r w:rsidRPr="00800A11">
        <w:rPr>
          <w:lang w:val="en-US"/>
        </w:rPr>
        <w:t>Teva</w:t>
      </w:r>
      <w:proofErr w:type="spellEnd"/>
      <w:r w:rsidRPr="00800A11">
        <w:t xml:space="preserve"> </w:t>
      </w:r>
      <w:r w:rsidRPr="00800A11">
        <w:rPr>
          <w:lang w:eastAsia="bg-BG"/>
        </w:rPr>
        <w:t xml:space="preserve">5 </w:t>
      </w:r>
      <w:r w:rsidRPr="00800A11">
        <w:rPr>
          <w:lang w:val="en-US"/>
        </w:rPr>
        <w:t>mg</w:t>
      </w:r>
      <w:r w:rsidRPr="00800A11">
        <w:t xml:space="preserve"> </w:t>
      </w:r>
      <w:r w:rsidRPr="00800A11">
        <w:rPr>
          <w:lang w:val="en-US"/>
        </w:rPr>
        <w:t>film</w:t>
      </w:r>
      <w:r w:rsidRPr="00800A11">
        <w:t>-</w:t>
      </w:r>
      <w:r w:rsidRPr="00800A11">
        <w:rPr>
          <w:lang w:val="en-US"/>
        </w:rPr>
        <w:t>coated</w:t>
      </w:r>
      <w:r w:rsidRPr="00800A11">
        <w:t xml:space="preserve"> </w:t>
      </w:r>
      <w:r w:rsidRPr="00800A11">
        <w:rPr>
          <w:lang w:val="en-US"/>
        </w:rPr>
        <w:t>tablets</w:t>
      </w:r>
    </w:p>
    <w:p w14:paraId="181DCCD5" w14:textId="77777777" w:rsidR="00800A11" w:rsidRDefault="00800A11" w:rsidP="00800A11">
      <w:pPr>
        <w:rPr>
          <w:lang w:eastAsia="bg-BG"/>
        </w:rPr>
      </w:pPr>
    </w:p>
    <w:p w14:paraId="64977060" w14:textId="5943C65D" w:rsidR="00800A11" w:rsidRPr="00800A11" w:rsidRDefault="00800A11" w:rsidP="00800A11">
      <w:pPr>
        <w:rPr>
          <w:sz w:val="24"/>
          <w:szCs w:val="24"/>
        </w:rPr>
      </w:pPr>
      <w:r w:rsidRPr="00800A11">
        <w:rPr>
          <w:lang w:eastAsia="bg-BG"/>
        </w:rPr>
        <w:t xml:space="preserve">Амбрисентан Тева </w:t>
      </w:r>
      <w:r w:rsidRPr="00800A11">
        <w:t xml:space="preserve">10 </w:t>
      </w:r>
      <w:r w:rsidRPr="00800A11">
        <w:rPr>
          <w:lang w:val="en-US"/>
        </w:rPr>
        <w:t>mg</w:t>
      </w:r>
      <w:r w:rsidRPr="00800A11">
        <w:t xml:space="preserve"> </w:t>
      </w:r>
      <w:r w:rsidRPr="00800A11">
        <w:rPr>
          <w:lang w:eastAsia="bg-BG"/>
        </w:rPr>
        <w:t>филмирани таблетки</w:t>
      </w:r>
    </w:p>
    <w:p w14:paraId="20BEF82E" w14:textId="77777777" w:rsidR="00800A11" w:rsidRPr="00800A11" w:rsidRDefault="00800A11" w:rsidP="00800A11">
      <w:pPr>
        <w:rPr>
          <w:sz w:val="24"/>
          <w:szCs w:val="24"/>
        </w:rPr>
      </w:pPr>
      <w:proofErr w:type="spellStart"/>
      <w:r w:rsidRPr="00800A11">
        <w:rPr>
          <w:lang w:val="en-US"/>
        </w:rPr>
        <w:t>Ambrisentan</w:t>
      </w:r>
      <w:proofErr w:type="spellEnd"/>
      <w:r w:rsidRPr="00800A11">
        <w:t xml:space="preserve"> </w:t>
      </w:r>
      <w:proofErr w:type="spellStart"/>
      <w:r w:rsidRPr="00800A11">
        <w:rPr>
          <w:lang w:val="en-US"/>
        </w:rPr>
        <w:t>Teva</w:t>
      </w:r>
      <w:proofErr w:type="spellEnd"/>
      <w:r w:rsidRPr="00800A11">
        <w:t xml:space="preserve"> 10 </w:t>
      </w:r>
      <w:r w:rsidRPr="00800A11">
        <w:rPr>
          <w:lang w:val="en-US"/>
        </w:rPr>
        <w:t>mg</w:t>
      </w:r>
      <w:r w:rsidRPr="00800A11">
        <w:t xml:space="preserve"> </w:t>
      </w:r>
      <w:r w:rsidRPr="00800A11">
        <w:rPr>
          <w:lang w:val="en-US"/>
        </w:rPr>
        <w:t>film</w:t>
      </w:r>
      <w:r w:rsidRPr="00800A11">
        <w:t>-</w:t>
      </w:r>
      <w:r w:rsidRPr="00800A11">
        <w:rPr>
          <w:lang w:val="en-US"/>
        </w:rPr>
        <w:t>coated</w:t>
      </w:r>
      <w:r w:rsidRPr="00800A11">
        <w:t xml:space="preserve"> </w:t>
      </w:r>
      <w:r w:rsidRPr="00800A11">
        <w:rPr>
          <w:lang w:val="en-US"/>
        </w:rPr>
        <w:t>tablets</w:t>
      </w:r>
    </w:p>
    <w:p w14:paraId="5F9C352B" w14:textId="77777777" w:rsidR="00800A11" w:rsidRPr="00800A11" w:rsidRDefault="00800A11" w:rsidP="00800A11"/>
    <w:p w14:paraId="6920A680" w14:textId="4A47C233" w:rsidR="00C40420" w:rsidRDefault="00DD466D" w:rsidP="004A448E">
      <w:pPr>
        <w:pStyle w:val="Heading1"/>
      </w:pPr>
      <w:r>
        <w:t>2. КАЧЕСТВЕН И КОЛИЧЕСТВЕН СЪСТАВ</w:t>
      </w:r>
    </w:p>
    <w:p w14:paraId="3DF1E88F" w14:textId="04737B1D" w:rsidR="00800A11" w:rsidRDefault="00800A11" w:rsidP="00800A11"/>
    <w:p w14:paraId="131BEB82" w14:textId="77777777" w:rsidR="00800A11" w:rsidRPr="00800A11" w:rsidRDefault="00800A11" w:rsidP="00800A11">
      <w:pPr>
        <w:spacing w:line="240" w:lineRule="auto"/>
        <w:rPr>
          <w:rFonts w:eastAsia="Times New Roman" w:cs="Arial"/>
          <w:sz w:val="12"/>
          <w:szCs w:val="24"/>
        </w:rPr>
      </w:pPr>
      <w:r w:rsidRPr="00800A11">
        <w:rPr>
          <w:rFonts w:eastAsia="Times New Roman" w:cs="Arial"/>
          <w:color w:val="000000"/>
          <w:szCs w:val="44"/>
          <w:u w:val="single"/>
          <w:lang w:eastAsia="bg-BG"/>
        </w:rPr>
        <w:t xml:space="preserve">Амбрисентан Тева 5 </w:t>
      </w:r>
      <w:r w:rsidRPr="00800A11">
        <w:rPr>
          <w:rFonts w:eastAsia="Times New Roman" w:cs="Arial"/>
          <w:color w:val="000000"/>
          <w:szCs w:val="44"/>
          <w:u w:val="single"/>
          <w:lang w:val="en-US"/>
        </w:rPr>
        <w:t>mg</w:t>
      </w:r>
      <w:r w:rsidRPr="00800A11">
        <w:rPr>
          <w:rFonts w:eastAsia="Times New Roman" w:cs="Arial"/>
          <w:color w:val="000000"/>
          <w:szCs w:val="44"/>
          <w:u w:val="single"/>
        </w:rPr>
        <w:t xml:space="preserve"> </w:t>
      </w:r>
      <w:r w:rsidRPr="00800A11">
        <w:rPr>
          <w:rFonts w:eastAsia="Times New Roman" w:cs="Arial"/>
          <w:color w:val="000000"/>
          <w:szCs w:val="44"/>
          <w:u w:val="single"/>
          <w:lang w:eastAsia="bg-BG"/>
        </w:rPr>
        <w:t>филмирани таблетки</w:t>
      </w:r>
    </w:p>
    <w:p w14:paraId="3126847D" w14:textId="77777777" w:rsidR="00800A11" w:rsidRPr="00800A11" w:rsidRDefault="00800A11" w:rsidP="00800A11">
      <w:pPr>
        <w:spacing w:line="240" w:lineRule="auto"/>
        <w:rPr>
          <w:rFonts w:eastAsia="Times New Roman" w:cs="Arial"/>
          <w:sz w:val="12"/>
          <w:szCs w:val="24"/>
        </w:rPr>
      </w:pPr>
      <w:r w:rsidRPr="00800A11">
        <w:rPr>
          <w:rFonts w:eastAsia="Times New Roman" w:cs="Arial"/>
          <w:color w:val="000000"/>
          <w:szCs w:val="44"/>
          <w:lang w:eastAsia="bg-BG"/>
        </w:rPr>
        <w:t xml:space="preserve">Всяка таблетка съдържа 5 </w:t>
      </w:r>
      <w:r w:rsidRPr="00800A11">
        <w:rPr>
          <w:rFonts w:eastAsia="Times New Roman" w:cs="Arial"/>
          <w:color w:val="000000"/>
          <w:szCs w:val="44"/>
          <w:lang w:val="en-US"/>
        </w:rPr>
        <w:t>mg</w:t>
      </w:r>
      <w:r w:rsidRPr="00800A11">
        <w:rPr>
          <w:rFonts w:eastAsia="Times New Roman" w:cs="Arial"/>
          <w:color w:val="000000"/>
          <w:szCs w:val="44"/>
        </w:rPr>
        <w:t xml:space="preserve"> </w:t>
      </w:r>
      <w:r w:rsidRPr="00800A11">
        <w:rPr>
          <w:rFonts w:eastAsia="Times New Roman" w:cs="Arial"/>
          <w:color w:val="000000"/>
          <w:szCs w:val="44"/>
          <w:lang w:eastAsia="bg-BG"/>
        </w:rPr>
        <w:t xml:space="preserve">амбрисентан </w:t>
      </w:r>
      <w:r w:rsidRPr="00800A11">
        <w:rPr>
          <w:rFonts w:eastAsia="Times New Roman" w:cs="Arial"/>
          <w:color w:val="000000"/>
          <w:szCs w:val="44"/>
        </w:rPr>
        <w:t>(</w:t>
      </w:r>
      <w:proofErr w:type="spellStart"/>
      <w:r w:rsidRPr="00800A11">
        <w:rPr>
          <w:rFonts w:eastAsia="Times New Roman" w:cs="Arial"/>
          <w:color w:val="000000"/>
          <w:szCs w:val="44"/>
          <w:lang w:val="en-US"/>
        </w:rPr>
        <w:t>ambrisentan</w:t>
      </w:r>
      <w:proofErr w:type="spellEnd"/>
      <w:r w:rsidRPr="00800A11">
        <w:rPr>
          <w:rFonts w:eastAsia="Times New Roman" w:cs="Arial"/>
          <w:color w:val="000000"/>
          <w:szCs w:val="44"/>
        </w:rPr>
        <w:t>).</w:t>
      </w:r>
    </w:p>
    <w:p w14:paraId="49352717" w14:textId="77777777" w:rsidR="00800A11" w:rsidRPr="00800A11" w:rsidRDefault="00800A11" w:rsidP="00800A11">
      <w:pPr>
        <w:spacing w:line="240" w:lineRule="auto"/>
        <w:rPr>
          <w:rFonts w:eastAsia="Times New Roman" w:cs="Arial"/>
          <w:color w:val="000000"/>
          <w:szCs w:val="44"/>
          <w:u w:val="single"/>
          <w:lang w:eastAsia="bg-BG"/>
        </w:rPr>
      </w:pPr>
    </w:p>
    <w:p w14:paraId="2DB573F9" w14:textId="39CB597F" w:rsidR="00800A11" w:rsidRPr="00800A11" w:rsidRDefault="00800A11" w:rsidP="00800A11">
      <w:pPr>
        <w:spacing w:line="240" w:lineRule="auto"/>
        <w:rPr>
          <w:rFonts w:eastAsia="Times New Roman" w:cs="Arial"/>
          <w:sz w:val="12"/>
          <w:szCs w:val="24"/>
        </w:rPr>
      </w:pPr>
      <w:r w:rsidRPr="00800A11">
        <w:rPr>
          <w:rFonts w:eastAsia="Times New Roman" w:cs="Arial"/>
          <w:color w:val="000000"/>
          <w:szCs w:val="44"/>
          <w:u w:val="single"/>
          <w:lang w:eastAsia="bg-BG"/>
        </w:rPr>
        <w:t xml:space="preserve">Амбрисентан Тева 10 </w:t>
      </w:r>
      <w:r w:rsidRPr="00800A11">
        <w:rPr>
          <w:rFonts w:eastAsia="Times New Roman" w:cs="Arial"/>
          <w:color w:val="000000"/>
          <w:szCs w:val="44"/>
          <w:u w:val="single"/>
          <w:lang w:val="en-US"/>
        </w:rPr>
        <w:t>mg</w:t>
      </w:r>
      <w:r w:rsidRPr="00800A11">
        <w:rPr>
          <w:rFonts w:eastAsia="Times New Roman" w:cs="Arial"/>
          <w:color w:val="000000"/>
          <w:szCs w:val="44"/>
          <w:u w:val="single"/>
        </w:rPr>
        <w:t xml:space="preserve"> </w:t>
      </w:r>
      <w:r w:rsidRPr="00800A11">
        <w:rPr>
          <w:rFonts w:eastAsia="Times New Roman" w:cs="Arial"/>
          <w:color w:val="000000"/>
          <w:szCs w:val="44"/>
          <w:u w:val="single"/>
          <w:lang w:eastAsia="bg-BG"/>
        </w:rPr>
        <w:t>филмирани таблетки</w:t>
      </w:r>
    </w:p>
    <w:p w14:paraId="252ED2A7" w14:textId="77777777" w:rsidR="00800A11" w:rsidRPr="00800A11" w:rsidRDefault="00800A11" w:rsidP="00800A11">
      <w:pPr>
        <w:spacing w:line="240" w:lineRule="auto"/>
        <w:rPr>
          <w:rFonts w:eastAsia="Times New Roman" w:cs="Arial"/>
          <w:sz w:val="12"/>
          <w:szCs w:val="24"/>
        </w:rPr>
      </w:pPr>
      <w:r w:rsidRPr="00800A11">
        <w:rPr>
          <w:rFonts w:eastAsia="Times New Roman" w:cs="Arial"/>
          <w:color w:val="000000"/>
          <w:szCs w:val="44"/>
          <w:lang w:eastAsia="bg-BG"/>
        </w:rPr>
        <w:t xml:space="preserve">Всяка таблетка съдържа 10 </w:t>
      </w:r>
      <w:r w:rsidRPr="00800A11">
        <w:rPr>
          <w:rFonts w:eastAsia="Times New Roman" w:cs="Arial"/>
          <w:color w:val="000000"/>
          <w:szCs w:val="44"/>
          <w:lang w:val="en-US"/>
        </w:rPr>
        <w:t>mg</w:t>
      </w:r>
      <w:r w:rsidRPr="00800A11">
        <w:rPr>
          <w:rFonts w:eastAsia="Times New Roman" w:cs="Arial"/>
          <w:color w:val="000000"/>
          <w:szCs w:val="44"/>
        </w:rPr>
        <w:t xml:space="preserve"> </w:t>
      </w:r>
      <w:r w:rsidRPr="00800A11">
        <w:rPr>
          <w:rFonts w:eastAsia="Times New Roman" w:cs="Arial"/>
          <w:color w:val="000000"/>
          <w:szCs w:val="44"/>
          <w:lang w:eastAsia="bg-BG"/>
        </w:rPr>
        <w:t xml:space="preserve">амбрисентан </w:t>
      </w:r>
      <w:r w:rsidRPr="00800A11">
        <w:rPr>
          <w:rFonts w:eastAsia="Times New Roman" w:cs="Arial"/>
          <w:color w:val="000000"/>
          <w:szCs w:val="44"/>
        </w:rPr>
        <w:t>(</w:t>
      </w:r>
      <w:proofErr w:type="spellStart"/>
      <w:r w:rsidRPr="00800A11">
        <w:rPr>
          <w:rFonts w:eastAsia="Times New Roman" w:cs="Arial"/>
          <w:color w:val="000000"/>
          <w:szCs w:val="44"/>
          <w:lang w:val="en-US"/>
        </w:rPr>
        <w:t>ambrisentan</w:t>
      </w:r>
      <w:proofErr w:type="spellEnd"/>
      <w:r w:rsidRPr="00800A11">
        <w:rPr>
          <w:rFonts w:eastAsia="Times New Roman" w:cs="Arial"/>
          <w:color w:val="000000"/>
          <w:szCs w:val="44"/>
        </w:rPr>
        <w:t>).</w:t>
      </w:r>
    </w:p>
    <w:p w14:paraId="654C43A1" w14:textId="77777777" w:rsidR="00800A11" w:rsidRPr="00800A11" w:rsidRDefault="00800A11" w:rsidP="00800A11">
      <w:pPr>
        <w:spacing w:line="240" w:lineRule="auto"/>
        <w:rPr>
          <w:rFonts w:eastAsia="Times New Roman" w:cs="Arial"/>
          <w:color w:val="000000"/>
          <w:szCs w:val="44"/>
          <w:u w:val="single"/>
          <w:lang w:eastAsia="bg-BG"/>
        </w:rPr>
      </w:pPr>
    </w:p>
    <w:p w14:paraId="1054172E" w14:textId="3744CBD4" w:rsidR="00800A11" w:rsidRPr="00800A11" w:rsidRDefault="00800A11" w:rsidP="00800A11">
      <w:pPr>
        <w:spacing w:line="240" w:lineRule="auto"/>
        <w:rPr>
          <w:rFonts w:eastAsia="Times New Roman" w:cs="Arial"/>
          <w:sz w:val="12"/>
          <w:szCs w:val="24"/>
        </w:rPr>
      </w:pPr>
      <w:r w:rsidRPr="00800A11">
        <w:rPr>
          <w:rFonts w:eastAsia="Times New Roman" w:cs="Arial"/>
          <w:color w:val="000000"/>
          <w:szCs w:val="44"/>
          <w:u w:val="single"/>
          <w:lang w:eastAsia="bg-BG"/>
        </w:rPr>
        <w:t>Помощно(и) вещество(а) с известно действие</w:t>
      </w:r>
    </w:p>
    <w:p w14:paraId="0509F045" w14:textId="77777777" w:rsidR="00800A11" w:rsidRPr="00800A11" w:rsidRDefault="00800A11" w:rsidP="00800A11">
      <w:pPr>
        <w:spacing w:line="240" w:lineRule="auto"/>
        <w:rPr>
          <w:rFonts w:eastAsia="Times New Roman" w:cs="Arial"/>
          <w:sz w:val="12"/>
          <w:szCs w:val="24"/>
        </w:rPr>
      </w:pPr>
      <w:r w:rsidRPr="00800A11">
        <w:rPr>
          <w:rFonts w:eastAsia="Times New Roman" w:cs="Arial"/>
          <w:color w:val="000000"/>
          <w:szCs w:val="44"/>
          <w:lang w:eastAsia="bg-BG"/>
        </w:rPr>
        <w:t xml:space="preserve">Всяка филмирана таблетка от 5 </w:t>
      </w:r>
      <w:r w:rsidRPr="00800A11">
        <w:rPr>
          <w:rFonts w:eastAsia="Times New Roman" w:cs="Arial"/>
          <w:color w:val="000000"/>
          <w:szCs w:val="44"/>
          <w:lang w:val="en-US"/>
        </w:rPr>
        <w:t>mg</w:t>
      </w:r>
      <w:r w:rsidRPr="00800A11">
        <w:rPr>
          <w:rFonts w:eastAsia="Times New Roman" w:cs="Arial"/>
          <w:color w:val="000000"/>
          <w:szCs w:val="44"/>
          <w:lang w:val="ru-RU"/>
        </w:rPr>
        <w:t xml:space="preserve"> </w:t>
      </w:r>
      <w:r w:rsidRPr="00800A11">
        <w:rPr>
          <w:rFonts w:eastAsia="Times New Roman" w:cs="Arial"/>
          <w:color w:val="000000"/>
          <w:szCs w:val="44"/>
          <w:lang w:eastAsia="bg-BG"/>
        </w:rPr>
        <w:t xml:space="preserve">съдържа приблизително 75 </w:t>
      </w:r>
      <w:r w:rsidRPr="00800A11">
        <w:rPr>
          <w:rFonts w:eastAsia="Times New Roman" w:cs="Arial"/>
          <w:color w:val="000000"/>
          <w:szCs w:val="44"/>
          <w:lang w:val="en-US"/>
        </w:rPr>
        <w:t>mg</w:t>
      </w:r>
      <w:r w:rsidRPr="00800A11">
        <w:rPr>
          <w:rFonts w:eastAsia="Times New Roman" w:cs="Arial"/>
          <w:color w:val="000000"/>
          <w:szCs w:val="44"/>
          <w:lang w:val="ru-RU"/>
        </w:rPr>
        <w:t xml:space="preserve"> </w:t>
      </w:r>
      <w:r w:rsidRPr="00800A11">
        <w:rPr>
          <w:rFonts w:eastAsia="Times New Roman" w:cs="Arial"/>
          <w:color w:val="000000"/>
          <w:szCs w:val="44"/>
          <w:lang w:eastAsia="bg-BG"/>
        </w:rPr>
        <w:t xml:space="preserve">лактоза (като монохидрат), 0,1 </w:t>
      </w:r>
      <w:r w:rsidRPr="00800A11">
        <w:rPr>
          <w:rFonts w:eastAsia="Times New Roman" w:cs="Arial"/>
          <w:color w:val="000000"/>
          <w:szCs w:val="44"/>
          <w:lang w:val="en-US"/>
        </w:rPr>
        <w:t>mg</w:t>
      </w:r>
      <w:r w:rsidRPr="00800A11">
        <w:rPr>
          <w:rFonts w:eastAsia="Times New Roman" w:cs="Arial"/>
          <w:color w:val="000000"/>
          <w:szCs w:val="44"/>
          <w:lang w:val="ru-RU"/>
        </w:rPr>
        <w:t xml:space="preserve"> </w:t>
      </w:r>
      <w:r w:rsidRPr="00800A11">
        <w:rPr>
          <w:rFonts w:eastAsia="Times New Roman" w:cs="Arial"/>
          <w:color w:val="000000"/>
          <w:szCs w:val="44"/>
          <w:lang w:eastAsia="bg-BG"/>
        </w:rPr>
        <w:t xml:space="preserve">лецитин (соя) (Е322) и 0,19 </w:t>
      </w:r>
      <w:r w:rsidRPr="00800A11">
        <w:rPr>
          <w:rFonts w:eastAsia="Times New Roman" w:cs="Arial"/>
          <w:color w:val="000000"/>
          <w:szCs w:val="44"/>
          <w:lang w:val="en-US"/>
        </w:rPr>
        <w:t>mg</w:t>
      </w:r>
      <w:r w:rsidRPr="00800A11">
        <w:rPr>
          <w:rFonts w:eastAsia="Times New Roman" w:cs="Arial"/>
          <w:color w:val="000000"/>
          <w:szCs w:val="44"/>
          <w:lang w:val="ru-RU"/>
        </w:rPr>
        <w:t xml:space="preserve"> </w:t>
      </w:r>
      <w:r w:rsidRPr="00800A11">
        <w:rPr>
          <w:rFonts w:eastAsia="Times New Roman" w:cs="Arial"/>
          <w:color w:val="000000"/>
          <w:szCs w:val="44"/>
          <w:lang w:eastAsia="bg-BG"/>
        </w:rPr>
        <w:t>натрий.</w:t>
      </w:r>
    </w:p>
    <w:p w14:paraId="69532F27" w14:textId="77777777" w:rsidR="00800A11" w:rsidRPr="00800A11" w:rsidRDefault="00800A11" w:rsidP="00800A11">
      <w:pPr>
        <w:spacing w:line="240" w:lineRule="auto"/>
        <w:rPr>
          <w:rFonts w:eastAsia="Times New Roman" w:cs="Arial"/>
          <w:sz w:val="12"/>
          <w:szCs w:val="24"/>
        </w:rPr>
      </w:pPr>
      <w:r w:rsidRPr="00800A11">
        <w:rPr>
          <w:rFonts w:eastAsia="Times New Roman" w:cs="Arial"/>
          <w:color w:val="000000"/>
          <w:szCs w:val="44"/>
          <w:lang w:eastAsia="bg-BG"/>
        </w:rPr>
        <w:t xml:space="preserve">Всяка филмирана таблетка от 10 </w:t>
      </w:r>
      <w:r w:rsidRPr="00800A11">
        <w:rPr>
          <w:rFonts w:eastAsia="Times New Roman" w:cs="Arial"/>
          <w:color w:val="000000"/>
          <w:szCs w:val="44"/>
          <w:lang w:val="en-US"/>
        </w:rPr>
        <w:t>mg</w:t>
      </w:r>
      <w:r w:rsidRPr="00800A11">
        <w:rPr>
          <w:rFonts w:eastAsia="Times New Roman" w:cs="Arial"/>
          <w:color w:val="000000"/>
          <w:szCs w:val="44"/>
          <w:lang w:val="ru-RU"/>
        </w:rPr>
        <w:t xml:space="preserve"> </w:t>
      </w:r>
      <w:r w:rsidRPr="00800A11">
        <w:rPr>
          <w:rFonts w:eastAsia="Times New Roman" w:cs="Arial"/>
          <w:color w:val="000000"/>
          <w:szCs w:val="44"/>
          <w:lang w:eastAsia="bg-BG"/>
        </w:rPr>
        <w:t xml:space="preserve">съдържа приблизително 150 </w:t>
      </w:r>
      <w:r w:rsidRPr="00800A11">
        <w:rPr>
          <w:rFonts w:eastAsia="Times New Roman" w:cs="Arial"/>
          <w:color w:val="000000"/>
          <w:szCs w:val="44"/>
          <w:lang w:val="en-US"/>
        </w:rPr>
        <w:t>mg</w:t>
      </w:r>
      <w:r w:rsidRPr="00800A11">
        <w:rPr>
          <w:rFonts w:eastAsia="Times New Roman" w:cs="Arial"/>
          <w:color w:val="000000"/>
          <w:szCs w:val="44"/>
          <w:lang w:val="ru-RU"/>
        </w:rPr>
        <w:t xml:space="preserve"> </w:t>
      </w:r>
      <w:r w:rsidRPr="00800A11">
        <w:rPr>
          <w:rFonts w:eastAsia="Times New Roman" w:cs="Arial"/>
          <w:color w:val="000000"/>
          <w:szCs w:val="44"/>
          <w:lang w:eastAsia="bg-BG"/>
        </w:rPr>
        <w:t xml:space="preserve">лактоза (като монохидрат), 0,2 </w:t>
      </w:r>
      <w:r w:rsidRPr="00800A11">
        <w:rPr>
          <w:rFonts w:eastAsia="Times New Roman" w:cs="Arial"/>
          <w:color w:val="000000"/>
          <w:szCs w:val="44"/>
          <w:lang w:val="en-US"/>
        </w:rPr>
        <w:t>mg</w:t>
      </w:r>
      <w:r w:rsidRPr="00800A11">
        <w:rPr>
          <w:rFonts w:eastAsia="Times New Roman" w:cs="Arial"/>
          <w:color w:val="000000"/>
          <w:szCs w:val="44"/>
          <w:lang w:val="ru-RU"/>
        </w:rPr>
        <w:t xml:space="preserve"> </w:t>
      </w:r>
      <w:r w:rsidRPr="00800A11">
        <w:rPr>
          <w:rFonts w:eastAsia="Times New Roman" w:cs="Arial"/>
          <w:color w:val="000000"/>
          <w:szCs w:val="44"/>
          <w:lang w:eastAsia="bg-BG"/>
        </w:rPr>
        <w:t xml:space="preserve">лецитин (соя) (Е322) и 0,37 </w:t>
      </w:r>
      <w:r w:rsidRPr="00800A11">
        <w:rPr>
          <w:rFonts w:eastAsia="Times New Roman" w:cs="Arial"/>
          <w:color w:val="000000"/>
          <w:szCs w:val="44"/>
          <w:lang w:val="en-US"/>
        </w:rPr>
        <w:t>mg</w:t>
      </w:r>
      <w:r w:rsidRPr="00800A11">
        <w:rPr>
          <w:rFonts w:eastAsia="Times New Roman" w:cs="Arial"/>
          <w:color w:val="000000"/>
          <w:szCs w:val="44"/>
          <w:lang w:val="ru-RU"/>
        </w:rPr>
        <w:t xml:space="preserve"> </w:t>
      </w:r>
      <w:r w:rsidRPr="00800A11">
        <w:rPr>
          <w:rFonts w:eastAsia="Times New Roman" w:cs="Arial"/>
          <w:color w:val="000000"/>
          <w:szCs w:val="44"/>
          <w:lang w:eastAsia="bg-BG"/>
        </w:rPr>
        <w:t>натрий.</w:t>
      </w:r>
    </w:p>
    <w:p w14:paraId="5D46ADBF" w14:textId="77777777" w:rsidR="00800A11" w:rsidRPr="00800A11" w:rsidRDefault="00800A11" w:rsidP="00800A11"/>
    <w:p w14:paraId="614984C4" w14:textId="24063380" w:rsidR="008A6AF2" w:rsidRDefault="00DD466D" w:rsidP="002C50EE">
      <w:pPr>
        <w:pStyle w:val="Heading1"/>
      </w:pPr>
      <w:r>
        <w:t>3. ЛЕКАРСТВЕНА ФОРМА</w:t>
      </w:r>
    </w:p>
    <w:p w14:paraId="1CF26C93" w14:textId="1B3C0A49" w:rsidR="00800A11" w:rsidRDefault="00800A11" w:rsidP="00800A11"/>
    <w:p w14:paraId="5F770E4E" w14:textId="77777777" w:rsidR="00800A11" w:rsidRPr="00800A11" w:rsidRDefault="00800A11" w:rsidP="00800A11">
      <w:pPr>
        <w:spacing w:line="240" w:lineRule="auto"/>
        <w:rPr>
          <w:rFonts w:eastAsia="Times New Roman" w:cs="Arial"/>
        </w:rPr>
      </w:pPr>
      <w:r w:rsidRPr="00800A11">
        <w:rPr>
          <w:rFonts w:eastAsia="Times New Roman" w:cs="Arial"/>
          <w:color w:val="000000"/>
          <w:lang w:eastAsia="bg-BG"/>
        </w:rPr>
        <w:t>Филмирана таблетка (таблетка).</w:t>
      </w:r>
    </w:p>
    <w:p w14:paraId="513DD165" w14:textId="77777777" w:rsidR="00800A11" w:rsidRDefault="00800A11" w:rsidP="00800A11">
      <w:pPr>
        <w:spacing w:line="240" w:lineRule="auto"/>
        <w:rPr>
          <w:rFonts w:eastAsia="Times New Roman" w:cs="Arial"/>
          <w:color w:val="000000"/>
          <w:u w:val="single"/>
          <w:lang w:eastAsia="bg-BG"/>
        </w:rPr>
      </w:pPr>
    </w:p>
    <w:p w14:paraId="756CA51E" w14:textId="5C660795"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 xml:space="preserve">Амбрисентан Тева 5 </w:t>
      </w:r>
      <w:r w:rsidRPr="00800A11">
        <w:rPr>
          <w:rFonts w:eastAsia="Times New Roman" w:cs="Arial"/>
          <w:color w:val="000000"/>
          <w:u w:val="single"/>
          <w:lang w:val="en-US"/>
        </w:rPr>
        <w:t>mg</w:t>
      </w:r>
      <w:r w:rsidRPr="00800A11">
        <w:rPr>
          <w:rFonts w:eastAsia="Times New Roman" w:cs="Arial"/>
          <w:color w:val="000000"/>
          <w:u w:val="single"/>
          <w:lang w:val="ru-RU"/>
        </w:rPr>
        <w:t xml:space="preserve"> </w:t>
      </w:r>
      <w:r w:rsidRPr="00800A11">
        <w:rPr>
          <w:rFonts w:eastAsia="Times New Roman" w:cs="Arial"/>
          <w:color w:val="000000"/>
          <w:u w:val="single"/>
          <w:lang w:eastAsia="bg-BG"/>
        </w:rPr>
        <w:t>филмирани таблетки</w:t>
      </w:r>
    </w:p>
    <w:p w14:paraId="6407677B" w14:textId="77777777"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Бели до почти бели, продълговати филмирани таблетки с приблизителен размер </w:t>
      </w:r>
      <w:r w:rsidRPr="00800A11">
        <w:rPr>
          <w:rFonts w:eastAsia="Times New Roman" w:cs="Arial"/>
          <w:color w:val="000000"/>
          <w:lang w:val="ru-RU"/>
        </w:rPr>
        <w:t>8</w:t>
      </w:r>
      <w:r w:rsidRPr="00800A11">
        <w:rPr>
          <w:rFonts w:eastAsia="Times New Roman" w:cs="Arial"/>
          <w:color w:val="000000"/>
          <w:lang w:val="en-US"/>
        </w:rPr>
        <w:t>x</w:t>
      </w:r>
      <w:r w:rsidRPr="00800A11">
        <w:rPr>
          <w:rFonts w:eastAsia="Times New Roman" w:cs="Arial"/>
          <w:color w:val="000000"/>
          <w:lang w:val="ru-RU"/>
        </w:rPr>
        <w:t xml:space="preserve">4 </w:t>
      </w:r>
      <w:r w:rsidRPr="00800A11">
        <w:rPr>
          <w:rFonts w:eastAsia="Times New Roman" w:cs="Arial"/>
          <w:color w:val="000000"/>
          <w:lang w:val="en-US"/>
        </w:rPr>
        <w:t>mm</w:t>
      </w:r>
      <w:r w:rsidRPr="00800A11">
        <w:rPr>
          <w:rFonts w:eastAsia="Times New Roman" w:cs="Arial"/>
          <w:color w:val="000000"/>
          <w:lang w:val="ru-RU"/>
        </w:rPr>
        <w:t xml:space="preserve">, </w:t>
      </w:r>
      <w:r w:rsidRPr="00800A11">
        <w:rPr>
          <w:rFonts w:eastAsia="Times New Roman" w:cs="Arial"/>
          <w:color w:val="000000"/>
          <w:lang w:eastAsia="bg-BG"/>
        </w:rPr>
        <w:t>с вдлъбнато релефно означение "5" от едната страна и "405" от другата страна.</w:t>
      </w:r>
    </w:p>
    <w:p w14:paraId="778CB7F2" w14:textId="77777777" w:rsidR="00800A11" w:rsidRDefault="00800A11" w:rsidP="00800A11">
      <w:pPr>
        <w:spacing w:line="240" w:lineRule="auto"/>
        <w:rPr>
          <w:rFonts w:eastAsia="Times New Roman" w:cs="Arial"/>
          <w:color w:val="000000"/>
          <w:u w:val="single"/>
          <w:lang w:eastAsia="bg-BG"/>
        </w:rPr>
      </w:pPr>
    </w:p>
    <w:p w14:paraId="0B19D5FE" w14:textId="4B96E99B"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 xml:space="preserve">Амбрисентан Тева 10 </w:t>
      </w:r>
      <w:r w:rsidRPr="00800A11">
        <w:rPr>
          <w:rFonts w:eastAsia="Times New Roman" w:cs="Arial"/>
          <w:color w:val="000000"/>
          <w:u w:val="single"/>
          <w:lang w:val="en-US"/>
        </w:rPr>
        <w:t>mg</w:t>
      </w:r>
      <w:r w:rsidRPr="00800A11">
        <w:rPr>
          <w:rFonts w:eastAsia="Times New Roman" w:cs="Arial"/>
          <w:color w:val="000000"/>
          <w:u w:val="single"/>
          <w:lang w:val="ru-RU"/>
        </w:rPr>
        <w:t xml:space="preserve"> </w:t>
      </w:r>
      <w:r w:rsidRPr="00800A11">
        <w:rPr>
          <w:rFonts w:eastAsia="Times New Roman" w:cs="Arial"/>
          <w:color w:val="000000"/>
          <w:u w:val="single"/>
          <w:lang w:eastAsia="bg-BG"/>
        </w:rPr>
        <w:t>филмирани таблетки</w:t>
      </w:r>
    </w:p>
    <w:p w14:paraId="793331DC" w14:textId="77777777" w:rsidR="00800A11" w:rsidRPr="00800A11" w:rsidRDefault="00800A11" w:rsidP="00800A11">
      <w:pPr>
        <w:spacing w:line="240" w:lineRule="auto"/>
        <w:rPr>
          <w:rFonts w:ascii="Times New Roman" w:eastAsia="Times New Roman" w:hAnsi="Times New Roman" w:cs="Times New Roman"/>
          <w:sz w:val="24"/>
          <w:szCs w:val="24"/>
        </w:rPr>
      </w:pPr>
      <w:r w:rsidRPr="00800A11">
        <w:rPr>
          <w:rFonts w:eastAsia="Times New Roman" w:cs="Arial"/>
          <w:color w:val="000000"/>
          <w:lang w:eastAsia="bg-BG"/>
        </w:rPr>
        <w:t xml:space="preserve">Бели до почти бели, продълговати филмирани таблетки с приблизителен размер 11 х 5,1 </w:t>
      </w:r>
      <w:r w:rsidRPr="00800A11">
        <w:rPr>
          <w:rFonts w:eastAsia="Times New Roman" w:cs="Arial"/>
          <w:color w:val="000000"/>
          <w:lang w:val="en-US"/>
        </w:rPr>
        <w:t>mm</w:t>
      </w:r>
      <w:r w:rsidRPr="00800A11">
        <w:rPr>
          <w:rFonts w:eastAsia="Times New Roman" w:cs="Arial"/>
          <w:color w:val="000000"/>
          <w:lang w:val="ru-RU"/>
        </w:rPr>
        <w:t xml:space="preserve">, </w:t>
      </w:r>
      <w:r w:rsidRPr="00800A11">
        <w:rPr>
          <w:rFonts w:eastAsia="Times New Roman" w:cs="Arial"/>
          <w:color w:val="000000"/>
          <w:lang w:eastAsia="bg-BG"/>
        </w:rPr>
        <w:t>с вдлъбнато релефно означение "10" от едната страна и "406" от другата страна.</w:t>
      </w:r>
    </w:p>
    <w:p w14:paraId="696365EA" w14:textId="77777777" w:rsidR="00800A11" w:rsidRPr="00800A11" w:rsidRDefault="00800A11" w:rsidP="00800A11"/>
    <w:p w14:paraId="490FC2C4" w14:textId="32682B15" w:rsidR="002C50EE" w:rsidRDefault="002C50EE" w:rsidP="002C50EE">
      <w:pPr>
        <w:pStyle w:val="Heading1"/>
      </w:pPr>
      <w:r>
        <w:t>4. КЛИНИЧНИ ДАННИ</w:t>
      </w:r>
    </w:p>
    <w:p w14:paraId="0C8E6903" w14:textId="6C79BA8B" w:rsidR="008134C8" w:rsidRDefault="002C50EE" w:rsidP="004A448E">
      <w:pPr>
        <w:pStyle w:val="Heading2"/>
      </w:pPr>
      <w:r>
        <w:t>4.1. Терапевтични показания</w:t>
      </w:r>
    </w:p>
    <w:p w14:paraId="14F65B9D" w14:textId="4A2545EA" w:rsidR="00800A11" w:rsidRDefault="00800A11" w:rsidP="00800A11"/>
    <w:p w14:paraId="0379C00D" w14:textId="77777777" w:rsidR="00800A11" w:rsidRPr="00800A11" w:rsidRDefault="00800A11" w:rsidP="00800A11">
      <w:pPr>
        <w:rPr>
          <w:sz w:val="24"/>
          <w:szCs w:val="24"/>
        </w:rPr>
      </w:pPr>
      <w:r w:rsidRPr="00800A11">
        <w:rPr>
          <w:lang w:eastAsia="bg-BG"/>
        </w:rPr>
        <w:t>Амбрисентан Тева е показан за лечение на белодробна артериална хипертония (БАХ) при възрастни пациенти с функционален клас (ФК) по СЗОII до III, включително и за употреба в комбинирана терапия (вж. точка 5.1). Доказана е ефикасността му при идиопатична БАХ (ИБАХ) и при БАХ, свързана със заболяване на съединителната тъкан.</w:t>
      </w:r>
    </w:p>
    <w:p w14:paraId="12F7FE79" w14:textId="77777777" w:rsidR="00800A11" w:rsidRPr="00800A11" w:rsidRDefault="00800A11" w:rsidP="00800A11"/>
    <w:p w14:paraId="30BE2C7B" w14:textId="70C96034" w:rsidR="008134C8" w:rsidRDefault="002C50EE" w:rsidP="004A448E">
      <w:pPr>
        <w:pStyle w:val="Heading2"/>
      </w:pPr>
      <w:r>
        <w:t>4.2. Дозировка и начин на приложение</w:t>
      </w:r>
    </w:p>
    <w:p w14:paraId="787C8E8B" w14:textId="5D755AD0" w:rsidR="00800A11" w:rsidRDefault="00800A11" w:rsidP="00800A11"/>
    <w:p w14:paraId="0F750BBF" w14:textId="77777777" w:rsidR="00800A11" w:rsidRPr="00800A11" w:rsidRDefault="00800A11" w:rsidP="00800A11">
      <w:pPr>
        <w:rPr>
          <w:sz w:val="24"/>
          <w:szCs w:val="24"/>
        </w:rPr>
      </w:pPr>
      <w:r w:rsidRPr="00800A11">
        <w:rPr>
          <w:lang w:eastAsia="bg-BG"/>
        </w:rPr>
        <w:t>Лечението трябва да се започва само от лекар с опит в лечението на БАХ.</w:t>
      </w:r>
    </w:p>
    <w:p w14:paraId="7A29C230" w14:textId="7C81278C" w:rsidR="00800A11" w:rsidRDefault="00800A11" w:rsidP="00800A11"/>
    <w:p w14:paraId="601E7B8B" w14:textId="77777777" w:rsidR="00800A11" w:rsidRPr="00800A11" w:rsidRDefault="00800A11" w:rsidP="00800A11">
      <w:pPr>
        <w:pStyle w:val="Heading3"/>
        <w:rPr>
          <w:rFonts w:eastAsia="Times New Roman"/>
          <w:u w:val="single"/>
        </w:rPr>
      </w:pPr>
      <w:r w:rsidRPr="00800A11">
        <w:rPr>
          <w:rFonts w:eastAsia="Times New Roman"/>
          <w:u w:val="single"/>
          <w:lang w:eastAsia="bg-BG"/>
        </w:rPr>
        <w:t>Дозировка</w:t>
      </w:r>
    </w:p>
    <w:p w14:paraId="217C84C7" w14:textId="77777777" w:rsidR="00800A11" w:rsidRDefault="00800A11" w:rsidP="00800A11">
      <w:pPr>
        <w:spacing w:line="240" w:lineRule="auto"/>
        <w:rPr>
          <w:rFonts w:eastAsia="Times New Roman" w:cs="Arial"/>
          <w:i/>
          <w:iCs/>
          <w:color w:val="000000"/>
          <w:lang w:eastAsia="bg-BG"/>
        </w:rPr>
      </w:pPr>
    </w:p>
    <w:p w14:paraId="0C7677CA" w14:textId="1DE97D66" w:rsidR="00800A11" w:rsidRPr="00800A11" w:rsidRDefault="00800A11" w:rsidP="00800A11">
      <w:pPr>
        <w:spacing w:line="240" w:lineRule="auto"/>
        <w:rPr>
          <w:rFonts w:eastAsia="Times New Roman" w:cs="Arial"/>
        </w:rPr>
      </w:pPr>
      <w:r w:rsidRPr="00800A11">
        <w:rPr>
          <w:rFonts w:eastAsia="Times New Roman" w:cs="Arial"/>
          <w:i/>
          <w:iCs/>
          <w:color w:val="000000"/>
          <w:lang w:eastAsia="bg-BG"/>
        </w:rPr>
        <w:t xml:space="preserve">Монотерапия </w:t>
      </w:r>
      <w:r w:rsidRPr="00800A11">
        <w:rPr>
          <w:rFonts w:eastAsia="Times New Roman" w:cs="Arial"/>
          <w:i/>
          <w:iCs/>
          <w:color w:val="000000"/>
          <w:lang w:val="en-US"/>
        </w:rPr>
        <w:t>s</w:t>
      </w:r>
      <w:r w:rsidRPr="00800A11">
        <w:rPr>
          <w:rFonts w:eastAsia="Times New Roman" w:cs="Arial"/>
          <w:i/>
          <w:iCs/>
          <w:color w:val="000000"/>
          <w:lang w:eastAsia="bg-BG"/>
        </w:rPr>
        <w:t xml:space="preserve"> амбрисентан</w:t>
      </w:r>
    </w:p>
    <w:p w14:paraId="37DE3043" w14:textId="77777777"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Амбрисентан Тева трябва да се приема перорално, като се започне с доза от 5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 xml:space="preserve">веднъж дневно и в зависимост от клиничния отговор и поносимостта, дозата може да се повиши до 10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дневно.</w:t>
      </w:r>
    </w:p>
    <w:p w14:paraId="00A02911" w14:textId="77777777" w:rsidR="00800A11" w:rsidRDefault="00800A11" w:rsidP="00800A11">
      <w:pPr>
        <w:spacing w:line="240" w:lineRule="auto"/>
        <w:rPr>
          <w:rFonts w:eastAsia="Times New Roman" w:cs="Arial"/>
          <w:i/>
          <w:iCs/>
          <w:color w:val="000000"/>
          <w:lang w:eastAsia="bg-BG"/>
        </w:rPr>
      </w:pPr>
    </w:p>
    <w:p w14:paraId="61EE56CD" w14:textId="40FE8E26" w:rsidR="00800A11" w:rsidRPr="00800A11" w:rsidRDefault="00800A11" w:rsidP="00800A11">
      <w:pPr>
        <w:spacing w:line="240" w:lineRule="auto"/>
        <w:rPr>
          <w:rFonts w:eastAsia="Times New Roman" w:cs="Arial"/>
        </w:rPr>
      </w:pPr>
      <w:r w:rsidRPr="00800A11">
        <w:rPr>
          <w:rFonts w:eastAsia="Times New Roman" w:cs="Arial"/>
          <w:i/>
          <w:iCs/>
          <w:color w:val="000000"/>
          <w:lang w:eastAsia="bg-BG"/>
        </w:rPr>
        <w:t>Амбрисентан в комбинация с тадалафил</w:t>
      </w:r>
    </w:p>
    <w:p w14:paraId="0F84D5DC" w14:textId="77777777"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Когато се използва в комбинация с тадалафил, Амбрисентан Тева трябва да се титрира до 10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веднъж дневно.</w:t>
      </w:r>
    </w:p>
    <w:p w14:paraId="04BBBB9B" w14:textId="77777777" w:rsidR="00800A11" w:rsidRDefault="00800A11" w:rsidP="00800A11">
      <w:pPr>
        <w:spacing w:line="240" w:lineRule="auto"/>
        <w:rPr>
          <w:rFonts w:eastAsia="Times New Roman" w:cs="Arial"/>
          <w:color w:val="000000"/>
          <w:lang w:eastAsia="bg-BG"/>
        </w:rPr>
      </w:pPr>
    </w:p>
    <w:p w14:paraId="760D1529" w14:textId="1B541BD0"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В проучването </w:t>
      </w:r>
      <w:r w:rsidRPr="00800A11">
        <w:rPr>
          <w:rFonts w:eastAsia="Times New Roman" w:cs="Arial"/>
          <w:color w:val="000000"/>
          <w:lang w:val="en-US"/>
        </w:rPr>
        <w:t>AMBITION</w:t>
      </w:r>
      <w:r w:rsidRPr="00800A11">
        <w:rPr>
          <w:rFonts w:eastAsia="Times New Roman" w:cs="Arial"/>
          <w:color w:val="000000"/>
          <w:lang w:val="ru-RU"/>
        </w:rPr>
        <w:t xml:space="preserve">, </w:t>
      </w:r>
      <w:r w:rsidRPr="00800A11">
        <w:rPr>
          <w:rFonts w:eastAsia="Times New Roman" w:cs="Arial"/>
          <w:color w:val="000000"/>
          <w:lang w:eastAsia="bg-BG"/>
        </w:rPr>
        <w:t xml:space="preserve">пациентите получават 5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 xml:space="preserve">амбрисентан веднъж дневно през първите 8 седмици преди възходящо титриране до 10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 xml:space="preserve">в зависимост от поносимостта (вж. точка 5.1). Когато амбрисентан се използва в комбинация с тадалафил, лечението на пациентите се започва с 5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 xml:space="preserve">амбрисентан и 20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 xml:space="preserve">тадалафил. В зависимост от поносимостта, дозата на тадалафил се повишава до 40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 xml:space="preserve">след 4 седмици, а дозата на амбрисентан се повишава до 10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след 8 седмици. Повече от 90% от пациентите са постигнали това. В зависимост от поносимостта, дозите могат също да се понижат.</w:t>
      </w:r>
    </w:p>
    <w:p w14:paraId="21A5AF16" w14:textId="77777777" w:rsidR="00800A11" w:rsidRDefault="00800A11" w:rsidP="00800A11">
      <w:pPr>
        <w:spacing w:line="240" w:lineRule="auto"/>
        <w:rPr>
          <w:rFonts w:eastAsia="Times New Roman" w:cs="Arial"/>
          <w:color w:val="000000"/>
          <w:lang w:eastAsia="bg-BG"/>
        </w:rPr>
      </w:pPr>
    </w:p>
    <w:p w14:paraId="6EF1C798" w14:textId="3118DB66" w:rsidR="00800A11" w:rsidRPr="00800A11" w:rsidRDefault="00800A11" w:rsidP="00800A11">
      <w:pPr>
        <w:spacing w:line="240" w:lineRule="auto"/>
        <w:rPr>
          <w:rFonts w:eastAsia="Times New Roman" w:cs="Arial"/>
        </w:rPr>
      </w:pPr>
      <w:r w:rsidRPr="00800A11">
        <w:rPr>
          <w:rFonts w:eastAsia="Times New Roman" w:cs="Arial"/>
          <w:color w:val="000000"/>
          <w:lang w:eastAsia="bg-BG"/>
        </w:rPr>
        <w:t>Ограничени данни сочат, че внезапното спиране на приложението на амбрисентан не е свързано с влошаване на БАХ.</w:t>
      </w:r>
    </w:p>
    <w:p w14:paraId="4C82FC3E" w14:textId="77777777"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При едновременно прилагане с циклоспорин А, дозата на амбрисентан трябва да се ограничи до 5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веднъж дневно и пациентът трябва да се наблюдава внимателно (вж. точки 4.5 и 5.2).</w:t>
      </w:r>
    </w:p>
    <w:p w14:paraId="20CDC7C7" w14:textId="77777777" w:rsidR="00800A11" w:rsidRDefault="00800A11" w:rsidP="00800A11">
      <w:pPr>
        <w:spacing w:line="240" w:lineRule="auto"/>
        <w:rPr>
          <w:rFonts w:eastAsia="Times New Roman" w:cs="Arial"/>
          <w:color w:val="000000"/>
          <w:u w:val="single"/>
          <w:lang w:eastAsia="bg-BG"/>
        </w:rPr>
      </w:pPr>
    </w:p>
    <w:p w14:paraId="5813B143" w14:textId="5D3439F6"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Специални популации</w:t>
      </w:r>
    </w:p>
    <w:p w14:paraId="2274E722" w14:textId="77777777" w:rsidR="00800A11" w:rsidRDefault="00800A11" w:rsidP="00800A11">
      <w:pPr>
        <w:spacing w:line="240" w:lineRule="auto"/>
        <w:rPr>
          <w:rFonts w:eastAsia="Times New Roman" w:cs="Arial"/>
          <w:i/>
          <w:iCs/>
          <w:color w:val="000000"/>
          <w:u w:val="single"/>
          <w:lang w:eastAsia="bg-BG"/>
        </w:rPr>
      </w:pPr>
    </w:p>
    <w:p w14:paraId="06842FE9" w14:textId="37A079FE" w:rsidR="00800A11" w:rsidRPr="00800A11" w:rsidRDefault="00800A11" w:rsidP="00800A11">
      <w:pPr>
        <w:spacing w:line="240" w:lineRule="auto"/>
        <w:rPr>
          <w:rFonts w:eastAsia="Times New Roman" w:cs="Arial"/>
        </w:rPr>
      </w:pPr>
      <w:r w:rsidRPr="00800A11">
        <w:rPr>
          <w:rFonts w:eastAsia="Times New Roman" w:cs="Arial"/>
          <w:i/>
          <w:iCs/>
          <w:color w:val="000000"/>
          <w:u w:val="single"/>
          <w:lang w:eastAsia="bg-BG"/>
        </w:rPr>
        <w:t>Пациенти в старческа възраст</w:t>
      </w:r>
    </w:p>
    <w:p w14:paraId="041C7819" w14:textId="77777777" w:rsidR="00800A11" w:rsidRDefault="00800A11" w:rsidP="00800A11">
      <w:pPr>
        <w:spacing w:line="240" w:lineRule="auto"/>
        <w:rPr>
          <w:rFonts w:eastAsia="Times New Roman" w:cs="Arial"/>
          <w:color w:val="000000"/>
          <w:lang w:eastAsia="bg-BG"/>
        </w:rPr>
      </w:pPr>
    </w:p>
    <w:p w14:paraId="182EA596" w14:textId="50CA8350" w:rsidR="00800A11" w:rsidRPr="00800A11" w:rsidRDefault="00800A11" w:rsidP="00800A11">
      <w:pPr>
        <w:spacing w:line="240" w:lineRule="auto"/>
        <w:rPr>
          <w:rFonts w:eastAsia="Times New Roman" w:cs="Arial"/>
        </w:rPr>
      </w:pPr>
      <w:r w:rsidRPr="00800A11">
        <w:rPr>
          <w:rFonts w:eastAsia="Times New Roman" w:cs="Arial"/>
          <w:color w:val="000000"/>
          <w:lang w:eastAsia="bg-BG"/>
        </w:rPr>
        <w:t>Не е необходимо коригиране на дозата при пациенти на възраст над 65 години (вж. точка 5.2).</w:t>
      </w:r>
    </w:p>
    <w:p w14:paraId="4B6165F2" w14:textId="77777777" w:rsidR="00800A11" w:rsidRDefault="00800A11" w:rsidP="00800A11">
      <w:pPr>
        <w:spacing w:line="240" w:lineRule="auto"/>
        <w:rPr>
          <w:rFonts w:eastAsia="Times New Roman" w:cs="Arial"/>
          <w:i/>
          <w:iCs/>
          <w:color w:val="000000"/>
          <w:u w:val="single"/>
          <w:lang w:eastAsia="bg-BG"/>
        </w:rPr>
      </w:pPr>
    </w:p>
    <w:p w14:paraId="509317D9" w14:textId="79D3BF5E" w:rsidR="00800A11" w:rsidRPr="00800A11" w:rsidRDefault="00800A11" w:rsidP="00800A11">
      <w:pPr>
        <w:spacing w:line="240" w:lineRule="auto"/>
        <w:rPr>
          <w:rFonts w:eastAsia="Times New Roman" w:cs="Arial"/>
        </w:rPr>
      </w:pPr>
      <w:r w:rsidRPr="00800A11">
        <w:rPr>
          <w:rFonts w:eastAsia="Times New Roman" w:cs="Arial"/>
          <w:i/>
          <w:iCs/>
          <w:color w:val="000000"/>
          <w:u w:val="single"/>
          <w:lang w:eastAsia="bg-BG"/>
        </w:rPr>
        <w:t>Пациенти с бъбречно увреждане</w:t>
      </w:r>
    </w:p>
    <w:p w14:paraId="7F4D3A82" w14:textId="77777777" w:rsidR="00800A11" w:rsidRDefault="00800A11" w:rsidP="00800A11">
      <w:pPr>
        <w:spacing w:line="240" w:lineRule="auto"/>
        <w:rPr>
          <w:rFonts w:eastAsia="Times New Roman" w:cs="Arial"/>
          <w:color w:val="000000"/>
          <w:lang w:eastAsia="bg-BG"/>
        </w:rPr>
      </w:pPr>
    </w:p>
    <w:p w14:paraId="3606CE0D" w14:textId="2DFA8857" w:rsidR="00800A11" w:rsidRPr="00800A11" w:rsidRDefault="00800A11" w:rsidP="00800A11">
      <w:pPr>
        <w:spacing w:line="240" w:lineRule="auto"/>
        <w:rPr>
          <w:rFonts w:eastAsia="Times New Roman" w:cs="Arial"/>
          <w:color w:val="000000"/>
          <w:lang w:eastAsia="bg-BG"/>
        </w:rPr>
      </w:pPr>
      <w:r w:rsidRPr="00800A11">
        <w:rPr>
          <w:rFonts w:eastAsia="Times New Roman" w:cs="Arial"/>
          <w:color w:val="000000"/>
          <w:lang w:eastAsia="bg-BG"/>
        </w:rPr>
        <w:t xml:space="preserve">Не е необходимо коригиране на дозата при пациенти с бъбречно увреждане (вж. точка 5.2). Има ограничен опит с амбрисентан при индивиди с тежко бъбречно увреждане (креатининов клирънс &lt;30 </w:t>
      </w:r>
      <w:r w:rsidRPr="00800A11">
        <w:rPr>
          <w:rFonts w:eastAsia="Times New Roman" w:cs="Arial"/>
          <w:color w:val="000000"/>
          <w:lang w:val="en-US"/>
        </w:rPr>
        <w:t>ml</w:t>
      </w:r>
      <w:r w:rsidRPr="00800A11">
        <w:rPr>
          <w:rFonts w:eastAsia="Times New Roman" w:cs="Arial"/>
          <w:color w:val="000000"/>
          <w:lang w:val="ru-RU"/>
        </w:rPr>
        <w:t>/</w:t>
      </w:r>
      <w:r w:rsidRPr="00800A11">
        <w:rPr>
          <w:rFonts w:eastAsia="Times New Roman" w:cs="Arial"/>
          <w:color w:val="000000"/>
          <w:lang w:val="en-US"/>
        </w:rPr>
        <w:t>min</w:t>
      </w:r>
      <w:r w:rsidRPr="00800A11">
        <w:rPr>
          <w:rFonts w:eastAsia="Times New Roman" w:cs="Arial"/>
          <w:color w:val="000000"/>
          <w:lang w:val="ru-RU"/>
        </w:rPr>
        <w:t xml:space="preserve">). </w:t>
      </w:r>
      <w:r w:rsidRPr="00800A11">
        <w:rPr>
          <w:rFonts w:eastAsia="Times New Roman" w:cs="Arial"/>
          <w:color w:val="000000"/>
          <w:lang w:eastAsia="bg-BG"/>
        </w:rPr>
        <w:t xml:space="preserve">При тази подгрупа, лечението трябва да се започне с повишено внимание и да се обърне особено внимание, ако дозата се повиши до 10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амбрисентан.</w:t>
      </w:r>
    </w:p>
    <w:p w14:paraId="250BA361" w14:textId="77777777" w:rsidR="00800A11" w:rsidRDefault="00800A11" w:rsidP="00800A11">
      <w:pPr>
        <w:spacing w:line="240" w:lineRule="auto"/>
        <w:rPr>
          <w:rFonts w:eastAsia="Times New Roman" w:cs="Arial"/>
          <w:i/>
          <w:iCs/>
          <w:color w:val="000000"/>
          <w:u w:val="single"/>
          <w:lang w:eastAsia="bg-BG"/>
        </w:rPr>
      </w:pPr>
    </w:p>
    <w:p w14:paraId="3E1BA9FB" w14:textId="5337F700" w:rsidR="00800A11" w:rsidRPr="00800A11" w:rsidRDefault="00800A11" w:rsidP="00800A11">
      <w:pPr>
        <w:spacing w:line="240" w:lineRule="auto"/>
        <w:rPr>
          <w:rFonts w:eastAsia="Times New Roman" w:cs="Arial"/>
        </w:rPr>
      </w:pPr>
      <w:r w:rsidRPr="00800A11">
        <w:rPr>
          <w:rFonts w:eastAsia="Times New Roman" w:cs="Arial"/>
          <w:i/>
          <w:iCs/>
          <w:color w:val="000000"/>
          <w:u w:val="single"/>
          <w:lang w:eastAsia="bg-BG"/>
        </w:rPr>
        <w:t>Пациенти с чернодробно увреждане</w:t>
      </w:r>
    </w:p>
    <w:p w14:paraId="49946379" w14:textId="77777777" w:rsidR="00800A11" w:rsidRDefault="00800A11" w:rsidP="00800A11">
      <w:pPr>
        <w:spacing w:line="240" w:lineRule="auto"/>
        <w:rPr>
          <w:rFonts w:eastAsia="Times New Roman" w:cs="Arial"/>
          <w:color w:val="000000"/>
          <w:lang w:eastAsia="bg-BG"/>
        </w:rPr>
      </w:pPr>
    </w:p>
    <w:p w14:paraId="4654D32E" w14:textId="4A8774B0"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Амбрисентан не е изпитван при индивиди с чернодробно увреждане (със или без цироза). Тъй като основните пътища на метаболизъм на амбрисентан са глюкурониране и окисление с последващо елиминиране чрез жлъчката, може да се очаква чернодробното </w:t>
      </w:r>
      <w:r w:rsidRPr="00800A11">
        <w:rPr>
          <w:rFonts w:eastAsia="Times New Roman" w:cs="Arial"/>
          <w:color w:val="000000"/>
          <w:lang w:eastAsia="bg-BG"/>
        </w:rPr>
        <w:lastRenderedPageBreak/>
        <w:t>увреждане да увеличи експозицията (С</w:t>
      </w:r>
      <w:r w:rsidRPr="00800A11">
        <w:rPr>
          <w:rFonts w:eastAsia="Times New Roman" w:cs="Arial"/>
          <w:color w:val="000000"/>
          <w:vertAlign w:val="subscript"/>
          <w:lang w:val="en-US"/>
        </w:rPr>
        <w:t>max</w:t>
      </w:r>
      <w:r w:rsidRPr="00800A11">
        <w:rPr>
          <w:rFonts w:eastAsia="Times New Roman" w:cs="Arial"/>
          <w:color w:val="000000"/>
          <w:lang w:eastAsia="bg-BG"/>
        </w:rPr>
        <w:t xml:space="preserve"> и </w:t>
      </w:r>
      <w:r w:rsidRPr="00800A11">
        <w:rPr>
          <w:rFonts w:eastAsia="Times New Roman" w:cs="Arial"/>
          <w:color w:val="000000"/>
          <w:lang w:val="en-US"/>
        </w:rPr>
        <w:t>AUC</w:t>
      </w:r>
      <w:r w:rsidRPr="00800A11">
        <w:rPr>
          <w:rFonts w:eastAsia="Times New Roman" w:cs="Arial"/>
          <w:color w:val="000000"/>
          <w:lang w:val="ru-RU"/>
        </w:rPr>
        <w:t xml:space="preserve">) </w:t>
      </w:r>
      <w:r w:rsidRPr="00800A11">
        <w:rPr>
          <w:rFonts w:eastAsia="Times New Roman" w:cs="Arial"/>
          <w:color w:val="000000"/>
          <w:lang w:eastAsia="bg-BG"/>
        </w:rPr>
        <w:t xml:space="preserve">на амбрисентан. По тази причина не трябва да се започва лечение с амбрисентан при пациенти с тежко чернодробно увреждане или с клинично значимо повишаване на чернодробните аминотрансферази (повече от 3 пъти горната граница на нормата </w:t>
      </w:r>
      <w:r w:rsidRPr="00800A11">
        <w:rPr>
          <w:rFonts w:eastAsia="Times New Roman" w:cs="Arial"/>
          <w:color w:val="000000"/>
          <w:lang w:val="ru-RU"/>
        </w:rPr>
        <w:t>(&gt;3</w:t>
      </w:r>
      <w:proofErr w:type="spellStart"/>
      <w:r w:rsidRPr="00800A11">
        <w:rPr>
          <w:rFonts w:eastAsia="Times New Roman" w:cs="Arial"/>
          <w:color w:val="000000"/>
          <w:lang w:val="en-US"/>
        </w:rPr>
        <w:t>xULN</w:t>
      </w:r>
      <w:proofErr w:type="spellEnd"/>
      <w:r w:rsidRPr="00800A11">
        <w:rPr>
          <w:rFonts w:eastAsia="Times New Roman" w:cs="Arial"/>
          <w:color w:val="000000"/>
          <w:lang w:val="ru-RU"/>
        </w:rPr>
        <w:t xml:space="preserve">); </w:t>
      </w:r>
      <w:r w:rsidRPr="00800A11">
        <w:rPr>
          <w:rFonts w:eastAsia="Times New Roman" w:cs="Arial"/>
          <w:color w:val="000000"/>
          <w:lang w:eastAsia="bg-BG"/>
        </w:rPr>
        <w:t>вж. точки 4.3 и 4.4).</w:t>
      </w:r>
    </w:p>
    <w:p w14:paraId="3BEE88D0" w14:textId="77777777" w:rsidR="00800A11" w:rsidRDefault="00800A11" w:rsidP="00800A11">
      <w:pPr>
        <w:spacing w:line="240" w:lineRule="auto"/>
        <w:rPr>
          <w:rFonts w:eastAsia="Times New Roman" w:cs="Arial"/>
          <w:color w:val="000000"/>
          <w:u w:val="single"/>
          <w:lang w:eastAsia="bg-BG"/>
        </w:rPr>
      </w:pPr>
    </w:p>
    <w:p w14:paraId="3F36731D" w14:textId="5CB8E322"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Педиатрична популация</w:t>
      </w:r>
    </w:p>
    <w:p w14:paraId="204FDF35" w14:textId="77777777" w:rsidR="00800A11" w:rsidRDefault="00800A11" w:rsidP="00800A11">
      <w:pPr>
        <w:rPr>
          <w:rFonts w:eastAsia="Times New Roman" w:cs="Arial"/>
          <w:color w:val="000000"/>
          <w:lang w:eastAsia="bg-BG"/>
        </w:rPr>
      </w:pPr>
    </w:p>
    <w:p w14:paraId="01D72D7C" w14:textId="3332C720" w:rsidR="00800A11" w:rsidRDefault="00800A11" w:rsidP="00800A11">
      <w:pPr>
        <w:rPr>
          <w:rFonts w:eastAsia="Times New Roman" w:cs="Arial"/>
          <w:color w:val="000000"/>
          <w:lang w:eastAsia="bg-BG"/>
        </w:rPr>
      </w:pPr>
      <w:r w:rsidRPr="00800A11">
        <w:rPr>
          <w:rFonts w:eastAsia="Times New Roman" w:cs="Arial"/>
          <w:color w:val="000000"/>
          <w:lang w:eastAsia="bg-BG"/>
        </w:rPr>
        <w:t xml:space="preserve">Безопасността и ефикасността на амбрисентан при деца и юноши под 18 години все </w:t>
      </w:r>
      <w:r w:rsidRPr="00800A11">
        <w:rPr>
          <w:rFonts w:eastAsia="Times New Roman" w:cs="Arial"/>
          <w:color w:val="000000"/>
          <w:u w:val="single"/>
          <w:lang w:eastAsia="bg-BG"/>
        </w:rPr>
        <w:t>още</w:t>
      </w:r>
      <w:r w:rsidRPr="00800A11">
        <w:rPr>
          <w:rFonts w:eastAsia="Times New Roman" w:cs="Arial"/>
          <w:color w:val="000000"/>
          <w:lang w:eastAsia="bg-BG"/>
        </w:rPr>
        <w:t xml:space="preserve"> не са установени. Липсват клинични данни (вж. точка 5.3 относно налични данни</w:t>
      </w:r>
      <w:r w:rsidRPr="00800A11">
        <w:rPr>
          <w:rFonts w:eastAsia="Times New Roman" w:cs="Arial"/>
          <w:color w:val="000000"/>
          <w:lang w:val="ru-RU"/>
        </w:rPr>
        <w:t xml:space="preserve"> </w:t>
      </w:r>
      <w:r w:rsidRPr="00800A11">
        <w:rPr>
          <w:rFonts w:eastAsia="Times New Roman" w:cs="Arial"/>
          <w:color w:val="000000"/>
          <w:lang w:eastAsia="bg-BG"/>
        </w:rPr>
        <w:t>при ювенилни животни).</w:t>
      </w:r>
    </w:p>
    <w:p w14:paraId="3E0DEC6B" w14:textId="37339DE3" w:rsidR="00800A11" w:rsidRDefault="00800A11" w:rsidP="00800A11">
      <w:pPr>
        <w:rPr>
          <w:rFonts w:eastAsia="Times New Roman" w:cs="Arial"/>
          <w:color w:val="000000"/>
          <w:lang w:eastAsia="bg-BG"/>
        </w:rPr>
      </w:pPr>
    </w:p>
    <w:p w14:paraId="5F05E90D" w14:textId="77777777" w:rsidR="00800A11" w:rsidRPr="00800A11" w:rsidRDefault="00800A11" w:rsidP="00800A11">
      <w:pPr>
        <w:pStyle w:val="Heading3"/>
        <w:rPr>
          <w:rFonts w:eastAsia="Times New Roman"/>
          <w:sz w:val="12"/>
          <w:u w:val="single"/>
        </w:rPr>
      </w:pPr>
      <w:r w:rsidRPr="00800A11">
        <w:rPr>
          <w:rFonts w:eastAsia="Times New Roman"/>
          <w:u w:val="single"/>
          <w:lang w:eastAsia="bg-BG"/>
        </w:rPr>
        <w:t>Начин на приложение</w:t>
      </w:r>
    </w:p>
    <w:p w14:paraId="165D14E2" w14:textId="77777777" w:rsidR="00800A11" w:rsidRPr="00800A11" w:rsidRDefault="00800A11" w:rsidP="00800A11">
      <w:pPr>
        <w:spacing w:line="240" w:lineRule="auto"/>
        <w:rPr>
          <w:rFonts w:eastAsia="Times New Roman" w:cs="Arial"/>
          <w:color w:val="000000"/>
          <w:szCs w:val="44"/>
          <w:lang w:eastAsia="bg-BG"/>
        </w:rPr>
      </w:pPr>
    </w:p>
    <w:p w14:paraId="00CA7876" w14:textId="727BE715" w:rsidR="00800A11" w:rsidRPr="00800A11" w:rsidRDefault="00800A11" w:rsidP="00800A11">
      <w:pPr>
        <w:spacing w:line="240" w:lineRule="auto"/>
        <w:rPr>
          <w:rFonts w:eastAsia="Times New Roman" w:cs="Arial"/>
          <w:sz w:val="12"/>
          <w:szCs w:val="24"/>
        </w:rPr>
      </w:pPr>
      <w:r w:rsidRPr="00800A11">
        <w:rPr>
          <w:rFonts w:eastAsia="Times New Roman" w:cs="Arial"/>
          <w:color w:val="000000"/>
          <w:szCs w:val="44"/>
          <w:lang w:eastAsia="bg-BG"/>
        </w:rPr>
        <w:t>Препоръчва се таблетката да се гълта цяла и може да се приема с или без храна. Препоръчва се таблетката да не се разделя, разтрошава или дъвче.</w:t>
      </w:r>
    </w:p>
    <w:p w14:paraId="35BF140E" w14:textId="389B7957" w:rsidR="00800A11" w:rsidRPr="00800A11" w:rsidRDefault="00800A11" w:rsidP="00800A11"/>
    <w:p w14:paraId="28C984E8" w14:textId="185052C4" w:rsidR="008134C8" w:rsidRDefault="002C50EE" w:rsidP="004A448E">
      <w:pPr>
        <w:pStyle w:val="Heading2"/>
      </w:pPr>
      <w:r>
        <w:t>4.3. Противопоказания</w:t>
      </w:r>
    </w:p>
    <w:p w14:paraId="5C83DB67" w14:textId="3F8AC7E3" w:rsidR="00800A11" w:rsidRDefault="00800A11" w:rsidP="00800A11"/>
    <w:p w14:paraId="2C13AFC8" w14:textId="77777777" w:rsidR="00800A11" w:rsidRPr="00800A11" w:rsidRDefault="00800A11" w:rsidP="00800A11">
      <w:pPr>
        <w:spacing w:line="240" w:lineRule="auto"/>
        <w:rPr>
          <w:rFonts w:eastAsia="Times New Roman" w:cs="Arial"/>
        </w:rPr>
      </w:pPr>
      <w:r w:rsidRPr="00800A11">
        <w:rPr>
          <w:rFonts w:eastAsia="Times New Roman" w:cs="Arial"/>
          <w:color w:val="000000"/>
          <w:lang w:eastAsia="bg-BG"/>
        </w:rPr>
        <w:t>Свръхчувствителност към активното вещество, към фъстъци или соя или към някое от помощните вещества, изброени в точка 6.1.</w:t>
      </w:r>
    </w:p>
    <w:p w14:paraId="5CDBA075" w14:textId="77777777" w:rsidR="00800A11" w:rsidRDefault="00800A11" w:rsidP="00800A11">
      <w:pPr>
        <w:spacing w:line="240" w:lineRule="auto"/>
        <w:rPr>
          <w:rFonts w:eastAsia="Times New Roman" w:cs="Arial"/>
          <w:color w:val="000000"/>
          <w:lang w:eastAsia="bg-BG"/>
        </w:rPr>
      </w:pPr>
    </w:p>
    <w:p w14:paraId="0A4B4E1F" w14:textId="6CBAFF28" w:rsidR="00800A11" w:rsidRPr="00800A11" w:rsidRDefault="00800A11" w:rsidP="00800A11">
      <w:pPr>
        <w:spacing w:line="240" w:lineRule="auto"/>
        <w:rPr>
          <w:rFonts w:eastAsia="Times New Roman" w:cs="Arial"/>
        </w:rPr>
      </w:pPr>
      <w:r w:rsidRPr="00800A11">
        <w:rPr>
          <w:rFonts w:eastAsia="Times New Roman" w:cs="Arial"/>
          <w:color w:val="000000"/>
          <w:lang w:eastAsia="bg-BG"/>
        </w:rPr>
        <w:t>Бременност (вж. точка 4.6).</w:t>
      </w:r>
    </w:p>
    <w:p w14:paraId="694B0D15" w14:textId="77777777" w:rsidR="00800A11" w:rsidRDefault="00800A11" w:rsidP="00800A11">
      <w:pPr>
        <w:spacing w:line="240" w:lineRule="auto"/>
        <w:rPr>
          <w:rFonts w:eastAsia="Times New Roman" w:cs="Arial"/>
          <w:color w:val="000000"/>
          <w:lang w:eastAsia="bg-BG"/>
        </w:rPr>
      </w:pPr>
    </w:p>
    <w:p w14:paraId="0600B329" w14:textId="70A79D51" w:rsidR="00800A11" w:rsidRPr="00800A11" w:rsidRDefault="00800A11" w:rsidP="00800A11">
      <w:pPr>
        <w:spacing w:line="240" w:lineRule="auto"/>
        <w:rPr>
          <w:rFonts w:eastAsia="Times New Roman" w:cs="Arial"/>
        </w:rPr>
      </w:pPr>
      <w:r w:rsidRPr="00800A11">
        <w:rPr>
          <w:rFonts w:eastAsia="Times New Roman" w:cs="Arial"/>
          <w:color w:val="000000"/>
          <w:lang w:eastAsia="bg-BG"/>
        </w:rPr>
        <w:t>Жени с детероден потенциал, които не използват надежден метод за контрацепция (вж. точки 4.4 и 4.6).</w:t>
      </w:r>
    </w:p>
    <w:p w14:paraId="1926100F" w14:textId="77777777" w:rsidR="00800A11" w:rsidRDefault="00800A11" w:rsidP="00800A11">
      <w:pPr>
        <w:spacing w:line="240" w:lineRule="auto"/>
        <w:rPr>
          <w:rFonts w:eastAsia="Times New Roman" w:cs="Arial"/>
          <w:color w:val="000000"/>
          <w:lang w:eastAsia="bg-BG"/>
        </w:rPr>
      </w:pPr>
    </w:p>
    <w:p w14:paraId="63E5F2B3" w14:textId="7F41C4C1" w:rsidR="00800A11" w:rsidRPr="00800A11" w:rsidRDefault="00800A11" w:rsidP="00800A11">
      <w:pPr>
        <w:spacing w:line="240" w:lineRule="auto"/>
        <w:rPr>
          <w:rFonts w:eastAsia="Times New Roman" w:cs="Arial"/>
        </w:rPr>
      </w:pPr>
      <w:r w:rsidRPr="00800A11">
        <w:rPr>
          <w:rFonts w:eastAsia="Times New Roman" w:cs="Arial"/>
          <w:color w:val="000000"/>
          <w:lang w:eastAsia="bg-BG"/>
        </w:rPr>
        <w:t>Кърмене (вж. точка 4.6).</w:t>
      </w:r>
    </w:p>
    <w:p w14:paraId="7264B6F0" w14:textId="77777777" w:rsidR="00800A11" w:rsidRDefault="00800A11" w:rsidP="00800A11">
      <w:pPr>
        <w:spacing w:line="240" w:lineRule="auto"/>
        <w:rPr>
          <w:rFonts w:eastAsia="Times New Roman" w:cs="Arial"/>
          <w:color w:val="000000"/>
          <w:lang w:eastAsia="bg-BG"/>
        </w:rPr>
      </w:pPr>
    </w:p>
    <w:p w14:paraId="079CAFD2" w14:textId="6442D14F" w:rsidR="00800A11" w:rsidRPr="00800A11" w:rsidRDefault="00800A11" w:rsidP="00800A11">
      <w:pPr>
        <w:spacing w:line="240" w:lineRule="auto"/>
        <w:rPr>
          <w:rFonts w:eastAsia="Times New Roman" w:cs="Arial"/>
        </w:rPr>
      </w:pPr>
      <w:r w:rsidRPr="00800A11">
        <w:rPr>
          <w:rFonts w:eastAsia="Times New Roman" w:cs="Arial"/>
          <w:color w:val="000000"/>
          <w:lang w:eastAsia="bg-BG"/>
        </w:rPr>
        <w:t>Тежко чернодробно увреждане (със или без цироза) (вж. точка 4.2)</w:t>
      </w:r>
    </w:p>
    <w:p w14:paraId="3257593C" w14:textId="77777777" w:rsidR="00800A11" w:rsidRDefault="00800A11" w:rsidP="00800A11">
      <w:pPr>
        <w:spacing w:line="240" w:lineRule="auto"/>
        <w:rPr>
          <w:rFonts w:eastAsia="Times New Roman" w:cs="Arial"/>
          <w:color w:val="000000"/>
          <w:lang w:eastAsia="bg-BG"/>
        </w:rPr>
      </w:pPr>
    </w:p>
    <w:p w14:paraId="2111C942" w14:textId="1CCAFCF7"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Начални стойности на чернодробните аминотрансферази (аспартатаминотрансферази </w:t>
      </w:r>
      <w:r w:rsidRPr="00800A11">
        <w:rPr>
          <w:rFonts w:eastAsia="Times New Roman" w:cs="Arial"/>
          <w:color w:val="000000"/>
          <w:lang w:val="ru-RU"/>
        </w:rPr>
        <w:t>(</w:t>
      </w:r>
      <w:r w:rsidRPr="00800A11">
        <w:rPr>
          <w:rFonts w:eastAsia="Times New Roman" w:cs="Arial"/>
          <w:color w:val="000000"/>
          <w:lang w:val="en-US"/>
        </w:rPr>
        <w:t>AST</w:t>
      </w:r>
      <w:r w:rsidRPr="00800A11">
        <w:rPr>
          <w:rFonts w:eastAsia="Times New Roman" w:cs="Arial"/>
          <w:color w:val="000000"/>
          <w:lang w:val="ru-RU"/>
        </w:rPr>
        <w:t xml:space="preserve">) </w:t>
      </w:r>
      <w:r w:rsidRPr="00800A11">
        <w:rPr>
          <w:rFonts w:eastAsia="Times New Roman" w:cs="Arial"/>
          <w:color w:val="000000"/>
          <w:lang w:eastAsia="bg-BG"/>
        </w:rPr>
        <w:t xml:space="preserve">и/или аланинаминотрансферази </w:t>
      </w:r>
      <w:r w:rsidRPr="00800A11">
        <w:rPr>
          <w:rFonts w:eastAsia="Times New Roman" w:cs="Arial"/>
          <w:color w:val="000000"/>
          <w:lang w:val="ru-RU"/>
        </w:rPr>
        <w:t>(</w:t>
      </w:r>
      <w:r w:rsidRPr="00800A11">
        <w:rPr>
          <w:rFonts w:eastAsia="Times New Roman" w:cs="Arial"/>
          <w:color w:val="000000"/>
          <w:lang w:val="en-US"/>
        </w:rPr>
        <w:t>ALT</w:t>
      </w:r>
      <w:r w:rsidRPr="00800A11">
        <w:rPr>
          <w:rFonts w:eastAsia="Times New Roman" w:cs="Arial"/>
          <w:color w:val="000000"/>
          <w:lang w:val="ru-RU"/>
        </w:rPr>
        <w:t>)) &gt;3</w:t>
      </w:r>
      <w:proofErr w:type="spellStart"/>
      <w:r w:rsidRPr="00800A11">
        <w:rPr>
          <w:rFonts w:eastAsia="Times New Roman" w:cs="Arial"/>
          <w:color w:val="000000"/>
          <w:lang w:val="en-US"/>
        </w:rPr>
        <w:t>xULN</w:t>
      </w:r>
      <w:proofErr w:type="spellEnd"/>
      <w:r w:rsidRPr="00800A11">
        <w:rPr>
          <w:rFonts w:eastAsia="Times New Roman" w:cs="Arial"/>
          <w:color w:val="000000"/>
          <w:lang w:val="ru-RU"/>
        </w:rPr>
        <w:t xml:space="preserve"> </w:t>
      </w:r>
      <w:r w:rsidRPr="00800A11">
        <w:rPr>
          <w:rFonts w:eastAsia="Times New Roman" w:cs="Arial"/>
          <w:color w:val="000000"/>
          <w:lang w:eastAsia="bg-BG"/>
        </w:rPr>
        <w:t>(вж. точки 4.2 и 4.4).</w:t>
      </w:r>
    </w:p>
    <w:p w14:paraId="1B5F0E58" w14:textId="77777777" w:rsidR="00800A11" w:rsidRDefault="00800A11" w:rsidP="00800A11">
      <w:pPr>
        <w:spacing w:line="240" w:lineRule="auto"/>
        <w:rPr>
          <w:rFonts w:eastAsia="Times New Roman" w:cs="Arial"/>
          <w:color w:val="000000"/>
          <w:lang w:eastAsia="bg-BG"/>
        </w:rPr>
      </w:pPr>
    </w:p>
    <w:p w14:paraId="4262A4C5" w14:textId="5C0733E7" w:rsidR="00800A11" w:rsidRPr="00800A11" w:rsidRDefault="00800A11" w:rsidP="00800A11">
      <w:pPr>
        <w:spacing w:line="240" w:lineRule="auto"/>
        <w:rPr>
          <w:rFonts w:ascii="Times New Roman" w:eastAsia="Times New Roman" w:hAnsi="Times New Roman" w:cs="Times New Roman"/>
          <w:sz w:val="24"/>
          <w:szCs w:val="24"/>
        </w:rPr>
      </w:pPr>
      <w:r w:rsidRPr="00800A11">
        <w:rPr>
          <w:rFonts w:eastAsia="Times New Roman" w:cs="Arial"/>
          <w:color w:val="000000"/>
          <w:lang w:eastAsia="bg-BG"/>
        </w:rPr>
        <w:t>Идиопатична белодробна фиброза (ИБФ), със или без вторична белодробна хипертония (вж. точка 5.1).</w:t>
      </w:r>
    </w:p>
    <w:p w14:paraId="0C6E3F5A" w14:textId="3456A326" w:rsidR="00800A11" w:rsidRPr="00800A11" w:rsidRDefault="00800A11" w:rsidP="00800A11"/>
    <w:p w14:paraId="212F509C" w14:textId="28B60F40" w:rsidR="004F498A" w:rsidRDefault="002C50EE" w:rsidP="004A448E">
      <w:pPr>
        <w:pStyle w:val="Heading2"/>
      </w:pPr>
      <w:r>
        <w:t>4.4. Специални предупреждения и предпазни мерки при употреба</w:t>
      </w:r>
    </w:p>
    <w:p w14:paraId="6B73D673" w14:textId="55F6EF90" w:rsidR="00800A11" w:rsidRDefault="00800A11" w:rsidP="00800A11"/>
    <w:p w14:paraId="63535660" w14:textId="77777777" w:rsidR="00800A11" w:rsidRPr="00800A11" w:rsidRDefault="00800A11" w:rsidP="00800A11">
      <w:pPr>
        <w:spacing w:line="240" w:lineRule="auto"/>
        <w:rPr>
          <w:rFonts w:eastAsia="Times New Roman" w:cs="Arial"/>
        </w:rPr>
      </w:pPr>
      <w:r w:rsidRPr="00800A11">
        <w:rPr>
          <w:rFonts w:eastAsia="Times New Roman" w:cs="Arial"/>
          <w:color w:val="000000"/>
          <w:lang w:eastAsia="bg-BG"/>
        </w:rPr>
        <w:t>Амбрисентан не е проучен при достатъчен брой пациенти с цел да се установи съотношението полза/риск при БАХ функционален клас I по СЗО.</w:t>
      </w:r>
    </w:p>
    <w:p w14:paraId="5181EADE" w14:textId="77777777" w:rsidR="00800A11" w:rsidRDefault="00800A11" w:rsidP="00800A11">
      <w:pPr>
        <w:spacing w:line="240" w:lineRule="auto"/>
        <w:rPr>
          <w:rFonts w:eastAsia="Times New Roman" w:cs="Arial"/>
          <w:color w:val="000000"/>
          <w:lang w:eastAsia="bg-BG"/>
        </w:rPr>
      </w:pPr>
    </w:p>
    <w:p w14:paraId="0F2596F7" w14:textId="4F0A1985" w:rsidR="00800A11" w:rsidRPr="00800A11" w:rsidRDefault="00800A11" w:rsidP="00800A11">
      <w:pPr>
        <w:spacing w:line="240" w:lineRule="auto"/>
        <w:rPr>
          <w:rFonts w:eastAsia="Times New Roman" w:cs="Arial"/>
        </w:rPr>
      </w:pPr>
      <w:r w:rsidRPr="00800A11">
        <w:rPr>
          <w:rFonts w:eastAsia="Times New Roman" w:cs="Arial"/>
          <w:color w:val="000000"/>
          <w:lang w:eastAsia="bg-BG"/>
        </w:rPr>
        <w:t>Ефикасността на амбрисентан като монотерапия не е установена при пациенти с БАХ функционален клас IV по СЗО. Ако клиничното състояние се влоши, трябва да се обмисли лечение, което е препоръчително за тежките стадии на заболяването (напр. епопростенол).</w:t>
      </w:r>
    </w:p>
    <w:p w14:paraId="523F6B45" w14:textId="77777777" w:rsidR="00800A11" w:rsidRDefault="00800A11" w:rsidP="00800A11">
      <w:pPr>
        <w:spacing w:line="240" w:lineRule="auto"/>
        <w:rPr>
          <w:rFonts w:eastAsia="Times New Roman" w:cs="Arial"/>
          <w:color w:val="000000"/>
          <w:u w:val="single"/>
          <w:lang w:eastAsia="bg-BG"/>
        </w:rPr>
      </w:pPr>
    </w:p>
    <w:p w14:paraId="301D3F66" w14:textId="001C218A"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Чернодробна функция</w:t>
      </w:r>
    </w:p>
    <w:p w14:paraId="214EF745" w14:textId="77777777" w:rsidR="00800A11" w:rsidRDefault="00800A11" w:rsidP="00800A11">
      <w:pPr>
        <w:spacing w:line="240" w:lineRule="auto"/>
        <w:rPr>
          <w:rFonts w:eastAsia="Times New Roman" w:cs="Arial"/>
          <w:color w:val="000000"/>
          <w:lang w:eastAsia="bg-BG"/>
        </w:rPr>
      </w:pPr>
    </w:p>
    <w:p w14:paraId="6D15F256" w14:textId="6603227D" w:rsidR="00800A11" w:rsidRPr="00800A11" w:rsidRDefault="00800A11" w:rsidP="00800A11">
      <w:pPr>
        <w:spacing w:line="240" w:lineRule="auto"/>
        <w:rPr>
          <w:rFonts w:eastAsia="Times New Roman" w:cs="Arial"/>
        </w:rPr>
      </w:pPr>
      <w:r w:rsidRPr="00800A11">
        <w:rPr>
          <w:rFonts w:eastAsia="Times New Roman" w:cs="Arial"/>
          <w:color w:val="000000"/>
          <w:lang w:eastAsia="bg-BG"/>
        </w:rPr>
        <w:lastRenderedPageBreak/>
        <w:t xml:space="preserve">С БАХ са свързани отклонения в чернодробната функция. При приложение на амбрисентан са наблюдавани случаи, които съответстват на автоимунен хепатит, включително възможно обостряне на подлежащ автоимунен хепатит, чернодробно увреждане и повишаване на стойностите на чернодробните ензими, които е възможно да са свързани с терапията (вж. точки 4.8 и 5.1). По тази причина преди започване на лечение с амбрисентан трябва да се направи изследване на чернодробните аминотрансферази </w:t>
      </w:r>
      <w:r w:rsidRPr="00800A11">
        <w:rPr>
          <w:rFonts w:eastAsia="Times New Roman" w:cs="Arial"/>
          <w:color w:val="000000"/>
          <w:lang w:val="ru-RU"/>
        </w:rPr>
        <w:t>(</w:t>
      </w:r>
      <w:r w:rsidRPr="00800A11">
        <w:rPr>
          <w:rFonts w:eastAsia="Times New Roman" w:cs="Arial"/>
          <w:color w:val="000000"/>
          <w:lang w:val="en-US"/>
        </w:rPr>
        <w:t>ALT</w:t>
      </w:r>
      <w:r w:rsidRPr="00800A11">
        <w:rPr>
          <w:rFonts w:eastAsia="Times New Roman" w:cs="Arial"/>
          <w:color w:val="000000"/>
          <w:lang w:val="ru-RU"/>
        </w:rPr>
        <w:t xml:space="preserve"> </w:t>
      </w:r>
      <w:r w:rsidRPr="00800A11">
        <w:rPr>
          <w:rFonts w:eastAsia="Times New Roman" w:cs="Arial"/>
          <w:color w:val="000000"/>
          <w:lang w:eastAsia="bg-BG"/>
        </w:rPr>
        <w:t xml:space="preserve">и </w:t>
      </w:r>
      <w:r w:rsidRPr="00800A11">
        <w:rPr>
          <w:rFonts w:eastAsia="Times New Roman" w:cs="Arial"/>
          <w:color w:val="000000"/>
          <w:lang w:val="en-US"/>
        </w:rPr>
        <w:t>AST</w:t>
      </w:r>
      <w:r w:rsidRPr="00800A11">
        <w:rPr>
          <w:rFonts w:eastAsia="Times New Roman" w:cs="Arial"/>
          <w:color w:val="000000"/>
          <w:lang w:val="ru-RU"/>
        </w:rPr>
        <w:t xml:space="preserve">). </w:t>
      </w:r>
      <w:r w:rsidRPr="00800A11">
        <w:rPr>
          <w:rFonts w:eastAsia="Times New Roman" w:cs="Arial"/>
          <w:color w:val="000000"/>
          <w:lang w:eastAsia="bg-BG"/>
        </w:rPr>
        <w:t xml:space="preserve">Не трябва да се започва лечение с амбрисентан при пациенти с изходни стойности на </w:t>
      </w:r>
      <w:r w:rsidRPr="00800A11">
        <w:rPr>
          <w:rFonts w:eastAsia="Times New Roman" w:cs="Arial"/>
          <w:color w:val="000000"/>
          <w:lang w:val="en-US"/>
        </w:rPr>
        <w:t>ALT</w:t>
      </w:r>
      <w:r w:rsidRPr="00800A11">
        <w:rPr>
          <w:rFonts w:eastAsia="Times New Roman" w:cs="Arial"/>
          <w:color w:val="000000"/>
          <w:lang w:val="ru-RU"/>
        </w:rPr>
        <w:t xml:space="preserve"> </w:t>
      </w:r>
      <w:r w:rsidRPr="00800A11">
        <w:rPr>
          <w:rFonts w:eastAsia="Times New Roman" w:cs="Arial"/>
          <w:color w:val="000000"/>
          <w:lang w:eastAsia="bg-BG"/>
        </w:rPr>
        <w:t xml:space="preserve">и/или </w:t>
      </w:r>
      <w:r w:rsidRPr="00800A11">
        <w:rPr>
          <w:rFonts w:eastAsia="Times New Roman" w:cs="Arial"/>
          <w:color w:val="000000"/>
          <w:lang w:val="en-US"/>
        </w:rPr>
        <w:t>AST</w:t>
      </w:r>
      <w:r w:rsidRPr="00800A11">
        <w:rPr>
          <w:rFonts w:eastAsia="Times New Roman" w:cs="Arial"/>
          <w:color w:val="000000"/>
          <w:lang w:val="ru-RU"/>
        </w:rPr>
        <w:t xml:space="preserve"> &gt;3</w:t>
      </w:r>
      <w:proofErr w:type="spellStart"/>
      <w:r w:rsidRPr="00800A11">
        <w:rPr>
          <w:rFonts w:eastAsia="Times New Roman" w:cs="Arial"/>
          <w:color w:val="000000"/>
          <w:lang w:val="en-US"/>
        </w:rPr>
        <w:t>xULN</w:t>
      </w:r>
      <w:proofErr w:type="spellEnd"/>
      <w:r w:rsidRPr="00800A11">
        <w:rPr>
          <w:rFonts w:eastAsia="Times New Roman" w:cs="Arial"/>
          <w:color w:val="000000"/>
          <w:lang w:val="ru-RU"/>
        </w:rPr>
        <w:t xml:space="preserve"> </w:t>
      </w:r>
      <w:r w:rsidRPr="00800A11">
        <w:rPr>
          <w:rFonts w:eastAsia="Times New Roman" w:cs="Arial"/>
          <w:color w:val="000000"/>
          <w:lang w:eastAsia="bg-BG"/>
        </w:rPr>
        <w:t>(вж. точка 4.3).</w:t>
      </w:r>
    </w:p>
    <w:p w14:paraId="1B9EE86D" w14:textId="77777777" w:rsidR="00800A11" w:rsidRDefault="00800A11" w:rsidP="00800A11">
      <w:pPr>
        <w:spacing w:line="240" w:lineRule="auto"/>
        <w:rPr>
          <w:rFonts w:eastAsia="Times New Roman" w:cs="Arial"/>
          <w:color w:val="000000"/>
          <w:lang w:eastAsia="bg-BG"/>
        </w:rPr>
      </w:pPr>
    </w:p>
    <w:p w14:paraId="7DFEB59D" w14:textId="6D70CE15"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Пациентите трябва да се проследяват за признаци на чернодробно увреждане и се препоръчва всеки месец да се проследяват </w:t>
      </w:r>
      <w:r w:rsidRPr="00800A11">
        <w:rPr>
          <w:rFonts w:eastAsia="Times New Roman" w:cs="Arial"/>
          <w:color w:val="000000"/>
          <w:lang w:val="en-US"/>
        </w:rPr>
        <w:t>ALT</w:t>
      </w:r>
      <w:r w:rsidRPr="00800A11">
        <w:rPr>
          <w:rFonts w:eastAsia="Times New Roman" w:cs="Arial"/>
          <w:color w:val="000000"/>
          <w:lang w:val="ru-RU"/>
        </w:rPr>
        <w:t xml:space="preserve"> </w:t>
      </w:r>
      <w:r w:rsidRPr="00800A11">
        <w:rPr>
          <w:rFonts w:eastAsia="Times New Roman" w:cs="Arial"/>
          <w:color w:val="000000"/>
          <w:lang w:eastAsia="bg-BG"/>
        </w:rPr>
        <w:t xml:space="preserve">и </w:t>
      </w:r>
      <w:r w:rsidRPr="00800A11">
        <w:rPr>
          <w:rFonts w:eastAsia="Times New Roman" w:cs="Arial"/>
          <w:color w:val="000000"/>
          <w:lang w:val="en-US"/>
        </w:rPr>
        <w:t>AST</w:t>
      </w:r>
      <w:r w:rsidRPr="00800A11">
        <w:rPr>
          <w:rFonts w:eastAsia="Times New Roman" w:cs="Arial"/>
          <w:color w:val="000000"/>
          <w:lang w:val="ru-RU"/>
        </w:rPr>
        <w:t xml:space="preserve">. </w:t>
      </w:r>
      <w:r w:rsidRPr="00800A11">
        <w:rPr>
          <w:rFonts w:eastAsia="Times New Roman" w:cs="Arial"/>
          <w:color w:val="000000"/>
          <w:lang w:eastAsia="bg-BG"/>
        </w:rPr>
        <w:t xml:space="preserve">Ако пациентите развият продължително, необяснимо, клинично значимо повишаване на </w:t>
      </w:r>
      <w:r w:rsidRPr="00800A11">
        <w:rPr>
          <w:rFonts w:eastAsia="Times New Roman" w:cs="Arial"/>
          <w:color w:val="000000"/>
          <w:lang w:val="en-US"/>
        </w:rPr>
        <w:t>ALT</w:t>
      </w:r>
      <w:r w:rsidRPr="00800A11">
        <w:rPr>
          <w:rFonts w:eastAsia="Times New Roman" w:cs="Arial"/>
          <w:color w:val="000000"/>
          <w:lang w:val="ru-RU"/>
        </w:rPr>
        <w:t xml:space="preserve"> </w:t>
      </w:r>
      <w:r w:rsidRPr="00800A11">
        <w:rPr>
          <w:rFonts w:eastAsia="Times New Roman" w:cs="Arial"/>
          <w:color w:val="000000"/>
          <w:lang w:eastAsia="bg-BG"/>
        </w:rPr>
        <w:t xml:space="preserve">и/или </w:t>
      </w:r>
      <w:r w:rsidRPr="00800A11">
        <w:rPr>
          <w:rFonts w:eastAsia="Times New Roman" w:cs="Arial"/>
          <w:color w:val="000000"/>
          <w:lang w:val="en-US"/>
        </w:rPr>
        <w:t>AST</w:t>
      </w:r>
      <w:r w:rsidRPr="00800A11">
        <w:rPr>
          <w:rFonts w:eastAsia="Times New Roman" w:cs="Arial"/>
          <w:color w:val="000000"/>
          <w:lang w:val="ru-RU"/>
        </w:rPr>
        <w:t xml:space="preserve"> </w:t>
      </w:r>
      <w:r w:rsidRPr="00800A11">
        <w:rPr>
          <w:rFonts w:eastAsia="Times New Roman" w:cs="Arial"/>
          <w:color w:val="000000"/>
          <w:lang w:eastAsia="bg-BG"/>
        </w:rPr>
        <w:t xml:space="preserve">или ако повишаването на </w:t>
      </w:r>
      <w:r w:rsidRPr="00800A11">
        <w:rPr>
          <w:rFonts w:eastAsia="Times New Roman" w:cs="Arial"/>
          <w:color w:val="000000"/>
          <w:lang w:val="en-US"/>
        </w:rPr>
        <w:t>ALT</w:t>
      </w:r>
      <w:r w:rsidRPr="00800A11">
        <w:rPr>
          <w:rFonts w:eastAsia="Times New Roman" w:cs="Arial"/>
          <w:color w:val="000000"/>
          <w:lang w:val="ru-RU"/>
        </w:rPr>
        <w:t xml:space="preserve"> </w:t>
      </w:r>
      <w:r w:rsidRPr="00800A11">
        <w:rPr>
          <w:rFonts w:eastAsia="Times New Roman" w:cs="Arial"/>
          <w:color w:val="000000"/>
          <w:lang w:eastAsia="bg-BG"/>
        </w:rPr>
        <w:t xml:space="preserve">и/или </w:t>
      </w:r>
      <w:r w:rsidRPr="00800A11">
        <w:rPr>
          <w:rFonts w:eastAsia="Times New Roman" w:cs="Arial"/>
          <w:color w:val="000000"/>
          <w:lang w:val="en-US"/>
        </w:rPr>
        <w:t>AST</w:t>
      </w:r>
      <w:r w:rsidRPr="00800A11">
        <w:rPr>
          <w:rFonts w:eastAsia="Times New Roman" w:cs="Arial"/>
          <w:color w:val="000000"/>
          <w:lang w:val="ru-RU"/>
        </w:rPr>
        <w:t xml:space="preserve"> </w:t>
      </w:r>
      <w:r w:rsidRPr="00800A11">
        <w:rPr>
          <w:rFonts w:eastAsia="Times New Roman" w:cs="Arial"/>
          <w:color w:val="000000"/>
          <w:lang w:eastAsia="bg-BG"/>
        </w:rPr>
        <w:t>е придружено от признаци или симптоми на чернодробно увреждане (напр. жълтеница), лечението с амбрисентан трябва да се преустанови.</w:t>
      </w:r>
    </w:p>
    <w:p w14:paraId="6142666E" w14:textId="77777777" w:rsidR="00800A11" w:rsidRDefault="00800A11" w:rsidP="00800A11">
      <w:pPr>
        <w:rPr>
          <w:rFonts w:eastAsia="Times New Roman" w:cs="Arial"/>
          <w:color w:val="000000"/>
          <w:lang w:eastAsia="bg-BG"/>
        </w:rPr>
      </w:pPr>
    </w:p>
    <w:p w14:paraId="7D5155D4" w14:textId="4B606A3E" w:rsidR="00800A11" w:rsidRDefault="00800A11" w:rsidP="00800A11">
      <w:pPr>
        <w:rPr>
          <w:rFonts w:eastAsia="Times New Roman" w:cs="Arial"/>
          <w:color w:val="000000"/>
          <w:lang w:eastAsia="bg-BG"/>
        </w:rPr>
      </w:pPr>
      <w:r w:rsidRPr="00800A11">
        <w:rPr>
          <w:rFonts w:eastAsia="Times New Roman" w:cs="Arial"/>
          <w:color w:val="000000"/>
          <w:lang w:eastAsia="bg-BG"/>
        </w:rPr>
        <w:t>При пациенти без клинични симптоми на чернодробно увреждане или жълтеница може да се обмисли повторно иницииране на лечението с амбрисентан след възстановяване на функцията на чернодробните ензими. Препоръчва се консултация с хепатолог.</w:t>
      </w:r>
    </w:p>
    <w:p w14:paraId="4CD8B606" w14:textId="30CBD46E" w:rsidR="00800A11" w:rsidRDefault="00800A11" w:rsidP="00800A11">
      <w:pPr>
        <w:rPr>
          <w:rFonts w:eastAsia="Times New Roman" w:cs="Arial"/>
          <w:color w:val="000000"/>
          <w:lang w:eastAsia="bg-BG"/>
        </w:rPr>
      </w:pPr>
    </w:p>
    <w:p w14:paraId="016CF600" w14:textId="77777777"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Концентрация на хемоглобин</w:t>
      </w:r>
    </w:p>
    <w:p w14:paraId="426CD513" w14:textId="77777777" w:rsidR="00800A11" w:rsidRDefault="00800A11" w:rsidP="00800A11">
      <w:pPr>
        <w:spacing w:line="240" w:lineRule="auto"/>
        <w:rPr>
          <w:rFonts w:eastAsia="Times New Roman" w:cs="Arial"/>
          <w:color w:val="000000"/>
          <w:lang w:eastAsia="bg-BG"/>
        </w:rPr>
      </w:pPr>
    </w:p>
    <w:p w14:paraId="4C260F3A" w14:textId="48C82CD5"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С приложението на ендотелин-рецепторни антагонисти </w:t>
      </w:r>
      <w:r w:rsidRPr="00800A11">
        <w:rPr>
          <w:rFonts w:eastAsia="Times New Roman" w:cs="Arial"/>
          <w:color w:val="000000"/>
          <w:lang w:val="ru-RU"/>
        </w:rPr>
        <w:t>(</w:t>
      </w:r>
      <w:r w:rsidRPr="00800A11">
        <w:rPr>
          <w:rFonts w:eastAsia="Times New Roman" w:cs="Arial"/>
          <w:color w:val="000000"/>
          <w:lang w:val="en-US"/>
        </w:rPr>
        <w:t>ERA</w:t>
      </w:r>
      <w:r w:rsidRPr="00800A11">
        <w:rPr>
          <w:rFonts w:eastAsia="Times New Roman" w:cs="Arial"/>
          <w:color w:val="000000"/>
          <w:lang w:val="ru-RU"/>
        </w:rPr>
        <w:t xml:space="preserve">), </w:t>
      </w:r>
      <w:r w:rsidRPr="00800A11">
        <w:rPr>
          <w:rFonts w:eastAsia="Times New Roman" w:cs="Arial"/>
          <w:color w:val="000000"/>
          <w:lang w:eastAsia="bg-BG"/>
        </w:rPr>
        <w:t xml:space="preserve">включително амбрисентан, е свързано понижаване на концентрацията на хемоглобина и хематокрита. Повечето от тези понижени нива са установени по време на първите 4 седмици от лечението, като впоследствие нивото на хемоглобина като цяло се стабилизира. Средното понижаване от изходното ниво (в диапазон от 0,9 до 1,2 </w:t>
      </w:r>
      <w:r w:rsidRPr="00800A11">
        <w:rPr>
          <w:rFonts w:eastAsia="Times New Roman" w:cs="Arial"/>
          <w:color w:val="000000"/>
          <w:lang w:val="en-US"/>
        </w:rPr>
        <w:t>g</w:t>
      </w:r>
      <w:r w:rsidRPr="00800A11">
        <w:rPr>
          <w:rFonts w:eastAsia="Times New Roman" w:cs="Arial"/>
          <w:color w:val="000000"/>
          <w:lang w:val="ru-RU"/>
        </w:rPr>
        <w:t>/</w:t>
      </w:r>
      <w:r w:rsidRPr="00800A11">
        <w:rPr>
          <w:rFonts w:eastAsia="Times New Roman" w:cs="Arial"/>
          <w:color w:val="000000"/>
          <w:lang w:val="en-US"/>
        </w:rPr>
        <w:t>dl</w:t>
      </w:r>
      <w:r w:rsidRPr="00800A11">
        <w:rPr>
          <w:rFonts w:eastAsia="Times New Roman" w:cs="Arial"/>
          <w:color w:val="000000"/>
          <w:lang w:val="ru-RU"/>
        </w:rPr>
        <w:t xml:space="preserve">) </w:t>
      </w:r>
      <w:r w:rsidRPr="00800A11">
        <w:rPr>
          <w:rFonts w:eastAsia="Times New Roman" w:cs="Arial"/>
          <w:color w:val="000000"/>
          <w:lang w:eastAsia="bg-BG"/>
        </w:rPr>
        <w:t>на концентрацията на хемоглобина се запазва до 4 години от лечението с амбрисентан, при дългосрочно открито продължение на основните фаза Ш клинични проучвания. В постмаркетинговия период са докладвани случаи на анемия, изискващи трансфузия на кръвни клетки (вж. точка 4.8).</w:t>
      </w:r>
    </w:p>
    <w:p w14:paraId="2F8A36DF" w14:textId="77777777" w:rsidR="00800A11" w:rsidRDefault="00800A11" w:rsidP="00800A11">
      <w:pPr>
        <w:spacing w:line="240" w:lineRule="auto"/>
        <w:rPr>
          <w:rFonts w:eastAsia="Times New Roman" w:cs="Arial"/>
          <w:color w:val="000000"/>
          <w:lang w:eastAsia="bg-BG"/>
        </w:rPr>
      </w:pPr>
    </w:p>
    <w:p w14:paraId="6B230ADF" w14:textId="643710BE" w:rsidR="00800A11" w:rsidRPr="00800A11" w:rsidRDefault="00800A11" w:rsidP="00800A11">
      <w:pPr>
        <w:spacing w:line="240" w:lineRule="auto"/>
        <w:rPr>
          <w:rFonts w:eastAsia="Times New Roman" w:cs="Arial"/>
        </w:rPr>
      </w:pPr>
      <w:r w:rsidRPr="00800A11">
        <w:rPr>
          <w:rFonts w:eastAsia="Times New Roman" w:cs="Arial"/>
          <w:color w:val="000000"/>
          <w:lang w:eastAsia="bg-BG"/>
        </w:rPr>
        <w:t>Не се препоръчва започване на лечение с амбрисентан при пациенти с клинично значима анемия. По време на лечение с амбрисентан се препоръчва да се проследяват нивата на хемоглобина и/или хематокрита, например на 1-вия месец, 3-ия месец и периодично след това в съответствие с клиничната практика. Ако се установи клинично значимо понижаване на хемоглобина или хематокрита и са изключени други причини, трябва да се обмисли намаляване на дозата или преустановяване на лечението. Честотата на анемия се повишава, когато амбрисентан се прилага в комбинация с тадалафил (15% честота на нежеланото събитие) в сравнение с честотата на анемия, когато амбрисентан и тадалафил се прилагат като монотерапия (съответно 7% и 11%).</w:t>
      </w:r>
    </w:p>
    <w:p w14:paraId="7C5A8632" w14:textId="77777777" w:rsidR="00800A11" w:rsidRDefault="00800A11" w:rsidP="00800A11">
      <w:pPr>
        <w:spacing w:line="240" w:lineRule="auto"/>
        <w:rPr>
          <w:rFonts w:eastAsia="Times New Roman" w:cs="Arial"/>
          <w:color w:val="000000"/>
          <w:u w:val="single"/>
          <w:lang w:eastAsia="bg-BG"/>
        </w:rPr>
      </w:pPr>
    </w:p>
    <w:p w14:paraId="3A64FA68" w14:textId="6467C76D"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Задържане на течности</w:t>
      </w:r>
    </w:p>
    <w:p w14:paraId="70024FB8" w14:textId="77777777" w:rsidR="00800A11" w:rsidRDefault="00800A11" w:rsidP="00800A11">
      <w:pPr>
        <w:spacing w:line="240" w:lineRule="auto"/>
        <w:rPr>
          <w:rFonts w:eastAsia="Times New Roman" w:cs="Arial"/>
          <w:color w:val="000000"/>
          <w:lang w:eastAsia="bg-BG"/>
        </w:rPr>
      </w:pPr>
    </w:p>
    <w:p w14:paraId="4EE7491D" w14:textId="37DB380E"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При прилагане на ендотелин-рецепторни антагонисти, включително амбрисентан, е наблюдаван периферен оток. В клинични проучвания с амбрисентан повечето случаи на периферен оток са леки до умерени по тежест, макар че може да се проявят с по-висока честота и тежест при пациенти ≥65 години. В краткосрочни клинични проучвания по-често се съобщава за периферен оток при прилагане на 10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амбрисентан (вж. точка 4.8).</w:t>
      </w:r>
    </w:p>
    <w:p w14:paraId="125FD31C" w14:textId="77777777" w:rsidR="00800A11" w:rsidRDefault="00800A11" w:rsidP="00800A11">
      <w:pPr>
        <w:spacing w:line="240" w:lineRule="auto"/>
        <w:rPr>
          <w:rFonts w:eastAsia="Times New Roman" w:cs="Arial"/>
          <w:color w:val="000000"/>
          <w:lang w:eastAsia="bg-BG"/>
        </w:rPr>
      </w:pPr>
    </w:p>
    <w:p w14:paraId="19ECB581" w14:textId="23B92F7F"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Получени са постмаркетингови съобщения за задържане на течности, настъпващо седмици след започване на приема на амбрисентан, като в някои случаи състоянието е </w:t>
      </w:r>
      <w:r w:rsidRPr="00800A11">
        <w:rPr>
          <w:rFonts w:eastAsia="Times New Roman" w:cs="Arial"/>
          <w:color w:val="000000"/>
          <w:lang w:eastAsia="bg-BG"/>
        </w:rPr>
        <w:lastRenderedPageBreak/>
        <w:t>налагало лечение с диуретик или хоспитализация за овладяване на задържането на течности или на декомпенсираната сърдечна недостатъчност. Ако при пациентите е налице съществуващо натоварване с течности, състоянието трябва да се лекува по клинично подходящ начин преди започване на лечение с амбрисентан.</w:t>
      </w:r>
    </w:p>
    <w:p w14:paraId="0F3B8096" w14:textId="77777777" w:rsidR="00800A11" w:rsidRDefault="00800A11" w:rsidP="00800A11">
      <w:pPr>
        <w:spacing w:line="240" w:lineRule="auto"/>
        <w:rPr>
          <w:rFonts w:eastAsia="Times New Roman" w:cs="Arial"/>
          <w:color w:val="000000"/>
          <w:lang w:eastAsia="bg-BG"/>
        </w:rPr>
      </w:pPr>
    </w:p>
    <w:p w14:paraId="28FBD2C8" w14:textId="0132A6F4" w:rsidR="00800A11" w:rsidRPr="00800A11" w:rsidRDefault="00800A11" w:rsidP="00800A11">
      <w:pPr>
        <w:spacing w:line="240" w:lineRule="auto"/>
        <w:rPr>
          <w:rFonts w:eastAsia="Times New Roman" w:cs="Arial"/>
        </w:rPr>
      </w:pPr>
      <w:r w:rsidRPr="00800A11">
        <w:rPr>
          <w:rFonts w:eastAsia="Times New Roman" w:cs="Arial"/>
          <w:color w:val="000000"/>
          <w:lang w:eastAsia="bg-BG"/>
        </w:rPr>
        <w:t>Ако по време на лечение с амбрисентан се развие клинично значимо задържане на течности, със или без придружаващо повишаване на теглото, трябва да бъде направена допълнителна оценка, за да се определи причината, която може да бъде амбрисентан или подлежаща сърдечна недостатъчност, и възможната нужда от специфично лечение или прекъсване на терапията с амбрисентан. Честотата на периферен оток се повишава, когато амбрисентан се прилага в комбинация с тадалафил (45% честота на нежеланото събитие) в сравнение с честотата на периферен оток, когато амбрисентан и тадалафил се прилагат като монотерапия (съответно 38% и 28%). Появата на периферен оток е най-честа през първия месец от започване на лечението.</w:t>
      </w:r>
    </w:p>
    <w:p w14:paraId="147FAD85" w14:textId="77777777" w:rsidR="00800A11" w:rsidRDefault="00800A11" w:rsidP="00800A11">
      <w:pPr>
        <w:spacing w:line="240" w:lineRule="auto"/>
        <w:rPr>
          <w:rFonts w:eastAsia="Times New Roman" w:cs="Arial"/>
          <w:color w:val="000000"/>
          <w:u w:val="single"/>
          <w:lang w:eastAsia="bg-BG"/>
        </w:rPr>
      </w:pPr>
    </w:p>
    <w:p w14:paraId="5FD20FFB" w14:textId="78C0B8D5"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Жени с детероден потенциал</w:t>
      </w:r>
    </w:p>
    <w:p w14:paraId="3AB89CDE" w14:textId="77777777" w:rsidR="00800A11" w:rsidRDefault="00800A11" w:rsidP="00800A11">
      <w:pPr>
        <w:rPr>
          <w:rFonts w:eastAsia="Times New Roman" w:cs="Arial"/>
          <w:color w:val="000000"/>
          <w:lang w:eastAsia="bg-BG"/>
        </w:rPr>
      </w:pPr>
    </w:p>
    <w:p w14:paraId="16A1480B" w14:textId="5766D0A2" w:rsidR="00800A11" w:rsidRDefault="00800A11" w:rsidP="00800A11">
      <w:pPr>
        <w:rPr>
          <w:rFonts w:eastAsia="Times New Roman" w:cs="Arial"/>
          <w:color w:val="000000"/>
          <w:lang w:eastAsia="bg-BG"/>
        </w:rPr>
      </w:pPr>
      <w:r w:rsidRPr="00800A11">
        <w:rPr>
          <w:rFonts w:eastAsia="Times New Roman" w:cs="Arial"/>
          <w:color w:val="000000"/>
          <w:lang w:eastAsia="bg-BG"/>
        </w:rPr>
        <w:t>Не трябва да се започва лечение с Амбрисентан Тева при жени с детероден потенциал, освен ако резултатът от теста за бременност преди лечението е отрицателен и се използва надежден метод за контрацепция. Ако има някакво съмнение за това, какъв съвет да бъде даден на пациентката по отношение на контрацепцията, трябва да се обмисли консултация с гинеколог. По време на лечение с амбрисентан се препоръчват ежемесечни тестове за бременност (вж. точки 4.3 и 4.6).</w:t>
      </w:r>
    </w:p>
    <w:p w14:paraId="1E5EAFF2" w14:textId="31908944" w:rsidR="00800A11" w:rsidRDefault="00800A11" w:rsidP="00800A11">
      <w:pPr>
        <w:rPr>
          <w:rFonts w:eastAsia="Times New Roman" w:cs="Arial"/>
          <w:color w:val="000000"/>
          <w:lang w:eastAsia="bg-BG"/>
        </w:rPr>
      </w:pPr>
    </w:p>
    <w:p w14:paraId="687ED790" w14:textId="77777777"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Белодробна венооклузивна болест</w:t>
      </w:r>
    </w:p>
    <w:p w14:paraId="69FB0A98" w14:textId="77777777" w:rsidR="00800A11" w:rsidRDefault="00800A11" w:rsidP="00800A11">
      <w:pPr>
        <w:spacing w:line="240" w:lineRule="auto"/>
        <w:rPr>
          <w:rFonts w:eastAsia="Times New Roman" w:cs="Arial"/>
          <w:color w:val="000000"/>
          <w:lang w:eastAsia="bg-BG"/>
        </w:rPr>
      </w:pPr>
    </w:p>
    <w:p w14:paraId="65209BCF" w14:textId="1AA5E97C"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Съобщавани са случаи на белодробен оток при вазодилатиращи лекарствени продукти като </w:t>
      </w:r>
      <w:r w:rsidRPr="00800A11">
        <w:rPr>
          <w:rFonts w:eastAsia="Times New Roman" w:cs="Arial"/>
          <w:color w:val="000000"/>
          <w:lang w:val="en-US"/>
        </w:rPr>
        <w:t>ERA</w:t>
      </w:r>
      <w:r w:rsidRPr="00800A11">
        <w:rPr>
          <w:rFonts w:eastAsia="Times New Roman" w:cs="Arial"/>
          <w:color w:val="000000"/>
          <w:lang w:val="ru-RU"/>
        </w:rPr>
        <w:t xml:space="preserve">, </w:t>
      </w:r>
      <w:r w:rsidRPr="00800A11">
        <w:rPr>
          <w:rFonts w:eastAsia="Times New Roman" w:cs="Arial"/>
          <w:color w:val="000000"/>
          <w:lang w:eastAsia="bg-BG"/>
        </w:rPr>
        <w:t>когато са прилагани при пациенти с белодробна венооклузивна болест. По тази причина, ако пациентите с БАХ развият остър белодробен оток по време на лечение с амбрисентан, трябва да се обмисли възможността за белодробна венооклузивна болест.</w:t>
      </w:r>
    </w:p>
    <w:p w14:paraId="30DDC3C5" w14:textId="77777777" w:rsidR="00800A11" w:rsidRDefault="00800A11" w:rsidP="00800A11">
      <w:pPr>
        <w:spacing w:line="240" w:lineRule="auto"/>
        <w:rPr>
          <w:rFonts w:eastAsia="Times New Roman" w:cs="Arial"/>
          <w:color w:val="000000"/>
          <w:u w:val="single"/>
          <w:lang w:eastAsia="bg-BG"/>
        </w:rPr>
      </w:pPr>
    </w:p>
    <w:p w14:paraId="2F062EA4" w14:textId="70848DA4"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Едновременно приложение с други лекарствени продукти</w:t>
      </w:r>
    </w:p>
    <w:p w14:paraId="6F8D4BE8" w14:textId="77777777" w:rsidR="00800A11" w:rsidRDefault="00800A11" w:rsidP="00800A11">
      <w:pPr>
        <w:spacing w:line="240" w:lineRule="auto"/>
        <w:rPr>
          <w:rFonts w:eastAsia="Times New Roman" w:cs="Arial"/>
          <w:color w:val="000000"/>
          <w:lang w:eastAsia="bg-BG"/>
        </w:rPr>
      </w:pPr>
    </w:p>
    <w:p w14:paraId="1B380646" w14:textId="283AB70E" w:rsidR="00800A11" w:rsidRPr="00800A11" w:rsidRDefault="00800A11" w:rsidP="00800A11">
      <w:pPr>
        <w:spacing w:line="240" w:lineRule="auto"/>
        <w:rPr>
          <w:rFonts w:eastAsia="Times New Roman" w:cs="Arial"/>
        </w:rPr>
      </w:pPr>
      <w:r w:rsidRPr="00800A11">
        <w:rPr>
          <w:rFonts w:eastAsia="Times New Roman" w:cs="Arial"/>
          <w:color w:val="000000"/>
          <w:lang w:eastAsia="bg-BG"/>
        </w:rPr>
        <w:t>Пациенти, лекувани с амбрисентан, трябва внимателно да бъдат наблюдавани при започване на лечение с рифампицин (вж. точки 4.5 и 5.2).</w:t>
      </w:r>
    </w:p>
    <w:p w14:paraId="5496A925" w14:textId="77777777" w:rsidR="00800A11" w:rsidRDefault="00800A11" w:rsidP="00800A11">
      <w:pPr>
        <w:spacing w:line="240" w:lineRule="auto"/>
        <w:rPr>
          <w:rFonts w:eastAsia="Times New Roman" w:cs="Arial"/>
          <w:color w:val="000000"/>
          <w:u w:val="single"/>
          <w:lang w:eastAsia="bg-BG"/>
        </w:rPr>
      </w:pPr>
    </w:p>
    <w:p w14:paraId="4F5563DA" w14:textId="46AC21BA"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Помощни вещества</w:t>
      </w:r>
    </w:p>
    <w:p w14:paraId="6B7D13AA" w14:textId="77777777" w:rsidR="00800A11" w:rsidRDefault="00800A11" w:rsidP="00800A11">
      <w:pPr>
        <w:spacing w:line="240" w:lineRule="auto"/>
        <w:rPr>
          <w:rFonts w:eastAsia="Times New Roman" w:cs="Arial"/>
          <w:color w:val="000000"/>
          <w:lang w:eastAsia="bg-BG"/>
        </w:rPr>
      </w:pPr>
    </w:p>
    <w:p w14:paraId="19E4736C" w14:textId="32E3E2B5" w:rsidR="00800A11" w:rsidRPr="00800A11" w:rsidRDefault="00800A11" w:rsidP="00800A11">
      <w:pPr>
        <w:spacing w:line="240" w:lineRule="auto"/>
        <w:rPr>
          <w:rFonts w:eastAsia="Times New Roman" w:cs="Arial"/>
        </w:rPr>
      </w:pPr>
      <w:r w:rsidRPr="00800A11">
        <w:rPr>
          <w:rFonts w:eastAsia="Times New Roman" w:cs="Arial"/>
          <w:color w:val="000000"/>
          <w:lang w:eastAsia="bg-BG"/>
        </w:rPr>
        <w:t>Амбрисентан Тева филмирани таблетки съдържа лактоза. Пациентите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44E776A9" w14:textId="77777777" w:rsidR="00800A11" w:rsidRDefault="00800A11" w:rsidP="00800A11">
      <w:pPr>
        <w:spacing w:line="240" w:lineRule="auto"/>
        <w:rPr>
          <w:rFonts w:eastAsia="Times New Roman" w:cs="Arial"/>
          <w:color w:val="000000"/>
          <w:lang w:eastAsia="bg-BG"/>
        </w:rPr>
      </w:pPr>
    </w:p>
    <w:p w14:paraId="6C2CA5D0" w14:textId="5ED24D2C" w:rsidR="00800A11" w:rsidRPr="00800A11" w:rsidRDefault="00800A11" w:rsidP="00800A11">
      <w:pPr>
        <w:spacing w:line="240" w:lineRule="auto"/>
        <w:rPr>
          <w:rFonts w:eastAsia="Times New Roman" w:cs="Arial"/>
        </w:rPr>
      </w:pPr>
      <w:r w:rsidRPr="00800A11">
        <w:rPr>
          <w:rFonts w:eastAsia="Times New Roman" w:cs="Arial"/>
          <w:color w:val="000000"/>
          <w:lang w:eastAsia="bg-BG"/>
        </w:rPr>
        <w:t>Амбрисентан Тева филмирани таблетки съдържа лецитин, получен от соя. Амбрисентан не трябва да се приема, ако пациентът е свръхчувствителен към фъстъци или соя (вж. точка 4.3).</w:t>
      </w:r>
    </w:p>
    <w:p w14:paraId="2B478E45" w14:textId="77777777" w:rsidR="00800A11" w:rsidRDefault="00800A11" w:rsidP="00800A11">
      <w:pPr>
        <w:spacing w:line="240" w:lineRule="auto"/>
        <w:rPr>
          <w:rFonts w:eastAsia="Times New Roman" w:cs="Arial"/>
          <w:color w:val="000000"/>
          <w:lang w:eastAsia="bg-BG"/>
        </w:rPr>
      </w:pPr>
    </w:p>
    <w:p w14:paraId="07E20385" w14:textId="7EC01DE3"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Това лекарство съдържа по-малко от 1 </w:t>
      </w:r>
      <w:proofErr w:type="spellStart"/>
      <w:r w:rsidRPr="00800A11">
        <w:rPr>
          <w:rFonts w:eastAsia="Times New Roman" w:cs="Arial"/>
          <w:color w:val="000000"/>
          <w:lang w:val="en-US"/>
        </w:rPr>
        <w:t>mmol</w:t>
      </w:r>
      <w:proofErr w:type="spellEnd"/>
      <w:r w:rsidRPr="00800A11">
        <w:rPr>
          <w:rFonts w:eastAsia="Times New Roman" w:cs="Arial"/>
          <w:color w:val="000000"/>
          <w:lang w:val="ru-RU"/>
        </w:rPr>
        <w:t xml:space="preserve"> </w:t>
      </w:r>
      <w:r w:rsidRPr="00800A11">
        <w:rPr>
          <w:rFonts w:eastAsia="Times New Roman" w:cs="Arial"/>
          <w:color w:val="000000"/>
          <w:lang w:eastAsia="bg-BG"/>
        </w:rPr>
        <w:t xml:space="preserve">натрий (23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на таблетка, т.е. може да се каже, че практически не съдържа натрий.</w:t>
      </w:r>
    </w:p>
    <w:p w14:paraId="10EED1F1" w14:textId="77777777" w:rsidR="00800A11" w:rsidRPr="00800A11" w:rsidRDefault="00800A11" w:rsidP="00800A11">
      <w:pPr>
        <w:rPr>
          <w:rFonts w:cs="Arial"/>
        </w:rPr>
      </w:pPr>
    </w:p>
    <w:p w14:paraId="619DED1E" w14:textId="7329A9D5" w:rsidR="004F498A" w:rsidRDefault="002C50EE" w:rsidP="004A448E">
      <w:pPr>
        <w:pStyle w:val="Heading2"/>
      </w:pPr>
      <w:r>
        <w:lastRenderedPageBreak/>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0653622" w14:textId="65DA839A" w:rsidR="00800A11" w:rsidRDefault="00800A11" w:rsidP="00800A11"/>
    <w:p w14:paraId="4E40EDC0" w14:textId="77777777"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В </w:t>
      </w:r>
      <w:r w:rsidRPr="00800A11">
        <w:rPr>
          <w:rFonts w:eastAsia="Times New Roman" w:cs="Arial"/>
          <w:i/>
          <w:iCs/>
          <w:color w:val="000000"/>
          <w:lang w:val="en-US"/>
        </w:rPr>
        <w:t>in</w:t>
      </w:r>
      <w:r w:rsidRPr="00800A11">
        <w:rPr>
          <w:rFonts w:eastAsia="Times New Roman" w:cs="Arial"/>
          <w:i/>
          <w:iCs/>
          <w:color w:val="000000"/>
          <w:lang w:val="ru-RU"/>
        </w:rPr>
        <w:t xml:space="preserve"> </w:t>
      </w:r>
      <w:r w:rsidRPr="00800A11">
        <w:rPr>
          <w:rFonts w:eastAsia="Times New Roman" w:cs="Arial"/>
          <w:i/>
          <w:iCs/>
          <w:color w:val="000000"/>
          <w:lang w:val="en-US"/>
        </w:rPr>
        <w:t>vitro</w:t>
      </w:r>
      <w:r w:rsidRPr="00800A11">
        <w:rPr>
          <w:rFonts w:eastAsia="Times New Roman" w:cs="Arial"/>
          <w:color w:val="000000"/>
          <w:lang w:val="ru-RU"/>
        </w:rPr>
        <w:t xml:space="preserve"> </w:t>
      </w:r>
      <w:r w:rsidRPr="00800A11">
        <w:rPr>
          <w:rFonts w:eastAsia="Times New Roman" w:cs="Arial"/>
          <w:color w:val="000000"/>
          <w:lang w:eastAsia="bg-BG"/>
        </w:rPr>
        <w:t xml:space="preserve">и </w:t>
      </w:r>
      <w:r w:rsidRPr="00800A11">
        <w:rPr>
          <w:rFonts w:eastAsia="Times New Roman" w:cs="Arial"/>
          <w:i/>
          <w:iCs/>
          <w:color w:val="000000"/>
          <w:lang w:val="en-US"/>
        </w:rPr>
        <w:t>in</w:t>
      </w:r>
      <w:r w:rsidRPr="00800A11">
        <w:rPr>
          <w:rFonts w:eastAsia="Times New Roman" w:cs="Arial"/>
          <w:i/>
          <w:iCs/>
          <w:color w:val="000000"/>
          <w:lang w:val="ru-RU"/>
        </w:rPr>
        <w:t xml:space="preserve"> </w:t>
      </w:r>
      <w:r w:rsidRPr="00800A11">
        <w:rPr>
          <w:rFonts w:eastAsia="Times New Roman" w:cs="Arial"/>
          <w:i/>
          <w:iCs/>
          <w:color w:val="000000"/>
          <w:lang w:val="en-US"/>
        </w:rPr>
        <w:t>vivo</w:t>
      </w:r>
      <w:r w:rsidRPr="00800A11">
        <w:rPr>
          <w:rFonts w:eastAsia="Times New Roman" w:cs="Arial"/>
          <w:color w:val="000000"/>
          <w:lang w:val="ru-RU"/>
        </w:rPr>
        <w:t xml:space="preserve"> </w:t>
      </w:r>
      <w:r w:rsidRPr="00800A11">
        <w:rPr>
          <w:rFonts w:eastAsia="Times New Roman" w:cs="Arial"/>
          <w:color w:val="000000"/>
          <w:lang w:eastAsia="bg-BG"/>
        </w:rPr>
        <w:t>неклинични проучвания, амбрисентан не инхибира и не индуцира фаза I или II лекарство-метаболизиращи ензими в клинично значими концентрации, което предполага нисък потенциал на повлияване на метаболизма на лекарствата по тези пътища от страна на амбрисентан.</w:t>
      </w:r>
    </w:p>
    <w:p w14:paraId="15537AFA" w14:textId="77777777" w:rsidR="00800A11" w:rsidRDefault="00800A11" w:rsidP="00800A11">
      <w:pPr>
        <w:spacing w:line="240" w:lineRule="auto"/>
        <w:rPr>
          <w:rFonts w:eastAsia="Times New Roman" w:cs="Arial"/>
          <w:color w:val="000000"/>
          <w:lang w:eastAsia="bg-BG"/>
        </w:rPr>
      </w:pPr>
    </w:p>
    <w:p w14:paraId="2BEDC747" w14:textId="39D0AB96"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Потенциалът на амбрисентан за индуциране активността на </w:t>
      </w:r>
      <w:r w:rsidRPr="00800A11">
        <w:rPr>
          <w:rFonts w:eastAsia="Times New Roman" w:cs="Arial"/>
          <w:color w:val="000000"/>
          <w:lang w:val="en-US"/>
        </w:rPr>
        <w:t>CYP</w:t>
      </w:r>
      <w:r w:rsidRPr="00800A11">
        <w:rPr>
          <w:rFonts w:eastAsia="Times New Roman" w:cs="Arial"/>
          <w:color w:val="000000"/>
          <w:lang w:val="ru-RU"/>
        </w:rPr>
        <w:t>3</w:t>
      </w:r>
      <w:r w:rsidRPr="00800A11">
        <w:rPr>
          <w:rFonts w:eastAsia="Times New Roman" w:cs="Arial"/>
          <w:color w:val="000000"/>
          <w:lang w:val="en-US"/>
        </w:rPr>
        <w:t>A</w:t>
      </w:r>
      <w:r w:rsidRPr="00800A11">
        <w:rPr>
          <w:rFonts w:eastAsia="Times New Roman" w:cs="Arial"/>
          <w:color w:val="000000"/>
          <w:lang w:val="ru-RU"/>
        </w:rPr>
        <w:t xml:space="preserve">4 </w:t>
      </w:r>
      <w:r w:rsidRPr="00800A11">
        <w:rPr>
          <w:rFonts w:eastAsia="Times New Roman" w:cs="Arial"/>
          <w:color w:val="000000"/>
          <w:lang w:eastAsia="bg-BG"/>
        </w:rPr>
        <w:t xml:space="preserve">е изследван при здрави доброволци и резултатите предполагат липса на индуктивен ефект на амбрисентан върху </w:t>
      </w:r>
      <w:r w:rsidRPr="00800A11">
        <w:rPr>
          <w:rFonts w:eastAsia="Times New Roman" w:cs="Arial"/>
          <w:color w:val="000000"/>
          <w:lang w:val="en-US"/>
        </w:rPr>
        <w:t>CYP</w:t>
      </w:r>
      <w:r w:rsidRPr="00800A11">
        <w:rPr>
          <w:rFonts w:eastAsia="Times New Roman" w:cs="Arial"/>
          <w:color w:val="000000"/>
          <w:lang w:val="ru-RU"/>
        </w:rPr>
        <w:t>3</w:t>
      </w:r>
      <w:r w:rsidRPr="00800A11">
        <w:rPr>
          <w:rFonts w:eastAsia="Times New Roman" w:cs="Arial"/>
          <w:color w:val="000000"/>
          <w:lang w:val="en-US"/>
        </w:rPr>
        <w:t>A</w:t>
      </w:r>
      <w:r w:rsidRPr="00800A11">
        <w:rPr>
          <w:rFonts w:eastAsia="Times New Roman" w:cs="Arial"/>
          <w:color w:val="000000"/>
          <w:lang w:val="ru-RU"/>
        </w:rPr>
        <w:t xml:space="preserve">4 </w:t>
      </w:r>
      <w:r w:rsidRPr="00800A11">
        <w:rPr>
          <w:rFonts w:eastAsia="Times New Roman" w:cs="Arial"/>
          <w:color w:val="000000"/>
          <w:lang w:eastAsia="bg-BG"/>
        </w:rPr>
        <w:t>изоензима.</w:t>
      </w:r>
    </w:p>
    <w:p w14:paraId="55F90C75" w14:textId="77777777" w:rsidR="00800A11" w:rsidRDefault="00800A11" w:rsidP="00800A11">
      <w:pPr>
        <w:spacing w:line="240" w:lineRule="auto"/>
        <w:rPr>
          <w:rFonts w:eastAsia="Times New Roman" w:cs="Arial"/>
          <w:color w:val="000000"/>
          <w:u w:val="single"/>
          <w:lang w:eastAsia="bg-BG"/>
        </w:rPr>
      </w:pPr>
    </w:p>
    <w:p w14:paraId="5C02B12E" w14:textId="3EA1885C"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Циклоспорин А</w:t>
      </w:r>
    </w:p>
    <w:p w14:paraId="6E540900" w14:textId="77777777"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Едновременното прилагане на амбрисентан с циклоспорин А в стационарно състояние води до двукратно повишаване на експозицията на амбрисентан при здрави доброволци. Това може да се дължи на инхибиране от циклоспорин А на транспортерите и метаболитните ензими, участващи във фармакокинетиката на амбрисентан. По тази причина, при едновременно прилагане с циклоспорин А, дозата на амбрисентан трябва да бъде ограничена до 5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веднъж дневно (вж. точка 4.2). Многократното прилагане на амбрисентан няма ефект върху експозицията на циклоспорин А и не се налага корекция на дозата на циклоспорин А.</w:t>
      </w:r>
    </w:p>
    <w:p w14:paraId="4E1279BB" w14:textId="77777777" w:rsidR="00800A11" w:rsidRDefault="00800A11" w:rsidP="00800A11">
      <w:pPr>
        <w:spacing w:line="240" w:lineRule="auto"/>
        <w:rPr>
          <w:rFonts w:eastAsia="Times New Roman" w:cs="Arial"/>
          <w:color w:val="000000"/>
          <w:u w:val="single"/>
          <w:lang w:eastAsia="bg-BG"/>
        </w:rPr>
      </w:pPr>
    </w:p>
    <w:p w14:paraId="28EA364B" w14:textId="4E5FD8F1"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Рифампицин</w:t>
      </w:r>
    </w:p>
    <w:p w14:paraId="3C31A74D" w14:textId="35D4CF27" w:rsidR="00800A11" w:rsidRDefault="00800A11" w:rsidP="00800A11">
      <w:pPr>
        <w:spacing w:line="240" w:lineRule="auto"/>
        <w:rPr>
          <w:rFonts w:eastAsia="Times New Roman" w:cs="Arial"/>
          <w:color w:val="000000"/>
          <w:lang w:eastAsia="bg-BG"/>
        </w:rPr>
      </w:pPr>
      <w:r w:rsidRPr="00800A11">
        <w:rPr>
          <w:rFonts w:eastAsia="Times New Roman" w:cs="Arial"/>
          <w:color w:val="000000"/>
          <w:lang w:eastAsia="bg-BG"/>
        </w:rPr>
        <w:t xml:space="preserve">Едновременното прилагане на рифампицин (инхибитор на полипептида, транспортер на органични аниони [ОАТР], силен индуктор на </w:t>
      </w:r>
      <w:r w:rsidRPr="00800A11">
        <w:rPr>
          <w:rFonts w:eastAsia="Times New Roman" w:cs="Arial"/>
          <w:color w:val="000000"/>
          <w:lang w:val="en-US"/>
        </w:rPr>
        <w:t>CYP</w:t>
      </w:r>
      <w:r w:rsidRPr="00800A11">
        <w:rPr>
          <w:rFonts w:eastAsia="Times New Roman" w:cs="Arial"/>
          <w:color w:val="000000"/>
          <w:lang w:val="ru-RU"/>
        </w:rPr>
        <w:t>3</w:t>
      </w:r>
      <w:r w:rsidRPr="00800A11">
        <w:rPr>
          <w:rFonts w:eastAsia="Times New Roman" w:cs="Arial"/>
          <w:color w:val="000000"/>
          <w:lang w:val="en-US"/>
        </w:rPr>
        <w:t>A</w:t>
      </w:r>
      <w:r w:rsidRPr="00800A11">
        <w:rPr>
          <w:rFonts w:eastAsia="Times New Roman" w:cs="Arial"/>
          <w:color w:val="000000"/>
          <w:lang w:val="ru-RU"/>
        </w:rPr>
        <w:t xml:space="preserve"> </w:t>
      </w:r>
      <w:r w:rsidRPr="00800A11">
        <w:rPr>
          <w:rFonts w:eastAsia="Times New Roman" w:cs="Arial"/>
          <w:color w:val="000000"/>
          <w:lang w:eastAsia="bg-BG"/>
        </w:rPr>
        <w:t xml:space="preserve">и 2С19, и индуктор на </w:t>
      </w:r>
      <w:r w:rsidRPr="00800A11">
        <w:rPr>
          <w:rFonts w:eastAsia="Times New Roman" w:cs="Arial"/>
          <w:color w:val="000000"/>
          <w:lang w:val="en-US"/>
        </w:rPr>
        <w:t>P</w:t>
      </w:r>
      <w:r w:rsidRPr="00800A11">
        <w:rPr>
          <w:rFonts w:eastAsia="Times New Roman" w:cs="Arial"/>
          <w:color w:val="000000"/>
          <w:lang w:val="ru-RU"/>
        </w:rPr>
        <w:t>-</w:t>
      </w:r>
      <w:proofErr w:type="spellStart"/>
      <w:r w:rsidRPr="00800A11">
        <w:rPr>
          <w:rFonts w:eastAsia="Times New Roman" w:cs="Arial"/>
          <w:color w:val="000000"/>
          <w:lang w:val="en-US"/>
        </w:rPr>
        <w:t>gp</w:t>
      </w:r>
      <w:proofErr w:type="spellEnd"/>
      <w:r w:rsidRPr="00800A11">
        <w:rPr>
          <w:rFonts w:eastAsia="Times New Roman" w:cs="Arial"/>
          <w:color w:val="000000"/>
          <w:lang w:val="ru-RU"/>
        </w:rPr>
        <w:t xml:space="preserve"> </w:t>
      </w:r>
      <w:r w:rsidRPr="00800A11">
        <w:rPr>
          <w:rFonts w:eastAsia="Times New Roman" w:cs="Arial"/>
          <w:color w:val="000000"/>
          <w:lang w:eastAsia="bg-BG"/>
        </w:rPr>
        <w:t xml:space="preserve">и уридиндифосфат глюкуронилтрансферазите </w:t>
      </w:r>
      <w:r w:rsidRPr="00800A11">
        <w:rPr>
          <w:rFonts w:eastAsia="Times New Roman" w:cs="Arial"/>
          <w:color w:val="000000"/>
          <w:lang w:val="ru-RU"/>
        </w:rPr>
        <w:t>[</w:t>
      </w:r>
      <w:r w:rsidRPr="00800A11">
        <w:rPr>
          <w:rFonts w:eastAsia="Times New Roman" w:cs="Arial"/>
          <w:color w:val="000000"/>
          <w:lang w:val="en-US"/>
        </w:rPr>
        <w:t>UGT</w:t>
      </w:r>
      <w:r w:rsidRPr="00800A11">
        <w:rPr>
          <w:rFonts w:eastAsia="Times New Roman" w:cs="Arial"/>
          <w:color w:val="000000"/>
          <w:lang w:val="ru-RU"/>
        </w:rPr>
        <w:t xml:space="preserve">]) </w:t>
      </w:r>
      <w:r w:rsidRPr="00800A11">
        <w:rPr>
          <w:rFonts w:eastAsia="Times New Roman" w:cs="Arial"/>
          <w:color w:val="000000"/>
          <w:lang w:eastAsia="bg-BG"/>
        </w:rPr>
        <w:t>е свързано с преходно (приблизително 2-кратно) повишаване на експозицията на амбрисентан след първоначалните дози при здрави доброволци. Въпреки това, до ден 8, приемът при стационарно състояние на рифампицин няма клинично значим ефект върху експозицията на амбрисентан. Пациенти, лекувани, с амбрисентан трябва внимателно да се наблюдават при започване на лечение с рифамипицин (вж. точки 4.4 и 5.2).</w:t>
      </w:r>
    </w:p>
    <w:p w14:paraId="401BEB4D" w14:textId="0A1EC48A" w:rsidR="00800A11" w:rsidRDefault="00800A11" w:rsidP="00800A11">
      <w:pPr>
        <w:spacing w:line="240" w:lineRule="auto"/>
        <w:rPr>
          <w:rFonts w:eastAsia="Times New Roman" w:cs="Arial"/>
          <w:color w:val="000000"/>
          <w:lang w:eastAsia="bg-BG"/>
        </w:rPr>
      </w:pPr>
    </w:p>
    <w:p w14:paraId="2F9C0F8A" w14:textId="77777777"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Фосфодиестеразни инхибитори</w:t>
      </w:r>
    </w:p>
    <w:p w14:paraId="110CEFA9" w14:textId="77777777"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Едновременното прилагане на амбрисентан с фосфодиестеразен инхибитор - силденафил или тадалафил (и двата субстрати на </w:t>
      </w:r>
      <w:r w:rsidRPr="00800A11">
        <w:rPr>
          <w:rFonts w:eastAsia="Times New Roman" w:cs="Arial"/>
          <w:color w:val="000000"/>
          <w:lang w:val="en-US"/>
        </w:rPr>
        <w:t>CYP</w:t>
      </w:r>
      <w:r w:rsidRPr="00800A11">
        <w:rPr>
          <w:rFonts w:eastAsia="Times New Roman" w:cs="Arial"/>
          <w:color w:val="000000"/>
          <w:lang w:val="ru-RU"/>
        </w:rPr>
        <w:t>3</w:t>
      </w:r>
      <w:r w:rsidRPr="00800A11">
        <w:rPr>
          <w:rFonts w:eastAsia="Times New Roman" w:cs="Arial"/>
          <w:color w:val="000000"/>
          <w:lang w:val="en-US"/>
        </w:rPr>
        <w:t>A</w:t>
      </w:r>
      <w:r w:rsidRPr="00800A11">
        <w:rPr>
          <w:rFonts w:eastAsia="Times New Roman" w:cs="Arial"/>
          <w:color w:val="000000"/>
          <w:lang w:val="ru-RU"/>
        </w:rPr>
        <w:t xml:space="preserve">4) </w:t>
      </w:r>
      <w:r w:rsidRPr="00800A11">
        <w:rPr>
          <w:rFonts w:eastAsia="Times New Roman" w:cs="Arial"/>
          <w:color w:val="000000"/>
          <w:lang w:eastAsia="bg-BG"/>
        </w:rPr>
        <w:t>при здрави доброволци не повлиява значимо фармакокинетиката на фосфодиестеразния инхибитор или на амбрисентан (вж. точка 5.2).</w:t>
      </w:r>
    </w:p>
    <w:p w14:paraId="4B634E5D" w14:textId="77777777" w:rsidR="00800A11" w:rsidRDefault="00800A11" w:rsidP="00800A11">
      <w:pPr>
        <w:spacing w:line="240" w:lineRule="auto"/>
        <w:rPr>
          <w:rFonts w:eastAsia="Times New Roman" w:cs="Arial"/>
          <w:color w:val="000000"/>
          <w:u w:val="single"/>
          <w:lang w:eastAsia="bg-BG"/>
        </w:rPr>
      </w:pPr>
    </w:p>
    <w:p w14:paraId="3852E7A8" w14:textId="6999C68F"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Други таргетни лечения за БАХ</w:t>
      </w:r>
    </w:p>
    <w:p w14:paraId="5F8DF9E3" w14:textId="77777777" w:rsidR="00800A11" w:rsidRPr="00800A11" w:rsidRDefault="00800A11" w:rsidP="00800A11">
      <w:pPr>
        <w:spacing w:line="240" w:lineRule="auto"/>
        <w:rPr>
          <w:rFonts w:eastAsia="Times New Roman" w:cs="Arial"/>
        </w:rPr>
      </w:pPr>
      <w:r w:rsidRPr="00800A11">
        <w:rPr>
          <w:rFonts w:eastAsia="Times New Roman" w:cs="Arial"/>
          <w:color w:val="000000"/>
          <w:lang w:eastAsia="bg-BG"/>
        </w:rPr>
        <w:t>Ефикасността и безопасността на амбрисентан при едновременно прилагане с други лечения за БАХ (напр. простаноиди и разтворими гуанилатциклазни стимулатори) не са специално проучвани в контролирани клинични изпитвания при пациенти с БАХ (вж. точка 5.1). Не се очакват специфични лекарствени взаимодействия с разтворими гуанилатциклазни стимулатори или простаноиди въз основа на известните данни за биотрансформация (вж. точка 5.2). Въпреки това, при тези лекарствени продукти не са провеждани конкретни проучвания за лекарствени взаимодействия. Затова се препоръчва повишено внимание в случай на едновременно прилагане.</w:t>
      </w:r>
    </w:p>
    <w:p w14:paraId="235D969D" w14:textId="77777777" w:rsidR="00800A11" w:rsidRDefault="00800A11" w:rsidP="00800A11">
      <w:pPr>
        <w:spacing w:line="240" w:lineRule="auto"/>
        <w:rPr>
          <w:rFonts w:eastAsia="Times New Roman" w:cs="Arial"/>
          <w:color w:val="000000"/>
          <w:u w:val="single"/>
          <w:lang w:eastAsia="bg-BG"/>
        </w:rPr>
      </w:pPr>
    </w:p>
    <w:p w14:paraId="64B85BD8" w14:textId="3BC22DA3"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Перорални контрацептиви</w:t>
      </w:r>
    </w:p>
    <w:p w14:paraId="0FA85A45" w14:textId="77777777" w:rsidR="00800A11" w:rsidRPr="00800A11" w:rsidRDefault="00800A11" w:rsidP="00800A11">
      <w:pPr>
        <w:spacing w:line="240" w:lineRule="auto"/>
        <w:rPr>
          <w:rFonts w:eastAsia="Times New Roman" w:cs="Arial"/>
        </w:rPr>
      </w:pPr>
      <w:r w:rsidRPr="00800A11">
        <w:rPr>
          <w:rFonts w:eastAsia="Times New Roman" w:cs="Arial"/>
          <w:color w:val="000000"/>
          <w:lang w:eastAsia="bg-BG"/>
        </w:rPr>
        <w:lastRenderedPageBreak/>
        <w:t xml:space="preserve">В клинично проучване при здрави доброволци прилагането на амбрисентан 10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веднъж дневно в стационарно състояние не повлиява значимо фармакокинетиката на единична доза етинилестрадиол и норетиндрон, компоненти на комбиниран перорален контрацептив (вж. точка 5.2). Основавайки се на това фармакокинетично проучване не се очаква амбрисентан да повлияе значимо експозицията на контрацептиви, съдържащи естроген или прогестоген.</w:t>
      </w:r>
    </w:p>
    <w:p w14:paraId="234B6FA5" w14:textId="77777777" w:rsidR="00800A11" w:rsidRDefault="00800A11" w:rsidP="00800A11">
      <w:pPr>
        <w:spacing w:line="240" w:lineRule="auto"/>
        <w:rPr>
          <w:rFonts w:eastAsia="Times New Roman" w:cs="Arial"/>
          <w:color w:val="000000"/>
          <w:u w:val="single"/>
          <w:lang w:eastAsia="bg-BG"/>
        </w:rPr>
      </w:pPr>
    </w:p>
    <w:p w14:paraId="489BB2A7" w14:textId="5867DB0D"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Варфарин</w:t>
      </w:r>
    </w:p>
    <w:p w14:paraId="1821833E" w14:textId="77777777"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В едно проучване при здрави доброволци амбрисентан не повлиява фармакокинетиката в стационарно състояние и антикоагулантната активност на варфарин (вж. точка 5.2). Също така варфарин няма клинично значими ефекти върху фармакокинетиката на амбрисентан. Освен това, при пациенти амбрисентан няма общ ефект върху седмичната доза на антикоагуланти от типа на варфарин, протромбиновото време (РТ) и международното нормализирано отношение </w:t>
      </w:r>
      <w:r w:rsidRPr="00800A11">
        <w:rPr>
          <w:rFonts w:eastAsia="Times New Roman" w:cs="Arial"/>
          <w:color w:val="000000"/>
          <w:lang w:val="ru-RU"/>
        </w:rPr>
        <w:t>(</w:t>
      </w:r>
      <w:r w:rsidRPr="00800A11">
        <w:rPr>
          <w:rFonts w:eastAsia="Times New Roman" w:cs="Arial"/>
          <w:color w:val="000000"/>
          <w:lang w:val="en-US"/>
        </w:rPr>
        <w:t>INR</w:t>
      </w:r>
      <w:r w:rsidRPr="00800A11">
        <w:rPr>
          <w:rFonts w:eastAsia="Times New Roman" w:cs="Arial"/>
          <w:color w:val="000000"/>
          <w:lang w:val="ru-RU"/>
        </w:rPr>
        <w:t>).</w:t>
      </w:r>
    </w:p>
    <w:p w14:paraId="40BF9BA2" w14:textId="77777777" w:rsidR="00800A11" w:rsidRDefault="00800A11" w:rsidP="00800A11">
      <w:pPr>
        <w:spacing w:line="240" w:lineRule="auto"/>
        <w:rPr>
          <w:rFonts w:eastAsia="Times New Roman" w:cs="Arial"/>
          <w:color w:val="000000"/>
          <w:u w:val="single"/>
          <w:lang w:eastAsia="bg-BG"/>
        </w:rPr>
      </w:pPr>
    </w:p>
    <w:p w14:paraId="58B49B71" w14:textId="2006D254"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Кетоконазол</w:t>
      </w:r>
    </w:p>
    <w:p w14:paraId="23BC278D" w14:textId="77777777"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Прилагането на кетоконазол (мощен инхибитор на </w:t>
      </w:r>
      <w:r w:rsidRPr="00800A11">
        <w:rPr>
          <w:rFonts w:eastAsia="Times New Roman" w:cs="Arial"/>
          <w:color w:val="000000"/>
          <w:lang w:val="en-US"/>
        </w:rPr>
        <w:t>CYP</w:t>
      </w:r>
      <w:r w:rsidRPr="00800A11">
        <w:rPr>
          <w:rFonts w:eastAsia="Times New Roman" w:cs="Arial"/>
          <w:color w:val="000000"/>
          <w:lang w:val="ru-RU"/>
        </w:rPr>
        <w:t>3</w:t>
      </w:r>
      <w:r w:rsidRPr="00800A11">
        <w:rPr>
          <w:rFonts w:eastAsia="Times New Roman" w:cs="Arial"/>
          <w:color w:val="000000"/>
          <w:lang w:eastAsia="bg-BG"/>
        </w:rPr>
        <w:t>А4) в стационарно състояние не предизвиква клинично значимо повишаване на експозицията на амбрисентан (вж. точка 5.2).</w:t>
      </w:r>
    </w:p>
    <w:p w14:paraId="6D127626" w14:textId="77777777" w:rsidR="00800A11" w:rsidRDefault="00800A11" w:rsidP="00800A11">
      <w:pPr>
        <w:spacing w:line="240" w:lineRule="auto"/>
        <w:rPr>
          <w:rFonts w:eastAsia="Times New Roman" w:cs="Arial"/>
          <w:color w:val="000000"/>
          <w:u w:val="single"/>
          <w:lang w:eastAsia="bg-BG"/>
        </w:rPr>
      </w:pPr>
    </w:p>
    <w:p w14:paraId="04461C7A" w14:textId="11C27BC2"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Ефект на амбрисентан върху ксенобиотични транспортери</w:t>
      </w:r>
    </w:p>
    <w:p w14:paraId="10BF160B" w14:textId="77777777" w:rsidR="00800A11" w:rsidRPr="00800A11" w:rsidRDefault="00800A11" w:rsidP="00800A11">
      <w:pPr>
        <w:spacing w:line="240" w:lineRule="auto"/>
        <w:rPr>
          <w:rFonts w:eastAsia="Times New Roman" w:cs="Arial"/>
        </w:rPr>
      </w:pPr>
      <w:r w:rsidRPr="00800A11">
        <w:rPr>
          <w:rFonts w:eastAsia="Times New Roman" w:cs="Arial"/>
          <w:i/>
          <w:iCs/>
          <w:color w:val="000000"/>
          <w:lang w:val="en-US"/>
        </w:rPr>
        <w:t>In</w:t>
      </w:r>
      <w:r w:rsidRPr="00800A11">
        <w:rPr>
          <w:rFonts w:eastAsia="Times New Roman" w:cs="Arial"/>
          <w:i/>
          <w:iCs/>
          <w:color w:val="000000"/>
          <w:lang w:val="ru-RU"/>
        </w:rPr>
        <w:t xml:space="preserve"> </w:t>
      </w:r>
      <w:r w:rsidRPr="00800A11">
        <w:rPr>
          <w:rFonts w:eastAsia="Times New Roman" w:cs="Arial"/>
          <w:i/>
          <w:iCs/>
          <w:color w:val="000000"/>
          <w:lang w:val="en-US"/>
        </w:rPr>
        <w:t>vitro</w:t>
      </w:r>
      <w:r w:rsidRPr="00800A11">
        <w:rPr>
          <w:rFonts w:eastAsia="Times New Roman" w:cs="Arial"/>
          <w:color w:val="000000"/>
          <w:lang w:val="ru-RU"/>
        </w:rPr>
        <w:t xml:space="preserve"> </w:t>
      </w:r>
      <w:r w:rsidRPr="00800A11">
        <w:rPr>
          <w:rFonts w:eastAsia="Times New Roman" w:cs="Arial"/>
          <w:color w:val="000000"/>
          <w:lang w:eastAsia="bg-BG"/>
        </w:rPr>
        <w:t xml:space="preserve">амбрисентан няма инхибиращ ефект върху човешки транспортери в клинично значими концентрации, включително Р-гликопротеин </w:t>
      </w:r>
      <w:r w:rsidRPr="00800A11">
        <w:rPr>
          <w:rFonts w:eastAsia="Times New Roman" w:cs="Arial"/>
          <w:color w:val="000000"/>
          <w:lang w:val="ru-RU"/>
        </w:rPr>
        <w:t>(</w:t>
      </w:r>
      <w:proofErr w:type="spellStart"/>
      <w:r w:rsidRPr="00800A11">
        <w:rPr>
          <w:rFonts w:eastAsia="Times New Roman" w:cs="Arial"/>
          <w:color w:val="000000"/>
          <w:lang w:val="en-US"/>
        </w:rPr>
        <w:t>Pgp</w:t>
      </w:r>
      <w:proofErr w:type="spellEnd"/>
      <w:r w:rsidRPr="00800A11">
        <w:rPr>
          <w:rFonts w:eastAsia="Times New Roman" w:cs="Arial"/>
          <w:color w:val="000000"/>
          <w:lang w:val="ru-RU"/>
        </w:rPr>
        <w:t xml:space="preserve">), </w:t>
      </w:r>
      <w:r w:rsidRPr="00800A11">
        <w:rPr>
          <w:rFonts w:eastAsia="Times New Roman" w:cs="Arial"/>
          <w:color w:val="000000"/>
          <w:lang w:eastAsia="bg-BG"/>
        </w:rPr>
        <w:t xml:space="preserve">протеина на резистентност на рак на гърдата </w:t>
      </w:r>
      <w:r w:rsidRPr="00800A11">
        <w:rPr>
          <w:rFonts w:eastAsia="Times New Roman" w:cs="Arial"/>
          <w:color w:val="000000"/>
          <w:lang w:val="ru-RU"/>
        </w:rPr>
        <w:t>(</w:t>
      </w:r>
      <w:r w:rsidRPr="00800A11">
        <w:rPr>
          <w:rFonts w:eastAsia="Times New Roman" w:cs="Arial"/>
          <w:color w:val="000000"/>
          <w:lang w:val="en-US"/>
        </w:rPr>
        <w:t>BCRP</w:t>
      </w:r>
      <w:r w:rsidRPr="00800A11">
        <w:rPr>
          <w:rFonts w:eastAsia="Times New Roman" w:cs="Arial"/>
          <w:color w:val="000000"/>
          <w:lang w:val="ru-RU"/>
        </w:rPr>
        <w:t xml:space="preserve">), </w:t>
      </w:r>
      <w:r w:rsidRPr="00800A11">
        <w:rPr>
          <w:rFonts w:eastAsia="Times New Roman" w:cs="Arial"/>
          <w:color w:val="000000"/>
          <w:lang w:eastAsia="bg-BG"/>
        </w:rPr>
        <w:t xml:space="preserve">протеин 2, свързан с мултилекарствената резистентност </w:t>
      </w:r>
      <w:r w:rsidRPr="00800A11">
        <w:rPr>
          <w:rFonts w:eastAsia="Times New Roman" w:cs="Arial"/>
          <w:color w:val="000000"/>
          <w:lang w:val="ru-RU"/>
        </w:rPr>
        <w:t>(</w:t>
      </w:r>
      <w:r w:rsidRPr="00800A11">
        <w:rPr>
          <w:rFonts w:eastAsia="Times New Roman" w:cs="Arial"/>
          <w:color w:val="000000"/>
          <w:lang w:val="en-US"/>
        </w:rPr>
        <w:t>MRP</w:t>
      </w:r>
      <w:r w:rsidRPr="00800A11">
        <w:rPr>
          <w:rFonts w:eastAsia="Times New Roman" w:cs="Arial"/>
          <w:color w:val="000000"/>
          <w:lang w:val="ru-RU"/>
        </w:rPr>
        <w:t xml:space="preserve">2), </w:t>
      </w:r>
      <w:r w:rsidRPr="00800A11">
        <w:rPr>
          <w:rFonts w:eastAsia="Times New Roman" w:cs="Arial"/>
          <w:color w:val="000000"/>
          <w:lang w:eastAsia="bg-BG"/>
        </w:rPr>
        <w:t xml:space="preserve">експортната помпа за жлъчни соли </w:t>
      </w:r>
      <w:r w:rsidRPr="00800A11">
        <w:rPr>
          <w:rFonts w:eastAsia="Times New Roman" w:cs="Arial"/>
          <w:color w:val="000000"/>
          <w:lang w:val="ru-RU"/>
        </w:rPr>
        <w:t>(</w:t>
      </w:r>
      <w:r w:rsidRPr="00800A11">
        <w:rPr>
          <w:rFonts w:eastAsia="Times New Roman" w:cs="Arial"/>
          <w:color w:val="000000"/>
          <w:lang w:val="en-US"/>
        </w:rPr>
        <w:t>BSEP</w:t>
      </w:r>
      <w:r w:rsidRPr="00800A11">
        <w:rPr>
          <w:rFonts w:eastAsia="Times New Roman" w:cs="Arial"/>
          <w:color w:val="000000"/>
          <w:lang w:val="ru-RU"/>
        </w:rPr>
        <w:t xml:space="preserve">), </w:t>
      </w:r>
      <w:r w:rsidRPr="00800A11">
        <w:rPr>
          <w:rFonts w:eastAsia="Times New Roman" w:cs="Arial"/>
          <w:color w:val="000000"/>
          <w:lang w:eastAsia="bg-BG"/>
        </w:rPr>
        <w:t xml:space="preserve">полипептиди, транспортиращи органични аниони (ОАТР1В1 и ОАТР1ВЗ) и натриево-зависимият таурохолат ко-транспортен полипептид </w:t>
      </w:r>
      <w:r w:rsidRPr="00800A11">
        <w:rPr>
          <w:rFonts w:eastAsia="Times New Roman" w:cs="Arial"/>
          <w:color w:val="000000"/>
          <w:lang w:val="ru-RU"/>
        </w:rPr>
        <w:t>(</w:t>
      </w:r>
      <w:r w:rsidRPr="00800A11">
        <w:rPr>
          <w:rFonts w:eastAsia="Times New Roman" w:cs="Arial"/>
          <w:color w:val="000000"/>
          <w:lang w:val="en-US"/>
        </w:rPr>
        <w:t>NTCP</w:t>
      </w:r>
      <w:r w:rsidRPr="00800A11">
        <w:rPr>
          <w:rFonts w:eastAsia="Times New Roman" w:cs="Arial"/>
          <w:color w:val="000000"/>
          <w:lang w:val="ru-RU"/>
        </w:rPr>
        <w:t>).</w:t>
      </w:r>
    </w:p>
    <w:p w14:paraId="041D22DB" w14:textId="77777777" w:rsidR="00800A11" w:rsidRDefault="00800A11" w:rsidP="00800A11">
      <w:pPr>
        <w:spacing w:line="240" w:lineRule="auto"/>
        <w:rPr>
          <w:rFonts w:eastAsia="Times New Roman" w:cs="Arial"/>
          <w:color w:val="000000"/>
          <w:lang w:eastAsia="bg-BG"/>
        </w:rPr>
      </w:pPr>
    </w:p>
    <w:p w14:paraId="0DBD4D6F" w14:textId="784B843D"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Амбрисентан е субстрат за </w:t>
      </w:r>
      <w:proofErr w:type="spellStart"/>
      <w:r w:rsidRPr="00800A11">
        <w:rPr>
          <w:rFonts w:eastAsia="Times New Roman" w:cs="Arial"/>
          <w:color w:val="000000"/>
          <w:lang w:val="en-US"/>
        </w:rPr>
        <w:t>Pgp</w:t>
      </w:r>
      <w:proofErr w:type="spellEnd"/>
      <w:r w:rsidRPr="00800A11">
        <w:rPr>
          <w:rFonts w:eastAsia="Times New Roman" w:cs="Arial"/>
          <w:color w:val="000000"/>
          <w:lang w:eastAsia="bg-BG"/>
        </w:rPr>
        <w:t>-медиирания ефлукс.</w:t>
      </w:r>
    </w:p>
    <w:p w14:paraId="58911F75" w14:textId="77777777" w:rsidR="00800A11" w:rsidRDefault="00800A11" w:rsidP="00800A11">
      <w:pPr>
        <w:spacing w:line="240" w:lineRule="auto"/>
        <w:rPr>
          <w:rFonts w:eastAsia="Times New Roman" w:cs="Arial"/>
          <w:i/>
          <w:iCs/>
          <w:color w:val="000000"/>
          <w:lang w:val="en-US"/>
        </w:rPr>
      </w:pPr>
    </w:p>
    <w:p w14:paraId="32505FF6" w14:textId="6CCEE76D" w:rsidR="00800A11" w:rsidRPr="00800A11" w:rsidRDefault="00800A11" w:rsidP="00800A11">
      <w:pPr>
        <w:spacing w:line="240" w:lineRule="auto"/>
        <w:rPr>
          <w:rFonts w:eastAsia="Times New Roman" w:cs="Arial"/>
        </w:rPr>
      </w:pPr>
      <w:r w:rsidRPr="00800A11">
        <w:rPr>
          <w:rFonts w:eastAsia="Times New Roman" w:cs="Arial"/>
          <w:i/>
          <w:iCs/>
          <w:color w:val="000000"/>
          <w:lang w:val="en-US"/>
        </w:rPr>
        <w:t>In</w:t>
      </w:r>
      <w:r w:rsidRPr="00800A11">
        <w:rPr>
          <w:rFonts w:eastAsia="Times New Roman" w:cs="Arial"/>
          <w:i/>
          <w:iCs/>
          <w:color w:val="000000"/>
        </w:rPr>
        <w:t xml:space="preserve"> </w:t>
      </w:r>
      <w:r w:rsidRPr="00800A11">
        <w:rPr>
          <w:rFonts w:eastAsia="Times New Roman" w:cs="Arial"/>
          <w:i/>
          <w:iCs/>
          <w:color w:val="000000"/>
          <w:lang w:val="en-US"/>
        </w:rPr>
        <w:t>vitro</w:t>
      </w:r>
      <w:r w:rsidRPr="00800A11">
        <w:rPr>
          <w:rFonts w:eastAsia="Times New Roman" w:cs="Arial"/>
          <w:color w:val="000000"/>
        </w:rPr>
        <w:t xml:space="preserve"> </w:t>
      </w:r>
      <w:r w:rsidRPr="00800A11">
        <w:rPr>
          <w:rFonts w:eastAsia="Times New Roman" w:cs="Arial"/>
          <w:color w:val="000000"/>
          <w:lang w:eastAsia="bg-BG"/>
        </w:rPr>
        <w:t xml:space="preserve">проучвания върху хепатоцити от плъх също показват, че амбрисентан не индуцира </w:t>
      </w:r>
      <w:proofErr w:type="spellStart"/>
      <w:r w:rsidRPr="00800A11">
        <w:rPr>
          <w:rFonts w:eastAsia="Times New Roman" w:cs="Arial"/>
          <w:color w:val="000000"/>
          <w:lang w:val="en-US"/>
        </w:rPr>
        <w:t>Pgp</w:t>
      </w:r>
      <w:proofErr w:type="spellEnd"/>
      <w:r w:rsidRPr="00800A11">
        <w:rPr>
          <w:rFonts w:eastAsia="Times New Roman" w:cs="Arial"/>
          <w:color w:val="000000"/>
        </w:rPr>
        <w:t xml:space="preserve">, </w:t>
      </w:r>
      <w:r w:rsidRPr="00800A11">
        <w:rPr>
          <w:rFonts w:eastAsia="Times New Roman" w:cs="Arial"/>
          <w:color w:val="000000"/>
          <w:lang w:val="en-US"/>
        </w:rPr>
        <w:t>BSEP</w:t>
      </w:r>
      <w:r w:rsidRPr="00800A11">
        <w:rPr>
          <w:rFonts w:eastAsia="Times New Roman" w:cs="Arial"/>
          <w:color w:val="000000"/>
        </w:rPr>
        <w:t xml:space="preserve"> </w:t>
      </w:r>
      <w:r w:rsidRPr="00800A11">
        <w:rPr>
          <w:rFonts w:eastAsia="Times New Roman" w:cs="Arial"/>
          <w:color w:val="000000"/>
          <w:lang w:eastAsia="bg-BG"/>
        </w:rPr>
        <w:t xml:space="preserve">или </w:t>
      </w:r>
      <w:r w:rsidRPr="00800A11">
        <w:rPr>
          <w:rFonts w:eastAsia="Times New Roman" w:cs="Arial"/>
          <w:color w:val="000000"/>
          <w:lang w:val="en-US"/>
        </w:rPr>
        <w:t>MRP</w:t>
      </w:r>
      <w:r w:rsidRPr="00800A11">
        <w:rPr>
          <w:rFonts w:eastAsia="Times New Roman" w:cs="Arial"/>
          <w:color w:val="000000"/>
        </w:rPr>
        <w:t xml:space="preserve">2 </w:t>
      </w:r>
      <w:r w:rsidRPr="00800A11">
        <w:rPr>
          <w:rFonts w:eastAsia="Times New Roman" w:cs="Arial"/>
          <w:color w:val="000000"/>
          <w:lang w:eastAsia="bg-BG"/>
        </w:rPr>
        <w:t>протеинова експресия.</w:t>
      </w:r>
    </w:p>
    <w:p w14:paraId="464A753A" w14:textId="77777777" w:rsidR="00800A11" w:rsidRDefault="00800A11" w:rsidP="00800A11">
      <w:pPr>
        <w:spacing w:line="240" w:lineRule="auto"/>
        <w:rPr>
          <w:rFonts w:eastAsia="Times New Roman" w:cs="Arial"/>
          <w:color w:val="000000"/>
          <w:lang w:eastAsia="bg-BG"/>
        </w:rPr>
      </w:pPr>
    </w:p>
    <w:p w14:paraId="507E2287" w14:textId="5270A3D8"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Прилагането на амбрисентан в стационарно състояние при здрави доброволци няма клинично значими ефекти върху фармакокинетиката при прилагане на еднократна доза дигоксин, който е субстрат за </w:t>
      </w:r>
      <w:proofErr w:type="spellStart"/>
      <w:r w:rsidRPr="00800A11">
        <w:rPr>
          <w:rFonts w:eastAsia="Times New Roman" w:cs="Arial"/>
          <w:color w:val="000000"/>
          <w:lang w:val="en-US"/>
        </w:rPr>
        <w:t>Pgp</w:t>
      </w:r>
      <w:proofErr w:type="spellEnd"/>
      <w:r w:rsidRPr="00800A11">
        <w:rPr>
          <w:rFonts w:eastAsia="Times New Roman" w:cs="Arial"/>
          <w:color w:val="000000"/>
          <w:lang w:val="ru-RU"/>
        </w:rPr>
        <w:t xml:space="preserve"> </w:t>
      </w:r>
      <w:r w:rsidRPr="00800A11">
        <w:rPr>
          <w:rFonts w:eastAsia="Times New Roman" w:cs="Arial"/>
          <w:color w:val="000000"/>
          <w:lang w:eastAsia="bg-BG"/>
        </w:rPr>
        <w:t>(вж. точка 5.2).</w:t>
      </w:r>
    </w:p>
    <w:p w14:paraId="0AF78F34" w14:textId="2843AAC0" w:rsidR="00800A11" w:rsidRPr="00800A11" w:rsidRDefault="00800A11" w:rsidP="00800A11"/>
    <w:p w14:paraId="394A7584" w14:textId="31801128" w:rsidR="004F498A" w:rsidRDefault="002C50EE" w:rsidP="004A448E">
      <w:pPr>
        <w:pStyle w:val="Heading2"/>
      </w:pPr>
      <w:r>
        <w:t>4.6. Фертилитет, бременност и кърмене</w:t>
      </w:r>
    </w:p>
    <w:p w14:paraId="191EF244" w14:textId="5340E029" w:rsidR="00800A11" w:rsidRDefault="00800A11" w:rsidP="00800A11"/>
    <w:p w14:paraId="5ABF582F" w14:textId="77777777" w:rsidR="00800A11" w:rsidRPr="00800A11" w:rsidRDefault="00800A11" w:rsidP="00800A11">
      <w:pPr>
        <w:pStyle w:val="Heading3"/>
        <w:rPr>
          <w:rFonts w:eastAsia="Times New Roman"/>
          <w:u w:val="single"/>
        </w:rPr>
      </w:pPr>
      <w:r w:rsidRPr="00800A11">
        <w:rPr>
          <w:rFonts w:eastAsia="Times New Roman"/>
          <w:u w:val="single"/>
          <w:lang w:eastAsia="bg-BG"/>
        </w:rPr>
        <w:t>Жени с детероден потенциал</w:t>
      </w:r>
    </w:p>
    <w:p w14:paraId="619AF4B1" w14:textId="77777777" w:rsidR="00800A11" w:rsidRPr="00800A11" w:rsidRDefault="00800A11" w:rsidP="00800A11">
      <w:pPr>
        <w:spacing w:line="240" w:lineRule="auto"/>
        <w:rPr>
          <w:rFonts w:eastAsia="Times New Roman" w:cs="Arial"/>
          <w:color w:val="000000"/>
          <w:lang w:eastAsia="bg-BG"/>
        </w:rPr>
      </w:pPr>
    </w:p>
    <w:p w14:paraId="0F5C4547" w14:textId="77777777" w:rsidR="00800A11" w:rsidRPr="00800A11" w:rsidRDefault="00800A11" w:rsidP="00800A11">
      <w:pPr>
        <w:rPr>
          <w:rFonts w:eastAsia="Times New Roman" w:cs="Arial"/>
        </w:rPr>
      </w:pPr>
      <w:r w:rsidRPr="00800A11">
        <w:rPr>
          <w:rFonts w:eastAsia="Times New Roman" w:cs="Arial"/>
          <w:color w:val="000000"/>
          <w:lang w:eastAsia="bg-BG"/>
        </w:rPr>
        <w:t>Не трябва да се започва лечение с амбрисентан при жени с детероден потенциал освен ако резултатът от теста за бременност преди лечението е отрицателен и се използва надеждна контрацепция. По време на лечение с амбрисентан се препоръчва всеки месец да се правят тестове за бременност.</w:t>
      </w:r>
    </w:p>
    <w:p w14:paraId="342D1B85" w14:textId="77777777" w:rsidR="00800A11" w:rsidRDefault="00800A11" w:rsidP="00800A11">
      <w:pPr>
        <w:spacing w:line="240" w:lineRule="auto"/>
        <w:rPr>
          <w:rFonts w:eastAsia="Times New Roman" w:cs="Arial"/>
          <w:color w:val="000000"/>
          <w:u w:val="single"/>
          <w:lang w:eastAsia="bg-BG"/>
        </w:rPr>
      </w:pPr>
    </w:p>
    <w:p w14:paraId="61DA5D54" w14:textId="2A4F02D9" w:rsidR="00800A11" w:rsidRPr="00800A11" w:rsidRDefault="00800A11" w:rsidP="00800A11">
      <w:pPr>
        <w:pStyle w:val="Heading3"/>
        <w:rPr>
          <w:rFonts w:eastAsia="Times New Roman"/>
          <w:u w:val="single"/>
        </w:rPr>
      </w:pPr>
      <w:r w:rsidRPr="00800A11">
        <w:rPr>
          <w:rFonts w:eastAsia="Times New Roman"/>
          <w:u w:val="single"/>
          <w:lang w:eastAsia="bg-BG"/>
        </w:rPr>
        <w:t>Бременност</w:t>
      </w:r>
    </w:p>
    <w:p w14:paraId="3B3B9FC4" w14:textId="77777777" w:rsidR="00800A11" w:rsidRDefault="00800A11" w:rsidP="00800A11">
      <w:pPr>
        <w:spacing w:line="240" w:lineRule="auto"/>
        <w:rPr>
          <w:rFonts w:eastAsia="Times New Roman" w:cs="Arial"/>
          <w:color w:val="000000"/>
          <w:lang w:eastAsia="bg-BG"/>
        </w:rPr>
      </w:pPr>
    </w:p>
    <w:p w14:paraId="113B439F" w14:textId="41858B3E" w:rsidR="00800A11" w:rsidRPr="00800A11" w:rsidRDefault="00800A11" w:rsidP="00800A11">
      <w:pPr>
        <w:spacing w:line="240" w:lineRule="auto"/>
        <w:rPr>
          <w:rFonts w:eastAsia="Times New Roman" w:cs="Arial"/>
        </w:rPr>
      </w:pPr>
      <w:r w:rsidRPr="00800A11">
        <w:rPr>
          <w:rFonts w:eastAsia="Times New Roman" w:cs="Arial"/>
          <w:color w:val="000000"/>
          <w:lang w:eastAsia="bg-BG"/>
        </w:rPr>
        <w:lastRenderedPageBreak/>
        <w:t>Амбрисентан е противопоказан по време на бременност (вж. точка 4.3). Проучвания с животни показват, че амбрисентан е тератогенен. Няма опит при хора.</w:t>
      </w:r>
    </w:p>
    <w:p w14:paraId="0EB996C9" w14:textId="77777777" w:rsidR="00800A11" w:rsidRDefault="00800A11" w:rsidP="00800A11">
      <w:pPr>
        <w:spacing w:line="240" w:lineRule="auto"/>
        <w:rPr>
          <w:rFonts w:eastAsia="Times New Roman" w:cs="Arial"/>
          <w:color w:val="000000"/>
          <w:lang w:eastAsia="bg-BG"/>
        </w:rPr>
      </w:pPr>
    </w:p>
    <w:p w14:paraId="299DF804" w14:textId="79500AC1" w:rsidR="00800A11" w:rsidRPr="00800A11" w:rsidRDefault="00800A11" w:rsidP="00800A11">
      <w:pPr>
        <w:spacing w:line="240" w:lineRule="auto"/>
        <w:rPr>
          <w:rFonts w:eastAsia="Times New Roman" w:cs="Arial"/>
        </w:rPr>
      </w:pPr>
      <w:r w:rsidRPr="00800A11">
        <w:rPr>
          <w:rFonts w:eastAsia="Times New Roman" w:cs="Arial"/>
          <w:color w:val="000000"/>
          <w:lang w:eastAsia="bg-BG"/>
        </w:rPr>
        <w:t>Жени, приемащи амбрисентан, трябва да бъдат предупредени за риска от увреждане на фетуса, а ако настъпи бременност, трябва да се започне алтернативно лечение (вж. точки 4.3, 4.4 и 5.3).</w:t>
      </w:r>
    </w:p>
    <w:p w14:paraId="65729F24" w14:textId="77777777" w:rsidR="00800A11" w:rsidRDefault="00800A11" w:rsidP="00800A11">
      <w:pPr>
        <w:spacing w:line="240" w:lineRule="auto"/>
        <w:rPr>
          <w:rFonts w:eastAsia="Times New Roman" w:cs="Arial"/>
          <w:color w:val="000000"/>
          <w:u w:val="single"/>
          <w:lang w:eastAsia="bg-BG"/>
        </w:rPr>
      </w:pPr>
    </w:p>
    <w:p w14:paraId="2C406F58" w14:textId="796CFEA9" w:rsidR="00800A11" w:rsidRPr="00800A11" w:rsidRDefault="00800A11" w:rsidP="00800A11">
      <w:pPr>
        <w:pStyle w:val="Heading3"/>
        <w:rPr>
          <w:rFonts w:eastAsia="Times New Roman"/>
          <w:u w:val="single"/>
        </w:rPr>
      </w:pPr>
      <w:r w:rsidRPr="00800A11">
        <w:rPr>
          <w:rFonts w:eastAsia="Times New Roman"/>
          <w:u w:val="single"/>
          <w:lang w:eastAsia="bg-BG"/>
        </w:rPr>
        <w:t>Кърмене</w:t>
      </w:r>
    </w:p>
    <w:p w14:paraId="541AD51E" w14:textId="77777777" w:rsidR="00800A11" w:rsidRDefault="00800A11" w:rsidP="00800A11">
      <w:pPr>
        <w:spacing w:line="240" w:lineRule="auto"/>
        <w:rPr>
          <w:rFonts w:eastAsia="Times New Roman" w:cs="Arial"/>
          <w:color w:val="000000"/>
          <w:lang w:eastAsia="bg-BG"/>
        </w:rPr>
      </w:pPr>
    </w:p>
    <w:p w14:paraId="3EFC5E28" w14:textId="00DA5C7D" w:rsidR="00800A11" w:rsidRPr="00800A11" w:rsidRDefault="00800A11" w:rsidP="00800A11">
      <w:pPr>
        <w:spacing w:line="240" w:lineRule="auto"/>
        <w:rPr>
          <w:rFonts w:eastAsia="Times New Roman" w:cs="Arial"/>
        </w:rPr>
      </w:pPr>
      <w:r w:rsidRPr="00800A11">
        <w:rPr>
          <w:rFonts w:eastAsia="Times New Roman" w:cs="Arial"/>
          <w:color w:val="000000"/>
          <w:lang w:eastAsia="bg-BG"/>
        </w:rPr>
        <w:t>Не е известно дали амбрисентан преминава в кърмата. Не е проучвана екскрецията на амбрисентан в млякото при животни. По тази причина кърменето е противопоказано при пациенти, приемащи амбрисентан (вж. точка 4.3).</w:t>
      </w:r>
    </w:p>
    <w:p w14:paraId="45B331FD" w14:textId="77777777" w:rsidR="00800A11" w:rsidRDefault="00800A11" w:rsidP="00800A11">
      <w:pPr>
        <w:spacing w:line="240" w:lineRule="auto"/>
        <w:rPr>
          <w:rFonts w:eastAsia="Times New Roman" w:cs="Arial"/>
          <w:color w:val="000000"/>
          <w:u w:val="single"/>
          <w:lang w:eastAsia="bg-BG"/>
        </w:rPr>
      </w:pPr>
    </w:p>
    <w:p w14:paraId="72B5008A" w14:textId="246EB219" w:rsidR="00800A11" w:rsidRPr="00800A11" w:rsidRDefault="00800A11" w:rsidP="00800A11">
      <w:pPr>
        <w:pStyle w:val="Heading3"/>
        <w:rPr>
          <w:rFonts w:eastAsia="Times New Roman"/>
          <w:u w:val="single"/>
        </w:rPr>
      </w:pPr>
      <w:r w:rsidRPr="00800A11">
        <w:rPr>
          <w:rFonts w:eastAsia="Times New Roman"/>
          <w:u w:val="single"/>
          <w:lang w:eastAsia="bg-BG"/>
        </w:rPr>
        <w:t>Фертилитет при мъжете</w:t>
      </w:r>
    </w:p>
    <w:p w14:paraId="4CFEAE62" w14:textId="77777777" w:rsidR="00800A11" w:rsidRDefault="00800A11" w:rsidP="00800A11">
      <w:pPr>
        <w:spacing w:line="240" w:lineRule="auto"/>
        <w:rPr>
          <w:rFonts w:eastAsia="Times New Roman" w:cs="Arial"/>
          <w:color w:val="000000"/>
          <w:lang w:eastAsia="bg-BG"/>
        </w:rPr>
      </w:pPr>
    </w:p>
    <w:p w14:paraId="79A6E261" w14:textId="079728A3" w:rsidR="00800A11" w:rsidRPr="00800A11" w:rsidRDefault="00800A11" w:rsidP="00800A11">
      <w:pPr>
        <w:spacing w:line="240" w:lineRule="auto"/>
        <w:rPr>
          <w:rFonts w:eastAsia="Times New Roman" w:cs="Arial"/>
          <w:color w:val="000000"/>
          <w:lang w:eastAsia="bg-BG"/>
        </w:rPr>
      </w:pPr>
      <w:r w:rsidRPr="00800A11">
        <w:rPr>
          <w:rFonts w:eastAsia="Times New Roman" w:cs="Arial"/>
          <w:color w:val="000000"/>
          <w:lang w:eastAsia="bg-BG"/>
        </w:rPr>
        <w:t xml:space="preserve">Развитието на тубулна атрофия на тестисите при животни от мъжки пол е свързано с продължително прилагане на ендотелин-рецепторни антагонисти, включително амбрисентан (вж. точка 5.3). Въпреки че при проучването </w:t>
      </w:r>
      <w:r w:rsidRPr="00800A11">
        <w:rPr>
          <w:rFonts w:eastAsia="Times New Roman" w:cs="Arial"/>
          <w:color w:val="000000"/>
          <w:lang w:val="en-US"/>
        </w:rPr>
        <w:t>ARIES</w:t>
      </w:r>
      <w:r w:rsidRPr="00800A11">
        <w:rPr>
          <w:rFonts w:eastAsia="Times New Roman" w:cs="Arial"/>
          <w:color w:val="000000"/>
          <w:lang w:val="ru-RU"/>
        </w:rPr>
        <w:t>-</w:t>
      </w:r>
      <w:r w:rsidRPr="00800A11">
        <w:rPr>
          <w:rFonts w:eastAsia="Times New Roman" w:cs="Arial"/>
          <w:color w:val="000000"/>
          <w:lang w:eastAsia="bg-BG"/>
        </w:rPr>
        <w:t xml:space="preserve">Е, не са открити ясни доказателства за вреден ефект от дълготрайна експозиция на амбрисентан върху на броя на сперматозоидите, продължителното приложение на амбрисентан е свързано с промени в маркерите на сперматогенезата. Наблюдавано е понижаване на плазмената концентрация на инхибин-В и повишаване на плазмената концентрация на </w:t>
      </w:r>
      <w:r w:rsidRPr="00800A11">
        <w:rPr>
          <w:rFonts w:eastAsia="Times New Roman" w:cs="Arial"/>
          <w:color w:val="000000"/>
          <w:lang w:val="en-US"/>
        </w:rPr>
        <w:t>FSH</w:t>
      </w:r>
      <w:r w:rsidRPr="00800A11">
        <w:rPr>
          <w:rFonts w:eastAsia="Times New Roman" w:cs="Arial"/>
          <w:color w:val="000000"/>
          <w:lang w:val="ru-RU"/>
        </w:rPr>
        <w:t xml:space="preserve">. </w:t>
      </w:r>
      <w:r w:rsidRPr="00800A11">
        <w:rPr>
          <w:rFonts w:eastAsia="Times New Roman" w:cs="Arial"/>
          <w:color w:val="000000"/>
          <w:lang w:eastAsia="bg-BG"/>
        </w:rPr>
        <w:t>Ефектът върху фертилитета при мъже не е установен, но не може да се изключи влошаване на сперматогенезата. В клинични проучвания продължителното прилагане на амбрисентан не се свързва с промяна в плазмения тестостерон.</w:t>
      </w:r>
    </w:p>
    <w:p w14:paraId="7AE46D57" w14:textId="77777777" w:rsidR="00800A11" w:rsidRPr="00800A11" w:rsidRDefault="00800A11" w:rsidP="00800A11"/>
    <w:p w14:paraId="064DF1DE" w14:textId="40A9F9C2" w:rsidR="00CF77F7" w:rsidRDefault="002C50EE" w:rsidP="004A448E">
      <w:pPr>
        <w:pStyle w:val="Heading2"/>
      </w:pPr>
      <w:r>
        <w:t>4.7. Ефекти върху способността за шофиране и работа с машини</w:t>
      </w:r>
    </w:p>
    <w:p w14:paraId="53DF5D6B" w14:textId="3B0FB8D3" w:rsidR="00800A11" w:rsidRDefault="00800A11" w:rsidP="00800A11"/>
    <w:p w14:paraId="097A2229" w14:textId="77777777" w:rsidR="00800A11" w:rsidRPr="00800A11" w:rsidRDefault="00800A11" w:rsidP="00800A11">
      <w:pPr>
        <w:rPr>
          <w:sz w:val="24"/>
          <w:szCs w:val="24"/>
        </w:rPr>
      </w:pPr>
      <w:r w:rsidRPr="00800A11">
        <w:rPr>
          <w:lang w:eastAsia="bg-BG"/>
        </w:rPr>
        <w:t>Амбрисентан повлиява в малка или в умерена степен способността за шофиране и работа с машини. При оценка на способността на пациента за извършване на дейности, които изискват преценка, двигателни или когнитивни способности (вж. точка 4.8), трябва да се имат предвид клиничния статус на пациента и профилът на нежелани реакции на амбрисентан (като хипотония, замаяност, астения, умора). Преди шофиране или работа с машини пациентите трябва да са наясно за това как могат да бъдат повлияни от амбрисентан.</w:t>
      </w:r>
    </w:p>
    <w:p w14:paraId="65324028" w14:textId="77777777" w:rsidR="00800A11" w:rsidRPr="00800A11" w:rsidRDefault="00800A11" w:rsidP="00800A11"/>
    <w:p w14:paraId="37A3FD9F" w14:textId="2D7D220A" w:rsidR="00CF77F7" w:rsidRDefault="002C50EE" w:rsidP="004A448E">
      <w:pPr>
        <w:pStyle w:val="Heading2"/>
      </w:pPr>
      <w:r>
        <w:t>4.8. Нежелани лекарствени реакции</w:t>
      </w:r>
    </w:p>
    <w:p w14:paraId="348F9461" w14:textId="033C104E" w:rsidR="00800A11" w:rsidRDefault="00800A11" w:rsidP="00800A11"/>
    <w:p w14:paraId="5EF52FE2" w14:textId="77777777"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Резюме на профила на безопасност</w:t>
      </w:r>
    </w:p>
    <w:p w14:paraId="4C4E0628" w14:textId="77777777" w:rsidR="00800A11" w:rsidRDefault="00800A11" w:rsidP="00800A11">
      <w:pPr>
        <w:spacing w:line="240" w:lineRule="auto"/>
        <w:rPr>
          <w:rFonts w:eastAsia="Times New Roman" w:cs="Arial"/>
          <w:color w:val="000000"/>
          <w:lang w:eastAsia="bg-BG"/>
        </w:rPr>
      </w:pPr>
    </w:p>
    <w:p w14:paraId="324A2341" w14:textId="684F0060" w:rsidR="00800A11" w:rsidRDefault="00800A11" w:rsidP="00800A11">
      <w:pPr>
        <w:spacing w:line="240" w:lineRule="auto"/>
        <w:rPr>
          <w:rFonts w:eastAsia="Times New Roman" w:cs="Arial"/>
          <w:color w:val="000000"/>
          <w:lang w:eastAsia="bg-BG"/>
        </w:rPr>
      </w:pPr>
      <w:r w:rsidRPr="00800A11">
        <w:rPr>
          <w:rFonts w:eastAsia="Times New Roman" w:cs="Arial"/>
          <w:color w:val="000000"/>
          <w:lang w:eastAsia="bg-BG"/>
        </w:rPr>
        <w:t xml:space="preserve">Безопасността на амбрисентан е оценена като монотерапия и/или в комбинация в клинични проучвания при повече от 1 200 пациенти с БАХ (вж. точка 5.1). Нежеланите реакции, установени от данни от 12-седмично плацебо контролирано клинично проучване, са включени по-долу според системо-органна класификация и честота. По-долу е включена също информация от дългосрочни неконтролирани с плацебо проучвания </w:t>
      </w:r>
      <w:r w:rsidRPr="00800A11">
        <w:rPr>
          <w:rFonts w:eastAsia="Times New Roman" w:cs="Arial"/>
          <w:color w:val="000000"/>
          <w:lang w:val="ru-RU"/>
        </w:rPr>
        <w:t>(</w:t>
      </w:r>
      <w:r w:rsidRPr="00800A11">
        <w:rPr>
          <w:rFonts w:eastAsia="Times New Roman" w:cs="Arial"/>
          <w:color w:val="000000"/>
          <w:lang w:val="en-US"/>
        </w:rPr>
        <w:t>ARIES</w:t>
      </w:r>
      <w:r w:rsidRPr="00800A11">
        <w:rPr>
          <w:rFonts w:eastAsia="Times New Roman" w:cs="Arial"/>
          <w:color w:val="000000"/>
          <w:lang w:eastAsia="bg-BG"/>
        </w:rPr>
        <w:t xml:space="preserve">-Е и </w:t>
      </w:r>
      <w:r w:rsidRPr="00800A11">
        <w:rPr>
          <w:rFonts w:eastAsia="Times New Roman" w:cs="Arial"/>
          <w:color w:val="000000"/>
          <w:lang w:val="en-US"/>
        </w:rPr>
        <w:t>AMBITION</w:t>
      </w:r>
      <w:r w:rsidRPr="00800A11">
        <w:rPr>
          <w:rFonts w:eastAsia="Times New Roman" w:cs="Arial"/>
          <w:color w:val="000000"/>
          <w:lang w:val="ru-RU"/>
        </w:rPr>
        <w:t xml:space="preserve"> </w:t>
      </w:r>
      <w:r w:rsidRPr="00800A11">
        <w:rPr>
          <w:rFonts w:eastAsia="Times New Roman" w:cs="Arial"/>
          <w:color w:val="000000"/>
          <w:lang w:eastAsia="bg-BG"/>
        </w:rPr>
        <w:t xml:space="preserve">(комбинация с тадалафил)). При дългосрочно лечение или при амбрисентан в комбинация с тадалафил не са установени нежелани реакции, които преди това не са били известни. При по- продължително наблюдение в </w:t>
      </w:r>
      <w:r w:rsidRPr="00800A11">
        <w:rPr>
          <w:rFonts w:eastAsia="Times New Roman" w:cs="Arial"/>
          <w:color w:val="000000"/>
          <w:lang w:eastAsia="bg-BG"/>
        </w:rPr>
        <w:lastRenderedPageBreak/>
        <w:t xml:space="preserve">неконтролирани проучвания (средна продължителност на наблюдение 79 седмици), профилът на безопасност е подобен на този, наблюдаван в краткосрочни проучвания. Представени са също и рутинни данни за лекарствената безопасност. Най-честите нежелани реакции, наблюдавани при лечение с амбрисентан са периферен оток, задържане на течности и главоболие (включително болка в синусите, мигрена). При краткосрочни проучвания по-високата доза (10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е свързана с по-висока честота на тези нежелани реакции, а периферният оток е по-тежък при пациенти ≥65 години</w:t>
      </w:r>
      <w:r w:rsidRPr="00800A11">
        <w:rPr>
          <w:rFonts w:eastAsia="Times New Roman" w:cs="Arial"/>
        </w:rPr>
        <w:t xml:space="preserve"> </w:t>
      </w:r>
      <w:r w:rsidRPr="00800A11">
        <w:rPr>
          <w:rFonts w:eastAsia="Times New Roman" w:cs="Arial"/>
          <w:color w:val="000000"/>
          <w:lang w:eastAsia="bg-BG"/>
        </w:rPr>
        <w:t>(вж. точка 4.4).</w:t>
      </w:r>
    </w:p>
    <w:p w14:paraId="39CE4688" w14:textId="39749936" w:rsidR="00800A11" w:rsidRDefault="00800A11" w:rsidP="00800A11">
      <w:pPr>
        <w:spacing w:line="240" w:lineRule="auto"/>
        <w:rPr>
          <w:rFonts w:eastAsia="Times New Roman" w:cs="Arial"/>
          <w:color w:val="000000"/>
          <w:lang w:eastAsia="bg-BG"/>
        </w:rPr>
      </w:pPr>
    </w:p>
    <w:p w14:paraId="6D791692" w14:textId="77777777"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Списък на нежеланите реакции в табличен вид</w:t>
      </w:r>
    </w:p>
    <w:p w14:paraId="1A21E6C5" w14:textId="77777777" w:rsidR="00800A11" w:rsidRDefault="00800A11" w:rsidP="00800A11">
      <w:pPr>
        <w:spacing w:line="240" w:lineRule="auto"/>
        <w:rPr>
          <w:rFonts w:eastAsia="Times New Roman" w:cs="Arial"/>
          <w:color w:val="000000"/>
          <w:lang w:eastAsia="bg-BG"/>
        </w:rPr>
      </w:pPr>
    </w:p>
    <w:p w14:paraId="5963D9FF" w14:textId="1D0B7CA7" w:rsidR="00800A11" w:rsidRPr="00800A11" w:rsidRDefault="00800A11" w:rsidP="00800A11">
      <w:pPr>
        <w:spacing w:line="240" w:lineRule="auto"/>
        <w:rPr>
          <w:rFonts w:eastAsia="Times New Roman" w:cs="Arial"/>
        </w:rPr>
      </w:pPr>
      <w:r w:rsidRPr="00800A11">
        <w:rPr>
          <w:rFonts w:eastAsia="Times New Roman" w:cs="Arial"/>
          <w:color w:val="000000"/>
          <w:lang w:eastAsia="bg-BG"/>
        </w:rPr>
        <w:t>Честотите с</w:t>
      </w:r>
      <w:r>
        <w:rPr>
          <w:rFonts w:eastAsia="Times New Roman" w:cs="Arial"/>
          <w:color w:val="000000"/>
          <w:lang w:eastAsia="bg-BG"/>
        </w:rPr>
        <w:t>е дефинират като: много чести (</w:t>
      </w:r>
      <w:r w:rsidRPr="00800A11">
        <w:rPr>
          <w:rFonts w:eastAsia="Times New Roman" w:cs="Arial"/>
          <w:color w:val="000000"/>
          <w:lang w:eastAsia="bg-BG"/>
        </w:rPr>
        <w:t>≥1/10), чести (≥</w:t>
      </w:r>
      <w:r>
        <w:rPr>
          <w:rFonts w:eastAsia="Times New Roman" w:cs="Arial"/>
          <w:color w:val="000000"/>
          <w:lang w:eastAsia="bg-BG"/>
        </w:rPr>
        <w:t>1/100 до &lt;1/10), нечести (</w:t>
      </w:r>
      <w:r w:rsidRPr="00800A11">
        <w:rPr>
          <w:rFonts w:eastAsia="Times New Roman" w:cs="Arial"/>
          <w:color w:val="000000"/>
          <w:lang w:eastAsia="bg-BG"/>
        </w:rPr>
        <w:t>≥1/</w:t>
      </w:r>
      <w:r>
        <w:rPr>
          <w:rFonts w:eastAsia="Times New Roman" w:cs="Arial"/>
          <w:color w:val="000000"/>
          <w:lang w:eastAsia="bg-BG"/>
        </w:rPr>
        <w:t>1 000 до &lt;1/100), редки (</w:t>
      </w:r>
      <w:r w:rsidRPr="00800A11">
        <w:rPr>
          <w:rFonts w:eastAsia="Times New Roman" w:cs="Arial"/>
          <w:color w:val="000000"/>
          <w:lang w:eastAsia="bg-BG"/>
        </w:rPr>
        <w:t>≥1/10 000 до &lt;1/1 000), много редки (&lt;1/10 000) и с неизвестна честота (от наличните данни не може да бъде направена оценка). За доза-свързаните нежелани реакции категорията по честота отразява по-високата доза амбрисентан. Категориите по честота не отчитат други фактори, включително променлива продължителност на проучването, съществуващи болестни състояния и характеристиките на пациента на изходно ниво. Определените категории по честота на нежеланите реакции, основани на опит от клинични проучвания, може да не отразяват честотата на нежелани събития, настъпващи по време на нормална клинична практика. При всяко групиране в зависимост от честотата нежеланите реакции се изброяват в низходящ ред по отношение на тяхната сериозност.</w:t>
      </w:r>
    </w:p>
    <w:p w14:paraId="4926833C" w14:textId="5CB9E0F7" w:rsidR="00800A11" w:rsidRDefault="00800A11" w:rsidP="00800A11">
      <w:pPr>
        <w:spacing w:line="240" w:lineRule="auto"/>
        <w:rPr>
          <w:rFonts w:eastAsia="Times New Roman" w:cs="Arial"/>
        </w:rPr>
      </w:pPr>
    </w:p>
    <w:tbl>
      <w:tblPr>
        <w:tblStyle w:val="TableGrid"/>
        <w:tblW w:w="0" w:type="auto"/>
        <w:tblLayout w:type="fixed"/>
        <w:tblLook w:val="04A0" w:firstRow="1" w:lastRow="0" w:firstColumn="1" w:lastColumn="0" w:noHBand="0" w:noVBand="1"/>
      </w:tblPr>
      <w:tblGrid>
        <w:gridCol w:w="3564"/>
        <w:gridCol w:w="2073"/>
        <w:gridCol w:w="1984"/>
        <w:gridCol w:w="1955"/>
      </w:tblGrid>
      <w:tr w:rsidR="00800A11" w14:paraId="160C7E8F" w14:textId="77777777" w:rsidTr="00800A11">
        <w:tc>
          <w:tcPr>
            <w:tcW w:w="3564" w:type="dxa"/>
          </w:tcPr>
          <w:p w14:paraId="2472089D" w14:textId="77777777" w:rsidR="00800A11" w:rsidRPr="00800A11" w:rsidRDefault="00800A11" w:rsidP="00800A11"/>
        </w:tc>
        <w:tc>
          <w:tcPr>
            <w:tcW w:w="2073" w:type="dxa"/>
            <w:vAlign w:val="bottom"/>
          </w:tcPr>
          <w:p w14:paraId="1433A979" w14:textId="77777777" w:rsidR="00800A11" w:rsidRPr="00800A11" w:rsidRDefault="00800A11" w:rsidP="00800A11">
            <w:r w:rsidRPr="00800A11">
              <w:rPr>
                <w:b/>
                <w:bCs/>
              </w:rPr>
              <w:t>Амбрисентан</w:t>
            </w:r>
          </w:p>
          <w:p w14:paraId="45C127D5" w14:textId="1CF940CE" w:rsidR="00800A11" w:rsidRPr="00800A11" w:rsidRDefault="00800A11" w:rsidP="00800A11">
            <w:r w:rsidRPr="00800A11">
              <w:rPr>
                <w:b/>
                <w:bCs/>
                <w:lang w:val="ru-RU"/>
              </w:rPr>
              <w:t>(</w:t>
            </w:r>
            <w:r w:rsidRPr="00800A11">
              <w:rPr>
                <w:b/>
                <w:bCs/>
                <w:lang w:val="en-US"/>
              </w:rPr>
              <w:t>ARIES</w:t>
            </w:r>
            <w:r w:rsidRPr="00800A11">
              <w:rPr>
                <w:b/>
                <w:bCs/>
              </w:rPr>
              <w:t>-С и постмаркетингово)</w:t>
            </w:r>
          </w:p>
        </w:tc>
        <w:tc>
          <w:tcPr>
            <w:tcW w:w="1984" w:type="dxa"/>
            <w:vAlign w:val="bottom"/>
          </w:tcPr>
          <w:p w14:paraId="2137DB01" w14:textId="77777777" w:rsidR="00800A11" w:rsidRPr="00800A11" w:rsidRDefault="00800A11" w:rsidP="00800A11">
            <w:r w:rsidRPr="00800A11">
              <w:rPr>
                <w:b/>
                <w:bCs/>
              </w:rPr>
              <w:t>Амбрисентан</w:t>
            </w:r>
          </w:p>
          <w:p w14:paraId="1E21E415" w14:textId="76D989BB" w:rsidR="00800A11" w:rsidRPr="00800A11" w:rsidRDefault="00800A11" w:rsidP="00800A11">
            <w:r w:rsidRPr="00800A11">
              <w:rPr>
                <w:b/>
                <w:bCs/>
                <w:lang w:val="en-US"/>
              </w:rPr>
              <w:t xml:space="preserve">(AMBITION </w:t>
            </w:r>
            <w:r w:rsidRPr="00800A11">
              <w:rPr>
                <w:b/>
                <w:bCs/>
              </w:rPr>
              <w:t xml:space="preserve">и </w:t>
            </w:r>
            <w:r w:rsidRPr="00800A11">
              <w:rPr>
                <w:b/>
                <w:bCs/>
                <w:lang w:val="en-US"/>
              </w:rPr>
              <w:t>ARIES-E)</w:t>
            </w:r>
          </w:p>
        </w:tc>
        <w:tc>
          <w:tcPr>
            <w:tcW w:w="1955" w:type="dxa"/>
            <w:vAlign w:val="bottom"/>
          </w:tcPr>
          <w:p w14:paraId="1285B902" w14:textId="77777777" w:rsidR="00800A11" w:rsidRPr="00800A11" w:rsidRDefault="00800A11" w:rsidP="00800A11">
            <w:r w:rsidRPr="00800A11">
              <w:rPr>
                <w:b/>
                <w:bCs/>
              </w:rPr>
              <w:t>Комбинация с тадалафил</w:t>
            </w:r>
          </w:p>
          <w:p w14:paraId="1537BAF8" w14:textId="2F172EC3" w:rsidR="00800A11" w:rsidRPr="00800A11" w:rsidRDefault="00800A11" w:rsidP="00800A11">
            <w:r w:rsidRPr="00800A11">
              <w:rPr>
                <w:b/>
                <w:bCs/>
                <w:lang w:val="en-US"/>
              </w:rPr>
              <w:t>(AMBITION)</w:t>
            </w:r>
          </w:p>
        </w:tc>
      </w:tr>
      <w:tr w:rsidR="00800A11" w14:paraId="4E352659" w14:textId="77777777" w:rsidTr="00800A11">
        <w:tc>
          <w:tcPr>
            <w:tcW w:w="9576" w:type="dxa"/>
            <w:gridSpan w:val="4"/>
          </w:tcPr>
          <w:p w14:paraId="3A4A4490" w14:textId="155D353B" w:rsidR="00800A11" w:rsidRPr="00800A11" w:rsidRDefault="00800A11" w:rsidP="00800A11">
            <w:pPr>
              <w:spacing w:line="240" w:lineRule="auto"/>
              <w:rPr>
                <w:rFonts w:eastAsia="Times New Roman" w:cs="Arial"/>
              </w:rPr>
            </w:pPr>
            <w:r w:rsidRPr="00800A11">
              <w:rPr>
                <w:i/>
                <w:iCs/>
              </w:rPr>
              <w:t>Нарушения на кръвта и лимфната система</w:t>
            </w:r>
          </w:p>
        </w:tc>
      </w:tr>
      <w:tr w:rsidR="00800A11" w14:paraId="3D81D9DF" w14:textId="77777777" w:rsidTr="00800A11">
        <w:tc>
          <w:tcPr>
            <w:tcW w:w="3564" w:type="dxa"/>
            <w:vAlign w:val="bottom"/>
          </w:tcPr>
          <w:p w14:paraId="680CFC98" w14:textId="19987232" w:rsidR="00800A11" w:rsidRDefault="00800A11" w:rsidP="00800A11">
            <w:pPr>
              <w:rPr>
                <w:rFonts w:eastAsia="Times New Roman" w:cs="Arial"/>
              </w:rPr>
            </w:pPr>
            <w:r>
              <w:t>Анемия (понижен хемоглобин, понижен хематокрит)</w:t>
            </w:r>
          </w:p>
        </w:tc>
        <w:tc>
          <w:tcPr>
            <w:tcW w:w="2073" w:type="dxa"/>
          </w:tcPr>
          <w:p w14:paraId="5543525F" w14:textId="08619520" w:rsidR="00800A11" w:rsidRDefault="00800A11" w:rsidP="00800A11">
            <w:pPr>
              <w:rPr>
                <w:rFonts w:eastAsia="Times New Roman" w:cs="Arial"/>
              </w:rPr>
            </w:pPr>
            <w:r>
              <w:t>Чести</w:t>
            </w:r>
            <w:r>
              <w:rPr>
                <w:vertAlign w:val="superscript"/>
              </w:rPr>
              <w:t>1</w:t>
            </w:r>
          </w:p>
        </w:tc>
        <w:tc>
          <w:tcPr>
            <w:tcW w:w="1984" w:type="dxa"/>
          </w:tcPr>
          <w:p w14:paraId="12BBE9B8" w14:textId="22A29F81" w:rsidR="00800A11" w:rsidRDefault="00800A11" w:rsidP="00800A11">
            <w:pPr>
              <w:rPr>
                <w:rFonts w:eastAsia="Times New Roman" w:cs="Arial"/>
              </w:rPr>
            </w:pPr>
            <w:r>
              <w:t>Много чести</w:t>
            </w:r>
          </w:p>
        </w:tc>
        <w:tc>
          <w:tcPr>
            <w:tcW w:w="1955" w:type="dxa"/>
          </w:tcPr>
          <w:p w14:paraId="4E01FE33" w14:textId="53CDD827" w:rsidR="00800A11" w:rsidRDefault="00800A11" w:rsidP="00800A11">
            <w:pPr>
              <w:rPr>
                <w:rFonts w:eastAsia="Times New Roman" w:cs="Arial"/>
              </w:rPr>
            </w:pPr>
            <w:r>
              <w:t>Много чести</w:t>
            </w:r>
          </w:p>
        </w:tc>
      </w:tr>
      <w:tr w:rsidR="00800A11" w14:paraId="1B3CCA2E" w14:textId="77777777" w:rsidTr="00800A11">
        <w:tc>
          <w:tcPr>
            <w:tcW w:w="9576" w:type="dxa"/>
            <w:gridSpan w:val="4"/>
          </w:tcPr>
          <w:p w14:paraId="0658E458" w14:textId="77777777" w:rsidR="00800A11" w:rsidRDefault="00800A11" w:rsidP="00800A11">
            <w:pPr>
              <w:spacing w:line="240" w:lineRule="auto"/>
              <w:rPr>
                <w:rFonts w:eastAsia="Times New Roman" w:cs="Arial"/>
              </w:rPr>
            </w:pPr>
          </w:p>
        </w:tc>
      </w:tr>
      <w:tr w:rsidR="00800A11" w14:paraId="00A2D828" w14:textId="77777777" w:rsidTr="00800A11">
        <w:tc>
          <w:tcPr>
            <w:tcW w:w="9576" w:type="dxa"/>
            <w:gridSpan w:val="4"/>
          </w:tcPr>
          <w:p w14:paraId="1B074305" w14:textId="62F8478B" w:rsidR="00800A11" w:rsidRPr="00800A11" w:rsidRDefault="00800A11" w:rsidP="00800A11">
            <w:pPr>
              <w:rPr>
                <w:rFonts w:eastAsia="Times New Roman" w:cs="Arial"/>
                <w:i/>
              </w:rPr>
            </w:pPr>
            <w:r w:rsidRPr="00800A11">
              <w:rPr>
                <w:i/>
              </w:rPr>
              <w:t>Нарушения на имунната система</w:t>
            </w:r>
          </w:p>
        </w:tc>
      </w:tr>
      <w:tr w:rsidR="00800A11" w14:paraId="7846B00C" w14:textId="77777777" w:rsidTr="00800A11">
        <w:tc>
          <w:tcPr>
            <w:tcW w:w="3564" w:type="dxa"/>
            <w:vAlign w:val="bottom"/>
          </w:tcPr>
          <w:p w14:paraId="024B38FF" w14:textId="233DFE99" w:rsidR="00800A11" w:rsidRDefault="00800A11" w:rsidP="00800A11">
            <w:pPr>
              <w:rPr>
                <w:rFonts w:eastAsia="Times New Roman" w:cs="Arial"/>
              </w:rPr>
            </w:pPr>
            <w:r>
              <w:t>Реакции на свръхчувствителност (напр. ангиоедем, обрив, сърбеж)</w:t>
            </w:r>
          </w:p>
        </w:tc>
        <w:tc>
          <w:tcPr>
            <w:tcW w:w="2073" w:type="dxa"/>
          </w:tcPr>
          <w:p w14:paraId="1AD64689" w14:textId="1C5CEC15" w:rsidR="00800A11" w:rsidRDefault="00800A11" w:rsidP="00800A11">
            <w:pPr>
              <w:rPr>
                <w:rFonts w:eastAsia="Times New Roman" w:cs="Arial"/>
              </w:rPr>
            </w:pPr>
            <w:r>
              <w:t>Нечести</w:t>
            </w:r>
          </w:p>
        </w:tc>
        <w:tc>
          <w:tcPr>
            <w:tcW w:w="1984" w:type="dxa"/>
          </w:tcPr>
          <w:p w14:paraId="295CC814" w14:textId="33D99375" w:rsidR="00800A11" w:rsidRDefault="00800A11" w:rsidP="00800A11">
            <w:pPr>
              <w:rPr>
                <w:rFonts w:eastAsia="Times New Roman" w:cs="Arial"/>
              </w:rPr>
            </w:pPr>
            <w:r>
              <w:t>Чести</w:t>
            </w:r>
          </w:p>
        </w:tc>
        <w:tc>
          <w:tcPr>
            <w:tcW w:w="1955" w:type="dxa"/>
          </w:tcPr>
          <w:p w14:paraId="67746B56" w14:textId="3CFAC153" w:rsidR="00800A11" w:rsidRDefault="00800A11" w:rsidP="00800A11">
            <w:pPr>
              <w:rPr>
                <w:rFonts w:eastAsia="Times New Roman" w:cs="Arial"/>
              </w:rPr>
            </w:pPr>
            <w:r>
              <w:t>Чести</w:t>
            </w:r>
          </w:p>
        </w:tc>
      </w:tr>
      <w:tr w:rsidR="00800A11" w14:paraId="5E5CBBCF" w14:textId="77777777" w:rsidTr="00800A11">
        <w:tc>
          <w:tcPr>
            <w:tcW w:w="9576" w:type="dxa"/>
            <w:gridSpan w:val="4"/>
          </w:tcPr>
          <w:p w14:paraId="413D0E5C" w14:textId="77777777" w:rsidR="00800A11" w:rsidRDefault="00800A11" w:rsidP="00800A11">
            <w:pPr>
              <w:spacing w:line="240" w:lineRule="auto"/>
              <w:rPr>
                <w:rFonts w:eastAsia="Times New Roman" w:cs="Arial"/>
              </w:rPr>
            </w:pPr>
          </w:p>
        </w:tc>
      </w:tr>
      <w:tr w:rsidR="00800A11" w14:paraId="5D5F8ED9" w14:textId="77777777" w:rsidTr="00800A11">
        <w:tc>
          <w:tcPr>
            <w:tcW w:w="9576" w:type="dxa"/>
            <w:gridSpan w:val="4"/>
          </w:tcPr>
          <w:p w14:paraId="6BCE1DF1" w14:textId="1EC985CC" w:rsidR="00800A11" w:rsidRPr="00800A11" w:rsidRDefault="00800A11" w:rsidP="00800A11">
            <w:pPr>
              <w:rPr>
                <w:rFonts w:cs="Arial"/>
                <w:i/>
              </w:rPr>
            </w:pPr>
            <w:r w:rsidRPr="00800A11">
              <w:rPr>
                <w:i/>
                <w:lang w:eastAsia="bg-BG"/>
              </w:rPr>
              <w:t>Нарушения на нервната система</w:t>
            </w:r>
          </w:p>
        </w:tc>
      </w:tr>
      <w:tr w:rsidR="00800A11" w14:paraId="2E1FB287" w14:textId="77777777" w:rsidTr="00800A11">
        <w:tc>
          <w:tcPr>
            <w:tcW w:w="3564" w:type="dxa"/>
            <w:vAlign w:val="bottom"/>
          </w:tcPr>
          <w:p w14:paraId="35F8150A" w14:textId="5734F274" w:rsidR="00800A11" w:rsidRDefault="00800A11" w:rsidP="00800A11">
            <w:pPr>
              <w:rPr>
                <w:rFonts w:eastAsia="Times New Roman" w:cs="Arial"/>
              </w:rPr>
            </w:pPr>
            <w:r>
              <w:t>Главоболие (включително синусово главоболие, мигрена)</w:t>
            </w:r>
          </w:p>
        </w:tc>
        <w:tc>
          <w:tcPr>
            <w:tcW w:w="2073" w:type="dxa"/>
          </w:tcPr>
          <w:p w14:paraId="094C044B" w14:textId="25463CAF" w:rsidR="00800A11" w:rsidRDefault="00800A11" w:rsidP="00800A11">
            <w:pPr>
              <w:rPr>
                <w:rFonts w:eastAsia="Times New Roman" w:cs="Arial"/>
              </w:rPr>
            </w:pPr>
            <w:r>
              <w:t>Много чести</w:t>
            </w:r>
            <w:r>
              <w:rPr>
                <w:vertAlign w:val="superscript"/>
              </w:rPr>
              <w:t>2</w:t>
            </w:r>
          </w:p>
        </w:tc>
        <w:tc>
          <w:tcPr>
            <w:tcW w:w="1984" w:type="dxa"/>
          </w:tcPr>
          <w:p w14:paraId="444D54B0" w14:textId="1292D8AC" w:rsidR="00800A11" w:rsidRDefault="00800A11" w:rsidP="00800A11">
            <w:pPr>
              <w:rPr>
                <w:rFonts w:eastAsia="Times New Roman" w:cs="Arial"/>
              </w:rPr>
            </w:pPr>
            <w:r>
              <w:t>Много чести</w:t>
            </w:r>
          </w:p>
        </w:tc>
        <w:tc>
          <w:tcPr>
            <w:tcW w:w="1955" w:type="dxa"/>
          </w:tcPr>
          <w:p w14:paraId="65B6BA8D" w14:textId="268F02D2" w:rsidR="00800A11" w:rsidRDefault="00800A11" w:rsidP="00800A11">
            <w:pPr>
              <w:rPr>
                <w:rFonts w:eastAsia="Times New Roman" w:cs="Arial"/>
              </w:rPr>
            </w:pPr>
            <w:r>
              <w:t>Много чести</w:t>
            </w:r>
          </w:p>
        </w:tc>
      </w:tr>
      <w:tr w:rsidR="00800A11" w14:paraId="14C3FA0A" w14:textId="77777777" w:rsidTr="00800A11">
        <w:tc>
          <w:tcPr>
            <w:tcW w:w="3564" w:type="dxa"/>
            <w:vAlign w:val="bottom"/>
          </w:tcPr>
          <w:p w14:paraId="1110AFD3" w14:textId="576BFEF1" w:rsidR="00800A11" w:rsidRDefault="00800A11" w:rsidP="00800A11">
            <w:pPr>
              <w:rPr>
                <w:rFonts w:eastAsia="Times New Roman" w:cs="Arial"/>
              </w:rPr>
            </w:pPr>
            <w:r>
              <w:t>Замаяност</w:t>
            </w:r>
          </w:p>
        </w:tc>
        <w:tc>
          <w:tcPr>
            <w:tcW w:w="2073" w:type="dxa"/>
            <w:vAlign w:val="bottom"/>
          </w:tcPr>
          <w:p w14:paraId="4835EFC5" w14:textId="6520366B" w:rsidR="00800A11" w:rsidRDefault="00800A11" w:rsidP="00800A11">
            <w:pPr>
              <w:rPr>
                <w:rFonts w:eastAsia="Times New Roman" w:cs="Arial"/>
              </w:rPr>
            </w:pPr>
            <w:r>
              <w:t>Чести</w:t>
            </w:r>
            <w:r>
              <w:rPr>
                <w:vertAlign w:val="superscript"/>
              </w:rPr>
              <w:t>3</w:t>
            </w:r>
          </w:p>
        </w:tc>
        <w:tc>
          <w:tcPr>
            <w:tcW w:w="1984" w:type="dxa"/>
            <w:vAlign w:val="bottom"/>
          </w:tcPr>
          <w:p w14:paraId="583C224B" w14:textId="1FD4A308" w:rsidR="00800A11" w:rsidRDefault="00800A11" w:rsidP="00800A11">
            <w:pPr>
              <w:rPr>
                <w:rFonts w:eastAsia="Times New Roman" w:cs="Arial"/>
              </w:rPr>
            </w:pPr>
            <w:r>
              <w:t>Много чести</w:t>
            </w:r>
          </w:p>
        </w:tc>
        <w:tc>
          <w:tcPr>
            <w:tcW w:w="1955" w:type="dxa"/>
            <w:vAlign w:val="bottom"/>
          </w:tcPr>
          <w:p w14:paraId="15FC8D43" w14:textId="3B7F1C8F" w:rsidR="00800A11" w:rsidRDefault="00800A11" w:rsidP="00800A11">
            <w:pPr>
              <w:rPr>
                <w:rFonts w:eastAsia="Times New Roman" w:cs="Arial"/>
              </w:rPr>
            </w:pPr>
            <w:r>
              <w:t>Много чести</w:t>
            </w:r>
          </w:p>
        </w:tc>
      </w:tr>
      <w:tr w:rsidR="00800A11" w14:paraId="7C442D77" w14:textId="77777777" w:rsidTr="00800A11">
        <w:tc>
          <w:tcPr>
            <w:tcW w:w="9576" w:type="dxa"/>
            <w:gridSpan w:val="4"/>
          </w:tcPr>
          <w:p w14:paraId="64431331" w14:textId="77777777" w:rsidR="00800A11" w:rsidRDefault="00800A11" w:rsidP="00800A11">
            <w:pPr>
              <w:spacing w:line="240" w:lineRule="auto"/>
              <w:rPr>
                <w:rFonts w:eastAsia="Times New Roman" w:cs="Arial"/>
              </w:rPr>
            </w:pPr>
          </w:p>
        </w:tc>
      </w:tr>
      <w:tr w:rsidR="00800A11" w14:paraId="6D03DCD2" w14:textId="77777777" w:rsidTr="00800A11">
        <w:tc>
          <w:tcPr>
            <w:tcW w:w="9576" w:type="dxa"/>
            <w:gridSpan w:val="4"/>
          </w:tcPr>
          <w:p w14:paraId="7300492B" w14:textId="7F927269" w:rsidR="00800A11" w:rsidRPr="00800A11" w:rsidRDefault="00800A11" w:rsidP="00800A11">
            <w:pPr>
              <w:rPr>
                <w:rFonts w:eastAsia="Times New Roman" w:cs="Arial"/>
                <w:i/>
              </w:rPr>
            </w:pPr>
            <w:r w:rsidRPr="00800A11">
              <w:rPr>
                <w:i/>
              </w:rPr>
              <w:t>Нарушения на очите</w:t>
            </w:r>
          </w:p>
        </w:tc>
      </w:tr>
      <w:tr w:rsidR="00800A11" w14:paraId="6A640A16" w14:textId="77777777" w:rsidTr="00800A11">
        <w:tc>
          <w:tcPr>
            <w:tcW w:w="3564" w:type="dxa"/>
            <w:vAlign w:val="bottom"/>
          </w:tcPr>
          <w:p w14:paraId="483B5B33" w14:textId="6C6A9C72" w:rsidR="00800A11" w:rsidRDefault="00800A11" w:rsidP="00800A11">
            <w:pPr>
              <w:rPr>
                <w:rFonts w:eastAsia="Times New Roman" w:cs="Arial"/>
              </w:rPr>
            </w:pPr>
            <w:r>
              <w:t>Замъглено зрение, зрително увреждане</w:t>
            </w:r>
          </w:p>
        </w:tc>
        <w:tc>
          <w:tcPr>
            <w:tcW w:w="2073" w:type="dxa"/>
          </w:tcPr>
          <w:p w14:paraId="2826978F" w14:textId="5100C2F7" w:rsidR="00800A11" w:rsidRDefault="00800A11" w:rsidP="00800A11">
            <w:pPr>
              <w:rPr>
                <w:rFonts w:eastAsia="Times New Roman" w:cs="Arial"/>
              </w:rPr>
            </w:pPr>
            <w:r>
              <w:t>С неизвестна честота</w:t>
            </w:r>
            <w:r>
              <w:rPr>
                <w:vertAlign w:val="superscript"/>
              </w:rPr>
              <w:t>4</w:t>
            </w:r>
          </w:p>
        </w:tc>
        <w:tc>
          <w:tcPr>
            <w:tcW w:w="1984" w:type="dxa"/>
          </w:tcPr>
          <w:p w14:paraId="6B910F3B" w14:textId="254459D2" w:rsidR="00800A11" w:rsidRDefault="00800A11" w:rsidP="00800A11">
            <w:pPr>
              <w:rPr>
                <w:rFonts w:eastAsia="Times New Roman" w:cs="Arial"/>
              </w:rPr>
            </w:pPr>
            <w:r>
              <w:t>Чести</w:t>
            </w:r>
          </w:p>
        </w:tc>
        <w:tc>
          <w:tcPr>
            <w:tcW w:w="1955" w:type="dxa"/>
          </w:tcPr>
          <w:p w14:paraId="370232CF" w14:textId="4A3689D5" w:rsidR="00800A11" w:rsidRDefault="00800A11" w:rsidP="00800A11">
            <w:pPr>
              <w:rPr>
                <w:rFonts w:eastAsia="Times New Roman" w:cs="Arial"/>
              </w:rPr>
            </w:pPr>
            <w:r>
              <w:t>Чести</w:t>
            </w:r>
          </w:p>
        </w:tc>
      </w:tr>
      <w:tr w:rsidR="00800A11" w14:paraId="76FF53F3" w14:textId="77777777" w:rsidTr="00800A11">
        <w:tc>
          <w:tcPr>
            <w:tcW w:w="9576" w:type="dxa"/>
            <w:gridSpan w:val="4"/>
          </w:tcPr>
          <w:p w14:paraId="2EAE7D07" w14:textId="77777777" w:rsidR="00800A11" w:rsidRDefault="00800A11" w:rsidP="00800A11">
            <w:pPr>
              <w:spacing w:line="240" w:lineRule="auto"/>
              <w:rPr>
                <w:rFonts w:eastAsia="Times New Roman" w:cs="Arial"/>
              </w:rPr>
            </w:pPr>
          </w:p>
        </w:tc>
      </w:tr>
      <w:tr w:rsidR="00800A11" w14:paraId="204AAC4E" w14:textId="77777777" w:rsidTr="00800A11">
        <w:tc>
          <w:tcPr>
            <w:tcW w:w="9576" w:type="dxa"/>
            <w:gridSpan w:val="4"/>
          </w:tcPr>
          <w:p w14:paraId="4F8E471B" w14:textId="32920521" w:rsidR="00800A11" w:rsidRPr="00800A11" w:rsidRDefault="00800A11" w:rsidP="00800A11">
            <w:pPr>
              <w:rPr>
                <w:rFonts w:eastAsia="Times New Roman" w:cs="Arial"/>
                <w:i/>
              </w:rPr>
            </w:pPr>
            <w:r w:rsidRPr="00800A11">
              <w:rPr>
                <w:i/>
              </w:rPr>
              <w:t>Нарушения на ухото и лабиринта</w:t>
            </w:r>
          </w:p>
        </w:tc>
      </w:tr>
      <w:tr w:rsidR="00800A11" w14:paraId="5A2AA826" w14:textId="77777777" w:rsidTr="00800A11">
        <w:tc>
          <w:tcPr>
            <w:tcW w:w="3564" w:type="dxa"/>
            <w:vAlign w:val="bottom"/>
          </w:tcPr>
          <w:p w14:paraId="6BC0E97A" w14:textId="1AD46385" w:rsidR="00800A11" w:rsidRDefault="00800A11" w:rsidP="00800A11">
            <w:pPr>
              <w:rPr>
                <w:rFonts w:eastAsia="Times New Roman" w:cs="Arial"/>
              </w:rPr>
            </w:pPr>
            <w:r>
              <w:t>Тинитус</w:t>
            </w:r>
          </w:p>
        </w:tc>
        <w:tc>
          <w:tcPr>
            <w:tcW w:w="2073" w:type="dxa"/>
            <w:vAlign w:val="bottom"/>
          </w:tcPr>
          <w:p w14:paraId="62C9CF8D" w14:textId="60FAB03E" w:rsidR="00800A11" w:rsidRDefault="00800A11" w:rsidP="00800A11">
            <w:pPr>
              <w:rPr>
                <w:rFonts w:eastAsia="Times New Roman" w:cs="Arial"/>
              </w:rPr>
            </w:pPr>
            <w:r>
              <w:t>Не се съобщава</w:t>
            </w:r>
          </w:p>
        </w:tc>
        <w:tc>
          <w:tcPr>
            <w:tcW w:w="1984" w:type="dxa"/>
            <w:vAlign w:val="bottom"/>
          </w:tcPr>
          <w:p w14:paraId="732C3327" w14:textId="0C482CF1" w:rsidR="00800A11" w:rsidRDefault="00800A11" w:rsidP="00800A11">
            <w:pPr>
              <w:rPr>
                <w:rFonts w:eastAsia="Times New Roman" w:cs="Arial"/>
              </w:rPr>
            </w:pPr>
            <w:r>
              <w:t>Не се съобщава</w:t>
            </w:r>
          </w:p>
        </w:tc>
        <w:tc>
          <w:tcPr>
            <w:tcW w:w="1955" w:type="dxa"/>
            <w:vAlign w:val="bottom"/>
          </w:tcPr>
          <w:p w14:paraId="01B364B2" w14:textId="47F0DB0A" w:rsidR="00800A11" w:rsidRDefault="00800A11" w:rsidP="00800A11">
            <w:pPr>
              <w:rPr>
                <w:rFonts w:eastAsia="Times New Roman" w:cs="Arial"/>
              </w:rPr>
            </w:pPr>
            <w:r>
              <w:t>Чести</w:t>
            </w:r>
          </w:p>
        </w:tc>
      </w:tr>
      <w:tr w:rsidR="00800A11" w14:paraId="7C41878C" w14:textId="77777777" w:rsidTr="00800A11">
        <w:tc>
          <w:tcPr>
            <w:tcW w:w="3564" w:type="dxa"/>
            <w:vAlign w:val="bottom"/>
          </w:tcPr>
          <w:p w14:paraId="3181AF72" w14:textId="7E0FDF07" w:rsidR="00800A11" w:rsidRDefault="00800A11" w:rsidP="00800A11">
            <w:pPr>
              <w:rPr>
                <w:rFonts w:eastAsia="Times New Roman" w:cs="Arial"/>
              </w:rPr>
            </w:pPr>
            <w:r>
              <w:t>Внезапна загуба на слух</w:t>
            </w:r>
          </w:p>
        </w:tc>
        <w:tc>
          <w:tcPr>
            <w:tcW w:w="2073" w:type="dxa"/>
            <w:vAlign w:val="bottom"/>
          </w:tcPr>
          <w:p w14:paraId="573479A3" w14:textId="41EC0BED" w:rsidR="00800A11" w:rsidRDefault="00800A11" w:rsidP="00800A11">
            <w:pPr>
              <w:rPr>
                <w:rFonts w:eastAsia="Times New Roman" w:cs="Arial"/>
              </w:rPr>
            </w:pPr>
            <w:r>
              <w:t>Не се съобщава</w:t>
            </w:r>
          </w:p>
        </w:tc>
        <w:tc>
          <w:tcPr>
            <w:tcW w:w="1984" w:type="dxa"/>
            <w:vAlign w:val="bottom"/>
          </w:tcPr>
          <w:p w14:paraId="132B3829" w14:textId="17924AA8" w:rsidR="00800A11" w:rsidRDefault="00800A11" w:rsidP="00800A11">
            <w:pPr>
              <w:rPr>
                <w:rFonts w:eastAsia="Times New Roman" w:cs="Arial"/>
              </w:rPr>
            </w:pPr>
            <w:r>
              <w:t>Не се съобщава</w:t>
            </w:r>
          </w:p>
        </w:tc>
        <w:tc>
          <w:tcPr>
            <w:tcW w:w="1955" w:type="dxa"/>
            <w:vAlign w:val="bottom"/>
          </w:tcPr>
          <w:p w14:paraId="7C163D7B" w14:textId="6246D46A" w:rsidR="00800A11" w:rsidRDefault="00800A11" w:rsidP="00800A11">
            <w:pPr>
              <w:rPr>
                <w:rFonts w:eastAsia="Times New Roman" w:cs="Arial"/>
              </w:rPr>
            </w:pPr>
            <w:r>
              <w:t>Нечести</w:t>
            </w:r>
          </w:p>
        </w:tc>
      </w:tr>
      <w:tr w:rsidR="00800A11" w14:paraId="4208DE04" w14:textId="77777777" w:rsidTr="00800A11">
        <w:tc>
          <w:tcPr>
            <w:tcW w:w="9576" w:type="dxa"/>
            <w:gridSpan w:val="4"/>
          </w:tcPr>
          <w:p w14:paraId="787BD78B" w14:textId="77777777" w:rsidR="00800A11" w:rsidRDefault="00800A11" w:rsidP="00800A11">
            <w:pPr>
              <w:spacing w:line="240" w:lineRule="auto"/>
              <w:rPr>
                <w:rFonts w:eastAsia="Times New Roman" w:cs="Arial"/>
              </w:rPr>
            </w:pPr>
          </w:p>
        </w:tc>
      </w:tr>
      <w:tr w:rsidR="00800A11" w14:paraId="36B15B1D" w14:textId="77777777" w:rsidTr="00800A11">
        <w:tc>
          <w:tcPr>
            <w:tcW w:w="9576" w:type="dxa"/>
            <w:gridSpan w:val="4"/>
          </w:tcPr>
          <w:p w14:paraId="20F6CA08" w14:textId="141BC3A9" w:rsidR="00800A11" w:rsidRPr="00800A11" w:rsidRDefault="00800A11" w:rsidP="00800A11">
            <w:pPr>
              <w:rPr>
                <w:rFonts w:eastAsia="Times New Roman" w:cs="Arial"/>
                <w:i/>
              </w:rPr>
            </w:pPr>
            <w:r w:rsidRPr="00800A11">
              <w:rPr>
                <w:i/>
              </w:rPr>
              <w:lastRenderedPageBreak/>
              <w:t>Сърдечни нарушения</w:t>
            </w:r>
          </w:p>
        </w:tc>
      </w:tr>
      <w:tr w:rsidR="00800A11" w14:paraId="791D4657" w14:textId="77777777" w:rsidTr="00800A11">
        <w:tc>
          <w:tcPr>
            <w:tcW w:w="3564" w:type="dxa"/>
            <w:vAlign w:val="bottom"/>
          </w:tcPr>
          <w:p w14:paraId="4D0148F1" w14:textId="4117D8AC" w:rsidR="00800A11" w:rsidRDefault="00800A11" w:rsidP="00800A11">
            <w:pPr>
              <w:rPr>
                <w:rFonts w:eastAsia="Times New Roman" w:cs="Arial"/>
              </w:rPr>
            </w:pPr>
            <w:r>
              <w:t>Сърдечна недостатъчност</w:t>
            </w:r>
          </w:p>
        </w:tc>
        <w:tc>
          <w:tcPr>
            <w:tcW w:w="2073" w:type="dxa"/>
            <w:vAlign w:val="bottom"/>
          </w:tcPr>
          <w:p w14:paraId="4558247C" w14:textId="4AE010AE" w:rsidR="00800A11" w:rsidRDefault="00800A11" w:rsidP="00800A11">
            <w:pPr>
              <w:rPr>
                <w:rFonts w:eastAsia="Times New Roman" w:cs="Arial"/>
              </w:rPr>
            </w:pPr>
            <w:r>
              <w:t>Чести</w:t>
            </w:r>
            <w:r>
              <w:rPr>
                <w:vertAlign w:val="superscript"/>
              </w:rPr>
              <w:t>5</w:t>
            </w:r>
          </w:p>
        </w:tc>
        <w:tc>
          <w:tcPr>
            <w:tcW w:w="1984" w:type="dxa"/>
            <w:vAlign w:val="bottom"/>
          </w:tcPr>
          <w:p w14:paraId="617C8834" w14:textId="10ECC705" w:rsidR="00800A11" w:rsidRDefault="00800A11" w:rsidP="00800A11">
            <w:pPr>
              <w:rPr>
                <w:rFonts w:eastAsia="Times New Roman" w:cs="Arial"/>
              </w:rPr>
            </w:pPr>
            <w:r>
              <w:t>Чести</w:t>
            </w:r>
          </w:p>
        </w:tc>
        <w:tc>
          <w:tcPr>
            <w:tcW w:w="1955" w:type="dxa"/>
            <w:vAlign w:val="bottom"/>
          </w:tcPr>
          <w:p w14:paraId="018226F5" w14:textId="669BBC31" w:rsidR="00800A11" w:rsidRDefault="00800A11" w:rsidP="00800A11">
            <w:pPr>
              <w:rPr>
                <w:rFonts w:eastAsia="Times New Roman" w:cs="Arial"/>
              </w:rPr>
            </w:pPr>
            <w:r>
              <w:t>Чести</w:t>
            </w:r>
          </w:p>
        </w:tc>
      </w:tr>
      <w:tr w:rsidR="00800A11" w14:paraId="50DEE5E3" w14:textId="77777777" w:rsidTr="00800A11">
        <w:tc>
          <w:tcPr>
            <w:tcW w:w="3564" w:type="dxa"/>
            <w:vAlign w:val="bottom"/>
          </w:tcPr>
          <w:p w14:paraId="7320606E" w14:textId="7F8F9889" w:rsidR="00800A11" w:rsidRDefault="00800A11" w:rsidP="00800A11">
            <w:pPr>
              <w:rPr>
                <w:rFonts w:eastAsia="Times New Roman" w:cs="Arial"/>
              </w:rPr>
            </w:pPr>
            <w:r>
              <w:t>Палпитации</w:t>
            </w:r>
          </w:p>
        </w:tc>
        <w:tc>
          <w:tcPr>
            <w:tcW w:w="2073" w:type="dxa"/>
            <w:vAlign w:val="bottom"/>
          </w:tcPr>
          <w:p w14:paraId="3C2045D6" w14:textId="42DBBFD2" w:rsidR="00800A11" w:rsidRDefault="00800A11" w:rsidP="00800A11">
            <w:pPr>
              <w:rPr>
                <w:rFonts w:eastAsia="Times New Roman" w:cs="Arial"/>
              </w:rPr>
            </w:pPr>
            <w:r>
              <w:t>Чести</w:t>
            </w:r>
          </w:p>
        </w:tc>
        <w:tc>
          <w:tcPr>
            <w:tcW w:w="1984" w:type="dxa"/>
            <w:vAlign w:val="bottom"/>
          </w:tcPr>
          <w:p w14:paraId="3D23EF8B" w14:textId="035AC577" w:rsidR="00800A11" w:rsidRDefault="00800A11" w:rsidP="00800A11">
            <w:pPr>
              <w:rPr>
                <w:rFonts w:eastAsia="Times New Roman" w:cs="Arial"/>
              </w:rPr>
            </w:pPr>
            <w:r>
              <w:t>Много чести</w:t>
            </w:r>
          </w:p>
        </w:tc>
        <w:tc>
          <w:tcPr>
            <w:tcW w:w="1955" w:type="dxa"/>
            <w:vAlign w:val="bottom"/>
          </w:tcPr>
          <w:p w14:paraId="26A9884E" w14:textId="4C562877" w:rsidR="00800A11" w:rsidRDefault="00800A11" w:rsidP="00800A11">
            <w:pPr>
              <w:rPr>
                <w:rFonts w:eastAsia="Times New Roman" w:cs="Arial"/>
              </w:rPr>
            </w:pPr>
            <w:r>
              <w:t>Много чести</w:t>
            </w:r>
          </w:p>
        </w:tc>
      </w:tr>
      <w:tr w:rsidR="00800A11" w14:paraId="1BAE5803" w14:textId="77777777" w:rsidTr="00800A11">
        <w:tc>
          <w:tcPr>
            <w:tcW w:w="9576" w:type="dxa"/>
            <w:gridSpan w:val="4"/>
          </w:tcPr>
          <w:p w14:paraId="2EDE27EC" w14:textId="77777777" w:rsidR="00800A11" w:rsidRDefault="00800A11" w:rsidP="00800A11">
            <w:pPr>
              <w:spacing w:line="240" w:lineRule="auto"/>
              <w:rPr>
                <w:rFonts w:eastAsia="Times New Roman" w:cs="Arial"/>
              </w:rPr>
            </w:pPr>
          </w:p>
        </w:tc>
      </w:tr>
      <w:tr w:rsidR="00800A11" w14:paraId="00CB313C" w14:textId="77777777" w:rsidTr="00800A11">
        <w:tc>
          <w:tcPr>
            <w:tcW w:w="9576" w:type="dxa"/>
            <w:gridSpan w:val="4"/>
          </w:tcPr>
          <w:p w14:paraId="20A54EC2" w14:textId="5E086DCC" w:rsidR="00800A11" w:rsidRPr="00800A11" w:rsidRDefault="00800A11" w:rsidP="00800A11">
            <w:pPr>
              <w:rPr>
                <w:rFonts w:eastAsia="Times New Roman" w:cs="Arial"/>
                <w:i/>
              </w:rPr>
            </w:pPr>
            <w:r w:rsidRPr="00800A11">
              <w:rPr>
                <w:i/>
              </w:rPr>
              <w:t>Съдови нарушения</w:t>
            </w:r>
          </w:p>
        </w:tc>
      </w:tr>
      <w:tr w:rsidR="00800A11" w14:paraId="266D4D9C" w14:textId="77777777" w:rsidTr="00800A11">
        <w:tc>
          <w:tcPr>
            <w:tcW w:w="3564" w:type="dxa"/>
            <w:vAlign w:val="bottom"/>
          </w:tcPr>
          <w:p w14:paraId="0E2C8C96" w14:textId="5C17B003" w:rsidR="00800A11" w:rsidRDefault="00800A11" w:rsidP="00800A11">
            <w:pPr>
              <w:rPr>
                <w:rFonts w:eastAsia="Times New Roman" w:cs="Arial"/>
              </w:rPr>
            </w:pPr>
            <w:r>
              <w:t>Хипотония</w:t>
            </w:r>
          </w:p>
        </w:tc>
        <w:tc>
          <w:tcPr>
            <w:tcW w:w="2073" w:type="dxa"/>
            <w:vAlign w:val="bottom"/>
          </w:tcPr>
          <w:p w14:paraId="5E1A1C66" w14:textId="13C850B7" w:rsidR="00800A11" w:rsidRDefault="00800A11" w:rsidP="00800A11">
            <w:pPr>
              <w:rPr>
                <w:rFonts w:eastAsia="Times New Roman" w:cs="Arial"/>
              </w:rPr>
            </w:pPr>
            <w:r>
              <w:t>Чести</w:t>
            </w:r>
            <w:r>
              <w:rPr>
                <w:vertAlign w:val="superscript"/>
              </w:rPr>
              <w:t>3</w:t>
            </w:r>
          </w:p>
        </w:tc>
        <w:tc>
          <w:tcPr>
            <w:tcW w:w="1984" w:type="dxa"/>
            <w:vAlign w:val="bottom"/>
          </w:tcPr>
          <w:p w14:paraId="2AC06C74" w14:textId="06CD25FF" w:rsidR="00800A11" w:rsidRDefault="00800A11" w:rsidP="00800A11">
            <w:pPr>
              <w:rPr>
                <w:rFonts w:eastAsia="Times New Roman" w:cs="Arial"/>
              </w:rPr>
            </w:pPr>
            <w:r>
              <w:t>Чести</w:t>
            </w:r>
          </w:p>
        </w:tc>
        <w:tc>
          <w:tcPr>
            <w:tcW w:w="1955" w:type="dxa"/>
            <w:vAlign w:val="bottom"/>
          </w:tcPr>
          <w:p w14:paraId="330D75CF" w14:textId="07374CE1" w:rsidR="00800A11" w:rsidRDefault="00800A11" w:rsidP="00800A11">
            <w:pPr>
              <w:rPr>
                <w:rFonts w:eastAsia="Times New Roman" w:cs="Arial"/>
              </w:rPr>
            </w:pPr>
            <w:r>
              <w:t>Чести</w:t>
            </w:r>
          </w:p>
        </w:tc>
      </w:tr>
      <w:tr w:rsidR="00800A11" w14:paraId="01ACEB5B" w14:textId="77777777" w:rsidTr="00800A11">
        <w:tc>
          <w:tcPr>
            <w:tcW w:w="3564" w:type="dxa"/>
            <w:vAlign w:val="bottom"/>
          </w:tcPr>
          <w:p w14:paraId="4A47111E" w14:textId="6F8D11C7" w:rsidR="00800A11" w:rsidRDefault="00800A11" w:rsidP="00800A11">
            <w:pPr>
              <w:rPr>
                <w:rFonts w:eastAsia="Times New Roman" w:cs="Arial"/>
              </w:rPr>
            </w:pPr>
            <w:r>
              <w:t>Зачервяване</w:t>
            </w:r>
          </w:p>
        </w:tc>
        <w:tc>
          <w:tcPr>
            <w:tcW w:w="2073" w:type="dxa"/>
            <w:vAlign w:val="bottom"/>
          </w:tcPr>
          <w:p w14:paraId="236895A0" w14:textId="11EFE86C" w:rsidR="00800A11" w:rsidRDefault="00800A11" w:rsidP="00800A11">
            <w:pPr>
              <w:rPr>
                <w:rFonts w:eastAsia="Times New Roman" w:cs="Arial"/>
              </w:rPr>
            </w:pPr>
            <w:r>
              <w:t>Чести</w:t>
            </w:r>
          </w:p>
        </w:tc>
        <w:tc>
          <w:tcPr>
            <w:tcW w:w="1984" w:type="dxa"/>
            <w:vAlign w:val="bottom"/>
          </w:tcPr>
          <w:p w14:paraId="7E40D9E9" w14:textId="3BB424B7" w:rsidR="00800A11" w:rsidRDefault="00800A11" w:rsidP="00800A11">
            <w:pPr>
              <w:rPr>
                <w:rFonts w:eastAsia="Times New Roman" w:cs="Arial"/>
              </w:rPr>
            </w:pPr>
            <w:r>
              <w:t>Чести</w:t>
            </w:r>
          </w:p>
        </w:tc>
        <w:tc>
          <w:tcPr>
            <w:tcW w:w="1955" w:type="dxa"/>
            <w:vAlign w:val="bottom"/>
          </w:tcPr>
          <w:p w14:paraId="18F4C817" w14:textId="08F16424" w:rsidR="00800A11" w:rsidRDefault="00800A11" w:rsidP="00800A11">
            <w:pPr>
              <w:rPr>
                <w:rFonts w:eastAsia="Times New Roman" w:cs="Arial"/>
              </w:rPr>
            </w:pPr>
            <w:r>
              <w:t>Много чести</w:t>
            </w:r>
          </w:p>
        </w:tc>
      </w:tr>
      <w:tr w:rsidR="00800A11" w14:paraId="7918E4C4" w14:textId="77777777" w:rsidTr="00800A11">
        <w:tc>
          <w:tcPr>
            <w:tcW w:w="3564" w:type="dxa"/>
            <w:vAlign w:val="bottom"/>
          </w:tcPr>
          <w:p w14:paraId="61CDC318" w14:textId="2F9B5C85" w:rsidR="00800A11" w:rsidRDefault="00800A11" w:rsidP="00800A11">
            <w:pPr>
              <w:rPr>
                <w:rFonts w:eastAsia="Times New Roman" w:cs="Arial"/>
              </w:rPr>
            </w:pPr>
            <w:r>
              <w:t>Синкоп</w:t>
            </w:r>
          </w:p>
        </w:tc>
        <w:tc>
          <w:tcPr>
            <w:tcW w:w="2073" w:type="dxa"/>
            <w:vAlign w:val="bottom"/>
          </w:tcPr>
          <w:p w14:paraId="2DC2630A" w14:textId="763930EE" w:rsidR="00800A11" w:rsidRDefault="00800A11" w:rsidP="00800A11">
            <w:pPr>
              <w:rPr>
                <w:rFonts w:eastAsia="Times New Roman" w:cs="Arial"/>
              </w:rPr>
            </w:pPr>
            <w:r>
              <w:t>Нечести</w:t>
            </w:r>
            <w:r>
              <w:rPr>
                <w:vertAlign w:val="superscript"/>
              </w:rPr>
              <w:t>3</w:t>
            </w:r>
          </w:p>
        </w:tc>
        <w:tc>
          <w:tcPr>
            <w:tcW w:w="1984" w:type="dxa"/>
            <w:vAlign w:val="bottom"/>
          </w:tcPr>
          <w:p w14:paraId="155E2FA8" w14:textId="0B1719C5" w:rsidR="00800A11" w:rsidRDefault="00800A11" w:rsidP="00800A11">
            <w:pPr>
              <w:rPr>
                <w:rFonts w:eastAsia="Times New Roman" w:cs="Arial"/>
              </w:rPr>
            </w:pPr>
            <w:r>
              <w:t>Чести</w:t>
            </w:r>
          </w:p>
        </w:tc>
        <w:tc>
          <w:tcPr>
            <w:tcW w:w="1955" w:type="dxa"/>
            <w:vAlign w:val="bottom"/>
          </w:tcPr>
          <w:p w14:paraId="5956FC46" w14:textId="10443F0F" w:rsidR="00800A11" w:rsidRDefault="00800A11" w:rsidP="00800A11">
            <w:pPr>
              <w:rPr>
                <w:rFonts w:eastAsia="Times New Roman" w:cs="Arial"/>
              </w:rPr>
            </w:pPr>
            <w:r>
              <w:t>Чести</w:t>
            </w:r>
          </w:p>
        </w:tc>
      </w:tr>
      <w:tr w:rsidR="00800A11" w14:paraId="6CC8E27E" w14:textId="77777777" w:rsidTr="00800A11">
        <w:tc>
          <w:tcPr>
            <w:tcW w:w="9576" w:type="dxa"/>
            <w:gridSpan w:val="4"/>
          </w:tcPr>
          <w:p w14:paraId="65544430" w14:textId="77777777" w:rsidR="00800A11" w:rsidRDefault="00800A11" w:rsidP="00800A11">
            <w:pPr>
              <w:spacing w:line="240" w:lineRule="auto"/>
              <w:rPr>
                <w:rFonts w:eastAsia="Times New Roman" w:cs="Arial"/>
              </w:rPr>
            </w:pPr>
          </w:p>
        </w:tc>
      </w:tr>
      <w:tr w:rsidR="00800A11" w14:paraId="62F484A7" w14:textId="77777777" w:rsidTr="00800A11">
        <w:tc>
          <w:tcPr>
            <w:tcW w:w="9576" w:type="dxa"/>
            <w:gridSpan w:val="4"/>
          </w:tcPr>
          <w:p w14:paraId="14DC4FF7" w14:textId="270A1169" w:rsidR="00800A11" w:rsidRPr="00800A11" w:rsidRDefault="00800A11" w:rsidP="00800A11">
            <w:pPr>
              <w:rPr>
                <w:rFonts w:eastAsia="Times New Roman" w:cs="Arial"/>
                <w:i/>
              </w:rPr>
            </w:pPr>
            <w:r w:rsidRPr="00800A11">
              <w:rPr>
                <w:i/>
              </w:rPr>
              <w:t>Респираторни, гръдни и медиастинални нарушения</w:t>
            </w:r>
          </w:p>
        </w:tc>
      </w:tr>
      <w:tr w:rsidR="00800A11" w14:paraId="71A9760B" w14:textId="77777777" w:rsidTr="00800A11">
        <w:tc>
          <w:tcPr>
            <w:tcW w:w="3564" w:type="dxa"/>
            <w:vAlign w:val="bottom"/>
          </w:tcPr>
          <w:p w14:paraId="5991F746" w14:textId="03A88448" w:rsidR="00800A11" w:rsidRDefault="00800A11" w:rsidP="00800A11">
            <w:pPr>
              <w:rPr>
                <w:rFonts w:eastAsia="Times New Roman" w:cs="Arial"/>
              </w:rPr>
            </w:pPr>
            <w:r>
              <w:t>Епистаксис</w:t>
            </w:r>
          </w:p>
        </w:tc>
        <w:tc>
          <w:tcPr>
            <w:tcW w:w="2073" w:type="dxa"/>
            <w:vAlign w:val="bottom"/>
          </w:tcPr>
          <w:p w14:paraId="4FC814E4" w14:textId="72E76F4E" w:rsidR="00800A11" w:rsidRDefault="00800A11" w:rsidP="00800A11">
            <w:pPr>
              <w:rPr>
                <w:rFonts w:eastAsia="Times New Roman" w:cs="Arial"/>
              </w:rPr>
            </w:pPr>
            <w:r>
              <w:t>Чести</w:t>
            </w:r>
            <w:r>
              <w:rPr>
                <w:vertAlign w:val="superscript"/>
              </w:rPr>
              <w:t>3</w:t>
            </w:r>
          </w:p>
        </w:tc>
        <w:tc>
          <w:tcPr>
            <w:tcW w:w="1984" w:type="dxa"/>
            <w:vAlign w:val="bottom"/>
          </w:tcPr>
          <w:p w14:paraId="49D64E36" w14:textId="33A60989" w:rsidR="00800A11" w:rsidRDefault="00800A11" w:rsidP="00800A11">
            <w:pPr>
              <w:rPr>
                <w:rFonts w:eastAsia="Times New Roman" w:cs="Arial"/>
              </w:rPr>
            </w:pPr>
            <w:r>
              <w:t>Чести</w:t>
            </w:r>
          </w:p>
        </w:tc>
        <w:tc>
          <w:tcPr>
            <w:tcW w:w="1955" w:type="dxa"/>
            <w:vAlign w:val="bottom"/>
          </w:tcPr>
          <w:p w14:paraId="3D835039" w14:textId="03C88C8A" w:rsidR="00800A11" w:rsidRDefault="00800A11" w:rsidP="00800A11">
            <w:pPr>
              <w:rPr>
                <w:rFonts w:eastAsia="Times New Roman" w:cs="Arial"/>
              </w:rPr>
            </w:pPr>
            <w:r>
              <w:t>Чести</w:t>
            </w:r>
          </w:p>
        </w:tc>
      </w:tr>
      <w:tr w:rsidR="00800A11" w14:paraId="7A9744E3" w14:textId="77777777" w:rsidTr="00800A11">
        <w:tc>
          <w:tcPr>
            <w:tcW w:w="3564" w:type="dxa"/>
            <w:vAlign w:val="bottom"/>
          </w:tcPr>
          <w:p w14:paraId="0D226DF3" w14:textId="3FC42D59" w:rsidR="00800A11" w:rsidRDefault="00800A11" w:rsidP="00800A11">
            <w:pPr>
              <w:rPr>
                <w:rFonts w:eastAsia="Times New Roman" w:cs="Arial"/>
              </w:rPr>
            </w:pPr>
            <w:r>
              <w:t>Диспнея</w:t>
            </w:r>
          </w:p>
        </w:tc>
        <w:tc>
          <w:tcPr>
            <w:tcW w:w="2073" w:type="dxa"/>
            <w:vAlign w:val="bottom"/>
          </w:tcPr>
          <w:p w14:paraId="7CE0B0C1" w14:textId="640C9768" w:rsidR="00800A11" w:rsidRDefault="00800A11" w:rsidP="00800A11">
            <w:pPr>
              <w:rPr>
                <w:rFonts w:eastAsia="Times New Roman" w:cs="Arial"/>
              </w:rPr>
            </w:pPr>
            <w:r>
              <w:t>Чести</w:t>
            </w:r>
            <w:r>
              <w:rPr>
                <w:vertAlign w:val="superscript"/>
              </w:rPr>
              <w:t>3,6</w:t>
            </w:r>
          </w:p>
        </w:tc>
        <w:tc>
          <w:tcPr>
            <w:tcW w:w="1984" w:type="dxa"/>
            <w:vAlign w:val="bottom"/>
          </w:tcPr>
          <w:p w14:paraId="52E9E621" w14:textId="52195615" w:rsidR="00800A11" w:rsidRDefault="00800A11" w:rsidP="00800A11">
            <w:pPr>
              <w:rPr>
                <w:rFonts w:eastAsia="Times New Roman" w:cs="Arial"/>
              </w:rPr>
            </w:pPr>
            <w:r>
              <w:t>Много чести</w:t>
            </w:r>
          </w:p>
        </w:tc>
        <w:tc>
          <w:tcPr>
            <w:tcW w:w="1955" w:type="dxa"/>
            <w:vAlign w:val="bottom"/>
          </w:tcPr>
          <w:p w14:paraId="722E704E" w14:textId="310853A6" w:rsidR="00800A11" w:rsidRDefault="00800A11" w:rsidP="00800A11">
            <w:pPr>
              <w:rPr>
                <w:rFonts w:eastAsia="Times New Roman" w:cs="Arial"/>
              </w:rPr>
            </w:pPr>
            <w:r>
              <w:t>Много чести</w:t>
            </w:r>
          </w:p>
        </w:tc>
      </w:tr>
      <w:tr w:rsidR="00800A11" w14:paraId="63593B3A" w14:textId="77777777" w:rsidTr="00800A11">
        <w:tc>
          <w:tcPr>
            <w:tcW w:w="3564" w:type="dxa"/>
            <w:vAlign w:val="bottom"/>
          </w:tcPr>
          <w:p w14:paraId="183AAFAE" w14:textId="277DCFFD" w:rsidR="00800A11" w:rsidRDefault="00800A11" w:rsidP="00800A11">
            <w:pPr>
              <w:rPr>
                <w:rFonts w:eastAsia="Times New Roman" w:cs="Arial"/>
              </w:rPr>
            </w:pPr>
            <w:r>
              <w:t>Конгестия в горните части на дихателните пътища (напр. назална, синусна), синузит, назофарингит, ринит</w:t>
            </w:r>
          </w:p>
        </w:tc>
        <w:tc>
          <w:tcPr>
            <w:tcW w:w="2073" w:type="dxa"/>
          </w:tcPr>
          <w:p w14:paraId="1E725964" w14:textId="20A0D7BB" w:rsidR="00800A11" w:rsidRDefault="00800A11" w:rsidP="00800A11">
            <w:pPr>
              <w:rPr>
                <w:rFonts w:eastAsia="Times New Roman" w:cs="Arial"/>
              </w:rPr>
            </w:pPr>
            <w:r>
              <w:t>Чести</w:t>
            </w:r>
            <w:r>
              <w:rPr>
                <w:vertAlign w:val="superscript"/>
              </w:rPr>
              <w:t>7</w:t>
            </w:r>
          </w:p>
        </w:tc>
        <w:tc>
          <w:tcPr>
            <w:tcW w:w="1984" w:type="dxa"/>
          </w:tcPr>
          <w:p w14:paraId="23DC0721" w14:textId="77777777" w:rsidR="00800A11" w:rsidRDefault="00800A11" w:rsidP="00800A11">
            <w:pPr>
              <w:rPr>
                <w:rFonts w:eastAsia="Times New Roman" w:cs="Arial"/>
              </w:rPr>
            </w:pPr>
          </w:p>
        </w:tc>
        <w:tc>
          <w:tcPr>
            <w:tcW w:w="1955" w:type="dxa"/>
            <w:vAlign w:val="center"/>
          </w:tcPr>
          <w:p w14:paraId="4B0A4080" w14:textId="77777777" w:rsidR="00800A11" w:rsidRDefault="00800A11" w:rsidP="00800A11">
            <w:pPr>
              <w:rPr>
                <w:rFonts w:eastAsia="Times New Roman" w:cs="Arial"/>
              </w:rPr>
            </w:pPr>
          </w:p>
        </w:tc>
      </w:tr>
      <w:tr w:rsidR="00800A11" w14:paraId="08EAE8DB" w14:textId="77777777" w:rsidTr="00800A11">
        <w:tc>
          <w:tcPr>
            <w:tcW w:w="3564" w:type="dxa"/>
            <w:vAlign w:val="bottom"/>
          </w:tcPr>
          <w:p w14:paraId="7141F9E8" w14:textId="5580EAF6" w:rsidR="00800A11" w:rsidRDefault="00800A11" w:rsidP="00800A11">
            <w:pPr>
              <w:rPr>
                <w:rFonts w:eastAsia="Times New Roman" w:cs="Arial"/>
              </w:rPr>
            </w:pPr>
            <w:r>
              <w:t>Назофарингит</w:t>
            </w:r>
          </w:p>
        </w:tc>
        <w:tc>
          <w:tcPr>
            <w:tcW w:w="2073" w:type="dxa"/>
          </w:tcPr>
          <w:p w14:paraId="0B1D3152" w14:textId="77777777" w:rsidR="00800A11" w:rsidRDefault="00800A11" w:rsidP="00800A11">
            <w:pPr>
              <w:rPr>
                <w:rFonts w:eastAsia="Times New Roman" w:cs="Arial"/>
              </w:rPr>
            </w:pPr>
          </w:p>
        </w:tc>
        <w:tc>
          <w:tcPr>
            <w:tcW w:w="1984" w:type="dxa"/>
            <w:vAlign w:val="bottom"/>
          </w:tcPr>
          <w:p w14:paraId="79F9C9F6" w14:textId="4DC2CAE4" w:rsidR="00800A11" w:rsidRDefault="00800A11" w:rsidP="00800A11">
            <w:pPr>
              <w:rPr>
                <w:rFonts w:eastAsia="Times New Roman" w:cs="Arial"/>
              </w:rPr>
            </w:pPr>
            <w:r>
              <w:t>Много чести</w:t>
            </w:r>
          </w:p>
        </w:tc>
        <w:tc>
          <w:tcPr>
            <w:tcW w:w="1955" w:type="dxa"/>
          </w:tcPr>
          <w:p w14:paraId="7EC5E4E4" w14:textId="44EE5968" w:rsidR="00800A11" w:rsidRDefault="00800A11" w:rsidP="00800A11">
            <w:pPr>
              <w:rPr>
                <w:rFonts w:eastAsia="Times New Roman" w:cs="Arial"/>
              </w:rPr>
            </w:pPr>
            <w:r>
              <w:t>Много чести</w:t>
            </w:r>
          </w:p>
        </w:tc>
      </w:tr>
      <w:tr w:rsidR="00800A11" w14:paraId="62076A79" w14:textId="77777777" w:rsidTr="00800A11">
        <w:tc>
          <w:tcPr>
            <w:tcW w:w="3564" w:type="dxa"/>
            <w:vAlign w:val="bottom"/>
          </w:tcPr>
          <w:p w14:paraId="36F3CDEF" w14:textId="06E8B6B0" w:rsidR="00800A11" w:rsidRDefault="00800A11" w:rsidP="00800A11">
            <w:pPr>
              <w:rPr>
                <w:rFonts w:eastAsia="Times New Roman" w:cs="Arial"/>
              </w:rPr>
            </w:pPr>
            <w:r>
              <w:t>Синузит, ринит</w:t>
            </w:r>
          </w:p>
        </w:tc>
        <w:tc>
          <w:tcPr>
            <w:tcW w:w="2073" w:type="dxa"/>
          </w:tcPr>
          <w:p w14:paraId="42302264" w14:textId="77777777" w:rsidR="00800A11" w:rsidRDefault="00800A11" w:rsidP="00800A11">
            <w:pPr>
              <w:rPr>
                <w:rFonts w:eastAsia="Times New Roman" w:cs="Arial"/>
              </w:rPr>
            </w:pPr>
          </w:p>
        </w:tc>
        <w:tc>
          <w:tcPr>
            <w:tcW w:w="1984" w:type="dxa"/>
            <w:vAlign w:val="bottom"/>
          </w:tcPr>
          <w:p w14:paraId="4BA424A1" w14:textId="28B5317D" w:rsidR="00800A11" w:rsidRDefault="00800A11" w:rsidP="00800A11">
            <w:pPr>
              <w:rPr>
                <w:rFonts w:eastAsia="Times New Roman" w:cs="Arial"/>
              </w:rPr>
            </w:pPr>
            <w:r>
              <w:t>Чести</w:t>
            </w:r>
          </w:p>
        </w:tc>
        <w:tc>
          <w:tcPr>
            <w:tcW w:w="1955" w:type="dxa"/>
          </w:tcPr>
          <w:p w14:paraId="731E0735" w14:textId="4A38610D" w:rsidR="00800A11" w:rsidRDefault="00800A11" w:rsidP="00800A11">
            <w:pPr>
              <w:rPr>
                <w:rFonts w:eastAsia="Times New Roman" w:cs="Arial"/>
              </w:rPr>
            </w:pPr>
            <w:r>
              <w:t>Чести</w:t>
            </w:r>
          </w:p>
        </w:tc>
      </w:tr>
      <w:tr w:rsidR="00800A11" w14:paraId="10F83726" w14:textId="77777777" w:rsidTr="00800A11">
        <w:tc>
          <w:tcPr>
            <w:tcW w:w="3564" w:type="dxa"/>
          </w:tcPr>
          <w:p w14:paraId="518C854A" w14:textId="6FF004FD" w:rsidR="00800A11" w:rsidRDefault="00800A11" w:rsidP="00800A11">
            <w:pPr>
              <w:rPr>
                <w:rFonts w:eastAsia="Times New Roman" w:cs="Arial"/>
              </w:rPr>
            </w:pPr>
            <w:r>
              <w:t>Назална конгестия</w:t>
            </w:r>
          </w:p>
        </w:tc>
        <w:tc>
          <w:tcPr>
            <w:tcW w:w="2073" w:type="dxa"/>
          </w:tcPr>
          <w:p w14:paraId="16E23FDA" w14:textId="77777777" w:rsidR="00800A11" w:rsidRDefault="00800A11" w:rsidP="00800A11">
            <w:pPr>
              <w:rPr>
                <w:rFonts w:eastAsia="Times New Roman" w:cs="Arial"/>
              </w:rPr>
            </w:pPr>
          </w:p>
        </w:tc>
        <w:tc>
          <w:tcPr>
            <w:tcW w:w="1984" w:type="dxa"/>
          </w:tcPr>
          <w:p w14:paraId="00B84B1E" w14:textId="65FC52DF" w:rsidR="00800A11" w:rsidRDefault="00800A11" w:rsidP="00800A11">
            <w:pPr>
              <w:rPr>
                <w:rFonts w:eastAsia="Times New Roman" w:cs="Arial"/>
              </w:rPr>
            </w:pPr>
            <w:r>
              <w:t>Много чести</w:t>
            </w:r>
          </w:p>
        </w:tc>
        <w:tc>
          <w:tcPr>
            <w:tcW w:w="1955" w:type="dxa"/>
          </w:tcPr>
          <w:p w14:paraId="392664DD" w14:textId="1C0423AF" w:rsidR="00800A11" w:rsidRDefault="00800A11" w:rsidP="00800A11">
            <w:pPr>
              <w:rPr>
                <w:rFonts w:eastAsia="Times New Roman" w:cs="Arial"/>
              </w:rPr>
            </w:pPr>
            <w:r>
              <w:t>Много чести</w:t>
            </w:r>
          </w:p>
        </w:tc>
      </w:tr>
      <w:tr w:rsidR="00800A11" w14:paraId="0F297849" w14:textId="77777777" w:rsidTr="00800A11">
        <w:tc>
          <w:tcPr>
            <w:tcW w:w="9576" w:type="dxa"/>
            <w:gridSpan w:val="4"/>
          </w:tcPr>
          <w:p w14:paraId="2E5BB487" w14:textId="77777777" w:rsidR="00800A11" w:rsidRDefault="00800A11" w:rsidP="00800A11">
            <w:pPr>
              <w:spacing w:line="240" w:lineRule="auto"/>
              <w:rPr>
                <w:rFonts w:eastAsia="Times New Roman" w:cs="Arial"/>
              </w:rPr>
            </w:pPr>
          </w:p>
        </w:tc>
      </w:tr>
      <w:tr w:rsidR="00800A11" w14:paraId="23F0BEFB" w14:textId="77777777" w:rsidTr="00800A11">
        <w:tc>
          <w:tcPr>
            <w:tcW w:w="9576" w:type="dxa"/>
            <w:gridSpan w:val="4"/>
          </w:tcPr>
          <w:p w14:paraId="390C3241" w14:textId="159CF878" w:rsidR="00800A11" w:rsidRPr="00800A11" w:rsidRDefault="00800A11" w:rsidP="00800A11">
            <w:pPr>
              <w:rPr>
                <w:rFonts w:cs="Arial"/>
                <w:i/>
              </w:rPr>
            </w:pPr>
            <w:r w:rsidRPr="00800A11">
              <w:rPr>
                <w:i/>
                <w:lang w:eastAsia="bg-BG"/>
              </w:rPr>
              <w:t>Стомашно-чревни нарушения</w:t>
            </w:r>
          </w:p>
        </w:tc>
      </w:tr>
      <w:tr w:rsidR="00800A11" w14:paraId="0CF99D7C" w14:textId="77777777" w:rsidTr="00800A11">
        <w:tc>
          <w:tcPr>
            <w:tcW w:w="3564" w:type="dxa"/>
          </w:tcPr>
          <w:p w14:paraId="65DB7514" w14:textId="08B80AF6" w:rsidR="00800A11" w:rsidRDefault="00800A11" w:rsidP="00800A11">
            <w:pPr>
              <w:rPr>
                <w:rFonts w:eastAsia="Times New Roman" w:cs="Arial"/>
              </w:rPr>
            </w:pPr>
            <w:r>
              <w:t>Гадене, повръщане, диария</w:t>
            </w:r>
          </w:p>
        </w:tc>
        <w:tc>
          <w:tcPr>
            <w:tcW w:w="2073" w:type="dxa"/>
          </w:tcPr>
          <w:p w14:paraId="2F276E90" w14:textId="17893BE9" w:rsidR="00800A11" w:rsidRDefault="00800A11" w:rsidP="00800A11">
            <w:pPr>
              <w:rPr>
                <w:rFonts w:eastAsia="Times New Roman" w:cs="Arial"/>
              </w:rPr>
            </w:pPr>
            <w:r>
              <w:t>Чести</w:t>
            </w:r>
            <w:r>
              <w:rPr>
                <w:vertAlign w:val="superscript"/>
              </w:rPr>
              <w:t>3</w:t>
            </w:r>
          </w:p>
        </w:tc>
        <w:tc>
          <w:tcPr>
            <w:tcW w:w="1984" w:type="dxa"/>
          </w:tcPr>
          <w:p w14:paraId="16C94C2D" w14:textId="77777777" w:rsidR="00800A11" w:rsidRDefault="00800A11" w:rsidP="00800A11">
            <w:pPr>
              <w:rPr>
                <w:rFonts w:eastAsia="Times New Roman" w:cs="Arial"/>
              </w:rPr>
            </w:pPr>
          </w:p>
        </w:tc>
        <w:tc>
          <w:tcPr>
            <w:tcW w:w="1955" w:type="dxa"/>
          </w:tcPr>
          <w:p w14:paraId="437C2739" w14:textId="77777777" w:rsidR="00800A11" w:rsidRDefault="00800A11" w:rsidP="00800A11">
            <w:pPr>
              <w:rPr>
                <w:rFonts w:eastAsia="Times New Roman" w:cs="Arial"/>
              </w:rPr>
            </w:pPr>
          </w:p>
        </w:tc>
      </w:tr>
      <w:tr w:rsidR="00800A11" w14:paraId="5D454636" w14:textId="77777777" w:rsidTr="00800A11">
        <w:tc>
          <w:tcPr>
            <w:tcW w:w="3564" w:type="dxa"/>
          </w:tcPr>
          <w:p w14:paraId="5F1B677A" w14:textId="06CC2A7F" w:rsidR="00800A11" w:rsidRDefault="00800A11" w:rsidP="00800A11">
            <w:pPr>
              <w:rPr>
                <w:rFonts w:eastAsia="Times New Roman" w:cs="Arial"/>
              </w:rPr>
            </w:pPr>
            <w:r>
              <w:t>Гадене</w:t>
            </w:r>
          </w:p>
        </w:tc>
        <w:tc>
          <w:tcPr>
            <w:tcW w:w="2073" w:type="dxa"/>
          </w:tcPr>
          <w:p w14:paraId="395D8D76" w14:textId="77777777" w:rsidR="00800A11" w:rsidRDefault="00800A11" w:rsidP="00800A11">
            <w:pPr>
              <w:rPr>
                <w:rFonts w:eastAsia="Times New Roman" w:cs="Arial"/>
              </w:rPr>
            </w:pPr>
          </w:p>
        </w:tc>
        <w:tc>
          <w:tcPr>
            <w:tcW w:w="1984" w:type="dxa"/>
          </w:tcPr>
          <w:p w14:paraId="5508AF0C" w14:textId="6186FD3C" w:rsidR="00800A11" w:rsidRDefault="00800A11" w:rsidP="00800A11">
            <w:pPr>
              <w:rPr>
                <w:rFonts w:eastAsia="Times New Roman" w:cs="Arial"/>
              </w:rPr>
            </w:pPr>
            <w:r>
              <w:t>Много чести</w:t>
            </w:r>
          </w:p>
        </w:tc>
        <w:tc>
          <w:tcPr>
            <w:tcW w:w="1955" w:type="dxa"/>
          </w:tcPr>
          <w:p w14:paraId="49304EA1" w14:textId="12ADE25B" w:rsidR="00800A11" w:rsidRDefault="00800A11" w:rsidP="00800A11">
            <w:pPr>
              <w:rPr>
                <w:rFonts w:eastAsia="Times New Roman" w:cs="Arial"/>
              </w:rPr>
            </w:pPr>
            <w:r>
              <w:t>Много чести</w:t>
            </w:r>
          </w:p>
        </w:tc>
      </w:tr>
      <w:tr w:rsidR="00800A11" w14:paraId="5CAFBA66" w14:textId="77777777" w:rsidTr="00800A11">
        <w:tc>
          <w:tcPr>
            <w:tcW w:w="3564" w:type="dxa"/>
          </w:tcPr>
          <w:p w14:paraId="45A369A5" w14:textId="33D184B1" w:rsidR="00800A11" w:rsidRDefault="00800A11" w:rsidP="00800A11">
            <w:pPr>
              <w:rPr>
                <w:rFonts w:eastAsia="Times New Roman" w:cs="Arial"/>
              </w:rPr>
            </w:pPr>
            <w:r>
              <w:t>Повръщане</w:t>
            </w:r>
          </w:p>
        </w:tc>
        <w:tc>
          <w:tcPr>
            <w:tcW w:w="2073" w:type="dxa"/>
          </w:tcPr>
          <w:p w14:paraId="2918CB97" w14:textId="77777777" w:rsidR="00800A11" w:rsidRDefault="00800A11" w:rsidP="00800A11">
            <w:pPr>
              <w:rPr>
                <w:rFonts w:eastAsia="Times New Roman" w:cs="Arial"/>
              </w:rPr>
            </w:pPr>
          </w:p>
        </w:tc>
        <w:tc>
          <w:tcPr>
            <w:tcW w:w="1984" w:type="dxa"/>
          </w:tcPr>
          <w:p w14:paraId="374721DE" w14:textId="07DC46A8" w:rsidR="00800A11" w:rsidRDefault="00800A11" w:rsidP="00800A11">
            <w:pPr>
              <w:rPr>
                <w:rFonts w:eastAsia="Times New Roman" w:cs="Arial"/>
              </w:rPr>
            </w:pPr>
            <w:r>
              <w:t>Чести</w:t>
            </w:r>
          </w:p>
        </w:tc>
        <w:tc>
          <w:tcPr>
            <w:tcW w:w="1955" w:type="dxa"/>
          </w:tcPr>
          <w:p w14:paraId="3EEB1C76" w14:textId="288F5208" w:rsidR="00800A11" w:rsidRDefault="00800A11" w:rsidP="00800A11">
            <w:pPr>
              <w:rPr>
                <w:rFonts w:eastAsia="Times New Roman" w:cs="Arial"/>
              </w:rPr>
            </w:pPr>
            <w:r>
              <w:t>Много чести</w:t>
            </w:r>
          </w:p>
        </w:tc>
      </w:tr>
      <w:tr w:rsidR="00800A11" w14:paraId="7B1D0975" w14:textId="77777777" w:rsidTr="00800A11">
        <w:tc>
          <w:tcPr>
            <w:tcW w:w="3564" w:type="dxa"/>
          </w:tcPr>
          <w:p w14:paraId="5C8ECB98" w14:textId="1D4ABCD3" w:rsidR="00800A11" w:rsidRDefault="00800A11" w:rsidP="00800A11">
            <w:pPr>
              <w:rPr>
                <w:rFonts w:eastAsia="Times New Roman" w:cs="Arial"/>
              </w:rPr>
            </w:pPr>
            <w:r>
              <w:t>Диария</w:t>
            </w:r>
          </w:p>
        </w:tc>
        <w:tc>
          <w:tcPr>
            <w:tcW w:w="2073" w:type="dxa"/>
          </w:tcPr>
          <w:p w14:paraId="6D257FAD" w14:textId="77777777" w:rsidR="00800A11" w:rsidRDefault="00800A11" w:rsidP="00800A11">
            <w:pPr>
              <w:rPr>
                <w:rFonts w:eastAsia="Times New Roman" w:cs="Arial"/>
              </w:rPr>
            </w:pPr>
          </w:p>
        </w:tc>
        <w:tc>
          <w:tcPr>
            <w:tcW w:w="1984" w:type="dxa"/>
          </w:tcPr>
          <w:p w14:paraId="529FFA8B" w14:textId="573A9BCE" w:rsidR="00800A11" w:rsidRDefault="00800A11" w:rsidP="00800A11">
            <w:pPr>
              <w:rPr>
                <w:rFonts w:eastAsia="Times New Roman" w:cs="Arial"/>
              </w:rPr>
            </w:pPr>
            <w:r>
              <w:t>Много чести</w:t>
            </w:r>
          </w:p>
        </w:tc>
        <w:tc>
          <w:tcPr>
            <w:tcW w:w="1955" w:type="dxa"/>
          </w:tcPr>
          <w:p w14:paraId="5E5B9982" w14:textId="7E780DAA" w:rsidR="00800A11" w:rsidRDefault="00800A11" w:rsidP="00800A11">
            <w:pPr>
              <w:rPr>
                <w:rFonts w:eastAsia="Times New Roman" w:cs="Arial"/>
              </w:rPr>
            </w:pPr>
            <w:r>
              <w:t>Много чести</w:t>
            </w:r>
          </w:p>
        </w:tc>
      </w:tr>
      <w:tr w:rsidR="00800A11" w14:paraId="7E3EF4D1" w14:textId="77777777" w:rsidTr="00800A11">
        <w:tc>
          <w:tcPr>
            <w:tcW w:w="3564" w:type="dxa"/>
          </w:tcPr>
          <w:p w14:paraId="2400C9AA" w14:textId="5EB13F2C" w:rsidR="00800A11" w:rsidRDefault="00800A11" w:rsidP="00800A11">
            <w:pPr>
              <w:rPr>
                <w:rFonts w:eastAsia="Times New Roman" w:cs="Arial"/>
              </w:rPr>
            </w:pPr>
            <w:r>
              <w:t>Коремна болка</w:t>
            </w:r>
          </w:p>
        </w:tc>
        <w:tc>
          <w:tcPr>
            <w:tcW w:w="2073" w:type="dxa"/>
          </w:tcPr>
          <w:p w14:paraId="4D45317C" w14:textId="50D1641C" w:rsidR="00800A11" w:rsidRDefault="00800A11" w:rsidP="00800A11">
            <w:pPr>
              <w:rPr>
                <w:rFonts w:eastAsia="Times New Roman" w:cs="Arial"/>
              </w:rPr>
            </w:pPr>
            <w:r>
              <w:t>Чести</w:t>
            </w:r>
          </w:p>
        </w:tc>
        <w:tc>
          <w:tcPr>
            <w:tcW w:w="1984" w:type="dxa"/>
          </w:tcPr>
          <w:p w14:paraId="72883AC2" w14:textId="0BFA59F2" w:rsidR="00800A11" w:rsidRDefault="00800A11" w:rsidP="00800A11">
            <w:pPr>
              <w:rPr>
                <w:rFonts w:eastAsia="Times New Roman" w:cs="Arial"/>
              </w:rPr>
            </w:pPr>
            <w:r>
              <w:t>Чести</w:t>
            </w:r>
          </w:p>
        </w:tc>
        <w:tc>
          <w:tcPr>
            <w:tcW w:w="1955" w:type="dxa"/>
          </w:tcPr>
          <w:p w14:paraId="6F432713" w14:textId="1E594F3D" w:rsidR="00800A11" w:rsidRDefault="00800A11" w:rsidP="00800A11">
            <w:pPr>
              <w:rPr>
                <w:rFonts w:eastAsia="Times New Roman" w:cs="Arial"/>
              </w:rPr>
            </w:pPr>
            <w:r>
              <w:t>Чести</w:t>
            </w:r>
          </w:p>
        </w:tc>
      </w:tr>
      <w:tr w:rsidR="00800A11" w14:paraId="02806CBD" w14:textId="77777777" w:rsidTr="00800A11">
        <w:tc>
          <w:tcPr>
            <w:tcW w:w="3564" w:type="dxa"/>
          </w:tcPr>
          <w:p w14:paraId="5042EBF0" w14:textId="6341A515" w:rsidR="00800A11" w:rsidRDefault="00800A11" w:rsidP="00800A11">
            <w:pPr>
              <w:rPr>
                <w:rFonts w:eastAsia="Times New Roman" w:cs="Arial"/>
              </w:rPr>
            </w:pPr>
            <w:r>
              <w:t>Запек</w:t>
            </w:r>
          </w:p>
        </w:tc>
        <w:tc>
          <w:tcPr>
            <w:tcW w:w="2073" w:type="dxa"/>
          </w:tcPr>
          <w:p w14:paraId="32623353" w14:textId="6867133C" w:rsidR="00800A11" w:rsidRDefault="00800A11" w:rsidP="00800A11">
            <w:pPr>
              <w:rPr>
                <w:rFonts w:eastAsia="Times New Roman" w:cs="Arial"/>
              </w:rPr>
            </w:pPr>
            <w:r>
              <w:t>Чести</w:t>
            </w:r>
          </w:p>
        </w:tc>
        <w:tc>
          <w:tcPr>
            <w:tcW w:w="1984" w:type="dxa"/>
          </w:tcPr>
          <w:p w14:paraId="7C57C885" w14:textId="5559C142" w:rsidR="00800A11" w:rsidRDefault="00800A11" w:rsidP="00800A11">
            <w:pPr>
              <w:rPr>
                <w:rFonts w:eastAsia="Times New Roman" w:cs="Arial"/>
              </w:rPr>
            </w:pPr>
            <w:r>
              <w:t>Чести</w:t>
            </w:r>
          </w:p>
        </w:tc>
        <w:tc>
          <w:tcPr>
            <w:tcW w:w="1955" w:type="dxa"/>
          </w:tcPr>
          <w:p w14:paraId="4EB4A08F" w14:textId="6F57E05C" w:rsidR="00800A11" w:rsidRDefault="00800A11" w:rsidP="00800A11">
            <w:pPr>
              <w:rPr>
                <w:rFonts w:eastAsia="Times New Roman" w:cs="Arial"/>
              </w:rPr>
            </w:pPr>
            <w:r>
              <w:t>Чести</w:t>
            </w:r>
          </w:p>
        </w:tc>
      </w:tr>
      <w:tr w:rsidR="00800A11" w14:paraId="388E9F46" w14:textId="77777777" w:rsidTr="00800A11">
        <w:tc>
          <w:tcPr>
            <w:tcW w:w="9576" w:type="dxa"/>
            <w:gridSpan w:val="4"/>
          </w:tcPr>
          <w:p w14:paraId="5C154F43" w14:textId="77777777" w:rsidR="00800A11" w:rsidRDefault="00800A11" w:rsidP="00800A11">
            <w:pPr>
              <w:spacing w:line="240" w:lineRule="auto"/>
              <w:rPr>
                <w:rFonts w:eastAsia="Times New Roman" w:cs="Arial"/>
              </w:rPr>
            </w:pPr>
          </w:p>
        </w:tc>
      </w:tr>
      <w:tr w:rsidR="00800A11" w14:paraId="6ACBEC8F" w14:textId="77777777" w:rsidTr="00800A11">
        <w:tc>
          <w:tcPr>
            <w:tcW w:w="9576" w:type="dxa"/>
            <w:gridSpan w:val="4"/>
          </w:tcPr>
          <w:p w14:paraId="442C191B" w14:textId="5C8543E9" w:rsidR="00800A11" w:rsidRPr="00800A11" w:rsidRDefault="00800A11" w:rsidP="00800A11">
            <w:pPr>
              <w:rPr>
                <w:rFonts w:eastAsia="Times New Roman" w:cs="Arial"/>
                <w:i/>
              </w:rPr>
            </w:pPr>
            <w:r w:rsidRPr="00800A11">
              <w:rPr>
                <w:i/>
              </w:rPr>
              <w:t>Хепатобилиарни нарушения</w:t>
            </w:r>
          </w:p>
        </w:tc>
      </w:tr>
      <w:tr w:rsidR="00800A11" w14:paraId="669866AD" w14:textId="77777777" w:rsidTr="00800A11">
        <w:tc>
          <w:tcPr>
            <w:tcW w:w="3564" w:type="dxa"/>
          </w:tcPr>
          <w:p w14:paraId="2C3F1C4B" w14:textId="15F62365" w:rsidR="00800A11" w:rsidRDefault="00800A11" w:rsidP="00800A11">
            <w:pPr>
              <w:rPr>
                <w:rFonts w:eastAsia="Times New Roman" w:cs="Arial"/>
              </w:rPr>
            </w:pPr>
            <w:r>
              <w:t>Чернодробно увреждане (вж. точка 4.4)</w:t>
            </w:r>
          </w:p>
        </w:tc>
        <w:tc>
          <w:tcPr>
            <w:tcW w:w="2073" w:type="dxa"/>
          </w:tcPr>
          <w:p w14:paraId="0C2D23EB" w14:textId="1EB8A3F3" w:rsidR="00800A11" w:rsidRDefault="00800A11" w:rsidP="00800A11">
            <w:pPr>
              <w:rPr>
                <w:rFonts w:eastAsia="Times New Roman" w:cs="Arial"/>
              </w:rPr>
            </w:pPr>
            <w:r>
              <w:t>Нечести</w:t>
            </w:r>
            <w:r>
              <w:rPr>
                <w:vertAlign w:val="superscript"/>
              </w:rPr>
              <w:t>3,8</w:t>
            </w:r>
          </w:p>
        </w:tc>
        <w:tc>
          <w:tcPr>
            <w:tcW w:w="1984" w:type="dxa"/>
          </w:tcPr>
          <w:p w14:paraId="3AC7AA77" w14:textId="2C7654FB" w:rsidR="00800A11" w:rsidRDefault="00800A11" w:rsidP="00800A11">
            <w:pPr>
              <w:rPr>
                <w:rFonts w:eastAsia="Times New Roman" w:cs="Arial"/>
              </w:rPr>
            </w:pPr>
            <w:r>
              <w:t>Не се съобщава</w:t>
            </w:r>
          </w:p>
        </w:tc>
        <w:tc>
          <w:tcPr>
            <w:tcW w:w="1955" w:type="dxa"/>
          </w:tcPr>
          <w:p w14:paraId="18E364A2" w14:textId="52A6E165" w:rsidR="00800A11" w:rsidRDefault="00800A11" w:rsidP="00800A11">
            <w:pPr>
              <w:rPr>
                <w:rFonts w:eastAsia="Times New Roman" w:cs="Arial"/>
              </w:rPr>
            </w:pPr>
            <w:r>
              <w:t>Не се съобщава</w:t>
            </w:r>
          </w:p>
        </w:tc>
      </w:tr>
      <w:tr w:rsidR="00800A11" w14:paraId="0959ED26" w14:textId="77777777" w:rsidTr="00800A11">
        <w:tc>
          <w:tcPr>
            <w:tcW w:w="3564" w:type="dxa"/>
          </w:tcPr>
          <w:p w14:paraId="7FA7F427" w14:textId="6721D314" w:rsidR="00800A11" w:rsidRDefault="00800A11" w:rsidP="00800A11">
            <w:pPr>
              <w:rPr>
                <w:rFonts w:eastAsia="Times New Roman" w:cs="Arial"/>
              </w:rPr>
            </w:pPr>
            <w:r>
              <w:t>Автоимунен хепатит (вж. точка 4.4)</w:t>
            </w:r>
          </w:p>
        </w:tc>
        <w:tc>
          <w:tcPr>
            <w:tcW w:w="2073" w:type="dxa"/>
          </w:tcPr>
          <w:p w14:paraId="694E7F4A" w14:textId="17AB9BFB" w:rsidR="00800A11" w:rsidRDefault="00800A11" w:rsidP="00800A11">
            <w:pPr>
              <w:rPr>
                <w:rFonts w:eastAsia="Times New Roman" w:cs="Arial"/>
              </w:rPr>
            </w:pPr>
            <w:r>
              <w:t>Нечестив</w:t>
            </w:r>
            <w:r>
              <w:rPr>
                <w:vertAlign w:val="superscript"/>
              </w:rPr>
              <w:t>8</w:t>
            </w:r>
          </w:p>
        </w:tc>
        <w:tc>
          <w:tcPr>
            <w:tcW w:w="1984" w:type="dxa"/>
          </w:tcPr>
          <w:p w14:paraId="0376354B" w14:textId="2D8BAD5F" w:rsidR="00800A11" w:rsidRDefault="00800A11" w:rsidP="00800A11">
            <w:pPr>
              <w:rPr>
                <w:rFonts w:eastAsia="Times New Roman" w:cs="Arial"/>
              </w:rPr>
            </w:pPr>
            <w:r>
              <w:t>Не се съобщава</w:t>
            </w:r>
          </w:p>
        </w:tc>
        <w:tc>
          <w:tcPr>
            <w:tcW w:w="1955" w:type="dxa"/>
          </w:tcPr>
          <w:p w14:paraId="68E737F0" w14:textId="6286F066" w:rsidR="00800A11" w:rsidRDefault="00800A11" w:rsidP="00800A11">
            <w:pPr>
              <w:rPr>
                <w:rFonts w:eastAsia="Times New Roman" w:cs="Arial"/>
              </w:rPr>
            </w:pPr>
            <w:r>
              <w:t>Не се съобщава</w:t>
            </w:r>
          </w:p>
        </w:tc>
      </w:tr>
      <w:tr w:rsidR="00800A11" w14:paraId="6BA48021" w14:textId="77777777" w:rsidTr="00800A11">
        <w:tc>
          <w:tcPr>
            <w:tcW w:w="3564" w:type="dxa"/>
          </w:tcPr>
          <w:p w14:paraId="59EB810D" w14:textId="6DC15F8E" w:rsidR="00800A11" w:rsidRDefault="00800A11" w:rsidP="00800A11">
            <w:pPr>
              <w:rPr>
                <w:rFonts w:eastAsia="Times New Roman" w:cs="Arial"/>
              </w:rPr>
            </w:pPr>
            <w:r>
              <w:t xml:space="preserve">Повишаване на чернодробните </w:t>
            </w:r>
            <w:r>
              <w:rPr>
                <w:u w:val="single"/>
              </w:rPr>
              <w:t>транса</w:t>
            </w:r>
            <w:r>
              <w:t>минази</w:t>
            </w:r>
          </w:p>
        </w:tc>
        <w:tc>
          <w:tcPr>
            <w:tcW w:w="2073" w:type="dxa"/>
          </w:tcPr>
          <w:p w14:paraId="3AC2BD0B" w14:textId="2E7BB702" w:rsidR="00800A11" w:rsidRDefault="00800A11" w:rsidP="00800A11">
            <w:pPr>
              <w:rPr>
                <w:rFonts w:eastAsia="Times New Roman" w:cs="Arial"/>
              </w:rPr>
            </w:pPr>
            <w:r>
              <w:t>Чести</w:t>
            </w:r>
            <w:r>
              <w:rPr>
                <w:vertAlign w:val="superscript"/>
              </w:rPr>
              <w:t>3</w:t>
            </w:r>
          </w:p>
        </w:tc>
        <w:tc>
          <w:tcPr>
            <w:tcW w:w="1984" w:type="dxa"/>
          </w:tcPr>
          <w:p w14:paraId="5BDB295C" w14:textId="5B289B45" w:rsidR="00800A11" w:rsidRDefault="00800A11" w:rsidP="00800A11">
            <w:pPr>
              <w:rPr>
                <w:rFonts w:eastAsia="Times New Roman" w:cs="Arial"/>
              </w:rPr>
            </w:pPr>
            <w:r>
              <w:t>Не се съобщава</w:t>
            </w:r>
          </w:p>
        </w:tc>
        <w:tc>
          <w:tcPr>
            <w:tcW w:w="1955" w:type="dxa"/>
          </w:tcPr>
          <w:p w14:paraId="01CE8A83" w14:textId="3FD99436" w:rsidR="00800A11" w:rsidRDefault="00800A11" w:rsidP="00800A11">
            <w:pPr>
              <w:rPr>
                <w:rFonts w:eastAsia="Times New Roman" w:cs="Arial"/>
              </w:rPr>
            </w:pPr>
            <w:r>
              <w:t>Не се съобщава</w:t>
            </w:r>
          </w:p>
        </w:tc>
      </w:tr>
      <w:tr w:rsidR="00800A11" w14:paraId="377679BF" w14:textId="77777777" w:rsidTr="00800A11">
        <w:tc>
          <w:tcPr>
            <w:tcW w:w="9576" w:type="dxa"/>
            <w:gridSpan w:val="4"/>
          </w:tcPr>
          <w:p w14:paraId="109822A9" w14:textId="77777777" w:rsidR="00800A11" w:rsidRDefault="00800A11" w:rsidP="00800A11">
            <w:pPr>
              <w:spacing w:line="240" w:lineRule="auto"/>
              <w:rPr>
                <w:rFonts w:eastAsia="Times New Roman" w:cs="Arial"/>
              </w:rPr>
            </w:pPr>
          </w:p>
        </w:tc>
      </w:tr>
      <w:tr w:rsidR="00800A11" w14:paraId="00482C79" w14:textId="77777777" w:rsidTr="00800A11">
        <w:tc>
          <w:tcPr>
            <w:tcW w:w="9576" w:type="dxa"/>
            <w:gridSpan w:val="4"/>
          </w:tcPr>
          <w:p w14:paraId="14EA6C44" w14:textId="1C09A53F" w:rsidR="00800A11" w:rsidRPr="00800A11" w:rsidRDefault="00800A11" w:rsidP="00800A11">
            <w:pPr>
              <w:rPr>
                <w:rFonts w:eastAsia="Times New Roman" w:cs="Arial"/>
                <w:i/>
              </w:rPr>
            </w:pPr>
            <w:r w:rsidRPr="00800A11">
              <w:rPr>
                <w:i/>
              </w:rPr>
              <w:t>Нарушения на кожата и подкожната тъкан</w:t>
            </w:r>
          </w:p>
        </w:tc>
      </w:tr>
      <w:tr w:rsidR="00800A11" w14:paraId="29A03926" w14:textId="77777777" w:rsidTr="00800A11">
        <w:tc>
          <w:tcPr>
            <w:tcW w:w="3564" w:type="dxa"/>
          </w:tcPr>
          <w:p w14:paraId="6BDEC12C" w14:textId="2FC79770" w:rsidR="00800A11" w:rsidRDefault="00800A11" w:rsidP="00800A11">
            <w:pPr>
              <w:rPr>
                <w:rFonts w:eastAsia="Times New Roman" w:cs="Arial"/>
              </w:rPr>
            </w:pPr>
            <w:r>
              <w:t>Обрив</w:t>
            </w:r>
          </w:p>
        </w:tc>
        <w:tc>
          <w:tcPr>
            <w:tcW w:w="2073" w:type="dxa"/>
          </w:tcPr>
          <w:p w14:paraId="5BA59D0F" w14:textId="1709652D" w:rsidR="00800A11" w:rsidRDefault="00800A11" w:rsidP="00800A11">
            <w:pPr>
              <w:rPr>
                <w:rFonts w:eastAsia="Times New Roman" w:cs="Arial"/>
              </w:rPr>
            </w:pPr>
            <w:r>
              <w:t>Не се съобщава</w:t>
            </w:r>
          </w:p>
        </w:tc>
        <w:tc>
          <w:tcPr>
            <w:tcW w:w="1984" w:type="dxa"/>
          </w:tcPr>
          <w:p w14:paraId="7B873C36" w14:textId="5E7B3FBF" w:rsidR="00800A11" w:rsidRDefault="00800A11" w:rsidP="00800A11">
            <w:pPr>
              <w:rPr>
                <w:rFonts w:eastAsia="Times New Roman" w:cs="Arial"/>
              </w:rPr>
            </w:pPr>
            <w:r>
              <w:t>Чести</w:t>
            </w:r>
            <w:r>
              <w:rPr>
                <w:vertAlign w:val="superscript"/>
              </w:rPr>
              <w:t>9</w:t>
            </w:r>
          </w:p>
        </w:tc>
        <w:tc>
          <w:tcPr>
            <w:tcW w:w="1955" w:type="dxa"/>
          </w:tcPr>
          <w:p w14:paraId="0E1DD5D0" w14:textId="39495868" w:rsidR="00800A11" w:rsidRDefault="00800A11" w:rsidP="00800A11">
            <w:pPr>
              <w:rPr>
                <w:rFonts w:eastAsia="Times New Roman" w:cs="Arial"/>
              </w:rPr>
            </w:pPr>
            <w:r>
              <w:t>Чести</w:t>
            </w:r>
            <w:r>
              <w:rPr>
                <w:vertAlign w:val="superscript"/>
              </w:rPr>
              <w:t>9</w:t>
            </w:r>
          </w:p>
        </w:tc>
      </w:tr>
      <w:tr w:rsidR="00800A11" w14:paraId="253D032B" w14:textId="77777777" w:rsidTr="00800A11">
        <w:tc>
          <w:tcPr>
            <w:tcW w:w="9576" w:type="dxa"/>
            <w:gridSpan w:val="4"/>
          </w:tcPr>
          <w:p w14:paraId="2A5F4DEB" w14:textId="77777777" w:rsidR="00800A11" w:rsidRDefault="00800A11" w:rsidP="00800A11">
            <w:pPr>
              <w:spacing w:line="240" w:lineRule="auto"/>
              <w:rPr>
                <w:rFonts w:eastAsia="Times New Roman" w:cs="Arial"/>
              </w:rPr>
            </w:pPr>
          </w:p>
        </w:tc>
      </w:tr>
      <w:tr w:rsidR="00800A11" w14:paraId="3B857FDE" w14:textId="77777777" w:rsidTr="00800A11">
        <w:tc>
          <w:tcPr>
            <w:tcW w:w="9576" w:type="dxa"/>
            <w:gridSpan w:val="4"/>
          </w:tcPr>
          <w:p w14:paraId="18F64A1A" w14:textId="76D058D1" w:rsidR="00800A11" w:rsidRPr="00800A11" w:rsidRDefault="00800A11" w:rsidP="00800A11">
            <w:pPr>
              <w:rPr>
                <w:i/>
                <w:sz w:val="24"/>
                <w:szCs w:val="24"/>
              </w:rPr>
            </w:pPr>
            <w:r w:rsidRPr="00800A11">
              <w:rPr>
                <w:i/>
                <w:lang w:eastAsia="bg-BG"/>
              </w:rPr>
              <w:t>Общи нарушения и ефекти на мястото на приложение</w:t>
            </w:r>
          </w:p>
        </w:tc>
      </w:tr>
      <w:tr w:rsidR="00800A11" w14:paraId="20F95152" w14:textId="77777777" w:rsidTr="00800A11">
        <w:tc>
          <w:tcPr>
            <w:tcW w:w="3564" w:type="dxa"/>
          </w:tcPr>
          <w:p w14:paraId="0B8738E0" w14:textId="32CDF389" w:rsidR="00800A11" w:rsidRDefault="00800A11" w:rsidP="00800A11">
            <w:pPr>
              <w:rPr>
                <w:rFonts w:eastAsia="Times New Roman" w:cs="Arial"/>
              </w:rPr>
            </w:pPr>
            <w:r>
              <w:t>Периферен оток, задържане на течности</w:t>
            </w:r>
          </w:p>
        </w:tc>
        <w:tc>
          <w:tcPr>
            <w:tcW w:w="2073" w:type="dxa"/>
          </w:tcPr>
          <w:p w14:paraId="5D9D98F4" w14:textId="2204A324" w:rsidR="00800A11" w:rsidRDefault="00800A11" w:rsidP="00800A11">
            <w:pPr>
              <w:rPr>
                <w:rFonts w:eastAsia="Times New Roman" w:cs="Arial"/>
              </w:rPr>
            </w:pPr>
            <w:r>
              <w:t>Много чести</w:t>
            </w:r>
          </w:p>
        </w:tc>
        <w:tc>
          <w:tcPr>
            <w:tcW w:w="1984" w:type="dxa"/>
          </w:tcPr>
          <w:p w14:paraId="0201AF99" w14:textId="26F363C9" w:rsidR="00800A11" w:rsidRDefault="00800A11" w:rsidP="00800A11">
            <w:pPr>
              <w:rPr>
                <w:rFonts w:eastAsia="Times New Roman" w:cs="Arial"/>
              </w:rPr>
            </w:pPr>
            <w:r>
              <w:t>Много чести</w:t>
            </w:r>
          </w:p>
        </w:tc>
        <w:tc>
          <w:tcPr>
            <w:tcW w:w="1955" w:type="dxa"/>
          </w:tcPr>
          <w:p w14:paraId="15BA23BA" w14:textId="6247E957" w:rsidR="00800A11" w:rsidRDefault="00800A11" w:rsidP="00800A11">
            <w:pPr>
              <w:rPr>
                <w:rFonts w:eastAsia="Times New Roman" w:cs="Arial"/>
              </w:rPr>
            </w:pPr>
            <w:r>
              <w:t>Много чести</w:t>
            </w:r>
          </w:p>
        </w:tc>
      </w:tr>
      <w:tr w:rsidR="00800A11" w14:paraId="384FF252" w14:textId="77777777" w:rsidTr="00800A11">
        <w:tc>
          <w:tcPr>
            <w:tcW w:w="3564" w:type="dxa"/>
          </w:tcPr>
          <w:p w14:paraId="17B16A7E" w14:textId="7BCF87D7" w:rsidR="00800A11" w:rsidRDefault="00800A11" w:rsidP="00800A11">
            <w:pPr>
              <w:rPr>
                <w:rFonts w:eastAsia="Times New Roman" w:cs="Arial"/>
              </w:rPr>
            </w:pPr>
            <w:r>
              <w:t>Болка в гърдите/дискомфорт</w:t>
            </w:r>
          </w:p>
        </w:tc>
        <w:tc>
          <w:tcPr>
            <w:tcW w:w="2073" w:type="dxa"/>
          </w:tcPr>
          <w:p w14:paraId="0C4F23FE" w14:textId="639B501E" w:rsidR="00800A11" w:rsidRDefault="00800A11" w:rsidP="00800A11">
            <w:pPr>
              <w:rPr>
                <w:rFonts w:eastAsia="Times New Roman" w:cs="Arial"/>
              </w:rPr>
            </w:pPr>
            <w:r>
              <w:t>Чести</w:t>
            </w:r>
          </w:p>
        </w:tc>
        <w:tc>
          <w:tcPr>
            <w:tcW w:w="1984" w:type="dxa"/>
          </w:tcPr>
          <w:p w14:paraId="53246DF0" w14:textId="585D8968" w:rsidR="00800A11" w:rsidRDefault="00800A11" w:rsidP="00800A11">
            <w:pPr>
              <w:rPr>
                <w:rFonts w:eastAsia="Times New Roman" w:cs="Arial"/>
              </w:rPr>
            </w:pPr>
            <w:r>
              <w:t>Чести</w:t>
            </w:r>
          </w:p>
        </w:tc>
        <w:tc>
          <w:tcPr>
            <w:tcW w:w="1955" w:type="dxa"/>
          </w:tcPr>
          <w:p w14:paraId="379A5F8A" w14:textId="176D33F3" w:rsidR="00800A11" w:rsidRDefault="00800A11" w:rsidP="00800A11">
            <w:pPr>
              <w:rPr>
                <w:rFonts w:eastAsia="Times New Roman" w:cs="Arial"/>
              </w:rPr>
            </w:pPr>
            <w:r>
              <w:t>Много чести</w:t>
            </w:r>
          </w:p>
        </w:tc>
      </w:tr>
      <w:tr w:rsidR="00800A11" w14:paraId="6A59DD40" w14:textId="77777777" w:rsidTr="00800A11">
        <w:tc>
          <w:tcPr>
            <w:tcW w:w="3564" w:type="dxa"/>
          </w:tcPr>
          <w:p w14:paraId="6E100EAD" w14:textId="536EAA99" w:rsidR="00800A11" w:rsidRDefault="00800A11" w:rsidP="00800A11">
            <w:pPr>
              <w:rPr>
                <w:rFonts w:eastAsia="Times New Roman" w:cs="Arial"/>
              </w:rPr>
            </w:pPr>
            <w:r>
              <w:t>Астения</w:t>
            </w:r>
          </w:p>
        </w:tc>
        <w:tc>
          <w:tcPr>
            <w:tcW w:w="2073" w:type="dxa"/>
          </w:tcPr>
          <w:p w14:paraId="790FE959" w14:textId="579387B2" w:rsidR="00800A11" w:rsidRDefault="00800A11" w:rsidP="00800A11">
            <w:pPr>
              <w:rPr>
                <w:rFonts w:eastAsia="Times New Roman" w:cs="Arial"/>
              </w:rPr>
            </w:pPr>
            <w:r>
              <w:t>Чести</w:t>
            </w:r>
            <w:r>
              <w:rPr>
                <w:vertAlign w:val="superscript"/>
              </w:rPr>
              <w:t>3</w:t>
            </w:r>
          </w:p>
        </w:tc>
        <w:tc>
          <w:tcPr>
            <w:tcW w:w="1984" w:type="dxa"/>
          </w:tcPr>
          <w:p w14:paraId="7277E7C0" w14:textId="51C9A8E1" w:rsidR="00800A11" w:rsidRDefault="00800A11" w:rsidP="00800A11">
            <w:pPr>
              <w:rPr>
                <w:rFonts w:eastAsia="Times New Roman" w:cs="Arial"/>
              </w:rPr>
            </w:pPr>
            <w:r>
              <w:t>Чести</w:t>
            </w:r>
          </w:p>
        </w:tc>
        <w:tc>
          <w:tcPr>
            <w:tcW w:w="1955" w:type="dxa"/>
          </w:tcPr>
          <w:p w14:paraId="7D02AAA8" w14:textId="4060AB30" w:rsidR="00800A11" w:rsidRDefault="00800A11" w:rsidP="00800A11">
            <w:pPr>
              <w:rPr>
                <w:rFonts w:eastAsia="Times New Roman" w:cs="Arial"/>
              </w:rPr>
            </w:pPr>
            <w:r>
              <w:t>Чести</w:t>
            </w:r>
          </w:p>
        </w:tc>
      </w:tr>
      <w:tr w:rsidR="00800A11" w14:paraId="5BD89D60" w14:textId="77777777" w:rsidTr="00800A11">
        <w:tc>
          <w:tcPr>
            <w:tcW w:w="3564" w:type="dxa"/>
          </w:tcPr>
          <w:p w14:paraId="1489C196" w14:textId="5794160B" w:rsidR="00800A11" w:rsidRDefault="00800A11" w:rsidP="00800A11">
            <w:pPr>
              <w:rPr>
                <w:rFonts w:eastAsia="Times New Roman" w:cs="Arial"/>
              </w:rPr>
            </w:pPr>
            <w:r>
              <w:t>Умора</w:t>
            </w:r>
          </w:p>
        </w:tc>
        <w:tc>
          <w:tcPr>
            <w:tcW w:w="2073" w:type="dxa"/>
          </w:tcPr>
          <w:p w14:paraId="03D44919" w14:textId="671E9A61" w:rsidR="00800A11" w:rsidRDefault="00800A11" w:rsidP="00800A11">
            <w:pPr>
              <w:rPr>
                <w:rFonts w:eastAsia="Times New Roman" w:cs="Arial"/>
              </w:rPr>
            </w:pPr>
            <w:r>
              <w:t>Чести</w:t>
            </w:r>
            <w:r>
              <w:rPr>
                <w:vertAlign w:val="superscript"/>
              </w:rPr>
              <w:t>3</w:t>
            </w:r>
          </w:p>
        </w:tc>
        <w:tc>
          <w:tcPr>
            <w:tcW w:w="1984" w:type="dxa"/>
          </w:tcPr>
          <w:p w14:paraId="02050101" w14:textId="1C157B25" w:rsidR="00800A11" w:rsidRDefault="00800A11" w:rsidP="00800A11">
            <w:pPr>
              <w:rPr>
                <w:rFonts w:eastAsia="Times New Roman" w:cs="Arial"/>
              </w:rPr>
            </w:pPr>
            <w:r>
              <w:t>Много чести</w:t>
            </w:r>
          </w:p>
        </w:tc>
        <w:tc>
          <w:tcPr>
            <w:tcW w:w="1955" w:type="dxa"/>
          </w:tcPr>
          <w:p w14:paraId="15042A54" w14:textId="7F21F03D" w:rsidR="00800A11" w:rsidRDefault="00800A11" w:rsidP="00800A11">
            <w:pPr>
              <w:rPr>
                <w:rFonts w:eastAsia="Times New Roman" w:cs="Arial"/>
              </w:rPr>
            </w:pPr>
            <w:r>
              <w:t>Много чести</w:t>
            </w:r>
          </w:p>
        </w:tc>
      </w:tr>
    </w:tbl>
    <w:p w14:paraId="5E2A835A" w14:textId="0AAD7749" w:rsidR="00800A11" w:rsidRPr="00800A11" w:rsidRDefault="00800A11" w:rsidP="00800A11">
      <w:pPr>
        <w:rPr>
          <w:lang w:eastAsia="bg-BG"/>
        </w:rPr>
      </w:pPr>
      <w:r>
        <w:rPr>
          <w:lang w:eastAsia="bg-BG"/>
        </w:rPr>
        <w:t>1</w:t>
      </w:r>
      <w:r w:rsidRPr="00800A11">
        <w:rPr>
          <w:lang w:eastAsia="bg-BG"/>
        </w:rPr>
        <w:t>.</w:t>
      </w:r>
      <w:r>
        <w:rPr>
          <w:lang w:eastAsia="bg-BG"/>
        </w:rPr>
        <w:t xml:space="preserve"> </w:t>
      </w:r>
      <w:r w:rsidRPr="00800A11">
        <w:rPr>
          <w:lang w:eastAsia="bg-BG"/>
        </w:rPr>
        <w:t>Вижте раздел „Описание на избрани нежелани реакции ”.</w:t>
      </w:r>
    </w:p>
    <w:p w14:paraId="1FFE0776" w14:textId="3D80A101" w:rsidR="00800A11" w:rsidRPr="00800A11" w:rsidRDefault="00800A11" w:rsidP="00800A11">
      <w:pPr>
        <w:rPr>
          <w:lang w:eastAsia="bg-BG"/>
        </w:rPr>
      </w:pPr>
      <w:r>
        <w:rPr>
          <w:lang w:eastAsia="bg-BG"/>
        </w:rPr>
        <w:t xml:space="preserve">2. </w:t>
      </w:r>
      <w:r w:rsidRPr="00800A11">
        <w:rPr>
          <w:lang w:eastAsia="bg-BG"/>
        </w:rPr>
        <w:t xml:space="preserve">Честотата на главоболие е по-висока при 10 </w:t>
      </w:r>
      <w:r w:rsidRPr="00800A11">
        <w:rPr>
          <w:lang w:val="en-US"/>
        </w:rPr>
        <w:t>mg</w:t>
      </w:r>
      <w:r w:rsidRPr="00800A11">
        <w:rPr>
          <w:lang w:val="ru-RU"/>
        </w:rPr>
        <w:t xml:space="preserve"> </w:t>
      </w:r>
      <w:r w:rsidRPr="00800A11">
        <w:rPr>
          <w:lang w:eastAsia="bg-BG"/>
        </w:rPr>
        <w:t>амбрисентан.</w:t>
      </w:r>
    </w:p>
    <w:p w14:paraId="6F7105B1" w14:textId="34911934" w:rsidR="00800A11" w:rsidRPr="00800A11" w:rsidRDefault="00800A11" w:rsidP="00800A11">
      <w:pPr>
        <w:rPr>
          <w:lang w:eastAsia="bg-BG"/>
        </w:rPr>
      </w:pPr>
      <w:r>
        <w:rPr>
          <w:lang w:eastAsia="bg-BG"/>
        </w:rPr>
        <w:lastRenderedPageBreak/>
        <w:t xml:space="preserve">3. </w:t>
      </w:r>
      <w:r w:rsidRPr="00800A11">
        <w:rPr>
          <w:lang w:eastAsia="bg-BG"/>
        </w:rPr>
        <w:t>Данни, получени от рутинно проследяване на лекарствената безопасност и честоти, базирани на опита от плацебо-контролирано клинично изпитване.</w:t>
      </w:r>
    </w:p>
    <w:p w14:paraId="5DF4509C" w14:textId="6FA1FDC3" w:rsidR="00800A11" w:rsidRPr="00800A11" w:rsidRDefault="00800A11" w:rsidP="00800A11">
      <w:pPr>
        <w:rPr>
          <w:lang w:eastAsia="bg-BG"/>
        </w:rPr>
      </w:pPr>
      <w:r>
        <w:rPr>
          <w:lang w:eastAsia="bg-BG"/>
        </w:rPr>
        <w:t xml:space="preserve">4. </w:t>
      </w:r>
      <w:r w:rsidRPr="00800A11">
        <w:rPr>
          <w:lang w:eastAsia="bg-BG"/>
        </w:rPr>
        <w:t>Данни, получени от рутинно проследяване на лекарствената безопасност.</w:t>
      </w:r>
    </w:p>
    <w:p w14:paraId="00C54D83" w14:textId="1DB4688A" w:rsidR="00800A11" w:rsidRPr="00800A11" w:rsidRDefault="00800A11" w:rsidP="00800A11">
      <w:pPr>
        <w:rPr>
          <w:lang w:eastAsia="bg-BG"/>
        </w:rPr>
      </w:pPr>
      <w:r>
        <w:rPr>
          <w:lang w:eastAsia="bg-BG"/>
        </w:rPr>
        <w:t xml:space="preserve">5. </w:t>
      </w:r>
      <w:r w:rsidRPr="00800A11">
        <w:rPr>
          <w:lang w:eastAsia="bg-BG"/>
        </w:rPr>
        <w:t>Повечето от докладваните случаи на сърдечна недостатъчност са свързани със задържане на течности. Данните са получени от рутинно проследяване на лекарствената безопасност, честотите са на базата на статистическо моделиране на данни от плацебо-контролирано клинично изпитване.</w:t>
      </w:r>
    </w:p>
    <w:p w14:paraId="2C3B5017" w14:textId="55AB89AE" w:rsidR="00800A11" w:rsidRPr="00800A11" w:rsidRDefault="00800A11" w:rsidP="00800A11">
      <w:pPr>
        <w:rPr>
          <w:lang w:eastAsia="bg-BG"/>
        </w:rPr>
      </w:pPr>
      <w:r>
        <w:rPr>
          <w:lang w:eastAsia="bg-BG"/>
        </w:rPr>
        <w:t xml:space="preserve">6. </w:t>
      </w:r>
      <w:r w:rsidRPr="00800A11">
        <w:rPr>
          <w:lang w:eastAsia="bg-BG"/>
        </w:rPr>
        <w:t>Случаи на влошаване на диспнеята, с неясна етиология са съобщавани непосредствено след започване на лечението с амбрисентан.</w:t>
      </w:r>
    </w:p>
    <w:p w14:paraId="7A7C505B" w14:textId="00E956D5" w:rsidR="00800A11" w:rsidRPr="00800A11" w:rsidRDefault="00800A11" w:rsidP="00800A11">
      <w:pPr>
        <w:rPr>
          <w:lang w:eastAsia="bg-BG"/>
        </w:rPr>
      </w:pPr>
      <w:r>
        <w:rPr>
          <w:lang w:eastAsia="bg-BG"/>
        </w:rPr>
        <w:t xml:space="preserve">7. </w:t>
      </w:r>
      <w:r w:rsidRPr="00800A11">
        <w:rPr>
          <w:lang w:eastAsia="bg-BG"/>
        </w:rPr>
        <w:t>Честотата на назална конгестия е дозозависима по време на лечение с амбрисентан.</w:t>
      </w:r>
    </w:p>
    <w:p w14:paraId="0E239BC6" w14:textId="12B4D19E" w:rsidR="00800A11" w:rsidRPr="00800A11" w:rsidRDefault="00800A11" w:rsidP="00800A11">
      <w:pPr>
        <w:spacing w:line="240" w:lineRule="auto"/>
        <w:rPr>
          <w:rFonts w:eastAsia="Times New Roman" w:cs="Arial"/>
        </w:rPr>
      </w:pPr>
      <w:r w:rsidRPr="00800A11">
        <w:rPr>
          <w:rFonts w:eastAsia="Times New Roman" w:cs="Arial"/>
          <w:color w:val="000000"/>
          <w:lang w:eastAsia="bg-BG"/>
        </w:rPr>
        <w:t>8.</w:t>
      </w:r>
      <w:r>
        <w:rPr>
          <w:rFonts w:eastAsia="Times New Roman" w:cs="Arial"/>
          <w:color w:val="000000"/>
          <w:lang w:eastAsia="bg-BG"/>
        </w:rPr>
        <w:t xml:space="preserve"> </w:t>
      </w:r>
      <w:r w:rsidRPr="00800A11">
        <w:rPr>
          <w:rFonts w:eastAsia="Times New Roman" w:cs="Arial"/>
          <w:color w:val="000000"/>
          <w:lang w:eastAsia="bg-BG"/>
        </w:rPr>
        <w:t>Съобщавани са случаи на автоимунен хепатит, включително случаи на обостряне на автоимунен хепатит и чернодробно увреждане по време на лечение с амбрисентан.</w:t>
      </w:r>
    </w:p>
    <w:p w14:paraId="071BBB99" w14:textId="3DDA62A2" w:rsidR="00800A11" w:rsidRPr="00800A11" w:rsidRDefault="00800A11" w:rsidP="00800A11">
      <w:pPr>
        <w:spacing w:line="240" w:lineRule="auto"/>
        <w:rPr>
          <w:rFonts w:eastAsia="Times New Roman" w:cs="Arial"/>
        </w:rPr>
      </w:pPr>
      <w:r w:rsidRPr="00800A11">
        <w:rPr>
          <w:rFonts w:eastAsia="Times New Roman" w:cs="Arial"/>
          <w:color w:val="000000"/>
          <w:lang w:eastAsia="bg-BG"/>
        </w:rPr>
        <w:t>9.</w:t>
      </w:r>
      <w:r>
        <w:rPr>
          <w:rFonts w:eastAsia="Times New Roman" w:cs="Arial"/>
          <w:color w:val="000000"/>
          <w:lang w:eastAsia="bg-BG"/>
        </w:rPr>
        <w:t xml:space="preserve"> </w:t>
      </w:r>
      <w:r w:rsidRPr="00800A11">
        <w:rPr>
          <w:rFonts w:eastAsia="Times New Roman" w:cs="Arial"/>
          <w:color w:val="000000"/>
          <w:lang w:eastAsia="bg-BG"/>
        </w:rPr>
        <w:t>Обривът включва еритематозен обрив, генерализиран обрив, папулозен обрив и сърбящ обрив.</w:t>
      </w:r>
    </w:p>
    <w:p w14:paraId="5FC3E1A6" w14:textId="77777777" w:rsidR="00800A11" w:rsidRDefault="00800A11" w:rsidP="00800A11">
      <w:pPr>
        <w:spacing w:line="240" w:lineRule="auto"/>
        <w:rPr>
          <w:rFonts w:eastAsia="Times New Roman" w:cs="Arial"/>
          <w:color w:val="000000"/>
          <w:u w:val="single"/>
          <w:lang w:eastAsia="bg-BG"/>
        </w:rPr>
      </w:pPr>
    </w:p>
    <w:p w14:paraId="4DF886B1" w14:textId="7E06A3B9"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Описание на избрани нежелани реакции</w:t>
      </w:r>
    </w:p>
    <w:p w14:paraId="3E571799" w14:textId="77777777" w:rsidR="00800A11" w:rsidRDefault="00800A11" w:rsidP="00800A11">
      <w:pPr>
        <w:spacing w:line="240" w:lineRule="auto"/>
        <w:rPr>
          <w:rFonts w:eastAsia="Times New Roman" w:cs="Arial"/>
          <w:i/>
          <w:iCs/>
          <w:color w:val="000000"/>
          <w:u w:val="single"/>
          <w:lang w:eastAsia="bg-BG"/>
        </w:rPr>
      </w:pPr>
    </w:p>
    <w:p w14:paraId="52541149" w14:textId="78B47771" w:rsidR="00800A11" w:rsidRPr="00800A11" w:rsidRDefault="00800A11" w:rsidP="00800A11">
      <w:pPr>
        <w:spacing w:line="240" w:lineRule="auto"/>
        <w:rPr>
          <w:rFonts w:eastAsia="Times New Roman" w:cs="Arial"/>
        </w:rPr>
      </w:pPr>
      <w:r w:rsidRPr="00800A11">
        <w:rPr>
          <w:rFonts w:eastAsia="Times New Roman" w:cs="Arial"/>
          <w:i/>
          <w:iCs/>
          <w:color w:val="000000"/>
          <w:u w:val="single"/>
          <w:lang w:eastAsia="bg-BG"/>
        </w:rPr>
        <w:t>Понижен хемоглобин</w:t>
      </w:r>
    </w:p>
    <w:p w14:paraId="06CC4B6B" w14:textId="77777777" w:rsidR="00800A11" w:rsidRDefault="00800A11" w:rsidP="00800A11">
      <w:pPr>
        <w:spacing w:line="240" w:lineRule="auto"/>
        <w:rPr>
          <w:rFonts w:eastAsia="Times New Roman" w:cs="Arial"/>
          <w:color w:val="000000"/>
          <w:lang w:eastAsia="bg-BG"/>
        </w:rPr>
      </w:pPr>
    </w:p>
    <w:p w14:paraId="7E280751" w14:textId="21E5C53C"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В постмаркетинговия период са докладвани случаи на анемия, изискващи трансфузия на кръвни клетки (вж. точка 4.4). Честотата на понижаване на хемоглобина (анемия) е по-висока при приложение на амбрисентан 10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 xml:space="preserve">По време на 12-седмични плацебо-контролирани фаза 3 клинични проучвания, средните концентрации на хемоглобина се понижават при пациентите в групите, приемащи амбрисентан, и са отчетени още на 4-та седмица (понижение с 0,83 </w:t>
      </w:r>
      <w:r w:rsidRPr="00800A11">
        <w:rPr>
          <w:rFonts w:eastAsia="Times New Roman" w:cs="Arial"/>
          <w:color w:val="000000"/>
          <w:lang w:val="en-US"/>
        </w:rPr>
        <w:t>g</w:t>
      </w:r>
      <w:r w:rsidRPr="00800A11">
        <w:rPr>
          <w:rFonts w:eastAsia="Times New Roman" w:cs="Arial"/>
          <w:color w:val="000000"/>
          <w:lang w:val="ru-RU"/>
        </w:rPr>
        <w:t>/</w:t>
      </w:r>
      <w:r w:rsidRPr="00800A11">
        <w:rPr>
          <w:rFonts w:eastAsia="Times New Roman" w:cs="Arial"/>
          <w:color w:val="000000"/>
          <w:lang w:val="en-US"/>
        </w:rPr>
        <w:t>dl</w:t>
      </w:r>
      <w:r w:rsidRPr="00800A11">
        <w:rPr>
          <w:rFonts w:eastAsia="Times New Roman" w:cs="Arial"/>
          <w:color w:val="000000"/>
          <w:lang w:val="ru-RU"/>
        </w:rPr>
        <w:t xml:space="preserve">); </w:t>
      </w:r>
      <w:r w:rsidRPr="00800A11">
        <w:rPr>
          <w:rFonts w:eastAsia="Times New Roman" w:cs="Arial"/>
          <w:color w:val="000000"/>
          <w:lang w:eastAsia="bg-BG"/>
        </w:rPr>
        <w:t>средни промени от изходното ниво се стабилизират през следващите 8 седмици. Общо</w:t>
      </w:r>
    </w:p>
    <w:p w14:paraId="60AD9A8C" w14:textId="77777777" w:rsidR="00800A11" w:rsidRPr="00800A11" w:rsidRDefault="00800A11" w:rsidP="00800A11">
      <w:pPr>
        <w:spacing w:line="240" w:lineRule="auto"/>
        <w:rPr>
          <w:rFonts w:eastAsia="Times New Roman" w:cs="Arial"/>
        </w:rPr>
      </w:pPr>
      <w:r w:rsidRPr="00800A11">
        <w:rPr>
          <w:rFonts w:eastAsia="Times New Roman" w:cs="Arial"/>
          <w:color w:val="000000"/>
          <w:lang w:eastAsia="bg-BG"/>
        </w:rPr>
        <w:t>17 пациенти (6,5%) в групите на лечение с амбрисентан имат понижаване на хемоглобина≥15% от изходното ниво, което е под долната граница на нормата.</w:t>
      </w:r>
    </w:p>
    <w:p w14:paraId="56EABA7F" w14:textId="77777777" w:rsidR="00800A11" w:rsidRDefault="00800A11" w:rsidP="00800A11">
      <w:pPr>
        <w:spacing w:line="240" w:lineRule="auto"/>
        <w:rPr>
          <w:rFonts w:eastAsia="Times New Roman" w:cs="Arial"/>
          <w:color w:val="000000"/>
          <w:u w:val="single"/>
          <w:lang w:eastAsia="bg-BG"/>
        </w:rPr>
      </w:pPr>
    </w:p>
    <w:p w14:paraId="7F0ECAE4" w14:textId="6675F952"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Съобщаване на подозирани нежелани реакции</w:t>
      </w:r>
    </w:p>
    <w:p w14:paraId="61F85CD0" w14:textId="53D8F1BA" w:rsidR="00800A11" w:rsidRDefault="00800A11" w:rsidP="00800A11">
      <w:pPr>
        <w:rPr>
          <w:lang w:val="en-US"/>
        </w:rPr>
      </w:pPr>
      <w:r w:rsidRPr="00800A11">
        <w:rPr>
          <w:rFonts w:eastAsia="Times New Roman" w:cs="Arial"/>
          <w:color w:val="000000"/>
          <w:lang w:eastAsia="bg-BG"/>
        </w:rPr>
        <w:t>Съобщаването на подозирани нежелани реакции след разрешаване за употреба на лекарсвения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w:t>
      </w:r>
      <w:r>
        <w:rPr>
          <w:rFonts w:eastAsia="Times New Roman" w:cs="Arial"/>
          <w:color w:val="000000"/>
          <w:lang w:eastAsia="bg-BG"/>
        </w:rPr>
        <w:t xml:space="preserve"> </w:t>
      </w:r>
      <w:r w:rsidRPr="00800A11">
        <w:rPr>
          <w:lang w:eastAsia="bg-BG"/>
        </w:rPr>
        <w:t xml:space="preserve">подозирана нежелана реакция чрез Изпълнителна агенция по лекарствата ул. „Дамян Груев” № 8,1303 София, тел.: +359 2 8903417, уебсайт: </w:t>
      </w:r>
      <w:r w:rsidRPr="00800A11">
        <w:fldChar w:fldCharType="begin"/>
      </w:r>
      <w:r w:rsidRPr="00800A11">
        <w:instrText xml:space="preserve"> HYPERLINK "http://www.bda.bg" </w:instrText>
      </w:r>
      <w:r w:rsidRPr="00800A11">
        <w:fldChar w:fldCharType="separate"/>
      </w:r>
      <w:r w:rsidRPr="00800A11">
        <w:rPr>
          <w:lang w:val="en-US"/>
        </w:rPr>
        <w:t>www.bda.bg</w:t>
      </w:r>
      <w:r w:rsidRPr="00800A11">
        <w:fldChar w:fldCharType="end"/>
      </w:r>
      <w:r w:rsidRPr="00800A11">
        <w:rPr>
          <w:lang w:val="en-US"/>
        </w:rPr>
        <w:t>.</w:t>
      </w:r>
    </w:p>
    <w:p w14:paraId="44BE5F49" w14:textId="77777777" w:rsidR="00800A11" w:rsidRPr="00800A11" w:rsidRDefault="00800A11" w:rsidP="00800A11">
      <w:pPr>
        <w:rPr>
          <w:rFonts w:ascii="Times New Roman" w:eastAsia="Times New Roman" w:hAnsi="Times New Roman" w:cs="Times New Roman"/>
          <w:sz w:val="24"/>
          <w:szCs w:val="24"/>
        </w:rPr>
      </w:pPr>
    </w:p>
    <w:p w14:paraId="0A023CE0" w14:textId="639344D2" w:rsidR="00CF77F7" w:rsidRDefault="002C50EE" w:rsidP="004A448E">
      <w:pPr>
        <w:pStyle w:val="Heading2"/>
      </w:pPr>
      <w:r>
        <w:t>4.9. Предозиране</w:t>
      </w:r>
    </w:p>
    <w:p w14:paraId="23C42381" w14:textId="3692BEF7" w:rsidR="00800A11" w:rsidRDefault="00800A11" w:rsidP="00800A11"/>
    <w:p w14:paraId="7BFEA6C7" w14:textId="77777777"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При пациенти с БАХ няма опит от прилагане на амбрисентан в дневни дози, по-високи от 10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 xml:space="preserve">При здрави доброволци, единични дози от 50 и 100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(5 до 10 пъти над максималната препоръчителна доза) са свързани с главоболие, зачервяване, замайване, гадене и назална конгестия.</w:t>
      </w:r>
    </w:p>
    <w:p w14:paraId="3307CF0B" w14:textId="77777777" w:rsidR="00800A11" w:rsidRDefault="00800A11" w:rsidP="00800A11">
      <w:pPr>
        <w:spacing w:line="240" w:lineRule="auto"/>
        <w:rPr>
          <w:rFonts w:eastAsia="Times New Roman" w:cs="Arial"/>
          <w:color w:val="000000"/>
          <w:lang w:eastAsia="bg-BG"/>
        </w:rPr>
      </w:pPr>
    </w:p>
    <w:p w14:paraId="73510944" w14:textId="66BE7127" w:rsidR="00800A11" w:rsidRPr="00800A11" w:rsidRDefault="00800A11" w:rsidP="00800A11">
      <w:pPr>
        <w:spacing w:line="240" w:lineRule="auto"/>
        <w:rPr>
          <w:rFonts w:ascii="Times New Roman" w:eastAsia="Times New Roman" w:hAnsi="Times New Roman" w:cs="Times New Roman"/>
          <w:sz w:val="24"/>
          <w:szCs w:val="24"/>
        </w:rPr>
      </w:pPr>
      <w:r w:rsidRPr="00800A11">
        <w:rPr>
          <w:rFonts w:eastAsia="Times New Roman" w:cs="Arial"/>
          <w:color w:val="000000"/>
          <w:lang w:eastAsia="bg-BG"/>
        </w:rPr>
        <w:t>Поради механизма на действие, предозирането с амбрисентан е възможно да доведе до хипотония (вж. точка 5.3). В случай на изразена хипотония, може да се наложи активна сърдечно-съдова реанимация. Няма специфичен антидот.</w:t>
      </w:r>
    </w:p>
    <w:p w14:paraId="36B4DEED" w14:textId="77777777" w:rsidR="00800A11" w:rsidRPr="00800A11" w:rsidRDefault="00800A11" w:rsidP="00800A11"/>
    <w:p w14:paraId="02081B24" w14:textId="1F46E296" w:rsidR="00395555" w:rsidRPr="00395555" w:rsidRDefault="002C50EE" w:rsidP="008A6AF2">
      <w:pPr>
        <w:pStyle w:val="Heading1"/>
      </w:pPr>
      <w:r>
        <w:lastRenderedPageBreak/>
        <w:t>5. ФАРМАКОЛОГИЧНИ СВОЙСТВА</w:t>
      </w:r>
    </w:p>
    <w:p w14:paraId="32B6DE66" w14:textId="4D9EA5B9" w:rsidR="00CF77F7" w:rsidRDefault="002C50EE" w:rsidP="004A448E">
      <w:pPr>
        <w:pStyle w:val="Heading2"/>
      </w:pPr>
      <w:r>
        <w:t>5.1. Фармакодинамични свойства</w:t>
      </w:r>
    </w:p>
    <w:p w14:paraId="5A48840B" w14:textId="2AFE9208" w:rsidR="00800A11" w:rsidRDefault="00800A11" w:rsidP="00800A11"/>
    <w:p w14:paraId="2F3C8613" w14:textId="77777777" w:rsidR="00800A11" w:rsidRPr="00800A11" w:rsidRDefault="00800A11" w:rsidP="00800A11">
      <w:pPr>
        <w:spacing w:line="240" w:lineRule="auto"/>
        <w:rPr>
          <w:rFonts w:eastAsia="Times New Roman" w:cs="Arial"/>
        </w:rPr>
      </w:pPr>
      <w:r w:rsidRPr="00800A11">
        <w:rPr>
          <w:rFonts w:eastAsia="Times New Roman" w:cs="Arial"/>
          <w:color w:val="000000"/>
          <w:lang w:eastAsia="bg-BG"/>
        </w:rPr>
        <w:t>Фармакотерапевтична група: Антихипертензивни средства, други антихипертензивни средства, АТС код: С02КХ02</w:t>
      </w:r>
    </w:p>
    <w:p w14:paraId="2F06FE48" w14:textId="77777777" w:rsidR="00800A11" w:rsidRDefault="00800A11" w:rsidP="00800A11">
      <w:pPr>
        <w:spacing w:line="240" w:lineRule="auto"/>
        <w:rPr>
          <w:rFonts w:eastAsia="Times New Roman" w:cs="Arial"/>
          <w:color w:val="000000"/>
          <w:u w:val="single"/>
          <w:lang w:eastAsia="bg-BG"/>
        </w:rPr>
      </w:pPr>
    </w:p>
    <w:p w14:paraId="3FF05581" w14:textId="08D002C5"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Механизъм на действие</w:t>
      </w:r>
    </w:p>
    <w:p w14:paraId="0D2F8B1D" w14:textId="77777777" w:rsidR="00800A11" w:rsidRDefault="00800A11" w:rsidP="00800A11">
      <w:pPr>
        <w:spacing w:line="240" w:lineRule="auto"/>
        <w:rPr>
          <w:rFonts w:eastAsia="Times New Roman" w:cs="Arial"/>
          <w:color w:val="000000"/>
          <w:lang w:eastAsia="bg-BG"/>
        </w:rPr>
      </w:pPr>
    </w:p>
    <w:p w14:paraId="020CFE19" w14:textId="3A55EB45"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Амбрисентан е перорално активен антагонист на ендотелиновите рецептори </w:t>
      </w:r>
      <w:r w:rsidRPr="00800A11">
        <w:rPr>
          <w:rFonts w:eastAsia="Times New Roman" w:cs="Arial"/>
          <w:color w:val="000000"/>
          <w:lang w:val="ru-RU"/>
        </w:rPr>
        <w:t>(</w:t>
      </w:r>
      <w:r w:rsidRPr="00800A11">
        <w:rPr>
          <w:rFonts w:eastAsia="Times New Roman" w:cs="Arial"/>
          <w:color w:val="000000"/>
          <w:lang w:val="en-US"/>
        </w:rPr>
        <w:t>ERA</w:t>
      </w:r>
      <w:r w:rsidRPr="00800A11">
        <w:rPr>
          <w:rFonts w:eastAsia="Times New Roman" w:cs="Arial"/>
          <w:color w:val="000000"/>
          <w:lang w:val="ru-RU"/>
        </w:rPr>
        <w:t xml:space="preserve">) </w:t>
      </w:r>
      <w:r w:rsidRPr="00800A11">
        <w:rPr>
          <w:rFonts w:eastAsia="Times New Roman" w:cs="Arial"/>
          <w:color w:val="000000"/>
          <w:lang w:eastAsia="bg-BG"/>
        </w:rPr>
        <w:t>от класа на пропановата киселина, селективен за рецептора на ендотелин А (ЕТ</w:t>
      </w:r>
      <w:r w:rsidRPr="00800A11">
        <w:rPr>
          <w:rFonts w:eastAsia="Times New Roman" w:cs="Arial"/>
          <w:color w:val="000000"/>
          <w:vertAlign w:val="subscript"/>
          <w:lang w:eastAsia="bg-BG"/>
        </w:rPr>
        <w:t>А</w:t>
      </w:r>
      <w:r w:rsidRPr="00800A11">
        <w:rPr>
          <w:rFonts w:eastAsia="Times New Roman" w:cs="Arial"/>
          <w:color w:val="000000"/>
          <w:lang w:eastAsia="bg-BG"/>
        </w:rPr>
        <w:t>). Ендотелинът играе съществена роля в патофизиологията на БАХ.</w:t>
      </w:r>
    </w:p>
    <w:p w14:paraId="21E85908" w14:textId="77777777" w:rsidR="00800A11" w:rsidRDefault="00800A11" w:rsidP="00800A11">
      <w:pPr>
        <w:spacing w:line="240" w:lineRule="auto"/>
        <w:rPr>
          <w:rFonts w:eastAsia="Times New Roman" w:cs="Arial"/>
          <w:color w:val="000000"/>
          <w:lang w:eastAsia="bg-BG"/>
        </w:rPr>
      </w:pPr>
    </w:p>
    <w:p w14:paraId="0D1795BD" w14:textId="77777777" w:rsidR="00800A11" w:rsidRDefault="00800A11" w:rsidP="00800A11">
      <w:pPr>
        <w:pStyle w:val="ListParagraph"/>
        <w:numPr>
          <w:ilvl w:val="0"/>
          <w:numId w:val="35"/>
        </w:numPr>
        <w:spacing w:line="240" w:lineRule="auto"/>
        <w:rPr>
          <w:rFonts w:eastAsia="Times New Roman" w:cs="Arial"/>
          <w:color w:val="000000"/>
          <w:lang w:eastAsia="bg-BG"/>
        </w:rPr>
      </w:pPr>
      <w:r w:rsidRPr="00800A11">
        <w:rPr>
          <w:rFonts w:eastAsia="Times New Roman" w:cs="Arial"/>
          <w:color w:val="000000"/>
          <w:lang w:eastAsia="bg-BG"/>
        </w:rPr>
        <w:t xml:space="preserve">Амбрисентан е мощен </w:t>
      </w:r>
      <w:r w:rsidRPr="00800A11">
        <w:rPr>
          <w:rFonts w:eastAsia="Times New Roman" w:cs="Arial"/>
          <w:color w:val="000000"/>
          <w:lang w:val="ru-RU"/>
        </w:rPr>
        <w:t>(</w:t>
      </w:r>
      <w:r w:rsidRPr="00800A11">
        <w:rPr>
          <w:rFonts w:eastAsia="Times New Roman" w:cs="Arial"/>
          <w:color w:val="000000"/>
          <w:lang w:val="en-US"/>
        </w:rPr>
        <w:t>Ki</w:t>
      </w:r>
      <w:r w:rsidRPr="00800A11">
        <w:rPr>
          <w:rFonts w:eastAsia="Times New Roman" w:cs="Arial"/>
          <w:color w:val="000000"/>
          <w:lang w:val="ru-RU"/>
        </w:rPr>
        <w:t xml:space="preserve"> </w:t>
      </w:r>
      <w:r w:rsidRPr="00800A11">
        <w:rPr>
          <w:rFonts w:eastAsia="Times New Roman" w:cs="Arial"/>
          <w:color w:val="000000"/>
          <w:lang w:eastAsia="bg-BG"/>
        </w:rPr>
        <w:t xml:space="preserve">0,016 </w:t>
      </w:r>
      <w:r w:rsidRPr="00800A11">
        <w:rPr>
          <w:rFonts w:eastAsia="Times New Roman" w:cs="Arial"/>
          <w:color w:val="000000"/>
          <w:lang w:val="en-US"/>
        </w:rPr>
        <w:t>n</w:t>
      </w:r>
      <w:r w:rsidRPr="00800A11">
        <w:rPr>
          <w:rFonts w:eastAsia="Times New Roman" w:cs="Arial"/>
          <w:color w:val="000000"/>
          <w:lang w:eastAsia="bg-BG"/>
        </w:rPr>
        <w:t>М) и високоселективен ЕТ</w:t>
      </w:r>
      <w:r w:rsidRPr="00800A11">
        <w:rPr>
          <w:rFonts w:eastAsia="Times New Roman" w:cs="Arial"/>
          <w:color w:val="000000"/>
          <w:vertAlign w:val="subscript"/>
          <w:lang w:eastAsia="bg-BG"/>
        </w:rPr>
        <w:t>А</w:t>
      </w:r>
      <w:r w:rsidRPr="00800A11">
        <w:rPr>
          <w:rFonts w:eastAsia="Times New Roman" w:cs="Arial"/>
          <w:color w:val="000000"/>
          <w:lang w:eastAsia="bg-BG"/>
        </w:rPr>
        <w:t xml:space="preserve"> антагонист (приблизително 4 000 пъти по-селективен към ЕТд, в сравнение с ЕТ</w:t>
      </w:r>
      <w:r w:rsidRPr="00800A11">
        <w:rPr>
          <w:rFonts w:eastAsia="Times New Roman" w:cs="Arial"/>
          <w:color w:val="000000"/>
          <w:vertAlign w:val="subscript"/>
          <w:lang w:eastAsia="bg-BG"/>
        </w:rPr>
        <w:t>В</w:t>
      </w:r>
      <w:r w:rsidRPr="00800A11">
        <w:rPr>
          <w:rFonts w:eastAsia="Times New Roman" w:cs="Arial"/>
          <w:color w:val="000000"/>
          <w:lang w:eastAsia="bg-BG"/>
        </w:rPr>
        <w:t>).</w:t>
      </w:r>
    </w:p>
    <w:p w14:paraId="48A5E14C" w14:textId="77777777" w:rsidR="00800A11" w:rsidRDefault="00800A11" w:rsidP="00800A11">
      <w:pPr>
        <w:pStyle w:val="ListParagraph"/>
        <w:numPr>
          <w:ilvl w:val="0"/>
          <w:numId w:val="35"/>
        </w:numPr>
        <w:spacing w:line="240" w:lineRule="auto"/>
        <w:rPr>
          <w:rFonts w:eastAsia="Times New Roman" w:cs="Arial"/>
          <w:color w:val="000000"/>
          <w:lang w:eastAsia="bg-BG"/>
        </w:rPr>
      </w:pPr>
      <w:r w:rsidRPr="00800A11">
        <w:rPr>
          <w:rFonts w:eastAsia="Times New Roman" w:cs="Arial"/>
          <w:color w:val="000000"/>
          <w:lang w:eastAsia="bg-BG"/>
        </w:rPr>
        <w:t>Амбрисентан блокира рецепторния субтип ЕТ</w:t>
      </w:r>
      <w:r w:rsidRPr="00800A11">
        <w:rPr>
          <w:rFonts w:eastAsia="Times New Roman" w:cs="Arial"/>
          <w:color w:val="000000"/>
          <w:vertAlign w:val="subscript"/>
          <w:lang w:eastAsia="bg-BG"/>
        </w:rPr>
        <w:t>А</w:t>
      </w:r>
      <w:r w:rsidRPr="00800A11">
        <w:rPr>
          <w:rFonts w:eastAsia="Times New Roman" w:cs="Arial"/>
          <w:color w:val="000000"/>
          <w:lang w:eastAsia="bg-BG"/>
        </w:rPr>
        <w:t>, локализиран предимно върху клетките на гладката мускулатура на съдовете и върху сърдечните миоцити. Това предотвратява ендотелин-медиираната активация на вторичните сигнални системи, която предизвиква вазоконстрикция и пролиферация на гладкомускулни клетки.</w:t>
      </w:r>
    </w:p>
    <w:p w14:paraId="6F01A177" w14:textId="57789981" w:rsidR="00800A11" w:rsidRPr="00800A11" w:rsidRDefault="00800A11" w:rsidP="00800A11">
      <w:pPr>
        <w:pStyle w:val="ListParagraph"/>
        <w:numPr>
          <w:ilvl w:val="0"/>
          <w:numId w:val="35"/>
        </w:numPr>
        <w:spacing w:line="240" w:lineRule="auto"/>
        <w:rPr>
          <w:rFonts w:eastAsia="Times New Roman" w:cs="Arial"/>
          <w:color w:val="000000"/>
          <w:lang w:eastAsia="bg-BG"/>
        </w:rPr>
      </w:pPr>
      <w:r w:rsidRPr="00800A11">
        <w:rPr>
          <w:rFonts w:eastAsia="Times New Roman" w:cs="Arial"/>
          <w:color w:val="000000"/>
          <w:lang w:eastAsia="bg-BG"/>
        </w:rPr>
        <w:t>Селективността на амбрисентан към ЕТ</w:t>
      </w:r>
      <w:r w:rsidRPr="00800A11">
        <w:rPr>
          <w:rFonts w:eastAsia="Times New Roman" w:cs="Arial"/>
          <w:color w:val="000000"/>
          <w:vertAlign w:val="subscript"/>
          <w:lang w:eastAsia="bg-BG"/>
        </w:rPr>
        <w:t>А</w:t>
      </w:r>
      <w:r w:rsidRPr="00800A11">
        <w:rPr>
          <w:rFonts w:eastAsia="Times New Roman" w:cs="Arial"/>
          <w:color w:val="000000"/>
          <w:lang w:eastAsia="bg-BG"/>
        </w:rPr>
        <w:t xml:space="preserve"> рецептора в сравнение с ЕТв рецептора се очаква да задържи образуването на вазодилататорите азотен оксид и простациклин, което се медиира от ЕТв рецепторите.</w:t>
      </w:r>
    </w:p>
    <w:p w14:paraId="6F687C03" w14:textId="77777777" w:rsidR="00800A11" w:rsidRDefault="00800A11" w:rsidP="00800A11">
      <w:pPr>
        <w:spacing w:line="240" w:lineRule="auto"/>
        <w:rPr>
          <w:rFonts w:eastAsia="Times New Roman" w:cs="Arial"/>
          <w:color w:val="000000"/>
          <w:u w:val="single"/>
          <w:lang w:eastAsia="bg-BG"/>
        </w:rPr>
      </w:pPr>
    </w:p>
    <w:p w14:paraId="2C9C513C" w14:textId="1EC10EFB"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Клинична ефикасност и безопасност</w:t>
      </w:r>
    </w:p>
    <w:p w14:paraId="0C12CF7C" w14:textId="77777777" w:rsidR="00800A11" w:rsidRDefault="00800A11" w:rsidP="00800A11">
      <w:pPr>
        <w:spacing w:line="240" w:lineRule="auto"/>
        <w:rPr>
          <w:rFonts w:eastAsia="Times New Roman" w:cs="Arial"/>
          <w:color w:val="000000"/>
          <w:lang w:eastAsia="bg-BG"/>
        </w:rPr>
      </w:pPr>
    </w:p>
    <w:p w14:paraId="03E54025" w14:textId="166A6E36"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Проведени са две рандомизирани, двойно-слепи, многоцентрови, плацебо контролирани, фаза 3 основни проучвания </w:t>
      </w:r>
      <w:r w:rsidRPr="00800A11">
        <w:rPr>
          <w:rFonts w:eastAsia="Times New Roman" w:cs="Arial"/>
          <w:color w:val="000000"/>
          <w:lang w:val="ru-RU"/>
        </w:rPr>
        <w:t>(</w:t>
      </w:r>
      <w:r w:rsidRPr="00800A11">
        <w:rPr>
          <w:rFonts w:eastAsia="Times New Roman" w:cs="Arial"/>
          <w:color w:val="000000"/>
          <w:lang w:val="en-US"/>
        </w:rPr>
        <w:t>ARIES</w:t>
      </w:r>
      <w:r w:rsidRPr="00800A11">
        <w:rPr>
          <w:rFonts w:eastAsia="Times New Roman" w:cs="Arial"/>
          <w:color w:val="000000"/>
          <w:lang w:val="ru-RU"/>
        </w:rPr>
        <w:t>-</w:t>
      </w:r>
      <w:r w:rsidRPr="00800A11">
        <w:rPr>
          <w:rFonts w:eastAsia="Times New Roman" w:cs="Arial"/>
          <w:color w:val="000000"/>
          <w:lang w:eastAsia="bg-BG"/>
        </w:rPr>
        <w:t xml:space="preserve">1 и 2). Проучването </w:t>
      </w:r>
      <w:r w:rsidRPr="00800A11">
        <w:rPr>
          <w:rFonts w:eastAsia="Times New Roman" w:cs="Arial"/>
          <w:color w:val="000000"/>
          <w:lang w:val="en-US"/>
        </w:rPr>
        <w:t>ARIES</w:t>
      </w:r>
      <w:r w:rsidRPr="00800A11">
        <w:rPr>
          <w:rFonts w:eastAsia="Times New Roman" w:cs="Arial"/>
          <w:color w:val="000000"/>
          <w:lang w:val="ru-RU"/>
        </w:rPr>
        <w:t>-</w:t>
      </w:r>
      <w:r w:rsidRPr="00800A11">
        <w:rPr>
          <w:rFonts w:eastAsia="Times New Roman" w:cs="Arial"/>
          <w:color w:val="000000"/>
          <w:lang w:eastAsia="bg-BG"/>
        </w:rPr>
        <w:t xml:space="preserve">1 включва 201 пациенти и сравнява амбрисентан 5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 xml:space="preserve">и 10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 xml:space="preserve">с плацебо. Проучването </w:t>
      </w:r>
      <w:r w:rsidRPr="00800A11">
        <w:rPr>
          <w:rFonts w:eastAsia="Times New Roman" w:cs="Arial"/>
          <w:color w:val="000000"/>
          <w:lang w:val="en-US"/>
        </w:rPr>
        <w:t>ARIES</w:t>
      </w:r>
      <w:r w:rsidRPr="00800A11">
        <w:rPr>
          <w:rFonts w:eastAsia="Times New Roman" w:cs="Arial"/>
          <w:color w:val="000000"/>
          <w:lang w:val="ru-RU"/>
        </w:rPr>
        <w:t xml:space="preserve">-2 </w:t>
      </w:r>
      <w:r w:rsidRPr="00800A11">
        <w:rPr>
          <w:rFonts w:eastAsia="Times New Roman" w:cs="Arial"/>
          <w:color w:val="000000"/>
          <w:lang w:eastAsia="bg-BG"/>
        </w:rPr>
        <w:t xml:space="preserve">включва 192 пациенти и сравнява амбрисентан 2,5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 xml:space="preserve">и 5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 xml:space="preserve">с плацебо. В двете проучвания амбрисентан е добавен към допълнителното/основното лечение на пациентите, което може да е включвало комбинация от дигоксин, антикоагуланти, диуретици, кислород и вазодилататори (блокери на калциевите канали, АСЕ инхибитори). Включените пациенти са имали ИБАХ или БАХ, свързани със заболяване на съединителната тъкан (БАХ-ЗСТ). Повечето от пациентите са имали симптоми от функционален клас по СЗО </w:t>
      </w:r>
      <w:r w:rsidRPr="00800A11">
        <w:rPr>
          <w:rFonts w:eastAsia="Times New Roman" w:cs="Arial"/>
          <w:color w:val="000000"/>
          <w:lang w:val="en-US"/>
        </w:rPr>
        <w:t>II</w:t>
      </w:r>
      <w:r w:rsidRPr="00800A11">
        <w:rPr>
          <w:rFonts w:eastAsia="Times New Roman" w:cs="Arial"/>
          <w:color w:val="000000"/>
          <w:lang w:eastAsia="bg-BG"/>
        </w:rPr>
        <w:t xml:space="preserve"> (38,4%) или </w:t>
      </w:r>
      <w:r w:rsidRPr="00800A11">
        <w:rPr>
          <w:rFonts w:eastAsia="Times New Roman" w:cs="Arial"/>
          <w:color w:val="000000"/>
          <w:lang w:val="en-US"/>
        </w:rPr>
        <w:t>III</w:t>
      </w:r>
      <w:r w:rsidRPr="00800A11">
        <w:rPr>
          <w:rFonts w:eastAsia="Times New Roman" w:cs="Arial"/>
          <w:color w:val="000000"/>
          <w:lang w:eastAsia="bg-BG"/>
        </w:rPr>
        <w:t xml:space="preserve"> (55,0%). Пациентите със съществуващо чернодробно заболяване (цироза или клинично значимо повишаване на аминотрансферазите), както и пациентите, приемащи друга таргетирана терапия за БАХ (напр. простаноиди), са</w:t>
      </w:r>
      <w:r w:rsidRPr="00800A11">
        <w:rPr>
          <w:rFonts w:eastAsia="Times New Roman" w:cs="Arial"/>
          <w:color w:val="000000"/>
          <w:u w:val="single"/>
          <w:lang w:eastAsia="bg-BG"/>
        </w:rPr>
        <w:t xml:space="preserve"> </w:t>
      </w:r>
      <w:r w:rsidRPr="00800A11">
        <w:rPr>
          <w:rFonts w:eastAsia="Times New Roman" w:cs="Arial"/>
          <w:color w:val="000000"/>
          <w:lang w:eastAsia="bg-BG"/>
        </w:rPr>
        <w:t>изключени. В тези проучвания хемодинамичните параметри не са оценявани.</w:t>
      </w:r>
    </w:p>
    <w:p w14:paraId="66D44BB9" w14:textId="77777777" w:rsidR="00800A11" w:rsidRDefault="00800A11" w:rsidP="00800A11">
      <w:pPr>
        <w:rPr>
          <w:rFonts w:eastAsia="Times New Roman" w:cs="Arial"/>
          <w:color w:val="000000"/>
          <w:lang w:eastAsia="bg-BG"/>
        </w:rPr>
      </w:pPr>
    </w:p>
    <w:p w14:paraId="0335164D" w14:textId="7969E7FF" w:rsidR="00800A11" w:rsidRDefault="00800A11" w:rsidP="00800A11">
      <w:pPr>
        <w:rPr>
          <w:rFonts w:eastAsia="Times New Roman" w:cs="Arial"/>
          <w:color w:val="000000"/>
          <w:lang w:eastAsia="bg-BG"/>
        </w:rPr>
      </w:pPr>
      <w:r w:rsidRPr="00800A11">
        <w:rPr>
          <w:rFonts w:eastAsia="Times New Roman" w:cs="Arial"/>
          <w:color w:val="000000"/>
          <w:lang w:eastAsia="bg-BG"/>
        </w:rPr>
        <w:t xml:space="preserve">Първичната крайна точка, определена за проучванията фаза 3, е подобряване на капацитета при физическо натоварване, оценено чрез промяна в сравнение с изходното ниво за 6 минутно ходене пеша </w:t>
      </w:r>
      <w:r w:rsidRPr="00800A11">
        <w:rPr>
          <w:rFonts w:eastAsia="Times New Roman" w:cs="Arial"/>
          <w:color w:val="000000"/>
          <w:lang w:val="ru-RU"/>
        </w:rPr>
        <w:t>(6</w:t>
      </w:r>
      <w:r w:rsidRPr="00800A11">
        <w:rPr>
          <w:rFonts w:eastAsia="Times New Roman" w:cs="Arial"/>
          <w:color w:val="000000"/>
          <w:lang w:val="en-US"/>
        </w:rPr>
        <w:t>MWD</w:t>
      </w:r>
      <w:r w:rsidRPr="00800A11">
        <w:rPr>
          <w:rFonts w:eastAsia="Times New Roman" w:cs="Arial"/>
          <w:color w:val="000000"/>
          <w:lang w:val="ru-RU"/>
        </w:rPr>
        <w:t xml:space="preserve">) </w:t>
      </w:r>
      <w:r w:rsidRPr="00800A11">
        <w:rPr>
          <w:rFonts w:eastAsia="Times New Roman" w:cs="Arial"/>
          <w:color w:val="000000"/>
          <w:lang w:eastAsia="bg-BG"/>
        </w:rPr>
        <w:t xml:space="preserve">на 12-та седмица. И в двете проучвания лечението с амбрисентан показва значително подобрение в </w:t>
      </w:r>
      <w:r w:rsidRPr="00800A11">
        <w:rPr>
          <w:rFonts w:eastAsia="Times New Roman" w:cs="Arial"/>
          <w:color w:val="000000"/>
          <w:lang w:val="ru-RU"/>
        </w:rPr>
        <w:t>6</w:t>
      </w:r>
      <w:r w:rsidRPr="00800A11">
        <w:rPr>
          <w:rFonts w:eastAsia="Times New Roman" w:cs="Arial"/>
          <w:color w:val="000000"/>
          <w:lang w:val="en-US"/>
        </w:rPr>
        <w:t>MWD</w:t>
      </w:r>
      <w:r w:rsidRPr="00800A11">
        <w:rPr>
          <w:rFonts w:eastAsia="Times New Roman" w:cs="Arial"/>
          <w:color w:val="000000"/>
          <w:lang w:val="ru-RU"/>
        </w:rPr>
        <w:t xml:space="preserve"> </w:t>
      </w:r>
      <w:r w:rsidRPr="00800A11">
        <w:rPr>
          <w:rFonts w:eastAsia="Times New Roman" w:cs="Arial"/>
          <w:color w:val="000000"/>
          <w:lang w:eastAsia="bg-BG"/>
        </w:rPr>
        <w:t>при всяка доза амбрисентан.</w:t>
      </w:r>
    </w:p>
    <w:p w14:paraId="6EF62223" w14:textId="73888655" w:rsidR="00800A11" w:rsidRDefault="00800A11" w:rsidP="00800A11">
      <w:pPr>
        <w:rPr>
          <w:rFonts w:eastAsia="Times New Roman" w:cs="Arial"/>
          <w:color w:val="000000"/>
          <w:lang w:eastAsia="bg-BG"/>
        </w:rPr>
      </w:pPr>
    </w:p>
    <w:p w14:paraId="2F8AE108" w14:textId="77777777"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Коригираното спрямо плацебо подобрение в средното </w:t>
      </w:r>
      <w:r w:rsidRPr="00800A11">
        <w:rPr>
          <w:rFonts w:eastAsia="Times New Roman" w:cs="Arial"/>
          <w:color w:val="000000"/>
          <w:lang w:val="ru-RU"/>
        </w:rPr>
        <w:t>6</w:t>
      </w:r>
      <w:r w:rsidRPr="00800A11">
        <w:rPr>
          <w:rFonts w:eastAsia="Times New Roman" w:cs="Arial"/>
          <w:color w:val="000000"/>
          <w:lang w:val="en-US"/>
        </w:rPr>
        <w:t>MWD</w:t>
      </w:r>
      <w:r w:rsidRPr="00800A11">
        <w:rPr>
          <w:rFonts w:eastAsia="Times New Roman" w:cs="Arial"/>
          <w:color w:val="000000"/>
          <w:lang w:val="ru-RU"/>
        </w:rPr>
        <w:t xml:space="preserve"> </w:t>
      </w:r>
      <w:r w:rsidRPr="00800A11">
        <w:rPr>
          <w:rFonts w:eastAsia="Times New Roman" w:cs="Arial"/>
          <w:color w:val="000000"/>
          <w:lang w:eastAsia="bg-BG"/>
        </w:rPr>
        <w:t xml:space="preserve">на 12-та седмица в сравнение с изходното ниво е съответно 30,6 </w:t>
      </w:r>
      <w:r w:rsidRPr="00800A11">
        <w:rPr>
          <w:rFonts w:eastAsia="Times New Roman" w:cs="Arial"/>
          <w:color w:val="000000"/>
          <w:lang w:val="en-US"/>
        </w:rPr>
        <w:t>m</w:t>
      </w:r>
      <w:r w:rsidRPr="00800A11">
        <w:rPr>
          <w:rFonts w:eastAsia="Times New Roman" w:cs="Arial"/>
          <w:color w:val="000000"/>
          <w:lang w:val="ru-RU"/>
        </w:rPr>
        <w:t xml:space="preserve"> </w:t>
      </w:r>
      <w:r w:rsidRPr="00800A11">
        <w:rPr>
          <w:rFonts w:eastAsia="Times New Roman" w:cs="Arial"/>
          <w:color w:val="000000"/>
          <w:lang w:eastAsia="bg-BG"/>
        </w:rPr>
        <w:t xml:space="preserve">(95% </w:t>
      </w:r>
      <w:r w:rsidRPr="00800A11">
        <w:rPr>
          <w:rFonts w:eastAsia="Times New Roman" w:cs="Arial"/>
          <w:color w:val="000000"/>
          <w:lang w:val="en-US"/>
        </w:rPr>
        <w:t>CI</w:t>
      </w:r>
      <w:r w:rsidRPr="00800A11">
        <w:rPr>
          <w:rFonts w:eastAsia="Times New Roman" w:cs="Arial"/>
          <w:color w:val="000000"/>
          <w:lang w:val="ru-RU"/>
        </w:rPr>
        <w:t xml:space="preserve">: </w:t>
      </w:r>
      <w:r w:rsidRPr="00800A11">
        <w:rPr>
          <w:rFonts w:eastAsia="Times New Roman" w:cs="Arial"/>
          <w:color w:val="000000"/>
          <w:lang w:eastAsia="bg-BG"/>
        </w:rPr>
        <w:t xml:space="preserve">2,9 до 58,3; р=0,008) и 59,4 </w:t>
      </w:r>
      <w:r w:rsidRPr="00800A11">
        <w:rPr>
          <w:rFonts w:eastAsia="Times New Roman" w:cs="Arial"/>
          <w:color w:val="000000"/>
          <w:lang w:val="en-US"/>
        </w:rPr>
        <w:t>m</w:t>
      </w:r>
      <w:r w:rsidRPr="00800A11">
        <w:rPr>
          <w:rFonts w:eastAsia="Times New Roman" w:cs="Arial"/>
          <w:color w:val="000000"/>
          <w:lang w:val="ru-RU"/>
        </w:rPr>
        <w:t xml:space="preserve"> </w:t>
      </w:r>
      <w:r w:rsidRPr="00800A11">
        <w:rPr>
          <w:rFonts w:eastAsia="Times New Roman" w:cs="Arial"/>
          <w:color w:val="000000"/>
          <w:lang w:eastAsia="bg-BG"/>
        </w:rPr>
        <w:t xml:space="preserve">(95% </w:t>
      </w:r>
      <w:r w:rsidRPr="00800A11">
        <w:rPr>
          <w:rFonts w:eastAsia="Times New Roman" w:cs="Arial"/>
          <w:color w:val="000000"/>
          <w:lang w:val="en-US"/>
        </w:rPr>
        <w:t>CI</w:t>
      </w:r>
      <w:r w:rsidRPr="00800A11">
        <w:rPr>
          <w:rFonts w:eastAsia="Times New Roman" w:cs="Arial"/>
          <w:color w:val="000000"/>
          <w:lang w:val="ru-RU"/>
        </w:rPr>
        <w:t xml:space="preserve">: </w:t>
      </w:r>
      <w:r w:rsidRPr="00800A11">
        <w:rPr>
          <w:rFonts w:eastAsia="Times New Roman" w:cs="Arial"/>
          <w:color w:val="000000"/>
          <w:lang w:eastAsia="bg-BG"/>
        </w:rPr>
        <w:t xml:space="preserve">29,6 до 89,3; р&lt;0,001) в групата с прием на 5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 xml:space="preserve">в проучванията </w:t>
      </w:r>
      <w:r w:rsidRPr="00800A11">
        <w:rPr>
          <w:rFonts w:eastAsia="Times New Roman" w:cs="Arial"/>
          <w:color w:val="000000"/>
          <w:lang w:val="en-US"/>
        </w:rPr>
        <w:t>ARIES</w:t>
      </w:r>
      <w:r w:rsidRPr="00800A11">
        <w:rPr>
          <w:rFonts w:eastAsia="Times New Roman" w:cs="Arial"/>
          <w:color w:val="000000"/>
          <w:lang w:val="ru-RU"/>
        </w:rPr>
        <w:t xml:space="preserve"> </w:t>
      </w:r>
      <w:r w:rsidRPr="00800A11">
        <w:rPr>
          <w:rFonts w:eastAsia="Times New Roman" w:cs="Arial"/>
          <w:color w:val="000000"/>
          <w:lang w:eastAsia="bg-BG"/>
        </w:rPr>
        <w:t xml:space="preserve">1 и 2. Коригираното спрямо плацебо подобрение в средното </w:t>
      </w:r>
      <w:r w:rsidRPr="00800A11">
        <w:rPr>
          <w:rFonts w:eastAsia="Times New Roman" w:cs="Arial"/>
          <w:color w:val="000000"/>
          <w:lang w:val="ru-RU"/>
        </w:rPr>
        <w:t>6</w:t>
      </w:r>
      <w:r w:rsidRPr="00800A11">
        <w:rPr>
          <w:rFonts w:eastAsia="Times New Roman" w:cs="Arial"/>
          <w:color w:val="000000"/>
          <w:lang w:val="en-US"/>
        </w:rPr>
        <w:t>MWD</w:t>
      </w:r>
      <w:r w:rsidRPr="00800A11">
        <w:rPr>
          <w:rFonts w:eastAsia="Times New Roman" w:cs="Arial"/>
          <w:color w:val="000000"/>
          <w:lang w:val="ru-RU"/>
        </w:rPr>
        <w:t xml:space="preserve"> </w:t>
      </w:r>
      <w:r w:rsidRPr="00800A11">
        <w:rPr>
          <w:rFonts w:eastAsia="Times New Roman" w:cs="Arial"/>
          <w:color w:val="000000"/>
          <w:lang w:eastAsia="bg-BG"/>
        </w:rPr>
        <w:t xml:space="preserve">на 12-та седмица, при </w:t>
      </w:r>
      <w:r w:rsidRPr="00800A11">
        <w:rPr>
          <w:rFonts w:eastAsia="Times New Roman" w:cs="Arial"/>
          <w:color w:val="000000"/>
          <w:lang w:eastAsia="bg-BG"/>
        </w:rPr>
        <w:lastRenderedPageBreak/>
        <w:t xml:space="preserve">пациентите от групата, с прием на 10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 xml:space="preserve">в </w:t>
      </w:r>
      <w:r w:rsidRPr="00800A11">
        <w:rPr>
          <w:rFonts w:eastAsia="Times New Roman" w:cs="Arial"/>
          <w:color w:val="000000"/>
          <w:lang w:val="en-US"/>
        </w:rPr>
        <w:t>ARIES</w:t>
      </w:r>
      <w:r w:rsidRPr="00800A11">
        <w:rPr>
          <w:rFonts w:eastAsia="Times New Roman" w:cs="Arial"/>
          <w:color w:val="000000"/>
          <w:lang w:val="ru-RU"/>
        </w:rPr>
        <w:t xml:space="preserve">-1 </w:t>
      </w:r>
      <w:r w:rsidRPr="00800A11">
        <w:rPr>
          <w:rFonts w:eastAsia="Times New Roman" w:cs="Arial"/>
          <w:color w:val="000000"/>
          <w:lang w:eastAsia="bg-BG"/>
        </w:rPr>
        <w:t xml:space="preserve">е 51,4 </w:t>
      </w:r>
      <w:r w:rsidRPr="00800A11">
        <w:rPr>
          <w:rFonts w:eastAsia="Times New Roman" w:cs="Arial"/>
          <w:color w:val="000000"/>
          <w:lang w:val="en-US"/>
        </w:rPr>
        <w:t>m</w:t>
      </w:r>
      <w:r w:rsidRPr="00800A11">
        <w:rPr>
          <w:rFonts w:eastAsia="Times New Roman" w:cs="Arial"/>
          <w:color w:val="000000"/>
          <w:lang w:val="ru-RU"/>
        </w:rPr>
        <w:t xml:space="preserve"> </w:t>
      </w:r>
      <w:r w:rsidRPr="00800A11">
        <w:rPr>
          <w:rFonts w:eastAsia="Times New Roman" w:cs="Arial"/>
          <w:color w:val="000000"/>
          <w:lang w:eastAsia="bg-BG"/>
        </w:rPr>
        <w:t xml:space="preserve">(95% </w:t>
      </w:r>
      <w:r w:rsidRPr="00800A11">
        <w:rPr>
          <w:rFonts w:eastAsia="Times New Roman" w:cs="Arial"/>
          <w:color w:val="000000"/>
          <w:lang w:val="en-US"/>
        </w:rPr>
        <w:t>CI</w:t>
      </w:r>
      <w:r w:rsidRPr="00800A11">
        <w:rPr>
          <w:rFonts w:eastAsia="Times New Roman" w:cs="Arial"/>
          <w:color w:val="000000"/>
          <w:lang w:val="ru-RU"/>
        </w:rPr>
        <w:t xml:space="preserve">: </w:t>
      </w:r>
      <w:r w:rsidRPr="00800A11">
        <w:rPr>
          <w:rFonts w:eastAsia="Times New Roman" w:cs="Arial"/>
          <w:color w:val="000000"/>
          <w:lang w:eastAsia="bg-BG"/>
        </w:rPr>
        <w:t>26,6 до 76,2; р&lt;0,001).</w:t>
      </w:r>
    </w:p>
    <w:p w14:paraId="7DE7C399" w14:textId="77777777"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Проведен е предварително определен комбиниран анализ на проучванията фаза 3 </w:t>
      </w:r>
      <w:r w:rsidRPr="00800A11">
        <w:rPr>
          <w:rFonts w:eastAsia="Times New Roman" w:cs="Arial"/>
          <w:color w:val="000000"/>
          <w:lang w:val="ru-RU"/>
        </w:rPr>
        <w:t>(</w:t>
      </w:r>
      <w:r w:rsidRPr="00800A11">
        <w:rPr>
          <w:rFonts w:eastAsia="Times New Roman" w:cs="Arial"/>
          <w:color w:val="000000"/>
          <w:lang w:val="en-US"/>
        </w:rPr>
        <w:t>ARIES</w:t>
      </w:r>
      <w:r w:rsidRPr="00800A11">
        <w:rPr>
          <w:rFonts w:eastAsia="Times New Roman" w:cs="Arial"/>
          <w:color w:val="000000"/>
          <w:lang w:val="ru-RU"/>
        </w:rPr>
        <w:t>-</w:t>
      </w:r>
      <w:r w:rsidRPr="00800A11">
        <w:rPr>
          <w:rFonts w:eastAsia="Times New Roman" w:cs="Arial"/>
          <w:color w:val="000000"/>
          <w:lang w:val="en-US"/>
        </w:rPr>
        <w:t>C</w:t>
      </w:r>
      <w:r w:rsidRPr="00800A11">
        <w:rPr>
          <w:rFonts w:eastAsia="Times New Roman" w:cs="Arial"/>
          <w:color w:val="000000"/>
          <w:lang w:val="ru-RU"/>
        </w:rPr>
        <w:t xml:space="preserve">). </w:t>
      </w:r>
      <w:r w:rsidRPr="00800A11">
        <w:rPr>
          <w:rFonts w:eastAsia="Times New Roman" w:cs="Arial"/>
          <w:color w:val="000000"/>
          <w:lang w:eastAsia="bg-BG"/>
        </w:rPr>
        <w:t xml:space="preserve">Коригираното спрямо плацебо средно подобрение на </w:t>
      </w:r>
      <w:r w:rsidRPr="00800A11">
        <w:rPr>
          <w:rFonts w:eastAsia="Times New Roman" w:cs="Arial"/>
          <w:color w:val="000000"/>
          <w:lang w:val="ru-RU"/>
        </w:rPr>
        <w:t>6</w:t>
      </w:r>
      <w:r w:rsidRPr="00800A11">
        <w:rPr>
          <w:rFonts w:eastAsia="Times New Roman" w:cs="Arial"/>
          <w:color w:val="000000"/>
          <w:lang w:val="en-US"/>
        </w:rPr>
        <w:t>MWD</w:t>
      </w:r>
      <w:r w:rsidRPr="00800A11">
        <w:rPr>
          <w:rFonts w:eastAsia="Times New Roman" w:cs="Arial"/>
          <w:color w:val="000000"/>
          <w:lang w:val="ru-RU"/>
        </w:rPr>
        <w:t xml:space="preserve"> </w:t>
      </w:r>
      <w:r w:rsidRPr="00800A11">
        <w:rPr>
          <w:rFonts w:eastAsia="Times New Roman" w:cs="Arial"/>
          <w:color w:val="000000"/>
          <w:lang w:eastAsia="bg-BG"/>
        </w:rPr>
        <w:t xml:space="preserve">е 44,6 </w:t>
      </w:r>
      <w:r w:rsidRPr="00800A11">
        <w:rPr>
          <w:rFonts w:eastAsia="Times New Roman" w:cs="Arial"/>
          <w:color w:val="000000"/>
          <w:lang w:val="en-US"/>
        </w:rPr>
        <w:t>m</w:t>
      </w:r>
      <w:r w:rsidRPr="00800A11">
        <w:rPr>
          <w:rFonts w:eastAsia="Times New Roman" w:cs="Arial"/>
          <w:color w:val="000000"/>
          <w:lang w:val="ru-RU"/>
        </w:rPr>
        <w:t xml:space="preserve"> </w:t>
      </w:r>
      <w:r w:rsidRPr="00800A11">
        <w:rPr>
          <w:rFonts w:eastAsia="Times New Roman" w:cs="Arial"/>
          <w:color w:val="000000"/>
          <w:lang w:eastAsia="bg-BG"/>
        </w:rPr>
        <w:t xml:space="preserve">(95% </w:t>
      </w:r>
      <w:r w:rsidRPr="00800A11">
        <w:rPr>
          <w:rFonts w:eastAsia="Times New Roman" w:cs="Arial"/>
          <w:color w:val="000000"/>
          <w:lang w:val="en-US"/>
        </w:rPr>
        <w:t>CI</w:t>
      </w:r>
      <w:r w:rsidRPr="00800A11">
        <w:rPr>
          <w:rFonts w:eastAsia="Times New Roman" w:cs="Arial"/>
          <w:color w:val="000000"/>
          <w:lang w:val="ru-RU"/>
        </w:rPr>
        <w:t xml:space="preserve">: </w:t>
      </w:r>
      <w:r w:rsidRPr="00800A11">
        <w:rPr>
          <w:rFonts w:eastAsia="Times New Roman" w:cs="Arial"/>
          <w:color w:val="000000"/>
          <w:lang w:eastAsia="bg-BG"/>
        </w:rPr>
        <w:t xml:space="preserve">24,3 до 64,9; р&lt;0,001) при дозата от 5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 xml:space="preserve">и 52,5 </w:t>
      </w:r>
      <w:r w:rsidRPr="00800A11">
        <w:rPr>
          <w:rFonts w:eastAsia="Times New Roman" w:cs="Arial"/>
          <w:color w:val="000000"/>
          <w:lang w:val="en-US"/>
        </w:rPr>
        <w:t>m</w:t>
      </w:r>
      <w:r w:rsidRPr="00800A11">
        <w:rPr>
          <w:rFonts w:eastAsia="Times New Roman" w:cs="Arial"/>
          <w:color w:val="000000"/>
          <w:lang w:val="ru-RU"/>
        </w:rPr>
        <w:t xml:space="preserve"> </w:t>
      </w:r>
      <w:r w:rsidRPr="00800A11">
        <w:rPr>
          <w:rFonts w:eastAsia="Times New Roman" w:cs="Arial"/>
          <w:color w:val="000000"/>
          <w:lang w:eastAsia="bg-BG"/>
        </w:rPr>
        <w:t xml:space="preserve">(95% </w:t>
      </w:r>
      <w:r w:rsidRPr="00800A11">
        <w:rPr>
          <w:rFonts w:eastAsia="Times New Roman" w:cs="Arial"/>
          <w:color w:val="000000"/>
          <w:lang w:val="en-US"/>
        </w:rPr>
        <w:t>CI</w:t>
      </w:r>
      <w:r w:rsidRPr="00800A11">
        <w:rPr>
          <w:rFonts w:eastAsia="Times New Roman" w:cs="Arial"/>
          <w:color w:val="000000"/>
          <w:lang w:val="ru-RU"/>
        </w:rPr>
        <w:t xml:space="preserve">: </w:t>
      </w:r>
      <w:r w:rsidRPr="00800A11">
        <w:rPr>
          <w:rFonts w:eastAsia="Times New Roman" w:cs="Arial"/>
          <w:color w:val="000000"/>
          <w:lang w:eastAsia="bg-BG"/>
        </w:rPr>
        <w:t xml:space="preserve">28,8 до 76,2; р&lt;0,001) при дозата от 10 </w:t>
      </w:r>
      <w:r w:rsidRPr="00800A11">
        <w:rPr>
          <w:rFonts w:eastAsia="Times New Roman" w:cs="Arial"/>
          <w:color w:val="000000"/>
          <w:lang w:val="en-US"/>
        </w:rPr>
        <w:t>mg</w:t>
      </w:r>
      <w:r w:rsidRPr="00800A11">
        <w:rPr>
          <w:rFonts w:eastAsia="Times New Roman" w:cs="Arial"/>
          <w:color w:val="000000"/>
          <w:lang w:val="ru-RU"/>
        </w:rPr>
        <w:t>.</w:t>
      </w:r>
    </w:p>
    <w:p w14:paraId="725066F3" w14:textId="77777777" w:rsidR="00800A11" w:rsidRDefault="00800A11" w:rsidP="00800A11">
      <w:pPr>
        <w:spacing w:line="240" w:lineRule="auto"/>
        <w:rPr>
          <w:rFonts w:eastAsia="Times New Roman" w:cs="Arial"/>
          <w:color w:val="000000"/>
          <w:lang w:eastAsia="bg-BG"/>
        </w:rPr>
      </w:pPr>
    </w:p>
    <w:p w14:paraId="3F47C0AA" w14:textId="0B2DACF2"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В </w:t>
      </w:r>
      <w:r w:rsidRPr="00800A11">
        <w:rPr>
          <w:rFonts w:eastAsia="Times New Roman" w:cs="Arial"/>
          <w:color w:val="000000"/>
          <w:lang w:val="en-US"/>
        </w:rPr>
        <w:t>ARIES</w:t>
      </w:r>
      <w:r w:rsidRPr="00800A11">
        <w:rPr>
          <w:rFonts w:eastAsia="Times New Roman" w:cs="Arial"/>
          <w:color w:val="000000"/>
          <w:lang w:val="ru-RU"/>
        </w:rPr>
        <w:t xml:space="preserve">-2 </w:t>
      </w:r>
      <w:r w:rsidRPr="00800A11">
        <w:rPr>
          <w:rFonts w:eastAsia="Times New Roman" w:cs="Arial"/>
          <w:color w:val="000000"/>
          <w:lang w:eastAsia="bg-BG"/>
        </w:rPr>
        <w:t xml:space="preserve">амбрисентан (комбинирана дозова група) значително отлага времето до клинично влошаване на БАХ в сравнение с плацебо (р&lt;0,001), коефициентът на риск показва понижаване с 80% (95% </w:t>
      </w:r>
      <w:r w:rsidRPr="00800A11">
        <w:rPr>
          <w:rFonts w:eastAsia="Times New Roman" w:cs="Arial"/>
          <w:color w:val="000000"/>
          <w:lang w:val="en-US"/>
        </w:rPr>
        <w:t>CI</w:t>
      </w:r>
      <w:r w:rsidRPr="00800A11">
        <w:rPr>
          <w:rFonts w:eastAsia="Times New Roman" w:cs="Arial"/>
          <w:color w:val="000000"/>
          <w:lang w:val="ru-RU"/>
        </w:rPr>
        <w:t xml:space="preserve">: </w:t>
      </w:r>
      <w:r w:rsidRPr="00800A11">
        <w:rPr>
          <w:rFonts w:eastAsia="Times New Roman" w:cs="Arial"/>
          <w:color w:val="000000"/>
          <w:lang w:eastAsia="bg-BG"/>
        </w:rPr>
        <w:t xml:space="preserve">47% до 92%). Критерият включва: смърт, белодробна трансплантация, хоспитализация заради БАХ, предсърдна септостомия, добавяне на други терапевтични средства за БАХ и критерии за ранно изключване. В комбинираната дозова група е наблюдавано статистически значимо повишаване (3,41 ± 6,96) в скалата за телесно функциониране на Здравното проучване </w:t>
      </w:r>
      <w:r w:rsidRPr="00800A11">
        <w:rPr>
          <w:rFonts w:eastAsia="Times New Roman" w:cs="Arial"/>
          <w:color w:val="000000"/>
          <w:lang w:val="en-US"/>
        </w:rPr>
        <w:t>SF</w:t>
      </w:r>
      <w:r w:rsidRPr="00800A11">
        <w:rPr>
          <w:rFonts w:eastAsia="Times New Roman" w:cs="Arial"/>
          <w:color w:val="000000"/>
          <w:lang w:val="ru-RU"/>
        </w:rPr>
        <w:t xml:space="preserve">-36 </w:t>
      </w:r>
      <w:r w:rsidRPr="00800A11">
        <w:rPr>
          <w:rFonts w:eastAsia="Times New Roman" w:cs="Arial"/>
          <w:color w:val="000000"/>
          <w:lang w:eastAsia="bg-BG"/>
        </w:rPr>
        <w:t xml:space="preserve">в сравнение с плацебо (-0,20 ± 8,14; р=0,005). Лечението с амбрисентан води до статистически значимо подобрение на индекса за диспнея на </w:t>
      </w:r>
      <w:r w:rsidRPr="00800A11">
        <w:rPr>
          <w:rFonts w:eastAsia="Times New Roman" w:cs="Arial"/>
          <w:color w:val="000000"/>
          <w:lang w:val="en-US"/>
        </w:rPr>
        <w:t>Borg</w:t>
      </w:r>
      <w:r w:rsidRPr="00800A11">
        <w:rPr>
          <w:rFonts w:eastAsia="Times New Roman" w:cs="Arial"/>
          <w:color w:val="000000"/>
          <w:lang w:val="ru-RU"/>
        </w:rPr>
        <w:t xml:space="preserve"> (</w:t>
      </w:r>
      <w:r w:rsidRPr="00800A11">
        <w:rPr>
          <w:rFonts w:eastAsia="Times New Roman" w:cs="Arial"/>
          <w:color w:val="000000"/>
          <w:lang w:val="en-US"/>
        </w:rPr>
        <w:t>BDI</w:t>
      </w:r>
      <w:r w:rsidRPr="00800A11">
        <w:rPr>
          <w:rFonts w:eastAsia="Times New Roman" w:cs="Arial"/>
          <w:color w:val="000000"/>
          <w:lang w:val="ru-RU"/>
        </w:rPr>
        <w:t xml:space="preserve">) </w:t>
      </w:r>
      <w:r w:rsidRPr="00800A11">
        <w:rPr>
          <w:rFonts w:eastAsia="Times New Roman" w:cs="Arial"/>
          <w:color w:val="000000"/>
          <w:lang w:eastAsia="bg-BG"/>
        </w:rPr>
        <w:t xml:space="preserve">на 12-та седмица (коригиран спрямо плацебо </w:t>
      </w:r>
      <w:r w:rsidRPr="00800A11">
        <w:rPr>
          <w:rFonts w:eastAsia="Times New Roman" w:cs="Arial"/>
          <w:color w:val="000000"/>
          <w:lang w:val="en-US"/>
        </w:rPr>
        <w:t>BDI</w:t>
      </w:r>
      <w:r w:rsidRPr="00800A11">
        <w:rPr>
          <w:rFonts w:eastAsia="Times New Roman" w:cs="Arial"/>
          <w:color w:val="000000"/>
          <w:lang w:val="ru-RU"/>
        </w:rPr>
        <w:t xml:space="preserve"> </w:t>
      </w:r>
      <w:r w:rsidRPr="00800A11">
        <w:rPr>
          <w:rFonts w:eastAsia="Times New Roman" w:cs="Arial"/>
          <w:color w:val="000000"/>
          <w:lang w:eastAsia="bg-BG"/>
        </w:rPr>
        <w:t xml:space="preserve">-1,1 (95% </w:t>
      </w:r>
      <w:r w:rsidRPr="00800A11">
        <w:rPr>
          <w:rFonts w:eastAsia="Times New Roman" w:cs="Arial"/>
          <w:color w:val="000000"/>
          <w:lang w:val="en-US"/>
        </w:rPr>
        <w:t>CI</w:t>
      </w:r>
      <w:r w:rsidRPr="00800A11">
        <w:rPr>
          <w:rFonts w:eastAsia="Times New Roman" w:cs="Arial"/>
          <w:color w:val="000000"/>
          <w:lang w:val="ru-RU"/>
        </w:rPr>
        <w:t xml:space="preserve">: </w:t>
      </w:r>
      <w:r w:rsidRPr="00800A11">
        <w:rPr>
          <w:rFonts w:eastAsia="Times New Roman" w:cs="Arial"/>
          <w:color w:val="000000"/>
          <w:lang w:eastAsia="bg-BG"/>
        </w:rPr>
        <w:t>-1,8 до -0,4; р=0,019; комбинирана дозова група)).</w:t>
      </w:r>
    </w:p>
    <w:p w14:paraId="0623508B" w14:textId="77777777" w:rsidR="00800A11" w:rsidRDefault="00800A11" w:rsidP="00800A11">
      <w:pPr>
        <w:spacing w:line="240" w:lineRule="auto"/>
        <w:rPr>
          <w:rFonts w:eastAsia="Times New Roman" w:cs="Arial"/>
          <w:color w:val="000000"/>
          <w:u w:val="single"/>
          <w:lang w:eastAsia="bg-BG"/>
        </w:rPr>
      </w:pPr>
    </w:p>
    <w:p w14:paraId="3EB70BCE" w14:textId="118A6A79"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Дългосрочни данни</w:t>
      </w:r>
    </w:p>
    <w:p w14:paraId="04A41817" w14:textId="77777777" w:rsidR="00800A11" w:rsidRDefault="00800A11" w:rsidP="00800A11">
      <w:pPr>
        <w:spacing w:line="240" w:lineRule="auto"/>
        <w:rPr>
          <w:rFonts w:eastAsia="Times New Roman" w:cs="Arial"/>
          <w:color w:val="000000"/>
          <w:lang w:eastAsia="bg-BG"/>
        </w:rPr>
      </w:pPr>
    </w:p>
    <w:p w14:paraId="0F4CB3B5" w14:textId="13D59AE6"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Пациентите, включени в </w:t>
      </w:r>
      <w:r w:rsidRPr="00800A11">
        <w:rPr>
          <w:rFonts w:eastAsia="Times New Roman" w:cs="Arial"/>
          <w:color w:val="000000"/>
          <w:lang w:val="en-US"/>
        </w:rPr>
        <w:t>ARIES</w:t>
      </w:r>
      <w:r w:rsidRPr="00800A11">
        <w:rPr>
          <w:rFonts w:eastAsia="Times New Roman" w:cs="Arial"/>
          <w:color w:val="000000"/>
          <w:lang w:val="ru-RU"/>
        </w:rPr>
        <w:t>-</w:t>
      </w:r>
      <w:r w:rsidRPr="00800A11">
        <w:rPr>
          <w:rFonts w:eastAsia="Times New Roman" w:cs="Arial"/>
          <w:color w:val="000000"/>
          <w:lang w:eastAsia="bg-BG"/>
        </w:rPr>
        <w:t xml:space="preserve">1 и -2, са отговаряли на критериите за включване в дългосрочно открито проучване с продължение </w:t>
      </w:r>
      <w:r w:rsidRPr="00800A11">
        <w:rPr>
          <w:rFonts w:eastAsia="Times New Roman" w:cs="Arial"/>
          <w:color w:val="000000"/>
          <w:lang w:val="en-US"/>
        </w:rPr>
        <w:t>ARIES</w:t>
      </w:r>
      <w:r w:rsidRPr="00800A11">
        <w:rPr>
          <w:rFonts w:eastAsia="Times New Roman" w:cs="Arial"/>
          <w:color w:val="000000"/>
          <w:lang w:eastAsia="bg-BG"/>
        </w:rPr>
        <w:t>-Е (</w:t>
      </w:r>
      <w:r w:rsidRPr="00800A11">
        <w:rPr>
          <w:rFonts w:eastAsia="Times New Roman" w:cs="Arial"/>
          <w:color w:val="000000"/>
          <w:lang w:val="en-US"/>
        </w:rPr>
        <w:t>n</w:t>
      </w:r>
      <w:r w:rsidRPr="00800A11">
        <w:rPr>
          <w:rFonts w:eastAsia="Times New Roman" w:cs="Arial"/>
          <w:color w:val="000000"/>
          <w:lang w:eastAsia="bg-BG"/>
        </w:rPr>
        <w:t xml:space="preserve">=383). Комбинираната средна експозиция е приблизително 145 ± 80 седмици, а максималната експозиция е приблизително 295 седмици. Основните първични крайни точки на това проучване са честотата и тежестта на нежеланите реакции, свързани с дългосрочната експозиция на амбрисентан, включително и серумните </w:t>
      </w:r>
      <w:r w:rsidRPr="00800A11">
        <w:rPr>
          <w:rFonts w:eastAsia="Times New Roman" w:cs="Arial"/>
          <w:color w:val="000000"/>
          <w:lang w:val="en-US"/>
        </w:rPr>
        <w:t>LFTs</w:t>
      </w:r>
      <w:r w:rsidRPr="00800A11">
        <w:rPr>
          <w:rFonts w:eastAsia="Times New Roman" w:cs="Arial"/>
          <w:color w:val="000000"/>
          <w:lang w:val="ru-RU"/>
        </w:rPr>
        <w:t xml:space="preserve">. </w:t>
      </w:r>
      <w:r w:rsidRPr="00800A11">
        <w:rPr>
          <w:rFonts w:eastAsia="Times New Roman" w:cs="Arial"/>
          <w:color w:val="000000"/>
          <w:lang w:eastAsia="bg-BG"/>
        </w:rPr>
        <w:t>Данните от това проучване, свързани с безопасността, наблюдавани при дългосрочна експозиция на амбрисентан, като цяло са в съответствие, с тези, наблюдавани при 12-седмичните плацебо контролирани проучвания.</w:t>
      </w:r>
    </w:p>
    <w:p w14:paraId="06EEF360" w14:textId="77777777" w:rsidR="00800A11" w:rsidRDefault="00800A11" w:rsidP="00800A11">
      <w:pPr>
        <w:spacing w:line="240" w:lineRule="auto"/>
        <w:rPr>
          <w:rFonts w:eastAsia="Times New Roman" w:cs="Arial"/>
          <w:color w:val="000000"/>
          <w:lang w:eastAsia="bg-BG"/>
        </w:rPr>
      </w:pPr>
    </w:p>
    <w:p w14:paraId="0C96E061" w14:textId="263CD61E" w:rsidR="00800A11" w:rsidRPr="00800A11" w:rsidRDefault="00800A11" w:rsidP="00800A11">
      <w:pPr>
        <w:spacing w:line="240" w:lineRule="auto"/>
        <w:rPr>
          <w:rFonts w:eastAsia="Times New Roman" w:cs="Arial"/>
        </w:rPr>
      </w:pPr>
      <w:r w:rsidRPr="00800A11">
        <w:rPr>
          <w:rFonts w:eastAsia="Times New Roman" w:cs="Arial"/>
          <w:color w:val="000000"/>
          <w:lang w:eastAsia="bg-BG"/>
        </w:rPr>
        <w:t>Наблюдаваната вероятност за преживяемост на индивиди, приемащи амбрисентан (група с комбинирано дозиране на амбрисентан) на 1-та, 2-та и 3-та година, е съответно 93%, 85%, 79%.</w:t>
      </w:r>
    </w:p>
    <w:p w14:paraId="2186B3E1" w14:textId="77777777" w:rsidR="00800A11" w:rsidRDefault="00800A11" w:rsidP="00800A11">
      <w:pPr>
        <w:spacing w:line="240" w:lineRule="auto"/>
        <w:rPr>
          <w:rFonts w:eastAsia="Times New Roman" w:cs="Arial"/>
          <w:color w:val="000000"/>
          <w:lang w:eastAsia="bg-BG"/>
        </w:rPr>
      </w:pPr>
    </w:p>
    <w:p w14:paraId="132A9081" w14:textId="17FB5F60"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В открито проучване (АМВ222) амбрисентан е изпитван при 36 пациенти, за да се оцени честотата на повишаване на серумните концентрации на аминотрансферазите при пациенти, които са преустановили лечението с друг ендотелин-рецепторен антагонист поради аминотрансферазни аномалии. По време на лечение в продължение средно на 53 седмици с амбрисентан, при нито един от включените пациенти няма потвърдени данни за серумна </w:t>
      </w:r>
      <w:r w:rsidRPr="00800A11">
        <w:rPr>
          <w:rFonts w:eastAsia="Times New Roman" w:cs="Arial"/>
          <w:color w:val="000000"/>
          <w:lang w:val="en-US"/>
        </w:rPr>
        <w:t>ALT</w:t>
      </w:r>
      <w:r w:rsidRPr="00800A11">
        <w:rPr>
          <w:rFonts w:eastAsia="Times New Roman" w:cs="Arial"/>
          <w:color w:val="000000"/>
          <w:lang w:val="ru-RU"/>
        </w:rPr>
        <w:t xml:space="preserve"> &gt;3</w:t>
      </w:r>
      <w:proofErr w:type="spellStart"/>
      <w:r w:rsidRPr="00800A11">
        <w:rPr>
          <w:rFonts w:eastAsia="Times New Roman" w:cs="Arial"/>
          <w:color w:val="000000"/>
          <w:lang w:val="en-US"/>
        </w:rPr>
        <w:t>xULN</w:t>
      </w:r>
      <w:proofErr w:type="spellEnd"/>
      <w:r w:rsidRPr="00800A11">
        <w:rPr>
          <w:rFonts w:eastAsia="Times New Roman" w:cs="Arial"/>
          <w:color w:val="000000"/>
          <w:lang w:val="ru-RU"/>
        </w:rPr>
        <w:t xml:space="preserve">, </w:t>
      </w:r>
      <w:r w:rsidRPr="00800A11">
        <w:rPr>
          <w:rFonts w:eastAsia="Times New Roman" w:cs="Arial"/>
          <w:color w:val="000000"/>
          <w:lang w:eastAsia="bg-BG"/>
        </w:rPr>
        <w:t xml:space="preserve">налагащи окончателно преустановяване на лечението. През това време при петдесет процента от пациентите концентрацията на амбрисентан е повишена от 5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 xml:space="preserve">на 10 </w:t>
      </w:r>
      <w:r w:rsidRPr="00800A11">
        <w:rPr>
          <w:rFonts w:eastAsia="Times New Roman" w:cs="Arial"/>
          <w:color w:val="000000"/>
          <w:lang w:val="en-US"/>
        </w:rPr>
        <w:t>mg</w:t>
      </w:r>
      <w:r w:rsidRPr="00800A11">
        <w:rPr>
          <w:rFonts w:eastAsia="Times New Roman" w:cs="Arial"/>
          <w:color w:val="000000"/>
          <w:lang w:val="ru-RU"/>
        </w:rPr>
        <w:t>.</w:t>
      </w:r>
    </w:p>
    <w:p w14:paraId="313ED3D5" w14:textId="77777777" w:rsidR="00800A11" w:rsidRDefault="00800A11" w:rsidP="00800A11">
      <w:pPr>
        <w:spacing w:line="240" w:lineRule="auto"/>
        <w:rPr>
          <w:rFonts w:eastAsia="Times New Roman" w:cs="Arial"/>
          <w:color w:val="000000"/>
          <w:lang w:eastAsia="bg-BG"/>
        </w:rPr>
      </w:pPr>
    </w:p>
    <w:p w14:paraId="62F65F3B" w14:textId="47AF7596"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Кумулативната честота на абнормни нива на серумните аминотрансферази </w:t>
      </w:r>
      <w:r w:rsidRPr="00800A11">
        <w:rPr>
          <w:rFonts w:eastAsia="Times New Roman" w:cs="Arial"/>
          <w:color w:val="000000"/>
          <w:lang w:val="ru-RU"/>
        </w:rPr>
        <w:t>&gt;3</w:t>
      </w:r>
      <w:proofErr w:type="spellStart"/>
      <w:r w:rsidRPr="00800A11">
        <w:rPr>
          <w:rFonts w:eastAsia="Times New Roman" w:cs="Arial"/>
          <w:color w:val="000000"/>
          <w:lang w:val="en-US"/>
        </w:rPr>
        <w:t>xULN</w:t>
      </w:r>
      <w:proofErr w:type="spellEnd"/>
      <w:r w:rsidRPr="00800A11">
        <w:rPr>
          <w:rFonts w:eastAsia="Times New Roman" w:cs="Arial"/>
          <w:color w:val="000000"/>
          <w:lang w:val="ru-RU"/>
        </w:rPr>
        <w:t xml:space="preserve"> </w:t>
      </w:r>
      <w:r w:rsidRPr="00800A11">
        <w:rPr>
          <w:rFonts w:eastAsia="Times New Roman" w:cs="Arial"/>
          <w:color w:val="000000"/>
          <w:lang w:eastAsia="bg-BG"/>
        </w:rPr>
        <w:t xml:space="preserve">във всички проучвания фаза 2 и 3 (включително съответни открити продължения) е 17 от 483 пациенти при средна продължителност на експозицията 79,5 седмици. Това е честота от 2,3 събития на 100 пациентогодини експозиция на амбрисентан. В дългосрочно открито проучване с продължение </w:t>
      </w:r>
      <w:r w:rsidRPr="00800A11">
        <w:rPr>
          <w:rFonts w:eastAsia="Times New Roman" w:cs="Arial"/>
          <w:color w:val="000000"/>
          <w:lang w:val="en-US"/>
        </w:rPr>
        <w:t>ARIES</w:t>
      </w:r>
      <w:r w:rsidRPr="00800A11">
        <w:rPr>
          <w:rFonts w:eastAsia="Times New Roman" w:cs="Arial"/>
          <w:color w:val="000000"/>
          <w:lang w:val="ru-RU"/>
        </w:rPr>
        <w:t>-</w:t>
      </w:r>
      <w:r w:rsidRPr="00800A11">
        <w:rPr>
          <w:rFonts w:eastAsia="Times New Roman" w:cs="Arial"/>
          <w:color w:val="000000"/>
          <w:lang w:val="en-US"/>
        </w:rPr>
        <w:t>E</w:t>
      </w:r>
      <w:r w:rsidRPr="00800A11">
        <w:rPr>
          <w:rFonts w:eastAsia="Times New Roman" w:cs="Arial"/>
          <w:color w:val="000000"/>
          <w:lang w:val="ru-RU"/>
        </w:rPr>
        <w:t xml:space="preserve">, </w:t>
      </w:r>
      <w:r w:rsidRPr="00800A11">
        <w:rPr>
          <w:rFonts w:eastAsia="Times New Roman" w:cs="Arial"/>
          <w:color w:val="000000"/>
          <w:lang w:eastAsia="bg-BG"/>
        </w:rPr>
        <w:t xml:space="preserve">през 2-та година, рискът от поява на повишени нива на серумните аминотрансферази </w:t>
      </w:r>
      <w:r w:rsidRPr="00800A11">
        <w:rPr>
          <w:rFonts w:eastAsia="Times New Roman" w:cs="Arial"/>
          <w:color w:val="000000"/>
          <w:lang w:val="ru-RU"/>
        </w:rPr>
        <w:t>&gt;3</w:t>
      </w:r>
      <w:proofErr w:type="spellStart"/>
      <w:r w:rsidRPr="00800A11">
        <w:rPr>
          <w:rFonts w:eastAsia="Times New Roman" w:cs="Arial"/>
          <w:color w:val="000000"/>
          <w:lang w:val="en-US"/>
        </w:rPr>
        <w:t>xULN</w:t>
      </w:r>
      <w:proofErr w:type="spellEnd"/>
      <w:r w:rsidRPr="00800A11">
        <w:rPr>
          <w:rFonts w:eastAsia="Times New Roman" w:cs="Arial"/>
          <w:color w:val="000000"/>
          <w:lang w:val="ru-RU"/>
        </w:rPr>
        <w:t xml:space="preserve"> </w:t>
      </w:r>
      <w:r w:rsidRPr="00800A11">
        <w:rPr>
          <w:rFonts w:eastAsia="Times New Roman" w:cs="Arial"/>
          <w:color w:val="000000"/>
          <w:lang w:eastAsia="bg-BG"/>
        </w:rPr>
        <w:t>при пациенти, лекувани с амбрисентан е 3,9%.</w:t>
      </w:r>
    </w:p>
    <w:p w14:paraId="199487CD" w14:textId="77777777" w:rsidR="00800A11" w:rsidRDefault="00800A11" w:rsidP="00800A11">
      <w:pPr>
        <w:spacing w:line="240" w:lineRule="auto"/>
        <w:rPr>
          <w:rFonts w:eastAsia="Times New Roman" w:cs="Arial"/>
          <w:color w:val="000000"/>
          <w:u w:val="single"/>
          <w:lang w:eastAsia="bg-BG"/>
        </w:rPr>
      </w:pPr>
    </w:p>
    <w:p w14:paraId="20B04762" w14:textId="52517223"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Друга клинична информация</w:t>
      </w:r>
    </w:p>
    <w:p w14:paraId="6504D8B6" w14:textId="77777777" w:rsidR="00800A11" w:rsidRDefault="00800A11" w:rsidP="00800A11">
      <w:pPr>
        <w:rPr>
          <w:rFonts w:eastAsia="Times New Roman" w:cs="Arial"/>
          <w:color w:val="000000"/>
          <w:lang w:eastAsia="bg-BG"/>
        </w:rPr>
      </w:pPr>
    </w:p>
    <w:p w14:paraId="57966131" w14:textId="05FAA6A5" w:rsidR="00800A11" w:rsidRDefault="00800A11" w:rsidP="00800A11">
      <w:pPr>
        <w:rPr>
          <w:rFonts w:eastAsia="Times New Roman" w:cs="Arial"/>
          <w:color w:val="000000"/>
          <w:lang w:eastAsia="bg-BG"/>
        </w:rPr>
      </w:pPr>
      <w:r w:rsidRPr="00800A11">
        <w:rPr>
          <w:rFonts w:eastAsia="Times New Roman" w:cs="Arial"/>
          <w:color w:val="000000"/>
          <w:lang w:eastAsia="bg-BG"/>
        </w:rPr>
        <w:t>В проучване фаза 2 (АМВ220) се наблюдава подобрение на хемодинамичните показатели при пациенти с БАХ (</w:t>
      </w:r>
      <w:r w:rsidRPr="00800A11">
        <w:rPr>
          <w:rFonts w:eastAsia="Times New Roman" w:cs="Arial"/>
          <w:color w:val="000000"/>
          <w:lang w:val="en-US"/>
        </w:rPr>
        <w:t>n</w:t>
      </w:r>
      <w:r w:rsidRPr="00800A11">
        <w:rPr>
          <w:rFonts w:eastAsia="Times New Roman" w:cs="Arial"/>
          <w:color w:val="000000"/>
          <w:lang w:eastAsia="bg-BG"/>
        </w:rPr>
        <w:t>=29) след 12 седмици. Лечението с амбрисентан води до повишаване на средния сърдечен индекс, понижаване на средното налягане в белодробната артерия и понижаване на средното белодробносъдово съпротивление.</w:t>
      </w:r>
    </w:p>
    <w:p w14:paraId="7BD7CA53" w14:textId="2079CFCF" w:rsidR="00800A11" w:rsidRDefault="00800A11" w:rsidP="00800A11">
      <w:pPr>
        <w:rPr>
          <w:rFonts w:eastAsia="Times New Roman" w:cs="Arial"/>
          <w:color w:val="000000"/>
          <w:lang w:eastAsia="bg-BG"/>
        </w:rPr>
      </w:pPr>
    </w:p>
    <w:p w14:paraId="0548CDE8" w14:textId="77777777"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При лечение с амбрисентан е съобщено понижаване на систоличното и диастоличното кръвно налягане. В плацебо контролирани клинични изпитвания, с продължителност 12 седмици, средното понижаване на систоличното и диастоличното кръвно налягане от изходното ниво до края на лечението, е съответно 3 </w:t>
      </w:r>
      <w:r w:rsidRPr="00800A11">
        <w:rPr>
          <w:rFonts w:eastAsia="Times New Roman" w:cs="Arial"/>
          <w:color w:val="000000"/>
          <w:u w:val="single"/>
          <w:lang w:val="en-US"/>
        </w:rPr>
        <w:t>mm</w:t>
      </w:r>
      <w:r w:rsidRPr="00800A11">
        <w:rPr>
          <w:rFonts w:eastAsia="Times New Roman" w:cs="Arial"/>
          <w:color w:val="000000"/>
          <w:lang w:val="ru-RU"/>
        </w:rPr>
        <w:t xml:space="preserve"> </w:t>
      </w:r>
      <w:r w:rsidRPr="00800A11">
        <w:rPr>
          <w:rFonts w:eastAsia="Times New Roman" w:cs="Arial"/>
          <w:color w:val="000000"/>
          <w:lang w:val="en-US"/>
        </w:rPr>
        <w:t>Hg</w:t>
      </w:r>
      <w:r w:rsidRPr="00800A11">
        <w:rPr>
          <w:rFonts w:eastAsia="Times New Roman" w:cs="Arial"/>
          <w:color w:val="000000"/>
          <w:lang w:val="ru-RU"/>
        </w:rPr>
        <w:t xml:space="preserve"> </w:t>
      </w:r>
      <w:r w:rsidRPr="00800A11">
        <w:rPr>
          <w:rFonts w:eastAsia="Times New Roman" w:cs="Arial"/>
          <w:color w:val="000000"/>
          <w:lang w:eastAsia="bg-BG"/>
        </w:rPr>
        <w:t xml:space="preserve">и 4,2 </w:t>
      </w:r>
      <w:r w:rsidRPr="00800A11">
        <w:rPr>
          <w:rFonts w:eastAsia="Times New Roman" w:cs="Arial"/>
          <w:color w:val="000000"/>
          <w:lang w:val="en-US"/>
        </w:rPr>
        <w:t>mm</w:t>
      </w:r>
      <w:r w:rsidRPr="00800A11">
        <w:rPr>
          <w:rFonts w:eastAsia="Times New Roman" w:cs="Arial"/>
          <w:color w:val="000000"/>
          <w:lang w:val="ru-RU"/>
        </w:rPr>
        <w:t xml:space="preserve"> </w:t>
      </w:r>
      <w:r w:rsidRPr="00800A11">
        <w:rPr>
          <w:rFonts w:eastAsia="Times New Roman" w:cs="Arial"/>
          <w:color w:val="000000"/>
          <w:lang w:val="en-US"/>
        </w:rPr>
        <w:t>Hg</w:t>
      </w:r>
      <w:r w:rsidRPr="00800A11">
        <w:rPr>
          <w:rFonts w:eastAsia="Times New Roman" w:cs="Arial"/>
          <w:color w:val="000000"/>
          <w:lang w:val="ru-RU"/>
        </w:rPr>
        <w:t xml:space="preserve">. </w:t>
      </w:r>
      <w:r w:rsidRPr="00800A11">
        <w:rPr>
          <w:rFonts w:eastAsia="Times New Roman" w:cs="Arial"/>
          <w:color w:val="000000"/>
          <w:lang w:eastAsia="bg-BG"/>
        </w:rPr>
        <w:t xml:space="preserve">В дългосрочно открито проучване </w:t>
      </w:r>
      <w:r w:rsidRPr="00800A11">
        <w:rPr>
          <w:rFonts w:eastAsia="Times New Roman" w:cs="Arial"/>
          <w:color w:val="000000"/>
          <w:lang w:val="en-US"/>
        </w:rPr>
        <w:t>ARIES</w:t>
      </w:r>
      <w:r w:rsidRPr="00800A11">
        <w:rPr>
          <w:rFonts w:eastAsia="Times New Roman" w:cs="Arial"/>
          <w:color w:val="000000"/>
          <w:lang w:eastAsia="bg-BG"/>
        </w:rPr>
        <w:t>-Е, средното понижаване на систоличното и диастоличното кръвно налягане, продължава до 4 години от лечението с амбрисентан.</w:t>
      </w:r>
    </w:p>
    <w:p w14:paraId="6F3CBAFC" w14:textId="77777777" w:rsidR="00800A11" w:rsidRDefault="00800A11" w:rsidP="00800A11">
      <w:pPr>
        <w:spacing w:line="240" w:lineRule="auto"/>
        <w:rPr>
          <w:rFonts w:eastAsia="Times New Roman" w:cs="Arial"/>
          <w:color w:val="000000"/>
          <w:lang w:eastAsia="bg-BG"/>
        </w:rPr>
      </w:pPr>
    </w:p>
    <w:p w14:paraId="550FE1C5" w14:textId="37CA8428"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По време на проучване за лекарствено взаимодействие при здрави доброволци не са наблюдавани клинично значими ефекти върху фармакокинетиката на амбрисентан или силденафил и комбинацията е понасяна добре. Броят на пациентите, които са приемали едновременно амбрисентан и силденафил в </w:t>
      </w:r>
      <w:r w:rsidRPr="00800A11">
        <w:rPr>
          <w:rFonts w:eastAsia="Times New Roman" w:cs="Arial"/>
          <w:color w:val="000000"/>
          <w:lang w:val="en-US"/>
        </w:rPr>
        <w:t>ARIES</w:t>
      </w:r>
      <w:r w:rsidRPr="00800A11">
        <w:rPr>
          <w:rFonts w:eastAsia="Times New Roman" w:cs="Arial"/>
          <w:color w:val="000000"/>
          <w:lang w:val="ru-RU"/>
        </w:rPr>
        <w:t>-</w:t>
      </w:r>
      <w:r w:rsidRPr="00800A11">
        <w:rPr>
          <w:rFonts w:eastAsia="Times New Roman" w:cs="Arial"/>
          <w:color w:val="000000"/>
          <w:lang w:val="en-US"/>
        </w:rPr>
        <w:t>E</w:t>
      </w:r>
      <w:r w:rsidRPr="00800A11">
        <w:rPr>
          <w:rFonts w:eastAsia="Times New Roman" w:cs="Arial"/>
          <w:color w:val="000000"/>
          <w:lang w:val="ru-RU"/>
        </w:rPr>
        <w:t xml:space="preserve"> </w:t>
      </w:r>
      <w:r w:rsidRPr="00800A11">
        <w:rPr>
          <w:rFonts w:eastAsia="Times New Roman" w:cs="Arial"/>
          <w:color w:val="000000"/>
          <w:lang w:eastAsia="bg-BG"/>
        </w:rPr>
        <w:t>и АМВ222 е съответно 22 (5,7%) и 17 (47%). При тези пациенти не са установени допълнителни проблеми по отношение на безопасността.</w:t>
      </w:r>
    </w:p>
    <w:p w14:paraId="75842FFA" w14:textId="77777777" w:rsidR="00800A11" w:rsidRDefault="00800A11" w:rsidP="00800A11">
      <w:pPr>
        <w:spacing w:line="240" w:lineRule="auto"/>
        <w:rPr>
          <w:rFonts w:eastAsia="Times New Roman" w:cs="Arial"/>
          <w:color w:val="000000"/>
          <w:u w:val="single"/>
          <w:lang w:eastAsia="bg-BG"/>
        </w:rPr>
      </w:pPr>
    </w:p>
    <w:p w14:paraId="5D552E03" w14:textId="07DE4831" w:rsidR="00800A11" w:rsidRPr="00800A11" w:rsidRDefault="00800A11" w:rsidP="00800A11">
      <w:pPr>
        <w:spacing w:line="240" w:lineRule="auto"/>
        <w:rPr>
          <w:rFonts w:eastAsia="Times New Roman" w:cs="Arial"/>
        </w:rPr>
      </w:pPr>
      <w:r w:rsidRPr="00800A11">
        <w:rPr>
          <w:rFonts w:eastAsia="Times New Roman" w:cs="Arial"/>
          <w:color w:val="000000"/>
          <w:u w:val="single"/>
          <w:lang w:eastAsia="bg-BG"/>
        </w:rPr>
        <w:t>Клинична ефикасност в комбинация с тадалафил</w:t>
      </w:r>
    </w:p>
    <w:p w14:paraId="655B0794" w14:textId="77777777" w:rsidR="00800A11" w:rsidRDefault="00800A11" w:rsidP="00800A11">
      <w:pPr>
        <w:spacing w:line="240" w:lineRule="auto"/>
        <w:rPr>
          <w:rFonts w:eastAsia="Times New Roman" w:cs="Arial"/>
          <w:color w:val="000000"/>
          <w:lang w:eastAsia="bg-BG"/>
        </w:rPr>
      </w:pPr>
    </w:p>
    <w:p w14:paraId="27D31510" w14:textId="6B318227" w:rsidR="00800A11" w:rsidRPr="00800A11" w:rsidRDefault="00800A11" w:rsidP="00800A11">
      <w:pPr>
        <w:spacing w:line="240" w:lineRule="auto"/>
        <w:rPr>
          <w:rFonts w:eastAsia="Times New Roman" w:cs="Arial"/>
        </w:rPr>
      </w:pPr>
      <w:r w:rsidRPr="00800A11">
        <w:rPr>
          <w:rFonts w:eastAsia="Times New Roman" w:cs="Arial"/>
          <w:color w:val="000000"/>
          <w:lang w:eastAsia="bg-BG"/>
        </w:rPr>
        <w:t>Проведено е многоцентрово, двойно-сляпо, с активна контрола, насочвано от събития, фаза 3 проучване по отношение на изхода (АМВ1</w:t>
      </w:r>
      <w:r w:rsidRPr="00800A11">
        <w:rPr>
          <w:rFonts w:eastAsia="Times New Roman" w:cs="Arial"/>
          <w:color w:val="000000"/>
          <w:lang w:val="ru-RU"/>
        </w:rPr>
        <w:t>12565/</w:t>
      </w:r>
      <w:r w:rsidRPr="00800A11">
        <w:rPr>
          <w:rFonts w:eastAsia="Times New Roman" w:cs="Arial"/>
          <w:color w:val="000000"/>
          <w:lang w:val="en-US"/>
        </w:rPr>
        <w:t>AMBITION</w:t>
      </w:r>
      <w:r w:rsidRPr="00800A11">
        <w:rPr>
          <w:rFonts w:eastAsia="Times New Roman" w:cs="Arial"/>
          <w:color w:val="000000"/>
          <w:lang w:val="ru-RU"/>
        </w:rPr>
        <w:t xml:space="preserve">), </w:t>
      </w:r>
      <w:r w:rsidRPr="00800A11">
        <w:rPr>
          <w:rFonts w:eastAsia="Times New Roman" w:cs="Arial"/>
          <w:color w:val="000000"/>
          <w:lang w:eastAsia="bg-BG"/>
        </w:rPr>
        <w:t xml:space="preserve">за оценяване на ефикасността на начална комбинация на амбрисентан с тадалафил спрямо монотерапия с амбрисентан или тадалафил, при нелекувани преди това 500 пациенти с БАХ, рандомизирани съответно 2:1:1. Пито един от пациентите не е получавал самостоятелно плацебо. Първичният анализ е групата на комбинирана терапия спрямо сборни групи на монотерапия. Направени са също и подкрепящи сравнения на групата на комбинирана терапия спрямо групите на индивидуална монотерапия. Пациенти с тежка анемия, задържане на течности или редки заболявания на ретината са изключени съобразно критериите на изследователите. Пациенти със стойности на </w:t>
      </w:r>
      <w:r w:rsidRPr="00800A11">
        <w:rPr>
          <w:rFonts w:eastAsia="Times New Roman" w:cs="Arial"/>
          <w:color w:val="000000"/>
          <w:lang w:val="en-US"/>
        </w:rPr>
        <w:t>ALT</w:t>
      </w:r>
      <w:r w:rsidRPr="00800A11">
        <w:rPr>
          <w:rFonts w:eastAsia="Times New Roman" w:cs="Arial"/>
          <w:color w:val="000000"/>
          <w:lang w:val="ru-RU"/>
        </w:rPr>
        <w:t xml:space="preserve"> </w:t>
      </w:r>
      <w:r w:rsidRPr="00800A11">
        <w:rPr>
          <w:rFonts w:eastAsia="Times New Roman" w:cs="Arial"/>
          <w:color w:val="000000"/>
          <w:lang w:eastAsia="bg-BG"/>
        </w:rPr>
        <w:t xml:space="preserve">и </w:t>
      </w:r>
      <w:r w:rsidRPr="00800A11">
        <w:rPr>
          <w:rFonts w:eastAsia="Times New Roman" w:cs="Arial"/>
          <w:color w:val="000000"/>
          <w:lang w:val="en-US"/>
        </w:rPr>
        <w:t>AST</w:t>
      </w:r>
      <w:r w:rsidRPr="00800A11">
        <w:rPr>
          <w:rFonts w:eastAsia="Times New Roman" w:cs="Arial"/>
          <w:color w:val="000000"/>
          <w:lang w:val="ru-RU"/>
        </w:rPr>
        <w:t xml:space="preserve"> &gt;2</w:t>
      </w:r>
      <w:proofErr w:type="spellStart"/>
      <w:r w:rsidRPr="00800A11">
        <w:rPr>
          <w:rFonts w:eastAsia="Times New Roman" w:cs="Arial"/>
          <w:color w:val="000000"/>
          <w:lang w:val="en-US"/>
        </w:rPr>
        <w:t>xULN</w:t>
      </w:r>
      <w:proofErr w:type="spellEnd"/>
      <w:r w:rsidRPr="00800A11">
        <w:rPr>
          <w:rFonts w:eastAsia="Times New Roman" w:cs="Arial"/>
          <w:color w:val="000000"/>
          <w:lang w:val="ru-RU"/>
        </w:rPr>
        <w:t xml:space="preserve"> </w:t>
      </w:r>
      <w:r w:rsidRPr="00800A11">
        <w:rPr>
          <w:rFonts w:eastAsia="Times New Roman" w:cs="Arial"/>
          <w:color w:val="000000"/>
          <w:lang w:eastAsia="bg-BG"/>
        </w:rPr>
        <w:t>на изходно ниво са също изключени.</w:t>
      </w:r>
    </w:p>
    <w:p w14:paraId="2F2E6C15" w14:textId="77777777" w:rsidR="00800A11" w:rsidRDefault="00800A11" w:rsidP="00800A11">
      <w:pPr>
        <w:spacing w:line="240" w:lineRule="auto"/>
        <w:rPr>
          <w:rFonts w:eastAsia="Times New Roman" w:cs="Arial"/>
          <w:color w:val="000000"/>
          <w:lang w:eastAsia="bg-BG"/>
        </w:rPr>
      </w:pPr>
    </w:p>
    <w:p w14:paraId="67DBD6D5" w14:textId="703EAAE1"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На изходно ниво 96% от пациентите не са лекувани преди това с никакво специфично за БАХ лечение, а средното време от поставяне на диагнозата до включване в проучването е 22 дни. Пациентите са започнали с 5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 xml:space="preserve">амбрисентан и 20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 xml:space="preserve">тадалафил и са титрирани до 40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 xml:space="preserve">тадалафил на 4-та седмица и до 10 </w:t>
      </w:r>
      <w:r w:rsidRPr="00800A11">
        <w:rPr>
          <w:rFonts w:eastAsia="Times New Roman" w:cs="Arial"/>
          <w:color w:val="000000"/>
          <w:lang w:val="en-US"/>
        </w:rPr>
        <w:t>mg</w:t>
      </w:r>
      <w:r w:rsidRPr="00800A11">
        <w:rPr>
          <w:rFonts w:eastAsia="Times New Roman" w:cs="Arial"/>
          <w:color w:val="000000"/>
          <w:lang w:val="ru-RU"/>
        </w:rPr>
        <w:t xml:space="preserve"> </w:t>
      </w:r>
      <w:r w:rsidRPr="00800A11">
        <w:rPr>
          <w:rFonts w:eastAsia="Times New Roman" w:cs="Arial"/>
          <w:color w:val="000000"/>
          <w:lang w:eastAsia="bg-BG"/>
        </w:rPr>
        <w:t>амбрисентан на 8-ма седмица, освен ако не е имало проблеми с поносимостта. Продължителността на средното двойно-сляпо лечение при комбинираната терапия е по-голямо от 1,5 години.</w:t>
      </w:r>
    </w:p>
    <w:p w14:paraId="304B7211" w14:textId="77777777" w:rsidR="00800A11" w:rsidRDefault="00800A11" w:rsidP="00800A11">
      <w:pPr>
        <w:spacing w:line="240" w:lineRule="auto"/>
        <w:rPr>
          <w:rFonts w:eastAsia="Times New Roman" w:cs="Arial"/>
          <w:color w:val="000000"/>
          <w:lang w:eastAsia="bg-BG"/>
        </w:rPr>
      </w:pPr>
    </w:p>
    <w:p w14:paraId="77CDA947" w14:textId="22F51C4D" w:rsidR="00800A11" w:rsidRPr="00800A11" w:rsidRDefault="00800A11" w:rsidP="00800A11">
      <w:pPr>
        <w:spacing w:line="240" w:lineRule="auto"/>
        <w:rPr>
          <w:rFonts w:eastAsia="Times New Roman" w:cs="Arial"/>
        </w:rPr>
      </w:pPr>
      <w:r w:rsidRPr="00800A11">
        <w:rPr>
          <w:rFonts w:eastAsia="Times New Roman" w:cs="Arial"/>
          <w:color w:val="000000"/>
          <w:lang w:eastAsia="bg-BG"/>
        </w:rPr>
        <w:t>Първичната крайна точка е времето до първа поява на събитие на клиничен неуспех, определено като:</w:t>
      </w:r>
    </w:p>
    <w:p w14:paraId="4BA52F73" w14:textId="77777777" w:rsidR="00800A11" w:rsidRPr="00800A11" w:rsidRDefault="00800A11" w:rsidP="00800A11">
      <w:pPr>
        <w:pStyle w:val="ListParagraph"/>
        <w:numPr>
          <w:ilvl w:val="0"/>
          <w:numId w:val="36"/>
        </w:numPr>
        <w:spacing w:line="240" w:lineRule="auto"/>
        <w:rPr>
          <w:rFonts w:eastAsia="Times New Roman" w:cs="Arial"/>
        </w:rPr>
      </w:pPr>
      <w:r w:rsidRPr="00800A11">
        <w:rPr>
          <w:rFonts w:eastAsia="Times New Roman" w:cs="Arial"/>
          <w:color w:val="000000"/>
          <w:lang w:eastAsia="bg-BG"/>
        </w:rPr>
        <w:t xml:space="preserve">смърт или </w:t>
      </w:r>
    </w:p>
    <w:p w14:paraId="5580E7F9" w14:textId="77777777" w:rsidR="00800A11" w:rsidRPr="00800A11" w:rsidRDefault="00800A11" w:rsidP="00800A11">
      <w:pPr>
        <w:pStyle w:val="ListParagraph"/>
        <w:numPr>
          <w:ilvl w:val="0"/>
          <w:numId w:val="36"/>
        </w:numPr>
        <w:spacing w:line="240" w:lineRule="auto"/>
        <w:rPr>
          <w:rFonts w:eastAsia="Times New Roman" w:cs="Arial"/>
        </w:rPr>
      </w:pPr>
      <w:r w:rsidRPr="00800A11">
        <w:rPr>
          <w:rFonts w:eastAsia="Times New Roman" w:cs="Arial"/>
          <w:color w:val="000000"/>
          <w:lang w:eastAsia="bg-BG"/>
        </w:rPr>
        <w:t xml:space="preserve">хоспитализация поради влошаване на БАХ, </w:t>
      </w:r>
    </w:p>
    <w:p w14:paraId="188F4545" w14:textId="77777777" w:rsidR="00800A11" w:rsidRPr="00800A11" w:rsidRDefault="00800A11" w:rsidP="00800A11">
      <w:pPr>
        <w:pStyle w:val="ListParagraph"/>
        <w:numPr>
          <w:ilvl w:val="0"/>
          <w:numId w:val="36"/>
        </w:numPr>
        <w:spacing w:line="240" w:lineRule="auto"/>
        <w:rPr>
          <w:rFonts w:eastAsia="Times New Roman" w:cs="Arial"/>
        </w:rPr>
      </w:pPr>
      <w:r w:rsidRPr="00800A11">
        <w:rPr>
          <w:rFonts w:eastAsia="Times New Roman" w:cs="Arial"/>
          <w:color w:val="000000"/>
          <w:lang w:eastAsia="bg-BG"/>
        </w:rPr>
        <w:t xml:space="preserve">прогресия на заболяването, </w:t>
      </w:r>
    </w:p>
    <w:p w14:paraId="27E40B52" w14:textId="4D5031B2" w:rsidR="00800A11" w:rsidRPr="00800A11" w:rsidRDefault="00800A11" w:rsidP="00800A11">
      <w:pPr>
        <w:pStyle w:val="ListParagraph"/>
        <w:numPr>
          <w:ilvl w:val="0"/>
          <w:numId w:val="36"/>
        </w:numPr>
        <w:spacing w:line="240" w:lineRule="auto"/>
        <w:rPr>
          <w:rFonts w:eastAsia="Times New Roman" w:cs="Arial"/>
        </w:rPr>
      </w:pPr>
      <w:r w:rsidRPr="00800A11">
        <w:rPr>
          <w:rFonts w:eastAsia="Times New Roman" w:cs="Arial"/>
          <w:color w:val="000000"/>
          <w:lang w:eastAsia="bg-BG"/>
        </w:rPr>
        <w:t>незадоволителен дългосрочен клиничен отговор.</w:t>
      </w:r>
    </w:p>
    <w:p w14:paraId="68FFC2EE" w14:textId="77777777" w:rsidR="00800A11" w:rsidRDefault="00800A11" w:rsidP="00800A11">
      <w:pPr>
        <w:spacing w:line="240" w:lineRule="auto"/>
        <w:rPr>
          <w:rFonts w:eastAsia="Times New Roman" w:cs="Arial"/>
          <w:color w:val="000000"/>
          <w:lang w:eastAsia="bg-BG"/>
        </w:rPr>
      </w:pPr>
    </w:p>
    <w:p w14:paraId="72930C72" w14:textId="4B61261B" w:rsidR="00800A11" w:rsidRPr="00800A11" w:rsidRDefault="00800A11" w:rsidP="00800A11">
      <w:pPr>
        <w:spacing w:line="240" w:lineRule="auto"/>
        <w:rPr>
          <w:rFonts w:eastAsia="Times New Roman" w:cs="Arial"/>
        </w:rPr>
      </w:pPr>
      <w:r w:rsidRPr="00800A11">
        <w:rPr>
          <w:rFonts w:eastAsia="Times New Roman" w:cs="Arial"/>
          <w:color w:val="000000"/>
          <w:lang w:eastAsia="bg-BG"/>
        </w:rPr>
        <w:t xml:space="preserve">Средната възраст на всички пациенти е 54 години </w:t>
      </w:r>
      <w:r w:rsidRPr="00800A11">
        <w:rPr>
          <w:rFonts w:eastAsia="Times New Roman" w:cs="Arial"/>
          <w:color w:val="000000"/>
          <w:lang w:val="ru-RU"/>
        </w:rPr>
        <w:t>(</w:t>
      </w:r>
      <w:r w:rsidRPr="00800A11">
        <w:rPr>
          <w:rFonts w:eastAsia="Times New Roman" w:cs="Arial"/>
          <w:color w:val="000000"/>
          <w:lang w:val="en-US"/>
        </w:rPr>
        <w:t>SD</w:t>
      </w:r>
      <w:r w:rsidRPr="00800A11">
        <w:rPr>
          <w:rFonts w:eastAsia="Times New Roman" w:cs="Arial"/>
          <w:color w:val="000000"/>
          <w:lang w:val="ru-RU"/>
        </w:rPr>
        <w:t xml:space="preserve"> </w:t>
      </w:r>
      <w:r w:rsidRPr="00800A11">
        <w:rPr>
          <w:rFonts w:eastAsia="Times New Roman" w:cs="Arial"/>
          <w:color w:val="000000"/>
          <w:lang w:eastAsia="bg-BG"/>
        </w:rPr>
        <w:t xml:space="preserve">15; диапазон 18-75 години). На изходно ниво пациентите са с ФК II (31%) и ФК III (69%) по СЗО. Най-честата етиология в </w:t>
      </w:r>
      <w:r w:rsidRPr="00800A11">
        <w:rPr>
          <w:rFonts w:eastAsia="Times New Roman" w:cs="Arial"/>
          <w:color w:val="000000"/>
          <w:lang w:eastAsia="bg-BG"/>
        </w:rPr>
        <w:lastRenderedPageBreak/>
        <w:t xml:space="preserve">проучваната популация са идиопатична или наследствена БАХ (56%), следвани от БАХ, дължаща се заболявания на съединителната тъкан (37%), БАХ, свързана с лекарства и токсини (3%), коригирано неусложнено вродено сърдечно заболяване (2%) и </w:t>
      </w:r>
      <w:r w:rsidRPr="00800A11">
        <w:rPr>
          <w:rFonts w:eastAsia="Times New Roman" w:cs="Arial"/>
          <w:color w:val="000000"/>
          <w:lang w:val="en-US"/>
        </w:rPr>
        <w:t>HIV</w:t>
      </w:r>
      <w:r w:rsidRPr="00800A11">
        <w:rPr>
          <w:rFonts w:eastAsia="Times New Roman" w:cs="Arial"/>
          <w:color w:val="000000"/>
          <w:lang w:val="ru-RU"/>
        </w:rPr>
        <w:t xml:space="preserve"> </w:t>
      </w:r>
      <w:r w:rsidRPr="00800A11">
        <w:rPr>
          <w:rFonts w:eastAsia="Times New Roman" w:cs="Arial"/>
          <w:color w:val="000000"/>
          <w:lang w:eastAsia="bg-BG"/>
        </w:rPr>
        <w:t xml:space="preserve">(2%). Пациенти с ФК </w:t>
      </w:r>
      <w:r w:rsidRPr="00800A11">
        <w:rPr>
          <w:rFonts w:eastAsia="Times New Roman" w:cs="Arial"/>
          <w:color w:val="000000"/>
          <w:lang w:val="en-US"/>
        </w:rPr>
        <w:t>II</w:t>
      </w:r>
      <w:r w:rsidRPr="00800A11">
        <w:rPr>
          <w:rFonts w:eastAsia="Times New Roman" w:cs="Arial"/>
          <w:color w:val="000000"/>
          <w:lang w:eastAsia="bg-BG"/>
        </w:rPr>
        <w:t xml:space="preserve"> и III по СЗО имат средно </w:t>
      </w:r>
      <w:r w:rsidRPr="00800A11">
        <w:rPr>
          <w:rFonts w:eastAsia="Times New Roman" w:cs="Arial"/>
          <w:color w:val="000000"/>
          <w:lang w:val="ru-RU"/>
        </w:rPr>
        <w:t>6</w:t>
      </w:r>
      <w:r w:rsidRPr="00800A11">
        <w:rPr>
          <w:rFonts w:eastAsia="Times New Roman" w:cs="Arial"/>
          <w:color w:val="000000"/>
          <w:lang w:val="en-US"/>
        </w:rPr>
        <w:t>MWD</w:t>
      </w:r>
      <w:r w:rsidRPr="00800A11">
        <w:rPr>
          <w:rFonts w:eastAsia="Times New Roman" w:cs="Arial"/>
          <w:color w:val="000000"/>
          <w:lang w:val="ru-RU"/>
        </w:rPr>
        <w:t xml:space="preserve"> </w:t>
      </w:r>
      <w:r w:rsidRPr="00800A11">
        <w:rPr>
          <w:rFonts w:eastAsia="Times New Roman" w:cs="Arial"/>
          <w:color w:val="000000"/>
          <w:lang w:eastAsia="bg-BG"/>
        </w:rPr>
        <w:t>353 метра на изходно ниво.</w:t>
      </w:r>
    </w:p>
    <w:p w14:paraId="353089E8" w14:textId="77777777" w:rsidR="00800A11" w:rsidRDefault="00800A11" w:rsidP="00800A11">
      <w:pPr>
        <w:spacing w:line="240" w:lineRule="auto"/>
        <w:rPr>
          <w:rFonts w:eastAsia="Times New Roman" w:cs="Arial"/>
          <w:i/>
          <w:iCs/>
          <w:color w:val="000000"/>
          <w:u w:val="single"/>
          <w:lang w:eastAsia="bg-BG"/>
        </w:rPr>
      </w:pPr>
    </w:p>
    <w:p w14:paraId="0E517272" w14:textId="36E61E98" w:rsidR="00800A11" w:rsidRPr="00800A11" w:rsidRDefault="00800A11" w:rsidP="00800A11">
      <w:pPr>
        <w:spacing w:line="240" w:lineRule="auto"/>
        <w:rPr>
          <w:rFonts w:eastAsia="Times New Roman" w:cs="Arial"/>
        </w:rPr>
      </w:pPr>
      <w:r w:rsidRPr="00800A11">
        <w:rPr>
          <w:rFonts w:eastAsia="Times New Roman" w:cs="Arial"/>
          <w:i/>
          <w:iCs/>
          <w:color w:val="000000"/>
          <w:u w:val="single"/>
          <w:lang w:eastAsia="bg-BG"/>
        </w:rPr>
        <w:t>Крайни точки за изход</w:t>
      </w:r>
    </w:p>
    <w:p w14:paraId="0EEDF4DF" w14:textId="77777777" w:rsidR="00800A11" w:rsidRPr="00800A11" w:rsidRDefault="00800A11" w:rsidP="00800A11">
      <w:pPr>
        <w:rPr>
          <w:sz w:val="24"/>
          <w:szCs w:val="24"/>
        </w:rPr>
      </w:pPr>
      <w:r w:rsidRPr="00800A11">
        <w:rPr>
          <w:rFonts w:cs="Arial"/>
          <w:lang w:eastAsia="bg-BG"/>
        </w:rPr>
        <w:t xml:space="preserve">Лечението с комбинирана терапия води до 50% намаление на риска (коефициент на риск </w:t>
      </w:r>
      <w:r w:rsidRPr="00800A11">
        <w:rPr>
          <w:rFonts w:cs="Arial"/>
          <w:lang w:val="ru-RU"/>
        </w:rPr>
        <w:t>[</w:t>
      </w:r>
      <w:r w:rsidRPr="00800A11">
        <w:rPr>
          <w:rFonts w:cs="Arial"/>
          <w:lang w:val="en-US"/>
        </w:rPr>
        <w:t>HR</w:t>
      </w:r>
      <w:r w:rsidRPr="00800A11">
        <w:rPr>
          <w:rFonts w:cs="Arial"/>
          <w:lang w:val="ru-RU"/>
        </w:rPr>
        <w:t xml:space="preserve">] </w:t>
      </w:r>
      <w:r w:rsidRPr="00800A11">
        <w:rPr>
          <w:rFonts w:cs="Arial"/>
          <w:lang w:eastAsia="bg-BG"/>
        </w:rPr>
        <w:t xml:space="preserve">0,502; 95% </w:t>
      </w:r>
      <w:r w:rsidRPr="00800A11">
        <w:rPr>
          <w:rFonts w:cs="Arial"/>
          <w:lang w:val="en-US"/>
        </w:rPr>
        <w:t>Cl</w:t>
      </w:r>
      <w:r w:rsidRPr="00800A11">
        <w:rPr>
          <w:rFonts w:cs="Arial"/>
          <w:lang w:val="ru-RU"/>
        </w:rPr>
        <w:t xml:space="preserve">: </w:t>
      </w:r>
      <w:r w:rsidRPr="00800A11">
        <w:rPr>
          <w:rFonts w:cs="Arial"/>
          <w:lang w:eastAsia="bg-BG"/>
        </w:rPr>
        <w:t xml:space="preserve">0,348 до 0,724; р=0,0002) за съставната крайна точка за клиничен неуспех до последната визита за оценка в сравнение със сборната група на монотерапия [Фигра </w:t>
      </w:r>
      <w:proofErr w:type="spellStart"/>
      <w:r w:rsidRPr="00800A11">
        <w:rPr>
          <w:rFonts w:cs="Arial"/>
          <w:lang w:val="en-US"/>
        </w:rPr>
        <w:t>kn</w:t>
      </w:r>
      <w:proofErr w:type="spellEnd"/>
      <w:r w:rsidRPr="00800A11">
        <w:rPr>
          <w:rFonts w:cs="Arial"/>
          <w:vertAlign w:val="subscript"/>
          <w:lang w:val="ru-RU"/>
        </w:rPr>
        <w:t xml:space="preserve"> </w:t>
      </w:r>
      <w:r w:rsidRPr="00800A11">
        <w:rPr>
          <w:rFonts w:cs="Arial"/>
          <w:lang w:eastAsia="bg-BG"/>
        </w:rPr>
        <w:t>Таблица 1]. Ефектът от лечението се установява рано и е постоянен, и се дължи</w:t>
      </w:r>
      <w:r w:rsidRPr="00800A11">
        <w:rPr>
          <w:rFonts w:cs="Arial"/>
          <w:lang w:val="ru-RU"/>
        </w:rPr>
        <w:t xml:space="preserve"> </w:t>
      </w:r>
      <w:r w:rsidRPr="00800A11">
        <w:rPr>
          <w:rFonts w:cs="Arial"/>
          <w:lang w:eastAsia="bg-BG"/>
        </w:rPr>
        <w:t>на 63% намаление на хоспитализациите при комбинираната терапия. Ефикасността на комбинираната терапия върху първичната крайна точка е в съответствие със сравнението с индивидуалната монотерапия и в подгрупите по възраст, етнически произход, географски регион етиология</w:t>
      </w:r>
      <w:r>
        <w:rPr>
          <w:rFonts w:cs="Arial"/>
          <w:lang w:eastAsia="bg-BG"/>
        </w:rPr>
        <w:t xml:space="preserve"> </w:t>
      </w:r>
      <w:r w:rsidRPr="00800A11">
        <w:rPr>
          <w:lang w:eastAsia="bg-BG"/>
        </w:rPr>
        <w:t>(ИБАХ/наследствена БАХ и БАХ, свързана със заболяване на съединителната тъкан). Ефектът за пациентите с ФК II и ФК III е значителен.</w:t>
      </w:r>
    </w:p>
    <w:p w14:paraId="4C2073D4" w14:textId="77777777" w:rsidR="00800A11" w:rsidRDefault="00800A11" w:rsidP="00800A11">
      <w:pPr>
        <w:rPr>
          <w:lang w:eastAsia="bg-BG"/>
        </w:rPr>
      </w:pPr>
    </w:p>
    <w:p w14:paraId="59D7DB4A" w14:textId="49047C46" w:rsidR="00800A11" w:rsidRPr="00800A11" w:rsidRDefault="00800A11" w:rsidP="00800A11">
      <w:pPr>
        <w:rPr>
          <w:sz w:val="24"/>
          <w:szCs w:val="24"/>
        </w:rPr>
      </w:pPr>
      <w:r w:rsidRPr="00800A11">
        <w:rPr>
          <w:lang w:eastAsia="bg-BG"/>
        </w:rPr>
        <w:t>Фигура 1</w:t>
      </w:r>
    </w:p>
    <w:p w14:paraId="7C260333" w14:textId="085ACC25" w:rsidR="00800A11" w:rsidRPr="00800A11" w:rsidRDefault="00800A11" w:rsidP="00800A11">
      <w:pPr>
        <w:rPr>
          <w:rFonts w:eastAsia="Times New Roman" w:cs="Arial"/>
          <w:color w:val="000000"/>
          <w:lang w:eastAsia="bg-BG"/>
        </w:rPr>
      </w:pPr>
      <w:r>
        <w:rPr>
          <w:noProof/>
          <w:lang w:val="en-US"/>
        </w:rPr>
        <w:drawing>
          <wp:inline distT="0" distB="0" distL="0" distR="0" wp14:anchorId="1E564A6F" wp14:editId="0B319F0B">
            <wp:extent cx="5943600" cy="395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952875"/>
                    </a:xfrm>
                    <a:prstGeom prst="rect">
                      <a:avLst/>
                    </a:prstGeom>
                  </pic:spPr>
                </pic:pic>
              </a:graphicData>
            </a:graphic>
          </wp:inline>
        </w:drawing>
      </w:r>
    </w:p>
    <w:p w14:paraId="6BC26BAD" w14:textId="77777777" w:rsidR="00800A11" w:rsidRDefault="00800A11" w:rsidP="00800A11"/>
    <w:p w14:paraId="77BD1E9D" w14:textId="1CA9B9B2" w:rsidR="00800A11" w:rsidRDefault="00800A11" w:rsidP="00800A11">
      <w:r>
        <w:t>Таблица 1</w:t>
      </w:r>
    </w:p>
    <w:tbl>
      <w:tblPr>
        <w:tblStyle w:val="TableGrid"/>
        <w:tblW w:w="0" w:type="auto"/>
        <w:tblLook w:val="04A0" w:firstRow="1" w:lastRow="0" w:firstColumn="1" w:lastColumn="0" w:noHBand="0" w:noVBand="1"/>
      </w:tblPr>
      <w:tblGrid>
        <w:gridCol w:w="2611"/>
        <w:gridCol w:w="1684"/>
        <w:gridCol w:w="1685"/>
        <w:gridCol w:w="1685"/>
        <w:gridCol w:w="1685"/>
      </w:tblGrid>
      <w:tr w:rsidR="00800A11" w14:paraId="04CA2FCB" w14:textId="77777777" w:rsidTr="00681708">
        <w:tc>
          <w:tcPr>
            <w:tcW w:w="2837" w:type="dxa"/>
          </w:tcPr>
          <w:p w14:paraId="624DE3EC" w14:textId="77777777" w:rsidR="00800A11" w:rsidRPr="00800A11" w:rsidRDefault="00800A11" w:rsidP="00800A11"/>
        </w:tc>
        <w:tc>
          <w:tcPr>
            <w:tcW w:w="1684" w:type="dxa"/>
          </w:tcPr>
          <w:p w14:paraId="612DC68C" w14:textId="79E8E575" w:rsidR="00800A11" w:rsidRPr="00800A11" w:rsidRDefault="00800A11" w:rsidP="00800A11">
            <w:r w:rsidRPr="00800A11">
              <w:rPr>
                <w:b/>
                <w:bCs/>
              </w:rPr>
              <w:t xml:space="preserve">Амбрисентан + тадалафил </w:t>
            </w:r>
            <w:r w:rsidRPr="00800A11">
              <w:rPr>
                <w:b/>
                <w:bCs/>
                <w:lang w:val="en-US"/>
              </w:rPr>
              <w:t>(N=253)</w:t>
            </w:r>
          </w:p>
        </w:tc>
        <w:tc>
          <w:tcPr>
            <w:tcW w:w="1685" w:type="dxa"/>
          </w:tcPr>
          <w:p w14:paraId="3426E5B1" w14:textId="76B7BE33" w:rsidR="00800A11" w:rsidRPr="00800A11" w:rsidRDefault="00800A11" w:rsidP="00800A11">
            <w:r w:rsidRPr="00800A11">
              <w:rPr>
                <w:b/>
                <w:bCs/>
              </w:rPr>
              <w:t xml:space="preserve">Монотерапия Сборни данни </w:t>
            </w:r>
            <w:r w:rsidRPr="00800A11">
              <w:rPr>
                <w:b/>
                <w:bCs/>
                <w:lang w:val="en-US"/>
              </w:rPr>
              <w:t>(N=247)</w:t>
            </w:r>
          </w:p>
        </w:tc>
        <w:tc>
          <w:tcPr>
            <w:tcW w:w="1685" w:type="dxa"/>
          </w:tcPr>
          <w:p w14:paraId="5346824E" w14:textId="02089EBF" w:rsidR="00800A11" w:rsidRPr="00800A11" w:rsidRDefault="00800A11" w:rsidP="00800A11">
            <w:r w:rsidRPr="00800A11">
              <w:rPr>
                <w:b/>
                <w:bCs/>
              </w:rPr>
              <w:t xml:space="preserve">Монотерапия с амбрисентан </w:t>
            </w:r>
            <w:r w:rsidRPr="00800A11">
              <w:rPr>
                <w:b/>
                <w:bCs/>
                <w:lang w:val="en-US"/>
              </w:rPr>
              <w:t>(N=126)</w:t>
            </w:r>
          </w:p>
        </w:tc>
        <w:tc>
          <w:tcPr>
            <w:tcW w:w="1685" w:type="dxa"/>
          </w:tcPr>
          <w:p w14:paraId="5301BD5B" w14:textId="1FBEAE60" w:rsidR="00800A11" w:rsidRPr="00800A11" w:rsidRDefault="00800A11" w:rsidP="00800A11">
            <w:r w:rsidRPr="00800A11">
              <w:rPr>
                <w:b/>
                <w:bCs/>
              </w:rPr>
              <w:t xml:space="preserve">Монотерапия с тадалафил </w:t>
            </w:r>
            <w:r w:rsidRPr="00800A11">
              <w:rPr>
                <w:b/>
                <w:bCs/>
                <w:lang w:val="en-US"/>
              </w:rPr>
              <w:t>(N=121)</w:t>
            </w:r>
          </w:p>
        </w:tc>
      </w:tr>
      <w:tr w:rsidR="00800A11" w14:paraId="518CB018" w14:textId="77777777" w:rsidTr="00800A11">
        <w:tc>
          <w:tcPr>
            <w:tcW w:w="9576" w:type="dxa"/>
            <w:gridSpan w:val="5"/>
          </w:tcPr>
          <w:p w14:paraId="3D647296" w14:textId="77C285D3" w:rsidR="00800A11" w:rsidRPr="00800A11" w:rsidRDefault="00800A11" w:rsidP="00800A11">
            <w:pPr>
              <w:rPr>
                <w:b/>
              </w:rPr>
            </w:pPr>
            <w:r w:rsidRPr="00800A11">
              <w:rPr>
                <w:b/>
              </w:rPr>
              <w:t>Време до първо събитие на клиничен неуспех (Потвърдено)</w:t>
            </w:r>
          </w:p>
        </w:tc>
      </w:tr>
      <w:tr w:rsidR="00800A11" w14:paraId="41F91133" w14:textId="77777777" w:rsidTr="00681708">
        <w:tc>
          <w:tcPr>
            <w:tcW w:w="2837" w:type="dxa"/>
          </w:tcPr>
          <w:p w14:paraId="1D4C6D20" w14:textId="45E8D3BD" w:rsidR="00800A11" w:rsidRDefault="00800A11" w:rsidP="00800A11">
            <w:r>
              <w:lastRenderedPageBreak/>
              <w:t xml:space="preserve">Клиничен неуспех, </w:t>
            </w:r>
            <w:r>
              <w:rPr>
                <w:lang w:val="en-US"/>
              </w:rPr>
              <w:t>n</w:t>
            </w:r>
            <w:r>
              <w:t xml:space="preserve"> (%)</w:t>
            </w:r>
          </w:p>
        </w:tc>
        <w:tc>
          <w:tcPr>
            <w:tcW w:w="1684" w:type="dxa"/>
          </w:tcPr>
          <w:p w14:paraId="18032764" w14:textId="100FE0C4" w:rsidR="00800A11" w:rsidRDefault="00800A11" w:rsidP="00800A11">
            <w:r>
              <w:t>46 (18%)</w:t>
            </w:r>
          </w:p>
        </w:tc>
        <w:tc>
          <w:tcPr>
            <w:tcW w:w="1685" w:type="dxa"/>
          </w:tcPr>
          <w:p w14:paraId="4C0AD4BC" w14:textId="4C2E7048" w:rsidR="00800A11" w:rsidRDefault="00800A11" w:rsidP="00800A11">
            <w:r>
              <w:t>77 (31%)</w:t>
            </w:r>
          </w:p>
        </w:tc>
        <w:tc>
          <w:tcPr>
            <w:tcW w:w="1685" w:type="dxa"/>
          </w:tcPr>
          <w:p w14:paraId="56900CFB" w14:textId="2C965306" w:rsidR="00800A11" w:rsidRDefault="00800A11" w:rsidP="00800A11">
            <w:r>
              <w:t>43 (34)</w:t>
            </w:r>
          </w:p>
        </w:tc>
        <w:tc>
          <w:tcPr>
            <w:tcW w:w="1685" w:type="dxa"/>
          </w:tcPr>
          <w:p w14:paraId="6F4EED78" w14:textId="1DFBD0FE" w:rsidR="00800A11" w:rsidRDefault="00800A11" w:rsidP="00800A11">
            <w:r>
              <w:t>34 (28)</w:t>
            </w:r>
          </w:p>
        </w:tc>
      </w:tr>
      <w:tr w:rsidR="00800A11" w14:paraId="108A0BAA" w14:textId="77777777" w:rsidTr="00681708">
        <w:tc>
          <w:tcPr>
            <w:tcW w:w="2837" w:type="dxa"/>
          </w:tcPr>
          <w:p w14:paraId="0B15AE11" w14:textId="608D6282" w:rsidR="00800A11" w:rsidRDefault="00800A11" w:rsidP="00800A11">
            <w:r>
              <w:t xml:space="preserve">Коефициент на риск (95% </w:t>
            </w:r>
            <w:r>
              <w:rPr>
                <w:lang w:val="en-US"/>
              </w:rPr>
              <w:t>CI)</w:t>
            </w:r>
          </w:p>
        </w:tc>
        <w:tc>
          <w:tcPr>
            <w:tcW w:w="1684" w:type="dxa"/>
          </w:tcPr>
          <w:p w14:paraId="59C3822A" w14:textId="77777777" w:rsidR="00800A11" w:rsidRDefault="00800A11" w:rsidP="00800A11"/>
        </w:tc>
        <w:tc>
          <w:tcPr>
            <w:tcW w:w="1685" w:type="dxa"/>
          </w:tcPr>
          <w:p w14:paraId="3C6563BE" w14:textId="2B0904F2" w:rsidR="00800A11" w:rsidRDefault="00800A11" w:rsidP="00800A11">
            <w:r>
              <w:t>0,502 (0,348,0,724)</w:t>
            </w:r>
          </w:p>
        </w:tc>
        <w:tc>
          <w:tcPr>
            <w:tcW w:w="1685" w:type="dxa"/>
          </w:tcPr>
          <w:p w14:paraId="18B04BBD" w14:textId="140F8B16" w:rsidR="00800A11" w:rsidRDefault="00800A11" w:rsidP="00800A11">
            <w:r>
              <w:t>0,477 (0.314,0.723)</w:t>
            </w:r>
          </w:p>
        </w:tc>
        <w:tc>
          <w:tcPr>
            <w:tcW w:w="1685" w:type="dxa"/>
          </w:tcPr>
          <w:p w14:paraId="3E5651B9" w14:textId="3357964C" w:rsidR="00800A11" w:rsidRDefault="00800A11" w:rsidP="00800A11">
            <w:r>
              <w:t>0,528 (0,338,0,827)</w:t>
            </w:r>
          </w:p>
        </w:tc>
      </w:tr>
      <w:tr w:rsidR="00800A11" w14:paraId="0523215D" w14:textId="77777777" w:rsidTr="00681708">
        <w:tc>
          <w:tcPr>
            <w:tcW w:w="2837" w:type="dxa"/>
          </w:tcPr>
          <w:p w14:paraId="1AEE29FD" w14:textId="422DAA24" w:rsidR="00800A11" w:rsidRDefault="00800A11" w:rsidP="00800A11">
            <w:r>
              <w:t xml:space="preserve">Р-стойност, </w:t>
            </w:r>
            <w:r>
              <w:rPr>
                <w:lang w:val="en-US"/>
              </w:rPr>
              <w:t>Log-rank test</w:t>
            </w:r>
          </w:p>
        </w:tc>
        <w:tc>
          <w:tcPr>
            <w:tcW w:w="1684" w:type="dxa"/>
          </w:tcPr>
          <w:p w14:paraId="3DCD8F59" w14:textId="77777777" w:rsidR="00800A11" w:rsidRDefault="00800A11" w:rsidP="00800A11"/>
        </w:tc>
        <w:tc>
          <w:tcPr>
            <w:tcW w:w="1685" w:type="dxa"/>
          </w:tcPr>
          <w:p w14:paraId="12012B44" w14:textId="6CE4FA52" w:rsidR="00800A11" w:rsidRDefault="00800A11" w:rsidP="00800A11">
            <w:r>
              <w:t>0,0002</w:t>
            </w:r>
          </w:p>
        </w:tc>
        <w:tc>
          <w:tcPr>
            <w:tcW w:w="1685" w:type="dxa"/>
          </w:tcPr>
          <w:p w14:paraId="51E592B0" w14:textId="2764146D" w:rsidR="00800A11" w:rsidRDefault="00800A11" w:rsidP="00800A11">
            <w:r>
              <w:t>0,0004</w:t>
            </w:r>
          </w:p>
        </w:tc>
        <w:tc>
          <w:tcPr>
            <w:tcW w:w="1685" w:type="dxa"/>
          </w:tcPr>
          <w:p w14:paraId="6F39529C" w14:textId="45705E28" w:rsidR="00800A11" w:rsidRDefault="00800A11" w:rsidP="00800A11">
            <w:r>
              <w:t>0,0045</w:t>
            </w:r>
          </w:p>
        </w:tc>
      </w:tr>
      <w:tr w:rsidR="00800A11" w14:paraId="64734E65" w14:textId="77777777" w:rsidTr="00800A11">
        <w:tc>
          <w:tcPr>
            <w:tcW w:w="9576" w:type="dxa"/>
            <w:gridSpan w:val="5"/>
          </w:tcPr>
          <w:p w14:paraId="0BEED523" w14:textId="7B794213" w:rsidR="00800A11" w:rsidRPr="00800A11" w:rsidRDefault="00800A11" w:rsidP="00800A11">
            <w:pPr>
              <w:rPr>
                <w:b/>
              </w:rPr>
            </w:pPr>
            <w:r w:rsidRPr="00800A11">
              <w:rPr>
                <w:b/>
                <w:lang w:eastAsia="bg-BG"/>
              </w:rPr>
              <w:t>Компонент като първо събитие на клиничен неуспех (Потвърдено)</w:t>
            </w:r>
          </w:p>
        </w:tc>
      </w:tr>
      <w:tr w:rsidR="00800A11" w14:paraId="2DF5CE18" w14:textId="77777777" w:rsidTr="00681708">
        <w:tc>
          <w:tcPr>
            <w:tcW w:w="2837" w:type="dxa"/>
          </w:tcPr>
          <w:p w14:paraId="369358C0" w14:textId="04F83E2D" w:rsidR="00800A11" w:rsidRDefault="00800A11" w:rsidP="00800A11">
            <w:r>
              <w:t>Смърт (по всякакви причини)</w:t>
            </w:r>
          </w:p>
        </w:tc>
        <w:tc>
          <w:tcPr>
            <w:tcW w:w="1684" w:type="dxa"/>
          </w:tcPr>
          <w:p w14:paraId="4DC09258" w14:textId="4275EA3E" w:rsidR="00800A11" w:rsidRDefault="00800A11" w:rsidP="00800A11">
            <w:r>
              <w:t>9 (4%)</w:t>
            </w:r>
          </w:p>
        </w:tc>
        <w:tc>
          <w:tcPr>
            <w:tcW w:w="1685" w:type="dxa"/>
          </w:tcPr>
          <w:p w14:paraId="6FBB1694" w14:textId="40A82AC4" w:rsidR="00800A11" w:rsidRDefault="00800A11" w:rsidP="00800A11">
            <w:r>
              <w:t>8 (3%)</w:t>
            </w:r>
          </w:p>
        </w:tc>
        <w:tc>
          <w:tcPr>
            <w:tcW w:w="1685" w:type="dxa"/>
          </w:tcPr>
          <w:p w14:paraId="775E1915" w14:textId="0E7D6FE2" w:rsidR="00800A11" w:rsidRDefault="00800A11" w:rsidP="00800A11">
            <w:r>
              <w:t>2(2)</w:t>
            </w:r>
          </w:p>
        </w:tc>
        <w:tc>
          <w:tcPr>
            <w:tcW w:w="1685" w:type="dxa"/>
          </w:tcPr>
          <w:p w14:paraId="6FF53B6E" w14:textId="7D39D9EF" w:rsidR="00800A11" w:rsidRDefault="00800A11" w:rsidP="00800A11">
            <w:r>
              <w:rPr>
                <w:u w:val="single"/>
              </w:rPr>
              <w:t>6(5)</w:t>
            </w:r>
          </w:p>
        </w:tc>
      </w:tr>
      <w:tr w:rsidR="00800A11" w14:paraId="59AE2666" w14:textId="77777777" w:rsidTr="00681708">
        <w:tc>
          <w:tcPr>
            <w:tcW w:w="2837" w:type="dxa"/>
          </w:tcPr>
          <w:p w14:paraId="49F02E2F" w14:textId="2F6AA5CE" w:rsidR="00800A11" w:rsidRDefault="00800A11" w:rsidP="00800A11">
            <w:r>
              <w:t>Хоспитализация поради влошаване на БАХ</w:t>
            </w:r>
          </w:p>
        </w:tc>
        <w:tc>
          <w:tcPr>
            <w:tcW w:w="1684" w:type="dxa"/>
          </w:tcPr>
          <w:p w14:paraId="1E289525" w14:textId="29678C9B" w:rsidR="00800A11" w:rsidRDefault="00800A11" w:rsidP="00800A11">
            <w:r>
              <w:t>10 (4%)</w:t>
            </w:r>
          </w:p>
        </w:tc>
        <w:tc>
          <w:tcPr>
            <w:tcW w:w="1685" w:type="dxa"/>
          </w:tcPr>
          <w:p w14:paraId="15EE7EA4" w14:textId="0489D5B4" w:rsidR="00800A11" w:rsidRDefault="00800A11" w:rsidP="00800A11">
            <w:r>
              <w:t>30 (12%)</w:t>
            </w:r>
          </w:p>
        </w:tc>
        <w:tc>
          <w:tcPr>
            <w:tcW w:w="1685" w:type="dxa"/>
          </w:tcPr>
          <w:p w14:paraId="797D1704" w14:textId="36D80121" w:rsidR="00800A11" w:rsidRDefault="00800A11" w:rsidP="00800A11">
            <w:r>
              <w:t>18 (14)</w:t>
            </w:r>
          </w:p>
        </w:tc>
        <w:tc>
          <w:tcPr>
            <w:tcW w:w="1685" w:type="dxa"/>
          </w:tcPr>
          <w:p w14:paraId="4EE8F28F" w14:textId="17B0254F" w:rsidR="00800A11" w:rsidRDefault="00800A11" w:rsidP="00800A11">
            <w:r>
              <w:t>12(10)</w:t>
            </w:r>
          </w:p>
        </w:tc>
      </w:tr>
      <w:tr w:rsidR="00800A11" w14:paraId="37E9ED7F" w14:textId="77777777" w:rsidTr="00681708">
        <w:tc>
          <w:tcPr>
            <w:tcW w:w="2837" w:type="dxa"/>
          </w:tcPr>
          <w:p w14:paraId="0903F7B7" w14:textId="5B9404C4" w:rsidR="00800A11" w:rsidRDefault="00800A11" w:rsidP="00800A11">
            <w:r>
              <w:t>Прогресия на заболяването</w:t>
            </w:r>
          </w:p>
        </w:tc>
        <w:tc>
          <w:tcPr>
            <w:tcW w:w="1684" w:type="dxa"/>
          </w:tcPr>
          <w:p w14:paraId="7842E717" w14:textId="5887AE77" w:rsidR="00800A11" w:rsidRDefault="00800A11" w:rsidP="00800A11">
            <w:r>
              <w:t>10 (4%)</w:t>
            </w:r>
          </w:p>
        </w:tc>
        <w:tc>
          <w:tcPr>
            <w:tcW w:w="1685" w:type="dxa"/>
          </w:tcPr>
          <w:p w14:paraId="39A865BA" w14:textId="683CEE35" w:rsidR="00800A11" w:rsidRDefault="00800A11" w:rsidP="00800A11">
            <w:r>
              <w:t>16 (6%)</w:t>
            </w:r>
          </w:p>
        </w:tc>
        <w:tc>
          <w:tcPr>
            <w:tcW w:w="1685" w:type="dxa"/>
          </w:tcPr>
          <w:p w14:paraId="0C535A87" w14:textId="048B6570" w:rsidR="00800A11" w:rsidRDefault="00800A11" w:rsidP="00800A11">
            <w:r>
              <w:t>12 (10)</w:t>
            </w:r>
          </w:p>
        </w:tc>
        <w:tc>
          <w:tcPr>
            <w:tcW w:w="1685" w:type="dxa"/>
          </w:tcPr>
          <w:p w14:paraId="74C4AB3B" w14:textId="72BF28AA" w:rsidR="00800A11" w:rsidRDefault="00800A11" w:rsidP="00800A11">
            <w:r>
              <w:t>4(3)</w:t>
            </w:r>
          </w:p>
        </w:tc>
      </w:tr>
      <w:tr w:rsidR="00800A11" w14:paraId="6147FDF7" w14:textId="77777777" w:rsidTr="00681708">
        <w:tc>
          <w:tcPr>
            <w:tcW w:w="2837" w:type="dxa"/>
          </w:tcPr>
          <w:p w14:paraId="2448ECBE" w14:textId="2A87FDB1" w:rsidR="00800A11" w:rsidRDefault="00800A11" w:rsidP="00800A11">
            <w:r>
              <w:t>Незадоволителен дългосрочен клиничен отговор</w:t>
            </w:r>
          </w:p>
        </w:tc>
        <w:tc>
          <w:tcPr>
            <w:tcW w:w="1684" w:type="dxa"/>
          </w:tcPr>
          <w:p w14:paraId="1CAEF311" w14:textId="3E1C3390" w:rsidR="00800A11" w:rsidRDefault="00800A11" w:rsidP="00800A11">
            <w:r>
              <w:t>17 (7%)</w:t>
            </w:r>
          </w:p>
        </w:tc>
        <w:tc>
          <w:tcPr>
            <w:tcW w:w="1685" w:type="dxa"/>
          </w:tcPr>
          <w:p w14:paraId="7EAF95EF" w14:textId="5AF2E0FF" w:rsidR="00800A11" w:rsidRDefault="00800A11" w:rsidP="00800A11">
            <w:r>
              <w:t>23 (9%)</w:t>
            </w:r>
          </w:p>
        </w:tc>
        <w:tc>
          <w:tcPr>
            <w:tcW w:w="1685" w:type="dxa"/>
          </w:tcPr>
          <w:p w14:paraId="3117EBF5" w14:textId="32AE6DA1" w:rsidR="00800A11" w:rsidRDefault="00800A11" w:rsidP="00800A11">
            <w:r>
              <w:t>11(9)</w:t>
            </w:r>
          </w:p>
        </w:tc>
        <w:tc>
          <w:tcPr>
            <w:tcW w:w="1685" w:type="dxa"/>
          </w:tcPr>
          <w:p w14:paraId="7DC3F2D6" w14:textId="68B08EE8" w:rsidR="00800A11" w:rsidRDefault="00800A11" w:rsidP="00800A11">
            <w:r>
              <w:t>12 (10)</w:t>
            </w:r>
          </w:p>
        </w:tc>
      </w:tr>
      <w:tr w:rsidR="00681708" w14:paraId="71460CDC" w14:textId="77777777" w:rsidTr="00787F3E">
        <w:tc>
          <w:tcPr>
            <w:tcW w:w="9576" w:type="dxa"/>
            <w:gridSpan w:val="5"/>
          </w:tcPr>
          <w:p w14:paraId="2A8CA942" w14:textId="4F617087" w:rsidR="00681708" w:rsidRPr="00681708" w:rsidRDefault="00681708" w:rsidP="00681708">
            <w:pPr>
              <w:rPr>
                <w:b/>
              </w:rPr>
            </w:pPr>
            <w:r w:rsidRPr="00681708">
              <w:rPr>
                <w:b/>
              </w:rPr>
              <w:t>Време до първа хоспитализация поради влошаване на БАХ (Потвърдено)</w:t>
            </w:r>
          </w:p>
        </w:tc>
      </w:tr>
      <w:tr w:rsidR="00681708" w14:paraId="026C28C6" w14:textId="77777777" w:rsidTr="00681708">
        <w:tc>
          <w:tcPr>
            <w:tcW w:w="2837" w:type="dxa"/>
          </w:tcPr>
          <w:p w14:paraId="2768437E" w14:textId="65C5A790" w:rsidR="00681708" w:rsidRDefault="00681708" w:rsidP="00681708">
            <w:r>
              <w:t>Първа хоспитализация, п (%)</w:t>
            </w:r>
          </w:p>
        </w:tc>
        <w:tc>
          <w:tcPr>
            <w:tcW w:w="1684" w:type="dxa"/>
          </w:tcPr>
          <w:p w14:paraId="65F1FE15" w14:textId="6ABA383F" w:rsidR="00681708" w:rsidRDefault="00681708" w:rsidP="00681708">
            <w:r>
              <w:t>19 (8%)</w:t>
            </w:r>
          </w:p>
        </w:tc>
        <w:tc>
          <w:tcPr>
            <w:tcW w:w="1685" w:type="dxa"/>
          </w:tcPr>
          <w:p w14:paraId="0FAD4625" w14:textId="050CA92C" w:rsidR="00681708" w:rsidRDefault="00681708" w:rsidP="00681708">
            <w:r>
              <w:t>44 (</w:t>
            </w:r>
            <w:r w:rsidRPr="00681708">
              <w:t>18%)</w:t>
            </w:r>
          </w:p>
        </w:tc>
        <w:tc>
          <w:tcPr>
            <w:tcW w:w="1685" w:type="dxa"/>
          </w:tcPr>
          <w:p w14:paraId="0568BD1B" w14:textId="51C2C01F" w:rsidR="00681708" w:rsidRDefault="00681708" w:rsidP="00681708">
            <w:r>
              <w:t>27 (21%)</w:t>
            </w:r>
          </w:p>
        </w:tc>
        <w:tc>
          <w:tcPr>
            <w:tcW w:w="1685" w:type="dxa"/>
          </w:tcPr>
          <w:p w14:paraId="1E2B691C" w14:textId="37513583" w:rsidR="00681708" w:rsidRDefault="00681708" w:rsidP="00681708">
            <w:r>
              <w:t>17 (14%)</w:t>
            </w:r>
          </w:p>
        </w:tc>
      </w:tr>
      <w:tr w:rsidR="00681708" w14:paraId="429AED10" w14:textId="77777777" w:rsidTr="00681708">
        <w:tc>
          <w:tcPr>
            <w:tcW w:w="2837" w:type="dxa"/>
          </w:tcPr>
          <w:p w14:paraId="0A64DFFE" w14:textId="417EAAAC" w:rsidR="00681708" w:rsidRDefault="00681708" w:rsidP="00681708">
            <w:r>
              <w:t xml:space="preserve">Коефициент на риск (95% </w:t>
            </w:r>
            <w:r>
              <w:rPr>
                <w:lang w:val="en-US"/>
              </w:rPr>
              <w:t>CI)</w:t>
            </w:r>
          </w:p>
        </w:tc>
        <w:tc>
          <w:tcPr>
            <w:tcW w:w="1684" w:type="dxa"/>
          </w:tcPr>
          <w:p w14:paraId="5AF1BF42" w14:textId="77777777" w:rsidR="00681708" w:rsidRDefault="00681708" w:rsidP="00681708"/>
        </w:tc>
        <w:tc>
          <w:tcPr>
            <w:tcW w:w="1685" w:type="dxa"/>
          </w:tcPr>
          <w:p w14:paraId="0743295A" w14:textId="33665849" w:rsidR="00681708" w:rsidRDefault="00681708" w:rsidP="00681708">
            <w:r>
              <w:t>0,372</w:t>
            </w:r>
          </w:p>
        </w:tc>
        <w:tc>
          <w:tcPr>
            <w:tcW w:w="1685" w:type="dxa"/>
          </w:tcPr>
          <w:p w14:paraId="369618D8" w14:textId="7855AD27" w:rsidR="00681708" w:rsidRDefault="00681708" w:rsidP="00681708">
            <w:r>
              <w:t>0,323</w:t>
            </w:r>
          </w:p>
        </w:tc>
        <w:tc>
          <w:tcPr>
            <w:tcW w:w="1685" w:type="dxa"/>
          </w:tcPr>
          <w:p w14:paraId="3743E452" w14:textId="09E099B2" w:rsidR="00681708" w:rsidRDefault="00681708" w:rsidP="00681708">
            <w:r>
              <w:t>0,442</w:t>
            </w:r>
          </w:p>
        </w:tc>
      </w:tr>
      <w:tr w:rsidR="00681708" w14:paraId="3E5F3131" w14:textId="77777777" w:rsidTr="00681708">
        <w:tc>
          <w:tcPr>
            <w:tcW w:w="2837" w:type="dxa"/>
          </w:tcPr>
          <w:p w14:paraId="4C855F65" w14:textId="08750421" w:rsidR="00681708" w:rsidRDefault="00681708" w:rsidP="00681708">
            <w:r>
              <w:t xml:space="preserve">Р-стойност, Логаритмично трансформиран ренков тест </w:t>
            </w:r>
            <w:r w:rsidRPr="00681708">
              <w:rPr>
                <w:lang w:val="ru-RU"/>
              </w:rPr>
              <w:t>(</w:t>
            </w:r>
            <w:r>
              <w:rPr>
                <w:lang w:val="en-US"/>
              </w:rPr>
              <w:t>Log</w:t>
            </w:r>
            <w:r w:rsidRPr="00681708">
              <w:rPr>
                <w:lang w:val="ru-RU"/>
              </w:rPr>
              <w:t xml:space="preserve"> </w:t>
            </w:r>
            <w:r>
              <w:rPr>
                <w:lang w:val="en-US"/>
              </w:rPr>
              <w:t>rank</w:t>
            </w:r>
            <w:r w:rsidRPr="00681708">
              <w:rPr>
                <w:lang w:val="ru-RU"/>
              </w:rPr>
              <w:t xml:space="preserve"> </w:t>
            </w:r>
            <w:r>
              <w:rPr>
                <w:lang w:val="en-US"/>
              </w:rPr>
              <w:t>test</w:t>
            </w:r>
            <w:r w:rsidRPr="00681708">
              <w:rPr>
                <w:lang w:val="ru-RU"/>
              </w:rPr>
              <w:t>)</w:t>
            </w:r>
          </w:p>
        </w:tc>
        <w:tc>
          <w:tcPr>
            <w:tcW w:w="1684" w:type="dxa"/>
          </w:tcPr>
          <w:p w14:paraId="33A984B4" w14:textId="77777777" w:rsidR="00681708" w:rsidRDefault="00681708" w:rsidP="00681708"/>
        </w:tc>
        <w:tc>
          <w:tcPr>
            <w:tcW w:w="1685" w:type="dxa"/>
          </w:tcPr>
          <w:p w14:paraId="0954AD29" w14:textId="0C2C1DE3" w:rsidR="00681708" w:rsidRDefault="00681708" w:rsidP="00681708">
            <w:r>
              <w:t>0,0002</w:t>
            </w:r>
          </w:p>
        </w:tc>
        <w:tc>
          <w:tcPr>
            <w:tcW w:w="1685" w:type="dxa"/>
          </w:tcPr>
          <w:p w14:paraId="1083A11D" w14:textId="13835446" w:rsidR="00681708" w:rsidRDefault="00681708" w:rsidP="00681708">
            <w:r>
              <w:t>&lt;0,0001</w:t>
            </w:r>
          </w:p>
        </w:tc>
        <w:tc>
          <w:tcPr>
            <w:tcW w:w="1685" w:type="dxa"/>
          </w:tcPr>
          <w:p w14:paraId="24C89740" w14:textId="3044CDDC" w:rsidR="00681708" w:rsidRDefault="00681708" w:rsidP="00681708">
            <w:r>
              <w:t>0,0124</w:t>
            </w:r>
          </w:p>
        </w:tc>
      </w:tr>
    </w:tbl>
    <w:p w14:paraId="0B9EBFF3" w14:textId="2E78BB08" w:rsidR="00681708" w:rsidRDefault="00681708" w:rsidP="00800A11"/>
    <w:p w14:paraId="4E076E77" w14:textId="77777777" w:rsidR="00681708" w:rsidRPr="00681708" w:rsidRDefault="00681708" w:rsidP="00681708">
      <w:pPr>
        <w:spacing w:line="240" w:lineRule="auto"/>
        <w:rPr>
          <w:rFonts w:eastAsia="Times New Roman" w:cs="Arial"/>
        </w:rPr>
      </w:pPr>
      <w:r w:rsidRPr="00681708">
        <w:rPr>
          <w:rFonts w:eastAsia="Times New Roman" w:cs="Arial"/>
          <w:i/>
          <w:iCs/>
          <w:color w:val="000000"/>
          <w:u w:val="single"/>
          <w:lang w:eastAsia="bg-BG"/>
        </w:rPr>
        <w:t>Вторични крайни точки</w:t>
      </w:r>
    </w:p>
    <w:p w14:paraId="68ABF586" w14:textId="225B2FEC" w:rsidR="00681708" w:rsidRDefault="00681708" w:rsidP="00681708">
      <w:pPr>
        <w:rPr>
          <w:rFonts w:eastAsia="Times New Roman" w:cs="Arial"/>
          <w:color w:val="000000"/>
          <w:lang w:eastAsia="bg-BG"/>
        </w:rPr>
      </w:pPr>
      <w:r w:rsidRPr="00681708">
        <w:rPr>
          <w:rFonts w:eastAsia="Times New Roman" w:cs="Arial"/>
          <w:color w:val="000000"/>
          <w:lang w:eastAsia="bg-BG"/>
        </w:rPr>
        <w:t>Изследваните вторични крайни точки са:</w:t>
      </w:r>
    </w:p>
    <w:p w14:paraId="1F4A3479" w14:textId="7CCBC139" w:rsidR="00681708" w:rsidRDefault="00681708" w:rsidP="00681708">
      <w:pPr>
        <w:rPr>
          <w:rFonts w:eastAsia="Times New Roman" w:cs="Arial"/>
          <w:color w:val="000000"/>
          <w:lang w:eastAsia="bg-BG"/>
        </w:rPr>
      </w:pPr>
    </w:p>
    <w:p w14:paraId="2FC09B8C" w14:textId="30E4D7B7" w:rsidR="00681708" w:rsidRDefault="00681708" w:rsidP="00681708">
      <w:r>
        <w:t>Таблица 2</w:t>
      </w:r>
    </w:p>
    <w:tbl>
      <w:tblPr>
        <w:tblStyle w:val="TableGrid"/>
        <w:tblW w:w="0" w:type="auto"/>
        <w:tblLook w:val="04A0" w:firstRow="1" w:lastRow="0" w:firstColumn="1" w:lastColumn="0" w:noHBand="0" w:noVBand="1"/>
      </w:tblPr>
      <w:tblGrid>
        <w:gridCol w:w="2744"/>
        <w:gridCol w:w="1882"/>
        <w:gridCol w:w="1682"/>
        <w:gridCol w:w="1819"/>
        <w:gridCol w:w="1223"/>
      </w:tblGrid>
      <w:tr w:rsidR="00681708" w14:paraId="32FC1550" w14:textId="77777777" w:rsidTr="00681708">
        <w:tc>
          <w:tcPr>
            <w:tcW w:w="2843" w:type="dxa"/>
          </w:tcPr>
          <w:p w14:paraId="16141A20" w14:textId="6D074DFD" w:rsidR="00681708" w:rsidRPr="00681708" w:rsidRDefault="00681708" w:rsidP="00681708">
            <w:pPr>
              <w:rPr>
                <w:rFonts w:cs="Arial"/>
              </w:rPr>
            </w:pPr>
            <w:r w:rsidRPr="00681708">
              <w:t>Вторични крайни точки (промяна от изходно ниво до 24-та седмица)</w:t>
            </w:r>
          </w:p>
        </w:tc>
        <w:tc>
          <w:tcPr>
            <w:tcW w:w="1937" w:type="dxa"/>
          </w:tcPr>
          <w:p w14:paraId="1C3AFA52" w14:textId="4C47DBEB" w:rsidR="00681708" w:rsidRPr="00681708" w:rsidRDefault="00681708" w:rsidP="00681708">
            <w:pPr>
              <w:rPr>
                <w:rFonts w:cs="Arial"/>
              </w:rPr>
            </w:pPr>
            <w:r w:rsidRPr="00681708">
              <w:rPr>
                <w:b/>
                <w:bCs/>
              </w:rPr>
              <w:t>Амбрисентан + тадалафил</w:t>
            </w:r>
          </w:p>
        </w:tc>
        <w:tc>
          <w:tcPr>
            <w:tcW w:w="1682" w:type="dxa"/>
          </w:tcPr>
          <w:p w14:paraId="1DA1D436" w14:textId="7BCCADB2" w:rsidR="00681708" w:rsidRPr="00681708" w:rsidRDefault="00681708" w:rsidP="00681708">
            <w:pPr>
              <w:rPr>
                <w:rFonts w:cs="Arial"/>
              </w:rPr>
            </w:pPr>
            <w:r w:rsidRPr="00681708">
              <w:rPr>
                <w:b/>
                <w:bCs/>
              </w:rPr>
              <w:t>Монотерапня сборни данни</w:t>
            </w:r>
          </w:p>
        </w:tc>
        <w:tc>
          <w:tcPr>
            <w:tcW w:w="1868" w:type="dxa"/>
          </w:tcPr>
          <w:p w14:paraId="6456ECD6" w14:textId="76307202" w:rsidR="00681708" w:rsidRPr="00681708" w:rsidRDefault="00681708" w:rsidP="00681708">
            <w:pPr>
              <w:rPr>
                <w:rFonts w:cs="Arial"/>
              </w:rPr>
            </w:pPr>
            <w:r w:rsidRPr="00681708">
              <w:t>Разлика и Доверителен интервал</w:t>
            </w:r>
          </w:p>
        </w:tc>
        <w:tc>
          <w:tcPr>
            <w:tcW w:w="1246" w:type="dxa"/>
          </w:tcPr>
          <w:p w14:paraId="75C8CA0C" w14:textId="3B92A9BE" w:rsidR="00681708" w:rsidRPr="00681708" w:rsidRDefault="00681708" w:rsidP="00681708">
            <w:pPr>
              <w:rPr>
                <w:rFonts w:cs="Arial"/>
              </w:rPr>
            </w:pPr>
            <w:r w:rsidRPr="00681708">
              <w:t>Р-стойност</w:t>
            </w:r>
          </w:p>
        </w:tc>
      </w:tr>
      <w:tr w:rsidR="00681708" w14:paraId="75DD6FD4" w14:textId="77777777" w:rsidTr="00681708">
        <w:tc>
          <w:tcPr>
            <w:tcW w:w="2843" w:type="dxa"/>
          </w:tcPr>
          <w:p w14:paraId="0BCA67B8" w14:textId="0486B0F9" w:rsidR="00681708" w:rsidRPr="00681708" w:rsidRDefault="00681708" w:rsidP="00681708">
            <w:pPr>
              <w:rPr>
                <w:rFonts w:cs="Arial"/>
              </w:rPr>
            </w:pPr>
            <w:r w:rsidRPr="00681708">
              <w:rPr>
                <w:lang w:val="en-US"/>
              </w:rPr>
              <w:t>N</w:t>
            </w:r>
            <w:r w:rsidRPr="00681708">
              <w:t xml:space="preserve">-терминален прохормон/фрагмент на мозъчния натриуретичен пептид </w:t>
            </w:r>
            <w:r w:rsidRPr="00681708">
              <w:rPr>
                <w:lang w:val="ru-RU"/>
              </w:rPr>
              <w:t>(</w:t>
            </w:r>
            <w:r w:rsidRPr="00681708">
              <w:rPr>
                <w:lang w:val="en-US"/>
              </w:rPr>
              <w:t>NT</w:t>
            </w:r>
            <w:r w:rsidRPr="00681708">
              <w:rPr>
                <w:lang w:val="ru-RU"/>
              </w:rPr>
              <w:t>-</w:t>
            </w:r>
            <w:proofErr w:type="spellStart"/>
            <w:r w:rsidRPr="00681708">
              <w:rPr>
                <w:lang w:val="en-US"/>
              </w:rPr>
              <w:t>proBNP</w:t>
            </w:r>
            <w:proofErr w:type="spellEnd"/>
            <w:r w:rsidRPr="00681708">
              <w:rPr>
                <w:lang w:val="ru-RU"/>
              </w:rPr>
              <w:t xml:space="preserve">) </w:t>
            </w:r>
            <w:r w:rsidRPr="00681708">
              <w:t>(% намаление)</w:t>
            </w:r>
          </w:p>
        </w:tc>
        <w:tc>
          <w:tcPr>
            <w:tcW w:w="1937" w:type="dxa"/>
          </w:tcPr>
          <w:p w14:paraId="6EF9C686" w14:textId="3E3FF6DB" w:rsidR="00681708" w:rsidRPr="00681708" w:rsidRDefault="00681708" w:rsidP="00681708">
            <w:pPr>
              <w:rPr>
                <w:rFonts w:cs="Arial"/>
              </w:rPr>
            </w:pPr>
            <w:r w:rsidRPr="00681708">
              <w:t>-67,2</w:t>
            </w:r>
          </w:p>
        </w:tc>
        <w:tc>
          <w:tcPr>
            <w:tcW w:w="1682" w:type="dxa"/>
          </w:tcPr>
          <w:p w14:paraId="7F41E3DC" w14:textId="36EE0474" w:rsidR="00681708" w:rsidRPr="00681708" w:rsidRDefault="00681708" w:rsidP="00681708">
            <w:pPr>
              <w:rPr>
                <w:rFonts w:cs="Arial"/>
              </w:rPr>
            </w:pPr>
            <w:r w:rsidRPr="00681708">
              <w:t>-50,4</w:t>
            </w:r>
          </w:p>
        </w:tc>
        <w:tc>
          <w:tcPr>
            <w:tcW w:w="1868" w:type="dxa"/>
          </w:tcPr>
          <w:p w14:paraId="642DA843" w14:textId="77777777" w:rsidR="00681708" w:rsidRPr="00681708" w:rsidRDefault="00681708" w:rsidP="00681708">
            <w:r w:rsidRPr="00681708">
              <w:t>% разлика</w:t>
            </w:r>
          </w:p>
          <w:p w14:paraId="469CEF2D" w14:textId="77777777" w:rsidR="00681708" w:rsidRPr="00681708" w:rsidRDefault="00681708" w:rsidP="00681708">
            <w:r w:rsidRPr="00681708">
              <w:t xml:space="preserve">-33,8; 95% </w:t>
            </w:r>
            <w:r w:rsidRPr="00681708">
              <w:rPr>
                <w:lang w:val="en-US"/>
              </w:rPr>
              <w:t>CI:</w:t>
            </w:r>
          </w:p>
          <w:p w14:paraId="1DCF5F64" w14:textId="0D906D37" w:rsidR="00681708" w:rsidRPr="00681708" w:rsidRDefault="00681708" w:rsidP="00681708">
            <w:pPr>
              <w:rPr>
                <w:rFonts w:cs="Arial"/>
              </w:rPr>
            </w:pPr>
            <w:r w:rsidRPr="00681708">
              <w:t>-44,8, -20,7</w:t>
            </w:r>
          </w:p>
        </w:tc>
        <w:tc>
          <w:tcPr>
            <w:tcW w:w="1246" w:type="dxa"/>
          </w:tcPr>
          <w:p w14:paraId="378B4B88" w14:textId="78BA7E9D" w:rsidR="00681708" w:rsidRPr="00681708" w:rsidRDefault="00681708" w:rsidP="00681708">
            <w:pPr>
              <w:rPr>
                <w:rFonts w:cs="Arial"/>
              </w:rPr>
            </w:pPr>
            <w:r w:rsidRPr="00681708">
              <w:t>р&lt;0,0001</w:t>
            </w:r>
          </w:p>
        </w:tc>
      </w:tr>
      <w:tr w:rsidR="00681708" w14:paraId="676B7E14" w14:textId="77777777" w:rsidTr="00681708">
        <w:tc>
          <w:tcPr>
            <w:tcW w:w="2843" w:type="dxa"/>
          </w:tcPr>
          <w:p w14:paraId="4B180689" w14:textId="2598509C" w:rsidR="00681708" w:rsidRPr="00681708" w:rsidRDefault="00681708" w:rsidP="00681708">
            <w:pPr>
              <w:rPr>
                <w:rFonts w:cs="Arial"/>
              </w:rPr>
            </w:pPr>
            <w:r w:rsidRPr="00681708">
              <w:t>% участници, постигнали задоволителен клиничен отговор на 24-та седмица</w:t>
            </w:r>
          </w:p>
        </w:tc>
        <w:tc>
          <w:tcPr>
            <w:tcW w:w="1937" w:type="dxa"/>
          </w:tcPr>
          <w:p w14:paraId="73BF8C9C" w14:textId="5F594903" w:rsidR="00681708" w:rsidRPr="00681708" w:rsidRDefault="00681708" w:rsidP="00681708">
            <w:pPr>
              <w:rPr>
                <w:rFonts w:cs="Arial"/>
              </w:rPr>
            </w:pPr>
            <w:r w:rsidRPr="00681708">
              <w:t>39</w:t>
            </w:r>
          </w:p>
        </w:tc>
        <w:tc>
          <w:tcPr>
            <w:tcW w:w="1682" w:type="dxa"/>
          </w:tcPr>
          <w:p w14:paraId="16822A85" w14:textId="7F52D7D8" w:rsidR="00681708" w:rsidRPr="00681708" w:rsidRDefault="00681708" w:rsidP="00681708">
            <w:pPr>
              <w:rPr>
                <w:rFonts w:cs="Arial"/>
              </w:rPr>
            </w:pPr>
            <w:r w:rsidRPr="00681708">
              <w:t>29</w:t>
            </w:r>
          </w:p>
        </w:tc>
        <w:tc>
          <w:tcPr>
            <w:tcW w:w="1868" w:type="dxa"/>
          </w:tcPr>
          <w:p w14:paraId="282F7EEB" w14:textId="77777777" w:rsidR="00681708" w:rsidRPr="00681708" w:rsidRDefault="00681708" w:rsidP="00681708">
            <w:r w:rsidRPr="00681708">
              <w:t>Съотношение на шансовете 1,56;</w:t>
            </w:r>
          </w:p>
          <w:p w14:paraId="1AA5EEE2" w14:textId="4124C42E" w:rsidR="00681708" w:rsidRPr="00681708" w:rsidRDefault="00681708" w:rsidP="00681708">
            <w:pPr>
              <w:rPr>
                <w:rFonts w:cs="Arial"/>
              </w:rPr>
            </w:pPr>
            <w:r w:rsidRPr="00681708">
              <w:t xml:space="preserve">95% </w:t>
            </w:r>
            <w:r w:rsidRPr="00681708">
              <w:rPr>
                <w:lang w:val="en-US"/>
              </w:rPr>
              <w:t xml:space="preserve">CI: </w:t>
            </w:r>
            <w:r w:rsidRPr="00681708">
              <w:t>1,05, 2,32</w:t>
            </w:r>
          </w:p>
        </w:tc>
        <w:tc>
          <w:tcPr>
            <w:tcW w:w="1246" w:type="dxa"/>
          </w:tcPr>
          <w:p w14:paraId="6ACA2147" w14:textId="3A86E523" w:rsidR="00681708" w:rsidRPr="00681708" w:rsidRDefault="00681708" w:rsidP="00681708">
            <w:pPr>
              <w:rPr>
                <w:rFonts w:cs="Arial"/>
              </w:rPr>
            </w:pPr>
            <w:r w:rsidRPr="00681708">
              <w:t>р=0,026</w:t>
            </w:r>
          </w:p>
        </w:tc>
      </w:tr>
      <w:tr w:rsidR="00681708" w14:paraId="4D406C14" w14:textId="77777777" w:rsidTr="00681708">
        <w:tc>
          <w:tcPr>
            <w:tcW w:w="2843" w:type="dxa"/>
          </w:tcPr>
          <w:p w14:paraId="21D0A4A7" w14:textId="6411540B" w:rsidR="00681708" w:rsidRPr="00681708" w:rsidRDefault="00681708" w:rsidP="00681708">
            <w:pPr>
              <w:rPr>
                <w:rFonts w:cs="Arial"/>
              </w:rPr>
            </w:pPr>
            <w:r w:rsidRPr="00681708">
              <w:rPr>
                <w:lang w:val="en-US"/>
              </w:rPr>
              <w:lastRenderedPageBreak/>
              <w:t xml:space="preserve">6MWD </w:t>
            </w:r>
            <w:r w:rsidRPr="00681708">
              <w:t>(метра, средна промяна)</w:t>
            </w:r>
          </w:p>
        </w:tc>
        <w:tc>
          <w:tcPr>
            <w:tcW w:w="1937" w:type="dxa"/>
          </w:tcPr>
          <w:p w14:paraId="5C4956E9" w14:textId="07D20C28" w:rsidR="00681708" w:rsidRPr="00681708" w:rsidRDefault="00681708" w:rsidP="00681708">
            <w:pPr>
              <w:rPr>
                <w:rFonts w:cs="Arial"/>
              </w:rPr>
            </w:pPr>
            <w:r w:rsidRPr="00681708">
              <w:t>49,0</w:t>
            </w:r>
          </w:p>
        </w:tc>
        <w:tc>
          <w:tcPr>
            <w:tcW w:w="1682" w:type="dxa"/>
          </w:tcPr>
          <w:p w14:paraId="049803FC" w14:textId="20290C10" w:rsidR="00681708" w:rsidRPr="00681708" w:rsidRDefault="00681708" w:rsidP="00681708">
            <w:pPr>
              <w:rPr>
                <w:rFonts w:cs="Arial"/>
              </w:rPr>
            </w:pPr>
            <w:r w:rsidRPr="00681708">
              <w:t>23,8</w:t>
            </w:r>
          </w:p>
        </w:tc>
        <w:tc>
          <w:tcPr>
            <w:tcW w:w="1868" w:type="dxa"/>
          </w:tcPr>
          <w:p w14:paraId="56DD9E22" w14:textId="61C077C2" w:rsidR="00681708" w:rsidRPr="00681708" w:rsidRDefault="00681708" w:rsidP="00681708">
            <w:pPr>
              <w:rPr>
                <w:rFonts w:cs="Arial"/>
              </w:rPr>
            </w:pPr>
            <w:r w:rsidRPr="00681708">
              <w:t xml:space="preserve">22,75 </w:t>
            </w:r>
            <w:r w:rsidRPr="00681708">
              <w:rPr>
                <w:lang w:val="en-US"/>
              </w:rPr>
              <w:t>m</w:t>
            </w:r>
            <w:r w:rsidRPr="00681708">
              <w:t xml:space="preserve">; 95% </w:t>
            </w:r>
            <w:r w:rsidRPr="00681708">
              <w:rPr>
                <w:lang w:val="en-US"/>
              </w:rPr>
              <w:t xml:space="preserve">CI: </w:t>
            </w:r>
            <w:r w:rsidRPr="00681708">
              <w:t>12,00,33,50</w:t>
            </w:r>
          </w:p>
        </w:tc>
        <w:tc>
          <w:tcPr>
            <w:tcW w:w="1246" w:type="dxa"/>
          </w:tcPr>
          <w:p w14:paraId="0F08520D" w14:textId="2FBF454A" w:rsidR="00681708" w:rsidRPr="00681708" w:rsidRDefault="00681708" w:rsidP="00681708">
            <w:pPr>
              <w:rPr>
                <w:rFonts w:cs="Arial"/>
              </w:rPr>
            </w:pPr>
            <w:r w:rsidRPr="00681708">
              <w:t>р&lt;0,0001</w:t>
            </w:r>
          </w:p>
        </w:tc>
      </w:tr>
    </w:tbl>
    <w:p w14:paraId="56346032" w14:textId="745614CB" w:rsidR="00681708" w:rsidRDefault="00681708" w:rsidP="00681708">
      <w:pPr>
        <w:rPr>
          <w:rFonts w:cs="Arial"/>
        </w:rPr>
      </w:pPr>
    </w:p>
    <w:p w14:paraId="53F1ECA5" w14:textId="77777777" w:rsidR="00681708" w:rsidRPr="00681708" w:rsidRDefault="00681708" w:rsidP="00681708">
      <w:pPr>
        <w:spacing w:line="240" w:lineRule="auto"/>
        <w:rPr>
          <w:rFonts w:eastAsia="Times New Roman" w:cs="Arial"/>
        </w:rPr>
      </w:pPr>
      <w:r w:rsidRPr="00681708">
        <w:rPr>
          <w:rFonts w:eastAsia="Times New Roman" w:cs="Arial"/>
          <w:color w:val="000000"/>
          <w:u w:val="single"/>
          <w:lang w:eastAsia="bg-BG"/>
        </w:rPr>
        <w:t>Идиопатична Белодробна Фиброза (ИБФ)</w:t>
      </w:r>
    </w:p>
    <w:p w14:paraId="1F92B44F" w14:textId="77777777" w:rsidR="00681708" w:rsidRDefault="00681708" w:rsidP="00681708">
      <w:pPr>
        <w:spacing w:line="240" w:lineRule="auto"/>
        <w:rPr>
          <w:rFonts w:eastAsia="Times New Roman" w:cs="Arial"/>
          <w:color w:val="000000"/>
          <w:lang w:eastAsia="bg-BG"/>
        </w:rPr>
      </w:pPr>
    </w:p>
    <w:p w14:paraId="031068A9" w14:textId="530C7288" w:rsidR="00681708" w:rsidRPr="00681708" w:rsidRDefault="00681708" w:rsidP="00681708">
      <w:pPr>
        <w:spacing w:line="240" w:lineRule="auto"/>
        <w:rPr>
          <w:rFonts w:eastAsia="Times New Roman" w:cs="Arial"/>
        </w:rPr>
      </w:pPr>
      <w:r w:rsidRPr="00681708">
        <w:rPr>
          <w:rFonts w:eastAsia="Times New Roman" w:cs="Arial"/>
          <w:color w:val="000000"/>
          <w:lang w:eastAsia="bg-BG"/>
        </w:rPr>
        <w:t xml:space="preserve">Проведено е проучване, включващо 492 пациенти (амбрисентан </w:t>
      </w:r>
      <w:r w:rsidRPr="00681708">
        <w:rPr>
          <w:rFonts w:eastAsia="Times New Roman" w:cs="Arial"/>
          <w:color w:val="000000"/>
          <w:lang w:val="en-US"/>
        </w:rPr>
        <w:t>N</w:t>
      </w:r>
      <w:r w:rsidRPr="00681708">
        <w:rPr>
          <w:rFonts w:eastAsia="Times New Roman" w:cs="Arial"/>
          <w:color w:val="000000"/>
          <w:lang w:val="ru-RU"/>
        </w:rPr>
        <w:t xml:space="preserve">=329, </w:t>
      </w:r>
      <w:r w:rsidRPr="00681708">
        <w:rPr>
          <w:rFonts w:eastAsia="Times New Roman" w:cs="Arial"/>
          <w:color w:val="000000"/>
          <w:lang w:eastAsia="bg-BG"/>
        </w:rPr>
        <w:t xml:space="preserve">плацебо </w:t>
      </w:r>
      <w:r w:rsidRPr="00681708">
        <w:rPr>
          <w:rFonts w:eastAsia="Times New Roman" w:cs="Arial"/>
          <w:color w:val="000000"/>
          <w:lang w:val="en-US"/>
        </w:rPr>
        <w:t>N</w:t>
      </w:r>
      <w:r w:rsidRPr="00681708">
        <w:rPr>
          <w:rFonts w:eastAsia="Times New Roman" w:cs="Arial"/>
          <w:color w:val="000000"/>
          <w:lang w:val="ru-RU"/>
        </w:rPr>
        <w:t xml:space="preserve">=163) </w:t>
      </w:r>
      <w:r w:rsidRPr="00681708">
        <w:rPr>
          <w:rFonts w:eastAsia="Times New Roman" w:cs="Arial"/>
          <w:color w:val="000000"/>
          <w:lang w:eastAsia="bg-BG"/>
        </w:rPr>
        <w:t xml:space="preserve">с идиопатична белодробна фиброза (ИБФ), 11 % от които са били с вторична белодробна хипертония (група 3 по СЗО), което е прекратено предсрочно, след като е установено, че първичната крайна точка за ефикасност (проучване </w:t>
      </w:r>
      <w:r w:rsidRPr="00681708">
        <w:rPr>
          <w:rFonts w:eastAsia="Times New Roman" w:cs="Arial"/>
          <w:color w:val="000000"/>
          <w:lang w:val="en-US"/>
        </w:rPr>
        <w:t>ARTEMIS</w:t>
      </w:r>
      <w:r w:rsidRPr="00681708">
        <w:rPr>
          <w:rFonts w:eastAsia="Times New Roman" w:cs="Arial"/>
          <w:color w:val="000000"/>
          <w:lang w:val="ru-RU"/>
        </w:rPr>
        <w:t>-</w:t>
      </w:r>
      <w:r w:rsidRPr="00681708">
        <w:rPr>
          <w:rFonts w:eastAsia="Times New Roman" w:cs="Arial"/>
          <w:color w:val="000000"/>
          <w:lang w:val="en-US"/>
        </w:rPr>
        <w:t>IPF</w:t>
      </w:r>
      <w:r w:rsidRPr="00681708">
        <w:rPr>
          <w:rFonts w:eastAsia="Times New Roman" w:cs="Arial"/>
          <w:color w:val="000000"/>
          <w:lang w:val="ru-RU"/>
        </w:rPr>
        <w:t xml:space="preserve">) </w:t>
      </w:r>
      <w:r w:rsidRPr="00681708">
        <w:rPr>
          <w:rFonts w:eastAsia="Times New Roman" w:cs="Arial"/>
          <w:color w:val="000000"/>
          <w:lang w:eastAsia="bg-BG"/>
        </w:rPr>
        <w:t>не може да бъде достигната. Наблюдавани са деветдесет случая (27%) на прогресия на ИБФ (включително хоспитализация поради респираторни проблеми) или смъртни случаи в групата на амбрисентан, в сравнение с 28 случая (17%) в групата на плацебо. По тази причина амбрисентан е противопоказан при пациенти с ИБФ, със или без вторична белодробна хипертония (вж. точка 4.3).</w:t>
      </w:r>
    </w:p>
    <w:p w14:paraId="2568B14D" w14:textId="77777777" w:rsidR="00681708" w:rsidRPr="00681708" w:rsidRDefault="00681708" w:rsidP="00681708">
      <w:pPr>
        <w:rPr>
          <w:rFonts w:cs="Arial"/>
        </w:rPr>
      </w:pPr>
    </w:p>
    <w:p w14:paraId="35F84B81" w14:textId="5A1BF990" w:rsidR="00CF77F7" w:rsidRDefault="002C50EE" w:rsidP="004A448E">
      <w:pPr>
        <w:pStyle w:val="Heading2"/>
      </w:pPr>
      <w:r>
        <w:t>5.2. Фармакокинетични свойства</w:t>
      </w:r>
    </w:p>
    <w:p w14:paraId="7E41F25C" w14:textId="42FBA696" w:rsidR="00681708" w:rsidRDefault="00681708" w:rsidP="00681708"/>
    <w:p w14:paraId="667E2EC5" w14:textId="77777777" w:rsidR="00681708" w:rsidRPr="00681708" w:rsidRDefault="00681708" w:rsidP="00681708">
      <w:pPr>
        <w:pStyle w:val="Heading3"/>
        <w:rPr>
          <w:rFonts w:eastAsia="Times New Roman"/>
          <w:u w:val="single"/>
        </w:rPr>
      </w:pPr>
      <w:r w:rsidRPr="00681708">
        <w:rPr>
          <w:rFonts w:eastAsia="Times New Roman"/>
          <w:u w:val="single"/>
          <w:lang w:eastAsia="bg-BG"/>
        </w:rPr>
        <w:t>Абсорбция</w:t>
      </w:r>
    </w:p>
    <w:p w14:paraId="1C93E896" w14:textId="77777777" w:rsidR="00681708" w:rsidRDefault="00681708" w:rsidP="00681708">
      <w:pPr>
        <w:spacing w:line="240" w:lineRule="auto"/>
        <w:rPr>
          <w:rFonts w:eastAsia="Times New Roman" w:cs="Arial"/>
          <w:color w:val="000000"/>
          <w:lang w:eastAsia="bg-BG"/>
        </w:rPr>
      </w:pPr>
    </w:p>
    <w:p w14:paraId="11D52BAA" w14:textId="70DAFFCA" w:rsidR="00681708" w:rsidRPr="00681708" w:rsidRDefault="00681708" w:rsidP="00681708">
      <w:pPr>
        <w:spacing w:line="240" w:lineRule="auto"/>
        <w:rPr>
          <w:rFonts w:eastAsia="Times New Roman" w:cs="Arial"/>
        </w:rPr>
      </w:pPr>
      <w:r w:rsidRPr="00681708">
        <w:rPr>
          <w:rFonts w:eastAsia="Times New Roman" w:cs="Arial"/>
          <w:color w:val="000000"/>
          <w:lang w:eastAsia="bg-BG"/>
        </w:rPr>
        <w:t>Амбрисентан се абсорбира бързо при хора. След перорално приложение максималните плазмени концентрации (С</w:t>
      </w:r>
      <w:r w:rsidRPr="00681708">
        <w:rPr>
          <w:rFonts w:eastAsia="Times New Roman" w:cs="Arial"/>
          <w:color w:val="000000"/>
          <w:vertAlign w:val="subscript"/>
          <w:lang w:val="en-US"/>
        </w:rPr>
        <w:t>max</w:t>
      </w:r>
      <w:r w:rsidRPr="00681708">
        <w:rPr>
          <w:rFonts w:eastAsia="Times New Roman" w:cs="Arial"/>
          <w:color w:val="000000"/>
          <w:lang w:eastAsia="bg-BG"/>
        </w:rPr>
        <w:t>) на амбрисентан обикновено се достигат за около 1,5 часа след прилагане на дозата какго на гладно, така и след хранене. С</w:t>
      </w:r>
      <w:r w:rsidRPr="00681708">
        <w:rPr>
          <w:rFonts w:eastAsia="Times New Roman" w:cs="Arial"/>
          <w:color w:val="000000"/>
          <w:vertAlign w:val="subscript"/>
          <w:lang w:val="en-US"/>
        </w:rPr>
        <w:t>max</w:t>
      </w:r>
      <w:r w:rsidRPr="00681708">
        <w:rPr>
          <w:rFonts w:eastAsia="Times New Roman" w:cs="Arial"/>
          <w:color w:val="000000"/>
          <w:lang w:eastAsia="bg-BG"/>
        </w:rPr>
        <w:t xml:space="preserve"> и площта под кривата плазмена концентрация-време </w:t>
      </w:r>
      <w:r w:rsidRPr="00681708">
        <w:rPr>
          <w:rFonts w:eastAsia="Times New Roman" w:cs="Arial"/>
          <w:color w:val="000000"/>
          <w:lang w:val="ru-RU"/>
        </w:rPr>
        <w:t>(</w:t>
      </w:r>
      <w:r w:rsidRPr="00681708">
        <w:rPr>
          <w:rFonts w:eastAsia="Times New Roman" w:cs="Arial"/>
          <w:color w:val="000000"/>
          <w:lang w:val="en-US"/>
        </w:rPr>
        <w:t>AUC</w:t>
      </w:r>
      <w:r w:rsidRPr="00681708">
        <w:rPr>
          <w:rFonts w:eastAsia="Times New Roman" w:cs="Arial"/>
          <w:color w:val="000000"/>
          <w:lang w:val="ru-RU"/>
        </w:rPr>
        <w:t xml:space="preserve">) </w:t>
      </w:r>
      <w:r w:rsidRPr="00681708">
        <w:rPr>
          <w:rFonts w:eastAsia="Times New Roman" w:cs="Arial"/>
          <w:color w:val="000000"/>
          <w:lang w:eastAsia="bg-BG"/>
        </w:rPr>
        <w:t>се увеличават пропорционално на дозата по време на прилагане на доза в терапевтичните граници. Стационарното състояние обикновено се достига след 4-дневно многократно прилагане.</w:t>
      </w:r>
    </w:p>
    <w:p w14:paraId="6E99C884" w14:textId="77777777" w:rsidR="00681708" w:rsidRDefault="00681708" w:rsidP="00681708">
      <w:pPr>
        <w:spacing w:line="240" w:lineRule="auto"/>
        <w:rPr>
          <w:rFonts w:eastAsia="Times New Roman" w:cs="Arial"/>
          <w:color w:val="000000"/>
          <w:lang w:eastAsia="bg-BG"/>
        </w:rPr>
      </w:pPr>
    </w:p>
    <w:p w14:paraId="39F8C20B" w14:textId="714E943C" w:rsidR="00681708" w:rsidRPr="00681708" w:rsidRDefault="00681708" w:rsidP="00681708">
      <w:pPr>
        <w:spacing w:line="240" w:lineRule="auto"/>
        <w:rPr>
          <w:rFonts w:eastAsia="Times New Roman" w:cs="Arial"/>
        </w:rPr>
      </w:pPr>
      <w:r w:rsidRPr="00681708">
        <w:rPr>
          <w:rFonts w:eastAsia="Times New Roman" w:cs="Arial"/>
          <w:color w:val="000000"/>
          <w:lang w:eastAsia="bg-BG"/>
        </w:rPr>
        <w:t>Проучване за ефекта на храната, включващо приложение на амбрисентан при здрави доброволци на гладно и след прием на храна с високо съдържание на мазнини, показва, че С</w:t>
      </w:r>
      <w:r w:rsidRPr="00681708">
        <w:rPr>
          <w:rFonts w:eastAsia="Times New Roman" w:cs="Arial"/>
          <w:color w:val="000000"/>
          <w:vertAlign w:val="subscript"/>
          <w:lang w:val="en-US"/>
        </w:rPr>
        <w:t>max</w:t>
      </w:r>
      <w:r w:rsidRPr="00681708">
        <w:rPr>
          <w:rFonts w:eastAsia="Times New Roman" w:cs="Arial"/>
          <w:color w:val="000000"/>
          <w:lang w:eastAsia="bg-BG"/>
        </w:rPr>
        <w:t xml:space="preserve"> намалява с 12%, докато </w:t>
      </w:r>
      <w:r w:rsidRPr="00681708">
        <w:rPr>
          <w:rFonts w:eastAsia="Times New Roman" w:cs="Arial"/>
          <w:color w:val="000000"/>
          <w:lang w:val="en-US"/>
        </w:rPr>
        <w:t>AUC</w:t>
      </w:r>
      <w:r w:rsidRPr="00681708">
        <w:rPr>
          <w:rFonts w:eastAsia="Times New Roman" w:cs="Arial"/>
          <w:color w:val="000000"/>
          <w:lang w:val="ru-RU"/>
        </w:rPr>
        <w:t xml:space="preserve"> </w:t>
      </w:r>
      <w:r w:rsidRPr="00681708">
        <w:rPr>
          <w:rFonts w:eastAsia="Times New Roman" w:cs="Arial"/>
          <w:color w:val="000000"/>
          <w:lang w:eastAsia="bg-BG"/>
        </w:rPr>
        <w:t>остава непроменена. Това намаляване на максималната концентрация не е клинично значимо и по тази причина амбрисентан може да се приема със или без храна.</w:t>
      </w:r>
    </w:p>
    <w:p w14:paraId="68BB9B2D" w14:textId="77777777" w:rsidR="00681708" w:rsidRDefault="00681708" w:rsidP="00681708">
      <w:pPr>
        <w:spacing w:line="240" w:lineRule="auto"/>
        <w:rPr>
          <w:rFonts w:eastAsia="Times New Roman" w:cs="Arial"/>
          <w:color w:val="000000"/>
          <w:u w:val="single"/>
          <w:lang w:eastAsia="bg-BG"/>
        </w:rPr>
      </w:pPr>
    </w:p>
    <w:p w14:paraId="1738FD0F" w14:textId="1CAE6093" w:rsidR="00681708" w:rsidRPr="00681708" w:rsidRDefault="00681708" w:rsidP="00681708">
      <w:pPr>
        <w:pStyle w:val="Heading3"/>
        <w:rPr>
          <w:rFonts w:eastAsia="Times New Roman"/>
          <w:u w:val="single"/>
        </w:rPr>
      </w:pPr>
      <w:r w:rsidRPr="00681708">
        <w:rPr>
          <w:rFonts w:eastAsia="Times New Roman"/>
          <w:u w:val="single"/>
          <w:lang w:eastAsia="bg-BG"/>
        </w:rPr>
        <w:t>Разпределение</w:t>
      </w:r>
    </w:p>
    <w:p w14:paraId="3E71EC19" w14:textId="77777777" w:rsidR="00681708" w:rsidRDefault="00681708" w:rsidP="00681708">
      <w:pPr>
        <w:spacing w:line="240" w:lineRule="auto"/>
        <w:rPr>
          <w:rFonts w:eastAsia="Times New Roman" w:cs="Arial"/>
          <w:color w:val="000000"/>
          <w:lang w:eastAsia="bg-BG"/>
        </w:rPr>
      </w:pPr>
    </w:p>
    <w:p w14:paraId="0050F2DB" w14:textId="003CFAE6" w:rsidR="00681708" w:rsidRPr="00681708" w:rsidRDefault="00681708" w:rsidP="00681708">
      <w:pPr>
        <w:spacing w:line="240" w:lineRule="auto"/>
        <w:rPr>
          <w:rFonts w:eastAsia="Times New Roman" w:cs="Arial"/>
        </w:rPr>
      </w:pPr>
      <w:r w:rsidRPr="00681708">
        <w:rPr>
          <w:rFonts w:eastAsia="Times New Roman" w:cs="Arial"/>
          <w:color w:val="000000"/>
          <w:lang w:eastAsia="bg-BG"/>
        </w:rPr>
        <w:t xml:space="preserve">Амбрисентан се свързва в много голяма степен с плазмените протеини. Свързването на амбрисентан с плазмените протеини </w:t>
      </w:r>
      <w:r w:rsidRPr="00681708">
        <w:rPr>
          <w:rFonts w:eastAsia="Times New Roman" w:cs="Arial"/>
          <w:i/>
          <w:iCs/>
          <w:color w:val="000000"/>
          <w:lang w:val="en-US"/>
        </w:rPr>
        <w:t>in</w:t>
      </w:r>
      <w:r w:rsidRPr="00681708">
        <w:rPr>
          <w:rFonts w:eastAsia="Times New Roman" w:cs="Arial"/>
          <w:i/>
          <w:iCs/>
          <w:color w:val="000000"/>
          <w:lang w:val="ru-RU"/>
        </w:rPr>
        <w:t xml:space="preserve"> </w:t>
      </w:r>
      <w:r w:rsidRPr="00681708">
        <w:rPr>
          <w:rFonts w:eastAsia="Times New Roman" w:cs="Arial"/>
          <w:i/>
          <w:iCs/>
          <w:color w:val="000000"/>
          <w:lang w:val="en-US"/>
        </w:rPr>
        <w:t>vitro</w:t>
      </w:r>
      <w:r w:rsidRPr="00681708">
        <w:rPr>
          <w:rFonts w:eastAsia="Times New Roman" w:cs="Arial"/>
          <w:color w:val="000000"/>
          <w:lang w:val="ru-RU"/>
        </w:rPr>
        <w:t xml:space="preserve"> </w:t>
      </w:r>
      <w:r w:rsidRPr="00681708">
        <w:rPr>
          <w:rFonts w:eastAsia="Times New Roman" w:cs="Arial"/>
          <w:color w:val="000000"/>
          <w:lang w:eastAsia="bg-BG"/>
        </w:rPr>
        <w:t xml:space="preserve">е средно 98,8% и не зависи от концентрация в границите 0,2 - 20 </w:t>
      </w:r>
      <w:r w:rsidRPr="00681708">
        <w:rPr>
          <w:rFonts w:eastAsia="Times New Roman" w:cs="Arial"/>
          <w:color w:val="000000"/>
          <w:lang w:val="en-US"/>
        </w:rPr>
        <w:t>mcg</w:t>
      </w:r>
      <w:r w:rsidRPr="00681708">
        <w:rPr>
          <w:rFonts w:eastAsia="Times New Roman" w:cs="Arial"/>
          <w:color w:val="000000"/>
          <w:lang w:val="ru-RU"/>
        </w:rPr>
        <w:t>/</w:t>
      </w:r>
      <w:r w:rsidRPr="00681708">
        <w:rPr>
          <w:rFonts w:eastAsia="Times New Roman" w:cs="Arial"/>
          <w:color w:val="000000"/>
          <w:lang w:val="en-US"/>
        </w:rPr>
        <w:t>ml</w:t>
      </w:r>
      <w:r w:rsidRPr="00681708">
        <w:rPr>
          <w:rFonts w:eastAsia="Times New Roman" w:cs="Arial"/>
          <w:color w:val="000000"/>
          <w:lang w:val="ru-RU"/>
        </w:rPr>
        <w:t xml:space="preserve">. </w:t>
      </w:r>
      <w:r w:rsidRPr="00681708">
        <w:rPr>
          <w:rFonts w:eastAsia="Times New Roman" w:cs="Arial"/>
          <w:color w:val="000000"/>
          <w:lang w:eastAsia="bg-BG"/>
        </w:rPr>
        <w:t>Амбрисентан се свързва предимно с албумина (96,5%) и в по-малка степен с алфа1-киселия гликопротеин.</w:t>
      </w:r>
    </w:p>
    <w:p w14:paraId="3C817D32" w14:textId="77777777" w:rsidR="00681708" w:rsidRPr="00681708" w:rsidRDefault="00681708" w:rsidP="00681708">
      <w:pPr>
        <w:spacing w:line="240" w:lineRule="auto"/>
        <w:rPr>
          <w:rFonts w:eastAsia="Times New Roman" w:cs="Arial"/>
        </w:rPr>
      </w:pPr>
    </w:p>
    <w:p w14:paraId="4B32A960" w14:textId="337B4ACF" w:rsidR="00681708" w:rsidRDefault="00681708" w:rsidP="00681708">
      <w:pPr>
        <w:rPr>
          <w:rFonts w:eastAsia="Times New Roman" w:cs="Arial"/>
          <w:color w:val="000000"/>
          <w:lang w:eastAsia="bg-BG"/>
        </w:rPr>
      </w:pPr>
      <w:r w:rsidRPr="00681708">
        <w:rPr>
          <w:rFonts w:eastAsia="Times New Roman" w:cs="Arial"/>
          <w:color w:val="000000"/>
          <w:lang w:eastAsia="bg-BG"/>
        </w:rPr>
        <w:t>Разпределението на амбрисентан в еритроцитите е ниско със средно съотношение кръв/плазма 0,57 и 0,61 при индивиди съответно от мъжки и женски пол.</w:t>
      </w:r>
    </w:p>
    <w:p w14:paraId="1BF1B341" w14:textId="2276861A" w:rsidR="00681708" w:rsidRDefault="00681708" w:rsidP="00681708">
      <w:pPr>
        <w:rPr>
          <w:rFonts w:eastAsia="Times New Roman" w:cs="Arial"/>
          <w:color w:val="000000"/>
          <w:lang w:eastAsia="bg-BG"/>
        </w:rPr>
      </w:pPr>
    </w:p>
    <w:p w14:paraId="3522EA69" w14:textId="77777777" w:rsidR="00681708" w:rsidRPr="00681708" w:rsidRDefault="00681708" w:rsidP="00681708">
      <w:pPr>
        <w:pStyle w:val="Heading3"/>
        <w:rPr>
          <w:rFonts w:eastAsia="Times New Roman"/>
          <w:u w:val="single"/>
        </w:rPr>
      </w:pPr>
      <w:r w:rsidRPr="00681708">
        <w:rPr>
          <w:rFonts w:eastAsia="Times New Roman"/>
          <w:u w:val="single"/>
          <w:lang w:eastAsia="bg-BG"/>
        </w:rPr>
        <w:t>Биотрансформация</w:t>
      </w:r>
    </w:p>
    <w:p w14:paraId="2CFBF795" w14:textId="77777777" w:rsidR="00681708" w:rsidRDefault="00681708" w:rsidP="00681708">
      <w:pPr>
        <w:spacing w:line="240" w:lineRule="auto"/>
        <w:rPr>
          <w:rFonts w:eastAsia="Times New Roman" w:cs="Arial"/>
          <w:color w:val="000000"/>
          <w:lang w:eastAsia="bg-BG"/>
        </w:rPr>
      </w:pPr>
    </w:p>
    <w:p w14:paraId="17878794" w14:textId="20886E4B" w:rsidR="00681708" w:rsidRPr="00681708" w:rsidRDefault="00681708" w:rsidP="00681708">
      <w:pPr>
        <w:spacing w:line="240" w:lineRule="auto"/>
        <w:rPr>
          <w:rFonts w:eastAsia="Times New Roman" w:cs="Arial"/>
        </w:rPr>
      </w:pPr>
      <w:r w:rsidRPr="00681708">
        <w:rPr>
          <w:rFonts w:eastAsia="Times New Roman" w:cs="Arial"/>
          <w:color w:val="000000"/>
          <w:lang w:eastAsia="bg-BG"/>
        </w:rPr>
        <w:t>Амбрисентан е несулфонамиден ендотелин-рецепторен антагонист (от класа на пропановата киселина).</w:t>
      </w:r>
    </w:p>
    <w:p w14:paraId="4DDD5A87" w14:textId="77777777" w:rsidR="00681708" w:rsidRDefault="00681708" w:rsidP="00681708">
      <w:pPr>
        <w:spacing w:line="240" w:lineRule="auto"/>
        <w:rPr>
          <w:rFonts w:eastAsia="Times New Roman" w:cs="Arial"/>
          <w:color w:val="000000"/>
          <w:lang w:eastAsia="bg-BG"/>
        </w:rPr>
      </w:pPr>
    </w:p>
    <w:p w14:paraId="4568EC8B" w14:textId="5955DBC8" w:rsidR="00681708" w:rsidRPr="00681708" w:rsidRDefault="00681708" w:rsidP="00681708">
      <w:pPr>
        <w:spacing w:line="240" w:lineRule="auto"/>
        <w:rPr>
          <w:rFonts w:eastAsia="Times New Roman" w:cs="Arial"/>
        </w:rPr>
      </w:pPr>
      <w:r w:rsidRPr="00681708">
        <w:rPr>
          <w:rFonts w:eastAsia="Times New Roman" w:cs="Arial"/>
          <w:color w:val="000000"/>
          <w:lang w:eastAsia="bg-BG"/>
        </w:rPr>
        <w:t xml:space="preserve">Амбрисентан се глюкуронира посредством няколко </w:t>
      </w:r>
      <w:r w:rsidRPr="00681708">
        <w:rPr>
          <w:rFonts w:eastAsia="Times New Roman" w:cs="Arial"/>
          <w:color w:val="000000"/>
          <w:lang w:val="en-US"/>
        </w:rPr>
        <w:t>UGT</w:t>
      </w:r>
      <w:r w:rsidRPr="00681708">
        <w:rPr>
          <w:rFonts w:eastAsia="Times New Roman" w:cs="Arial"/>
          <w:color w:val="000000"/>
        </w:rPr>
        <w:t xml:space="preserve"> </w:t>
      </w:r>
      <w:r w:rsidRPr="00681708">
        <w:rPr>
          <w:rFonts w:eastAsia="Times New Roman" w:cs="Arial"/>
          <w:color w:val="000000"/>
          <w:lang w:eastAsia="bg-BG"/>
        </w:rPr>
        <w:t xml:space="preserve">изоензима </w:t>
      </w:r>
      <w:r w:rsidRPr="00681708">
        <w:rPr>
          <w:rFonts w:eastAsia="Times New Roman" w:cs="Arial"/>
          <w:color w:val="000000"/>
        </w:rPr>
        <w:t>(</w:t>
      </w:r>
      <w:r w:rsidRPr="00681708">
        <w:rPr>
          <w:rFonts w:eastAsia="Times New Roman" w:cs="Arial"/>
          <w:color w:val="000000"/>
          <w:lang w:val="en-US"/>
        </w:rPr>
        <w:t>UGT</w:t>
      </w:r>
      <w:r w:rsidRPr="00681708">
        <w:rPr>
          <w:rFonts w:eastAsia="Times New Roman" w:cs="Arial"/>
          <w:color w:val="000000"/>
        </w:rPr>
        <w:t>1</w:t>
      </w:r>
      <w:r w:rsidRPr="00681708">
        <w:rPr>
          <w:rFonts w:eastAsia="Times New Roman" w:cs="Arial"/>
          <w:color w:val="000000"/>
          <w:lang w:val="en-US"/>
        </w:rPr>
        <w:t>A</w:t>
      </w:r>
      <w:r w:rsidRPr="00681708">
        <w:rPr>
          <w:rFonts w:eastAsia="Times New Roman" w:cs="Arial"/>
          <w:color w:val="000000"/>
        </w:rPr>
        <w:t>9</w:t>
      </w:r>
      <w:r w:rsidRPr="00681708">
        <w:rPr>
          <w:rFonts w:eastAsia="Times New Roman" w:cs="Arial"/>
          <w:color w:val="000000"/>
          <w:lang w:val="en-US"/>
        </w:rPr>
        <w:t>S</w:t>
      </w:r>
      <w:r w:rsidRPr="00681708">
        <w:rPr>
          <w:rFonts w:eastAsia="Times New Roman" w:cs="Arial"/>
          <w:color w:val="000000"/>
        </w:rPr>
        <w:t xml:space="preserve">, </w:t>
      </w:r>
      <w:r w:rsidRPr="00681708">
        <w:rPr>
          <w:rFonts w:eastAsia="Times New Roman" w:cs="Arial"/>
          <w:color w:val="000000"/>
          <w:lang w:val="en-US"/>
        </w:rPr>
        <w:t>UGT</w:t>
      </w:r>
      <w:r w:rsidRPr="00681708">
        <w:rPr>
          <w:rFonts w:eastAsia="Times New Roman" w:cs="Arial"/>
          <w:color w:val="000000"/>
        </w:rPr>
        <w:t>2</w:t>
      </w:r>
      <w:r w:rsidRPr="00681708">
        <w:rPr>
          <w:rFonts w:eastAsia="Times New Roman" w:cs="Arial"/>
          <w:color w:val="000000"/>
          <w:lang w:val="en-US"/>
        </w:rPr>
        <w:t>B</w:t>
      </w:r>
      <w:r w:rsidRPr="00681708">
        <w:rPr>
          <w:rFonts w:eastAsia="Times New Roman" w:cs="Arial"/>
          <w:color w:val="000000"/>
        </w:rPr>
        <w:t>7</w:t>
      </w:r>
      <w:r w:rsidRPr="00681708">
        <w:rPr>
          <w:rFonts w:eastAsia="Times New Roman" w:cs="Arial"/>
          <w:color w:val="000000"/>
          <w:lang w:val="en-US"/>
        </w:rPr>
        <w:t>S</w:t>
      </w:r>
      <w:r w:rsidRPr="00681708">
        <w:rPr>
          <w:rFonts w:eastAsia="Times New Roman" w:cs="Arial"/>
          <w:color w:val="000000"/>
        </w:rPr>
        <w:t xml:space="preserve"> </w:t>
      </w:r>
      <w:r w:rsidRPr="00681708">
        <w:rPr>
          <w:rFonts w:eastAsia="Times New Roman" w:cs="Arial"/>
          <w:color w:val="000000"/>
          <w:lang w:eastAsia="bg-BG"/>
        </w:rPr>
        <w:t xml:space="preserve">и </w:t>
      </w:r>
      <w:r w:rsidRPr="00681708">
        <w:rPr>
          <w:rFonts w:eastAsia="Times New Roman" w:cs="Arial"/>
          <w:color w:val="000000"/>
          <w:lang w:val="en-US"/>
        </w:rPr>
        <w:t>UGT</w:t>
      </w:r>
      <w:r w:rsidRPr="00681708">
        <w:rPr>
          <w:rFonts w:eastAsia="Times New Roman" w:cs="Arial"/>
          <w:color w:val="000000"/>
        </w:rPr>
        <w:t>1</w:t>
      </w:r>
      <w:r w:rsidRPr="00681708">
        <w:rPr>
          <w:rFonts w:eastAsia="Times New Roman" w:cs="Arial"/>
          <w:color w:val="000000"/>
          <w:lang w:val="en-US"/>
        </w:rPr>
        <w:t>A</w:t>
      </w:r>
      <w:r w:rsidRPr="00681708">
        <w:rPr>
          <w:rFonts w:eastAsia="Times New Roman" w:cs="Arial"/>
          <w:color w:val="000000"/>
        </w:rPr>
        <w:t>3</w:t>
      </w:r>
      <w:r w:rsidRPr="00681708">
        <w:rPr>
          <w:rFonts w:eastAsia="Times New Roman" w:cs="Arial"/>
          <w:color w:val="000000"/>
          <w:lang w:val="en-US"/>
        </w:rPr>
        <w:t>S</w:t>
      </w:r>
      <w:r w:rsidRPr="00681708">
        <w:rPr>
          <w:rFonts w:eastAsia="Times New Roman" w:cs="Arial"/>
          <w:color w:val="000000"/>
        </w:rPr>
        <w:t xml:space="preserve">), </w:t>
      </w:r>
      <w:r w:rsidRPr="00681708">
        <w:rPr>
          <w:rFonts w:eastAsia="Times New Roman" w:cs="Arial"/>
          <w:color w:val="000000"/>
          <w:lang w:eastAsia="bg-BG"/>
        </w:rPr>
        <w:t xml:space="preserve">при което се образува амбрисентан глюкуронид (13%). Амбрисентан </w:t>
      </w:r>
      <w:r w:rsidRPr="00681708">
        <w:rPr>
          <w:rFonts w:eastAsia="Times New Roman" w:cs="Arial"/>
          <w:color w:val="000000"/>
          <w:lang w:eastAsia="bg-BG"/>
        </w:rPr>
        <w:lastRenderedPageBreak/>
        <w:t xml:space="preserve">претърпява също и оксидативен метаболизъм основно от </w:t>
      </w:r>
      <w:r w:rsidRPr="00681708">
        <w:rPr>
          <w:rFonts w:eastAsia="Times New Roman" w:cs="Arial"/>
          <w:color w:val="000000"/>
          <w:lang w:val="en-US"/>
        </w:rPr>
        <w:t>CYP</w:t>
      </w:r>
      <w:r w:rsidRPr="00681708">
        <w:rPr>
          <w:rFonts w:eastAsia="Times New Roman" w:cs="Arial"/>
          <w:color w:val="000000"/>
          <w:lang w:val="ru-RU"/>
        </w:rPr>
        <w:t>3</w:t>
      </w:r>
      <w:r w:rsidRPr="00681708">
        <w:rPr>
          <w:rFonts w:eastAsia="Times New Roman" w:cs="Arial"/>
          <w:color w:val="000000"/>
          <w:lang w:val="en-US"/>
        </w:rPr>
        <w:t>A</w:t>
      </w:r>
      <w:r w:rsidRPr="00681708">
        <w:rPr>
          <w:rFonts w:eastAsia="Times New Roman" w:cs="Arial"/>
          <w:color w:val="000000"/>
          <w:lang w:val="ru-RU"/>
        </w:rPr>
        <w:t xml:space="preserve">4 </w:t>
      </w:r>
      <w:r w:rsidRPr="00681708">
        <w:rPr>
          <w:rFonts w:eastAsia="Times New Roman" w:cs="Arial"/>
          <w:color w:val="000000"/>
          <w:lang w:eastAsia="bg-BG"/>
        </w:rPr>
        <w:t xml:space="preserve">и в по-малка степен от </w:t>
      </w:r>
      <w:r w:rsidRPr="00681708">
        <w:rPr>
          <w:rFonts w:eastAsia="Times New Roman" w:cs="Arial"/>
          <w:color w:val="000000"/>
          <w:lang w:val="en-US"/>
        </w:rPr>
        <w:t>CYP</w:t>
      </w:r>
      <w:r w:rsidRPr="00681708">
        <w:rPr>
          <w:rFonts w:eastAsia="Times New Roman" w:cs="Arial"/>
          <w:color w:val="000000"/>
          <w:lang w:val="ru-RU"/>
        </w:rPr>
        <w:t>3</w:t>
      </w:r>
      <w:r w:rsidRPr="00681708">
        <w:rPr>
          <w:rFonts w:eastAsia="Times New Roman" w:cs="Arial"/>
          <w:color w:val="000000"/>
          <w:lang w:val="en-US"/>
        </w:rPr>
        <w:t>A</w:t>
      </w:r>
      <w:r w:rsidRPr="00681708">
        <w:rPr>
          <w:rFonts w:eastAsia="Times New Roman" w:cs="Arial"/>
          <w:color w:val="000000"/>
          <w:lang w:val="ru-RU"/>
        </w:rPr>
        <w:t xml:space="preserve">5 </w:t>
      </w:r>
      <w:r w:rsidRPr="00681708">
        <w:rPr>
          <w:rFonts w:eastAsia="Times New Roman" w:cs="Arial"/>
          <w:color w:val="000000"/>
          <w:lang w:eastAsia="bg-BG"/>
        </w:rPr>
        <w:t xml:space="preserve">и </w:t>
      </w:r>
      <w:r w:rsidRPr="00681708">
        <w:rPr>
          <w:rFonts w:eastAsia="Times New Roman" w:cs="Arial"/>
          <w:color w:val="000000"/>
          <w:lang w:val="en-US"/>
        </w:rPr>
        <w:t>CYP</w:t>
      </w:r>
      <w:r w:rsidRPr="00681708">
        <w:rPr>
          <w:rFonts w:eastAsia="Times New Roman" w:cs="Arial"/>
          <w:color w:val="000000"/>
          <w:lang w:val="ru-RU"/>
        </w:rPr>
        <w:t>2</w:t>
      </w:r>
      <w:r w:rsidRPr="00681708">
        <w:rPr>
          <w:rFonts w:eastAsia="Times New Roman" w:cs="Arial"/>
          <w:color w:val="000000"/>
          <w:lang w:val="en-US"/>
        </w:rPr>
        <w:t>C</w:t>
      </w:r>
      <w:r w:rsidRPr="00681708">
        <w:rPr>
          <w:rFonts w:eastAsia="Times New Roman" w:cs="Arial"/>
          <w:color w:val="000000"/>
          <w:lang w:val="ru-RU"/>
        </w:rPr>
        <w:t xml:space="preserve">19, </w:t>
      </w:r>
      <w:r w:rsidRPr="00681708">
        <w:rPr>
          <w:rFonts w:eastAsia="Times New Roman" w:cs="Arial"/>
          <w:color w:val="000000"/>
          <w:lang w:eastAsia="bg-BG"/>
        </w:rPr>
        <w:t>при което се образува 4-хидроксиметил амбрисентан (21%), който впоследствие се глюкуронира до 4-хидроксиметил амбрисентан глюкуронид (5%). Афинитетът за свързване на 4-хидроксиметил амбрисентан към човешкия ендотелинов рецептор е 65 пъти по-нисък от този на амбрисентан. По тази причина в концентрации, отчетени в плазмата (около 4% свързани с изходния амбрисентан), не се очаква 4-хидроксиметил амбрисентан да допринася за фармакологичната активност на амбрисентан.</w:t>
      </w:r>
    </w:p>
    <w:p w14:paraId="12CD64C3" w14:textId="77777777" w:rsidR="00681708" w:rsidRDefault="00681708" w:rsidP="00681708">
      <w:pPr>
        <w:spacing w:line="240" w:lineRule="auto"/>
        <w:rPr>
          <w:rFonts w:eastAsia="Times New Roman" w:cs="Arial"/>
          <w:i/>
          <w:iCs/>
          <w:color w:val="000000"/>
          <w:lang w:val="en-US"/>
        </w:rPr>
      </w:pPr>
    </w:p>
    <w:p w14:paraId="654757AD" w14:textId="3FE6C2D6" w:rsidR="00681708" w:rsidRPr="00681708" w:rsidRDefault="00681708" w:rsidP="00681708">
      <w:pPr>
        <w:spacing w:line="240" w:lineRule="auto"/>
        <w:rPr>
          <w:rFonts w:eastAsia="Times New Roman" w:cs="Arial"/>
        </w:rPr>
      </w:pPr>
      <w:r w:rsidRPr="00681708">
        <w:rPr>
          <w:rFonts w:eastAsia="Times New Roman" w:cs="Arial"/>
          <w:i/>
          <w:iCs/>
          <w:color w:val="000000"/>
          <w:lang w:val="en-US"/>
        </w:rPr>
        <w:t>In</w:t>
      </w:r>
      <w:r w:rsidRPr="00681708">
        <w:rPr>
          <w:rFonts w:eastAsia="Times New Roman" w:cs="Arial"/>
          <w:i/>
          <w:iCs/>
          <w:color w:val="000000"/>
          <w:lang w:val="ru-RU"/>
        </w:rPr>
        <w:t xml:space="preserve"> </w:t>
      </w:r>
      <w:r w:rsidRPr="00681708">
        <w:rPr>
          <w:rFonts w:eastAsia="Times New Roman" w:cs="Arial"/>
          <w:i/>
          <w:iCs/>
          <w:color w:val="000000"/>
          <w:lang w:val="en-US"/>
        </w:rPr>
        <w:t>vitro</w:t>
      </w:r>
      <w:r w:rsidRPr="00681708">
        <w:rPr>
          <w:rFonts w:eastAsia="Times New Roman" w:cs="Arial"/>
          <w:color w:val="000000"/>
          <w:lang w:val="ru-RU"/>
        </w:rPr>
        <w:t xml:space="preserve"> </w:t>
      </w:r>
      <w:r w:rsidRPr="00681708">
        <w:rPr>
          <w:rFonts w:eastAsia="Times New Roman" w:cs="Arial"/>
          <w:color w:val="000000"/>
          <w:lang w:eastAsia="bg-BG"/>
        </w:rPr>
        <w:t xml:space="preserve">данни показват, че амбрисентан 300 μМ води до по-малко от 50% инхибиране на </w:t>
      </w:r>
      <w:r w:rsidRPr="00681708">
        <w:rPr>
          <w:rFonts w:eastAsia="Times New Roman" w:cs="Arial"/>
          <w:color w:val="000000"/>
          <w:lang w:val="en-US"/>
        </w:rPr>
        <w:t>UGT</w:t>
      </w:r>
      <w:r w:rsidRPr="00681708">
        <w:rPr>
          <w:rFonts w:eastAsia="Times New Roman" w:cs="Arial"/>
          <w:color w:val="000000"/>
          <w:lang w:val="ru-RU"/>
        </w:rPr>
        <w:t>1</w:t>
      </w:r>
      <w:r w:rsidRPr="00681708">
        <w:rPr>
          <w:rFonts w:eastAsia="Times New Roman" w:cs="Arial"/>
          <w:color w:val="000000"/>
          <w:lang w:val="en-US"/>
        </w:rPr>
        <w:t>A</w:t>
      </w:r>
      <w:r w:rsidRPr="00681708">
        <w:rPr>
          <w:rFonts w:eastAsia="Times New Roman" w:cs="Arial"/>
          <w:color w:val="000000"/>
          <w:lang w:val="ru-RU"/>
        </w:rPr>
        <w:t xml:space="preserve">1, </w:t>
      </w:r>
      <w:r w:rsidRPr="00681708">
        <w:rPr>
          <w:rFonts w:eastAsia="Times New Roman" w:cs="Arial"/>
          <w:color w:val="000000"/>
          <w:lang w:val="en-US"/>
        </w:rPr>
        <w:t>UGT</w:t>
      </w:r>
      <w:r w:rsidRPr="00681708">
        <w:rPr>
          <w:rFonts w:eastAsia="Times New Roman" w:cs="Arial"/>
          <w:color w:val="000000"/>
          <w:lang w:val="ru-RU"/>
        </w:rPr>
        <w:t>1</w:t>
      </w:r>
      <w:r w:rsidRPr="00681708">
        <w:rPr>
          <w:rFonts w:eastAsia="Times New Roman" w:cs="Arial"/>
          <w:color w:val="000000"/>
          <w:lang w:val="en-US"/>
        </w:rPr>
        <w:t>A</w:t>
      </w:r>
      <w:r w:rsidRPr="00681708">
        <w:rPr>
          <w:rFonts w:eastAsia="Times New Roman" w:cs="Arial"/>
          <w:color w:val="000000"/>
          <w:lang w:val="ru-RU"/>
        </w:rPr>
        <w:t xml:space="preserve">6, </w:t>
      </w:r>
      <w:r w:rsidRPr="00681708">
        <w:rPr>
          <w:rFonts w:eastAsia="Times New Roman" w:cs="Arial"/>
          <w:color w:val="000000"/>
          <w:lang w:val="en-US"/>
        </w:rPr>
        <w:t>UGT</w:t>
      </w:r>
      <w:r w:rsidRPr="00681708">
        <w:rPr>
          <w:rFonts w:eastAsia="Times New Roman" w:cs="Arial"/>
          <w:color w:val="000000"/>
          <w:lang w:val="ru-RU"/>
        </w:rPr>
        <w:t>1</w:t>
      </w:r>
      <w:r w:rsidRPr="00681708">
        <w:rPr>
          <w:rFonts w:eastAsia="Times New Roman" w:cs="Arial"/>
          <w:color w:val="000000"/>
          <w:lang w:val="en-US"/>
        </w:rPr>
        <w:t>A</w:t>
      </w:r>
      <w:r w:rsidRPr="00681708">
        <w:rPr>
          <w:rFonts w:eastAsia="Times New Roman" w:cs="Arial"/>
          <w:color w:val="000000"/>
          <w:lang w:val="ru-RU"/>
        </w:rPr>
        <w:t xml:space="preserve">9, </w:t>
      </w:r>
      <w:r w:rsidRPr="00681708">
        <w:rPr>
          <w:rFonts w:eastAsia="Times New Roman" w:cs="Arial"/>
          <w:color w:val="000000"/>
          <w:lang w:val="en-US"/>
        </w:rPr>
        <w:t>UGT</w:t>
      </w:r>
      <w:r w:rsidRPr="00681708">
        <w:rPr>
          <w:rFonts w:eastAsia="Times New Roman" w:cs="Arial"/>
          <w:color w:val="000000"/>
          <w:lang w:val="ru-RU"/>
        </w:rPr>
        <w:t>2</w:t>
      </w:r>
      <w:r w:rsidRPr="00681708">
        <w:rPr>
          <w:rFonts w:eastAsia="Times New Roman" w:cs="Arial"/>
          <w:color w:val="000000"/>
          <w:lang w:val="en-US"/>
        </w:rPr>
        <w:t>B</w:t>
      </w:r>
      <w:r w:rsidRPr="00681708">
        <w:rPr>
          <w:rFonts w:eastAsia="Times New Roman" w:cs="Arial"/>
          <w:color w:val="000000"/>
          <w:lang w:val="ru-RU"/>
        </w:rPr>
        <w:t xml:space="preserve">7 </w:t>
      </w:r>
      <w:r w:rsidRPr="00681708">
        <w:rPr>
          <w:rFonts w:eastAsia="Times New Roman" w:cs="Arial"/>
          <w:color w:val="000000"/>
          <w:lang w:eastAsia="bg-BG"/>
        </w:rPr>
        <w:t xml:space="preserve">(до 30%), или на цитохром Р450 ензимите 1А2, 2А6, 2В6, 2С8, 2С9, 2С19, </w:t>
      </w:r>
      <w:r w:rsidRPr="00681708">
        <w:rPr>
          <w:rFonts w:eastAsia="Times New Roman" w:cs="Arial"/>
          <w:color w:val="000000"/>
          <w:lang w:val="ru-RU"/>
        </w:rPr>
        <w:t>2</w:t>
      </w:r>
      <w:r w:rsidRPr="00681708">
        <w:rPr>
          <w:rFonts w:eastAsia="Times New Roman" w:cs="Arial"/>
          <w:color w:val="000000"/>
          <w:lang w:val="en-US"/>
        </w:rPr>
        <w:t>D</w:t>
      </w:r>
      <w:r w:rsidRPr="00681708">
        <w:rPr>
          <w:rFonts w:eastAsia="Times New Roman" w:cs="Arial"/>
          <w:color w:val="000000"/>
          <w:lang w:val="ru-RU"/>
        </w:rPr>
        <w:t>6,</w:t>
      </w:r>
      <w:r w:rsidRPr="00681708">
        <w:rPr>
          <w:rFonts w:eastAsia="Times New Roman" w:cs="Arial"/>
          <w:color w:val="000000"/>
          <w:lang w:eastAsia="bg-BG"/>
        </w:rPr>
        <w:t xml:space="preserve">2Е1 и ЗА4 (до 25%). </w:t>
      </w:r>
      <w:r w:rsidRPr="00681708">
        <w:rPr>
          <w:rFonts w:eastAsia="Times New Roman" w:cs="Arial"/>
          <w:i/>
          <w:iCs/>
          <w:color w:val="000000"/>
          <w:lang w:val="en-US"/>
        </w:rPr>
        <w:t>In</w:t>
      </w:r>
      <w:r w:rsidRPr="00681708">
        <w:rPr>
          <w:rFonts w:eastAsia="Times New Roman" w:cs="Arial"/>
          <w:i/>
          <w:iCs/>
          <w:color w:val="000000"/>
        </w:rPr>
        <w:t xml:space="preserve"> </w:t>
      </w:r>
      <w:r w:rsidRPr="00681708">
        <w:rPr>
          <w:rFonts w:eastAsia="Times New Roman" w:cs="Arial"/>
          <w:i/>
          <w:iCs/>
          <w:color w:val="000000"/>
          <w:lang w:val="en-US"/>
        </w:rPr>
        <w:t>vitro</w:t>
      </w:r>
      <w:r w:rsidRPr="00681708">
        <w:rPr>
          <w:rFonts w:eastAsia="Times New Roman" w:cs="Arial"/>
          <w:color w:val="000000"/>
        </w:rPr>
        <w:t xml:space="preserve"> </w:t>
      </w:r>
      <w:r w:rsidRPr="00681708">
        <w:rPr>
          <w:rFonts w:eastAsia="Times New Roman" w:cs="Arial"/>
          <w:color w:val="000000"/>
          <w:lang w:eastAsia="bg-BG"/>
        </w:rPr>
        <w:t xml:space="preserve">амбрисентан няма инхибиращ ефект върху човешки транспортери в клинично значими концентрации, включително </w:t>
      </w:r>
      <w:proofErr w:type="spellStart"/>
      <w:r w:rsidRPr="00681708">
        <w:rPr>
          <w:rFonts w:eastAsia="Times New Roman" w:cs="Arial"/>
          <w:color w:val="000000"/>
          <w:lang w:val="en-US"/>
        </w:rPr>
        <w:t>Pgp</w:t>
      </w:r>
      <w:proofErr w:type="spellEnd"/>
      <w:r w:rsidRPr="00681708">
        <w:rPr>
          <w:rFonts w:eastAsia="Times New Roman" w:cs="Arial"/>
          <w:color w:val="000000"/>
        </w:rPr>
        <w:t xml:space="preserve">, </w:t>
      </w:r>
      <w:r w:rsidRPr="00681708">
        <w:rPr>
          <w:rFonts w:eastAsia="Times New Roman" w:cs="Arial"/>
          <w:color w:val="000000"/>
          <w:lang w:val="en-US"/>
        </w:rPr>
        <w:t>BCRP</w:t>
      </w:r>
      <w:r w:rsidRPr="00681708">
        <w:rPr>
          <w:rFonts w:eastAsia="Times New Roman" w:cs="Arial"/>
          <w:color w:val="000000"/>
        </w:rPr>
        <w:t xml:space="preserve">, </w:t>
      </w:r>
      <w:r w:rsidRPr="00681708">
        <w:rPr>
          <w:rFonts w:eastAsia="Times New Roman" w:cs="Arial"/>
          <w:color w:val="000000"/>
          <w:lang w:val="en-US"/>
        </w:rPr>
        <w:t>MRP</w:t>
      </w:r>
      <w:r w:rsidRPr="00681708">
        <w:rPr>
          <w:rFonts w:eastAsia="Times New Roman" w:cs="Arial"/>
          <w:color w:val="000000"/>
        </w:rPr>
        <w:t xml:space="preserve">2, </w:t>
      </w:r>
      <w:r w:rsidRPr="00681708">
        <w:rPr>
          <w:rFonts w:eastAsia="Times New Roman" w:cs="Arial"/>
          <w:color w:val="000000"/>
          <w:lang w:val="en-US"/>
        </w:rPr>
        <w:t>BSEP</w:t>
      </w:r>
      <w:r w:rsidRPr="00681708">
        <w:rPr>
          <w:rFonts w:eastAsia="Times New Roman" w:cs="Arial"/>
          <w:color w:val="000000"/>
        </w:rPr>
        <w:t xml:space="preserve">, </w:t>
      </w:r>
      <w:r w:rsidRPr="00681708">
        <w:rPr>
          <w:rFonts w:eastAsia="Times New Roman" w:cs="Arial"/>
          <w:color w:val="000000"/>
          <w:lang w:eastAsia="bg-BG"/>
        </w:rPr>
        <w:t xml:space="preserve">ОАТР1В1, ОАТР1ВЗ и </w:t>
      </w:r>
      <w:r w:rsidRPr="00681708">
        <w:rPr>
          <w:rFonts w:eastAsia="Times New Roman" w:cs="Arial"/>
          <w:smallCaps/>
          <w:color w:val="000000"/>
          <w:lang w:val="en-US"/>
        </w:rPr>
        <w:t>NTCP</w:t>
      </w:r>
      <w:r w:rsidRPr="00681708">
        <w:rPr>
          <w:rFonts w:eastAsia="Times New Roman" w:cs="Arial"/>
          <w:smallCaps/>
          <w:color w:val="000000"/>
        </w:rPr>
        <w:t>.</w:t>
      </w:r>
      <w:r w:rsidRPr="00681708">
        <w:rPr>
          <w:rFonts w:eastAsia="Times New Roman" w:cs="Arial"/>
          <w:color w:val="000000"/>
        </w:rPr>
        <w:t xml:space="preserve"> </w:t>
      </w:r>
      <w:r w:rsidRPr="00681708">
        <w:rPr>
          <w:rFonts w:eastAsia="Times New Roman" w:cs="Arial"/>
          <w:color w:val="000000"/>
          <w:lang w:eastAsia="bg-BG"/>
        </w:rPr>
        <w:t xml:space="preserve">Освен това, амбрисентан не индуцира </w:t>
      </w:r>
      <w:r w:rsidRPr="00681708">
        <w:rPr>
          <w:rFonts w:eastAsia="Times New Roman" w:cs="Arial"/>
          <w:color w:val="000000"/>
          <w:lang w:val="en-US"/>
        </w:rPr>
        <w:t>MRP</w:t>
      </w:r>
      <w:r w:rsidRPr="00681708">
        <w:rPr>
          <w:rFonts w:eastAsia="Times New Roman" w:cs="Arial"/>
          <w:color w:val="000000"/>
          <w:lang w:val="ru-RU"/>
        </w:rPr>
        <w:t xml:space="preserve">2, </w:t>
      </w:r>
      <w:proofErr w:type="spellStart"/>
      <w:r w:rsidRPr="00681708">
        <w:rPr>
          <w:rFonts w:eastAsia="Times New Roman" w:cs="Arial"/>
          <w:color w:val="000000"/>
          <w:lang w:val="en-US"/>
        </w:rPr>
        <w:t>Pgp</w:t>
      </w:r>
      <w:proofErr w:type="spellEnd"/>
      <w:r w:rsidRPr="00681708">
        <w:rPr>
          <w:rFonts w:eastAsia="Times New Roman" w:cs="Arial"/>
          <w:color w:val="000000"/>
          <w:lang w:val="ru-RU"/>
        </w:rPr>
        <w:t xml:space="preserve"> </w:t>
      </w:r>
      <w:r w:rsidRPr="00681708">
        <w:rPr>
          <w:rFonts w:eastAsia="Times New Roman" w:cs="Arial"/>
          <w:color w:val="000000"/>
          <w:lang w:eastAsia="bg-BG"/>
        </w:rPr>
        <w:t xml:space="preserve">или </w:t>
      </w:r>
      <w:r w:rsidRPr="00681708">
        <w:rPr>
          <w:rFonts w:eastAsia="Times New Roman" w:cs="Arial"/>
          <w:color w:val="000000"/>
          <w:lang w:val="en-US"/>
        </w:rPr>
        <w:t>BSEP</w:t>
      </w:r>
      <w:r w:rsidRPr="00681708">
        <w:rPr>
          <w:rFonts w:eastAsia="Times New Roman" w:cs="Arial"/>
          <w:color w:val="000000"/>
          <w:lang w:val="ru-RU"/>
        </w:rPr>
        <w:t xml:space="preserve"> </w:t>
      </w:r>
      <w:r w:rsidRPr="00681708">
        <w:rPr>
          <w:rFonts w:eastAsia="Times New Roman" w:cs="Arial"/>
          <w:color w:val="000000"/>
          <w:lang w:eastAsia="bg-BG"/>
        </w:rPr>
        <w:t xml:space="preserve">протеиновата експресия в хепатоцити на плъх. Взети заедно, </w:t>
      </w:r>
      <w:r w:rsidRPr="00681708">
        <w:rPr>
          <w:rFonts w:eastAsia="Times New Roman" w:cs="Arial"/>
          <w:i/>
          <w:iCs/>
          <w:color w:val="000000"/>
          <w:lang w:val="en-US"/>
        </w:rPr>
        <w:t>in</w:t>
      </w:r>
      <w:r w:rsidRPr="00681708">
        <w:rPr>
          <w:rFonts w:eastAsia="Times New Roman" w:cs="Arial"/>
          <w:i/>
          <w:iCs/>
          <w:color w:val="000000"/>
          <w:lang w:val="ru-RU"/>
        </w:rPr>
        <w:t xml:space="preserve"> </w:t>
      </w:r>
      <w:r w:rsidRPr="00681708">
        <w:rPr>
          <w:rFonts w:eastAsia="Times New Roman" w:cs="Arial"/>
          <w:i/>
          <w:iCs/>
          <w:color w:val="000000"/>
          <w:lang w:val="en-US"/>
        </w:rPr>
        <w:t>vitro</w:t>
      </w:r>
      <w:r w:rsidRPr="00681708">
        <w:rPr>
          <w:rFonts w:eastAsia="Times New Roman" w:cs="Arial"/>
          <w:color w:val="000000"/>
          <w:lang w:val="ru-RU"/>
        </w:rPr>
        <w:t xml:space="preserve"> </w:t>
      </w:r>
      <w:r w:rsidRPr="00681708">
        <w:rPr>
          <w:rFonts w:eastAsia="Times New Roman" w:cs="Arial"/>
          <w:color w:val="000000"/>
          <w:lang w:eastAsia="bg-BG"/>
        </w:rPr>
        <w:t>данните предполагат, че амбрисентан в клинично значими концентрации (плазмена С</w:t>
      </w:r>
      <w:r w:rsidRPr="00681708">
        <w:rPr>
          <w:rFonts w:eastAsia="Times New Roman" w:cs="Arial"/>
          <w:color w:val="000000"/>
          <w:vertAlign w:val="subscript"/>
          <w:lang w:val="en-US"/>
        </w:rPr>
        <w:t>max</w:t>
      </w:r>
      <w:r w:rsidRPr="00681708">
        <w:rPr>
          <w:rFonts w:eastAsia="Times New Roman" w:cs="Arial"/>
          <w:color w:val="000000"/>
          <w:lang w:eastAsia="bg-BG"/>
        </w:rPr>
        <w:t xml:space="preserve"> до 3,2 μМ), не се очаква да има ефект върху </w:t>
      </w:r>
      <w:r w:rsidRPr="00681708">
        <w:rPr>
          <w:rFonts w:eastAsia="Times New Roman" w:cs="Arial"/>
          <w:color w:val="000000"/>
          <w:lang w:val="en-US"/>
        </w:rPr>
        <w:t>UGT</w:t>
      </w:r>
      <w:r w:rsidRPr="00681708">
        <w:rPr>
          <w:rFonts w:eastAsia="Times New Roman" w:cs="Arial"/>
          <w:color w:val="000000"/>
          <w:lang w:val="ru-RU"/>
        </w:rPr>
        <w:t>1</w:t>
      </w:r>
      <w:r w:rsidRPr="00681708">
        <w:rPr>
          <w:rFonts w:eastAsia="Times New Roman" w:cs="Arial"/>
          <w:color w:val="000000"/>
          <w:lang w:val="en-US"/>
        </w:rPr>
        <w:t>A</w:t>
      </w:r>
      <w:r w:rsidRPr="00681708">
        <w:rPr>
          <w:rFonts w:eastAsia="Times New Roman" w:cs="Arial"/>
          <w:color w:val="000000"/>
          <w:lang w:val="ru-RU"/>
        </w:rPr>
        <w:t xml:space="preserve">1, </w:t>
      </w:r>
      <w:r w:rsidRPr="00681708">
        <w:rPr>
          <w:rFonts w:eastAsia="Times New Roman" w:cs="Arial"/>
          <w:color w:val="000000"/>
          <w:lang w:val="en-US"/>
        </w:rPr>
        <w:t>UGT</w:t>
      </w:r>
      <w:r w:rsidRPr="00681708">
        <w:rPr>
          <w:rFonts w:eastAsia="Times New Roman" w:cs="Arial"/>
          <w:color w:val="000000"/>
          <w:lang w:val="ru-RU"/>
        </w:rPr>
        <w:t>1</w:t>
      </w:r>
      <w:r w:rsidRPr="00681708">
        <w:rPr>
          <w:rFonts w:eastAsia="Times New Roman" w:cs="Arial"/>
          <w:color w:val="000000"/>
          <w:lang w:val="en-US"/>
        </w:rPr>
        <w:t>A</w:t>
      </w:r>
      <w:r w:rsidRPr="00681708">
        <w:rPr>
          <w:rFonts w:eastAsia="Times New Roman" w:cs="Arial"/>
          <w:color w:val="000000"/>
          <w:lang w:val="ru-RU"/>
        </w:rPr>
        <w:t xml:space="preserve">6, </w:t>
      </w:r>
      <w:r w:rsidRPr="00681708">
        <w:rPr>
          <w:rFonts w:eastAsia="Times New Roman" w:cs="Arial"/>
          <w:color w:val="000000"/>
          <w:lang w:val="en-US"/>
        </w:rPr>
        <w:t>UGT</w:t>
      </w:r>
      <w:r w:rsidRPr="00681708">
        <w:rPr>
          <w:rFonts w:eastAsia="Times New Roman" w:cs="Arial"/>
          <w:color w:val="000000"/>
          <w:lang w:val="ru-RU"/>
        </w:rPr>
        <w:t>1</w:t>
      </w:r>
      <w:r w:rsidRPr="00681708">
        <w:rPr>
          <w:rFonts w:eastAsia="Times New Roman" w:cs="Arial"/>
          <w:color w:val="000000"/>
          <w:lang w:val="en-US"/>
        </w:rPr>
        <w:t>A</w:t>
      </w:r>
      <w:r w:rsidRPr="00681708">
        <w:rPr>
          <w:rFonts w:eastAsia="Times New Roman" w:cs="Arial"/>
          <w:color w:val="000000"/>
          <w:lang w:val="ru-RU"/>
        </w:rPr>
        <w:t xml:space="preserve">9, </w:t>
      </w:r>
      <w:r w:rsidRPr="00681708">
        <w:rPr>
          <w:rFonts w:eastAsia="Times New Roman" w:cs="Arial"/>
          <w:color w:val="000000"/>
          <w:lang w:val="en-US"/>
        </w:rPr>
        <w:t>UGT</w:t>
      </w:r>
      <w:r w:rsidRPr="00681708">
        <w:rPr>
          <w:rFonts w:eastAsia="Times New Roman" w:cs="Arial"/>
          <w:color w:val="000000"/>
          <w:lang w:val="ru-RU"/>
        </w:rPr>
        <w:t>2</w:t>
      </w:r>
      <w:r w:rsidRPr="00681708">
        <w:rPr>
          <w:rFonts w:eastAsia="Times New Roman" w:cs="Arial"/>
          <w:color w:val="000000"/>
          <w:lang w:val="en-US"/>
        </w:rPr>
        <w:t>B</w:t>
      </w:r>
      <w:r w:rsidRPr="00681708">
        <w:rPr>
          <w:rFonts w:eastAsia="Times New Roman" w:cs="Arial"/>
          <w:color w:val="000000"/>
          <w:lang w:val="ru-RU"/>
        </w:rPr>
        <w:t xml:space="preserve">7 </w:t>
      </w:r>
      <w:r w:rsidRPr="00681708">
        <w:rPr>
          <w:rFonts w:eastAsia="Times New Roman" w:cs="Arial"/>
          <w:color w:val="000000"/>
          <w:lang w:eastAsia="bg-BG"/>
        </w:rPr>
        <w:t>или цитохром Р450 ензимите 1А2,</w:t>
      </w:r>
      <w:r w:rsidRPr="00681708">
        <w:rPr>
          <w:rFonts w:eastAsia="Times New Roman" w:cs="Arial"/>
          <w:color w:val="000000"/>
          <w:lang w:val="ru-RU"/>
        </w:rPr>
        <w:t xml:space="preserve"> </w:t>
      </w:r>
      <w:r w:rsidRPr="00681708">
        <w:rPr>
          <w:rFonts w:eastAsia="Times New Roman" w:cs="Arial"/>
          <w:color w:val="000000"/>
          <w:lang w:eastAsia="bg-BG"/>
        </w:rPr>
        <w:t>2А6, 2В6,</w:t>
      </w:r>
      <w:r w:rsidRPr="00681708">
        <w:rPr>
          <w:rFonts w:eastAsia="Times New Roman" w:cs="Arial"/>
          <w:color w:val="000000"/>
          <w:lang w:val="ru-RU"/>
        </w:rPr>
        <w:t xml:space="preserve"> </w:t>
      </w:r>
      <w:r w:rsidRPr="00681708">
        <w:rPr>
          <w:rFonts w:eastAsia="Times New Roman" w:cs="Arial"/>
          <w:color w:val="000000"/>
          <w:lang w:eastAsia="bg-BG"/>
        </w:rPr>
        <w:t>2С8,</w:t>
      </w:r>
      <w:r w:rsidRPr="00681708">
        <w:rPr>
          <w:rFonts w:eastAsia="Times New Roman" w:cs="Arial"/>
          <w:color w:val="000000"/>
          <w:lang w:val="ru-RU"/>
        </w:rPr>
        <w:t xml:space="preserve"> </w:t>
      </w:r>
      <w:r w:rsidRPr="00681708">
        <w:rPr>
          <w:rFonts w:eastAsia="Times New Roman" w:cs="Arial"/>
          <w:color w:val="000000"/>
          <w:lang w:eastAsia="bg-BG"/>
        </w:rPr>
        <w:t>2С9, 2С19,</w:t>
      </w:r>
      <w:r w:rsidRPr="00681708">
        <w:rPr>
          <w:rFonts w:eastAsia="Times New Roman" w:cs="Arial"/>
          <w:color w:val="000000"/>
          <w:lang w:val="ru-RU"/>
        </w:rPr>
        <w:t xml:space="preserve"> 2</w:t>
      </w:r>
      <w:r w:rsidRPr="00681708">
        <w:rPr>
          <w:rFonts w:eastAsia="Times New Roman" w:cs="Arial"/>
          <w:color w:val="000000"/>
          <w:lang w:val="en-US"/>
        </w:rPr>
        <w:t>D</w:t>
      </w:r>
      <w:r w:rsidRPr="00681708">
        <w:rPr>
          <w:rFonts w:eastAsia="Times New Roman" w:cs="Arial"/>
          <w:color w:val="000000"/>
          <w:lang w:val="ru-RU"/>
        </w:rPr>
        <w:t xml:space="preserve">6, </w:t>
      </w:r>
      <w:r w:rsidRPr="00681708">
        <w:rPr>
          <w:rFonts w:eastAsia="Times New Roman" w:cs="Arial"/>
          <w:color w:val="000000"/>
          <w:lang w:eastAsia="bg-BG"/>
        </w:rPr>
        <w:t xml:space="preserve">2Е1, ЗА4 или върху транспорта чрез </w:t>
      </w:r>
      <w:r w:rsidRPr="00681708">
        <w:rPr>
          <w:rFonts w:eastAsia="Times New Roman" w:cs="Arial"/>
          <w:color w:val="000000"/>
          <w:lang w:val="en-US"/>
        </w:rPr>
        <w:t>BSEP</w:t>
      </w:r>
      <w:r w:rsidRPr="00681708">
        <w:rPr>
          <w:rFonts w:eastAsia="Times New Roman" w:cs="Arial"/>
          <w:color w:val="000000"/>
          <w:lang w:val="ru-RU"/>
        </w:rPr>
        <w:t xml:space="preserve">, </w:t>
      </w:r>
      <w:r w:rsidRPr="00681708">
        <w:rPr>
          <w:rFonts w:eastAsia="Times New Roman" w:cs="Arial"/>
          <w:color w:val="000000"/>
          <w:lang w:val="en-US"/>
        </w:rPr>
        <w:t>BCRP</w:t>
      </w:r>
      <w:r w:rsidRPr="00681708">
        <w:rPr>
          <w:rFonts w:eastAsia="Times New Roman" w:cs="Arial"/>
          <w:color w:val="000000"/>
          <w:lang w:val="ru-RU"/>
        </w:rPr>
        <w:t xml:space="preserve">, </w:t>
      </w:r>
      <w:proofErr w:type="spellStart"/>
      <w:r w:rsidRPr="00681708">
        <w:rPr>
          <w:rFonts w:eastAsia="Times New Roman" w:cs="Arial"/>
          <w:color w:val="000000"/>
          <w:lang w:val="en-US"/>
        </w:rPr>
        <w:t>Pgp</w:t>
      </w:r>
      <w:proofErr w:type="spellEnd"/>
      <w:r w:rsidRPr="00681708">
        <w:rPr>
          <w:rFonts w:eastAsia="Times New Roman" w:cs="Arial"/>
          <w:color w:val="000000"/>
          <w:lang w:val="ru-RU"/>
        </w:rPr>
        <w:t xml:space="preserve">, </w:t>
      </w:r>
      <w:r w:rsidRPr="00681708">
        <w:rPr>
          <w:rFonts w:eastAsia="Times New Roman" w:cs="Arial"/>
          <w:color w:val="000000"/>
          <w:lang w:val="en-US"/>
        </w:rPr>
        <w:t>MRP</w:t>
      </w:r>
      <w:r w:rsidRPr="00681708">
        <w:rPr>
          <w:rFonts w:eastAsia="Times New Roman" w:cs="Arial"/>
          <w:color w:val="000000"/>
          <w:lang w:val="ru-RU"/>
        </w:rPr>
        <w:t xml:space="preserve">2, </w:t>
      </w:r>
      <w:r w:rsidRPr="00681708">
        <w:rPr>
          <w:rFonts w:eastAsia="Times New Roman" w:cs="Arial"/>
          <w:color w:val="000000"/>
          <w:lang w:eastAsia="bg-BG"/>
        </w:rPr>
        <w:t xml:space="preserve">ОАТР1В1/3, или </w:t>
      </w:r>
      <w:r w:rsidRPr="00681708">
        <w:rPr>
          <w:rFonts w:eastAsia="Times New Roman" w:cs="Arial"/>
          <w:color w:val="000000"/>
          <w:lang w:val="en-US"/>
        </w:rPr>
        <w:t>NTCP</w:t>
      </w:r>
      <w:r w:rsidRPr="00681708">
        <w:rPr>
          <w:rFonts w:eastAsia="Times New Roman" w:cs="Arial"/>
          <w:color w:val="000000"/>
          <w:lang w:val="ru-RU"/>
        </w:rPr>
        <w:t>.</w:t>
      </w:r>
    </w:p>
    <w:p w14:paraId="333CC311" w14:textId="77777777" w:rsidR="00681708" w:rsidRDefault="00681708" w:rsidP="00681708">
      <w:pPr>
        <w:spacing w:line="240" w:lineRule="auto"/>
        <w:rPr>
          <w:rFonts w:eastAsia="Times New Roman" w:cs="Arial"/>
          <w:color w:val="000000"/>
          <w:lang w:eastAsia="bg-BG"/>
        </w:rPr>
      </w:pPr>
    </w:p>
    <w:p w14:paraId="7CFB771D" w14:textId="6C9F3839" w:rsidR="00681708" w:rsidRPr="00681708" w:rsidRDefault="00681708" w:rsidP="00681708">
      <w:pPr>
        <w:spacing w:line="240" w:lineRule="auto"/>
        <w:rPr>
          <w:rFonts w:eastAsia="Times New Roman" w:cs="Arial"/>
        </w:rPr>
      </w:pPr>
      <w:r w:rsidRPr="00681708">
        <w:rPr>
          <w:rFonts w:eastAsia="Times New Roman" w:cs="Arial"/>
          <w:color w:val="000000"/>
          <w:lang w:eastAsia="bg-BG"/>
        </w:rPr>
        <w:t xml:space="preserve">Ефектите на амбрисентан в стационарно състояние (10 </w:t>
      </w:r>
      <w:r w:rsidRPr="00681708">
        <w:rPr>
          <w:rFonts w:eastAsia="Times New Roman" w:cs="Arial"/>
          <w:color w:val="000000"/>
          <w:lang w:val="en-US"/>
        </w:rPr>
        <w:t>mg</w:t>
      </w:r>
      <w:r w:rsidRPr="00681708">
        <w:rPr>
          <w:rFonts w:eastAsia="Times New Roman" w:cs="Arial"/>
          <w:color w:val="000000"/>
          <w:lang w:val="ru-RU"/>
        </w:rPr>
        <w:t xml:space="preserve"> </w:t>
      </w:r>
      <w:r w:rsidRPr="00681708">
        <w:rPr>
          <w:rFonts w:eastAsia="Times New Roman" w:cs="Arial"/>
          <w:color w:val="000000"/>
          <w:lang w:eastAsia="bg-BG"/>
        </w:rPr>
        <w:t xml:space="preserve">веднъж дневно) върху фармакокинетиката и фармакодинамиката на еднократна доза варфарин (25 </w:t>
      </w:r>
      <w:r w:rsidRPr="00681708">
        <w:rPr>
          <w:rFonts w:eastAsia="Times New Roman" w:cs="Arial"/>
          <w:color w:val="000000"/>
          <w:lang w:val="en-US"/>
        </w:rPr>
        <w:t>mg</w:t>
      </w:r>
      <w:r w:rsidRPr="00681708">
        <w:rPr>
          <w:rFonts w:eastAsia="Times New Roman" w:cs="Arial"/>
          <w:color w:val="000000"/>
          <w:lang w:val="ru-RU"/>
        </w:rPr>
        <w:t xml:space="preserve">), </w:t>
      </w:r>
      <w:r w:rsidRPr="00681708">
        <w:rPr>
          <w:rFonts w:eastAsia="Times New Roman" w:cs="Arial"/>
          <w:color w:val="000000"/>
          <w:lang w:eastAsia="bg-BG"/>
        </w:rPr>
        <w:t xml:space="preserve">измерени чрез протромбиновото време (РТ) и международното нормализирано отношение </w:t>
      </w:r>
      <w:r w:rsidRPr="00681708">
        <w:rPr>
          <w:rFonts w:eastAsia="Times New Roman" w:cs="Arial"/>
          <w:color w:val="000000"/>
          <w:lang w:val="ru-RU"/>
        </w:rPr>
        <w:t>(</w:t>
      </w:r>
      <w:r w:rsidRPr="00681708">
        <w:rPr>
          <w:rFonts w:eastAsia="Times New Roman" w:cs="Arial"/>
          <w:color w:val="000000"/>
          <w:lang w:val="en-US"/>
        </w:rPr>
        <w:t>INR</w:t>
      </w:r>
      <w:r w:rsidRPr="00681708">
        <w:rPr>
          <w:rFonts w:eastAsia="Times New Roman" w:cs="Arial"/>
          <w:color w:val="000000"/>
          <w:lang w:val="ru-RU"/>
        </w:rPr>
        <w:t xml:space="preserve">), </w:t>
      </w:r>
      <w:r w:rsidRPr="00681708">
        <w:rPr>
          <w:rFonts w:eastAsia="Times New Roman" w:cs="Arial"/>
          <w:color w:val="000000"/>
          <w:lang w:eastAsia="bg-BG"/>
        </w:rPr>
        <w:t>са проучени при 20 здрави доброволци. Амбрисентан няма клинично значими ефекти върху фармакокинетиката или фармакодинамиката на варфарин. Също така, едновременното прилагане с варфарин не оказва влияние върху фармакокинетиката на амбрисентан (вж. точка 4.5).</w:t>
      </w:r>
    </w:p>
    <w:p w14:paraId="4A1FAF06" w14:textId="77777777" w:rsidR="00681708" w:rsidRDefault="00681708" w:rsidP="00681708">
      <w:pPr>
        <w:spacing w:line="240" w:lineRule="auto"/>
        <w:rPr>
          <w:rFonts w:eastAsia="Times New Roman" w:cs="Arial"/>
          <w:color w:val="000000"/>
          <w:lang w:eastAsia="bg-BG"/>
        </w:rPr>
      </w:pPr>
    </w:p>
    <w:p w14:paraId="5615899F" w14:textId="3D142D6E" w:rsidR="00681708" w:rsidRPr="00681708" w:rsidRDefault="00681708" w:rsidP="00681708">
      <w:pPr>
        <w:spacing w:line="240" w:lineRule="auto"/>
        <w:rPr>
          <w:rFonts w:eastAsia="Times New Roman" w:cs="Arial"/>
        </w:rPr>
      </w:pPr>
      <w:r w:rsidRPr="00681708">
        <w:rPr>
          <w:rFonts w:eastAsia="Times New Roman" w:cs="Arial"/>
          <w:color w:val="000000"/>
          <w:lang w:eastAsia="bg-BG"/>
        </w:rPr>
        <w:t xml:space="preserve">Ефектът на 7-дневно прилагане на силденафил (20 </w:t>
      </w:r>
      <w:r w:rsidRPr="00681708">
        <w:rPr>
          <w:rFonts w:eastAsia="Times New Roman" w:cs="Arial"/>
          <w:color w:val="000000"/>
          <w:lang w:val="en-US"/>
        </w:rPr>
        <w:t>mg</w:t>
      </w:r>
      <w:r w:rsidRPr="00681708">
        <w:rPr>
          <w:rFonts w:eastAsia="Times New Roman" w:cs="Arial"/>
          <w:color w:val="000000"/>
          <w:lang w:val="ru-RU"/>
        </w:rPr>
        <w:t xml:space="preserve"> </w:t>
      </w:r>
      <w:r w:rsidRPr="00681708">
        <w:rPr>
          <w:rFonts w:eastAsia="Times New Roman" w:cs="Arial"/>
          <w:color w:val="000000"/>
          <w:lang w:eastAsia="bg-BG"/>
        </w:rPr>
        <w:t xml:space="preserve">три пъти дневно) върху фармакокинетиката на еднократна доза амбрисентан и ефектите на 7-дневно прилагане на амбрисентан (10 </w:t>
      </w:r>
      <w:r w:rsidRPr="00681708">
        <w:rPr>
          <w:rFonts w:eastAsia="Times New Roman" w:cs="Arial"/>
          <w:color w:val="000000"/>
          <w:lang w:val="en-US"/>
        </w:rPr>
        <w:t>mg</w:t>
      </w:r>
      <w:r w:rsidRPr="00681708">
        <w:rPr>
          <w:rFonts w:eastAsia="Times New Roman" w:cs="Arial"/>
          <w:color w:val="000000"/>
          <w:lang w:val="ru-RU"/>
        </w:rPr>
        <w:t xml:space="preserve"> </w:t>
      </w:r>
      <w:r w:rsidRPr="00681708">
        <w:rPr>
          <w:rFonts w:eastAsia="Times New Roman" w:cs="Arial"/>
          <w:color w:val="000000"/>
          <w:lang w:eastAsia="bg-BG"/>
        </w:rPr>
        <w:t xml:space="preserve">веднъж дневно) върху фармакокинетиката на еднократна доза силденафил са проучени при 19 здрави доброволци. Няма други промени във фармакокинетичните параметри на силденафил, </w:t>
      </w:r>
      <w:r w:rsidRPr="00681708">
        <w:rPr>
          <w:rFonts w:eastAsia="Times New Roman" w:cs="Arial"/>
          <w:color w:val="000000"/>
          <w:lang w:val="en-US"/>
        </w:rPr>
        <w:t>N</w:t>
      </w:r>
      <w:r w:rsidRPr="00681708">
        <w:rPr>
          <w:rFonts w:eastAsia="Times New Roman" w:cs="Arial"/>
          <w:color w:val="000000"/>
          <w:lang w:eastAsia="bg-BG"/>
        </w:rPr>
        <w:t>-дезметил-силденафил и амбрисентан, освен 13% увеличение на С</w:t>
      </w:r>
      <w:r w:rsidRPr="00681708">
        <w:rPr>
          <w:rFonts w:eastAsia="Times New Roman" w:cs="Arial"/>
          <w:color w:val="000000"/>
          <w:vertAlign w:val="subscript"/>
          <w:lang w:val="en-US"/>
        </w:rPr>
        <w:t>max</w:t>
      </w:r>
      <w:r w:rsidRPr="00681708">
        <w:rPr>
          <w:rFonts w:eastAsia="Times New Roman" w:cs="Arial"/>
          <w:color w:val="000000"/>
          <w:lang w:eastAsia="bg-BG"/>
        </w:rPr>
        <w:t xml:space="preserve"> на силденафил след едновременно прилагане с амбрисентан. Това слабо повишаване на С</w:t>
      </w:r>
      <w:r w:rsidRPr="00681708">
        <w:rPr>
          <w:rFonts w:eastAsia="Times New Roman" w:cs="Arial"/>
          <w:color w:val="000000"/>
          <w:vertAlign w:val="subscript"/>
          <w:lang w:val="en-US"/>
        </w:rPr>
        <w:t>max</w:t>
      </w:r>
      <w:r w:rsidRPr="00681708">
        <w:rPr>
          <w:rFonts w:eastAsia="Times New Roman" w:cs="Arial"/>
          <w:color w:val="000000"/>
          <w:lang w:eastAsia="bg-BG"/>
        </w:rPr>
        <w:t xml:space="preserve"> на силденафил не се счита за клинично значимо (вж. точка 4.5).</w:t>
      </w:r>
    </w:p>
    <w:p w14:paraId="23886281" w14:textId="77777777" w:rsidR="00681708" w:rsidRDefault="00681708" w:rsidP="00681708">
      <w:pPr>
        <w:spacing w:line="240" w:lineRule="auto"/>
        <w:rPr>
          <w:rFonts w:eastAsia="Times New Roman" w:cs="Arial"/>
          <w:color w:val="000000"/>
          <w:lang w:eastAsia="bg-BG"/>
        </w:rPr>
      </w:pPr>
    </w:p>
    <w:p w14:paraId="134D7CCB" w14:textId="3C8A5FC2" w:rsidR="00681708" w:rsidRPr="00681708" w:rsidRDefault="00681708" w:rsidP="00681708">
      <w:pPr>
        <w:spacing w:line="240" w:lineRule="auto"/>
        <w:rPr>
          <w:rFonts w:eastAsia="Times New Roman" w:cs="Arial"/>
        </w:rPr>
      </w:pPr>
      <w:r w:rsidRPr="00681708">
        <w:rPr>
          <w:rFonts w:eastAsia="Times New Roman" w:cs="Arial"/>
          <w:color w:val="000000"/>
          <w:lang w:eastAsia="bg-BG"/>
        </w:rPr>
        <w:t xml:space="preserve">Ефектите на амбрисентан в стационарно състояние (10 </w:t>
      </w:r>
      <w:r w:rsidRPr="00681708">
        <w:rPr>
          <w:rFonts w:eastAsia="Times New Roman" w:cs="Arial"/>
          <w:color w:val="000000"/>
          <w:lang w:val="en-US"/>
        </w:rPr>
        <w:t>mg</w:t>
      </w:r>
      <w:r w:rsidRPr="00681708">
        <w:rPr>
          <w:rFonts w:eastAsia="Times New Roman" w:cs="Arial"/>
          <w:color w:val="000000"/>
          <w:lang w:val="ru-RU"/>
        </w:rPr>
        <w:t xml:space="preserve"> </w:t>
      </w:r>
      <w:r w:rsidRPr="00681708">
        <w:rPr>
          <w:rFonts w:eastAsia="Times New Roman" w:cs="Arial"/>
          <w:color w:val="000000"/>
          <w:lang w:eastAsia="bg-BG"/>
        </w:rPr>
        <w:t xml:space="preserve">веднъж дневно) върху фармакокинетиката на еднократна доза тадалафил и ефектите на тадалафил в стационарно състояние (40 </w:t>
      </w:r>
      <w:r w:rsidRPr="00681708">
        <w:rPr>
          <w:rFonts w:eastAsia="Times New Roman" w:cs="Arial"/>
          <w:color w:val="000000"/>
          <w:lang w:val="en-US"/>
        </w:rPr>
        <w:t>mg</w:t>
      </w:r>
      <w:r w:rsidRPr="00681708">
        <w:rPr>
          <w:rFonts w:eastAsia="Times New Roman" w:cs="Arial"/>
          <w:color w:val="000000"/>
          <w:lang w:val="ru-RU"/>
        </w:rPr>
        <w:t xml:space="preserve"> </w:t>
      </w:r>
      <w:r w:rsidRPr="00681708">
        <w:rPr>
          <w:rFonts w:eastAsia="Times New Roman" w:cs="Arial"/>
          <w:color w:val="000000"/>
          <w:lang w:eastAsia="bg-BG"/>
        </w:rPr>
        <w:t>веднъж дневно) върху фармакокинетиката на еднократна доза амбрисентан са проучени при 23 здрави доброволци. Амбрисентан няма клинично значими ефекти върху фармакокинетиката на тадалафил. Също така, едновременното прилагане с тадалафил не оказва влияние върху фармакокинетиката на амбрисентан (вж. точка 4.5)</w:t>
      </w:r>
    </w:p>
    <w:p w14:paraId="6F89052A" w14:textId="77777777" w:rsidR="00681708" w:rsidRDefault="00681708" w:rsidP="00681708">
      <w:pPr>
        <w:spacing w:line="240" w:lineRule="auto"/>
        <w:rPr>
          <w:rFonts w:eastAsia="Times New Roman" w:cs="Arial"/>
          <w:color w:val="000000"/>
          <w:lang w:eastAsia="bg-BG"/>
        </w:rPr>
      </w:pPr>
    </w:p>
    <w:p w14:paraId="1EB93E08" w14:textId="4237BE36" w:rsidR="00681708" w:rsidRPr="00681708" w:rsidRDefault="00681708" w:rsidP="00681708">
      <w:pPr>
        <w:spacing w:line="240" w:lineRule="auto"/>
        <w:rPr>
          <w:rFonts w:eastAsia="Times New Roman" w:cs="Arial"/>
        </w:rPr>
      </w:pPr>
      <w:r w:rsidRPr="00681708">
        <w:rPr>
          <w:rFonts w:eastAsia="Times New Roman" w:cs="Arial"/>
          <w:color w:val="000000"/>
          <w:lang w:eastAsia="bg-BG"/>
        </w:rPr>
        <w:t xml:space="preserve">Ефектите на многократно прилагане на кетоконазол (400 </w:t>
      </w:r>
      <w:r w:rsidRPr="00681708">
        <w:rPr>
          <w:rFonts w:eastAsia="Times New Roman" w:cs="Arial"/>
          <w:color w:val="000000"/>
          <w:lang w:val="en-US"/>
        </w:rPr>
        <w:t>mg</w:t>
      </w:r>
      <w:r w:rsidRPr="00681708">
        <w:rPr>
          <w:rFonts w:eastAsia="Times New Roman" w:cs="Arial"/>
          <w:color w:val="000000"/>
          <w:lang w:val="ru-RU"/>
        </w:rPr>
        <w:t xml:space="preserve"> </w:t>
      </w:r>
      <w:r w:rsidRPr="00681708">
        <w:rPr>
          <w:rFonts w:eastAsia="Times New Roman" w:cs="Arial"/>
          <w:color w:val="000000"/>
          <w:lang w:eastAsia="bg-BG"/>
        </w:rPr>
        <w:t xml:space="preserve">веднъж дневно) върху фармакокинетиката на еднократна доза 10 </w:t>
      </w:r>
      <w:r w:rsidRPr="00681708">
        <w:rPr>
          <w:rFonts w:eastAsia="Times New Roman" w:cs="Arial"/>
          <w:color w:val="000000"/>
          <w:lang w:val="en-US"/>
        </w:rPr>
        <w:t>mg</w:t>
      </w:r>
      <w:r w:rsidRPr="00681708">
        <w:rPr>
          <w:rFonts w:eastAsia="Times New Roman" w:cs="Arial"/>
          <w:color w:val="000000"/>
          <w:lang w:val="ru-RU"/>
        </w:rPr>
        <w:t xml:space="preserve"> </w:t>
      </w:r>
      <w:r w:rsidRPr="00681708">
        <w:rPr>
          <w:rFonts w:eastAsia="Times New Roman" w:cs="Arial"/>
          <w:color w:val="000000"/>
          <w:lang w:eastAsia="bg-BG"/>
        </w:rPr>
        <w:t>амбрисентан са проучени при 16 здрави</w:t>
      </w:r>
      <w:r w:rsidRPr="00681708">
        <w:rPr>
          <w:rFonts w:eastAsia="Times New Roman" w:cs="Arial"/>
          <w:color w:val="000000"/>
          <w:u w:val="single"/>
          <w:lang w:eastAsia="bg-BG"/>
        </w:rPr>
        <w:t xml:space="preserve"> </w:t>
      </w:r>
      <w:r w:rsidRPr="00681708">
        <w:rPr>
          <w:rFonts w:eastAsia="Times New Roman" w:cs="Arial"/>
          <w:color w:val="000000"/>
          <w:lang w:eastAsia="bg-BG"/>
        </w:rPr>
        <w:t xml:space="preserve">доброволци. Експозицията на амбрисентан, оценена чрез </w:t>
      </w:r>
      <w:r w:rsidRPr="00681708">
        <w:rPr>
          <w:rFonts w:eastAsia="Times New Roman" w:cs="Arial"/>
          <w:color w:val="000000"/>
          <w:lang w:val="en-US"/>
        </w:rPr>
        <w:t>AUC</w:t>
      </w:r>
      <w:r w:rsidRPr="00681708">
        <w:rPr>
          <w:rFonts w:eastAsia="Times New Roman" w:cs="Arial"/>
          <w:color w:val="000000"/>
          <w:vertAlign w:val="subscript"/>
          <w:lang w:val="ru-RU"/>
        </w:rPr>
        <w:t>(0-</w:t>
      </w:r>
      <w:proofErr w:type="spellStart"/>
      <w:r w:rsidRPr="00681708">
        <w:rPr>
          <w:rFonts w:eastAsia="Times New Roman" w:cs="Arial"/>
          <w:color w:val="000000"/>
          <w:vertAlign w:val="subscript"/>
          <w:lang w:val="en-US"/>
        </w:rPr>
        <w:t>inf</w:t>
      </w:r>
      <w:proofErr w:type="spellEnd"/>
      <w:r w:rsidRPr="00681708">
        <w:rPr>
          <w:rFonts w:eastAsia="Times New Roman" w:cs="Arial"/>
          <w:color w:val="000000"/>
          <w:vertAlign w:val="subscript"/>
          <w:lang w:val="ru-RU"/>
        </w:rPr>
        <w:t>)</w:t>
      </w:r>
      <w:r w:rsidRPr="00681708">
        <w:rPr>
          <w:rFonts w:eastAsia="Times New Roman" w:cs="Arial"/>
          <w:color w:val="000000"/>
          <w:lang w:val="ru-RU"/>
        </w:rPr>
        <w:t xml:space="preserve"> </w:t>
      </w:r>
      <w:r w:rsidRPr="00681708">
        <w:rPr>
          <w:rFonts w:eastAsia="Times New Roman" w:cs="Arial"/>
          <w:color w:val="000000"/>
          <w:lang w:eastAsia="bg-BG"/>
        </w:rPr>
        <w:t>и С</w:t>
      </w:r>
      <w:r w:rsidRPr="00681708">
        <w:rPr>
          <w:rFonts w:eastAsia="Times New Roman" w:cs="Arial"/>
          <w:color w:val="000000"/>
          <w:vertAlign w:val="subscript"/>
          <w:lang w:val="en-US"/>
        </w:rPr>
        <w:t>max</w:t>
      </w:r>
      <w:r w:rsidRPr="00681708">
        <w:rPr>
          <w:rFonts w:eastAsia="Times New Roman" w:cs="Arial"/>
          <w:color w:val="000000"/>
          <w:lang w:eastAsia="bg-BG"/>
        </w:rPr>
        <w:t xml:space="preserve"> се повишава с 35% и съответно с 20%. Малко вероятно е тази промяна в експозицията да има някаква клинична значимост и затова амбрисентан може да се прилага едновременно с кетоконазол.</w:t>
      </w:r>
    </w:p>
    <w:p w14:paraId="522CADF0" w14:textId="77777777" w:rsidR="00681708" w:rsidRDefault="00681708" w:rsidP="00681708">
      <w:pPr>
        <w:rPr>
          <w:rFonts w:eastAsia="Times New Roman" w:cs="Arial"/>
        </w:rPr>
      </w:pPr>
    </w:p>
    <w:p w14:paraId="044ED163" w14:textId="77777777" w:rsidR="00681708" w:rsidRPr="00681708" w:rsidRDefault="00681708" w:rsidP="00681708">
      <w:pPr>
        <w:rPr>
          <w:rFonts w:eastAsia="Times New Roman" w:cs="Arial"/>
        </w:rPr>
      </w:pPr>
      <w:r w:rsidRPr="00681708">
        <w:rPr>
          <w:rFonts w:eastAsia="Times New Roman" w:cs="Arial"/>
          <w:color w:val="000000"/>
          <w:lang w:eastAsia="bg-BG"/>
        </w:rPr>
        <w:t xml:space="preserve">При здрави доброволци са проучени ефектите при многократно прилагане на циклоспорин </w:t>
      </w:r>
      <w:r w:rsidRPr="00681708">
        <w:rPr>
          <w:rFonts w:eastAsia="Times New Roman" w:cs="Arial"/>
          <w:color w:val="000000"/>
          <w:lang w:val="en-US"/>
        </w:rPr>
        <w:t>A</w:t>
      </w:r>
      <w:r w:rsidRPr="00681708">
        <w:rPr>
          <w:rFonts w:eastAsia="Times New Roman" w:cs="Arial"/>
          <w:color w:val="000000"/>
          <w:lang w:eastAsia="bg-BG"/>
        </w:rPr>
        <w:t xml:space="preserve"> (100-150 </w:t>
      </w:r>
      <w:r w:rsidRPr="00681708">
        <w:rPr>
          <w:rFonts w:eastAsia="Times New Roman" w:cs="Arial"/>
          <w:color w:val="000000"/>
          <w:lang w:val="en-US"/>
        </w:rPr>
        <w:t>mg</w:t>
      </w:r>
      <w:r w:rsidRPr="00681708">
        <w:rPr>
          <w:rFonts w:eastAsia="Times New Roman" w:cs="Arial"/>
          <w:color w:val="000000"/>
          <w:lang w:val="ru-RU"/>
        </w:rPr>
        <w:t xml:space="preserve"> </w:t>
      </w:r>
      <w:r w:rsidRPr="00681708">
        <w:rPr>
          <w:rFonts w:eastAsia="Times New Roman" w:cs="Arial"/>
          <w:color w:val="000000"/>
          <w:lang w:eastAsia="bg-BG"/>
        </w:rPr>
        <w:t>два пъти дневно) върху фармакокинетиката в стационарно състояние на</w:t>
      </w:r>
      <w:r>
        <w:rPr>
          <w:rFonts w:eastAsia="Times New Roman" w:cs="Arial"/>
          <w:color w:val="000000"/>
          <w:lang w:eastAsia="bg-BG"/>
        </w:rPr>
        <w:t xml:space="preserve"> </w:t>
      </w:r>
      <w:r w:rsidRPr="00681708">
        <w:rPr>
          <w:rFonts w:eastAsia="Times New Roman" w:cs="Arial"/>
          <w:color w:val="000000"/>
          <w:lang w:eastAsia="bg-BG"/>
        </w:rPr>
        <w:t xml:space="preserve">амбрисентан (5 </w:t>
      </w:r>
      <w:r w:rsidRPr="00681708">
        <w:rPr>
          <w:rFonts w:eastAsia="Times New Roman" w:cs="Arial"/>
          <w:color w:val="000000"/>
          <w:lang w:val="en-US"/>
        </w:rPr>
        <w:t>mg</w:t>
      </w:r>
      <w:r w:rsidRPr="00681708">
        <w:rPr>
          <w:rFonts w:eastAsia="Times New Roman" w:cs="Arial"/>
          <w:color w:val="000000"/>
          <w:lang w:val="ru-RU"/>
        </w:rPr>
        <w:t xml:space="preserve"> </w:t>
      </w:r>
      <w:r w:rsidRPr="00681708">
        <w:rPr>
          <w:rFonts w:eastAsia="Times New Roman" w:cs="Arial"/>
          <w:color w:val="000000"/>
          <w:lang w:eastAsia="bg-BG"/>
        </w:rPr>
        <w:t xml:space="preserve">веднъж дневно), както и ефектите при многократно прилагане на амбрисентан (5 </w:t>
      </w:r>
      <w:r w:rsidRPr="00681708">
        <w:rPr>
          <w:rFonts w:eastAsia="Times New Roman" w:cs="Arial"/>
          <w:color w:val="000000"/>
          <w:lang w:val="en-US"/>
        </w:rPr>
        <w:t>mg</w:t>
      </w:r>
      <w:r w:rsidRPr="00681708">
        <w:rPr>
          <w:rFonts w:eastAsia="Times New Roman" w:cs="Arial"/>
          <w:color w:val="000000"/>
          <w:lang w:val="ru-RU"/>
        </w:rPr>
        <w:t xml:space="preserve"> </w:t>
      </w:r>
      <w:r w:rsidRPr="00681708">
        <w:rPr>
          <w:rFonts w:eastAsia="Times New Roman" w:cs="Arial"/>
          <w:color w:val="000000"/>
          <w:lang w:eastAsia="bg-BG"/>
        </w:rPr>
        <w:t xml:space="preserve">веднъж дневно) върху фармакокинетиката в стационарно състояние на циклоспорин А (100 - 150 </w:t>
      </w:r>
      <w:r w:rsidRPr="00681708">
        <w:rPr>
          <w:rFonts w:eastAsia="Times New Roman" w:cs="Arial"/>
          <w:color w:val="000000"/>
          <w:lang w:val="en-US"/>
        </w:rPr>
        <w:t>mg</w:t>
      </w:r>
      <w:r w:rsidRPr="00681708">
        <w:rPr>
          <w:rFonts w:eastAsia="Times New Roman" w:cs="Arial"/>
          <w:color w:val="000000"/>
          <w:lang w:val="ru-RU"/>
        </w:rPr>
        <w:t xml:space="preserve"> </w:t>
      </w:r>
      <w:r w:rsidRPr="00681708">
        <w:rPr>
          <w:rFonts w:eastAsia="Times New Roman" w:cs="Arial"/>
          <w:color w:val="000000"/>
          <w:lang w:eastAsia="bg-BG"/>
        </w:rPr>
        <w:t>два пъти дневно). При многократно прилагане на циклоспорин А, С</w:t>
      </w:r>
      <w:r w:rsidRPr="00681708">
        <w:rPr>
          <w:rFonts w:eastAsia="Times New Roman" w:cs="Arial"/>
          <w:color w:val="000000"/>
          <w:vertAlign w:val="subscript"/>
          <w:lang w:val="en-US"/>
        </w:rPr>
        <w:t>max</w:t>
      </w:r>
      <w:r w:rsidRPr="00681708">
        <w:rPr>
          <w:rFonts w:eastAsia="Times New Roman" w:cs="Arial"/>
          <w:color w:val="000000"/>
          <w:lang w:eastAsia="bg-BG"/>
        </w:rPr>
        <w:t xml:space="preserve"> и </w:t>
      </w:r>
      <w:r w:rsidRPr="00681708">
        <w:rPr>
          <w:rFonts w:eastAsia="Times New Roman" w:cs="Arial"/>
          <w:color w:val="000000"/>
          <w:lang w:val="en-US"/>
        </w:rPr>
        <w:t>AUC</w:t>
      </w:r>
      <w:r w:rsidRPr="00681708">
        <w:rPr>
          <w:rFonts w:eastAsia="Times New Roman" w:cs="Arial"/>
          <w:color w:val="000000"/>
          <w:vertAlign w:val="subscript"/>
          <w:lang w:val="ru-RU"/>
        </w:rPr>
        <w:t>(0-</w:t>
      </w:r>
      <w:r w:rsidRPr="00681708">
        <w:rPr>
          <w:rFonts w:eastAsia="Times New Roman" w:cs="Arial"/>
          <w:color w:val="000000"/>
          <w:vertAlign w:val="subscript"/>
          <w:lang w:val="en-US"/>
        </w:rPr>
        <w:t>t</w:t>
      </w:r>
      <w:r w:rsidRPr="00681708">
        <w:rPr>
          <w:rFonts w:eastAsia="Times New Roman" w:cs="Arial"/>
          <w:color w:val="000000"/>
          <w:vertAlign w:val="subscript"/>
          <w:lang w:val="ru-RU"/>
        </w:rPr>
        <w:t>)</w:t>
      </w:r>
      <w:r w:rsidRPr="00681708">
        <w:rPr>
          <w:rFonts w:eastAsia="Times New Roman" w:cs="Arial"/>
          <w:color w:val="000000"/>
          <w:lang w:val="ru-RU"/>
        </w:rPr>
        <w:t xml:space="preserve"> </w:t>
      </w:r>
      <w:r w:rsidRPr="00681708">
        <w:rPr>
          <w:rFonts w:eastAsia="Times New Roman" w:cs="Arial"/>
          <w:color w:val="000000"/>
          <w:lang w:eastAsia="bg-BG"/>
        </w:rPr>
        <w:t xml:space="preserve">на амбрисентан се повишават (съответно 48% и 121%). Въз основа на тези промени, при едновременно прилагане с циклоспорин А, дозата на амбрисентан трябва да бъде ограничена до 5 </w:t>
      </w:r>
      <w:r w:rsidRPr="00681708">
        <w:rPr>
          <w:rFonts w:eastAsia="Times New Roman" w:cs="Arial"/>
          <w:color w:val="000000"/>
          <w:lang w:val="en-US"/>
        </w:rPr>
        <w:t>mg</w:t>
      </w:r>
      <w:r w:rsidRPr="00681708">
        <w:rPr>
          <w:rFonts w:eastAsia="Times New Roman" w:cs="Arial"/>
          <w:color w:val="000000"/>
          <w:lang w:val="ru-RU"/>
        </w:rPr>
        <w:t xml:space="preserve"> </w:t>
      </w:r>
      <w:r w:rsidRPr="00681708">
        <w:rPr>
          <w:rFonts w:eastAsia="Times New Roman" w:cs="Arial"/>
          <w:color w:val="000000"/>
          <w:lang w:eastAsia="bg-BG"/>
        </w:rPr>
        <w:t>веднъж дневно (вж. точка 4.2). Въпреки това, многократното прилагане на амбрисентан няма клинично значим ефект върху експозицията на циклоспорин А, и не се налага корекция на дозата на циклоспорин А.</w:t>
      </w:r>
    </w:p>
    <w:p w14:paraId="7DBBADF6" w14:textId="77777777" w:rsidR="00681708" w:rsidRDefault="00681708" w:rsidP="00681708">
      <w:pPr>
        <w:spacing w:line="240" w:lineRule="auto"/>
        <w:rPr>
          <w:rFonts w:eastAsia="Times New Roman" w:cs="Arial"/>
          <w:color w:val="000000"/>
          <w:lang w:eastAsia="bg-BG"/>
        </w:rPr>
      </w:pPr>
    </w:p>
    <w:p w14:paraId="5EC36668" w14:textId="4101D0FF" w:rsidR="00681708" w:rsidRPr="00681708" w:rsidRDefault="00681708" w:rsidP="00681708">
      <w:pPr>
        <w:spacing w:line="240" w:lineRule="auto"/>
        <w:rPr>
          <w:rFonts w:eastAsia="Times New Roman" w:cs="Arial"/>
        </w:rPr>
      </w:pPr>
      <w:r w:rsidRPr="00681708">
        <w:rPr>
          <w:rFonts w:eastAsia="Times New Roman" w:cs="Arial"/>
          <w:color w:val="000000"/>
          <w:lang w:eastAsia="bg-BG"/>
        </w:rPr>
        <w:t xml:space="preserve">При здрави доброволци са проучени ефектите при интензивно и многократно прилагане на рифампицин (600 </w:t>
      </w:r>
      <w:r w:rsidRPr="00681708">
        <w:rPr>
          <w:rFonts w:eastAsia="Times New Roman" w:cs="Arial"/>
          <w:color w:val="000000"/>
          <w:lang w:val="en-US"/>
        </w:rPr>
        <w:t>mg</w:t>
      </w:r>
      <w:r w:rsidRPr="00681708">
        <w:rPr>
          <w:rFonts w:eastAsia="Times New Roman" w:cs="Arial"/>
          <w:color w:val="000000"/>
          <w:lang w:val="ru-RU"/>
        </w:rPr>
        <w:t xml:space="preserve"> </w:t>
      </w:r>
      <w:r w:rsidRPr="00681708">
        <w:rPr>
          <w:rFonts w:eastAsia="Times New Roman" w:cs="Arial"/>
          <w:color w:val="000000"/>
          <w:lang w:eastAsia="bg-BG"/>
        </w:rPr>
        <w:t xml:space="preserve">веднъж дневно) върху фармакокинетиката в стационарно състояние на амбрисентан (10 </w:t>
      </w:r>
      <w:r w:rsidRPr="00681708">
        <w:rPr>
          <w:rFonts w:eastAsia="Times New Roman" w:cs="Arial"/>
          <w:color w:val="000000"/>
          <w:lang w:val="en-US"/>
        </w:rPr>
        <w:t>mg</w:t>
      </w:r>
      <w:r w:rsidRPr="00681708">
        <w:rPr>
          <w:rFonts w:eastAsia="Times New Roman" w:cs="Arial"/>
          <w:color w:val="000000"/>
          <w:lang w:val="ru-RU"/>
        </w:rPr>
        <w:t xml:space="preserve"> </w:t>
      </w:r>
      <w:r w:rsidRPr="00681708">
        <w:rPr>
          <w:rFonts w:eastAsia="Times New Roman" w:cs="Arial"/>
          <w:color w:val="000000"/>
          <w:lang w:eastAsia="bg-BG"/>
        </w:rPr>
        <w:t xml:space="preserve">веднъж дневно). След първоначалните дози рифампицин се наблюдава преходно повишаване на </w:t>
      </w:r>
      <w:r w:rsidRPr="00681708">
        <w:rPr>
          <w:rFonts w:eastAsia="Times New Roman" w:cs="Arial"/>
          <w:color w:val="000000"/>
          <w:lang w:val="en-US"/>
        </w:rPr>
        <w:t>AUC</w:t>
      </w:r>
      <w:r w:rsidRPr="00681708">
        <w:rPr>
          <w:rFonts w:eastAsia="Times New Roman" w:cs="Arial"/>
          <w:color w:val="000000"/>
          <w:vertAlign w:val="subscript"/>
          <w:lang w:val="ru-RU"/>
        </w:rPr>
        <w:t>(0-</w:t>
      </w:r>
      <w:r w:rsidRPr="00681708">
        <w:rPr>
          <w:rFonts w:eastAsia="Times New Roman" w:cs="Arial"/>
          <w:color w:val="000000"/>
          <w:vertAlign w:val="subscript"/>
          <w:lang w:val="en-US"/>
        </w:rPr>
        <w:t>t</w:t>
      </w:r>
      <w:r w:rsidRPr="00681708">
        <w:rPr>
          <w:rFonts w:eastAsia="Times New Roman" w:cs="Arial"/>
          <w:color w:val="000000"/>
          <w:vertAlign w:val="subscript"/>
          <w:lang w:val="ru-RU"/>
        </w:rPr>
        <w:t>)</w:t>
      </w:r>
      <w:r w:rsidRPr="00681708">
        <w:rPr>
          <w:rFonts w:eastAsia="Times New Roman" w:cs="Arial"/>
          <w:color w:val="000000"/>
          <w:lang w:val="ru-RU"/>
        </w:rPr>
        <w:t xml:space="preserve"> </w:t>
      </w:r>
      <w:r w:rsidRPr="00681708">
        <w:rPr>
          <w:rFonts w:eastAsia="Times New Roman" w:cs="Arial"/>
          <w:color w:val="000000"/>
          <w:lang w:eastAsia="bg-BG"/>
        </w:rPr>
        <w:t>на амбрисентан (121 % и 116%, съответно след първата и втората доза рифампицин), вероятно дължащо се на рифампицин-медиираното ОАТР инхибиране. Въпреки това няма клинично значим ефект върху експозицията на амбрисентан до ден 8, след прилагане на многократни дози рифампицин. Пациенти, лекувани, с амбрисентан трябва внимателно да бъдат наблюдавани при започване на лечение с рифампицин (вж. точки 4.4 и 4.5).</w:t>
      </w:r>
    </w:p>
    <w:p w14:paraId="3A281322" w14:textId="77777777" w:rsidR="00681708" w:rsidRDefault="00681708" w:rsidP="00681708">
      <w:pPr>
        <w:spacing w:line="240" w:lineRule="auto"/>
        <w:rPr>
          <w:rFonts w:eastAsia="Times New Roman" w:cs="Arial"/>
          <w:color w:val="000000"/>
          <w:lang w:eastAsia="bg-BG"/>
        </w:rPr>
      </w:pPr>
    </w:p>
    <w:p w14:paraId="093C7A67" w14:textId="240DA2B7" w:rsidR="00681708" w:rsidRPr="00681708" w:rsidRDefault="00681708" w:rsidP="00681708">
      <w:pPr>
        <w:spacing w:line="240" w:lineRule="auto"/>
        <w:rPr>
          <w:rFonts w:eastAsia="Times New Roman" w:cs="Arial"/>
        </w:rPr>
      </w:pPr>
      <w:r w:rsidRPr="00681708">
        <w:rPr>
          <w:rFonts w:eastAsia="Times New Roman" w:cs="Arial"/>
          <w:color w:val="000000"/>
          <w:lang w:eastAsia="bg-BG"/>
        </w:rPr>
        <w:t xml:space="preserve">Ефектите на многократно прилагане на амбрисентан (10 </w:t>
      </w:r>
      <w:r w:rsidRPr="00681708">
        <w:rPr>
          <w:rFonts w:eastAsia="Times New Roman" w:cs="Arial"/>
          <w:color w:val="000000"/>
          <w:lang w:val="en-US"/>
        </w:rPr>
        <w:t>mg</w:t>
      </w:r>
      <w:r w:rsidRPr="00681708">
        <w:rPr>
          <w:rFonts w:eastAsia="Times New Roman" w:cs="Arial"/>
          <w:color w:val="000000"/>
          <w:lang w:val="ru-RU"/>
        </w:rPr>
        <w:t xml:space="preserve">) </w:t>
      </w:r>
      <w:r w:rsidRPr="00681708">
        <w:rPr>
          <w:rFonts w:eastAsia="Times New Roman" w:cs="Arial"/>
          <w:color w:val="000000"/>
          <w:lang w:eastAsia="bg-BG"/>
        </w:rPr>
        <w:t xml:space="preserve">върху фармакокинетиката на еднократна доза дигоксин са проучени при 15 здрави доброволци. Многократното прилагане на амбрисентан води до слабо увеличаване на </w:t>
      </w:r>
      <w:r w:rsidRPr="00681708">
        <w:rPr>
          <w:rFonts w:eastAsia="Times New Roman" w:cs="Arial"/>
          <w:color w:val="000000"/>
          <w:lang w:val="en-US"/>
        </w:rPr>
        <w:t>AUC</w:t>
      </w:r>
      <w:r w:rsidRPr="00681708">
        <w:rPr>
          <w:rFonts w:eastAsia="Times New Roman" w:cs="Arial"/>
          <w:color w:val="000000"/>
          <w:vertAlign w:val="subscript"/>
          <w:lang w:val="ru-RU"/>
        </w:rPr>
        <w:t>0-</w:t>
      </w:r>
      <w:r w:rsidRPr="00681708">
        <w:rPr>
          <w:rFonts w:eastAsia="Times New Roman" w:cs="Arial"/>
          <w:color w:val="000000"/>
          <w:vertAlign w:val="subscript"/>
          <w:lang w:val="en-US"/>
        </w:rPr>
        <w:t>last</w:t>
      </w:r>
      <w:r w:rsidRPr="00681708">
        <w:rPr>
          <w:rFonts w:eastAsia="Times New Roman" w:cs="Arial"/>
          <w:color w:val="000000"/>
          <w:lang w:val="ru-RU"/>
        </w:rPr>
        <w:t xml:space="preserve"> </w:t>
      </w:r>
      <w:r w:rsidRPr="00681708">
        <w:rPr>
          <w:rFonts w:eastAsia="Times New Roman" w:cs="Arial"/>
          <w:color w:val="000000"/>
          <w:lang w:eastAsia="bg-BG"/>
        </w:rPr>
        <w:t>и на най-ниската концентрация на дигоксин и до повишаване на С</w:t>
      </w:r>
      <w:r w:rsidRPr="00681708">
        <w:rPr>
          <w:rFonts w:eastAsia="Times New Roman" w:cs="Arial"/>
          <w:color w:val="000000"/>
          <w:vertAlign w:val="subscript"/>
          <w:lang w:val="en-US"/>
        </w:rPr>
        <w:t>max</w:t>
      </w:r>
      <w:r w:rsidRPr="00681708">
        <w:rPr>
          <w:rFonts w:eastAsia="Times New Roman" w:cs="Arial"/>
          <w:color w:val="000000"/>
          <w:lang w:eastAsia="bg-BG"/>
        </w:rPr>
        <w:t xml:space="preserve"> на дигоксин с 29%. Наблюдаваното увеличаване на експозицията на дигоксин в присъствието на многократни дози амбрисентан не се счита за клинично значимо и не се изисква коригиране на дозата на дигоксин (вж. точка 4.5).</w:t>
      </w:r>
    </w:p>
    <w:p w14:paraId="05F7AA81" w14:textId="77777777" w:rsidR="00681708" w:rsidRDefault="00681708" w:rsidP="00681708">
      <w:pPr>
        <w:spacing w:line="240" w:lineRule="auto"/>
        <w:rPr>
          <w:rFonts w:eastAsia="Times New Roman" w:cs="Arial"/>
          <w:color w:val="000000"/>
          <w:lang w:eastAsia="bg-BG"/>
        </w:rPr>
      </w:pPr>
    </w:p>
    <w:p w14:paraId="703073FE" w14:textId="2E72D239" w:rsidR="00681708" w:rsidRPr="00681708" w:rsidRDefault="00681708" w:rsidP="00681708">
      <w:pPr>
        <w:spacing w:line="240" w:lineRule="auto"/>
        <w:rPr>
          <w:rFonts w:eastAsia="Times New Roman" w:cs="Arial"/>
        </w:rPr>
      </w:pPr>
      <w:r w:rsidRPr="00681708">
        <w:rPr>
          <w:rFonts w:eastAsia="Times New Roman" w:cs="Arial"/>
          <w:color w:val="000000"/>
          <w:lang w:eastAsia="bg-BG"/>
        </w:rPr>
        <w:t xml:space="preserve">Ефектите на 12 дневно дозиране на амбрисентан (10 </w:t>
      </w:r>
      <w:r w:rsidRPr="00681708">
        <w:rPr>
          <w:rFonts w:eastAsia="Times New Roman" w:cs="Arial"/>
          <w:color w:val="000000"/>
          <w:lang w:val="en-US"/>
        </w:rPr>
        <w:t>mg</w:t>
      </w:r>
      <w:r w:rsidRPr="00681708">
        <w:rPr>
          <w:rFonts w:eastAsia="Times New Roman" w:cs="Arial"/>
          <w:color w:val="000000"/>
          <w:lang w:val="ru-RU"/>
        </w:rPr>
        <w:t xml:space="preserve"> </w:t>
      </w:r>
      <w:r w:rsidRPr="00681708">
        <w:rPr>
          <w:rFonts w:eastAsia="Times New Roman" w:cs="Arial"/>
          <w:color w:val="000000"/>
          <w:lang w:eastAsia="bg-BG"/>
        </w:rPr>
        <w:t>веднъж дневно) върху фармакокинетиката на еднократна доза перорален контрацептив, съдържащ етинилестрадиол (35 μ</w:t>
      </w:r>
      <w:r w:rsidRPr="00681708">
        <w:rPr>
          <w:rFonts w:eastAsia="Times New Roman" w:cs="Arial"/>
          <w:color w:val="000000"/>
          <w:lang w:val="en-US"/>
        </w:rPr>
        <w:t>g</w:t>
      </w:r>
      <w:r w:rsidRPr="00681708">
        <w:rPr>
          <w:rFonts w:eastAsia="Times New Roman" w:cs="Arial"/>
          <w:color w:val="000000"/>
          <w:lang w:val="ru-RU"/>
        </w:rPr>
        <w:t xml:space="preserve">) </w:t>
      </w:r>
      <w:r w:rsidRPr="00681708">
        <w:rPr>
          <w:rFonts w:eastAsia="Times New Roman" w:cs="Arial"/>
          <w:color w:val="000000"/>
          <w:lang w:eastAsia="bg-BG"/>
        </w:rPr>
        <w:t xml:space="preserve">и норетиндрон (1 </w:t>
      </w:r>
      <w:r w:rsidRPr="00681708">
        <w:rPr>
          <w:rFonts w:eastAsia="Times New Roman" w:cs="Arial"/>
          <w:color w:val="000000"/>
          <w:lang w:val="en-US"/>
        </w:rPr>
        <w:t>mg</w:t>
      </w:r>
      <w:r w:rsidRPr="00681708">
        <w:rPr>
          <w:rFonts w:eastAsia="Times New Roman" w:cs="Arial"/>
          <w:color w:val="000000"/>
          <w:lang w:val="ru-RU"/>
        </w:rPr>
        <w:t xml:space="preserve">) </w:t>
      </w:r>
      <w:r w:rsidRPr="00681708">
        <w:rPr>
          <w:rFonts w:eastAsia="Times New Roman" w:cs="Arial"/>
          <w:color w:val="000000"/>
          <w:lang w:eastAsia="bg-BG"/>
        </w:rPr>
        <w:t>са проучени при здрави доброволци от женски пол. С</w:t>
      </w:r>
      <w:r w:rsidRPr="00681708">
        <w:rPr>
          <w:rFonts w:eastAsia="Times New Roman" w:cs="Arial"/>
          <w:color w:val="000000"/>
          <w:vertAlign w:val="subscript"/>
          <w:lang w:val="en-US"/>
        </w:rPr>
        <w:t>max</w:t>
      </w:r>
      <w:r w:rsidRPr="00681708">
        <w:rPr>
          <w:rFonts w:eastAsia="Times New Roman" w:cs="Arial"/>
          <w:color w:val="000000"/>
          <w:lang w:eastAsia="bg-BG"/>
        </w:rPr>
        <w:t xml:space="preserve"> и </w:t>
      </w:r>
      <w:r w:rsidRPr="00681708">
        <w:rPr>
          <w:rFonts w:eastAsia="Times New Roman" w:cs="Arial"/>
          <w:color w:val="000000"/>
          <w:lang w:val="en-US"/>
        </w:rPr>
        <w:t>AUC</w:t>
      </w:r>
      <w:r w:rsidRPr="00681708">
        <w:rPr>
          <w:rFonts w:eastAsia="Times New Roman" w:cs="Arial"/>
          <w:color w:val="000000"/>
          <w:vertAlign w:val="subscript"/>
          <w:lang w:eastAsia="bg-BG"/>
        </w:rPr>
        <w:t>(0-</w:t>
      </w:r>
      <w:r w:rsidRPr="00681708">
        <w:rPr>
          <w:rFonts w:eastAsia="Times New Roman" w:cs="Arial"/>
          <w:color w:val="000000"/>
          <w:vertAlign w:val="subscript"/>
          <w:lang w:val="ru-RU"/>
        </w:rPr>
        <w:t>∞</w:t>
      </w:r>
      <w:r w:rsidRPr="00681708">
        <w:rPr>
          <w:rFonts w:eastAsia="Times New Roman" w:cs="Arial"/>
          <w:color w:val="000000"/>
          <w:vertAlign w:val="subscript"/>
          <w:lang w:eastAsia="bg-BG"/>
        </w:rPr>
        <w:t>)</w:t>
      </w:r>
      <w:r w:rsidRPr="00681708">
        <w:rPr>
          <w:rFonts w:eastAsia="Times New Roman" w:cs="Arial"/>
          <w:color w:val="000000"/>
          <w:lang w:eastAsia="bg-BG"/>
        </w:rPr>
        <w:t xml:space="preserve"> се понижават слабо при етинилестрадиол (8% и съответно 4%) и се повишават слабо при норетиндрон (13% и съответно 14%). Тези промени в експозицията на етинилестрадиол или норетиндрон са малки и е малко вероятно да бъдат клинично значими (вж. точка 4.5).</w:t>
      </w:r>
    </w:p>
    <w:p w14:paraId="14C39EB4" w14:textId="77777777" w:rsidR="00681708" w:rsidRDefault="00681708" w:rsidP="00681708">
      <w:pPr>
        <w:spacing w:line="240" w:lineRule="auto"/>
        <w:rPr>
          <w:rFonts w:eastAsia="Times New Roman" w:cs="Arial"/>
          <w:color w:val="000000"/>
          <w:u w:val="single"/>
          <w:lang w:eastAsia="bg-BG"/>
        </w:rPr>
      </w:pPr>
    </w:p>
    <w:p w14:paraId="0DDEC86B" w14:textId="0954C985" w:rsidR="00681708" w:rsidRPr="00681708" w:rsidRDefault="00681708" w:rsidP="00681708">
      <w:pPr>
        <w:pStyle w:val="Heading3"/>
        <w:rPr>
          <w:rFonts w:eastAsia="Times New Roman"/>
          <w:u w:val="single"/>
        </w:rPr>
      </w:pPr>
      <w:r w:rsidRPr="00681708">
        <w:rPr>
          <w:rFonts w:eastAsia="Times New Roman"/>
          <w:u w:val="single"/>
          <w:lang w:eastAsia="bg-BG"/>
        </w:rPr>
        <w:t>Елиминиране</w:t>
      </w:r>
    </w:p>
    <w:p w14:paraId="47304B94" w14:textId="77777777" w:rsidR="00681708" w:rsidRDefault="00681708" w:rsidP="00681708">
      <w:pPr>
        <w:spacing w:line="240" w:lineRule="auto"/>
        <w:rPr>
          <w:rFonts w:eastAsia="Times New Roman" w:cs="Arial"/>
          <w:color w:val="000000"/>
          <w:lang w:eastAsia="bg-BG"/>
        </w:rPr>
      </w:pPr>
    </w:p>
    <w:p w14:paraId="36BB6F23" w14:textId="316D3FAB" w:rsidR="00681708" w:rsidRPr="00681708" w:rsidRDefault="00681708" w:rsidP="00681708">
      <w:pPr>
        <w:spacing w:line="240" w:lineRule="auto"/>
        <w:rPr>
          <w:rFonts w:eastAsia="Times New Roman" w:cs="Arial"/>
        </w:rPr>
      </w:pPr>
      <w:r w:rsidRPr="00681708">
        <w:rPr>
          <w:rFonts w:eastAsia="Times New Roman" w:cs="Arial"/>
          <w:color w:val="000000"/>
          <w:lang w:eastAsia="bg-BG"/>
        </w:rPr>
        <w:t>Амбрисентан и неговите метаболити се елиминират предимно с жлъчката след чернодробен и/или екстрахепатален метаболизъм. След перорално прилагане около 22% от приетата доза се възстановява в урината, като 3,3% е непроменен амбрисентан. Плазменият елиминационен полуживот при хора варира от 13,6 до 16,5 часа.</w:t>
      </w:r>
    </w:p>
    <w:p w14:paraId="7856B511" w14:textId="77777777" w:rsidR="00681708" w:rsidRDefault="00681708" w:rsidP="00681708">
      <w:pPr>
        <w:spacing w:line="240" w:lineRule="auto"/>
        <w:rPr>
          <w:rFonts w:eastAsia="Times New Roman" w:cs="Arial"/>
          <w:color w:val="000000"/>
          <w:u w:val="single"/>
          <w:lang w:eastAsia="bg-BG"/>
        </w:rPr>
      </w:pPr>
    </w:p>
    <w:p w14:paraId="4FA36961" w14:textId="2FAC1963" w:rsidR="00681708" w:rsidRPr="00681708" w:rsidRDefault="00681708" w:rsidP="00681708">
      <w:pPr>
        <w:spacing w:line="240" w:lineRule="auto"/>
        <w:rPr>
          <w:rFonts w:eastAsia="Times New Roman" w:cs="Arial"/>
        </w:rPr>
      </w:pPr>
      <w:r w:rsidRPr="00681708">
        <w:rPr>
          <w:rFonts w:eastAsia="Times New Roman" w:cs="Arial"/>
          <w:color w:val="000000"/>
          <w:u w:val="single"/>
          <w:lang w:eastAsia="bg-BG"/>
        </w:rPr>
        <w:t>Специални популации</w:t>
      </w:r>
    </w:p>
    <w:p w14:paraId="29293164" w14:textId="77777777" w:rsidR="00681708" w:rsidRDefault="00681708" w:rsidP="00681708">
      <w:pPr>
        <w:spacing w:line="240" w:lineRule="auto"/>
        <w:rPr>
          <w:rFonts w:eastAsia="Times New Roman" w:cs="Arial"/>
          <w:color w:val="000000"/>
          <w:lang w:eastAsia="bg-BG"/>
        </w:rPr>
      </w:pPr>
    </w:p>
    <w:p w14:paraId="4B0E9C02" w14:textId="22D0390B" w:rsidR="00681708" w:rsidRPr="00681708" w:rsidRDefault="00681708" w:rsidP="00681708">
      <w:pPr>
        <w:spacing w:line="240" w:lineRule="auto"/>
        <w:rPr>
          <w:rFonts w:eastAsia="Times New Roman" w:cs="Arial"/>
        </w:rPr>
      </w:pPr>
      <w:r w:rsidRPr="00681708">
        <w:rPr>
          <w:rFonts w:eastAsia="Times New Roman" w:cs="Arial"/>
          <w:color w:val="000000"/>
          <w:lang w:eastAsia="bg-BG"/>
        </w:rPr>
        <w:lastRenderedPageBreak/>
        <w:t>Основавайки се на резултатите от популационен фармакокинетичен анализ при здрави доброволци и пациенти с БАХ фармакокинетиката на амбрисентан не се повлиява значително от пола или възрастта (вж. точка 4.2).</w:t>
      </w:r>
    </w:p>
    <w:p w14:paraId="5C33FFED" w14:textId="77777777" w:rsidR="00681708" w:rsidRDefault="00681708" w:rsidP="00681708">
      <w:pPr>
        <w:spacing w:line="240" w:lineRule="auto"/>
        <w:rPr>
          <w:rFonts w:eastAsia="Times New Roman" w:cs="Arial"/>
          <w:i/>
          <w:iCs/>
          <w:color w:val="000000"/>
          <w:lang w:eastAsia="bg-BG"/>
        </w:rPr>
      </w:pPr>
    </w:p>
    <w:p w14:paraId="0A83D68A" w14:textId="2C588D5D" w:rsidR="00681708" w:rsidRPr="00681708" w:rsidRDefault="00681708" w:rsidP="00681708">
      <w:pPr>
        <w:spacing w:line="240" w:lineRule="auto"/>
        <w:rPr>
          <w:rFonts w:eastAsia="Times New Roman" w:cs="Arial"/>
        </w:rPr>
      </w:pPr>
      <w:r w:rsidRPr="00681708">
        <w:rPr>
          <w:rFonts w:eastAsia="Times New Roman" w:cs="Arial"/>
          <w:i/>
          <w:iCs/>
          <w:color w:val="000000"/>
          <w:lang w:eastAsia="bg-BG"/>
        </w:rPr>
        <w:t>Бъбречно увреждане</w:t>
      </w:r>
    </w:p>
    <w:p w14:paraId="3413D870" w14:textId="77777777" w:rsidR="00681708" w:rsidRDefault="00681708" w:rsidP="00681708">
      <w:pPr>
        <w:rPr>
          <w:rFonts w:eastAsia="Times New Roman" w:cs="Arial"/>
          <w:color w:val="000000"/>
          <w:lang w:eastAsia="bg-BG"/>
        </w:rPr>
      </w:pPr>
    </w:p>
    <w:p w14:paraId="380363D8" w14:textId="7863016C" w:rsidR="00681708" w:rsidRDefault="00681708" w:rsidP="00681708">
      <w:pPr>
        <w:rPr>
          <w:rFonts w:eastAsia="Times New Roman" w:cs="Arial"/>
          <w:color w:val="000000"/>
          <w:lang w:eastAsia="bg-BG"/>
        </w:rPr>
      </w:pPr>
      <w:r w:rsidRPr="00681708">
        <w:rPr>
          <w:rFonts w:eastAsia="Times New Roman" w:cs="Arial"/>
          <w:color w:val="000000"/>
          <w:lang w:eastAsia="bg-BG"/>
        </w:rPr>
        <w:t>Амбрисентан не претърпява значителен бъбречен метаболизъм или бъбречен клирънс (екскреция). В популационен фармакокинетичен анализ е установено, че креатининовият</w:t>
      </w:r>
      <w:r w:rsidRPr="00681708">
        <w:rPr>
          <w:rFonts w:eastAsia="Times New Roman" w:cs="Arial"/>
          <w:color w:val="000000"/>
          <w:u w:val="single"/>
          <w:lang w:eastAsia="bg-BG"/>
        </w:rPr>
        <w:t xml:space="preserve"> </w:t>
      </w:r>
      <w:r w:rsidRPr="00681708">
        <w:rPr>
          <w:rFonts w:eastAsia="Times New Roman" w:cs="Arial"/>
          <w:color w:val="000000"/>
          <w:lang w:eastAsia="bg-BG"/>
        </w:rPr>
        <w:t>клирънс е статистически значима коварианта, като оказва влияние върху клирънса след</w:t>
      </w:r>
      <w:r w:rsidRPr="00681708">
        <w:rPr>
          <w:rFonts w:eastAsia="Times New Roman" w:cs="Arial"/>
          <w:i/>
          <w:iCs/>
          <w:color w:val="000000"/>
          <w:lang w:eastAsia="bg-BG"/>
        </w:rPr>
        <w:t xml:space="preserve"> </w:t>
      </w:r>
      <w:r w:rsidRPr="00681708">
        <w:rPr>
          <w:rFonts w:eastAsia="Times New Roman" w:cs="Arial"/>
          <w:color w:val="000000"/>
          <w:lang w:eastAsia="bg-BG"/>
        </w:rPr>
        <w:t>перорално приложение на амбрисентан. Степента на намаляване на клирънса след перорално приложение е умерена (20-40%) при пациенти с умерено бъбречно увреждане и затова е малко вероятно да има някакво клинично значение. Все пак, трябва да се обръща повишено внимание при пациенти с тежко бъбречно увреждане (вж. точка 4.2).</w:t>
      </w:r>
    </w:p>
    <w:p w14:paraId="093A8A0B" w14:textId="25CE7A93" w:rsidR="00681708" w:rsidRDefault="00681708" w:rsidP="00681708">
      <w:pPr>
        <w:rPr>
          <w:rFonts w:eastAsia="Times New Roman" w:cs="Arial"/>
          <w:color w:val="000000"/>
          <w:lang w:eastAsia="bg-BG"/>
        </w:rPr>
      </w:pPr>
    </w:p>
    <w:p w14:paraId="46896E78" w14:textId="77777777" w:rsidR="00681708" w:rsidRPr="00681708" w:rsidRDefault="00681708" w:rsidP="00681708">
      <w:pPr>
        <w:spacing w:line="240" w:lineRule="auto"/>
        <w:rPr>
          <w:rFonts w:eastAsia="Times New Roman" w:cs="Arial"/>
        </w:rPr>
      </w:pPr>
      <w:r w:rsidRPr="00681708">
        <w:rPr>
          <w:rFonts w:eastAsia="Times New Roman" w:cs="Arial"/>
          <w:i/>
          <w:iCs/>
          <w:color w:val="000000"/>
          <w:lang w:eastAsia="bg-BG"/>
        </w:rPr>
        <w:t>Чернодробно увреждане</w:t>
      </w:r>
    </w:p>
    <w:p w14:paraId="2602F77E" w14:textId="77777777" w:rsidR="00681708" w:rsidRDefault="00681708" w:rsidP="00681708">
      <w:pPr>
        <w:spacing w:line="240" w:lineRule="auto"/>
        <w:rPr>
          <w:rFonts w:eastAsia="Times New Roman" w:cs="Arial"/>
          <w:color w:val="000000"/>
          <w:lang w:eastAsia="bg-BG"/>
        </w:rPr>
      </w:pPr>
    </w:p>
    <w:p w14:paraId="215FD58D" w14:textId="1FF8C74F" w:rsidR="00681708" w:rsidRPr="00681708" w:rsidRDefault="00681708" w:rsidP="00681708">
      <w:pPr>
        <w:spacing w:line="240" w:lineRule="auto"/>
        <w:rPr>
          <w:rFonts w:eastAsia="Times New Roman" w:cs="Arial"/>
        </w:rPr>
      </w:pPr>
      <w:r w:rsidRPr="00681708">
        <w:rPr>
          <w:rFonts w:eastAsia="Times New Roman" w:cs="Arial"/>
          <w:color w:val="000000"/>
          <w:lang w:eastAsia="bg-BG"/>
        </w:rPr>
        <w:t>Основните пътища на метаболизъм на амбрисентан са глюкурониране и окисление с последващо елиминиране с жлъчката и затова може да се очаква чернодробното увреждане да увеличи експозицията (С</w:t>
      </w:r>
      <w:r w:rsidRPr="00681708">
        <w:rPr>
          <w:rFonts w:eastAsia="Times New Roman" w:cs="Arial"/>
          <w:color w:val="000000"/>
          <w:lang w:val="en-US"/>
        </w:rPr>
        <w:t>max</w:t>
      </w:r>
      <w:r w:rsidRPr="00681708">
        <w:rPr>
          <w:rFonts w:eastAsia="Times New Roman" w:cs="Arial"/>
          <w:color w:val="000000"/>
          <w:lang w:val="ru-RU"/>
        </w:rPr>
        <w:t xml:space="preserve"> </w:t>
      </w:r>
      <w:r w:rsidRPr="00681708">
        <w:rPr>
          <w:rFonts w:eastAsia="Times New Roman" w:cs="Arial"/>
          <w:color w:val="000000"/>
          <w:lang w:eastAsia="bg-BG"/>
        </w:rPr>
        <w:t xml:space="preserve">и </w:t>
      </w:r>
      <w:r w:rsidRPr="00681708">
        <w:rPr>
          <w:rFonts w:eastAsia="Times New Roman" w:cs="Arial"/>
          <w:color w:val="000000"/>
          <w:lang w:val="en-US"/>
        </w:rPr>
        <w:t>AUC</w:t>
      </w:r>
      <w:r w:rsidRPr="00681708">
        <w:rPr>
          <w:rFonts w:eastAsia="Times New Roman" w:cs="Arial"/>
          <w:color w:val="000000"/>
          <w:lang w:val="ru-RU"/>
        </w:rPr>
        <w:t xml:space="preserve">) </w:t>
      </w:r>
      <w:r w:rsidRPr="00681708">
        <w:rPr>
          <w:rFonts w:eastAsia="Times New Roman" w:cs="Arial"/>
          <w:color w:val="000000"/>
          <w:lang w:eastAsia="bg-BG"/>
        </w:rPr>
        <w:t xml:space="preserve">на амбрисентан, В популационен фармакокинетичен анализ клирънсът след перорално приложение намалява в зависимост от нарастващите нива на билирубина. Все пак степента на ефекта на билирубина е умерена (в сравнение с типичен пациент с бил и рубин 0,6 </w:t>
      </w:r>
      <w:r w:rsidRPr="00681708">
        <w:rPr>
          <w:rFonts w:eastAsia="Times New Roman" w:cs="Arial"/>
          <w:color w:val="000000"/>
          <w:lang w:val="en-US"/>
        </w:rPr>
        <w:t>mg</w:t>
      </w:r>
      <w:r w:rsidRPr="00681708">
        <w:rPr>
          <w:rFonts w:eastAsia="Times New Roman" w:cs="Arial"/>
          <w:color w:val="000000"/>
          <w:lang w:val="ru-RU"/>
        </w:rPr>
        <w:t>/</w:t>
      </w:r>
      <w:r w:rsidRPr="00681708">
        <w:rPr>
          <w:rFonts w:eastAsia="Times New Roman" w:cs="Arial"/>
          <w:color w:val="000000"/>
          <w:lang w:val="en-US"/>
        </w:rPr>
        <w:t>dl</w:t>
      </w:r>
      <w:r w:rsidRPr="00681708">
        <w:rPr>
          <w:rFonts w:eastAsia="Times New Roman" w:cs="Arial"/>
          <w:color w:val="000000"/>
          <w:lang w:val="ru-RU"/>
        </w:rPr>
        <w:t xml:space="preserve">, </w:t>
      </w:r>
      <w:r w:rsidRPr="00681708">
        <w:rPr>
          <w:rFonts w:eastAsia="Times New Roman" w:cs="Arial"/>
          <w:color w:val="000000"/>
          <w:lang w:eastAsia="bg-BG"/>
        </w:rPr>
        <w:t xml:space="preserve">пациент с повишен билирубин 4,5 </w:t>
      </w:r>
      <w:r w:rsidRPr="00681708">
        <w:rPr>
          <w:rFonts w:eastAsia="Times New Roman" w:cs="Arial"/>
          <w:color w:val="000000"/>
          <w:lang w:val="en-US"/>
        </w:rPr>
        <w:t>mg</w:t>
      </w:r>
      <w:r w:rsidRPr="00681708">
        <w:rPr>
          <w:rFonts w:eastAsia="Times New Roman" w:cs="Arial"/>
          <w:color w:val="000000"/>
          <w:lang w:val="ru-RU"/>
        </w:rPr>
        <w:t>/</w:t>
      </w:r>
      <w:r w:rsidRPr="00681708">
        <w:rPr>
          <w:rFonts w:eastAsia="Times New Roman" w:cs="Arial"/>
          <w:color w:val="000000"/>
          <w:lang w:val="en-US"/>
        </w:rPr>
        <w:t>dl</w:t>
      </w:r>
      <w:r w:rsidRPr="00681708">
        <w:rPr>
          <w:rFonts w:eastAsia="Times New Roman" w:cs="Arial"/>
          <w:color w:val="000000"/>
          <w:lang w:val="ru-RU"/>
        </w:rPr>
        <w:t xml:space="preserve"> </w:t>
      </w:r>
      <w:r w:rsidRPr="00681708">
        <w:rPr>
          <w:rFonts w:eastAsia="Times New Roman" w:cs="Arial"/>
          <w:color w:val="000000"/>
          <w:lang w:eastAsia="bg-BG"/>
        </w:rPr>
        <w:t xml:space="preserve">би имал приблизително 30% по-нисък клирънс след перорално приложение на амбрисентан). Фармакокинетиката на амбрисентан при пациенти с чернодробно увреждане (със или без цироза) не е проучена. По тази причина не трябва да се започва лечение с амбрисентан при пациенти с тежко чернодробно увреждане или с клинично значимо повишаване на чернодробните аминотрансферази </w:t>
      </w:r>
      <w:r w:rsidRPr="00681708">
        <w:rPr>
          <w:rFonts w:eastAsia="Times New Roman" w:cs="Arial"/>
          <w:color w:val="000000"/>
          <w:lang w:val="ru-RU"/>
        </w:rPr>
        <w:t>(&gt;3</w:t>
      </w:r>
      <w:proofErr w:type="spellStart"/>
      <w:r w:rsidRPr="00681708">
        <w:rPr>
          <w:rFonts w:eastAsia="Times New Roman" w:cs="Arial"/>
          <w:color w:val="000000"/>
          <w:lang w:val="en-US"/>
        </w:rPr>
        <w:t>xULN</w:t>
      </w:r>
      <w:proofErr w:type="spellEnd"/>
      <w:r w:rsidRPr="00681708">
        <w:rPr>
          <w:rFonts w:eastAsia="Times New Roman" w:cs="Arial"/>
          <w:color w:val="000000"/>
          <w:lang w:val="ru-RU"/>
        </w:rPr>
        <w:t xml:space="preserve">) </w:t>
      </w:r>
      <w:r w:rsidRPr="00681708">
        <w:rPr>
          <w:rFonts w:eastAsia="Times New Roman" w:cs="Arial"/>
          <w:color w:val="000000"/>
          <w:lang w:eastAsia="bg-BG"/>
        </w:rPr>
        <w:t>(вж. точки 4.3 и 4.4).</w:t>
      </w:r>
    </w:p>
    <w:p w14:paraId="7D41242D" w14:textId="77777777" w:rsidR="00681708" w:rsidRPr="00681708" w:rsidRDefault="00681708" w:rsidP="00681708">
      <w:pPr>
        <w:rPr>
          <w:rFonts w:cs="Arial"/>
        </w:rPr>
      </w:pPr>
    </w:p>
    <w:p w14:paraId="648E39DA" w14:textId="5ADD75C9" w:rsidR="00CF77F7" w:rsidRDefault="002C50EE" w:rsidP="004A448E">
      <w:pPr>
        <w:pStyle w:val="Heading2"/>
      </w:pPr>
      <w:r>
        <w:t>5.3. Предклинични данни за безопасност</w:t>
      </w:r>
    </w:p>
    <w:p w14:paraId="7CFC9820" w14:textId="01650A5A" w:rsidR="00681708" w:rsidRDefault="00681708" w:rsidP="00681708"/>
    <w:p w14:paraId="2723BB08" w14:textId="77777777" w:rsidR="00681708" w:rsidRPr="00681708" w:rsidRDefault="00681708" w:rsidP="00681708">
      <w:pPr>
        <w:spacing w:line="240" w:lineRule="auto"/>
        <w:rPr>
          <w:rFonts w:eastAsia="Times New Roman" w:cs="Arial"/>
        </w:rPr>
      </w:pPr>
      <w:r w:rsidRPr="00681708">
        <w:rPr>
          <w:rFonts w:eastAsia="Times New Roman" w:cs="Arial"/>
          <w:color w:val="000000"/>
          <w:lang w:eastAsia="bg-BG"/>
        </w:rPr>
        <w:t>Поради първичния фармакологичен ефект на класа лекарства, висока еднократна доза амбрисентан (напр. свръхдоза) може да понижи артериалното налягане и притежава потенциал да предизвика хипотония и симптоми, свързани с вазодилатация.</w:t>
      </w:r>
    </w:p>
    <w:p w14:paraId="2510D1ED" w14:textId="77777777" w:rsidR="00681708" w:rsidRDefault="00681708" w:rsidP="00681708">
      <w:pPr>
        <w:spacing w:line="240" w:lineRule="auto"/>
        <w:rPr>
          <w:rFonts w:eastAsia="Times New Roman" w:cs="Arial"/>
          <w:color w:val="000000"/>
          <w:lang w:eastAsia="bg-BG"/>
        </w:rPr>
      </w:pPr>
    </w:p>
    <w:p w14:paraId="20CAF4EE" w14:textId="5644B641" w:rsidR="00681708" w:rsidRPr="00681708" w:rsidRDefault="00681708" w:rsidP="00681708">
      <w:pPr>
        <w:spacing w:line="240" w:lineRule="auto"/>
        <w:rPr>
          <w:rFonts w:eastAsia="Times New Roman" w:cs="Arial"/>
          <w:color w:val="000000"/>
          <w:lang w:eastAsia="bg-BG"/>
        </w:rPr>
      </w:pPr>
      <w:r w:rsidRPr="00681708">
        <w:rPr>
          <w:rFonts w:eastAsia="Times New Roman" w:cs="Arial"/>
          <w:color w:val="000000"/>
          <w:lang w:eastAsia="bg-BG"/>
        </w:rPr>
        <w:t>Амбрисентан не притежава доказана инхибиторна активност върху транспорта на жлъчните киселини или изразена хепатотоксичност.</w:t>
      </w:r>
    </w:p>
    <w:p w14:paraId="1BFAD768" w14:textId="77777777" w:rsidR="00681708" w:rsidRDefault="00681708" w:rsidP="00681708">
      <w:pPr>
        <w:spacing w:line="240" w:lineRule="auto"/>
        <w:rPr>
          <w:rFonts w:eastAsia="Times New Roman" w:cs="Arial"/>
          <w:color w:val="000000"/>
          <w:lang w:eastAsia="bg-BG"/>
        </w:rPr>
      </w:pPr>
    </w:p>
    <w:p w14:paraId="25230BD4" w14:textId="115243AC" w:rsidR="00681708" w:rsidRPr="00681708" w:rsidRDefault="00681708" w:rsidP="00681708">
      <w:pPr>
        <w:spacing w:line="240" w:lineRule="auto"/>
        <w:rPr>
          <w:rFonts w:eastAsia="Times New Roman" w:cs="Arial"/>
        </w:rPr>
      </w:pPr>
      <w:r w:rsidRPr="00681708">
        <w:rPr>
          <w:rFonts w:eastAsia="Times New Roman" w:cs="Arial"/>
          <w:color w:val="000000"/>
          <w:lang w:eastAsia="bg-BG"/>
        </w:rPr>
        <w:t>След продължително прилагане на амбрисентан при гризачи при експозиции под терапевтичните нива при хора се наблюдават възпаление и промени в епитела на назалната кухина. След продължително прилагане на високи дози амбрисентан при кучета, при експозиции над 20 пъти по-високи от наблюдаваните при пациентите, се наблюдава слаб възпалителен отговор.</w:t>
      </w:r>
    </w:p>
    <w:p w14:paraId="3B39CE9F" w14:textId="77777777" w:rsidR="00681708" w:rsidRDefault="00681708" w:rsidP="00681708">
      <w:pPr>
        <w:spacing w:line="240" w:lineRule="auto"/>
        <w:rPr>
          <w:rFonts w:eastAsia="Times New Roman" w:cs="Arial"/>
          <w:color w:val="000000"/>
          <w:lang w:eastAsia="bg-BG"/>
        </w:rPr>
      </w:pPr>
    </w:p>
    <w:p w14:paraId="4C8994CA" w14:textId="012673EC" w:rsidR="00681708" w:rsidRPr="00681708" w:rsidRDefault="00681708" w:rsidP="00681708">
      <w:pPr>
        <w:spacing w:line="240" w:lineRule="auto"/>
        <w:rPr>
          <w:rFonts w:eastAsia="Times New Roman" w:cs="Arial"/>
        </w:rPr>
      </w:pPr>
      <w:r w:rsidRPr="00681708">
        <w:rPr>
          <w:rFonts w:eastAsia="Times New Roman" w:cs="Arial"/>
          <w:color w:val="000000"/>
          <w:lang w:eastAsia="bg-BG"/>
        </w:rPr>
        <w:t xml:space="preserve">В назалната кухина на плъхове, третирани с амбрисентан при нива на експозиция З-пъти по- високи от клиничната </w:t>
      </w:r>
      <w:r w:rsidRPr="00681708">
        <w:rPr>
          <w:rFonts w:eastAsia="Times New Roman" w:cs="Arial"/>
          <w:color w:val="000000"/>
          <w:lang w:val="en-US"/>
        </w:rPr>
        <w:t>AUC</w:t>
      </w:r>
      <w:r w:rsidRPr="00681708">
        <w:rPr>
          <w:rFonts w:eastAsia="Times New Roman" w:cs="Arial"/>
          <w:color w:val="000000"/>
          <w:lang w:val="ru-RU"/>
        </w:rPr>
        <w:t xml:space="preserve">, </w:t>
      </w:r>
      <w:r w:rsidRPr="00681708">
        <w:rPr>
          <w:rFonts w:eastAsia="Times New Roman" w:cs="Arial"/>
          <w:color w:val="000000"/>
          <w:lang w:eastAsia="bg-BG"/>
        </w:rPr>
        <w:t>е наблюдавана хиперплазия на назалните кости на етмоидната спирална кост. Хиперплазия на назалните кости не се наблюдава при прилагане на амбрисентан при мишки и кучета. При плъхове хиперплазията на назалната спирална кост е познат отговор при назално възпаление - на базата на опита с други химични съединения.</w:t>
      </w:r>
    </w:p>
    <w:p w14:paraId="45F446BB" w14:textId="77777777" w:rsidR="00681708" w:rsidRDefault="00681708" w:rsidP="00681708">
      <w:pPr>
        <w:spacing w:line="240" w:lineRule="auto"/>
        <w:rPr>
          <w:rFonts w:eastAsia="Times New Roman" w:cs="Arial"/>
          <w:color w:val="000000"/>
          <w:lang w:eastAsia="bg-BG"/>
        </w:rPr>
      </w:pPr>
    </w:p>
    <w:p w14:paraId="551DDBE1" w14:textId="33B871D8" w:rsidR="00681708" w:rsidRPr="00681708" w:rsidRDefault="00681708" w:rsidP="00681708">
      <w:pPr>
        <w:spacing w:line="240" w:lineRule="auto"/>
        <w:rPr>
          <w:rFonts w:eastAsia="Times New Roman" w:cs="Arial"/>
        </w:rPr>
      </w:pPr>
      <w:r w:rsidRPr="00681708">
        <w:rPr>
          <w:rFonts w:eastAsia="Times New Roman" w:cs="Arial"/>
          <w:color w:val="000000"/>
          <w:lang w:eastAsia="bg-BG"/>
        </w:rPr>
        <w:t xml:space="preserve">Амбрисентан е кластогенен при изпитвания </w:t>
      </w:r>
      <w:r w:rsidRPr="00681708">
        <w:rPr>
          <w:rFonts w:eastAsia="Times New Roman" w:cs="Arial"/>
          <w:i/>
          <w:iCs/>
          <w:color w:val="000000"/>
          <w:lang w:val="en-US"/>
        </w:rPr>
        <w:t>in</w:t>
      </w:r>
      <w:r w:rsidRPr="00681708">
        <w:rPr>
          <w:rFonts w:eastAsia="Times New Roman" w:cs="Arial"/>
          <w:i/>
          <w:iCs/>
          <w:color w:val="000000"/>
          <w:lang w:val="ru-RU"/>
        </w:rPr>
        <w:t xml:space="preserve"> </w:t>
      </w:r>
      <w:r w:rsidRPr="00681708">
        <w:rPr>
          <w:rFonts w:eastAsia="Times New Roman" w:cs="Arial"/>
          <w:i/>
          <w:iCs/>
          <w:color w:val="000000"/>
          <w:lang w:val="en-US"/>
        </w:rPr>
        <w:t>vitro</w:t>
      </w:r>
      <w:r w:rsidRPr="00681708">
        <w:rPr>
          <w:rFonts w:eastAsia="Times New Roman" w:cs="Arial"/>
          <w:color w:val="000000"/>
          <w:lang w:val="ru-RU"/>
        </w:rPr>
        <w:t xml:space="preserve"> </w:t>
      </w:r>
      <w:r w:rsidRPr="00681708">
        <w:rPr>
          <w:rFonts w:eastAsia="Times New Roman" w:cs="Arial"/>
          <w:color w:val="000000"/>
          <w:lang w:eastAsia="bg-BG"/>
        </w:rPr>
        <w:t xml:space="preserve">във високи концентрации върху клетки на бозайници. Няма доказателства за мутагенни или генотоксични ефекти на амбрисентан при бактерии или в две </w:t>
      </w:r>
      <w:r w:rsidRPr="00681708">
        <w:rPr>
          <w:rFonts w:eastAsia="Times New Roman" w:cs="Arial"/>
          <w:i/>
          <w:iCs/>
          <w:color w:val="000000"/>
          <w:lang w:val="en-US"/>
        </w:rPr>
        <w:t>in</w:t>
      </w:r>
      <w:r w:rsidRPr="00681708">
        <w:rPr>
          <w:rFonts w:eastAsia="Times New Roman" w:cs="Arial"/>
          <w:i/>
          <w:iCs/>
          <w:color w:val="000000"/>
          <w:lang w:val="ru-RU"/>
        </w:rPr>
        <w:t xml:space="preserve"> </w:t>
      </w:r>
      <w:r w:rsidRPr="00681708">
        <w:rPr>
          <w:rFonts w:eastAsia="Times New Roman" w:cs="Arial"/>
          <w:i/>
          <w:iCs/>
          <w:color w:val="000000"/>
          <w:lang w:val="en-US"/>
        </w:rPr>
        <w:t>vivo</w:t>
      </w:r>
      <w:r w:rsidRPr="00681708">
        <w:rPr>
          <w:rFonts w:eastAsia="Times New Roman" w:cs="Arial"/>
          <w:color w:val="000000"/>
          <w:lang w:val="ru-RU"/>
        </w:rPr>
        <w:t xml:space="preserve"> </w:t>
      </w:r>
      <w:r w:rsidRPr="00681708">
        <w:rPr>
          <w:rFonts w:eastAsia="Times New Roman" w:cs="Arial"/>
          <w:color w:val="000000"/>
          <w:lang w:eastAsia="bg-BG"/>
        </w:rPr>
        <w:t>проучвания при гризачи.</w:t>
      </w:r>
    </w:p>
    <w:p w14:paraId="3BF3A935" w14:textId="77777777" w:rsidR="00681708" w:rsidRDefault="00681708" w:rsidP="00681708">
      <w:pPr>
        <w:spacing w:line="240" w:lineRule="auto"/>
        <w:rPr>
          <w:rFonts w:eastAsia="Times New Roman" w:cs="Arial"/>
          <w:color w:val="000000"/>
          <w:lang w:eastAsia="bg-BG"/>
        </w:rPr>
      </w:pPr>
    </w:p>
    <w:p w14:paraId="7589200D" w14:textId="1CDF4200" w:rsidR="00681708" w:rsidRPr="00681708" w:rsidRDefault="00681708" w:rsidP="00681708">
      <w:pPr>
        <w:spacing w:line="240" w:lineRule="auto"/>
        <w:rPr>
          <w:rFonts w:eastAsia="Times New Roman" w:cs="Arial"/>
        </w:rPr>
      </w:pPr>
      <w:r w:rsidRPr="00681708">
        <w:rPr>
          <w:rFonts w:eastAsia="Times New Roman" w:cs="Arial"/>
          <w:color w:val="000000"/>
          <w:lang w:eastAsia="bg-BG"/>
        </w:rPr>
        <w:t xml:space="preserve">В двегодишни проучвания при плъхове и мишки с перорално приложение на амбрисентан липсват данни за карциногенен потенциал. При мъжки плъхове, само при най-високите дози е наблюдавано слабо повишаване на честотата на доброкачествения тумор фиброаденом на млечната жлеза. Системната експозиция на амбрисентан при мъжките плъхове при тези дози (въз основа на </w:t>
      </w:r>
      <w:r w:rsidRPr="00681708">
        <w:rPr>
          <w:rFonts w:eastAsia="Times New Roman" w:cs="Arial"/>
          <w:color w:val="000000"/>
          <w:lang w:val="en-US"/>
        </w:rPr>
        <w:t>AUC</w:t>
      </w:r>
      <w:r w:rsidRPr="00681708">
        <w:rPr>
          <w:rFonts w:eastAsia="Times New Roman" w:cs="Arial"/>
          <w:color w:val="000000"/>
          <w:lang w:val="ru-RU"/>
        </w:rPr>
        <w:t xml:space="preserve"> </w:t>
      </w:r>
      <w:r w:rsidRPr="00681708">
        <w:rPr>
          <w:rFonts w:eastAsia="Times New Roman" w:cs="Arial"/>
          <w:color w:val="000000"/>
          <w:lang w:eastAsia="bg-BG"/>
        </w:rPr>
        <w:t xml:space="preserve">в стационарно състояние) е 6 пъти постигнатата при 10 </w:t>
      </w:r>
      <w:r w:rsidRPr="00681708">
        <w:rPr>
          <w:rFonts w:eastAsia="Times New Roman" w:cs="Arial"/>
          <w:color w:val="000000"/>
          <w:lang w:val="en-US"/>
        </w:rPr>
        <w:t>mg</w:t>
      </w:r>
      <w:r w:rsidRPr="00681708">
        <w:rPr>
          <w:rFonts w:eastAsia="Times New Roman" w:cs="Arial"/>
          <w:color w:val="000000"/>
          <w:lang w:eastAsia="bg-BG"/>
        </w:rPr>
        <w:t>/дневно клинична доза.</w:t>
      </w:r>
    </w:p>
    <w:p w14:paraId="09F526D4" w14:textId="77777777" w:rsidR="00681708" w:rsidRDefault="00681708" w:rsidP="00681708">
      <w:pPr>
        <w:rPr>
          <w:rFonts w:eastAsia="Times New Roman" w:cs="Arial"/>
          <w:color w:val="000000"/>
          <w:lang w:eastAsia="bg-BG"/>
        </w:rPr>
      </w:pPr>
    </w:p>
    <w:p w14:paraId="1C4AC297" w14:textId="0DAF1A5E" w:rsidR="00681708" w:rsidRDefault="00681708" w:rsidP="00681708">
      <w:pPr>
        <w:rPr>
          <w:rFonts w:eastAsia="Times New Roman" w:cs="Arial"/>
          <w:color w:val="000000"/>
          <w:lang w:eastAsia="bg-BG"/>
        </w:rPr>
      </w:pPr>
      <w:r w:rsidRPr="00681708">
        <w:rPr>
          <w:rFonts w:eastAsia="Times New Roman" w:cs="Arial"/>
          <w:color w:val="000000"/>
          <w:lang w:eastAsia="bg-BG"/>
        </w:rPr>
        <w:t xml:space="preserve">В проучвания за токсичност и фертилитет с перорална многократна доза при мъжки плъхове и мишки се наблюдава тубулна атрофия на тестисите, която понякога се свързва с аспермия, без граница на безопасност. Промените в тестисите не са напълно обратими по време на оценените периоди без прием. Не са наблюдавани обаче промени в тестисите в проучвания с продължителност до 39 седмици при кучета, при експозиция, превишаваща 35 пъти наблюдаваната при хора - на базата на </w:t>
      </w:r>
      <w:r w:rsidRPr="00681708">
        <w:rPr>
          <w:rFonts w:eastAsia="Times New Roman" w:cs="Arial"/>
          <w:color w:val="000000"/>
          <w:lang w:val="en-US"/>
        </w:rPr>
        <w:t>AUC</w:t>
      </w:r>
      <w:r w:rsidRPr="00681708">
        <w:rPr>
          <w:rFonts w:eastAsia="Times New Roman" w:cs="Arial"/>
          <w:color w:val="000000"/>
          <w:lang w:val="ru-RU"/>
        </w:rPr>
        <w:t xml:space="preserve">. </w:t>
      </w:r>
      <w:r w:rsidRPr="00681708">
        <w:rPr>
          <w:rFonts w:eastAsia="Times New Roman" w:cs="Arial"/>
          <w:color w:val="000000"/>
          <w:lang w:eastAsia="bg-BG"/>
        </w:rPr>
        <w:t>При мъжки плъхове не са наблюдавани ефекти на</w:t>
      </w:r>
      <w:r w:rsidRPr="00681708">
        <w:rPr>
          <w:rFonts w:eastAsia="Times New Roman" w:cs="Arial"/>
          <w:color w:val="000000"/>
          <w:u w:val="single"/>
          <w:lang w:eastAsia="bg-BG"/>
        </w:rPr>
        <w:t xml:space="preserve"> </w:t>
      </w:r>
      <w:r w:rsidRPr="00681708">
        <w:rPr>
          <w:rFonts w:eastAsia="Times New Roman" w:cs="Arial"/>
          <w:color w:val="000000"/>
          <w:lang w:eastAsia="bg-BG"/>
        </w:rPr>
        <w:t xml:space="preserve">амбрисентан върху подвижността на сперматозоидите при всички тествани дози (до 300 </w:t>
      </w:r>
      <w:r w:rsidRPr="00681708">
        <w:rPr>
          <w:rFonts w:eastAsia="Times New Roman" w:cs="Arial"/>
          <w:color w:val="000000"/>
          <w:lang w:val="en-US"/>
        </w:rPr>
        <w:t>mg</w:t>
      </w:r>
      <w:r w:rsidRPr="00681708">
        <w:rPr>
          <w:rFonts w:eastAsia="Times New Roman" w:cs="Arial"/>
          <w:color w:val="000000"/>
          <w:lang w:val="ru-RU"/>
        </w:rPr>
        <w:t>/</w:t>
      </w:r>
      <w:r w:rsidRPr="00681708">
        <w:rPr>
          <w:rFonts w:eastAsia="Times New Roman" w:cs="Arial"/>
          <w:color w:val="000000"/>
          <w:lang w:val="en-US"/>
        </w:rPr>
        <w:t>kg</w:t>
      </w:r>
      <w:r w:rsidRPr="00681708">
        <w:rPr>
          <w:rFonts w:eastAsia="Times New Roman" w:cs="Arial"/>
          <w:color w:val="000000"/>
          <w:lang w:eastAsia="bg-BG"/>
        </w:rPr>
        <w:t xml:space="preserve">/ден). Слабо понижаване (&lt;10%) на процента на морфологично нормалните сперматозоиди е наблюдавано при доза от 300 </w:t>
      </w:r>
      <w:r w:rsidRPr="00681708">
        <w:rPr>
          <w:rFonts w:eastAsia="Times New Roman" w:cs="Arial"/>
          <w:color w:val="000000"/>
          <w:lang w:val="en-US"/>
        </w:rPr>
        <w:t>mg</w:t>
      </w:r>
      <w:r w:rsidRPr="00681708">
        <w:rPr>
          <w:rFonts w:eastAsia="Times New Roman" w:cs="Arial"/>
          <w:color w:val="000000"/>
          <w:lang w:val="ru-RU"/>
        </w:rPr>
        <w:t>/</w:t>
      </w:r>
      <w:r w:rsidRPr="00681708">
        <w:rPr>
          <w:rFonts w:eastAsia="Times New Roman" w:cs="Arial"/>
          <w:color w:val="000000"/>
          <w:lang w:val="en-US"/>
        </w:rPr>
        <w:t>kg</w:t>
      </w:r>
      <w:r w:rsidRPr="00681708">
        <w:rPr>
          <w:rFonts w:eastAsia="Times New Roman" w:cs="Arial"/>
          <w:color w:val="000000"/>
          <w:lang w:eastAsia="bg-BG"/>
        </w:rPr>
        <w:t xml:space="preserve">/ден, но не и при доза 100 </w:t>
      </w:r>
      <w:r w:rsidRPr="00681708">
        <w:rPr>
          <w:rFonts w:eastAsia="Times New Roman" w:cs="Arial"/>
          <w:color w:val="000000"/>
          <w:lang w:val="en-US"/>
        </w:rPr>
        <w:t>mg</w:t>
      </w:r>
      <w:r w:rsidRPr="00681708">
        <w:rPr>
          <w:rFonts w:eastAsia="Times New Roman" w:cs="Arial"/>
          <w:color w:val="000000"/>
          <w:lang w:val="ru-RU"/>
        </w:rPr>
        <w:t>/</w:t>
      </w:r>
      <w:r w:rsidRPr="00681708">
        <w:rPr>
          <w:rFonts w:eastAsia="Times New Roman" w:cs="Arial"/>
          <w:color w:val="000000"/>
          <w:lang w:val="en-US"/>
        </w:rPr>
        <w:t>kg</w:t>
      </w:r>
      <w:r w:rsidRPr="00681708">
        <w:rPr>
          <w:rFonts w:eastAsia="Times New Roman" w:cs="Arial"/>
          <w:color w:val="000000"/>
          <w:lang w:val="ru-RU"/>
        </w:rPr>
        <w:t>/</w:t>
      </w:r>
      <w:r w:rsidRPr="00681708">
        <w:rPr>
          <w:rFonts w:eastAsia="Times New Roman" w:cs="Arial"/>
          <w:color w:val="000000"/>
          <w:lang w:eastAsia="bg-BG"/>
        </w:rPr>
        <w:t xml:space="preserve">ден (&gt;9-пъти клиничната експозиция при 10 </w:t>
      </w:r>
      <w:r w:rsidRPr="00681708">
        <w:rPr>
          <w:rFonts w:eastAsia="Times New Roman" w:cs="Arial"/>
          <w:color w:val="000000"/>
          <w:lang w:val="en-US"/>
        </w:rPr>
        <w:t>mg</w:t>
      </w:r>
      <w:r w:rsidRPr="00681708">
        <w:rPr>
          <w:rFonts w:eastAsia="Times New Roman" w:cs="Arial"/>
          <w:color w:val="000000"/>
          <w:lang w:eastAsia="bg-BG"/>
        </w:rPr>
        <w:t>/ден). Ефектът на амбрисентан върху ферилитета при мъже не е установен.</w:t>
      </w:r>
    </w:p>
    <w:p w14:paraId="11933FE6" w14:textId="5907136D" w:rsidR="00681708" w:rsidRDefault="00681708" w:rsidP="00681708">
      <w:pPr>
        <w:rPr>
          <w:rFonts w:eastAsia="Times New Roman" w:cs="Arial"/>
          <w:color w:val="000000"/>
          <w:lang w:eastAsia="bg-BG"/>
        </w:rPr>
      </w:pPr>
    </w:p>
    <w:p w14:paraId="49C2ECE6" w14:textId="77777777" w:rsidR="00681708" w:rsidRPr="00681708" w:rsidRDefault="00681708" w:rsidP="00681708">
      <w:pPr>
        <w:spacing w:line="240" w:lineRule="auto"/>
        <w:rPr>
          <w:rFonts w:eastAsia="Times New Roman" w:cs="Arial"/>
        </w:rPr>
      </w:pPr>
      <w:r w:rsidRPr="00681708">
        <w:rPr>
          <w:rFonts w:eastAsia="Times New Roman" w:cs="Arial"/>
          <w:color w:val="000000"/>
          <w:lang w:eastAsia="bg-BG"/>
        </w:rPr>
        <w:t>Амбрисентан е тератогенен при плъхове и зайци. При всички изпитвани дози са наблюдавани аномалии на долната челюст, езика и/или небцето. Освен това в проучването при плъхове е наблюдавана повишена честота на дефекти на междукамерната преграда, дефекти на магистрални кръвоносни съдове, аномалии на щитовидната жлеза и тимуса, осификация на базалната част на сфеноидната кост, и появата на умбиликална артерия, разположена от лявата страна на пикочния мехур, вместо от дясната страна. Тератогенността е предполагаем ефект на класа на ендотелин-рецепторните антагонисти.</w:t>
      </w:r>
    </w:p>
    <w:p w14:paraId="791BF5FF" w14:textId="77777777" w:rsidR="00681708" w:rsidRDefault="00681708" w:rsidP="00681708">
      <w:pPr>
        <w:spacing w:line="240" w:lineRule="auto"/>
        <w:rPr>
          <w:rFonts w:eastAsia="Times New Roman" w:cs="Arial"/>
          <w:color w:val="000000"/>
          <w:lang w:eastAsia="bg-BG"/>
        </w:rPr>
      </w:pPr>
    </w:p>
    <w:p w14:paraId="56070C1E" w14:textId="127DA47C" w:rsidR="00681708" w:rsidRPr="00681708" w:rsidRDefault="00681708" w:rsidP="00681708">
      <w:pPr>
        <w:spacing w:line="240" w:lineRule="auto"/>
        <w:rPr>
          <w:rFonts w:eastAsia="Times New Roman" w:cs="Arial"/>
        </w:rPr>
      </w:pPr>
      <w:r w:rsidRPr="00681708">
        <w:rPr>
          <w:rFonts w:eastAsia="Times New Roman" w:cs="Arial"/>
          <w:color w:val="000000"/>
          <w:lang w:eastAsia="bg-BG"/>
        </w:rPr>
        <w:t xml:space="preserve">Прилагането на амбрисентан при женски плъхове в късна бременност и в периода на лактация, при експозиция 3 пъти над </w:t>
      </w:r>
      <w:r w:rsidRPr="00681708">
        <w:rPr>
          <w:rFonts w:eastAsia="Times New Roman" w:cs="Arial"/>
          <w:color w:val="000000"/>
          <w:lang w:val="en-US"/>
        </w:rPr>
        <w:t>AUC</w:t>
      </w:r>
      <w:r w:rsidRPr="00681708">
        <w:rPr>
          <w:rFonts w:eastAsia="Times New Roman" w:cs="Arial"/>
          <w:color w:val="000000"/>
          <w:lang w:val="ru-RU"/>
        </w:rPr>
        <w:t xml:space="preserve"> </w:t>
      </w:r>
      <w:r w:rsidRPr="00681708">
        <w:rPr>
          <w:rFonts w:eastAsia="Times New Roman" w:cs="Arial"/>
          <w:color w:val="000000"/>
          <w:lang w:eastAsia="bg-BG"/>
        </w:rPr>
        <w:t>при максималните препоръчвани дози за хора, води до нежелани събития в поведението на майката, намалена преживяемост на малките и увреждане на репродуктивната способност на потомството (при аутопсия се наблюдават малки тестиси).</w:t>
      </w:r>
    </w:p>
    <w:p w14:paraId="1A024310" w14:textId="77777777" w:rsidR="00681708" w:rsidRDefault="00681708" w:rsidP="00681708">
      <w:pPr>
        <w:spacing w:line="240" w:lineRule="auto"/>
        <w:rPr>
          <w:rFonts w:eastAsia="Times New Roman" w:cs="Arial"/>
          <w:color w:val="000000"/>
          <w:lang w:eastAsia="bg-BG"/>
        </w:rPr>
      </w:pPr>
    </w:p>
    <w:p w14:paraId="6768CF8F" w14:textId="40B92662" w:rsidR="00681708" w:rsidRPr="00681708" w:rsidRDefault="00681708" w:rsidP="00681708">
      <w:pPr>
        <w:spacing w:line="240" w:lineRule="auto"/>
        <w:rPr>
          <w:rFonts w:eastAsia="Times New Roman" w:cs="Arial"/>
        </w:rPr>
      </w:pPr>
      <w:r w:rsidRPr="00681708">
        <w:rPr>
          <w:rFonts w:eastAsia="Times New Roman" w:cs="Arial"/>
          <w:color w:val="000000"/>
          <w:lang w:eastAsia="bg-BG"/>
        </w:rPr>
        <w:t xml:space="preserve">При ювенилни плъхове, в периода от 7-ми до 26-ти, 36-ти или 62-ри ден от раждането, амбрисентан е прилаган перорално, веднъж дневно, като е установено намаляване на теглото на мозъка (-3% до -8%) без настъпване на морфологични или невроповеденчески промени след наблюдавани апнея, хипоксия и звуци по време на дишане. Тези ефекти настъпват при експозиции приблизително 1,8 до 7 пъти педиатричната експозиция при хора (на възраст между 9 и 15 години) при 10 </w:t>
      </w:r>
      <w:r w:rsidRPr="00681708">
        <w:rPr>
          <w:rFonts w:eastAsia="Times New Roman" w:cs="Arial"/>
          <w:color w:val="000000"/>
          <w:lang w:val="en-US"/>
        </w:rPr>
        <w:t>mg</w:t>
      </w:r>
      <w:r w:rsidRPr="00681708">
        <w:rPr>
          <w:rFonts w:eastAsia="Times New Roman" w:cs="Arial"/>
          <w:color w:val="000000"/>
          <w:lang w:val="ru-RU"/>
        </w:rPr>
        <w:t xml:space="preserve">, </w:t>
      </w:r>
      <w:r w:rsidRPr="00681708">
        <w:rPr>
          <w:rFonts w:eastAsia="Times New Roman" w:cs="Arial"/>
          <w:color w:val="000000"/>
          <w:lang w:eastAsia="bg-BG"/>
        </w:rPr>
        <w:t xml:space="preserve">на базата на </w:t>
      </w:r>
      <w:r w:rsidRPr="00681708">
        <w:rPr>
          <w:rFonts w:eastAsia="Times New Roman" w:cs="Arial"/>
          <w:color w:val="000000"/>
          <w:lang w:val="en-US"/>
        </w:rPr>
        <w:t>AUC</w:t>
      </w:r>
      <w:r w:rsidRPr="00681708">
        <w:rPr>
          <w:rFonts w:eastAsia="Times New Roman" w:cs="Arial"/>
          <w:color w:val="000000"/>
          <w:lang w:val="ru-RU"/>
        </w:rPr>
        <w:t xml:space="preserve">. </w:t>
      </w:r>
      <w:r w:rsidRPr="00681708">
        <w:rPr>
          <w:rFonts w:eastAsia="Times New Roman" w:cs="Arial"/>
          <w:color w:val="000000"/>
          <w:lang w:eastAsia="bg-BG"/>
        </w:rPr>
        <w:t>Клиничната значимост на тази находка за педиатричната популация не е напълно изяснена.</w:t>
      </w:r>
    </w:p>
    <w:p w14:paraId="7F811143" w14:textId="77777777" w:rsidR="00681708" w:rsidRPr="00681708" w:rsidRDefault="00681708" w:rsidP="00681708">
      <w:pPr>
        <w:rPr>
          <w:rFonts w:eastAsia="Times New Roman" w:cs="Arial"/>
          <w:color w:val="000000"/>
          <w:lang w:eastAsia="bg-BG"/>
        </w:rPr>
      </w:pPr>
    </w:p>
    <w:p w14:paraId="76372CF0" w14:textId="77777777" w:rsidR="00681708" w:rsidRPr="00681708" w:rsidRDefault="00681708" w:rsidP="00681708"/>
    <w:p w14:paraId="6A7820AB" w14:textId="63D37EE6" w:rsidR="008A6AF2" w:rsidRDefault="002C50EE" w:rsidP="00395555">
      <w:pPr>
        <w:pStyle w:val="Heading1"/>
      </w:pPr>
      <w:r>
        <w:lastRenderedPageBreak/>
        <w:t>7. ПРИТЕЖАТЕЛ НА РАЗРЕШЕНИЕТО ЗА УПОТРЕБА</w:t>
      </w:r>
    </w:p>
    <w:p w14:paraId="43B81F56" w14:textId="099701A9" w:rsidR="00681708" w:rsidRDefault="00681708" w:rsidP="00681708"/>
    <w:p w14:paraId="077BA50B" w14:textId="3A210C34" w:rsidR="00681708" w:rsidRPr="00681708" w:rsidRDefault="00681708" w:rsidP="00681708">
      <w:pPr>
        <w:rPr>
          <w:sz w:val="24"/>
          <w:szCs w:val="24"/>
        </w:rPr>
      </w:pPr>
      <w:proofErr w:type="spellStart"/>
      <w:r w:rsidRPr="00681708">
        <w:rPr>
          <w:lang w:val="en-US"/>
        </w:rPr>
        <w:t>Teva</w:t>
      </w:r>
      <w:proofErr w:type="spellEnd"/>
      <w:r>
        <w:t xml:space="preserve"> </w:t>
      </w:r>
      <w:r w:rsidRPr="00681708">
        <w:rPr>
          <w:lang w:val="en-US"/>
        </w:rPr>
        <w:t>B</w:t>
      </w:r>
      <w:r w:rsidRPr="00681708">
        <w:t>.</w:t>
      </w:r>
      <w:r w:rsidRPr="00681708">
        <w:rPr>
          <w:lang w:val="en-US"/>
        </w:rPr>
        <w:t>V</w:t>
      </w:r>
      <w:r w:rsidRPr="00681708">
        <w:t>.</w:t>
      </w:r>
    </w:p>
    <w:p w14:paraId="2D774621" w14:textId="77777777" w:rsidR="00681708" w:rsidRPr="00681708" w:rsidRDefault="00681708" w:rsidP="00681708">
      <w:pPr>
        <w:rPr>
          <w:sz w:val="24"/>
          <w:szCs w:val="24"/>
        </w:rPr>
      </w:pPr>
      <w:proofErr w:type="spellStart"/>
      <w:r w:rsidRPr="00681708">
        <w:rPr>
          <w:lang w:val="en-US"/>
        </w:rPr>
        <w:t>Swensweg</w:t>
      </w:r>
      <w:proofErr w:type="spellEnd"/>
      <w:r w:rsidRPr="00681708">
        <w:t xml:space="preserve"> </w:t>
      </w:r>
      <w:r w:rsidRPr="00681708">
        <w:rPr>
          <w:lang w:eastAsia="bg-BG"/>
        </w:rPr>
        <w:t>5</w:t>
      </w:r>
    </w:p>
    <w:p w14:paraId="53CA1D21" w14:textId="77777777" w:rsidR="00681708" w:rsidRPr="00681708" w:rsidRDefault="00681708" w:rsidP="00681708">
      <w:pPr>
        <w:rPr>
          <w:sz w:val="24"/>
          <w:szCs w:val="24"/>
        </w:rPr>
      </w:pPr>
      <w:r w:rsidRPr="00681708">
        <w:rPr>
          <w:lang w:eastAsia="bg-BG"/>
        </w:rPr>
        <w:t xml:space="preserve">2031 </w:t>
      </w:r>
      <w:r w:rsidRPr="00681708">
        <w:rPr>
          <w:lang w:val="en-US"/>
        </w:rPr>
        <w:t>GA</w:t>
      </w:r>
      <w:r w:rsidRPr="00681708">
        <w:t xml:space="preserve"> </w:t>
      </w:r>
      <w:r w:rsidRPr="00681708">
        <w:rPr>
          <w:lang w:val="en-US"/>
        </w:rPr>
        <w:t>Haarlem</w:t>
      </w:r>
    </w:p>
    <w:p w14:paraId="0BCC5D39" w14:textId="77777777" w:rsidR="00681708" w:rsidRPr="00681708" w:rsidRDefault="00681708" w:rsidP="00681708">
      <w:pPr>
        <w:rPr>
          <w:sz w:val="24"/>
          <w:szCs w:val="24"/>
        </w:rPr>
      </w:pPr>
      <w:r w:rsidRPr="00681708">
        <w:rPr>
          <w:lang w:eastAsia="bg-BG"/>
        </w:rPr>
        <w:t>Нидерландия</w:t>
      </w:r>
    </w:p>
    <w:p w14:paraId="01275497" w14:textId="77777777" w:rsidR="00681708" w:rsidRPr="00681708" w:rsidRDefault="00681708" w:rsidP="00681708"/>
    <w:p w14:paraId="7BA1BA64" w14:textId="20DDFF15" w:rsidR="00CF77F7" w:rsidRDefault="002C50EE" w:rsidP="004A448E">
      <w:pPr>
        <w:pStyle w:val="Heading1"/>
      </w:pPr>
      <w:r>
        <w:t>8. НОМЕР НА РАЗРЕШЕНИЕТО ЗА УПОТРЕБА</w:t>
      </w:r>
    </w:p>
    <w:p w14:paraId="3902633E" w14:textId="77777777" w:rsidR="00681708" w:rsidRDefault="00681708" w:rsidP="00681708">
      <w:pPr>
        <w:rPr>
          <w:lang w:eastAsia="bg-BG"/>
        </w:rPr>
      </w:pPr>
    </w:p>
    <w:p w14:paraId="23DD7C37" w14:textId="54CF8A88" w:rsidR="00681708" w:rsidRPr="00681708" w:rsidRDefault="00681708" w:rsidP="00681708">
      <w:pPr>
        <w:rPr>
          <w:sz w:val="24"/>
          <w:szCs w:val="24"/>
        </w:rPr>
      </w:pPr>
      <w:bookmarkStart w:id="1" w:name="_GoBack"/>
      <w:bookmarkEnd w:id="1"/>
      <w:r w:rsidRPr="00681708">
        <w:rPr>
          <w:lang w:eastAsia="bg-BG"/>
        </w:rPr>
        <w:t xml:space="preserve">Амбрисентан Тева </w:t>
      </w:r>
      <w:r w:rsidRPr="00681708">
        <w:rPr>
          <w:lang w:val="ru-RU"/>
        </w:rPr>
        <w:t xml:space="preserve">5 </w:t>
      </w:r>
      <w:r w:rsidRPr="00681708">
        <w:rPr>
          <w:lang w:val="en-US"/>
        </w:rPr>
        <w:t>mg</w:t>
      </w:r>
      <w:r w:rsidRPr="00681708">
        <w:rPr>
          <w:lang w:val="ru-RU"/>
        </w:rPr>
        <w:t xml:space="preserve"> - </w:t>
      </w:r>
      <w:r w:rsidRPr="00681708">
        <w:rPr>
          <w:lang w:val="en-US"/>
        </w:rPr>
        <w:t>per</w:t>
      </w:r>
      <w:r w:rsidRPr="00681708">
        <w:rPr>
          <w:lang w:val="ru-RU"/>
        </w:rPr>
        <w:t>. №</w:t>
      </w:r>
    </w:p>
    <w:p w14:paraId="7F8F9A72" w14:textId="02F30999" w:rsidR="00681708" w:rsidRPr="00681708" w:rsidRDefault="00681708" w:rsidP="00681708">
      <w:pPr>
        <w:rPr>
          <w:lang w:val="ru-RU"/>
        </w:rPr>
      </w:pPr>
      <w:r w:rsidRPr="00681708">
        <w:rPr>
          <w:lang w:eastAsia="bg-BG"/>
        </w:rPr>
        <w:t xml:space="preserve">Амбрисентан Тева </w:t>
      </w:r>
      <w:r w:rsidRPr="00681708">
        <w:rPr>
          <w:lang w:val="ru-RU"/>
        </w:rPr>
        <w:t xml:space="preserve">10 </w:t>
      </w:r>
      <w:r w:rsidRPr="00681708">
        <w:rPr>
          <w:lang w:val="en-US"/>
        </w:rPr>
        <w:t>mg</w:t>
      </w:r>
      <w:r w:rsidRPr="00681708">
        <w:rPr>
          <w:lang w:val="ru-RU"/>
        </w:rPr>
        <w:t xml:space="preserve"> - </w:t>
      </w:r>
      <w:r w:rsidRPr="00681708">
        <w:rPr>
          <w:lang w:val="en-US"/>
        </w:rPr>
        <w:t>per</w:t>
      </w:r>
      <w:r w:rsidRPr="00681708">
        <w:rPr>
          <w:lang w:val="ru-RU"/>
        </w:rPr>
        <w:t>. №</w:t>
      </w:r>
    </w:p>
    <w:p w14:paraId="630A104A" w14:textId="7E63C6D3" w:rsidR="00681708" w:rsidRPr="00681708" w:rsidRDefault="002C50EE" w:rsidP="00681708">
      <w:pPr>
        <w:pStyle w:val="Heading1"/>
      </w:pPr>
      <w:r>
        <w:t>9. ДАТА НА ПЪРВО РАЗРЕШАВАНЕ/ПОДНОВЯВАНЕ НА РАЗРЕШЕНИЕТО ЗА УПОТРЕБА</w:t>
      </w:r>
    </w:p>
    <w:p w14:paraId="0E9D0119" w14:textId="0245C6D7" w:rsidR="002C50EE" w:rsidRDefault="002C50EE" w:rsidP="002C50EE">
      <w:pPr>
        <w:pStyle w:val="Heading1"/>
      </w:pPr>
      <w:r>
        <w:t>10. ДАТА НА АКТУАЛИЗИРАНЕ НА ТЕКСТА</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359B6"/>
    <w:multiLevelType w:val="hybridMultilevel"/>
    <w:tmpl w:val="7D9C5C8E"/>
    <w:lvl w:ilvl="0" w:tplc="F97CD776">
      <w:start w:val="5"/>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AB0FDC"/>
    <w:multiLevelType w:val="hybridMultilevel"/>
    <w:tmpl w:val="18F0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2"/>
  </w:num>
  <w:num w:numId="15">
    <w:abstractNumId w:val="29"/>
  </w:num>
  <w:num w:numId="16">
    <w:abstractNumId w:val="10"/>
  </w:num>
  <w:num w:numId="17">
    <w:abstractNumId w:val="24"/>
  </w:num>
  <w:num w:numId="18">
    <w:abstractNumId w:val="8"/>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2"/>
  </w:num>
  <w:num w:numId="28">
    <w:abstractNumId w:val="7"/>
  </w:num>
  <w:num w:numId="29">
    <w:abstractNumId w:val="20"/>
  </w:num>
  <w:num w:numId="30">
    <w:abstractNumId w:val="35"/>
  </w:num>
  <w:num w:numId="31">
    <w:abstractNumId w:val="5"/>
  </w:num>
  <w:num w:numId="32">
    <w:abstractNumId w:val="34"/>
  </w:num>
  <w:num w:numId="33">
    <w:abstractNumId w:val="28"/>
  </w:num>
  <w:num w:numId="34">
    <w:abstractNumId w:val="33"/>
  </w:num>
  <w:num w:numId="35">
    <w:abstractNumId w:val="31"/>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708"/>
    <w:rsid w:val="00681D4A"/>
    <w:rsid w:val="00685882"/>
    <w:rsid w:val="0075649D"/>
    <w:rsid w:val="007C605B"/>
    <w:rsid w:val="00800A11"/>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7712</Words>
  <Characters>43962</Characters>
  <Application>Microsoft Office Word</Application>
  <DocSecurity>0</DocSecurity>
  <Lines>366</Lines>
  <Paragraphs>103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2022-05-29T17:56:00Z</dcterms:created>
  <dcterms:modified xsi:type="dcterms:W3CDTF">2022-05-29T17:56:00Z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