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4E049680" w:rsidR="00C40420" w:rsidRDefault="00DD466D" w:rsidP="004A448E">
      <w:pPr>
        <w:pStyle w:val="Heading1"/>
      </w:pPr>
      <w:r>
        <w:t>1.ИМЕ НА ЛЕКАРСТВЕНИЯ ПРОДУКТ</w:t>
      </w:r>
    </w:p>
    <w:p w14:paraId="210E8080" w14:textId="44646A5E" w:rsidR="009231C3" w:rsidRDefault="009231C3" w:rsidP="009231C3"/>
    <w:p w14:paraId="617C2544" w14:textId="77777777" w:rsidR="009231C3" w:rsidRPr="009231C3" w:rsidRDefault="009231C3" w:rsidP="009231C3">
      <w:pPr>
        <w:rPr>
          <w:sz w:val="24"/>
          <w:szCs w:val="24"/>
          <w:lang w:val="ru-RU"/>
        </w:rPr>
      </w:pPr>
      <w:r w:rsidRPr="009231C3">
        <w:rPr>
          <w:lang w:eastAsia="bg-BG"/>
        </w:rPr>
        <w:t xml:space="preserve">Амбрисентан Зентива 5 </w:t>
      </w:r>
      <w:r w:rsidRPr="009231C3">
        <w:rPr>
          <w:lang w:val="en-US"/>
        </w:rPr>
        <w:t>mg</w:t>
      </w:r>
      <w:r w:rsidRPr="009231C3">
        <w:rPr>
          <w:lang w:val="ru-RU"/>
        </w:rPr>
        <w:t xml:space="preserve"> </w:t>
      </w:r>
      <w:r w:rsidRPr="009231C3">
        <w:rPr>
          <w:lang w:eastAsia="bg-BG"/>
        </w:rPr>
        <w:t>филмирани таблетки</w:t>
      </w:r>
    </w:p>
    <w:p w14:paraId="72AE9D1B" w14:textId="77777777" w:rsidR="009231C3" w:rsidRPr="009231C3" w:rsidRDefault="009231C3" w:rsidP="009231C3">
      <w:pPr>
        <w:rPr>
          <w:sz w:val="24"/>
          <w:szCs w:val="24"/>
          <w:lang w:val="ru-RU"/>
        </w:rPr>
      </w:pPr>
      <w:r w:rsidRPr="009231C3">
        <w:rPr>
          <w:lang w:eastAsia="bg-BG"/>
        </w:rPr>
        <w:t xml:space="preserve">Амбрисентан Зентива 10 </w:t>
      </w:r>
      <w:r w:rsidRPr="009231C3">
        <w:rPr>
          <w:lang w:val="en-US"/>
        </w:rPr>
        <w:t>mg</w:t>
      </w:r>
      <w:r w:rsidRPr="009231C3">
        <w:rPr>
          <w:lang w:val="ru-RU"/>
        </w:rPr>
        <w:t xml:space="preserve"> </w:t>
      </w:r>
      <w:r w:rsidRPr="009231C3">
        <w:rPr>
          <w:lang w:eastAsia="bg-BG"/>
        </w:rPr>
        <w:t>филмирани таблетки</w:t>
      </w:r>
    </w:p>
    <w:p w14:paraId="2961D145" w14:textId="77777777" w:rsidR="009231C3" w:rsidRPr="009231C3" w:rsidRDefault="009231C3" w:rsidP="009231C3">
      <w:pPr>
        <w:rPr>
          <w:lang w:val="ru-RU"/>
        </w:rPr>
      </w:pPr>
    </w:p>
    <w:p w14:paraId="2FCE1B3B" w14:textId="013D57E6" w:rsidR="009231C3" w:rsidRPr="009231C3" w:rsidRDefault="009231C3" w:rsidP="009231C3">
      <w:pPr>
        <w:rPr>
          <w:sz w:val="24"/>
          <w:szCs w:val="24"/>
          <w:lang w:val="en-US"/>
        </w:rPr>
      </w:pPr>
      <w:proofErr w:type="spellStart"/>
      <w:r w:rsidRPr="009231C3">
        <w:rPr>
          <w:lang w:val="en-US"/>
        </w:rPr>
        <w:t>Ambrisentan</w:t>
      </w:r>
      <w:proofErr w:type="spellEnd"/>
      <w:r w:rsidRPr="009231C3">
        <w:rPr>
          <w:lang w:val="en-US"/>
        </w:rPr>
        <w:t xml:space="preserve"> </w:t>
      </w:r>
      <w:proofErr w:type="spellStart"/>
      <w:r w:rsidRPr="009231C3">
        <w:rPr>
          <w:lang w:val="en-US"/>
        </w:rPr>
        <w:t>Zentiva</w:t>
      </w:r>
      <w:proofErr w:type="spellEnd"/>
      <w:r w:rsidRPr="009231C3">
        <w:rPr>
          <w:lang w:val="en-US"/>
        </w:rPr>
        <w:t xml:space="preserve"> </w:t>
      </w:r>
      <w:r w:rsidRPr="009231C3">
        <w:rPr>
          <w:lang w:eastAsia="bg-BG"/>
        </w:rPr>
        <w:t xml:space="preserve">5 </w:t>
      </w:r>
      <w:r w:rsidRPr="009231C3">
        <w:rPr>
          <w:lang w:val="en-US"/>
        </w:rPr>
        <w:t>mg film-coated tablets</w:t>
      </w:r>
    </w:p>
    <w:p w14:paraId="10F77B2E" w14:textId="77777777" w:rsidR="009231C3" w:rsidRPr="009231C3" w:rsidRDefault="009231C3" w:rsidP="009231C3">
      <w:pPr>
        <w:rPr>
          <w:sz w:val="24"/>
          <w:szCs w:val="24"/>
          <w:lang w:val="en-US"/>
        </w:rPr>
      </w:pPr>
      <w:proofErr w:type="spellStart"/>
      <w:r w:rsidRPr="009231C3">
        <w:rPr>
          <w:lang w:val="en-US"/>
        </w:rPr>
        <w:t>Ambrisentan</w:t>
      </w:r>
      <w:proofErr w:type="spellEnd"/>
      <w:r w:rsidRPr="009231C3">
        <w:rPr>
          <w:lang w:val="en-US"/>
        </w:rPr>
        <w:t xml:space="preserve"> </w:t>
      </w:r>
      <w:proofErr w:type="spellStart"/>
      <w:r w:rsidRPr="009231C3">
        <w:rPr>
          <w:lang w:val="en-US"/>
        </w:rPr>
        <w:t>Zentiva</w:t>
      </w:r>
      <w:proofErr w:type="spellEnd"/>
      <w:r w:rsidRPr="009231C3">
        <w:rPr>
          <w:lang w:val="en-US"/>
        </w:rPr>
        <w:t xml:space="preserve"> 10 mg film-coated tablets</w:t>
      </w:r>
    </w:p>
    <w:p w14:paraId="5B517702" w14:textId="77777777" w:rsidR="009231C3" w:rsidRPr="009231C3" w:rsidRDefault="009231C3" w:rsidP="009231C3"/>
    <w:p w14:paraId="6920A680" w14:textId="401C29A1" w:rsidR="00C40420" w:rsidRDefault="00DD466D" w:rsidP="004A448E">
      <w:pPr>
        <w:pStyle w:val="Heading1"/>
      </w:pPr>
      <w:r>
        <w:t>2. КАЧЕСТВЕН И КОЛИЧЕСТВЕН СЪСТАВ</w:t>
      </w:r>
    </w:p>
    <w:p w14:paraId="1375E39A" w14:textId="2CA943D1" w:rsidR="009231C3" w:rsidRDefault="009231C3" w:rsidP="009231C3"/>
    <w:p w14:paraId="6C20F4FB"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 xml:space="preserve">Амбрисентан Зентива 5 </w:t>
      </w:r>
      <w:r w:rsidRPr="009231C3">
        <w:rPr>
          <w:rFonts w:eastAsia="Times New Roman" w:cs="Arial"/>
          <w:color w:val="000000"/>
          <w:u w:val="single"/>
          <w:lang w:val="en-US"/>
        </w:rPr>
        <w:t>mg</w:t>
      </w:r>
      <w:r w:rsidRPr="009231C3">
        <w:rPr>
          <w:rFonts w:eastAsia="Times New Roman" w:cs="Arial"/>
          <w:color w:val="000000"/>
          <w:u w:val="single"/>
          <w:lang w:val="ru-RU"/>
        </w:rPr>
        <w:t xml:space="preserve"> </w:t>
      </w:r>
      <w:r w:rsidRPr="009231C3">
        <w:rPr>
          <w:rFonts w:eastAsia="Times New Roman" w:cs="Arial"/>
          <w:color w:val="000000"/>
          <w:u w:val="single"/>
          <w:lang w:eastAsia="bg-BG"/>
        </w:rPr>
        <w:t>филмирани таблетки:</w:t>
      </w:r>
    </w:p>
    <w:p w14:paraId="47632C42"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Всяка таблетка съдържа 5 </w:t>
      </w:r>
      <w:r w:rsidRPr="009231C3">
        <w:rPr>
          <w:rFonts w:eastAsia="Times New Roman" w:cs="Arial"/>
          <w:color w:val="000000"/>
          <w:lang w:val="en-US"/>
        </w:rPr>
        <w:t>mg</w:t>
      </w:r>
      <w:r w:rsidRPr="009231C3">
        <w:rPr>
          <w:rFonts w:eastAsia="Times New Roman" w:cs="Arial"/>
          <w:color w:val="000000"/>
        </w:rPr>
        <w:t xml:space="preserve"> </w:t>
      </w:r>
      <w:r w:rsidRPr="009231C3">
        <w:rPr>
          <w:rFonts w:eastAsia="Times New Roman" w:cs="Arial"/>
          <w:color w:val="000000"/>
          <w:lang w:eastAsia="bg-BG"/>
        </w:rPr>
        <w:t xml:space="preserve">амбрисентан </w:t>
      </w:r>
      <w:r w:rsidRPr="009231C3">
        <w:rPr>
          <w:rFonts w:eastAsia="Times New Roman" w:cs="Arial"/>
          <w:color w:val="000000"/>
        </w:rPr>
        <w:t>(</w:t>
      </w:r>
      <w:proofErr w:type="spellStart"/>
      <w:r w:rsidRPr="009231C3">
        <w:rPr>
          <w:rFonts w:eastAsia="Times New Roman" w:cs="Arial"/>
          <w:color w:val="000000"/>
          <w:lang w:val="en-US"/>
        </w:rPr>
        <w:t>ambrisentan</w:t>
      </w:r>
      <w:proofErr w:type="spellEnd"/>
      <w:r w:rsidRPr="009231C3">
        <w:rPr>
          <w:rFonts w:eastAsia="Times New Roman" w:cs="Arial"/>
          <w:color w:val="000000"/>
        </w:rPr>
        <w:t>).</w:t>
      </w:r>
    </w:p>
    <w:p w14:paraId="2D9064CF" w14:textId="77777777" w:rsidR="009231C3" w:rsidRPr="009231C3" w:rsidRDefault="009231C3" w:rsidP="009231C3">
      <w:pPr>
        <w:spacing w:line="240" w:lineRule="auto"/>
        <w:rPr>
          <w:rFonts w:eastAsia="Times New Roman" w:cs="Arial"/>
          <w:color w:val="000000"/>
          <w:u w:val="single"/>
          <w:lang w:eastAsia="bg-BG"/>
        </w:rPr>
      </w:pPr>
    </w:p>
    <w:p w14:paraId="42A5A92F" w14:textId="29E0BBC6"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 xml:space="preserve">Амбрисентан Зентива 10 </w:t>
      </w:r>
      <w:r w:rsidRPr="009231C3">
        <w:rPr>
          <w:rFonts w:eastAsia="Times New Roman" w:cs="Arial"/>
          <w:color w:val="000000"/>
          <w:u w:val="single"/>
          <w:lang w:val="en-US"/>
        </w:rPr>
        <w:t>mg</w:t>
      </w:r>
      <w:r w:rsidRPr="009231C3">
        <w:rPr>
          <w:rFonts w:eastAsia="Times New Roman" w:cs="Arial"/>
          <w:color w:val="000000"/>
          <w:u w:val="single"/>
          <w:lang w:val="ru-RU"/>
        </w:rPr>
        <w:t xml:space="preserve"> </w:t>
      </w:r>
      <w:r w:rsidRPr="009231C3">
        <w:rPr>
          <w:rFonts w:eastAsia="Times New Roman" w:cs="Arial"/>
          <w:color w:val="000000"/>
          <w:u w:val="single"/>
          <w:lang w:eastAsia="bg-BG"/>
        </w:rPr>
        <w:t>филмирани таблетки:</w:t>
      </w:r>
    </w:p>
    <w:p w14:paraId="6858354E"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Всяка таблетка съдържа 10 </w:t>
      </w:r>
      <w:r w:rsidRPr="009231C3">
        <w:rPr>
          <w:rFonts w:eastAsia="Times New Roman" w:cs="Arial"/>
          <w:color w:val="000000"/>
          <w:lang w:val="en-US"/>
        </w:rPr>
        <w:t>mg</w:t>
      </w:r>
      <w:r w:rsidRPr="009231C3">
        <w:rPr>
          <w:rFonts w:eastAsia="Times New Roman" w:cs="Arial"/>
          <w:color w:val="000000"/>
        </w:rPr>
        <w:t xml:space="preserve"> </w:t>
      </w:r>
      <w:r w:rsidRPr="009231C3">
        <w:rPr>
          <w:rFonts w:eastAsia="Times New Roman" w:cs="Arial"/>
          <w:color w:val="000000"/>
          <w:lang w:eastAsia="bg-BG"/>
        </w:rPr>
        <w:t xml:space="preserve">амбрисентан </w:t>
      </w:r>
      <w:r w:rsidRPr="009231C3">
        <w:rPr>
          <w:rFonts w:eastAsia="Times New Roman" w:cs="Arial"/>
          <w:color w:val="000000"/>
        </w:rPr>
        <w:t>(</w:t>
      </w:r>
      <w:proofErr w:type="spellStart"/>
      <w:r w:rsidRPr="009231C3">
        <w:rPr>
          <w:rFonts w:eastAsia="Times New Roman" w:cs="Arial"/>
          <w:color w:val="000000"/>
          <w:lang w:val="en-US"/>
        </w:rPr>
        <w:t>ambrisentan</w:t>
      </w:r>
      <w:proofErr w:type="spellEnd"/>
      <w:r w:rsidRPr="009231C3">
        <w:rPr>
          <w:rFonts w:eastAsia="Times New Roman" w:cs="Arial"/>
          <w:color w:val="000000"/>
        </w:rPr>
        <w:t>).</w:t>
      </w:r>
    </w:p>
    <w:p w14:paraId="61D7ABA5" w14:textId="77777777" w:rsidR="009231C3" w:rsidRPr="009231C3" w:rsidRDefault="009231C3" w:rsidP="009231C3">
      <w:pPr>
        <w:spacing w:line="240" w:lineRule="auto"/>
        <w:rPr>
          <w:rFonts w:eastAsia="Times New Roman" w:cs="Arial"/>
          <w:color w:val="000000"/>
          <w:u w:val="single"/>
          <w:lang w:eastAsia="bg-BG"/>
        </w:rPr>
      </w:pPr>
    </w:p>
    <w:p w14:paraId="1B01EB3F" w14:textId="7BCC25EB"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Помощно(и) вещество(а) с известно действие</w:t>
      </w:r>
      <w:r w:rsidRPr="009231C3">
        <w:rPr>
          <w:rFonts w:eastAsia="Times New Roman" w:cs="Arial"/>
          <w:color w:val="000000"/>
          <w:lang w:eastAsia="bg-BG"/>
        </w:rPr>
        <w:t>:</w:t>
      </w:r>
    </w:p>
    <w:p w14:paraId="33AA97AB" w14:textId="03CA1D21"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 xml:space="preserve">Амбрисентан Зентива 5 </w:t>
      </w:r>
      <w:r w:rsidRPr="009231C3">
        <w:rPr>
          <w:rFonts w:eastAsia="Times New Roman" w:cs="Arial"/>
          <w:color w:val="000000"/>
          <w:u w:val="single"/>
          <w:lang w:val="en-US"/>
        </w:rPr>
        <w:t>mg</w:t>
      </w:r>
      <w:r w:rsidRPr="009231C3">
        <w:rPr>
          <w:rFonts w:eastAsia="Times New Roman" w:cs="Arial"/>
          <w:color w:val="000000"/>
          <w:u w:val="single"/>
          <w:lang w:val="ru-RU"/>
        </w:rPr>
        <w:t xml:space="preserve"> </w:t>
      </w:r>
      <w:r w:rsidRPr="009231C3">
        <w:rPr>
          <w:rFonts w:eastAsia="Times New Roman" w:cs="Arial"/>
          <w:color w:val="000000"/>
          <w:u w:val="single"/>
          <w:lang w:eastAsia="bg-BG"/>
        </w:rPr>
        <w:t>филмирани таблетки:</w:t>
      </w:r>
    </w:p>
    <w:p w14:paraId="32895569"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Всяка таблетка съдържа приблизително 47,50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 xml:space="preserve">лактоза (като монохидрат), 0,14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 xml:space="preserve">соев лецитин и 0,022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Алура червено АС (Е 129).</w:t>
      </w:r>
    </w:p>
    <w:p w14:paraId="7526B1BF" w14:textId="77777777" w:rsidR="009231C3" w:rsidRPr="009231C3" w:rsidRDefault="009231C3" w:rsidP="009231C3">
      <w:pPr>
        <w:spacing w:line="240" w:lineRule="auto"/>
        <w:rPr>
          <w:rFonts w:eastAsia="Times New Roman" w:cs="Arial"/>
          <w:color w:val="000000"/>
          <w:u w:val="single"/>
          <w:lang w:eastAsia="bg-BG"/>
        </w:rPr>
      </w:pPr>
    </w:p>
    <w:p w14:paraId="599E7243" w14:textId="3FC7F59F"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 xml:space="preserve">Амбрисентан Зентива 10 </w:t>
      </w:r>
      <w:r w:rsidRPr="009231C3">
        <w:rPr>
          <w:rFonts w:eastAsia="Times New Roman" w:cs="Arial"/>
          <w:color w:val="000000"/>
          <w:u w:val="single"/>
          <w:lang w:val="en-US"/>
        </w:rPr>
        <w:t>mg</w:t>
      </w:r>
      <w:r w:rsidRPr="009231C3">
        <w:rPr>
          <w:rFonts w:eastAsia="Times New Roman" w:cs="Arial"/>
          <w:color w:val="000000"/>
          <w:u w:val="single"/>
          <w:lang w:val="ru-RU"/>
        </w:rPr>
        <w:t xml:space="preserve"> </w:t>
      </w:r>
      <w:r w:rsidRPr="009231C3">
        <w:rPr>
          <w:rFonts w:eastAsia="Times New Roman" w:cs="Arial"/>
          <w:color w:val="000000"/>
          <w:u w:val="single"/>
          <w:lang w:eastAsia="bg-BG"/>
        </w:rPr>
        <w:t>филмирани таблетки</w:t>
      </w:r>
      <w:r w:rsidRPr="009231C3">
        <w:rPr>
          <w:rFonts w:eastAsia="Times New Roman" w:cs="Arial"/>
          <w:color w:val="000000"/>
          <w:lang w:eastAsia="bg-BG"/>
        </w:rPr>
        <w:t>:</w:t>
      </w:r>
    </w:p>
    <w:p w14:paraId="2E925B5E"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Всяка таблетка съдържа приблизително 95,00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 xml:space="preserve">лактоза (като монохидрат), 0,21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 xml:space="preserve">соев лецитин и 0,405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Алура червено АС (Е 129).</w:t>
      </w:r>
    </w:p>
    <w:p w14:paraId="749B7D98" w14:textId="77777777" w:rsidR="009231C3" w:rsidRPr="009231C3" w:rsidRDefault="009231C3" w:rsidP="009231C3"/>
    <w:p w14:paraId="614984C4" w14:textId="5119B042" w:rsidR="008A6AF2" w:rsidRDefault="00DD466D" w:rsidP="002C50EE">
      <w:pPr>
        <w:pStyle w:val="Heading1"/>
      </w:pPr>
      <w:r>
        <w:t>3. ЛЕКАРСТВЕНА ФОРМА</w:t>
      </w:r>
    </w:p>
    <w:p w14:paraId="618BB502" w14:textId="47ABF02F" w:rsidR="009231C3" w:rsidRDefault="009231C3" w:rsidP="009231C3"/>
    <w:p w14:paraId="00FA0960" w14:textId="77777777" w:rsidR="009231C3" w:rsidRPr="009231C3" w:rsidRDefault="009231C3" w:rsidP="009231C3">
      <w:pPr>
        <w:rPr>
          <w:sz w:val="24"/>
          <w:szCs w:val="24"/>
        </w:rPr>
      </w:pPr>
      <w:r w:rsidRPr="009231C3">
        <w:rPr>
          <w:lang w:eastAsia="bg-BG"/>
        </w:rPr>
        <w:t>Филмирана таблетка.</w:t>
      </w:r>
    </w:p>
    <w:p w14:paraId="588A72D0" w14:textId="77777777" w:rsidR="009231C3" w:rsidRDefault="009231C3" w:rsidP="009231C3">
      <w:pPr>
        <w:rPr>
          <w:u w:val="single"/>
          <w:lang w:eastAsia="bg-BG"/>
        </w:rPr>
      </w:pPr>
    </w:p>
    <w:p w14:paraId="13466312" w14:textId="64778732" w:rsidR="009231C3" w:rsidRPr="009231C3" w:rsidRDefault="009231C3" w:rsidP="009231C3">
      <w:pPr>
        <w:rPr>
          <w:sz w:val="24"/>
          <w:szCs w:val="24"/>
        </w:rPr>
      </w:pPr>
      <w:r w:rsidRPr="009231C3">
        <w:rPr>
          <w:u w:val="single"/>
          <w:lang w:eastAsia="bg-BG"/>
        </w:rPr>
        <w:t xml:space="preserve">Амбрисентан Зентива 5 </w:t>
      </w:r>
      <w:r w:rsidRPr="009231C3">
        <w:rPr>
          <w:u w:val="single"/>
          <w:lang w:val="en-US"/>
        </w:rPr>
        <w:t>mg</w:t>
      </w:r>
      <w:r w:rsidRPr="009231C3">
        <w:rPr>
          <w:u w:val="single"/>
          <w:lang w:val="ru-RU"/>
        </w:rPr>
        <w:t xml:space="preserve"> </w:t>
      </w:r>
      <w:r w:rsidRPr="009231C3">
        <w:rPr>
          <w:u w:val="single"/>
          <w:lang w:eastAsia="bg-BG"/>
        </w:rPr>
        <w:t>филмирани таблетки:</w:t>
      </w:r>
    </w:p>
    <w:p w14:paraId="0E53700D" w14:textId="77777777" w:rsidR="009231C3" w:rsidRPr="009231C3" w:rsidRDefault="009231C3" w:rsidP="009231C3">
      <w:pPr>
        <w:rPr>
          <w:sz w:val="24"/>
          <w:szCs w:val="24"/>
        </w:rPr>
      </w:pPr>
      <w:r w:rsidRPr="009231C3">
        <w:rPr>
          <w:lang w:eastAsia="bg-BG"/>
        </w:rPr>
        <w:t xml:space="preserve">Светлорозови, квадратни, изпъкнали, филмирани таблетки, с вдлъбнато релефно означение "5" от едната страна, гладки от другата страна, с номинална дължина/ширина приблизително 5,9 </w:t>
      </w:r>
      <w:r w:rsidRPr="009231C3">
        <w:rPr>
          <w:lang w:val="en-US"/>
        </w:rPr>
        <w:t>mm</w:t>
      </w:r>
      <w:r w:rsidRPr="009231C3">
        <w:rPr>
          <w:lang w:val="ru-RU"/>
        </w:rPr>
        <w:t>.</w:t>
      </w:r>
    </w:p>
    <w:p w14:paraId="2D27A1D1" w14:textId="77777777" w:rsidR="009231C3" w:rsidRDefault="009231C3" w:rsidP="009231C3">
      <w:pPr>
        <w:rPr>
          <w:u w:val="single"/>
          <w:lang w:eastAsia="bg-BG"/>
        </w:rPr>
      </w:pPr>
    </w:p>
    <w:p w14:paraId="31FE5EC7" w14:textId="7DB53E65" w:rsidR="009231C3" w:rsidRPr="009231C3" w:rsidRDefault="009231C3" w:rsidP="009231C3">
      <w:pPr>
        <w:rPr>
          <w:sz w:val="24"/>
          <w:szCs w:val="24"/>
        </w:rPr>
      </w:pPr>
      <w:r w:rsidRPr="009231C3">
        <w:rPr>
          <w:u w:val="single"/>
          <w:lang w:eastAsia="bg-BG"/>
        </w:rPr>
        <w:t xml:space="preserve">Амбрисентан Зентива 10 </w:t>
      </w:r>
      <w:r w:rsidRPr="009231C3">
        <w:rPr>
          <w:u w:val="single"/>
          <w:lang w:val="en-US"/>
        </w:rPr>
        <w:t>mg</w:t>
      </w:r>
      <w:r w:rsidRPr="009231C3">
        <w:rPr>
          <w:u w:val="single"/>
          <w:lang w:val="ru-RU"/>
        </w:rPr>
        <w:t xml:space="preserve"> </w:t>
      </w:r>
      <w:r w:rsidRPr="009231C3">
        <w:rPr>
          <w:u w:val="single"/>
          <w:lang w:eastAsia="bg-BG"/>
        </w:rPr>
        <w:t>филмирани таблетки:</w:t>
      </w:r>
    </w:p>
    <w:p w14:paraId="0686D565" w14:textId="77777777" w:rsidR="009231C3" w:rsidRPr="009231C3" w:rsidRDefault="009231C3" w:rsidP="009231C3">
      <w:pPr>
        <w:rPr>
          <w:sz w:val="24"/>
          <w:szCs w:val="24"/>
        </w:rPr>
      </w:pPr>
      <w:r w:rsidRPr="009231C3">
        <w:rPr>
          <w:lang w:eastAsia="bg-BG"/>
        </w:rPr>
        <w:t xml:space="preserve">Розови, продълговати, двойно-изпъкнали, филмирани таблетки, с вдлъбнато релефно означение "10" от едната страна, гладки от другата страна, с номинална дължина от приблизително 11,1 </w:t>
      </w:r>
      <w:r w:rsidRPr="009231C3">
        <w:rPr>
          <w:lang w:val="en-US"/>
        </w:rPr>
        <w:t>mm</w:t>
      </w:r>
      <w:r w:rsidRPr="009231C3">
        <w:rPr>
          <w:lang w:val="ru-RU"/>
        </w:rPr>
        <w:t xml:space="preserve"> </w:t>
      </w:r>
      <w:r w:rsidRPr="009231C3">
        <w:rPr>
          <w:lang w:eastAsia="bg-BG"/>
        </w:rPr>
        <w:t xml:space="preserve">и номинална ширина приблизително 5,6 </w:t>
      </w:r>
      <w:r w:rsidRPr="009231C3">
        <w:rPr>
          <w:lang w:val="en-US"/>
        </w:rPr>
        <w:t>mm</w:t>
      </w:r>
      <w:r w:rsidRPr="009231C3">
        <w:rPr>
          <w:lang w:val="ru-RU"/>
        </w:rPr>
        <w:t>.</w:t>
      </w:r>
    </w:p>
    <w:p w14:paraId="2A2A087A" w14:textId="77777777" w:rsidR="009231C3" w:rsidRPr="009231C3" w:rsidRDefault="009231C3" w:rsidP="009231C3"/>
    <w:p w14:paraId="490FC2C4" w14:textId="32682B15" w:rsidR="002C50EE" w:rsidRDefault="002C50EE" w:rsidP="002C50EE">
      <w:pPr>
        <w:pStyle w:val="Heading1"/>
      </w:pPr>
      <w:r>
        <w:lastRenderedPageBreak/>
        <w:t>4. КЛИНИЧНИ ДАННИ</w:t>
      </w:r>
    </w:p>
    <w:p w14:paraId="0C8E6903" w14:textId="526373BF" w:rsidR="008134C8" w:rsidRDefault="002C50EE" w:rsidP="004A448E">
      <w:pPr>
        <w:pStyle w:val="Heading2"/>
      </w:pPr>
      <w:r>
        <w:t>4.1. Терапевтични показания</w:t>
      </w:r>
    </w:p>
    <w:p w14:paraId="4C5C4C97" w14:textId="0BF30D68" w:rsidR="009231C3" w:rsidRDefault="009231C3" w:rsidP="009231C3"/>
    <w:p w14:paraId="06560C60" w14:textId="1A9C95E6" w:rsidR="009231C3" w:rsidRDefault="009231C3" w:rsidP="009231C3">
      <w:r>
        <w:t>Амбрисентан Зентива е показан за лечение на белодробна артериална хипертония (БАХ) при възрастни пациенти с функционален клас (ФК) по СЗО II до III, включително и за употреба в комбинирана терапия (вж. точка 5.1). Доказана е ефикасността му при идиопатична БАХ (ИБАХ) и при БАХ, свързана със заболяване на съединителната тъкан.</w:t>
      </w:r>
    </w:p>
    <w:p w14:paraId="042F61C3" w14:textId="77777777" w:rsidR="009231C3" w:rsidRPr="009231C3" w:rsidRDefault="009231C3" w:rsidP="009231C3"/>
    <w:p w14:paraId="30BE2C7B" w14:textId="28C63B13" w:rsidR="008134C8" w:rsidRDefault="002C50EE" w:rsidP="004A448E">
      <w:pPr>
        <w:pStyle w:val="Heading2"/>
      </w:pPr>
      <w:r>
        <w:t>4.2. Дозировка и начин на приложение</w:t>
      </w:r>
    </w:p>
    <w:p w14:paraId="57D51B72" w14:textId="258AD290" w:rsidR="009231C3" w:rsidRDefault="009231C3" w:rsidP="009231C3"/>
    <w:p w14:paraId="4D46DDEE"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Лечението трябва да се започва само от лекар с опит в лечението на БАХ.</w:t>
      </w:r>
    </w:p>
    <w:p w14:paraId="227C8BC4" w14:textId="77777777" w:rsidR="009231C3" w:rsidRPr="009231C3" w:rsidRDefault="009231C3" w:rsidP="009231C3">
      <w:pPr>
        <w:spacing w:line="240" w:lineRule="auto"/>
        <w:rPr>
          <w:rFonts w:eastAsia="Times New Roman" w:cs="Arial"/>
          <w:color w:val="000000"/>
          <w:u w:val="single"/>
          <w:lang w:eastAsia="bg-BG"/>
        </w:rPr>
      </w:pPr>
    </w:p>
    <w:p w14:paraId="32BCCA01" w14:textId="553D0F30" w:rsidR="009231C3" w:rsidRPr="009231C3" w:rsidRDefault="009231C3" w:rsidP="009231C3">
      <w:pPr>
        <w:pStyle w:val="Heading3"/>
        <w:rPr>
          <w:rFonts w:eastAsia="Times New Roman"/>
          <w:u w:val="single"/>
        </w:rPr>
      </w:pPr>
      <w:r w:rsidRPr="009231C3">
        <w:rPr>
          <w:rFonts w:eastAsia="Times New Roman"/>
          <w:u w:val="single"/>
          <w:lang w:eastAsia="bg-BG"/>
        </w:rPr>
        <w:t>Дозировка</w:t>
      </w:r>
    </w:p>
    <w:p w14:paraId="764991F0" w14:textId="77777777" w:rsidR="009231C3" w:rsidRPr="009231C3" w:rsidRDefault="009231C3" w:rsidP="009231C3">
      <w:pPr>
        <w:spacing w:line="240" w:lineRule="auto"/>
        <w:rPr>
          <w:rFonts w:eastAsia="Times New Roman" w:cs="Arial"/>
          <w:i/>
          <w:iCs/>
          <w:color w:val="000000"/>
          <w:lang w:eastAsia="bg-BG"/>
        </w:rPr>
      </w:pPr>
    </w:p>
    <w:p w14:paraId="0F9E5A57" w14:textId="1F0AA430" w:rsidR="009231C3" w:rsidRPr="009231C3" w:rsidRDefault="009231C3" w:rsidP="009231C3">
      <w:pPr>
        <w:spacing w:line="240" w:lineRule="auto"/>
        <w:rPr>
          <w:rFonts w:eastAsia="Times New Roman" w:cs="Arial"/>
          <w:sz w:val="24"/>
          <w:szCs w:val="24"/>
        </w:rPr>
      </w:pPr>
      <w:r w:rsidRPr="009231C3">
        <w:rPr>
          <w:rFonts w:eastAsia="Times New Roman" w:cs="Arial"/>
          <w:i/>
          <w:iCs/>
          <w:color w:val="000000"/>
          <w:lang w:eastAsia="bg-BG"/>
        </w:rPr>
        <w:t>Монотерапия с амбрисентан</w:t>
      </w:r>
    </w:p>
    <w:p w14:paraId="48FC6424"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Амбрисентан Зентива трябва да се приема перорално в доза 5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 xml:space="preserve">веднъж дневно за започване на лечението и в зависимост от клиничния отговор и поносимостта, дозата може да се повиши до 10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дневно.</w:t>
      </w:r>
    </w:p>
    <w:p w14:paraId="1C3D6616" w14:textId="77777777" w:rsidR="009231C3" w:rsidRPr="009231C3" w:rsidRDefault="009231C3" w:rsidP="009231C3">
      <w:pPr>
        <w:spacing w:line="240" w:lineRule="auto"/>
        <w:rPr>
          <w:rFonts w:eastAsia="Times New Roman" w:cs="Arial"/>
          <w:i/>
          <w:iCs/>
          <w:color w:val="000000"/>
          <w:lang w:eastAsia="bg-BG"/>
        </w:rPr>
      </w:pPr>
    </w:p>
    <w:p w14:paraId="159A9D2F" w14:textId="7F708F7B" w:rsidR="009231C3" w:rsidRPr="009231C3" w:rsidRDefault="009231C3" w:rsidP="009231C3">
      <w:pPr>
        <w:spacing w:line="240" w:lineRule="auto"/>
        <w:rPr>
          <w:rFonts w:eastAsia="Times New Roman" w:cs="Arial"/>
          <w:sz w:val="24"/>
          <w:szCs w:val="24"/>
        </w:rPr>
      </w:pPr>
      <w:r w:rsidRPr="009231C3">
        <w:rPr>
          <w:rFonts w:eastAsia="Times New Roman" w:cs="Arial"/>
          <w:i/>
          <w:iCs/>
          <w:color w:val="000000"/>
          <w:lang w:eastAsia="bg-BG"/>
        </w:rPr>
        <w:t>Амбрисентан в комбинация с тадалафил</w:t>
      </w:r>
    </w:p>
    <w:p w14:paraId="678CE153"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Когато се използва в комбинация с тадалафил, Амбрисентан Зентива трябва да се титрира до 10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веднъж дневно.</w:t>
      </w:r>
    </w:p>
    <w:p w14:paraId="6A1208DA" w14:textId="77777777" w:rsidR="009231C3" w:rsidRPr="009231C3" w:rsidRDefault="009231C3" w:rsidP="009231C3">
      <w:pPr>
        <w:spacing w:line="240" w:lineRule="auto"/>
        <w:rPr>
          <w:rFonts w:eastAsia="Times New Roman" w:cs="Arial"/>
          <w:color w:val="000000"/>
          <w:lang w:eastAsia="bg-BG"/>
        </w:rPr>
      </w:pPr>
    </w:p>
    <w:p w14:paraId="22AD1169" w14:textId="7A820BF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В проучването </w:t>
      </w:r>
      <w:r w:rsidRPr="009231C3">
        <w:rPr>
          <w:rFonts w:eastAsia="Times New Roman" w:cs="Arial"/>
          <w:color w:val="000000"/>
          <w:lang w:val="en-US"/>
        </w:rPr>
        <w:t>AMBITION</w:t>
      </w:r>
      <w:r w:rsidRPr="009231C3">
        <w:rPr>
          <w:rFonts w:eastAsia="Times New Roman" w:cs="Arial"/>
          <w:color w:val="000000"/>
          <w:lang w:val="ru-RU"/>
        </w:rPr>
        <w:t xml:space="preserve">, </w:t>
      </w:r>
      <w:r w:rsidRPr="009231C3">
        <w:rPr>
          <w:rFonts w:eastAsia="Times New Roman" w:cs="Arial"/>
          <w:color w:val="000000"/>
          <w:lang w:eastAsia="bg-BG"/>
        </w:rPr>
        <w:t xml:space="preserve">пациентите са получавали 5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 xml:space="preserve">амбрисентан веднъж дневно през първите 8 седмици преди възходящо титриране до 10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 xml:space="preserve">в зависимост от поносимостта (вж. точка 5.1). Когато се е използвал в комбинация с тадалафил, лечението на пациентите е започвало с 5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 xml:space="preserve">амбрисентан и 20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 xml:space="preserve">тадалафил. В зависимост от поносимостта, дозата на тадалафил е била повишена до 40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 xml:space="preserve">след 4 седмици, а дозата на амбрисентан е била повишена до 10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след 8 седмици. Повече от 90% от пациентите са постигнали това. В зависимост от поносимостта, дозите могат също да се намалят.</w:t>
      </w:r>
    </w:p>
    <w:p w14:paraId="4D34BAA1" w14:textId="77777777" w:rsidR="009231C3" w:rsidRPr="009231C3" w:rsidRDefault="009231C3" w:rsidP="009231C3">
      <w:pPr>
        <w:spacing w:line="240" w:lineRule="auto"/>
        <w:rPr>
          <w:rFonts w:eastAsia="Times New Roman" w:cs="Arial"/>
          <w:color w:val="000000"/>
          <w:lang w:eastAsia="bg-BG"/>
        </w:rPr>
      </w:pPr>
    </w:p>
    <w:p w14:paraId="64819DF8" w14:textId="50EA726E"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Ограничени данни сочат, че внезапното спиране на приложението на амбрисентан не е свързано с влошаване на БАХ.</w:t>
      </w:r>
    </w:p>
    <w:p w14:paraId="47D1F360" w14:textId="77777777" w:rsidR="009231C3" w:rsidRPr="009231C3" w:rsidRDefault="009231C3" w:rsidP="009231C3">
      <w:pPr>
        <w:spacing w:line="240" w:lineRule="auto"/>
        <w:rPr>
          <w:rFonts w:eastAsia="Times New Roman" w:cs="Arial"/>
          <w:color w:val="000000"/>
          <w:lang w:eastAsia="bg-BG"/>
        </w:rPr>
      </w:pPr>
    </w:p>
    <w:p w14:paraId="5B960F1B" w14:textId="7AE89611"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При едновременно прилагане с циклоспорин А, дозата на амбрисентан трябва да се ограничи до 5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веднъж дневно и пациентът трябва да се наблюдава внимателно (вж. точки 4.5 и 5.2).</w:t>
      </w:r>
    </w:p>
    <w:p w14:paraId="3056539A" w14:textId="77777777" w:rsidR="009231C3" w:rsidRPr="009231C3" w:rsidRDefault="009231C3" w:rsidP="009231C3">
      <w:pPr>
        <w:spacing w:line="240" w:lineRule="auto"/>
        <w:rPr>
          <w:rFonts w:eastAsia="Times New Roman" w:cs="Arial"/>
          <w:color w:val="000000"/>
          <w:u w:val="single"/>
          <w:lang w:eastAsia="bg-BG"/>
        </w:rPr>
      </w:pPr>
    </w:p>
    <w:p w14:paraId="26CE5ABF" w14:textId="5C72849D"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Специални популации</w:t>
      </w:r>
    </w:p>
    <w:p w14:paraId="66B9889B" w14:textId="77777777" w:rsidR="009231C3" w:rsidRPr="009231C3" w:rsidRDefault="009231C3" w:rsidP="009231C3">
      <w:pPr>
        <w:spacing w:line="240" w:lineRule="auto"/>
        <w:rPr>
          <w:rFonts w:eastAsia="Times New Roman" w:cs="Arial"/>
          <w:i/>
          <w:iCs/>
          <w:color w:val="000000"/>
          <w:u w:val="single"/>
          <w:lang w:eastAsia="bg-BG"/>
        </w:rPr>
      </w:pPr>
    </w:p>
    <w:p w14:paraId="557C265B" w14:textId="7AD2093E" w:rsidR="009231C3" w:rsidRPr="009231C3" w:rsidRDefault="009231C3" w:rsidP="009231C3">
      <w:pPr>
        <w:spacing w:line="240" w:lineRule="auto"/>
        <w:rPr>
          <w:rFonts w:eastAsia="Times New Roman" w:cs="Arial"/>
          <w:sz w:val="24"/>
          <w:szCs w:val="24"/>
        </w:rPr>
      </w:pPr>
      <w:r w:rsidRPr="009231C3">
        <w:rPr>
          <w:rFonts w:eastAsia="Times New Roman" w:cs="Arial"/>
          <w:i/>
          <w:iCs/>
          <w:color w:val="000000"/>
          <w:u w:val="single"/>
          <w:lang w:eastAsia="bg-BG"/>
        </w:rPr>
        <w:t>Паииенти в старческа възраст</w:t>
      </w:r>
    </w:p>
    <w:p w14:paraId="16D84A27"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Не е необходимо коригиране на дозата при пациенти на възраст над 65 години (вж. точка 5.2).</w:t>
      </w:r>
    </w:p>
    <w:p w14:paraId="6E476C4C" w14:textId="77777777" w:rsidR="009231C3" w:rsidRPr="009231C3" w:rsidRDefault="009231C3" w:rsidP="009231C3">
      <w:pPr>
        <w:spacing w:line="240" w:lineRule="auto"/>
        <w:rPr>
          <w:rFonts w:eastAsia="Times New Roman" w:cs="Arial"/>
          <w:i/>
          <w:iCs/>
          <w:color w:val="000000"/>
          <w:u w:val="single"/>
          <w:lang w:eastAsia="bg-BG"/>
        </w:rPr>
      </w:pPr>
    </w:p>
    <w:p w14:paraId="02A16C86" w14:textId="76BA9086" w:rsidR="009231C3" w:rsidRPr="009231C3" w:rsidRDefault="009231C3" w:rsidP="009231C3">
      <w:pPr>
        <w:spacing w:line="240" w:lineRule="auto"/>
        <w:rPr>
          <w:rFonts w:eastAsia="Times New Roman" w:cs="Arial"/>
          <w:sz w:val="24"/>
          <w:szCs w:val="24"/>
        </w:rPr>
      </w:pPr>
      <w:r w:rsidRPr="009231C3">
        <w:rPr>
          <w:rFonts w:eastAsia="Times New Roman" w:cs="Arial"/>
          <w:i/>
          <w:iCs/>
          <w:color w:val="000000"/>
          <w:u w:val="single"/>
          <w:lang w:eastAsia="bg-BG"/>
        </w:rPr>
        <w:t>Бъбречно увреждане</w:t>
      </w:r>
    </w:p>
    <w:p w14:paraId="05CD068F"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Не е необходимо коригиране на дозата при пациенти с бъбречно увреждане (вж. точка 5.2). Има ограничен опит с амбрисентан при индивиди с тежко бъбречно увреждане </w:t>
      </w:r>
      <w:r w:rsidRPr="009231C3">
        <w:rPr>
          <w:rFonts w:eastAsia="Times New Roman" w:cs="Arial"/>
          <w:color w:val="000000"/>
          <w:lang w:eastAsia="bg-BG"/>
        </w:rPr>
        <w:lastRenderedPageBreak/>
        <w:t xml:space="preserve">(креатининов клирънс &lt;30 </w:t>
      </w:r>
      <w:r w:rsidRPr="009231C3">
        <w:rPr>
          <w:rFonts w:eastAsia="Times New Roman" w:cs="Arial"/>
          <w:color w:val="000000"/>
          <w:lang w:val="en-US"/>
        </w:rPr>
        <w:t>ml</w:t>
      </w:r>
      <w:r w:rsidRPr="009231C3">
        <w:rPr>
          <w:rFonts w:eastAsia="Times New Roman" w:cs="Arial"/>
          <w:color w:val="000000"/>
          <w:lang w:val="ru-RU"/>
        </w:rPr>
        <w:t>/</w:t>
      </w:r>
      <w:r w:rsidRPr="009231C3">
        <w:rPr>
          <w:rFonts w:eastAsia="Times New Roman" w:cs="Arial"/>
          <w:color w:val="000000"/>
          <w:lang w:val="en-US"/>
        </w:rPr>
        <w:t>min</w:t>
      </w:r>
      <w:r w:rsidRPr="009231C3">
        <w:rPr>
          <w:rFonts w:eastAsia="Times New Roman" w:cs="Arial"/>
          <w:color w:val="000000"/>
          <w:lang w:val="ru-RU"/>
        </w:rPr>
        <w:t xml:space="preserve">); </w:t>
      </w:r>
      <w:r w:rsidRPr="009231C3">
        <w:rPr>
          <w:rFonts w:eastAsia="Times New Roman" w:cs="Arial"/>
          <w:color w:val="000000"/>
          <w:lang w:eastAsia="bg-BG"/>
        </w:rPr>
        <w:t xml:space="preserve">лечението трябва да се започне внимателно при тази подгрупа и да се обърне особено внимание, ако дозата се повиши до 10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амбрисентан.</w:t>
      </w:r>
    </w:p>
    <w:p w14:paraId="753C4F4F" w14:textId="77777777" w:rsidR="009231C3" w:rsidRPr="009231C3" w:rsidRDefault="009231C3" w:rsidP="009231C3">
      <w:pPr>
        <w:spacing w:line="240" w:lineRule="auto"/>
        <w:rPr>
          <w:rFonts w:eastAsia="Times New Roman" w:cs="Arial"/>
          <w:i/>
          <w:iCs/>
          <w:color w:val="000000"/>
          <w:u w:val="single"/>
          <w:lang w:eastAsia="bg-BG"/>
        </w:rPr>
      </w:pPr>
    </w:p>
    <w:p w14:paraId="25814012" w14:textId="4512971F" w:rsidR="009231C3" w:rsidRPr="009231C3" w:rsidRDefault="009231C3" w:rsidP="009231C3">
      <w:pPr>
        <w:spacing w:line="240" w:lineRule="auto"/>
        <w:rPr>
          <w:rFonts w:eastAsia="Times New Roman" w:cs="Arial"/>
          <w:sz w:val="24"/>
          <w:szCs w:val="24"/>
        </w:rPr>
      </w:pPr>
      <w:r w:rsidRPr="009231C3">
        <w:rPr>
          <w:rFonts w:eastAsia="Times New Roman" w:cs="Arial"/>
          <w:i/>
          <w:iCs/>
          <w:color w:val="000000"/>
          <w:u w:val="single"/>
          <w:lang w:eastAsia="bg-BG"/>
        </w:rPr>
        <w:t>Чернодробно увреждане</w:t>
      </w:r>
    </w:p>
    <w:p w14:paraId="6A83ABC6"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Амбрисентан не е изпитван при индивиди с чернодробно увреждане (със или без цироза). Тъй като основните пътища на метаболизъм на амбрисентан са глюкурониране и окисление с последващо елиминиране чрез жлъчката, може да се очаква чернодробното увреждане да увеличи експозицията (С</w:t>
      </w:r>
      <w:r w:rsidRPr="009231C3">
        <w:rPr>
          <w:rFonts w:eastAsia="Times New Roman" w:cs="Arial"/>
          <w:color w:val="000000"/>
          <w:vertAlign w:val="subscript"/>
          <w:lang w:val="en-US"/>
        </w:rPr>
        <w:t>max</w:t>
      </w:r>
      <w:r w:rsidRPr="009231C3">
        <w:rPr>
          <w:rFonts w:eastAsia="Times New Roman" w:cs="Arial"/>
          <w:color w:val="000000"/>
          <w:lang w:eastAsia="bg-BG"/>
        </w:rPr>
        <w:t xml:space="preserve"> и </w:t>
      </w:r>
      <w:r w:rsidRPr="009231C3">
        <w:rPr>
          <w:rFonts w:eastAsia="Times New Roman" w:cs="Arial"/>
          <w:color w:val="000000"/>
          <w:lang w:val="en-US"/>
        </w:rPr>
        <w:t>AUC</w:t>
      </w:r>
      <w:r w:rsidRPr="009231C3">
        <w:rPr>
          <w:rFonts w:eastAsia="Times New Roman" w:cs="Arial"/>
          <w:color w:val="000000"/>
          <w:lang w:val="ru-RU"/>
        </w:rPr>
        <w:t xml:space="preserve">) </w:t>
      </w:r>
      <w:r w:rsidRPr="009231C3">
        <w:rPr>
          <w:rFonts w:eastAsia="Times New Roman" w:cs="Arial"/>
          <w:color w:val="000000"/>
          <w:lang w:eastAsia="bg-BG"/>
        </w:rPr>
        <w:t xml:space="preserve">на амбрисентан. По тази причина не трябва да се започва лечение с амбрисентан при пациенти с тежко чернодробно увреждане или с клинично значимо повишаване на чернодробните аминотрансферази (повече от 3 пъти горната граница на нормата </w:t>
      </w:r>
      <w:r w:rsidRPr="009231C3">
        <w:rPr>
          <w:rFonts w:eastAsia="Times New Roman" w:cs="Arial"/>
          <w:color w:val="000000"/>
          <w:lang w:val="ru-RU"/>
        </w:rPr>
        <w:t>(&gt;3</w:t>
      </w:r>
      <w:proofErr w:type="spellStart"/>
      <w:r w:rsidRPr="009231C3">
        <w:rPr>
          <w:rFonts w:eastAsia="Times New Roman" w:cs="Arial"/>
          <w:color w:val="000000"/>
          <w:lang w:val="en-US"/>
        </w:rPr>
        <w:t>xULN</w:t>
      </w:r>
      <w:proofErr w:type="spellEnd"/>
      <w:r w:rsidRPr="009231C3">
        <w:rPr>
          <w:rFonts w:eastAsia="Times New Roman" w:cs="Arial"/>
          <w:color w:val="000000"/>
          <w:lang w:val="ru-RU"/>
        </w:rPr>
        <w:t xml:space="preserve">); </w:t>
      </w:r>
      <w:r w:rsidRPr="009231C3">
        <w:rPr>
          <w:rFonts w:eastAsia="Times New Roman" w:cs="Arial"/>
          <w:color w:val="000000"/>
          <w:lang w:eastAsia="bg-BG"/>
        </w:rPr>
        <w:t>вж. точки 4.3 и 4.4).</w:t>
      </w:r>
    </w:p>
    <w:p w14:paraId="2486ED2F" w14:textId="77777777" w:rsidR="009231C3" w:rsidRPr="009231C3" w:rsidRDefault="009231C3" w:rsidP="009231C3">
      <w:pPr>
        <w:spacing w:line="240" w:lineRule="auto"/>
        <w:rPr>
          <w:rFonts w:eastAsia="Times New Roman" w:cs="Arial"/>
          <w:color w:val="000000"/>
          <w:u w:val="single"/>
          <w:lang w:eastAsia="bg-BG"/>
        </w:rPr>
      </w:pPr>
    </w:p>
    <w:p w14:paraId="5861B331" w14:textId="25BB7BBE"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Педиатрична популация</w:t>
      </w:r>
    </w:p>
    <w:p w14:paraId="3724424E"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Безопасността и ефикасността на амбрисентан при деца и юноши под 18 години не са установени. Липсват клинични данни (вж. точка 5.3 относно налични данни при ювенилни животни).</w:t>
      </w:r>
    </w:p>
    <w:p w14:paraId="05108C92" w14:textId="77777777" w:rsidR="009231C3" w:rsidRPr="009231C3" w:rsidRDefault="009231C3" w:rsidP="009231C3">
      <w:pPr>
        <w:spacing w:line="240" w:lineRule="auto"/>
        <w:rPr>
          <w:rFonts w:eastAsia="Times New Roman" w:cs="Arial"/>
          <w:sz w:val="24"/>
          <w:szCs w:val="24"/>
        </w:rPr>
      </w:pPr>
    </w:p>
    <w:p w14:paraId="66ED7588" w14:textId="77777777" w:rsidR="009231C3" w:rsidRPr="009231C3" w:rsidRDefault="009231C3" w:rsidP="009231C3">
      <w:pPr>
        <w:pStyle w:val="Heading3"/>
        <w:rPr>
          <w:rFonts w:eastAsia="Times New Roman"/>
          <w:u w:val="single"/>
        </w:rPr>
      </w:pPr>
      <w:r w:rsidRPr="009231C3">
        <w:rPr>
          <w:rFonts w:eastAsia="Times New Roman"/>
          <w:u w:val="single"/>
          <w:lang w:eastAsia="bg-BG"/>
        </w:rPr>
        <w:t>Начин на приложение</w:t>
      </w:r>
    </w:p>
    <w:p w14:paraId="59BC923D" w14:textId="6745F0A6" w:rsidR="009231C3" w:rsidRPr="009231C3" w:rsidRDefault="009231C3" w:rsidP="009231C3">
      <w:pPr>
        <w:rPr>
          <w:rFonts w:eastAsia="Times New Roman" w:cs="Arial"/>
          <w:color w:val="000000"/>
          <w:lang w:eastAsia="bg-BG"/>
        </w:rPr>
      </w:pPr>
      <w:r w:rsidRPr="009231C3">
        <w:rPr>
          <w:rFonts w:eastAsia="Times New Roman" w:cs="Arial"/>
          <w:color w:val="000000"/>
          <w:lang w:eastAsia="bg-BG"/>
        </w:rPr>
        <w:t>Препоръчва се таблетката да се гълта цяла и може да се прима със или без храна. Препоръчва се таблетката да не се разделя, разтрошава или дъвче.</w:t>
      </w:r>
    </w:p>
    <w:p w14:paraId="012E0293" w14:textId="77777777" w:rsidR="009231C3" w:rsidRPr="009231C3" w:rsidRDefault="009231C3" w:rsidP="009231C3"/>
    <w:p w14:paraId="28C984E8" w14:textId="26ACE3E4" w:rsidR="008134C8" w:rsidRDefault="002C50EE" w:rsidP="004A448E">
      <w:pPr>
        <w:pStyle w:val="Heading2"/>
      </w:pPr>
      <w:r>
        <w:t>4.3. Противопоказания</w:t>
      </w:r>
    </w:p>
    <w:p w14:paraId="51AF6869" w14:textId="51456D88" w:rsidR="009231C3" w:rsidRDefault="009231C3" w:rsidP="009231C3"/>
    <w:p w14:paraId="18B2FF1E" w14:textId="77777777" w:rsidR="009231C3" w:rsidRDefault="009231C3" w:rsidP="009231C3">
      <w:pPr>
        <w:pStyle w:val="ListParagraph"/>
        <w:numPr>
          <w:ilvl w:val="0"/>
          <w:numId w:val="35"/>
        </w:numPr>
        <w:rPr>
          <w:lang w:eastAsia="bg-BG"/>
        </w:rPr>
      </w:pPr>
      <w:r w:rsidRPr="009231C3">
        <w:rPr>
          <w:lang w:eastAsia="bg-BG"/>
        </w:rPr>
        <w:t>Свръхчувствителност към активното вещество, към фъстъци, соя или към някое от помощните вещества, изброени в точка 6.1.</w:t>
      </w:r>
    </w:p>
    <w:p w14:paraId="43BE2F83" w14:textId="77777777" w:rsidR="009231C3" w:rsidRDefault="009231C3" w:rsidP="009231C3">
      <w:pPr>
        <w:pStyle w:val="ListParagraph"/>
        <w:numPr>
          <w:ilvl w:val="0"/>
          <w:numId w:val="35"/>
        </w:numPr>
        <w:rPr>
          <w:lang w:eastAsia="bg-BG"/>
        </w:rPr>
      </w:pPr>
      <w:r w:rsidRPr="009231C3">
        <w:rPr>
          <w:lang w:eastAsia="bg-BG"/>
        </w:rPr>
        <w:t>Бременност (вж. точка 4.6).</w:t>
      </w:r>
    </w:p>
    <w:p w14:paraId="623817EC" w14:textId="77777777" w:rsidR="009231C3" w:rsidRDefault="009231C3" w:rsidP="009231C3">
      <w:pPr>
        <w:pStyle w:val="ListParagraph"/>
        <w:numPr>
          <w:ilvl w:val="0"/>
          <w:numId w:val="35"/>
        </w:numPr>
        <w:rPr>
          <w:lang w:eastAsia="bg-BG"/>
        </w:rPr>
      </w:pPr>
      <w:r w:rsidRPr="009231C3">
        <w:rPr>
          <w:lang w:eastAsia="bg-BG"/>
        </w:rPr>
        <w:t>Жени с детероден потенциал, които не използват надежден м</w:t>
      </w:r>
      <w:r>
        <w:rPr>
          <w:lang w:eastAsia="bg-BG"/>
        </w:rPr>
        <w:t xml:space="preserve">етод за контрацепция (вж. точки </w:t>
      </w:r>
      <w:r w:rsidRPr="009231C3">
        <w:rPr>
          <w:lang w:eastAsia="bg-BG"/>
        </w:rPr>
        <w:t>4.4 и 4.6).</w:t>
      </w:r>
    </w:p>
    <w:p w14:paraId="68FE1C36" w14:textId="77777777" w:rsidR="009231C3" w:rsidRDefault="009231C3" w:rsidP="009231C3">
      <w:pPr>
        <w:pStyle w:val="ListParagraph"/>
        <w:numPr>
          <w:ilvl w:val="0"/>
          <w:numId w:val="35"/>
        </w:numPr>
        <w:rPr>
          <w:lang w:eastAsia="bg-BG"/>
        </w:rPr>
      </w:pPr>
      <w:r w:rsidRPr="009231C3">
        <w:rPr>
          <w:lang w:eastAsia="bg-BG"/>
        </w:rPr>
        <w:t>Кърмене (вж. точка 4.6).</w:t>
      </w:r>
    </w:p>
    <w:p w14:paraId="603696BD" w14:textId="77777777" w:rsidR="009231C3" w:rsidRDefault="009231C3" w:rsidP="009231C3">
      <w:pPr>
        <w:pStyle w:val="ListParagraph"/>
        <w:numPr>
          <w:ilvl w:val="0"/>
          <w:numId w:val="35"/>
        </w:numPr>
        <w:rPr>
          <w:lang w:eastAsia="bg-BG"/>
        </w:rPr>
      </w:pPr>
      <w:r w:rsidRPr="009231C3">
        <w:rPr>
          <w:lang w:eastAsia="bg-BG"/>
        </w:rPr>
        <w:t>Тежко чернодробно увреждане (със или без цироза) (вж. точка 4.2).</w:t>
      </w:r>
    </w:p>
    <w:p w14:paraId="7FC41ADF" w14:textId="77777777" w:rsidR="009231C3" w:rsidRDefault="009231C3" w:rsidP="009231C3">
      <w:pPr>
        <w:pStyle w:val="ListParagraph"/>
        <w:numPr>
          <w:ilvl w:val="0"/>
          <w:numId w:val="35"/>
        </w:numPr>
        <w:rPr>
          <w:lang w:eastAsia="bg-BG"/>
        </w:rPr>
      </w:pPr>
      <w:r w:rsidRPr="009231C3">
        <w:rPr>
          <w:lang w:eastAsia="bg-BG"/>
        </w:rPr>
        <w:t xml:space="preserve">Начални стойности на чернодробните аминотрансферази (аспартатаминотрансферази </w:t>
      </w:r>
      <w:r w:rsidRPr="009231C3">
        <w:rPr>
          <w:lang w:val="ru-RU"/>
        </w:rPr>
        <w:t>(</w:t>
      </w:r>
      <w:r w:rsidRPr="009231C3">
        <w:rPr>
          <w:lang w:val="en-US"/>
        </w:rPr>
        <w:t>AST</w:t>
      </w:r>
      <w:r w:rsidRPr="009231C3">
        <w:rPr>
          <w:lang w:val="ru-RU"/>
        </w:rPr>
        <w:t xml:space="preserve">) </w:t>
      </w:r>
      <w:r w:rsidRPr="009231C3">
        <w:rPr>
          <w:lang w:eastAsia="bg-BG"/>
        </w:rPr>
        <w:t xml:space="preserve">и/или аланинаминотрансферази </w:t>
      </w:r>
      <w:r w:rsidRPr="009231C3">
        <w:rPr>
          <w:lang w:val="ru-RU"/>
        </w:rPr>
        <w:t>(</w:t>
      </w:r>
      <w:r w:rsidRPr="009231C3">
        <w:rPr>
          <w:lang w:val="en-US"/>
        </w:rPr>
        <w:t>ALT</w:t>
      </w:r>
      <w:r w:rsidRPr="009231C3">
        <w:rPr>
          <w:lang w:val="ru-RU"/>
        </w:rPr>
        <w:t>)) &gt;3</w:t>
      </w:r>
      <w:proofErr w:type="spellStart"/>
      <w:r w:rsidRPr="009231C3">
        <w:rPr>
          <w:lang w:val="en-US"/>
        </w:rPr>
        <w:t>xULN</w:t>
      </w:r>
      <w:proofErr w:type="spellEnd"/>
      <w:r w:rsidRPr="009231C3">
        <w:rPr>
          <w:lang w:val="ru-RU"/>
        </w:rPr>
        <w:t xml:space="preserve"> </w:t>
      </w:r>
      <w:r w:rsidRPr="009231C3">
        <w:rPr>
          <w:lang w:eastAsia="bg-BG"/>
        </w:rPr>
        <w:t>(вж. точки 4.2 и 4.4).</w:t>
      </w:r>
    </w:p>
    <w:p w14:paraId="1FB6306A" w14:textId="40D9D4C3" w:rsidR="009231C3" w:rsidRPr="009231C3" w:rsidRDefault="009231C3" w:rsidP="009231C3">
      <w:pPr>
        <w:pStyle w:val="ListParagraph"/>
        <w:numPr>
          <w:ilvl w:val="0"/>
          <w:numId w:val="35"/>
        </w:numPr>
        <w:rPr>
          <w:lang w:eastAsia="bg-BG"/>
        </w:rPr>
      </w:pPr>
      <w:r w:rsidRPr="009231C3">
        <w:rPr>
          <w:lang w:eastAsia="bg-BG"/>
        </w:rPr>
        <w:t>Идиопатична белодробна фиброза (ИБФ), със или без вторична белодробна хипертония (вж. точка 5.1).</w:t>
      </w:r>
    </w:p>
    <w:p w14:paraId="6F87D36B" w14:textId="77777777" w:rsidR="009231C3" w:rsidRPr="009231C3" w:rsidRDefault="009231C3" w:rsidP="009231C3"/>
    <w:p w14:paraId="212F509C" w14:textId="2147DBA5" w:rsidR="004F498A" w:rsidRDefault="002C50EE" w:rsidP="004A448E">
      <w:pPr>
        <w:pStyle w:val="Heading2"/>
      </w:pPr>
      <w:r>
        <w:t>4.4. Специални предупреждения и предпазни мерки при употреба</w:t>
      </w:r>
    </w:p>
    <w:p w14:paraId="5CC1FB84" w14:textId="18DAE819" w:rsidR="009231C3" w:rsidRDefault="009231C3" w:rsidP="009231C3"/>
    <w:p w14:paraId="6D922104"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Амбрисентан не е проучен при достатъчен брой пациенти с цел да се установи съотношението полза/риск при БАХ функционален клас I по СЗО.</w:t>
      </w:r>
    </w:p>
    <w:p w14:paraId="795CB430" w14:textId="77777777" w:rsidR="009231C3" w:rsidRDefault="009231C3" w:rsidP="009231C3">
      <w:pPr>
        <w:spacing w:line="240" w:lineRule="auto"/>
        <w:rPr>
          <w:rFonts w:eastAsia="Times New Roman" w:cs="Arial"/>
          <w:color w:val="000000"/>
          <w:lang w:eastAsia="bg-BG"/>
        </w:rPr>
      </w:pPr>
    </w:p>
    <w:p w14:paraId="1A097F81" w14:textId="48EE4F15"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Ефикасността на амбрисентан като монотерапия не е установена при пациенти с БАХ функционален клас IV по СЗО. Ако клиничното състояние се влоши, трябва да се обмисли лечение, което е препоръчително за тежките стадии на заболяването (напр. епопростенол).</w:t>
      </w:r>
    </w:p>
    <w:p w14:paraId="773AC8A6" w14:textId="77777777" w:rsidR="009231C3" w:rsidRDefault="009231C3" w:rsidP="009231C3">
      <w:pPr>
        <w:spacing w:line="240" w:lineRule="auto"/>
        <w:rPr>
          <w:rFonts w:eastAsia="Times New Roman" w:cs="Arial"/>
          <w:color w:val="000000"/>
          <w:u w:val="single"/>
          <w:lang w:eastAsia="bg-BG"/>
        </w:rPr>
      </w:pPr>
    </w:p>
    <w:p w14:paraId="796D44D0" w14:textId="7479944A"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Чернодробна функция</w:t>
      </w:r>
    </w:p>
    <w:p w14:paraId="6FF5CE4E"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lastRenderedPageBreak/>
        <w:t xml:space="preserve">С БАХ са свързани отклонения в чернодробната функция. При приложение на амбрисентан са наблюдавани случаи, които съответстват на автоимунен хепатит, включително възможно обостряне на подлежащ автоимунен хепатит, чернодробно увреждане и повишаване на стойностите на чернодробните ензими, които е възможно да са свързани с терапията (вж. точки 4.8 и 5.1). По тази причина преди започване на лечение с амбрисентан трябва да се направи изследване на чернодробните аминотрансферази </w:t>
      </w:r>
      <w:r w:rsidRPr="009231C3">
        <w:rPr>
          <w:rFonts w:eastAsia="Times New Roman" w:cs="Arial"/>
          <w:color w:val="000000"/>
          <w:lang w:val="ru-RU"/>
        </w:rPr>
        <w:t>(</w:t>
      </w:r>
      <w:r w:rsidRPr="009231C3">
        <w:rPr>
          <w:rFonts w:eastAsia="Times New Roman" w:cs="Arial"/>
          <w:color w:val="000000"/>
          <w:lang w:val="en-US"/>
        </w:rPr>
        <w:t>ALT</w:t>
      </w:r>
      <w:r w:rsidRPr="009231C3">
        <w:rPr>
          <w:rFonts w:eastAsia="Times New Roman" w:cs="Arial"/>
          <w:color w:val="000000"/>
          <w:lang w:val="ru-RU"/>
        </w:rPr>
        <w:t xml:space="preserve"> </w:t>
      </w:r>
      <w:r w:rsidRPr="009231C3">
        <w:rPr>
          <w:rFonts w:eastAsia="Times New Roman" w:cs="Arial"/>
          <w:color w:val="000000"/>
          <w:lang w:eastAsia="bg-BG"/>
        </w:rPr>
        <w:t xml:space="preserve">и </w:t>
      </w:r>
      <w:r w:rsidRPr="009231C3">
        <w:rPr>
          <w:rFonts w:eastAsia="Times New Roman" w:cs="Arial"/>
          <w:color w:val="000000"/>
          <w:lang w:val="en-US"/>
        </w:rPr>
        <w:t>AST</w:t>
      </w:r>
      <w:r w:rsidRPr="009231C3">
        <w:rPr>
          <w:rFonts w:eastAsia="Times New Roman" w:cs="Arial"/>
          <w:color w:val="000000"/>
          <w:lang w:val="ru-RU"/>
        </w:rPr>
        <w:t xml:space="preserve">) </w:t>
      </w:r>
      <w:r w:rsidRPr="009231C3">
        <w:rPr>
          <w:rFonts w:eastAsia="Times New Roman" w:cs="Arial"/>
          <w:color w:val="000000"/>
          <w:lang w:eastAsia="bg-BG"/>
        </w:rPr>
        <w:t xml:space="preserve">и не трябва да се започва лечение с амбрисентан при пациенти с изходни стойности на </w:t>
      </w:r>
      <w:r w:rsidRPr="009231C3">
        <w:rPr>
          <w:rFonts w:eastAsia="Times New Roman" w:cs="Arial"/>
          <w:color w:val="000000"/>
          <w:lang w:val="en-US"/>
        </w:rPr>
        <w:t>ALT</w:t>
      </w:r>
      <w:r w:rsidRPr="009231C3">
        <w:rPr>
          <w:rFonts w:eastAsia="Times New Roman" w:cs="Arial"/>
          <w:color w:val="000000"/>
          <w:lang w:val="ru-RU"/>
        </w:rPr>
        <w:t xml:space="preserve"> </w:t>
      </w:r>
      <w:r w:rsidRPr="009231C3">
        <w:rPr>
          <w:rFonts w:eastAsia="Times New Roman" w:cs="Arial"/>
          <w:color w:val="000000"/>
          <w:lang w:eastAsia="bg-BG"/>
        </w:rPr>
        <w:t xml:space="preserve">и/или </w:t>
      </w:r>
      <w:r w:rsidRPr="009231C3">
        <w:rPr>
          <w:rFonts w:eastAsia="Times New Roman" w:cs="Arial"/>
          <w:color w:val="000000"/>
          <w:lang w:val="en-US"/>
        </w:rPr>
        <w:t>AST</w:t>
      </w:r>
      <w:r w:rsidRPr="009231C3">
        <w:rPr>
          <w:rFonts w:eastAsia="Times New Roman" w:cs="Arial"/>
          <w:color w:val="000000"/>
          <w:lang w:val="ru-RU"/>
        </w:rPr>
        <w:t xml:space="preserve"> &gt;3</w:t>
      </w:r>
      <w:proofErr w:type="spellStart"/>
      <w:r w:rsidRPr="009231C3">
        <w:rPr>
          <w:rFonts w:eastAsia="Times New Roman" w:cs="Arial"/>
          <w:color w:val="000000"/>
          <w:lang w:val="en-US"/>
        </w:rPr>
        <w:t>xULN</w:t>
      </w:r>
      <w:proofErr w:type="spellEnd"/>
      <w:r w:rsidRPr="009231C3">
        <w:rPr>
          <w:rFonts w:eastAsia="Times New Roman" w:cs="Arial"/>
          <w:color w:val="000000"/>
          <w:lang w:val="ru-RU"/>
        </w:rPr>
        <w:t xml:space="preserve"> </w:t>
      </w:r>
      <w:r w:rsidRPr="009231C3">
        <w:rPr>
          <w:rFonts w:eastAsia="Times New Roman" w:cs="Arial"/>
          <w:color w:val="000000"/>
          <w:lang w:eastAsia="bg-BG"/>
        </w:rPr>
        <w:t>(вж. точка 4.3).</w:t>
      </w:r>
    </w:p>
    <w:p w14:paraId="528CEDFD" w14:textId="77777777" w:rsidR="009231C3" w:rsidRDefault="009231C3" w:rsidP="009231C3">
      <w:pPr>
        <w:spacing w:line="240" w:lineRule="auto"/>
        <w:rPr>
          <w:rFonts w:eastAsia="Times New Roman" w:cs="Arial"/>
          <w:color w:val="000000"/>
          <w:lang w:eastAsia="bg-BG"/>
        </w:rPr>
      </w:pPr>
    </w:p>
    <w:p w14:paraId="43F87228" w14:textId="25308C8E"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Пациентите трябва да се проследяват за признаци на чернодробно увреждане и се препоръчва всеки месец да се проследяват </w:t>
      </w:r>
      <w:r w:rsidRPr="009231C3">
        <w:rPr>
          <w:rFonts w:eastAsia="Times New Roman" w:cs="Arial"/>
          <w:color w:val="000000"/>
          <w:lang w:val="en-US"/>
        </w:rPr>
        <w:t>ALT</w:t>
      </w:r>
      <w:r w:rsidRPr="009231C3">
        <w:rPr>
          <w:rFonts w:eastAsia="Times New Roman" w:cs="Arial"/>
          <w:color w:val="000000"/>
          <w:lang w:val="ru-RU"/>
        </w:rPr>
        <w:t xml:space="preserve"> </w:t>
      </w:r>
      <w:r w:rsidRPr="009231C3">
        <w:rPr>
          <w:rFonts w:eastAsia="Times New Roman" w:cs="Arial"/>
          <w:color w:val="000000"/>
          <w:lang w:eastAsia="bg-BG"/>
        </w:rPr>
        <w:t xml:space="preserve">и </w:t>
      </w:r>
      <w:r w:rsidRPr="009231C3">
        <w:rPr>
          <w:rFonts w:eastAsia="Times New Roman" w:cs="Arial"/>
          <w:color w:val="000000"/>
          <w:lang w:val="en-US"/>
        </w:rPr>
        <w:t>AST</w:t>
      </w:r>
      <w:r w:rsidRPr="009231C3">
        <w:rPr>
          <w:rFonts w:eastAsia="Times New Roman" w:cs="Arial"/>
          <w:color w:val="000000"/>
          <w:lang w:val="ru-RU"/>
        </w:rPr>
        <w:t xml:space="preserve">. </w:t>
      </w:r>
      <w:r w:rsidRPr="009231C3">
        <w:rPr>
          <w:rFonts w:eastAsia="Times New Roman" w:cs="Arial"/>
          <w:color w:val="000000"/>
          <w:lang w:eastAsia="bg-BG"/>
        </w:rPr>
        <w:t xml:space="preserve">Ако пациентите развият продължително, необяснимо, клинично значимо повишаване на </w:t>
      </w:r>
      <w:r w:rsidRPr="009231C3">
        <w:rPr>
          <w:rFonts w:eastAsia="Times New Roman" w:cs="Arial"/>
          <w:color w:val="000000"/>
          <w:lang w:val="en-US"/>
        </w:rPr>
        <w:t>ALT</w:t>
      </w:r>
      <w:r w:rsidRPr="009231C3">
        <w:rPr>
          <w:rFonts w:eastAsia="Times New Roman" w:cs="Arial"/>
          <w:color w:val="000000"/>
          <w:lang w:val="ru-RU"/>
        </w:rPr>
        <w:t xml:space="preserve"> </w:t>
      </w:r>
      <w:r w:rsidRPr="009231C3">
        <w:rPr>
          <w:rFonts w:eastAsia="Times New Roman" w:cs="Arial"/>
          <w:color w:val="000000"/>
          <w:lang w:eastAsia="bg-BG"/>
        </w:rPr>
        <w:t xml:space="preserve">и/или </w:t>
      </w:r>
      <w:r w:rsidRPr="009231C3">
        <w:rPr>
          <w:rFonts w:eastAsia="Times New Roman" w:cs="Arial"/>
          <w:color w:val="000000"/>
          <w:lang w:val="en-US"/>
        </w:rPr>
        <w:t>AST</w:t>
      </w:r>
      <w:r w:rsidRPr="009231C3">
        <w:rPr>
          <w:rFonts w:eastAsia="Times New Roman" w:cs="Arial"/>
          <w:color w:val="000000"/>
          <w:lang w:val="ru-RU"/>
        </w:rPr>
        <w:t xml:space="preserve"> </w:t>
      </w:r>
      <w:r w:rsidRPr="009231C3">
        <w:rPr>
          <w:rFonts w:eastAsia="Times New Roman" w:cs="Arial"/>
          <w:color w:val="000000"/>
          <w:lang w:eastAsia="bg-BG"/>
        </w:rPr>
        <w:t xml:space="preserve">или ако повишаването на </w:t>
      </w:r>
      <w:r w:rsidRPr="009231C3">
        <w:rPr>
          <w:rFonts w:eastAsia="Times New Roman" w:cs="Arial"/>
          <w:color w:val="000000"/>
          <w:lang w:val="en-US"/>
        </w:rPr>
        <w:t>ALT</w:t>
      </w:r>
      <w:r w:rsidRPr="009231C3">
        <w:rPr>
          <w:rFonts w:eastAsia="Times New Roman" w:cs="Arial"/>
          <w:color w:val="000000"/>
          <w:lang w:val="ru-RU"/>
        </w:rPr>
        <w:t xml:space="preserve"> </w:t>
      </w:r>
      <w:r w:rsidRPr="009231C3">
        <w:rPr>
          <w:rFonts w:eastAsia="Times New Roman" w:cs="Arial"/>
          <w:color w:val="000000"/>
          <w:lang w:eastAsia="bg-BG"/>
        </w:rPr>
        <w:t xml:space="preserve">и/или </w:t>
      </w:r>
      <w:r w:rsidRPr="009231C3">
        <w:rPr>
          <w:rFonts w:eastAsia="Times New Roman" w:cs="Arial"/>
          <w:color w:val="000000"/>
          <w:lang w:val="en-US"/>
        </w:rPr>
        <w:t>AST</w:t>
      </w:r>
      <w:r w:rsidRPr="009231C3">
        <w:rPr>
          <w:rFonts w:eastAsia="Times New Roman" w:cs="Arial"/>
          <w:color w:val="000000"/>
          <w:lang w:val="ru-RU"/>
        </w:rPr>
        <w:t xml:space="preserve"> </w:t>
      </w:r>
      <w:r w:rsidRPr="009231C3">
        <w:rPr>
          <w:rFonts w:eastAsia="Times New Roman" w:cs="Arial"/>
          <w:color w:val="000000"/>
          <w:lang w:eastAsia="bg-BG"/>
        </w:rPr>
        <w:t>е придружено от признаци или симптоми на чернодробно увреждане (напр. жълтеница), лечението с амбрисентан трябва да се преустанови.</w:t>
      </w:r>
    </w:p>
    <w:p w14:paraId="364ACAFB" w14:textId="77777777" w:rsidR="009231C3" w:rsidRDefault="009231C3" w:rsidP="009231C3">
      <w:pPr>
        <w:spacing w:line="240" w:lineRule="auto"/>
        <w:rPr>
          <w:rFonts w:eastAsia="Times New Roman" w:cs="Arial"/>
          <w:color w:val="000000"/>
          <w:lang w:eastAsia="bg-BG"/>
        </w:rPr>
      </w:pPr>
    </w:p>
    <w:p w14:paraId="2D40510F" w14:textId="0392EAEA"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При пациенти без клинични симптоми на чернодробно увреждане или жълтеница може да се обмисли повторно иницииране на лечението с амбрисентан след възстановяване на функцията на чернодробните ензими. Препоръчва се консултация с хепатолог.</w:t>
      </w:r>
    </w:p>
    <w:p w14:paraId="0618C1AD" w14:textId="77777777" w:rsidR="009231C3" w:rsidRDefault="009231C3" w:rsidP="009231C3">
      <w:pPr>
        <w:spacing w:line="240" w:lineRule="auto"/>
        <w:rPr>
          <w:rFonts w:eastAsia="Times New Roman" w:cs="Arial"/>
          <w:color w:val="000000"/>
          <w:u w:val="single"/>
          <w:lang w:eastAsia="bg-BG"/>
        </w:rPr>
      </w:pPr>
    </w:p>
    <w:p w14:paraId="17726ED7" w14:textId="6E59CCF5"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Концентрация на хемоглобин</w:t>
      </w:r>
    </w:p>
    <w:p w14:paraId="1B032733" w14:textId="19A01856"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С приложението на ендотелин-рецепторни антагонисти (ЕРА), включително амбрисентан, е свързано понижаване на концентрацията на хемоглобина и хематокрита. Повечето от тези понижени нива са установени по време на първите 4 седмици от лечението, като впоследствие нивото на хемоглобина като цяло се стабилизира. Средното понижаване от изходното ниво (в диапазон от 0,9 до 1,2 </w:t>
      </w:r>
      <w:r w:rsidRPr="009231C3">
        <w:rPr>
          <w:rFonts w:eastAsia="Times New Roman" w:cs="Arial"/>
          <w:color w:val="000000"/>
          <w:lang w:val="en-US"/>
        </w:rPr>
        <w:t>g</w:t>
      </w:r>
      <w:r w:rsidRPr="009231C3">
        <w:rPr>
          <w:rFonts w:eastAsia="Times New Roman" w:cs="Arial"/>
          <w:color w:val="000000"/>
          <w:lang w:val="ru-RU"/>
        </w:rPr>
        <w:t>/</w:t>
      </w:r>
      <w:r w:rsidRPr="009231C3">
        <w:rPr>
          <w:rFonts w:eastAsia="Times New Roman" w:cs="Arial"/>
          <w:color w:val="000000"/>
          <w:lang w:val="en-US"/>
        </w:rPr>
        <w:t>dl</w:t>
      </w:r>
      <w:r w:rsidRPr="009231C3">
        <w:rPr>
          <w:rFonts w:eastAsia="Times New Roman" w:cs="Arial"/>
          <w:color w:val="000000"/>
          <w:lang w:val="ru-RU"/>
        </w:rPr>
        <w:t xml:space="preserve">) </w:t>
      </w:r>
      <w:r w:rsidRPr="009231C3">
        <w:rPr>
          <w:rFonts w:eastAsia="Times New Roman" w:cs="Arial"/>
          <w:color w:val="000000"/>
          <w:lang w:eastAsia="bg-BG"/>
        </w:rPr>
        <w:t xml:space="preserve">на концентрацията на хемоглобина се запазва до 4 години от лечението с амбрисентан, при дългосрочно открито продължение на основните фаза </w:t>
      </w:r>
      <w:r w:rsidRPr="009231C3">
        <w:rPr>
          <w:rFonts w:eastAsia="Times New Roman" w:cs="Arial"/>
          <w:color w:val="000000"/>
          <w:lang w:val="en-US"/>
        </w:rPr>
        <w:t>III</w:t>
      </w:r>
      <w:r w:rsidRPr="009231C3">
        <w:rPr>
          <w:rFonts w:eastAsia="Times New Roman" w:cs="Arial"/>
          <w:color w:val="000000"/>
          <w:lang w:eastAsia="bg-BG"/>
        </w:rPr>
        <w:t xml:space="preserve"> клинични проучвания. В постмаркетинговия период са докладвани случаи на анемия,</w:t>
      </w:r>
      <w:r>
        <w:rPr>
          <w:rFonts w:eastAsia="Times New Roman" w:cs="Arial"/>
          <w:sz w:val="24"/>
          <w:szCs w:val="24"/>
        </w:rPr>
        <w:t xml:space="preserve"> </w:t>
      </w:r>
      <w:r w:rsidRPr="009231C3">
        <w:rPr>
          <w:rFonts w:eastAsia="Times New Roman" w:cs="Arial"/>
          <w:color w:val="000000"/>
          <w:lang w:eastAsia="bg-BG"/>
        </w:rPr>
        <w:t>изискващи трансфузия на кръвни клетки (вж. точка 4.8).</w:t>
      </w:r>
    </w:p>
    <w:p w14:paraId="02ED024F" w14:textId="77777777" w:rsidR="009231C3" w:rsidRPr="009231C3" w:rsidRDefault="009231C3" w:rsidP="009231C3">
      <w:pPr>
        <w:rPr>
          <w:rFonts w:eastAsia="Times New Roman" w:cs="Arial"/>
          <w:sz w:val="24"/>
          <w:szCs w:val="24"/>
        </w:rPr>
      </w:pPr>
      <w:r w:rsidRPr="009231C3">
        <w:rPr>
          <w:rFonts w:eastAsia="Times New Roman" w:cs="Arial"/>
          <w:color w:val="000000"/>
          <w:lang w:eastAsia="bg-BG"/>
        </w:rPr>
        <w:t>Не се препоръчва започване на лечение с амбрисентан при пациенти с клинично значима анемия. По време на лечение с амбрисентан се препоръчва да се проследяват нивата на</w:t>
      </w:r>
      <w:r>
        <w:rPr>
          <w:rFonts w:eastAsia="Times New Roman" w:cs="Arial"/>
          <w:color w:val="000000"/>
          <w:lang w:eastAsia="bg-BG"/>
        </w:rPr>
        <w:t xml:space="preserve"> </w:t>
      </w:r>
      <w:r w:rsidRPr="009231C3">
        <w:rPr>
          <w:rFonts w:eastAsia="Times New Roman" w:cs="Arial"/>
          <w:color w:val="000000"/>
          <w:lang w:eastAsia="bg-BG"/>
        </w:rPr>
        <w:t>хемоглобина и/или хематокрита, например на 1-вия месец, 3-ия месец и периодично след това в съответствие с клиничната практика. Ако се установи клинично значимо понижаване на хемоглобина или хематокрита и са изключени други причини, трябва да се обмисли намаляване на дозата или преустановяване на лечението. Честотата на анемия се повишава, когато амбрисентан се прилага в комбинация с тадалафил (15% честота на нежеланото събитие) в сравнение с честотата на анемия, когато амбрисентан и тадалафил се прилагат като монотерапия (съответно 7 % и 11 %).</w:t>
      </w:r>
    </w:p>
    <w:p w14:paraId="1670629A" w14:textId="77777777" w:rsidR="009231C3" w:rsidRDefault="009231C3" w:rsidP="009231C3">
      <w:pPr>
        <w:spacing w:line="240" w:lineRule="auto"/>
        <w:rPr>
          <w:rFonts w:eastAsia="Times New Roman" w:cs="Arial"/>
          <w:color w:val="000000"/>
          <w:u w:val="single"/>
          <w:lang w:eastAsia="bg-BG"/>
        </w:rPr>
      </w:pPr>
    </w:p>
    <w:p w14:paraId="597E3C02" w14:textId="53AFB2EF"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Задържане на течности</w:t>
      </w:r>
    </w:p>
    <w:p w14:paraId="5AD0F21E"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При прилагане на ЕРА, включително амбрисентан, е наблюдаван периферен оток. В клинични проучвания с амбрисентан повечето случаи на периферен оток са леки до умерени по тежест, макар че може да се проявят с по-висока честота и тежест при пациенти &gt; 65 години. В краткосрочни клинични проучвания по-често се съобщава за периферен оток при прилагане на 10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амбрисентан (вж. точка 4.8).</w:t>
      </w:r>
    </w:p>
    <w:p w14:paraId="7E877803" w14:textId="77777777" w:rsidR="009231C3" w:rsidRDefault="009231C3" w:rsidP="009231C3">
      <w:pPr>
        <w:spacing w:line="240" w:lineRule="auto"/>
        <w:rPr>
          <w:rFonts w:eastAsia="Times New Roman" w:cs="Arial"/>
          <w:color w:val="000000"/>
          <w:lang w:eastAsia="bg-BG"/>
        </w:rPr>
      </w:pPr>
    </w:p>
    <w:p w14:paraId="1CE54E21" w14:textId="7083775F"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Получени са постмаркетингови съобщения за задържане на течности, настъпващо седмици след започване на приема на амбрисентан, като в някои случаи състоянието е налагало лечение с диуретик или хоспитализация за овладяване на задържането на течности или на декомпенсираната сърдечна недостатъчност. Ако при пациентите е </w:t>
      </w:r>
      <w:r w:rsidRPr="009231C3">
        <w:rPr>
          <w:rFonts w:eastAsia="Times New Roman" w:cs="Arial"/>
          <w:color w:val="000000"/>
          <w:lang w:eastAsia="bg-BG"/>
        </w:rPr>
        <w:lastRenderedPageBreak/>
        <w:t>налице съществуващо натоварване с течности, състоянието трябва да се лекува по клинично подходящ начин преди започване на лечение с амбрисентан.</w:t>
      </w:r>
    </w:p>
    <w:p w14:paraId="4F392E11" w14:textId="77777777" w:rsidR="009231C3" w:rsidRDefault="009231C3" w:rsidP="009231C3">
      <w:pPr>
        <w:spacing w:line="240" w:lineRule="auto"/>
        <w:rPr>
          <w:rFonts w:eastAsia="Times New Roman" w:cs="Arial"/>
          <w:color w:val="000000"/>
          <w:lang w:eastAsia="bg-BG"/>
        </w:rPr>
      </w:pPr>
    </w:p>
    <w:p w14:paraId="23F30AAD" w14:textId="2E13F8B6"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Ако по време на лечение с амбрисентан се развие клинично значимо задържане на течности, със или без придружаващо повишаване на теглото, трябва да бъде направена допълнителна оценка, за да се определи причината, която може да бъде амбрисентан или подлежаща сърдечна недостатъчност, и възможната нужда от специфично лечение или прекъсване на терапията с амбрисентан. Честотата на периферен оток се повишава, когато амбрисентан се прилага в комбинация с тадалафил (45% честота на нежеланото събитие) в сравнение с честотата на периферен оток, когато амбрисентан и тадалафил се прилагат като монотерапия (съответно 38 % и 28 %). Появата на периферен оток е най-честа през първия месец от започване на лечението.</w:t>
      </w:r>
    </w:p>
    <w:p w14:paraId="748DC3AB" w14:textId="77777777" w:rsidR="009231C3" w:rsidRDefault="009231C3" w:rsidP="009231C3">
      <w:pPr>
        <w:spacing w:line="240" w:lineRule="auto"/>
        <w:rPr>
          <w:rFonts w:eastAsia="Times New Roman" w:cs="Arial"/>
          <w:color w:val="000000"/>
          <w:u w:val="single"/>
          <w:lang w:eastAsia="bg-BG"/>
        </w:rPr>
      </w:pPr>
    </w:p>
    <w:p w14:paraId="3DED5BA6" w14:textId="5FA914BF"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Жени с детероден потенциал</w:t>
      </w:r>
    </w:p>
    <w:p w14:paraId="55E1D01C"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Не трябва да се започва лечение с амбрисентан при жени с детероден потенциал, освен ако резултатът от теста за бременност преди лечението е отрицателен и се използва надежден метод за контрацепция. Ако има някакво съмнение за това, какъв съвет да бъде даден на пациентката по отношение на контрацепцията, трябва да се обмисли консултация с гинеколог. По време на лечение с амбрисентан се препоръчват ежемесечни тестове за бременност (вж. точки 4.3 и 4.6).</w:t>
      </w:r>
    </w:p>
    <w:p w14:paraId="59BF8402" w14:textId="77777777" w:rsidR="009231C3" w:rsidRDefault="009231C3" w:rsidP="009231C3">
      <w:pPr>
        <w:spacing w:line="240" w:lineRule="auto"/>
        <w:rPr>
          <w:rFonts w:eastAsia="Times New Roman" w:cs="Arial"/>
          <w:color w:val="000000"/>
          <w:u w:val="single"/>
          <w:lang w:eastAsia="bg-BG"/>
        </w:rPr>
      </w:pPr>
    </w:p>
    <w:p w14:paraId="52F9B616" w14:textId="7D98609E"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Белодробна венооклузивна болест</w:t>
      </w:r>
    </w:p>
    <w:p w14:paraId="50CB43C1"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Съобщавани са случаи на белодробен оток при вазодилатиращи лекарствени продукти като ЕРА, когато са прилагани при пациенти с белодробна венооклузивна болест. По тази причина, ако пациентите с БАХ развият остър белодробен оток по време на лечение с амбрисентан, трябва да се има предвид възможността за белодробна венооклузивна болест.</w:t>
      </w:r>
    </w:p>
    <w:p w14:paraId="3D795AA7" w14:textId="77777777" w:rsidR="009231C3" w:rsidRDefault="009231C3" w:rsidP="009231C3">
      <w:pPr>
        <w:spacing w:line="240" w:lineRule="auto"/>
        <w:rPr>
          <w:rFonts w:eastAsia="Times New Roman" w:cs="Arial"/>
          <w:color w:val="000000"/>
          <w:u w:val="single"/>
          <w:lang w:eastAsia="bg-BG"/>
        </w:rPr>
      </w:pPr>
    </w:p>
    <w:p w14:paraId="20F3342F" w14:textId="23382F3F"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Едновременно приложение с други лекарствени продукти</w:t>
      </w:r>
    </w:p>
    <w:p w14:paraId="2D25A639"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Пациенти, лекувани с амбрисентан, трябва внимателно да бъдат наблюдавани при започване на лечение с рифампицин (вж. точки 4.5 и 5.2).</w:t>
      </w:r>
    </w:p>
    <w:p w14:paraId="1AD08066" w14:textId="77777777" w:rsidR="009231C3" w:rsidRDefault="009231C3" w:rsidP="009231C3">
      <w:pPr>
        <w:spacing w:line="240" w:lineRule="auto"/>
        <w:rPr>
          <w:rFonts w:eastAsia="Times New Roman" w:cs="Arial"/>
          <w:color w:val="000000"/>
          <w:u w:val="single"/>
          <w:lang w:eastAsia="bg-BG"/>
        </w:rPr>
      </w:pPr>
    </w:p>
    <w:p w14:paraId="1866A68F" w14:textId="73979F8B"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Помощни вещества</w:t>
      </w:r>
    </w:p>
    <w:p w14:paraId="35108B39"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Амбрисентан Зентива таблетки съдържа лактоза монохидрат.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2106C533" w14:textId="4BDA87EB" w:rsidR="009231C3" w:rsidRDefault="009231C3" w:rsidP="009231C3">
      <w:pPr>
        <w:rPr>
          <w:rFonts w:eastAsia="Times New Roman" w:cs="Arial"/>
          <w:color w:val="000000"/>
          <w:lang w:eastAsia="bg-BG"/>
        </w:rPr>
      </w:pPr>
      <w:r w:rsidRPr="009231C3">
        <w:rPr>
          <w:rFonts w:eastAsia="Times New Roman" w:cs="Arial"/>
          <w:color w:val="000000"/>
          <w:lang w:eastAsia="bg-BG"/>
        </w:rPr>
        <w:t xml:space="preserve">Този лекарствен продукт съдържа по-малко от 1 </w:t>
      </w:r>
      <w:proofErr w:type="spellStart"/>
      <w:r w:rsidRPr="009231C3">
        <w:rPr>
          <w:rFonts w:eastAsia="Times New Roman" w:cs="Arial"/>
          <w:color w:val="000000"/>
          <w:lang w:val="en-US"/>
        </w:rPr>
        <w:t>mmol</w:t>
      </w:r>
      <w:proofErr w:type="spellEnd"/>
      <w:r w:rsidRPr="009231C3">
        <w:rPr>
          <w:rFonts w:eastAsia="Times New Roman" w:cs="Arial"/>
          <w:color w:val="000000"/>
          <w:lang w:val="ru-RU"/>
        </w:rPr>
        <w:t xml:space="preserve"> </w:t>
      </w:r>
      <w:r w:rsidRPr="009231C3">
        <w:rPr>
          <w:rFonts w:eastAsia="Times New Roman" w:cs="Arial"/>
          <w:color w:val="000000"/>
          <w:lang w:eastAsia="bg-BG"/>
        </w:rPr>
        <w:t xml:space="preserve">натрий (23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на таблетка, т.е. може да се каже, че практически не съдържа натрий.</w:t>
      </w:r>
    </w:p>
    <w:p w14:paraId="199D2B6C" w14:textId="3D979B09" w:rsidR="009231C3" w:rsidRDefault="009231C3" w:rsidP="009231C3">
      <w:pPr>
        <w:rPr>
          <w:rFonts w:eastAsia="Times New Roman" w:cs="Arial"/>
          <w:color w:val="000000"/>
          <w:lang w:eastAsia="bg-BG"/>
        </w:rPr>
      </w:pPr>
    </w:p>
    <w:p w14:paraId="0B3966D2" w14:textId="77777777" w:rsidR="009231C3" w:rsidRPr="009231C3" w:rsidRDefault="009231C3" w:rsidP="009231C3">
      <w:pPr>
        <w:rPr>
          <w:sz w:val="24"/>
          <w:szCs w:val="24"/>
        </w:rPr>
      </w:pPr>
      <w:r w:rsidRPr="009231C3">
        <w:rPr>
          <w:lang w:eastAsia="bg-BG"/>
        </w:rPr>
        <w:t>Това лекарство съдържа соев лецитин (вж. точка 4.3). Соевият лецитин може да съдържа остатъчен соев протеин и поради това пациентите, свръхчувствителни към соя или фъстъци, не трябва да приемат това лекарство.</w:t>
      </w:r>
    </w:p>
    <w:p w14:paraId="342A31F9" w14:textId="77777777" w:rsidR="009231C3" w:rsidRPr="009231C3" w:rsidRDefault="009231C3" w:rsidP="009231C3">
      <w:pPr>
        <w:rPr>
          <w:sz w:val="24"/>
          <w:szCs w:val="24"/>
        </w:rPr>
      </w:pPr>
      <w:r w:rsidRPr="009231C3">
        <w:rPr>
          <w:lang w:eastAsia="bg-BG"/>
        </w:rPr>
        <w:t>Този лекарствен продукт съдържа азобагрилото Алура червено АС алуминиев лак (Е129), който може да причини алергични реакции.</w:t>
      </w:r>
    </w:p>
    <w:p w14:paraId="7C238913" w14:textId="77777777" w:rsidR="009231C3" w:rsidRPr="009231C3" w:rsidRDefault="009231C3" w:rsidP="009231C3">
      <w:pPr>
        <w:rPr>
          <w:rFonts w:eastAsia="Times New Roman" w:cs="Arial"/>
          <w:color w:val="000000"/>
          <w:lang w:eastAsia="bg-BG"/>
        </w:rPr>
      </w:pPr>
    </w:p>
    <w:p w14:paraId="3844D1CC" w14:textId="77777777" w:rsidR="009231C3" w:rsidRPr="009231C3" w:rsidRDefault="009231C3" w:rsidP="009231C3"/>
    <w:p w14:paraId="619DED1E" w14:textId="51CBF353"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18429723" w14:textId="4DACE757" w:rsidR="009231C3" w:rsidRDefault="009231C3" w:rsidP="009231C3"/>
    <w:p w14:paraId="0E634601"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lastRenderedPageBreak/>
        <w:t xml:space="preserve">В </w:t>
      </w:r>
      <w:r w:rsidRPr="009231C3">
        <w:rPr>
          <w:rFonts w:eastAsia="Times New Roman" w:cs="Arial"/>
          <w:i/>
          <w:iCs/>
          <w:color w:val="000000"/>
          <w:lang w:val="en-US"/>
        </w:rPr>
        <w:t>in</w:t>
      </w:r>
      <w:r w:rsidRPr="009231C3">
        <w:rPr>
          <w:rFonts w:eastAsia="Times New Roman" w:cs="Arial"/>
          <w:i/>
          <w:iCs/>
          <w:color w:val="000000"/>
          <w:lang w:val="ru-RU"/>
        </w:rPr>
        <w:t xml:space="preserve"> </w:t>
      </w:r>
      <w:r w:rsidRPr="009231C3">
        <w:rPr>
          <w:rFonts w:eastAsia="Times New Roman" w:cs="Arial"/>
          <w:i/>
          <w:iCs/>
          <w:color w:val="000000"/>
          <w:lang w:val="en-US"/>
        </w:rPr>
        <w:t>vitro</w:t>
      </w:r>
      <w:r w:rsidRPr="009231C3">
        <w:rPr>
          <w:rFonts w:eastAsia="Times New Roman" w:cs="Arial"/>
          <w:color w:val="000000"/>
          <w:lang w:val="ru-RU"/>
        </w:rPr>
        <w:t xml:space="preserve"> </w:t>
      </w:r>
      <w:r w:rsidRPr="009231C3">
        <w:rPr>
          <w:rFonts w:eastAsia="Times New Roman" w:cs="Arial"/>
          <w:color w:val="000000"/>
          <w:lang w:eastAsia="bg-BG"/>
        </w:rPr>
        <w:t xml:space="preserve">и </w:t>
      </w:r>
      <w:r w:rsidRPr="009231C3">
        <w:rPr>
          <w:rFonts w:eastAsia="Times New Roman" w:cs="Arial"/>
          <w:i/>
          <w:iCs/>
          <w:color w:val="000000"/>
          <w:lang w:val="en-US"/>
        </w:rPr>
        <w:t>in</w:t>
      </w:r>
      <w:r w:rsidRPr="009231C3">
        <w:rPr>
          <w:rFonts w:eastAsia="Times New Roman" w:cs="Arial"/>
          <w:i/>
          <w:iCs/>
          <w:color w:val="000000"/>
          <w:lang w:val="ru-RU"/>
        </w:rPr>
        <w:t xml:space="preserve"> </w:t>
      </w:r>
      <w:r w:rsidRPr="009231C3">
        <w:rPr>
          <w:rFonts w:eastAsia="Times New Roman" w:cs="Arial"/>
          <w:i/>
          <w:iCs/>
          <w:color w:val="000000"/>
          <w:lang w:val="en-US"/>
        </w:rPr>
        <w:t>vivo</w:t>
      </w:r>
      <w:r w:rsidRPr="009231C3">
        <w:rPr>
          <w:rFonts w:eastAsia="Times New Roman" w:cs="Arial"/>
          <w:color w:val="000000"/>
          <w:lang w:val="ru-RU"/>
        </w:rPr>
        <w:t xml:space="preserve"> </w:t>
      </w:r>
      <w:r w:rsidRPr="009231C3">
        <w:rPr>
          <w:rFonts w:eastAsia="Times New Roman" w:cs="Arial"/>
          <w:color w:val="000000"/>
          <w:lang w:eastAsia="bg-BG"/>
        </w:rPr>
        <w:t>неклинични проучвания амбрисентан не инхибира и не индуцира фаза I или II лекарство-метаболизиращи ензими в клинично значими концентрации, което предполага нисък потенциал на повлияване на метаболизма на лекарствата по тези пътища от страна на амбрисентан.</w:t>
      </w:r>
    </w:p>
    <w:p w14:paraId="4A634750" w14:textId="77777777" w:rsidR="009231C3" w:rsidRDefault="009231C3" w:rsidP="009231C3">
      <w:pPr>
        <w:spacing w:line="240" w:lineRule="auto"/>
        <w:rPr>
          <w:rFonts w:eastAsia="Times New Roman" w:cs="Arial"/>
          <w:color w:val="000000"/>
          <w:lang w:eastAsia="bg-BG"/>
        </w:rPr>
      </w:pPr>
    </w:p>
    <w:p w14:paraId="11814452" w14:textId="2C7973FC"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Потенциалът на амбрисентан за индуциране активността на </w:t>
      </w:r>
      <w:r w:rsidRPr="009231C3">
        <w:rPr>
          <w:rFonts w:eastAsia="Times New Roman" w:cs="Arial"/>
          <w:color w:val="000000"/>
          <w:lang w:val="en-US"/>
        </w:rPr>
        <w:t>CYP</w:t>
      </w:r>
      <w:r w:rsidRPr="009231C3">
        <w:rPr>
          <w:rFonts w:eastAsia="Times New Roman" w:cs="Arial"/>
          <w:color w:val="000000"/>
          <w:lang w:val="ru-RU"/>
        </w:rPr>
        <w:t>3</w:t>
      </w:r>
      <w:r w:rsidRPr="009231C3">
        <w:rPr>
          <w:rFonts w:eastAsia="Times New Roman" w:cs="Arial"/>
          <w:color w:val="000000"/>
          <w:lang w:val="en-US"/>
        </w:rPr>
        <w:t>A</w:t>
      </w:r>
      <w:r w:rsidRPr="009231C3">
        <w:rPr>
          <w:rFonts w:eastAsia="Times New Roman" w:cs="Arial"/>
          <w:color w:val="000000"/>
          <w:lang w:val="ru-RU"/>
        </w:rPr>
        <w:t xml:space="preserve">4 </w:t>
      </w:r>
      <w:r w:rsidRPr="009231C3">
        <w:rPr>
          <w:rFonts w:eastAsia="Times New Roman" w:cs="Arial"/>
          <w:color w:val="000000"/>
          <w:lang w:eastAsia="bg-BG"/>
        </w:rPr>
        <w:t xml:space="preserve">е изследван при здрави доброволци и резултатите предполагат липса на индуктивен ефект на амбрисентан върху </w:t>
      </w:r>
      <w:r w:rsidRPr="009231C3">
        <w:rPr>
          <w:rFonts w:eastAsia="Times New Roman" w:cs="Arial"/>
          <w:color w:val="000000"/>
          <w:lang w:val="en-US"/>
        </w:rPr>
        <w:t>CYP</w:t>
      </w:r>
      <w:r w:rsidRPr="009231C3">
        <w:rPr>
          <w:rFonts w:eastAsia="Times New Roman" w:cs="Arial"/>
          <w:color w:val="000000"/>
          <w:lang w:val="ru-RU"/>
        </w:rPr>
        <w:t>3</w:t>
      </w:r>
      <w:r w:rsidRPr="009231C3">
        <w:rPr>
          <w:rFonts w:eastAsia="Times New Roman" w:cs="Arial"/>
          <w:color w:val="000000"/>
          <w:lang w:val="en-US"/>
        </w:rPr>
        <w:t>A</w:t>
      </w:r>
      <w:r w:rsidRPr="009231C3">
        <w:rPr>
          <w:rFonts w:eastAsia="Times New Roman" w:cs="Arial"/>
          <w:color w:val="000000"/>
          <w:lang w:val="ru-RU"/>
        </w:rPr>
        <w:t xml:space="preserve">4 </w:t>
      </w:r>
      <w:r w:rsidRPr="009231C3">
        <w:rPr>
          <w:rFonts w:eastAsia="Times New Roman" w:cs="Arial"/>
          <w:color w:val="000000"/>
          <w:lang w:eastAsia="bg-BG"/>
        </w:rPr>
        <w:t>изоензима.</w:t>
      </w:r>
    </w:p>
    <w:p w14:paraId="511FF807" w14:textId="77777777" w:rsidR="009231C3" w:rsidRDefault="009231C3" w:rsidP="009231C3">
      <w:pPr>
        <w:spacing w:line="240" w:lineRule="auto"/>
        <w:rPr>
          <w:rFonts w:eastAsia="Times New Roman" w:cs="Arial"/>
          <w:color w:val="000000"/>
          <w:u w:val="single"/>
          <w:lang w:eastAsia="bg-BG"/>
        </w:rPr>
      </w:pPr>
    </w:p>
    <w:p w14:paraId="2726BADC" w14:textId="5DB3ADD0"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Циклоспорин А</w:t>
      </w:r>
    </w:p>
    <w:p w14:paraId="13DB3ED3"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Едновременното прилагане на амбрисентан с циклоспорин А в стационарно състояние води до двукратно повишаване на експозицията на амбрисентан при здрави доброволци. Това може да се дължи на инхибиране на транспортерите и метаболитните ензими, участващи във фармакокинетиката на амбрисентан от циклоспорин А. По тази причина, при едновременно прилагане с циклоспорин А, дозата на амбрисентан трябва да бъде ограничена до 5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веднъж дневно (вж. точка 4.2). Многократното прилагане на амбрисентан няма ефект върху експозицията на циклоспорин А и не се налага корекция на дозата на циклоспорин А.</w:t>
      </w:r>
    </w:p>
    <w:p w14:paraId="52F6AD5A" w14:textId="77777777" w:rsidR="009231C3" w:rsidRDefault="009231C3" w:rsidP="009231C3">
      <w:pPr>
        <w:spacing w:line="240" w:lineRule="auto"/>
        <w:rPr>
          <w:rFonts w:eastAsia="Times New Roman" w:cs="Arial"/>
          <w:color w:val="000000"/>
          <w:u w:val="single"/>
          <w:lang w:eastAsia="bg-BG"/>
        </w:rPr>
      </w:pPr>
    </w:p>
    <w:p w14:paraId="5D05E145" w14:textId="527AFADC"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Рифампицин</w:t>
      </w:r>
    </w:p>
    <w:p w14:paraId="459FEBE2"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Едновременното прилагане на рифампицин (инхибитор на полипептида, транспортер на органични аниони [ОАТР], силен индуктор на </w:t>
      </w:r>
      <w:r w:rsidRPr="009231C3">
        <w:rPr>
          <w:rFonts w:eastAsia="Times New Roman" w:cs="Arial"/>
          <w:color w:val="000000"/>
          <w:lang w:val="en-US"/>
        </w:rPr>
        <w:t>CYP</w:t>
      </w:r>
      <w:r w:rsidRPr="009231C3">
        <w:rPr>
          <w:rFonts w:eastAsia="Times New Roman" w:cs="Arial"/>
          <w:color w:val="000000"/>
          <w:lang w:val="ru-RU"/>
        </w:rPr>
        <w:t>3</w:t>
      </w:r>
      <w:r w:rsidRPr="009231C3">
        <w:rPr>
          <w:rFonts w:eastAsia="Times New Roman" w:cs="Arial"/>
          <w:color w:val="000000"/>
          <w:lang w:val="en-US"/>
        </w:rPr>
        <w:t>A</w:t>
      </w:r>
      <w:r w:rsidRPr="009231C3">
        <w:rPr>
          <w:rFonts w:eastAsia="Times New Roman" w:cs="Arial"/>
          <w:color w:val="000000"/>
          <w:lang w:val="ru-RU"/>
        </w:rPr>
        <w:t xml:space="preserve"> </w:t>
      </w:r>
      <w:r w:rsidRPr="009231C3">
        <w:rPr>
          <w:rFonts w:eastAsia="Times New Roman" w:cs="Arial"/>
          <w:color w:val="000000"/>
          <w:lang w:eastAsia="bg-BG"/>
        </w:rPr>
        <w:t xml:space="preserve">и 2С19, и индуктор на </w:t>
      </w:r>
      <w:r w:rsidRPr="009231C3">
        <w:rPr>
          <w:rFonts w:eastAsia="Times New Roman" w:cs="Arial"/>
          <w:color w:val="000000"/>
          <w:lang w:val="en-US"/>
        </w:rPr>
        <w:t>P</w:t>
      </w:r>
      <w:r w:rsidRPr="009231C3">
        <w:rPr>
          <w:rFonts w:eastAsia="Times New Roman" w:cs="Arial"/>
          <w:color w:val="000000"/>
          <w:lang w:val="ru-RU"/>
        </w:rPr>
        <w:t>-</w:t>
      </w:r>
      <w:proofErr w:type="spellStart"/>
      <w:r w:rsidRPr="009231C3">
        <w:rPr>
          <w:rFonts w:eastAsia="Times New Roman" w:cs="Arial"/>
          <w:color w:val="000000"/>
          <w:lang w:val="en-US"/>
        </w:rPr>
        <w:t>gp</w:t>
      </w:r>
      <w:proofErr w:type="spellEnd"/>
      <w:r w:rsidRPr="009231C3">
        <w:rPr>
          <w:rFonts w:eastAsia="Times New Roman" w:cs="Arial"/>
          <w:color w:val="000000"/>
          <w:lang w:val="ru-RU"/>
        </w:rPr>
        <w:t xml:space="preserve"> </w:t>
      </w:r>
      <w:r w:rsidRPr="009231C3">
        <w:rPr>
          <w:rFonts w:eastAsia="Times New Roman" w:cs="Arial"/>
          <w:color w:val="000000"/>
          <w:lang w:eastAsia="bg-BG"/>
        </w:rPr>
        <w:t xml:space="preserve">и уридиндифосфат глюкуронилтрансферазите </w:t>
      </w:r>
      <w:r w:rsidRPr="009231C3">
        <w:rPr>
          <w:rFonts w:eastAsia="Times New Roman" w:cs="Arial"/>
          <w:color w:val="000000"/>
          <w:lang w:val="ru-RU"/>
        </w:rPr>
        <w:t>[</w:t>
      </w:r>
      <w:r w:rsidRPr="009231C3">
        <w:rPr>
          <w:rFonts w:eastAsia="Times New Roman" w:cs="Arial"/>
          <w:color w:val="000000"/>
          <w:lang w:val="en-US"/>
        </w:rPr>
        <w:t>UGT</w:t>
      </w:r>
      <w:r w:rsidRPr="009231C3">
        <w:rPr>
          <w:rFonts w:eastAsia="Times New Roman" w:cs="Arial"/>
          <w:color w:val="000000"/>
          <w:lang w:val="ru-RU"/>
        </w:rPr>
        <w:t xml:space="preserve">]) </w:t>
      </w:r>
      <w:r w:rsidRPr="009231C3">
        <w:rPr>
          <w:rFonts w:eastAsia="Times New Roman" w:cs="Arial"/>
          <w:color w:val="000000"/>
          <w:lang w:eastAsia="bg-BG"/>
        </w:rPr>
        <w:t>е свързано с преходно (приблизително 2- кратно) повишаване на експозицията на амбрисентан след първоначалните дози при здрави доброволци. Въпреки това, до ден 8, приемът при стационарно състояние на рифампицин няма клинично значим ефект върху експозицията на амбрисентан. Пациенти, лекувани, с амбрисентан трябва внимателно да се наблюдават при започване на лечение с рифампицин (вж. точки 4.4 и 5.2).</w:t>
      </w:r>
    </w:p>
    <w:p w14:paraId="311409FC" w14:textId="77777777" w:rsidR="009231C3" w:rsidRDefault="009231C3" w:rsidP="009231C3">
      <w:pPr>
        <w:spacing w:line="240" w:lineRule="auto"/>
        <w:rPr>
          <w:rFonts w:eastAsia="Times New Roman" w:cs="Arial"/>
          <w:color w:val="000000"/>
          <w:u w:val="single"/>
          <w:lang w:eastAsia="bg-BG"/>
        </w:rPr>
      </w:pPr>
    </w:p>
    <w:p w14:paraId="23291272" w14:textId="5C6530F5"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Фосфодиестеразни инхибитори</w:t>
      </w:r>
    </w:p>
    <w:p w14:paraId="79B574FB"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Едновременното прилагане на амбрисентан с фосфодиестеразен инхибитор - силденафил или тадалафил (и двата субстрати на </w:t>
      </w:r>
      <w:r w:rsidRPr="009231C3">
        <w:rPr>
          <w:rFonts w:eastAsia="Times New Roman" w:cs="Arial"/>
          <w:color w:val="000000"/>
          <w:lang w:val="en-US"/>
        </w:rPr>
        <w:t>CYP</w:t>
      </w:r>
      <w:r w:rsidRPr="009231C3">
        <w:rPr>
          <w:rFonts w:eastAsia="Times New Roman" w:cs="Arial"/>
          <w:color w:val="000000"/>
          <w:lang w:val="ru-RU"/>
        </w:rPr>
        <w:t>3</w:t>
      </w:r>
      <w:r w:rsidRPr="009231C3">
        <w:rPr>
          <w:rFonts w:eastAsia="Times New Roman" w:cs="Arial"/>
          <w:color w:val="000000"/>
          <w:lang w:val="en-US"/>
        </w:rPr>
        <w:t>A</w:t>
      </w:r>
      <w:r w:rsidRPr="009231C3">
        <w:rPr>
          <w:rFonts w:eastAsia="Times New Roman" w:cs="Arial"/>
          <w:color w:val="000000"/>
          <w:lang w:val="ru-RU"/>
        </w:rPr>
        <w:t xml:space="preserve">4) </w:t>
      </w:r>
      <w:r w:rsidRPr="009231C3">
        <w:rPr>
          <w:rFonts w:eastAsia="Times New Roman" w:cs="Arial"/>
          <w:color w:val="000000"/>
          <w:lang w:eastAsia="bg-BG"/>
        </w:rPr>
        <w:t>при здрави доброволци не повлиява значимо фармакокинетиката на фосфодиестеразния инхибитор или на амбрисентан (вж. точка 5.2).</w:t>
      </w:r>
    </w:p>
    <w:p w14:paraId="09DF2522" w14:textId="77777777" w:rsidR="009231C3" w:rsidRDefault="009231C3" w:rsidP="009231C3">
      <w:pPr>
        <w:spacing w:line="240" w:lineRule="auto"/>
        <w:rPr>
          <w:rFonts w:eastAsia="Times New Roman" w:cs="Arial"/>
          <w:color w:val="000000"/>
          <w:u w:val="single"/>
          <w:lang w:eastAsia="bg-BG"/>
        </w:rPr>
      </w:pPr>
    </w:p>
    <w:p w14:paraId="4155ABA8" w14:textId="68CFE05C"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Други таргетни лечения за БАХ</w:t>
      </w:r>
    </w:p>
    <w:p w14:paraId="0EA72A38"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Ефикасността и безопасността на амбрисентан при едновременно прилагане с други </w:t>
      </w:r>
      <w:r w:rsidRPr="009231C3">
        <w:rPr>
          <w:rFonts w:eastAsia="Times New Roman" w:cs="Arial"/>
          <w:color w:val="000000"/>
          <w:u w:val="single"/>
          <w:lang w:eastAsia="bg-BG"/>
        </w:rPr>
        <w:t xml:space="preserve">лечения за </w:t>
      </w:r>
      <w:r w:rsidRPr="009231C3">
        <w:rPr>
          <w:rFonts w:eastAsia="Times New Roman" w:cs="Arial"/>
          <w:color w:val="000000"/>
          <w:lang w:eastAsia="bg-BG"/>
        </w:rPr>
        <w:t>БАХ (напр. простаноиди и разтворими гуанилатциклазни стимулатори) не са специално проучвани в контролирани клинични изпитвания при пациенти с БАХ (вж. точка 5.1). Не се очакват специфични лекарствени взаимодействия с разтворими гуанилатциклазни стимулатори или простаноиди въз основа на известните данни за биотрансформация (вж. точка 5.2). Въпреки това, при тези лекарствени продукти не са провеждани конкретни проучвания за лекарствени взаимодействия. Затова се препоръчва повишено внимание в случай на едновременно прилагане.</w:t>
      </w:r>
    </w:p>
    <w:p w14:paraId="2DA68A0F" w14:textId="77777777" w:rsidR="009231C3" w:rsidRDefault="009231C3" w:rsidP="009231C3">
      <w:pPr>
        <w:spacing w:line="240" w:lineRule="auto"/>
        <w:rPr>
          <w:rFonts w:eastAsia="Times New Roman" w:cs="Arial"/>
          <w:color w:val="000000"/>
          <w:u w:val="single"/>
          <w:lang w:eastAsia="bg-BG"/>
        </w:rPr>
      </w:pPr>
    </w:p>
    <w:p w14:paraId="3E0B662F" w14:textId="50A0388E"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Перорални контрацептиви</w:t>
      </w:r>
    </w:p>
    <w:p w14:paraId="565BE99F"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В клинично проучване при здрави доброволци прилагането на амбрисентан 10</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веднъж</w:t>
      </w:r>
    </w:p>
    <w:p w14:paraId="1F1E5CB8" w14:textId="6F92302E" w:rsidR="009231C3" w:rsidRDefault="009231C3" w:rsidP="009231C3">
      <w:pPr>
        <w:spacing w:line="240" w:lineRule="auto"/>
        <w:rPr>
          <w:rFonts w:eastAsia="Times New Roman" w:cs="Arial"/>
          <w:color w:val="000000"/>
          <w:lang w:eastAsia="bg-BG"/>
        </w:rPr>
      </w:pPr>
      <w:r w:rsidRPr="009231C3">
        <w:rPr>
          <w:rFonts w:eastAsia="Times New Roman" w:cs="Arial"/>
          <w:color w:val="000000"/>
          <w:lang w:eastAsia="bg-BG"/>
        </w:rPr>
        <w:t>дневно в стационарно състояние не повлиява значимо фармакокинетиката на единчина доза етинилестрадиол и норетиндрон, компоненти на комбиниран перорален контрацептив (вж.</w:t>
      </w:r>
      <w:r w:rsidRPr="009231C3">
        <w:rPr>
          <w:rFonts w:eastAsia="Times New Roman" w:cs="Arial"/>
          <w:i/>
          <w:iCs/>
          <w:color w:val="000000"/>
          <w:lang w:eastAsia="bg-BG"/>
        </w:rPr>
        <w:t xml:space="preserve"> </w:t>
      </w:r>
      <w:r w:rsidRPr="009231C3">
        <w:rPr>
          <w:rFonts w:eastAsia="Times New Roman" w:cs="Arial"/>
          <w:color w:val="000000"/>
          <w:lang w:eastAsia="bg-BG"/>
        </w:rPr>
        <w:t xml:space="preserve">точка 5.2). Основавайки се на това фармакокинетично проучване не се </w:t>
      </w:r>
      <w:r w:rsidRPr="009231C3">
        <w:rPr>
          <w:rFonts w:eastAsia="Times New Roman" w:cs="Arial"/>
          <w:color w:val="000000"/>
          <w:lang w:eastAsia="bg-BG"/>
        </w:rPr>
        <w:lastRenderedPageBreak/>
        <w:t>очаква аморисентан да повлияе значимо експозицията на контрацептиви, съдържащи естроген или прогестоген</w:t>
      </w:r>
      <w:r>
        <w:rPr>
          <w:rFonts w:eastAsia="Times New Roman" w:cs="Arial"/>
          <w:color w:val="000000"/>
          <w:lang w:eastAsia="bg-BG"/>
        </w:rPr>
        <w:t>.</w:t>
      </w:r>
    </w:p>
    <w:p w14:paraId="564F4FBE" w14:textId="3BB30FC1" w:rsidR="009231C3" w:rsidRDefault="009231C3" w:rsidP="009231C3">
      <w:pPr>
        <w:spacing w:line="240" w:lineRule="auto"/>
        <w:rPr>
          <w:rFonts w:eastAsia="Times New Roman" w:cs="Arial"/>
          <w:color w:val="000000"/>
          <w:lang w:eastAsia="bg-BG"/>
        </w:rPr>
      </w:pPr>
    </w:p>
    <w:p w14:paraId="49C4D76B"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Варфарин</w:t>
      </w:r>
    </w:p>
    <w:p w14:paraId="1F88F313"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В едно проучване при здрави доброволци амбрисентан не повлиява фармакокинетиката в стационарно състояние и антикоагулантната активност на варфарин (вж. точка 5.2). Също така варфарин няма клинично значими ефекти върху фармакокинетиката на амбрисентан. Освен това, при пациенти амбрисентан няма общ ефект върху седмичната доза на антикоагуланти от типа на варфарин, протромбиновото време (РТ) и международното нормализирано отношение </w:t>
      </w:r>
      <w:r w:rsidRPr="009231C3">
        <w:rPr>
          <w:rFonts w:eastAsia="Times New Roman" w:cs="Arial"/>
          <w:color w:val="000000"/>
          <w:lang w:val="ru-RU"/>
        </w:rPr>
        <w:t>(</w:t>
      </w:r>
      <w:r w:rsidRPr="009231C3">
        <w:rPr>
          <w:rFonts w:eastAsia="Times New Roman" w:cs="Arial"/>
          <w:color w:val="000000"/>
          <w:lang w:val="en-US"/>
        </w:rPr>
        <w:t>INR</w:t>
      </w:r>
      <w:r w:rsidRPr="009231C3">
        <w:rPr>
          <w:rFonts w:eastAsia="Times New Roman" w:cs="Arial"/>
          <w:color w:val="000000"/>
          <w:lang w:val="ru-RU"/>
        </w:rPr>
        <w:t>).</w:t>
      </w:r>
    </w:p>
    <w:p w14:paraId="3C0CDB09" w14:textId="77777777" w:rsidR="009231C3" w:rsidRPr="009231C3" w:rsidRDefault="009231C3" w:rsidP="009231C3">
      <w:pPr>
        <w:spacing w:line="240" w:lineRule="auto"/>
        <w:rPr>
          <w:rFonts w:eastAsia="Times New Roman" w:cs="Arial"/>
          <w:color w:val="000000"/>
          <w:u w:val="single"/>
          <w:lang w:eastAsia="bg-BG"/>
        </w:rPr>
      </w:pPr>
    </w:p>
    <w:p w14:paraId="63E1D327" w14:textId="14026C99"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Кетоконазол</w:t>
      </w:r>
    </w:p>
    <w:p w14:paraId="12E6059B" w14:textId="77777777" w:rsidR="009231C3" w:rsidRPr="009231C3" w:rsidRDefault="009231C3" w:rsidP="009231C3">
      <w:pPr>
        <w:spacing w:line="240" w:lineRule="auto"/>
        <w:rPr>
          <w:rFonts w:eastAsia="Times New Roman" w:cs="Arial"/>
          <w:color w:val="000000"/>
          <w:lang w:eastAsia="bg-BG"/>
        </w:rPr>
      </w:pPr>
      <w:r w:rsidRPr="009231C3">
        <w:rPr>
          <w:rFonts w:eastAsia="Times New Roman" w:cs="Arial"/>
          <w:color w:val="000000"/>
          <w:lang w:eastAsia="bg-BG"/>
        </w:rPr>
        <w:t xml:space="preserve">Прилагането на кетоконазол (мощен инхибитор на </w:t>
      </w:r>
      <w:r w:rsidRPr="009231C3">
        <w:rPr>
          <w:rFonts w:eastAsia="Times New Roman" w:cs="Arial"/>
          <w:color w:val="000000"/>
          <w:lang w:val="en-US"/>
        </w:rPr>
        <w:t>CYP</w:t>
      </w:r>
      <w:r w:rsidRPr="009231C3">
        <w:rPr>
          <w:rFonts w:eastAsia="Times New Roman" w:cs="Arial"/>
          <w:color w:val="000000"/>
          <w:lang w:val="ru-RU"/>
        </w:rPr>
        <w:t>3</w:t>
      </w:r>
      <w:r w:rsidRPr="009231C3">
        <w:rPr>
          <w:rFonts w:eastAsia="Times New Roman" w:cs="Arial"/>
          <w:color w:val="000000"/>
          <w:lang w:val="en-US"/>
        </w:rPr>
        <w:t>A</w:t>
      </w:r>
      <w:r w:rsidRPr="009231C3">
        <w:rPr>
          <w:rFonts w:eastAsia="Times New Roman" w:cs="Arial"/>
          <w:color w:val="000000"/>
          <w:lang w:val="ru-RU"/>
        </w:rPr>
        <w:t xml:space="preserve">4) </w:t>
      </w:r>
      <w:r w:rsidRPr="009231C3">
        <w:rPr>
          <w:rFonts w:eastAsia="Times New Roman" w:cs="Arial"/>
          <w:color w:val="000000"/>
          <w:lang w:eastAsia="bg-BG"/>
        </w:rPr>
        <w:t xml:space="preserve">в стационарно състояние не </w:t>
      </w:r>
    </w:p>
    <w:p w14:paraId="696E624C" w14:textId="543BBD9D"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предизвиква клинично значимо повишаване на експозицията на амбрисентан (вж. точка 5.2).</w:t>
      </w:r>
    </w:p>
    <w:p w14:paraId="322F19FB" w14:textId="77777777" w:rsidR="009231C3" w:rsidRPr="009231C3" w:rsidRDefault="009231C3" w:rsidP="009231C3">
      <w:pPr>
        <w:spacing w:line="240" w:lineRule="auto"/>
        <w:rPr>
          <w:rFonts w:eastAsia="Times New Roman" w:cs="Arial"/>
          <w:color w:val="000000"/>
          <w:u w:val="single"/>
          <w:lang w:eastAsia="bg-BG"/>
        </w:rPr>
      </w:pPr>
    </w:p>
    <w:p w14:paraId="4ABDE35D" w14:textId="1D71CF6C"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Ефект на амбрисентан върху ксенобиотични транспортери</w:t>
      </w:r>
    </w:p>
    <w:p w14:paraId="71C833E2" w14:textId="24AD227B" w:rsidR="009231C3" w:rsidRPr="009231C3" w:rsidRDefault="009231C3" w:rsidP="009231C3">
      <w:pPr>
        <w:spacing w:line="240" w:lineRule="auto"/>
        <w:rPr>
          <w:rFonts w:eastAsia="Times New Roman" w:cs="Arial"/>
          <w:sz w:val="24"/>
          <w:szCs w:val="24"/>
        </w:rPr>
      </w:pPr>
      <w:r w:rsidRPr="009231C3">
        <w:rPr>
          <w:rFonts w:eastAsia="Times New Roman" w:cs="Arial"/>
          <w:i/>
          <w:iCs/>
          <w:color w:val="000000"/>
          <w:lang w:val="en-US"/>
        </w:rPr>
        <w:t>In</w:t>
      </w:r>
      <w:r w:rsidRPr="009231C3">
        <w:rPr>
          <w:rFonts w:eastAsia="Times New Roman" w:cs="Arial"/>
          <w:i/>
          <w:iCs/>
          <w:color w:val="000000"/>
        </w:rPr>
        <w:t xml:space="preserve"> </w:t>
      </w:r>
      <w:r w:rsidRPr="009231C3">
        <w:rPr>
          <w:rFonts w:eastAsia="Times New Roman" w:cs="Arial"/>
          <w:i/>
          <w:iCs/>
          <w:color w:val="000000"/>
          <w:lang w:val="en-US"/>
        </w:rPr>
        <w:t>vitro</w:t>
      </w:r>
      <w:r w:rsidRPr="009231C3">
        <w:rPr>
          <w:rFonts w:eastAsia="Times New Roman" w:cs="Arial"/>
          <w:color w:val="000000"/>
        </w:rPr>
        <w:t xml:space="preserve"> </w:t>
      </w:r>
      <w:r w:rsidRPr="009231C3">
        <w:rPr>
          <w:rFonts w:eastAsia="Times New Roman" w:cs="Arial"/>
          <w:color w:val="000000"/>
          <w:lang w:eastAsia="bg-BG"/>
        </w:rPr>
        <w:t xml:space="preserve">амбрисентан няма инхибиращ ефект върху човешки транспортери в клинично значими концентрации, включително Р-гликопротеин </w:t>
      </w:r>
      <w:r w:rsidRPr="009231C3">
        <w:rPr>
          <w:rFonts w:eastAsia="Times New Roman" w:cs="Arial"/>
          <w:color w:val="000000"/>
        </w:rPr>
        <w:t>(</w:t>
      </w:r>
      <w:proofErr w:type="spellStart"/>
      <w:r w:rsidRPr="009231C3">
        <w:rPr>
          <w:rFonts w:eastAsia="Times New Roman" w:cs="Arial"/>
          <w:color w:val="000000"/>
          <w:lang w:val="en-US"/>
        </w:rPr>
        <w:t>Pgp</w:t>
      </w:r>
      <w:proofErr w:type="spellEnd"/>
      <w:r w:rsidRPr="009231C3">
        <w:rPr>
          <w:rFonts w:eastAsia="Times New Roman" w:cs="Arial"/>
          <w:color w:val="000000"/>
        </w:rPr>
        <w:t xml:space="preserve">), </w:t>
      </w:r>
      <w:r w:rsidRPr="009231C3">
        <w:rPr>
          <w:rFonts w:eastAsia="Times New Roman" w:cs="Arial"/>
          <w:color w:val="000000"/>
          <w:lang w:eastAsia="bg-BG"/>
        </w:rPr>
        <w:t xml:space="preserve">протеина на резистентност на рак на гърдата </w:t>
      </w:r>
      <w:r w:rsidRPr="009231C3">
        <w:rPr>
          <w:rFonts w:eastAsia="Times New Roman" w:cs="Arial"/>
          <w:color w:val="000000"/>
        </w:rPr>
        <w:t>(</w:t>
      </w:r>
      <w:r w:rsidRPr="009231C3">
        <w:rPr>
          <w:rFonts w:eastAsia="Times New Roman" w:cs="Arial"/>
          <w:color w:val="000000"/>
          <w:lang w:val="en-US"/>
        </w:rPr>
        <w:t>breast</w:t>
      </w:r>
      <w:r w:rsidRPr="009231C3">
        <w:rPr>
          <w:rFonts w:eastAsia="Times New Roman" w:cs="Arial"/>
          <w:color w:val="000000"/>
        </w:rPr>
        <w:t xml:space="preserve"> </w:t>
      </w:r>
      <w:r w:rsidRPr="009231C3">
        <w:rPr>
          <w:rFonts w:eastAsia="Times New Roman" w:cs="Arial"/>
          <w:color w:val="000000"/>
          <w:lang w:val="en-US"/>
        </w:rPr>
        <w:t>cancer</w:t>
      </w:r>
      <w:r w:rsidRPr="009231C3">
        <w:rPr>
          <w:rFonts w:eastAsia="Times New Roman" w:cs="Arial"/>
          <w:color w:val="000000"/>
        </w:rPr>
        <w:t xml:space="preserve"> </w:t>
      </w:r>
      <w:r w:rsidRPr="009231C3">
        <w:rPr>
          <w:rFonts w:eastAsia="Times New Roman" w:cs="Arial"/>
          <w:color w:val="000000"/>
          <w:lang w:val="en-US"/>
        </w:rPr>
        <w:t>resistance</w:t>
      </w:r>
      <w:r w:rsidRPr="009231C3">
        <w:rPr>
          <w:rFonts w:eastAsia="Times New Roman" w:cs="Arial"/>
          <w:color w:val="000000"/>
        </w:rPr>
        <w:t xml:space="preserve"> </w:t>
      </w:r>
      <w:r w:rsidRPr="009231C3">
        <w:rPr>
          <w:rFonts w:eastAsia="Times New Roman" w:cs="Arial"/>
          <w:color w:val="000000"/>
          <w:lang w:val="en-US"/>
        </w:rPr>
        <w:t>protein</w:t>
      </w:r>
      <w:r w:rsidRPr="009231C3">
        <w:rPr>
          <w:rFonts w:eastAsia="Times New Roman" w:cs="Arial"/>
          <w:color w:val="000000"/>
        </w:rPr>
        <w:t xml:space="preserve">, </w:t>
      </w:r>
      <w:r w:rsidRPr="009231C3">
        <w:rPr>
          <w:rFonts w:eastAsia="Times New Roman" w:cs="Arial"/>
          <w:color w:val="000000"/>
          <w:lang w:val="en-US"/>
        </w:rPr>
        <w:t>BCRP</w:t>
      </w:r>
      <w:r w:rsidRPr="009231C3">
        <w:rPr>
          <w:rFonts w:eastAsia="Times New Roman" w:cs="Arial"/>
          <w:color w:val="000000"/>
        </w:rPr>
        <w:t xml:space="preserve">), </w:t>
      </w:r>
      <w:r w:rsidRPr="009231C3">
        <w:rPr>
          <w:rFonts w:eastAsia="Times New Roman" w:cs="Arial"/>
          <w:color w:val="000000"/>
          <w:lang w:eastAsia="bg-BG"/>
        </w:rPr>
        <w:t xml:space="preserve">протеин </w:t>
      </w:r>
      <w:r w:rsidRPr="009231C3">
        <w:rPr>
          <w:rFonts w:eastAsia="Times New Roman" w:cs="Arial"/>
          <w:color w:val="000000"/>
        </w:rPr>
        <w:t xml:space="preserve">2, </w:t>
      </w:r>
      <w:r w:rsidRPr="009231C3">
        <w:rPr>
          <w:rFonts w:eastAsia="Times New Roman" w:cs="Arial"/>
          <w:color w:val="000000"/>
          <w:lang w:eastAsia="bg-BG"/>
        </w:rPr>
        <w:t xml:space="preserve">свързан </w:t>
      </w:r>
      <w:r w:rsidRPr="009231C3">
        <w:rPr>
          <w:rFonts w:eastAsia="Times New Roman" w:cs="Arial"/>
          <w:color w:val="000000"/>
          <w:lang w:val="en-US"/>
        </w:rPr>
        <w:t>c</w:t>
      </w:r>
      <w:r w:rsidRPr="009231C3">
        <w:rPr>
          <w:rFonts w:eastAsia="Times New Roman" w:cs="Arial"/>
          <w:color w:val="000000"/>
        </w:rPr>
        <w:t xml:space="preserve"> </w:t>
      </w:r>
      <w:r w:rsidRPr="009231C3">
        <w:rPr>
          <w:rFonts w:eastAsia="Times New Roman" w:cs="Arial"/>
          <w:color w:val="000000"/>
          <w:lang w:eastAsia="bg-BG"/>
        </w:rPr>
        <w:t xml:space="preserve">мултилекарствената резистентност </w:t>
      </w:r>
      <w:r w:rsidRPr="009231C3">
        <w:rPr>
          <w:rFonts w:eastAsia="Times New Roman" w:cs="Arial"/>
          <w:color w:val="000000"/>
        </w:rPr>
        <w:t>(</w:t>
      </w:r>
      <w:r w:rsidRPr="009231C3">
        <w:rPr>
          <w:rFonts w:eastAsia="Times New Roman" w:cs="Arial"/>
          <w:color w:val="000000"/>
          <w:lang w:val="en-US"/>
        </w:rPr>
        <w:t>multi</w:t>
      </w:r>
      <w:r w:rsidRPr="009231C3">
        <w:rPr>
          <w:rFonts w:eastAsia="Times New Roman" w:cs="Arial"/>
          <w:color w:val="000000"/>
        </w:rPr>
        <w:t xml:space="preserve">- </w:t>
      </w:r>
      <w:r w:rsidRPr="009231C3">
        <w:rPr>
          <w:rFonts w:eastAsia="Times New Roman" w:cs="Arial"/>
          <w:color w:val="000000"/>
          <w:lang w:val="en-US"/>
        </w:rPr>
        <w:t>drug</w:t>
      </w:r>
      <w:r w:rsidRPr="009231C3">
        <w:rPr>
          <w:rFonts w:eastAsia="Times New Roman" w:cs="Arial"/>
          <w:color w:val="000000"/>
        </w:rPr>
        <w:t xml:space="preserve"> </w:t>
      </w:r>
      <w:r w:rsidRPr="009231C3">
        <w:rPr>
          <w:rFonts w:eastAsia="Times New Roman" w:cs="Arial"/>
          <w:color w:val="000000"/>
          <w:lang w:val="en-US"/>
        </w:rPr>
        <w:t>resistance</w:t>
      </w:r>
      <w:r w:rsidRPr="009231C3">
        <w:rPr>
          <w:rFonts w:eastAsia="Times New Roman" w:cs="Arial"/>
          <w:color w:val="000000"/>
        </w:rPr>
        <w:t xml:space="preserve"> </w:t>
      </w:r>
      <w:r w:rsidRPr="009231C3">
        <w:rPr>
          <w:rFonts w:eastAsia="Times New Roman" w:cs="Arial"/>
          <w:color w:val="000000"/>
          <w:lang w:val="en-US"/>
        </w:rPr>
        <w:t>related</w:t>
      </w:r>
      <w:r w:rsidRPr="009231C3">
        <w:rPr>
          <w:rFonts w:eastAsia="Times New Roman" w:cs="Arial"/>
          <w:color w:val="000000"/>
        </w:rPr>
        <w:t xml:space="preserve"> </w:t>
      </w:r>
      <w:r w:rsidRPr="009231C3">
        <w:rPr>
          <w:rFonts w:eastAsia="Times New Roman" w:cs="Arial"/>
          <w:color w:val="000000"/>
          <w:lang w:val="en-US"/>
        </w:rPr>
        <w:t>protein</w:t>
      </w:r>
      <w:r w:rsidRPr="009231C3">
        <w:rPr>
          <w:rFonts w:eastAsia="Times New Roman" w:cs="Arial"/>
          <w:color w:val="000000"/>
        </w:rPr>
        <w:t xml:space="preserve"> 2, </w:t>
      </w:r>
      <w:r w:rsidRPr="009231C3">
        <w:rPr>
          <w:rFonts w:eastAsia="Times New Roman" w:cs="Arial"/>
          <w:color w:val="000000"/>
          <w:lang w:val="en-US"/>
        </w:rPr>
        <w:t>MRP</w:t>
      </w:r>
      <w:r w:rsidRPr="009231C3">
        <w:rPr>
          <w:rFonts w:eastAsia="Times New Roman" w:cs="Arial"/>
          <w:color w:val="000000"/>
        </w:rPr>
        <w:t xml:space="preserve">2), </w:t>
      </w:r>
      <w:r w:rsidRPr="009231C3">
        <w:rPr>
          <w:rFonts w:eastAsia="Times New Roman" w:cs="Arial"/>
          <w:color w:val="000000"/>
          <w:lang w:eastAsia="bg-BG"/>
        </w:rPr>
        <w:t xml:space="preserve">експортната помпа за жлъчни соли </w:t>
      </w:r>
      <w:r w:rsidRPr="009231C3">
        <w:rPr>
          <w:rFonts w:eastAsia="Times New Roman" w:cs="Arial"/>
          <w:color w:val="000000"/>
        </w:rPr>
        <w:t>(</w:t>
      </w:r>
      <w:r w:rsidRPr="009231C3">
        <w:rPr>
          <w:rFonts w:eastAsia="Times New Roman" w:cs="Arial"/>
          <w:color w:val="000000"/>
          <w:lang w:val="en-US"/>
        </w:rPr>
        <w:t>BSEP</w:t>
      </w:r>
      <w:r w:rsidRPr="009231C3">
        <w:rPr>
          <w:rFonts w:eastAsia="Times New Roman" w:cs="Arial"/>
          <w:color w:val="000000"/>
        </w:rPr>
        <w:t xml:space="preserve">), </w:t>
      </w:r>
      <w:r w:rsidRPr="009231C3">
        <w:rPr>
          <w:rFonts w:eastAsia="Times New Roman" w:cs="Arial"/>
          <w:color w:val="000000"/>
          <w:lang w:eastAsia="bg-BG"/>
        </w:rPr>
        <w:t xml:space="preserve">полипептиди, транспортиращи органични аниони </w:t>
      </w:r>
      <w:r w:rsidRPr="009231C3">
        <w:rPr>
          <w:rFonts w:eastAsia="Times New Roman" w:cs="Arial"/>
          <w:color w:val="000000"/>
        </w:rPr>
        <w:t>(</w:t>
      </w:r>
      <w:r w:rsidRPr="009231C3">
        <w:rPr>
          <w:rFonts w:eastAsia="Times New Roman" w:cs="Arial"/>
          <w:color w:val="000000"/>
          <w:lang w:val="en-US"/>
        </w:rPr>
        <w:t>organic</w:t>
      </w:r>
      <w:r w:rsidRPr="009231C3">
        <w:rPr>
          <w:rFonts w:eastAsia="Times New Roman" w:cs="Arial"/>
          <w:color w:val="000000"/>
        </w:rPr>
        <w:t xml:space="preserve"> </w:t>
      </w:r>
      <w:r w:rsidRPr="009231C3">
        <w:rPr>
          <w:rFonts w:eastAsia="Times New Roman" w:cs="Arial"/>
          <w:color w:val="000000"/>
          <w:lang w:val="en-US"/>
        </w:rPr>
        <w:t>anion</w:t>
      </w:r>
      <w:r w:rsidRPr="009231C3">
        <w:rPr>
          <w:rFonts w:eastAsia="Times New Roman" w:cs="Arial"/>
          <w:color w:val="000000"/>
        </w:rPr>
        <w:t xml:space="preserve"> </w:t>
      </w:r>
      <w:r w:rsidRPr="009231C3">
        <w:rPr>
          <w:rFonts w:eastAsia="Times New Roman" w:cs="Arial"/>
          <w:color w:val="000000"/>
          <w:lang w:val="en-US"/>
        </w:rPr>
        <w:t>transporting</w:t>
      </w:r>
      <w:r w:rsidRPr="009231C3">
        <w:rPr>
          <w:rFonts w:eastAsia="Times New Roman" w:cs="Arial"/>
          <w:color w:val="000000"/>
        </w:rPr>
        <w:t xml:space="preserve"> </w:t>
      </w:r>
      <w:r w:rsidRPr="009231C3">
        <w:rPr>
          <w:rFonts w:eastAsia="Times New Roman" w:cs="Arial"/>
          <w:color w:val="000000"/>
          <w:lang w:val="en-US"/>
        </w:rPr>
        <w:t>polypeptides</w:t>
      </w:r>
      <w:r w:rsidRPr="009231C3">
        <w:rPr>
          <w:rFonts w:eastAsia="Times New Roman" w:cs="Arial"/>
          <w:color w:val="000000"/>
        </w:rPr>
        <w:t xml:space="preserve">, </w:t>
      </w:r>
      <w:r w:rsidRPr="009231C3">
        <w:rPr>
          <w:rFonts w:eastAsia="Times New Roman" w:cs="Arial"/>
          <w:color w:val="000000"/>
          <w:lang w:val="en-US"/>
        </w:rPr>
        <w:t>OATP</w:t>
      </w:r>
      <w:r w:rsidRPr="009231C3">
        <w:rPr>
          <w:rFonts w:eastAsia="Times New Roman" w:cs="Arial"/>
          <w:color w:val="000000"/>
        </w:rPr>
        <w:t>1</w:t>
      </w:r>
      <w:r w:rsidRPr="009231C3">
        <w:rPr>
          <w:rFonts w:eastAsia="Times New Roman" w:cs="Arial"/>
          <w:color w:val="000000"/>
          <w:lang w:val="en-US"/>
        </w:rPr>
        <w:t>B</w:t>
      </w:r>
      <w:r w:rsidRPr="009231C3">
        <w:rPr>
          <w:rFonts w:eastAsia="Times New Roman" w:cs="Arial"/>
          <w:color w:val="000000"/>
        </w:rPr>
        <w:t xml:space="preserve">1 </w:t>
      </w:r>
      <w:r w:rsidRPr="009231C3">
        <w:rPr>
          <w:rFonts w:eastAsia="Times New Roman" w:cs="Arial"/>
          <w:color w:val="000000"/>
          <w:lang w:eastAsia="bg-BG"/>
        </w:rPr>
        <w:t xml:space="preserve">и </w:t>
      </w:r>
      <w:r w:rsidRPr="009231C3">
        <w:rPr>
          <w:rFonts w:eastAsia="Times New Roman" w:cs="Arial"/>
          <w:color w:val="000000"/>
          <w:lang w:val="en-US"/>
        </w:rPr>
        <w:t>OATP</w:t>
      </w:r>
      <w:r w:rsidRPr="009231C3">
        <w:rPr>
          <w:rFonts w:eastAsia="Times New Roman" w:cs="Arial"/>
          <w:color w:val="000000"/>
        </w:rPr>
        <w:t>1</w:t>
      </w:r>
      <w:r w:rsidRPr="009231C3">
        <w:rPr>
          <w:rFonts w:eastAsia="Times New Roman" w:cs="Arial"/>
          <w:color w:val="000000"/>
          <w:lang w:val="en-US"/>
        </w:rPr>
        <w:t>B</w:t>
      </w:r>
      <w:r w:rsidRPr="009231C3">
        <w:rPr>
          <w:rFonts w:eastAsia="Times New Roman" w:cs="Arial"/>
          <w:color w:val="000000"/>
        </w:rPr>
        <w:t xml:space="preserve">3) </w:t>
      </w:r>
      <w:r w:rsidRPr="009231C3">
        <w:rPr>
          <w:rFonts w:eastAsia="Times New Roman" w:cs="Arial"/>
          <w:color w:val="000000"/>
          <w:lang w:eastAsia="bg-BG"/>
        </w:rPr>
        <w:t xml:space="preserve">и натриево-зависимият таурохолат ко-транспортен полипептид </w:t>
      </w:r>
      <w:r w:rsidRPr="009231C3">
        <w:rPr>
          <w:rFonts w:eastAsia="Times New Roman" w:cs="Arial"/>
          <w:color w:val="000000"/>
        </w:rPr>
        <w:t>(</w:t>
      </w:r>
      <w:r w:rsidRPr="009231C3">
        <w:rPr>
          <w:rFonts w:eastAsia="Times New Roman" w:cs="Arial"/>
          <w:color w:val="000000"/>
          <w:lang w:val="en-US"/>
        </w:rPr>
        <w:t>sodium</w:t>
      </w:r>
      <w:r w:rsidRPr="009231C3">
        <w:rPr>
          <w:rFonts w:eastAsia="Times New Roman" w:cs="Arial"/>
          <w:color w:val="000000"/>
        </w:rPr>
        <w:t>-</w:t>
      </w:r>
      <w:r w:rsidRPr="009231C3">
        <w:rPr>
          <w:rFonts w:eastAsia="Times New Roman" w:cs="Arial"/>
          <w:color w:val="000000"/>
          <w:lang w:val="en-US"/>
        </w:rPr>
        <w:t>dependent</w:t>
      </w:r>
      <w:r w:rsidRPr="009231C3">
        <w:rPr>
          <w:rFonts w:eastAsia="Times New Roman" w:cs="Arial"/>
          <w:color w:val="000000"/>
        </w:rPr>
        <w:t xml:space="preserve"> </w:t>
      </w:r>
      <w:r w:rsidRPr="009231C3">
        <w:rPr>
          <w:rFonts w:eastAsia="Times New Roman" w:cs="Arial"/>
          <w:color w:val="000000"/>
          <w:lang w:val="en-US"/>
        </w:rPr>
        <w:t>taurocholate</w:t>
      </w:r>
      <w:r w:rsidRPr="009231C3">
        <w:rPr>
          <w:rFonts w:eastAsia="Times New Roman" w:cs="Arial"/>
          <w:color w:val="000000"/>
        </w:rPr>
        <w:t xml:space="preserve"> </w:t>
      </w:r>
      <w:r w:rsidRPr="009231C3">
        <w:rPr>
          <w:rFonts w:eastAsia="Times New Roman" w:cs="Arial"/>
          <w:color w:val="000000"/>
          <w:lang w:val="en-US"/>
        </w:rPr>
        <w:t>co</w:t>
      </w:r>
      <w:r w:rsidRPr="009231C3">
        <w:rPr>
          <w:rFonts w:eastAsia="Times New Roman" w:cs="Arial"/>
          <w:color w:val="000000"/>
        </w:rPr>
        <w:t>-</w:t>
      </w:r>
      <w:r w:rsidRPr="009231C3">
        <w:rPr>
          <w:rFonts w:eastAsia="Times New Roman" w:cs="Arial"/>
          <w:color w:val="000000"/>
          <w:lang w:val="en-US"/>
        </w:rPr>
        <w:t>transporting</w:t>
      </w:r>
      <w:r w:rsidRPr="009231C3">
        <w:rPr>
          <w:rFonts w:eastAsia="Times New Roman" w:cs="Arial"/>
          <w:color w:val="000000"/>
        </w:rPr>
        <w:t xml:space="preserve"> </w:t>
      </w:r>
      <w:r w:rsidRPr="009231C3">
        <w:rPr>
          <w:rFonts w:eastAsia="Times New Roman" w:cs="Arial"/>
          <w:color w:val="000000"/>
          <w:lang w:val="en-US"/>
        </w:rPr>
        <w:t>polypeptide</w:t>
      </w:r>
      <w:r w:rsidRPr="009231C3">
        <w:rPr>
          <w:rFonts w:eastAsia="Times New Roman" w:cs="Arial"/>
          <w:color w:val="000000"/>
        </w:rPr>
        <w:t xml:space="preserve">, </w:t>
      </w:r>
      <w:r w:rsidRPr="009231C3">
        <w:rPr>
          <w:rFonts w:eastAsia="Times New Roman" w:cs="Arial"/>
          <w:color w:val="000000"/>
          <w:lang w:val="en-US"/>
        </w:rPr>
        <w:t>NTCP</w:t>
      </w:r>
      <w:r w:rsidRPr="009231C3">
        <w:rPr>
          <w:rFonts w:eastAsia="Times New Roman" w:cs="Arial"/>
          <w:color w:val="000000"/>
        </w:rPr>
        <w:t>).</w:t>
      </w:r>
    </w:p>
    <w:p w14:paraId="4E4B8A8A" w14:textId="77777777" w:rsidR="009231C3" w:rsidRPr="009231C3" w:rsidRDefault="009231C3" w:rsidP="009231C3">
      <w:pPr>
        <w:spacing w:line="240" w:lineRule="auto"/>
        <w:rPr>
          <w:rFonts w:eastAsia="Times New Roman" w:cs="Arial"/>
          <w:color w:val="000000"/>
          <w:lang w:eastAsia="bg-BG"/>
        </w:rPr>
      </w:pPr>
    </w:p>
    <w:p w14:paraId="287B61C9" w14:textId="5404916B"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Амбрисентан е субстрат за </w:t>
      </w:r>
      <w:proofErr w:type="spellStart"/>
      <w:r w:rsidRPr="009231C3">
        <w:rPr>
          <w:rFonts w:eastAsia="Times New Roman" w:cs="Arial"/>
          <w:color w:val="000000"/>
          <w:lang w:val="en-US"/>
        </w:rPr>
        <w:t>Pgp</w:t>
      </w:r>
      <w:proofErr w:type="spellEnd"/>
      <w:r w:rsidRPr="009231C3">
        <w:rPr>
          <w:rFonts w:eastAsia="Times New Roman" w:cs="Arial"/>
          <w:color w:val="000000"/>
          <w:lang w:eastAsia="bg-BG"/>
        </w:rPr>
        <w:t>-медиирания ефлукс.</w:t>
      </w:r>
    </w:p>
    <w:p w14:paraId="26113652" w14:textId="77777777" w:rsidR="009231C3" w:rsidRPr="009231C3" w:rsidRDefault="009231C3" w:rsidP="009231C3">
      <w:pPr>
        <w:spacing w:line="240" w:lineRule="auto"/>
        <w:rPr>
          <w:rFonts w:eastAsia="Times New Roman" w:cs="Arial"/>
          <w:i/>
          <w:iCs/>
          <w:color w:val="000000"/>
        </w:rPr>
      </w:pPr>
    </w:p>
    <w:p w14:paraId="20631917" w14:textId="430EB3B6" w:rsidR="009231C3" w:rsidRPr="009231C3" w:rsidRDefault="009231C3" w:rsidP="009231C3">
      <w:pPr>
        <w:spacing w:line="240" w:lineRule="auto"/>
        <w:rPr>
          <w:rFonts w:eastAsia="Times New Roman" w:cs="Arial"/>
          <w:sz w:val="24"/>
          <w:szCs w:val="24"/>
        </w:rPr>
      </w:pPr>
      <w:r w:rsidRPr="009231C3">
        <w:rPr>
          <w:rFonts w:eastAsia="Times New Roman" w:cs="Arial"/>
          <w:i/>
          <w:iCs/>
          <w:color w:val="000000"/>
          <w:lang w:val="en-US"/>
        </w:rPr>
        <w:t>In</w:t>
      </w:r>
      <w:r w:rsidRPr="009231C3">
        <w:rPr>
          <w:rFonts w:eastAsia="Times New Roman" w:cs="Arial"/>
          <w:i/>
          <w:iCs/>
          <w:color w:val="000000"/>
        </w:rPr>
        <w:t xml:space="preserve"> </w:t>
      </w:r>
      <w:r w:rsidRPr="009231C3">
        <w:rPr>
          <w:rFonts w:eastAsia="Times New Roman" w:cs="Arial"/>
          <w:i/>
          <w:iCs/>
          <w:color w:val="000000"/>
          <w:lang w:val="en-US"/>
        </w:rPr>
        <w:t>vitro</w:t>
      </w:r>
      <w:r w:rsidRPr="009231C3">
        <w:rPr>
          <w:rFonts w:eastAsia="Times New Roman" w:cs="Arial"/>
          <w:color w:val="000000"/>
        </w:rPr>
        <w:t xml:space="preserve"> </w:t>
      </w:r>
      <w:r w:rsidRPr="009231C3">
        <w:rPr>
          <w:rFonts w:eastAsia="Times New Roman" w:cs="Arial"/>
          <w:color w:val="000000"/>
          <w:lang w:eastAsia="bg-BG"/>
        </w:rPr>
        <w:t xml:space="preserve">проучвания върху хепатоцити от плъх също показват, че амбрисентан не индуцира </w:t>
      </w:r>
      <w:proofErr w:type="spellStart"/>
      <w:r w:rsidRPr="009231C3">
        <w:rPr>
          <w:rFonts w:eastAsia="Times New Roman" w:cs="Arial"/>
          <w:color w:val="000000"/>
          <w:lang w:val="en-US"/>
        </w:rPr>
        <w:t>Pgp</w:t>
      </w:r>
      <w:proofErr w:type="spellEnd"/>
      <w:r w:rsidRPr="009231C3">
        <w:rPr>
          <w:rFonts w:eastAsia="Times New Roman" w:cs="Arial"/>
          <w:color w:val="000000"/>
        </w:rPr>
        <w:t xml:space="preserve">, </w:t>
      </w:r>
      <w:r w:rsidRPr="009231C3">
        <w:rPr>
          <w:rFonts w:eastAsia="Times New Roman" w:cs="Arial"/>
          <w:color w:val="000000"/>
          <w:lang w:val="en-US"/>
        </w:rPr>
        <w:t>BSEP</w:t>
      </w:r>
      <w:r w:rsidRPr="009231C3">
        <w:rPr>
          <w:rFonts w:eastAsia="Times New Roman" w:cs="Arial"/>
          <w:color w:val="000000"/>
        </w:rPr>
        <w:t xml:space="preserve"> </w:t>
      </w:r>
      <w:r w:rsidRPr="009231C3">
        <w:rPr>
          <w:rFonts w:eastAsia="Times New Roman" w:cs="Arial"/>
          <w:color w:val="000000"/>
          <w:lang w:eastAsia="bg-BG"/>
        </w:rPr>
        <w:t xml:space="preserve">или </w:t>
      </w:r>
      <w:r w:rsidRPr="009231C3">
        <w:rPr>
          <w:rFonts w:eastAsia="Times New Roman" w:cs="Arial"/>
          <w:color w:val="000000"/>
          <w:lang w:val="en-US"/>
        </w:rPr>
        <w:t>MRP</w:t>
      </w:r>
      <w:r w:rsidRPr="009231C3">
        <w:rPr>
          <w:rFonts w:eastAsia="Times New Roman" w:cs="Arial"/>
          <w:color w:val="000000"/>
        </w:rPr>
        <w:t xml:space="preserve">2 </w:t>
      </w:r>
      <w:r w:rsidRPr="009231C3">
        <w:rPr>
          <w:rFonts w:eastAsia="Times New Roman" w:cs="Arial"/>
          <w:color w:val="000000"/>
          <w:lang w:eastAsia="bg-BG"/>
        </w:rPr>
        <w:t>протеинова експресия.</w:t>
      </w:r>
    </w:p>
    <w:p w14:paraId="0B3CCFD4" w14:textId="77777777" w:rsidR="009231C3" w:rsidRPr="009231C3" w:rsidRDefault="009231C3" w:rsidP="009231C3">
      <w:pPr>
        <w:spacing w:line="240" w:lineRule="auto"/>
        <w:rPr>
          <w:rFonts w:eastAsia="Times New Roman" w:cs="Arial"/>
          <w:color w:val="000000"/>
          <w:lang w:eastAsia="bg-BG"/>
        </w:rPr>
      </w:pPr>
    </w:p>
    <w:p w14:paraId="14C63C42" w14:textId="7D5D9C29"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Прилагането на амбрисентан в стационарно състояние при здрави доброволци няма клинично значими ефекти върху фармакокинетиката при прилагане на еднократна доза дигоксин, който е субстрат за </w:t>
      </w:r>
      <w:proofErr w:type="spellStart"/>
      <w:r w:rsidRPr="009231C3">
        <w:rPr>
          <w:rFonts w:eastAsia="Times New Roman" w:cs="Arial"/>
          <w:color w:val="000000"/>
          <w:lang w:val="en-US"/>
        </w:rPr>
        <w:t>Pgp</w:t>
      </w:r>
      <w:proofErr w:type="spellEnd"/>
      <w:r w:rsidRPr="009231C3">
        <w:rPr>
          <w:rFonts w:eastAsia="Times New Roman" w:cs="Arial"/>
          <w:color w:val="000000"/>
          <w:lang w:val="ru-RU"/>
        </w:rPr>
        <w:t xml:space="preserve"> </w:t>
      </w:r>
      <w:r w:rsidRPr="009231C3">
        <w:rPr>
          <w:rFonts w:eastAsia="Times New Roman" w:cs="Arial"/>
          <w:color w:val="000000"/>
          <w:lang w:eastAsia="bg-BG"/>
        </w:rPr>
        <w:t>(вж. точка 5.2).</w:t>
      </w:r>
    </w:p>
    <w:p w14:paraId="5F702FE2" w14:textId="77777777" w:rsidR="009231C3" w:rsidRPr="009231C3" w:rsidRDefault="009231C3" w:rsidP="009231C3">
      <w:pPr>
        <w:spacing w:line="240" w:lineRule="auto"/>
        <w:rPr>
          <w:rFonts w:eastAsia="Times New Roman" w:cs="Arial"/>
          <w:sz w:val="24"/>
          <w:szCs w:val="24"/>
        </w:rPr>
      </w:pPr>
    </w:p>
    <w:p w14:paraId="7D33D556" w14:textId="77777777" w:rsidR="009231C3" w:rsidRPr="009231C3" w:rsidRDefault="009231C3" w:rsidP="009231C3"/>
    <w:p w14:paraId="394A7584" w14:textId="663678F0" w:rsidR="004F498A" w:rsidRDefault="002C50EE" w:rsidP="004A448E">
      <w:pPr>
        <w:pStyle w:val="Heading2"/>
      </w:pPr>
      <w:r>
        <w:t>4.6. Фертилитет, бременност и кърмене</w:t>
      </w:r>
    </w:p>
    <w:p w14:paraId="52CA70F8" w14:textId="3B5CB582" w:rsidR="009231C3" w:rsidRDefault="009231C3" w:rsidP="009231C3"/>
    <w:p w14:paraId="45A8D303" w14:textId="77777777" w:rsidR="009231C3" w:rsidRPr="009231C3" w:rsidRDefault="009231C3" w:rsidP="009231C3">
      <w:pPr>
        <w:pStyle w:val="Heading3"/>
        <w:rPr>
          <w:rFonts w:eastAsia="Times New Roman"/>
          <w:u w:val="single"/>
        </w:rPr>
      </w:pPr>
      <w:r w:rsidRPr="009231C3">
        <w:rPr>
          <w:rFonts w:eastAsia="Times New Roman"/>
          <w:u w:val="single"/>
          <w:lang w:eastAsia="bg-BG"/>
        </w:rPr>
        <w:t>Жени с детероден потенциал</w:t>
      </w:r>
    </w:p>
    <w:p w14:paraId="78B3ECCF"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Не трябва да се започва лечение с амбрисентан при жени с детероден потенциал, освен ако резултатът от теста за бременност преди лечението е отрицателен и се използва надеждна контрацепция. По време на лечение с амбрисентан се препоръчва да се правят месечни тестове за бременност.</w:t>
      </w:r>
    </w:p>
    <w:p w14:paraId="329C1FAB" w14:textId="77777777" w:rsidR="009231C3" w:rsidRPr="009231C3" w:rsidRDefault="009231C3" w:rsidP="009231C3">
      <w:pPr>
        <w:spacing w:line="240" w:lineRule="auto"/>
        <w:rPr>
          <w:rFonts w:eastAsia="Times New Roman" w:cs="Arial"/>
          <w:color w:val="000000"/>
          <w:u w:val="single"/>
          <w:lang w:eastAsia="bg-BG"/>
        </w:rPr>
      </w:pPr>
    </w:p>
    <w:p w14:paraId="2990AF6C" w14:textId="5F0A8BA5" w:rsidR="009231C3" w:rsidRPr="009231C3" w:rsidRDefault="009231C3" w:rsidP="009231C3">
      <w:pPr>
        <w:pStyle w:val="Heading3"/>
        <w:rPr>
          <w:rFonts w:eastAsia="Times New Roman"/>
          <w:u w:val="single"/>
        </w:rPr>
      </w:pPr>
      <w:r w:rsidRPr="009231C3">
        <w:rPr>
          <w:rFonts w:eastAsia="Times New Roman"/>
          <w:u w:val="single"/>
          <w:lang w:eastAsia="bg-BG"/>
        </w:rPr>
        <w:t>Бременност</w:t>
      </w:r>
    </w:p>
    <w:p w14:paraId="2EA67D34"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Амбрисентан е противопоказан по време на бременност (вж. точка 4.3). Проучвания с животни показват, че амбрисентан е тератогенен. Няма опит при хора.</w:t>
      </w:r>
    </w:p>
    <w:p w14:paraId="441E0BDB"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lastRenderedPageBreak/>
        <w:t>Жени, приемащи амбрисентан, трябва да бъдат предупредени за риска от увреждане на фетуса, а ако настъпи бременност, трябва да се започне алтернативно лечение (вж. точки 4.3,4.4 и 5.3).</w:t>
      </w:r>
    </w:p>
    <w:p w14:paraId="4EC41919" w14:textId="77777777" w:rsidR="009231C3" w:rsidRPr="009231C3" w:rsidRDefault="009231C3" w:rsidP="009231C3">
      <w:pPr>
        <w:spacing w:line="240" w:lineRule="auto"/>
        <w:rPr>
          <w:rFonts w:eastAsia="Times New Roman" w:cs="Arial"/>
          <w:color w:val="000000"/>
          <w:u w:val="single"/>
          <w:lang w:eastAsia="bg-BG"/>
        </w:rPr>
      </w:pPr>
    </w:p>
    <w:p w14:paraId="4FB9B3D7" w14:textId="2A77BE16" w:rsidR="009231C3" w:rsidRPr="009231C3" w:rsidRDefault="009231C3" w:rsidP="009231C3">
      <w:pPr>
        <w:pStyle w:val="Heading3"/>
        <w:rPr>
          <w:rFonts w:eastAsia="Times New Roman"/>
          <w:u w:val="single"/>
        </w:rPr>
      </w:pPr>
      <w:r w:rsidRPr="009231C3">
        <w:rPr>
          <w:rFonts w:eastAsia="Times New Roman"/>
          <w:u w:val="single"/>
          <w:lang w:eastAsia="bg-BG"/>
        </w:rPr>
        <w:t>Кърмене</w:t>
      </w:r>
    </w:p>
    <w:p w14:paraId="2E5ECF73" w14:textId="77777777" w:rsidR="009231C3" w:rsidRPr="009231C3" w:rsidRDefault="009231C3" w:rsidP="009231C3">
      <w:pPr>
        <w:spacing w:line="240" w:lineRule="auto"/>
        <w:rPr>
          <w:rFonts w:eastAsia="Times New Roman" w:cs="Arial"/>
          <w:color w:val="000000"/>
          <w:lang w:eastAsia="bg-BG"/>
        </w:rPr>
      </w:pPr>
      <w:r w:rsidRPr="009231C3">
        <w:rPr>
          <w:rFonts w:eastAsia="Times New Roman" w:cs="Arial"/>
          <w:color w:val="000000"/>
          <w:lang w:eastAsia="bg-BG"/>
        </w:rPr>
        <w:t xml:space="preserve">Не е известно дали амбрисентан преминава в кърмата. Не е проучвана екскрецията на амбрисентан в млякото при животни. По тази причина кърменето е противопоказано при пациенти, приемащи </w:t>
      </w:r>
    </w:p>
    <w:p w14:paraId="22350C6F" w14:textId="5403BC62"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амбрисентан (вж. точка 4.3).</w:t>
      </w:r>
    </w:p>
    <w:p w14:paraId="402C7858" w14:textId="77777777" w:rsidR="009231C3" w:rsidRPr="009231C3" w:rsidRDefault="009231C3" w:rsidP="009231C3">
      <w:pPr>
        <w:spacing w:line="240" w:lineRule="auto"/>
        <w:rPr>
          <w:rFonts w:eastAsia="Times New Roman" w:cs="Arial"/>
          <w:color w:val="000000"/>
          <w:u w:val="single"/>
          <w:lang w:eastAsia="bg-BG"/>
        </w:rPr>
      </w:pPr>
    </w:p>
    <w:p w14:paraId="682AC32E" w14:textId="06492C13" w:rsidR="009231C3" w:rsidRPr="009231C3" w:rsidRDefault="009231C3" w:rsidP="009231C3">
      <w:pPr>
        <w:pStyle w:val="Heading3"/>
        <w:rPr>
          <w:rFonts w:eastAsia="Times New Roman"/>
          <w:u w:val="single"/>
        </w:rPr>
      </w:pPr>
      <w:r w:rsidRPr="009231C3">
        <w:rPr>
          <w:rFonts w:eastAsia="Times New Roman"/>
          <w:u w:val="single"/>
          <w:lang w:eastAsia="bg-BG"/>
        </w:rPr>
        <w:t>Фертилитет при мъжете</w:t>
      </w:r>
    </w:p>
    <w:p w14:paraId="4B8EB924"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Развитието на тубулна атрофия на тестисите при животни от мъжки пол е свързано с продължително прилагане на ЕРА, включително амбрисентан (вж. точка 5.3). Въпреки че при проучването </w:t>
      </w:r>
      <w:r w:rsidRPr="009231C3">
        <w:rPr>
          <w:rFonts w:eastAsia="Times New Roman" w:cs="Arial"/>
          <w:color w:val="000000"/>
          <w:lang w:val="en-US"/>
        </w:rPr>
        <w:t>ARIES</w:t>
      </w:r>
      <w:r w:rsidRPr="009231C3">
        <w:rPr>
          <w:rFonts w:eastAsia="Times New Roman" w:cs="Arial"/>
          <w:color w:val="000000"/>
          <w:lang w:val="ru-RU"/>
        </w:rPr>
        <w:t>-</w:t>
      </w:r>
      <w:r w:rsidRPr="009231C3">
        <w:rPr>
          <w:rFonts w:eastAsia="Times New Roman" w:cs="Arial"/>
          <w:color w:val="000000"/>
          <w:lang w:val="en-US"/>
        </w:rPr>
        <w:t>E</w:t>
      </w:r>
      <w:r w:rsidRPr="009231C3">
        <w:rPr>
          <w:rFonts w:eastAsia="Times New Roman" w:cs="Arial"/>
          <w:color w:val="000000"/>
          <w:lang w:val="ru-RU"/>
        </w:rPr>
        <w:t xml:space="preserve">, </w:t>
      </w:r>
      <w:r w:rsidRPr="009231C3">
        <w:rPr>
          <w:rFonts w:eastAsia="Times New Roman" w:cs="Arial"/>
          <w:color w:val="000000"/>
          <w:lang w:eastAsia="bg-BG"/>
        </w:rPr>
        <w:t>не са открити ясни доказателства за вреден ефект от дълготрайна експозиция на амбрисентан върху на броя на сперматозоидите, продължителното приоложение на амбрисентан е свързано с промени в маркерите на сперматогенезата. Наблюдавано е</w:t>
      </w:r>
    </w:p>
    <w:p w14:paraId="3900FED0" w14:textId="77777777" w:rsidR="009231C3" w:rsidRPr="009231C3" w:rsidRDefault="009231C3" w:rsidP="009231C3">
      <w:pPr>
        <w:rPr>
          <w:rFonts w:ascii="Times New Roman" w:eastAsia="Times New Roman" w:hAnsi="Times New Roman" w:cs="Times New Roman"/>
          <w:sz w:val="24"/>
          <w:szCs w:val="24"/>
        </w:rPr>
      </w:pPr>
      <w:r w:rsidRPr="009231C3">
        <w:rPr>
          <w:rFonts w:eastAsia="Times New Roman" w:cs="Arial"/>
          <w:color w:val="000000"/>
          <w:lang w:eastAsia="bg-BG"/>
        </w:rPr>
        <w:t xml:space="preserve">понижаване на плазмената концентрация на инхибин-В и повишаване на плазмената концентрация на </w:t>
      </w:r>
      <w:r w:rsidRPr="009231C3">
        <w:rPr>
          <w:rFonts w:eastAsia="Times New Roman" w:cs="Arial"/>
          <w:color w:val="000000"/>
          <w:lang w:val="en-US"/>
        </w:rPr>
        <w:t>FSH</w:t>
      </w:r>
      <w:r w:rsidRPr="009231C3">
        <w:rPr>
          <w:rFonts w:eastAsia="Times New Roman" w:cs="Arial"/>
          <w:color w:val="000000"/>
          <w:lang w:val="ru-RU"/>
        </w:rPr>
        <w:t xml:space="preserve">. </w:t>
      </w:r>
      <w:r w:rsidRPr="009231C3">
        <w:rPr>
          <w:rFonts w:eastAsia="Times New Roman" w:cs="Arial"/>
          <w:color w:val="000000"/>
          <w:lang w:eastAsia="bg-BG"/>
        </w:rPr>
        <w:t>Ефектът върху фертилитета при мъже не е установен, но не може да се изключи влошаване на сперматогенезата. В клинични проучвания продължителното прилагане на амбрисентан не се свързва с промяна в плазмения тестостерон.</w:t>
      </w:r>
    </w:p>
    <w:p w14:paraId="6EAC06C7" w14:textId="05119E97" w:rsidR="009231C3" w:rsidRPr="009231C3" w:rsidRDefault="009231C3" w:rsidP="009231C3"/>
    <w:p w14:paraId="064DF1DE" w14:textId="30D575A6" w:rsidR="00CF77F7" w:rsidRDefault="002C50EE" w:rsidP="004A448E">
      <w:pPr>
        <w:pStyle w:val="Heading2"/>
      </w:pPr>
      <w:r>
        <w:t>4.7. Ефекти върху способността за шофиране и работа с машини</w:t>
      </w:r>
    </w:p>
    <w:p w14:paraId="080F41AB" w14:textId="4C56EC5D" w:rsidR="009231C3" w:rsidRDefault="009231C3" w:rsidP="009231C3"/>
    <w:p w14:paraId="1D4386D6" w14:textId="77777777" w:rsidR="009231C3" w:rsidRPr="009231C3" w:rsidRDefault="009231C3" w:rsidP="009231C3">
      <w:pPr>
        <w:rPr>
          <w:sz w:val="24"/>
          <w:szCs w:val="24"/>
        </w:rPr>
      </w:pPr>
      <w:r w:rsidRPr="009231C3">
        <w:rPr>
          <w:lang w:eastAsia="bg-BG"/>
        </w:rPr>
        <w:t>Амбрисентан има слабо или умерено влияние върху способността за шофиране и работа с машини. При оценка на способността на пациента за извършване на дейности, които изискват преценка, двигателни или когнитивни способности (вж. точка 4.8), трябва да се имат предвид клиничния статус на пациента и профилът на нежелани реакции на амбрисентан (като хипотония, замаяност, астения, умора). Преди шофиране или работа с машини пациентите трябва да са наясно за това как могат да бъдат повлияни от амбрисентан.</w:t>
      </w:r>
    </w:p>
    <w:p w14:paraId="3DB68690" w14:textId="77777777" w:rsidR="009231C3" w:rsidRPr="009231C3" w:rsidRDefault="009231C3" w:rsidP="009231C3"/>
    <w:p w14:paraId="37A3FD9F" w14:textId="42988F51" w:rsidR="00CF77F7" w:rsidRDefault="002C50EE" w:rsidP="004A448E">
      <w:pPr>
        <w:pStyle w:val="Heading2"/>
      </w:pPr>
      <w:r>
        <w:t>4.8. Нежелани лекарствени реакции</w:t>
      </w:r>
    </w:p>
    <w:p w14:paraId="71BEEC84" w14:textId="448478D7" w:rsidR="009231C3" w:rsidRDefault="009231C3" w:rsidP="009231C3"/>
    <w:p w14:paraId="541689F6"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Резюме на профила на безопасност</w:t>
      </w:r>
    </w:p>
    <w:p w14:paraId="7FB780A0"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 xml:space="preserve">Безопасността на амбрисентан е оценена като монотерапия и/или в комбинация в клинични проучвания при повече от 1 200 пациенти с БАХ (вж. точка 5.1). Нежеланите реакции, установени от данни от 12-седмично плацебо контролирано клинично проучване, са включени по-долу според системо-органна класификация и честота. По-долу е включена също информация от дългосрочни неконтролирани с плацебо проучвания </w:t>
      </w:r>
      <w:r w:rsidRPr="009231C3">
        <w:rPr>
          <w:rFonts w:eastAsia="Times New Roman" w:cs="Arial"/>
          <w:color w:val="000000"/>
          <w:lang w:val="ru-RU"/>
        </w:rPr>
        <w:t>(</w:t>
      </w:r>
      <w:r w:rsidRPr="009231C3">
        <w:rPr>
          <w:rFonts w:eastAsia="Times New Roman" w:cs="Arial"/>
          <w:color w:val="000000"/>
          <w:lang w:val="en-US"/>
        </w:rPr>
        <w:t>ARIES</w:t>
      </w:r>
      <w:r w:rsidRPr="009231C3">
        <w:rPr>
          <w:rFonts w:eastAsia="Times New Roman" w:cs="Arial"/>
          <w:color w:val="000000"/>
          <w:lang w:val="ru-RU"/>
        </w:rPr>
        <w:t>-</w:t>
      </w:r>
      <w:r w:rsidRPr="009231C3">
        <w:rPr>
          <w:rFonts w:eastAsia="Times New Roman" w:cs="Arial"/>
          <w:color w:val="000000"/>
          <w:lang w:val="en-US"/>
        </w:rPr>
        <w:t>E</w:t>
      </w:r>
      <w:r w:rsidRPr="009231C3">
        <w:rPr>
          <w:rFonts w:eastAsia="Times New Roman" w:cs="Arial"/>
          <w:color w:val="000000"/>
          <w:lang w:val="ru-RU"/>
        </w:rPr>
        <w:t xml:space="preserve"> </w:t>
      </w:r>
      <w:r w:rsidRPr="009231C3">
        <w:rPr>
          <w:rFonts w:eastAsia="Times New Roman" w:cs="Arial"/>
          <w:color w:val="000000"/>
          <w:lang w:eastAsia="bg-BG"/>
        </w:rPr>
        <w:t xml:space="preserve">и </w:t>
      </w:r>
      <w:r w:rsidRPr="009231C3">
        <w:rPr>
          <w:rFonts w:eastAsia="Times New Roman" w:cs="Arial"/>
          <w:color w:val="000000"/>
          <w:lang w:val="en-US"/>
        </w:rPr>
        <w:t>AMBITION</w:t>
      </w:r>
      <w:r w:rsidRPr="009231C3">
        <w:rPr>
          <w:rFonts w:eastAsia="Times New Roman" w:cs="Arial"/>
          <w:color w:val="000000"/>
          <w:lang w:val="ru-RU"/>
        </w:rPr>
        <w:t xml:space="preserve"> </w:t>
      </w:r>
      <w:r w:rsidRPr="009231C3">
        <w:rPr>
          <w:rFonts w:eastAsia="Times New Roman" w:cs="Arial"/>
          <w:color w:val="000000"/>
          <w:lang w:eastAsia="bg-BG"/>
        </w:rPr>
        <w:t>(комбинация с тадалафил)). При дългосрочно лечение или при амбрисентан в комбинация с тадалафил не са установени нежелани реакции, които преди това не са били известни. При по- продължително наблюдение в неконтролирани проучвания (средна продължителност на наблюдение 79 седмици), профилът на безопасност е подобен на този, наблюдаван в краткосрочни проучвания. Представени са също и рутинни данни за лекарствената безопасност.</w:t>
      </w:r>
    </w:p>
    <w:p w14:paraId="447AA96B" w14:textId="77777777" w:rsidR="009231C3" w:rsidRDefault="009231C3" w:rsidP="009231C3">
      <w:pPr>
        <w:spacing w:line="240" w:lineRule="auto"/>
        <w:rPr>
          <w:rFonts w:eastAsia="Times New Roman" w:cs="Arial"/>
          <w:color w:val="000000"/>
          <w:lang w:eastAsia="bg-BG"/>
        </w:rPr>
      </w:pPr>
    </w:p>
    <w:p w14:paraId="3DCE674C" w14:textId="432A2FDA"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lastRenderedPageBreak/>
        <w:t xml:space="preserve">Най-честите нежелани реакции, наблюдавани при лечение с амбрисентан са периферен оток, задържане на течности и главоболие (включително синусово главоболие, мигрена). При краткосрочни проучвания по-високата доза (10 </w:t>
      </w:r>
      <w:r w:rsidRPr="009231C3">
        <w:rPr>
          <w:rFonts w:eastAsia="Times New Roman" w:cs="Arial"/>
          <w:color w:val="000000"/>
          <w:lang w:val="en-US"/>
        </w:rPr>
        <w:t>mg</w:t>
      </w:r>
      <w:r w:rsidRPr="009231C3">
        <w:rPr>
          <w:rFonts w:eastAsia="Times New Roman" w:cs="Arial"/>
          <w:color w:val="000000"/>
          <w:lang w:val="ru-RU"/>
        </w:rPr>
        <w:t xml:space="preserve">) </w:t>
      </w:r>
      <w:r w:rsidRPr="009231C3">
        <w:rPr>
          <w:rFonts w:eastAsia="Times New Roman" w:cs="Arial"/>
          <w:color w:val="000000"/>
          <w:lang w:eastAsia="bg-BG"/>
        </w:rPr>
        <w:t>е свързана с по-висока честота на тези нежелани реакции, а периферният оток е по-тежък при пациенти &gt; 65 години (вж. точка 4.4).</w:t>
      </w:r>
    </w:p>
    <w:p w14:paraId="1FD4D633" w14:textId="77777777" w:rsidR="009231C3" w:rsidRDefault="009231C3" w:rsidP="009231C3">
      <w:pPr>
        <w:spacing w:line="240" w:lineRule="auto"/>
        <w:rPr>
          <w:rFonts w:eastAsia="Times New Roman" w:cs="Arial"/>
          <w:color w:val="000000"/>
          <w:u w:val="single"/>
          <w:lang w:eastAsia="bg-BG"/>
        </w:rPr>
      </w:pPr>
    </w:p>
    <w:p w14:paraId="325D9B1D" w14:textId="619B59E7" w:rsidR="009231C3" w:rsidRPr="009231C3" w:rsidRDefault="009231C3" w:rsidP="009231C3">
      <w:pPr>
        <w:spacing w:line="240" w:lineRule="auto"/>
        <w:rPr>
          <w:rFonts w:eastAsia="Times New Roman" w:cs="Arial"/>
          <w:sz w:val="24"/>
          <w:szCs w:val="24"/>
        </w:rPr>
      </w:pPr>
      <w:r w:rsidRPr="009231C3">
        <w:rPr>
          <w:rFonts w:eastAsia="Times New Roman" w:cs="Arial"/>
          <w:color w:val="000000"/>
          <w:u w:val="single"/>
          <w:lang w:eastAsia="bg-BG"/>
        </w:rPr>
        <w:t>Списък на нежеланите реакции в табличен вил</w:t>
      </w:r>
    </w:p>
    <w:p w14:paraId="4C146C78" w14:textId="77777777" w:rsidR="009231C3" w:rsidRPr="009231C3" w:rsidRDefault="009231C3" w:rsidP="009231C3">
      <w:pPr>
        <w:spacing w:line="240" w:lineRule="auto"/>
        <w:rPr>
          <w:rFonts w:eastAsia="Times New Roman" w:cs="Arial"/>
          <w:sz w:val="24"/>
          <w:szCs w:val="24"/>
        </w:rPr>
      </w:pPr>
      <w:r w:rsidRPr="009231C3">
        <w:rPr>
          <w:rFonts w:eastAsia="Times New Roman" w:cs="Arial"/>
          <w:color w:val="000000"/>
          <w:lang w:eastAsia="bg-BG"/>
        </w:rPr>
        <w:t>Честотите се дефинират като: много чести (≥ 1/10), чести (≥1/100 до &lt; 1/10), нечести (≥1/1 000 до &lt; 1/100), редки (≥1/10 000 до &lt; 1/1 000), много редки (&lt; 1/10 000) и с неизвестна честота (от наличните данни не може да бъде направена оценка). За дозо-свързаните нежелани реакции категорията по честота отразява по-високата доза амбрисентан. Категориите по честота не отчитат други фактори, включително променлива продължителност на проучването, съществуващи болестни състояния и характеристиките на пациента на изходно ниво. Определените категории по честота на нежеланите реакции, основани на опит от клинични проучвания, може да не отразяват честотата на нежелани събития, настъпващи по време на нормална клинична практика. При всяко групиране в зависимост от честотата нежеланите реакции се изброяват в низходящ ред по отношение на тяхната сериозност.</w:t>
      </w:r>
    </w:p>
    <w:p w14:paraId="291CB7BC" w14:textId="064BF3A2" w:rsidR="009231C3" w:rsidRDefault="009231C3" w:rsidP="009231C3"/>
    <w:tbl>
      <w:tblPr>
        <w:tblStyle w:val="TableGrid"/>
        <w:tblW w:w="0" w:type="auto"/>
        <w:tblLook w:val="04A0" w:firstRow="1" w:lastRow="0" w:firstColumn="1" w:lastColumn="0" w:noHBand="0" w:noVBand="1"/>
      </w:tblPr>
      <w:tblGrid>
        <w:gridCol w:w="2411"/>
        <w:gridCol w:w="2381"/>
        <w:gridCol w:w="2288"/>
        <w:gridCol w:w="2270"/>
      </w:tblGrid>
      <w:tr w:rsidR="009231C3" w14:paraId="7C2109D2" w14:textId="77777777" w:rsidTr="009231C3">
        <w:tc>
          <w:tcPr>
            <w:tcW w:w="2411" w:type="dxa"/>
          </w:tcPr>
          <w:p w14:paraId="561BEAC7" w14:textId="77777777" w:rsidR="009231C3" w:rsidRDefault="009231C3" w:rsidP="009231C3"/>
        </w:tc>
        <w:tc>
          <w:tcPr>
            <w:tcW w:w="2393" w:type="dxa"/>
            <w:vAlign w:val="bottom"/>
          </w:tcPr>
          <w:p w14:paraId="74134F14" w14:textId="77777777" w:rsidR="009231C3" w:rsidRDefault="009231C3" w:rsidP="009231C3">
            <w:r>
              <w:rPr>
                <w:b/>
                <w:bCs/>
              </w:rPr>
              <w:t>Амбрисентан</w:t>
            </w:r>
          </w:p>
          <w:p w14:paraId="080AC2AB" w14:textId="23CD99D2" w:rsidR="009231C3" w:rsidRDefault="009231C3" w:rsidP="009231C3">
            <w:r w:rsidRPr="009231C3">
              <w:rPr>
                <w:b/>
                <w:bCs/>
                <w:lang w:val="ru-RU"/>
              </w:rPr>
              <w:t>(</w:t>
            </w:r>
            <w:r>
              <w:rPr>
                <w:b/>
                <w:bCs/>
                <w:lang w:val="en-US"/>
              </w:rPr>
              <w:t>ARIES</w:t>
            </w:r>
            <w:r>
              <w:rPr>
                <w:b/>
                <w:bCs/>
              </w:rPr>
              <w:t>-С и постмаркетингово)</w:t>
            </w:r>
          </w:p>
        </w:tc>
        <w:tc>
          <w:tcPr>
            <w:tcW w:w="2387" w:type="dxa"/>
            <w:vAlign w:val="bottom"/>
          </w:tcPr>
          <w:p w14:paraId="2192C1F7" w14:textId="77777777" w:rsidR="009231C3" w:rsidRDefault="009231C3" w:rsidP="009231C3">
            <w:r>
              <w:rPr>
                <w:b/>
                <w:bCs/>
              </w:rPr>
              <w:t>Амбрисентан</w:t>
            </w:r>
          </w:p>
          <w:p w14:paraId="1FDABC97" w14:textId="1627EECF" w:rsidR="009231C3" w:rsidRDefault="009231C3" w:rsidP="009231C3">
            <w:r>
              <w:rPr>
                <w:b/>
                <w:bCs/>
                <w:lang w:val="en-US"/>
              </w:rPr>
              <w:t xml:space="preserve">(AMBITION </w:t>
            </w:r>
            <w:r>
              <w:rPr>
                <w:b/>
                <w:bCs/>
              </w:rPr>
              <w:t xml:space="preserve">н </w:t>
            </w:r>
            <w:r>
              <w:rPr>
                <w:b/>
                <w:bCs/>
                <w:lang w:val="en-US"/>
              </w:rPr>
              <w:t>ARIES-E)</w:t>
            </w:r>
          </w:p>
        </w:tc>
        <w:tc>
          <w:tcPr>
            <w:tcW w:w="2385" w:type="dxa"/>
            <w:vAlign w:val="bottom"/>
          </w:tcPr>
          <w:p w14:paraId="15013905" w14:textId="77777777" w:rsidR="009231C3" w:rsidRDefault="009231C3" w:rsidP="009231C3">
            <w:r>
              <w:rPr>
                <w:b/>
                <w:bCs/>
              </w:rPr>
              <w:t>Комбинация с тадалафил</w:t>
            </w:r>
          </w:p>
          <w:p w14:paraId="2581B59D" w14:textId="6AF522AC" w:rsidR="009231C3" w:rsidRDefault="009231C3" w:rsidP="009231C3">
            <w:r>
              <w:rPr>
                <w:b/>
                <w:bCs/>
                <w:lang w:val="en-US"/>
              </w:rPr>
              <w:t>(AMBITION)</w:t>
            </w:r>
          </w:p>
        </w:tc>
      </w:tr>
      <w:tr w:rsidR="009231C3" w14:paraId="3E3B3CB1" w14:textId="77777777" w:rsidTr="0057749E">
        <w:tc>
          <w:tcPr>
            <w:tcW w:w="9576" w:type="dxa"/>
            <w:gridSpan w:val="4"/>
          </w:tcPr>
          <w:p w14:paraId="169A7305" w14:textId="458AF50C" w:rsidR="009231C3" w:rsidRPr="009231C3" w:rsidRDefault="009231C3" w:rsidP="009231C3">
            <w:pPr>
              <w:rPr>
                <w:i/>
              </w:rPr>
            </w:pPr>
            <w:r w:rsidRPr="009231C3">
              <w:rPr>
                <w:i/>
                <w:lang w:eastAsia="bg-BG"/>
              </w:rPr>
              <w:t>Нарушения на кръвта и лимфната система</w:t>
            </w:r>
          </w:p>
        </w:tc>
      </w:tr>
      <w:tr w:rsidR="009231C3" w14:paraId="317B99A2" w14:textId="77777777" w:rsidTr="009231C3">
        <w:tc>
          <w:tcPr>
            <w:tcW w:w="2411" w:type="dxa"/>
            <w:vAlign w:val="bottom"/>
          </w:tcPr>
          <w:p w14:paraId="01941CC9" w14:textId="42D11867" w:rsidR="009231C3" w:rsidRDefault="009231C3" w:rsidP="009231C3">
            <w:r>
              <w:t>Анемия (понижен хемоглобин, понижен хематокрит)</w:t>
            </w:r>
          </w:p>
        </w:tc>
        <w:tc>
          <w:tcPr>
            <w:tcW w:w="2393" w:type="dxa"/>
          </w:tcPr>
          <w:p w14:paraId="2A20ED43" w14:textId="6AA1F365" w:rsidR="009231C3" w:rsidRDefault="009231C3" w:rsidP="009231C3">
            <w:r>
              <w:t>Чести</w:t>
            </w:r>
            <w:r>
              <w:rPr>
                <w:vertAlign w:val="superscript"/>
              </w:rPr>
              <w:t>1</w:t>
            </w:r>
          </w:p>
        </w:tc>
        <w:tc>
          <w:tcPr>
            <w:tcW w:w="2387" w:type="dxa"/>
          </w:tcPr>
          <w:p w14:paraId="4C3AFD8E" w14:textId="62034A92" w:rsidR="009231C3" w:rsidRDefault="009231C3" w:rsidP="009231C3">
            <w:r>
              <w:t>Много чести</w:t>
            </w:r>
          </w:p>
        </w:tc>
        <w:tc>
          <w:tcPr>
            <w:tcW w:w="2385" w:type="dxa"/>
          </w:tcPr>
          <w:p w14:paraId="0E1E0A3E" w14:textId="3350BDEC" w:rsidR="009231C3" w:rsidRDefault="009231C3" w:rsidP="009231C3">
            <w:r>
              <w:t>Много чести</w:t>
            </w:r>
          </w:p>
        </w:tc>
      </w:tr>
      <w:tr w:rsidR="009231C3" w14:paraId="2C5ADDF5" w14:textId="77777777" w:rsidTr="0057749E">
        <w:tc>
          <w:tcPr>
            <w:tcW w:w="9576" w:type="dxa"/>
            <w:gridSpan w:val="4"/>
          </w:tcPr>
          <w:p w14:paraId="103A6C56" w14:textId="77777777" w:rsidR="009231C3" w:rsidRDefault="009231C3" w:rsidP="009231C3"/>
        </w:tc>
      </w:tr>
      <w:tr w:rsidR="009231C3" w14:paraId="7D2B5D50" w14:textId="77777777" w:rsidTr="0057749E">
        <w:tc>
          <w:tcPr>
            <w:tcW w:w="9576" w:type="dxa"/>
            <w:gridSpan w:val="4"/>
          </w:tcPr>
          <w:p w14:paraId="36809044" w14:textId="6EDDC2A9" w:rsidR="009231C3" w:rsidRPr="009231C3" w:rsidRDefault="009231C3" w:rsidP="009231C3">
            <w:pPr>
              <w:rPr>
                <w:i/>
              </w:rPr>
            </w:pPr>
            <w:r w:rsidRPr="009231C3">
              <w:rPr>
                <w:i/>
                <w:lang w:eastAsia="bg-BG"/>
              </w:rPr>
              <w:t>Нарушения на имунната система</w:t>
            </w:r>
          </w:p>
        </w:tc>
      </w:tr>
      <w:tr w:rsidR="009231C3" w14:paraId="648AD76D" w14:textId="77777777" w:rsidTr="009231C3">
        <w:tc>
          <w:tcPr>
            <w:tcW w:w="2411" w:type="dxa"/>
            <w:vAlign w:val="bottom"/>
          </w:tcPr>
          <w:p w14:paraId="03A7B363" w14:textId="72BC6566" w:rsidR="009231C3" w:rsidRDefault="009231C3" w:rsidP="009231C3">
            <w:r>
              <w:t>Реакции на свръхчувствителност (напр. ангиоедем, обрив, сърбеж)</w:t>
            </w:r>
          </w:p>
        </w:tc>
        <w:tc>
          <w:tcPr>
            <w:tcW w:w="2393" w:type="dxa"/>
          </w:tcPr>
          <w:p w14:paraId="5399910A" w14:textId="408AFF0D" w:rsidR="009231C3" w:rsidRDefault="009231C3" w:rsidP="009231C3">
            <w:r>
              <w:t>Нечести</w:t>
            </w:r>
          </w:p>
        </w:tc>
        <w:tc>
          <w:tcPr>
            <w:tcW w:w="2387" w:type="dxa"/>
          </w:tcPr>
          <w:p w14:paraId="455E0FB0" w14:textId="2F677F73" w:rsidR="009231C3" w:rsidRDefault="009231C3" w:rsidP="009231C3">
            <w:r>
              <w:t>Чести</w:t>
            </w:r>
          </w:p>
        </w:tc>
        <w:tc>
          <w:tcPr>
            <w:tcW w:w="2385" w:type="dxa"/>
          </w:tcPr>
          <w:p w14:paraId="448CB1B9" w14:textId="30911D92" w:rsidR="009231C3" w:rsidRDefault="009231C3" w:rsidP="009231C3">
            <w:r>
              <w:t>Чести</w:t>
            </w:r>
          </w:p>
        </w:tc>
      </w:tr>
      <w:tr w:rsidR="009231C3" w14:paraId="3CAE21E0" w14:textId="77777777" w:rsidTr="0057749E">
        <w:tc>
          <w:tcPr>
            <w:tcW w:w="9576" w:type="dxa"/>
            <w:gridSpan w:val="4"/>
          </w:tcPr>
          <w:p w14:paraId="43194D0F" w14:textId="77777777" w:rsidR="009231C3" w:rsidRDefault="009231C3" w:rsidP="009231C3"/>
        </w:tc>
      </w:tr>
      <w:tr w:rsidR="009231C3" w14:paraId="599A01F1" w14:textId="77777777" w:rsidTr="0057749E">
        <w:tc>
          <w:tcPr>
            <w:tcW w:w="9576" w:type="dxa"/>
            <w:gridSpan w:val="4"/>
          </w:tcPr>
          <w:p w14:paraId="74BEDFBB" w14:textId="39B4CA35" w:rsidR="009231C3" w:rsidRPr="009231C3" w:rsidRDefault="009231C3" w:rsidP="009231C3">
            <w:pPr>
              <w:rPr>
                <w:i/>
              </w:rPr>
            </w:pPr>
            <w:r w:rsidRPr="009231C3">
              <w:rPr>
                <w:i/>
                <w:lang w:eastAsia="bg-BG"/>
              </w:rPr>
              <w:t>Нарушения на нервната система</w:t>
            </w:r>
          </w:p>
        </w:tc>
      </w:tr>
      <w:tr w:rsidR="009231C3" w14:paraId="68BDDEC1" w14:textId="77777777" w:rsidTr="0057749E">
        <w:tc>
          <w:tcPr>
            <w:tcW w:w="2411" w:type="dxa"/>
            <w:vAlign w:val="bottom"/>
          </w:tcPr>
          <w:p w14:paraId="19C2FDF2" w14:textId="77777777" w:rsidR="009231C3" w:rsidRDefault="009231C3" w:rsidP="009231C3">
            <w:r>
              <w:t>Главоболие (включително</w:t>
            </w:r>
          </w:p>
          <w:p w14:paraId="044961E2" w14:textId="6894E868" w:rsidR="009231C3" w:rsidRDefault="009231C3" w:rsidP="009231C3">
            <w:r>
              <w:t>синусово главоболие, мигрена)</w:t>
            </w:r>
          </w:p>
        </w:tc>
        <w:tc>
          <w:tcPr>
            <w:tcW w:w="2393" w:type="dxa"/>
          </w:tcPr>
          <w:p w14:paraId="0E3CBABA" w14:textId="33A4C02A" w:rsidR="009231C3" w:rsidRDefault="009231C3" w:rsidP="009231C3">
            <w:r>
              <w:t>Много чести</w:t>
            </w:r>
            <w:r>
              <w:rPr>
                <w:vertAlign w:val="superscript"/>
              </w:rPr>
              <w:t>2</w:t>
            </w:r>
          </w:p>
        </w:tc>
        <w:tc>
          <w:tcPr>
            <w:tcW w:w="2387" w:type="dxa"/>
          </w:tcPr>
          <w:p w14:paraId="4AD417B5" w14:textId="526CD1B1" w:rsidR="009231C3" w:rsidRDefault="009231C3" w:rsidP="009231C3">
            <w:r>
              <w:t>Много чести</w:t>
            </w:r>
          </w:p>
        </w:tc>
        <w:tc>
          <w:tcPr>
            <w:tcW w:w="2385" w:type="dxa"/>
          </w:tcPr>
          <w:p w14:paraId="459E660D" w14:textId="33B54340" w:rsidR="009231C3" w:rsidRDefault="009231C3" w:rsidP="009231C3">
            <w:r>
              <w:t>Много чести</w:t>
            </w:r>
          </w:p>
        </w:tc>
      </w:tr>
      <w:tr w:rsidR="009231C3" w14:paraId="35DFAF14" w14:textId="77777777" w:rsidTr="009231C3">
        <w:tc>
          <w:tcPr>
            <w:tcW w:w="2411" w:type="dxa"/>
          </w:tcPr>
          <w:p w14:paraId="571790BE" w14:textId="4BE1C0D2" w:rsidR="009231C3" w:rsidRDefault="009231C3" w:rsidP="009231C3">
            <w:r>
              <w:t>Замаяност</w:t>
            </w:r>
          </w:p>
        </w:tc>
        <w:tc>
          <w:tcPr>
            <w:tcW w:w="2393" w:type="dxa"/>
          </w:tcPr>
          <w:p w14:paraId="3E18A1D0" w14:textId="2EAF1893" w:rsidR="009231C3" w:rsidRDefault="009231C3" w:rsidP="009231C3">
            <w:r>
              <w:t>Чести</w:t>
            </w:r>
            <w:r>
              <w:rPr>
                <w:vertAlign w:val="superscript"/>
              </w:rPr>
              <w:t>3</w:t>
            </w:r>
          </w:p>
        </w:tc>
        <w:tc>
          <w:tcPr>
            <w:tcW w:w="2387" w:type="dxa"/>
          </w:tcPr>
          <w:p w14:paraId="52048BC4" w14:textId="0E4E828B" w:rsidR="009231C3" w:rsidRDefault="009231C3" w:rsidP="009231C3">
            <w:r>
              <w:t>Много чести</w:t>
            </w:r>
          </w:p>
        </w:tc>
        <w:tc>
          <w:tcPr>
            <w:tcW w:w="2385" w:type="dxa"/>
          </w:tcPr>
          <w:p w14:paraId="1372CAED" w14:textId="74F2B861" w:rsidR="009231C3" w:rsidRDefault="009231C3" w:rsidP="009231C3">
            <w:r>
              <w:t>Много чести</w:t>
            </w:r>
          </w:p>
        </w:tc>
      </w:tr>
      <w:tr w:rsidR="009231C3" w14:paraId="51B4183E" w14:textId="77777777" w:rsidTr="0057749E">
        <w:tc>
          <w:tcPr>
            <w:tcW w:w="9576" w:type="dxa"/>
            <w:gridSpan w:val="4"/>
          </w:tcPr>
          <w:p w14:paraId="44DC479C" w14:textId="77777777" w:rsidR="009231C3" w:rsidRDefault="009231C3" w:rsidP="009231C3"/>
        </w:tc>
      </w:tr>
      <w:tr w:rsidR="009231C3" w14:paraId="6AF899F7" w14:textId="77777777" w:rsidTr="0057749E">
        <w:tc>
          <w:tcPr>
            <w:tcW w:w="9576" w:type="dxa"/>
            <w:gridSpan w:val="4"/>
          </w:tcPr>
          <w:p w14:paraId="7576D5E5" w14:textId="0ACDEB0A" w:rsidR="009231C3" w:rsidRPr="009231C3" w:rsidRDefault="009231C3" w:rsidP="009231C3">
            <w:pPr>
              <w:rPr>
                <w:i/>
              </w:rPr>
            </w:pPr>
            <w:r w:rsidRPr="009231C3">
              <w:rPr>
                <w:i/>
              </w:rPr>
              <w:t>Нарушения на очите</w:t>
            </w:r>
          </w:p>
        </w:tc>
      </w:tr>
      <w:tr w:rsidR="009231C3" w14:paraId="45F53C95" w14:textId="77777777" w:rsidTr="0057749E">
        <w:tc>
          <w:tcPr>
            <w:tcW w:w="2411" w:type="dxa"/>
            <w:vAlign w:val="bottom"/>
          </w:tcPr>
          <w:p w14:paraId="5E378899" w14:textId="291D11B5" w:rsidR="009231C3" w:rsidRDefault="009231C3" w:rsidP="009231C3">
            <w:r>
              <w:t>Замъглено зрение, зрително увреждане</w:t>
            </w:r>
          </w:p>
        </w:tc>
        <w:tc>
          <w:tcPr>
            <w:tcW w:w="2393" w:type="dxa"/>
            <w:vAlign w:val="bottom"/>
          </w:tcPr>
          <w:p w14:paraId="138036C4" w14:textId="5B3D07A5" w:rsidR="009231C3" w:rsidRDefault="009231C3" w:rsidP="009231C3">
            <w:r>
              <w:t>С неизвестна честота</w:t>
            </w:r>
            <w:r>
              <w:rPr>
                <w:vertAlign w:val="superscript"/>
              </w:rPr>
              <w:t>4</w:t>
            </w:r>
          </w:p>
        </w:tc>
        <w:tc>
          <w:tcPr>
            <w:tcW w:w="2387" w:type="dxa"/>
          </w:tcPr>
          <w:p w14:paraId="38C1C73C" w14:textId="4F5B3C4D" w:rsidR="009231C3" w:rsidRDefault="009231C3" w:rsidP="009231C3">
            <w:r>
              <w:t>Чести</w:t>
            </w:r>
          </w:p>
        </w:tc>
        <w:tc>
          <w:tcPr>
            <w:tcW w:w="2385" w:type="dxa"/>
          </w:tcPr>
          <w:p w14:paraId="7D050DF4" w14:textId="7A253D5F" w:rsidR="009231C3" w:rsidRDefault="009231C3" w:rsidP="009231C3">
            <w:r>
              <w:t>Чести</w:t>
            </w:r>
          </w:p>
        </w:tc>
      </w:tr>
      <w:tr w:rsidR="009231C3" w14:paraId="279911ED" w14:textId="77777777" w:rsidTr="009231C3">
        <w:tc>
          <w:tcPr>
            <w:tcW w:w="2411" w:type="dxa"/>
          </w:tcPr>
          <w:p w14:paraId="6C21EC2E" w14:textId="77777777" w:rsidR="009231C3" w:rsidRDefault="009231C3" w:rsidP="009231C3"/>
        </w:tc>
        <w:tc>
          <w:tcPr>
            <w:tcW w:w="2393" w:type="dxa"/>
          </w:tcPr>
          <w:p w14:paraId="6C6E888F" w14:textId="77777777" w:rsidR="009231C3" w:rsidRDefault="009231C3" w:rsidP="009231C3"/>
        </w:tc>
        <w:tc>
          <w:tcPr>
            <w:tcW w:w="2387" w:type="dxa"/>
          </w:tcPr>
          <w:p w14:paraId="6779CCDC" w14:textId="77777777" w:rsidR="009231C3" w:rsidRDefault="009231C3" w:rsidP="009231C3"/>
        </w:tc>
        <w:tc>
          <w:tcPr>
            <w:tcW w:w="2385" w:type="dxa"/>
          </w:tcPr>
          <w:p w14:paraId="46B4F7F3" w14:textId="77777777" w:rsidR="009231C3" w:rsidRDefault="009231C3" w:rsidP="009231C3"/>
        </w:tc>
      </w:tr>
      <w:tr w:rsidR="009231C3" w14:paraId="6204A52A" w14:textId="77777777" w:rsidTr="0057749E">
        <w:tc>
          <w:tcPr>
            <w:tcW w:w="9576" w:type="dxa"/>
            <w:gridSpan w:val="4"/>
          </w:tcPr>
          <w:p w14:paraId="4554D1E2" w14:textId="330193DF" w:rsidR="009231C3" w:rsidRPr="009231C3" w:rsidRDefault="009231C3" w:rsidP="009231C3">
            <w:pPr>
              <w:rPr>
                <w:i/>
              </w:rPr>
            </w:pPr>
            <w:r w:rsidRPr="009231C3">
              <w:rPr>
                <w:i/>
                <w:lang w:eastAsia="bg-BG"/>
              </w:rPr>
              <w:t>Нарушения на ухото и лабиринта</w:t>
            </w:r>
          </w:p>
        </w:tc>
      </w:tr>
      <w:tr w:rsidR="009231C3" w14:paraId="2ACA6CD7" w14:textId="77777777" w:rsidTr="009231C3">
        <w:tc>
          <w:tcPr>
            <w:tcW w:w="2411" w:type="dxa"/>
          </w:tcPr>
          <w:p w14:paraId="674122D5" w14:textId="7021CE5F" w:rsidR="009231C3" w:rsidRDefault="009231C3" w:rsidP="009231C3">
            <w:r>
              <w:t>Тинитус</w:t>
            </w:r>
          </w:p>
        </w:tc>
        <w:tc>
          <w:tcPr>
            <w:tcW w:w="2393" w:type="dxa"/>
          </w:tcPr>
          <w:p w14:paraId="48E238C5" w14:textId="5BF6FE55" w:rsidR="009231C3" w:rsidRDefault="009231C3" w:rsidP="009231C3">
            <w:r>
              <w:t>НС</w:t>
            </w:r>
          </w:p>
        </w:tc>
        <w:tc>
          <w:tcPr>
            <w:tcW w:w="2387" w:type="dxa"/>
          </w:tcPr>
          <w:p w14:paraId="29A8ACEB" w14:textId="2D87EB68" w:rsidR="009231C3" w:rsidRDefault="009231C3" w:rsidP="009231C3">
            <w:r>
              <w:t>НС</w:t>
            </w:r>
          </w:p>
        </w:tc>
        <w:tc>
          <w:tcPr>
            <w:tcW w:w="2385" w:type="dxa"/>
          </w:tcPr>
          <w:p w14:paraId="46FE748F" w14:textId="525EB72B" w:rsidR="009231C3" w:rsidRDefault="009231C3" w:rsidP="009231C3">
            <w:r>
              <w:t>Чести</w:t>
            </w:r>
          </w:p>
        </w:tc>
      </w:tr>
      <w:tr w:rsidR="009231C3" w14:paraId="24CDBFB4" w14:textId="77777777" w:rsidTr="0057749E">
        <w:tc>
          <w:tcPr>
            <w:tcW w:w="2411" w:type="dxa"/>
            <w:vAlign w:val="bottom"/>
          </w:tcPr>
          <w:p w14:paraId="32BE343F" w14:textId="16A5C3EA" w:rsidR="009231C3" w:rsidRDefault="009231C3" w:rsidP="009231C3">
            <w:r>
              <w:lastRenderedPageBreak/>
              <w:t>Внезапна загуба на слух</w:t>
            </w:r>
          </w:p>
        </w:tc>
        <w:tc>
          <w:tcPr>
            <w:tcW w:w="2393" w:type="dxa"/>
            <w:vAlign w:val="bottom"/>
          </w:tcPr>
          <w:p w14:paraId="45E71AF2" w14:textId="7059B2EF" w:rsidR="009231C3" w:rsidRDefault="009231C3" w:rsidP="009231C3">
            <w:r>
              <w:t>НС</w:t>
            </w:r>
          </w:p>
        </w:tc>
        <w:tc>
          <w:tcPr>
            <w:tcW w:w="2387" w:type="dxa"/>
            <w:vAlign w:val="bottom"/>
          </w:tcPr>
          <w:p w14:paraId="4E018962" w14:textId="3C326D3E" w:rsidR="009231C3" w:rsidRDefault="009231C3" w:rsidP="009231C3">
            <w:r>
              <w:t>НС</w:t>
            </w:r>
          </w:p>
        </w:tc>
        <w:tc>
          <w:tcPr>
            <w:tcW w:w="2385" w:type="dxa"/>
            <w:vAlign w:val="bottom"/>
          </w:tcPr>
          <w:p w14:paraId="2C005BC8" w14:textId="7595A515" w:rsidR="009231C3" w:rsidRDefault="009231C3" w:rsidP="009231C3">
            <w:r>
              <w:t>Нечести</w:t>
            </w:r>
          </w:p>
        </w:tc>
      </w:tr>
      <w:tr w:rsidR="0057749E" w14:paraId="18B91CC7" w14:textId="77777777" w:rsidTr="0057749E">
        <w:tc>
          <w:tcPr>
            <w:tcW w:w="9576" w:type="dxa"/>
            <w:gridSpan w:val="4"/>
          </w:tcPr>
          <w:p w14:paraId="2C2814F7" w14:textId="77777777" w:rsidR="0057749E" w:rsidRDefault="0057749E" w:rsidP="009231C3"/>
        </w:tc>
      </w:tr>
      <w:tr w:rsidR="009231C3" w14:paraId="7F128727" w14:textId="77777777" w:rsidTr="0057749E">
        <w:tc>
          <w:tcPr>
            <w:tcW w:w="9576" w:type="dxa"/>
            <w:gridSpan w:val="4"/>
          </w:tcPr>
          <w:p w14:paraId="4F049D47" w14:textId="74159F71" w:rsidR="009231C3" w:rsidRPr="009231C3" w:rsidRDefault="009231C3" w:rsidP="009231C3">
            <w:pPr>
              <w:rPr>
                <w:i/>
              </w:rPr>
            </w:pPr>
            <w:r w:rsidRPr="009231C3">
              <w:rPr>
                <w:i/>
                <w:lang w:eastAsia="bg-BG"/>
              </w:rPr>
              <w:t>Сърдечни нарушения</w:t>
            </w:r>
          </w:p>
        </w:tc>
      </w:tr>
      <w:tr w:rsidR="009231C3" w14:paraId="3E95B59B" w14:textId="77777777" w:rsidTr="009231C3">
        <w:tc>
          <w:tcPr>
            <w:tcW w:w="2411" w:type="dxa"/>
          </w:tcPr>
          <w:p w14:paraId="04D7E59F" w14:textId="7BF2894E" w:rsidR="009231C3" w:rsidRDefault="009231C3" w:rsidP="009231C3">
            <w:r>
              <w:t>Сърдечна недостатъчност</w:t>
            </w:r>
          </w:p>
        </w:tc>
        <w:tc>
          <w:tcPr>
            <w:tcW w:w="2393" w:type="dxa"/>
          </w:tcPr>
          <w:p w14:paraId="6990C160" w14:textId="228A6EB9" w:rsidR="009231C3" w:rsidRDefault="009231C3" w:rsidP="009231C3">
            <w:r>
              <w:t>Чести</w:t>
            </w:r>
            <w:r>
              <w:rPr>
                <w:vertAlign w:val="superscript"/>
              </w:rPr>
              <w:t>5</w:t>
            </w:r>
          </w:p>
        </w:tc>
        <w:tc>
          <w:tcPr>
            <w:tcW w:w="2387" w:type="dxa"/>
          </w:tcPr>
          <w:p w14:paraId="71577E0D" w14:textId="33C66C93" w:rsidR="009231C3" w:rsidRDefault="009231C3" w:rsidP="009231C3">
            <w:r>
              <w:t>Чести</w:t>
            </w:r>
          </w:p>
        </w:tc>
        <w:tc>
          <w:tcPr>
            <w:tcW w:w="2385" w:type="dxa"/>
          </w:tcPr>
          <w:p w14:paraId="448BB46E" w14:textId="5E40142C" w:rsidR="009231C3" w:rsidRDefault="009231C3" w:rsidP="009231C3">
            <w:r>
              <w:t>Чести</w:t>
            </w:r>
          </w:p>
        </w:tc>
      </w:tr>
      <w:tr w:rsidR="009231C3" w14:paraId="4262E107" w14:textId="77777777" w:rsidTr="009231C3">
        <w:tc>
          <w:tcPr>
            <w:tcW w:w="2411" w:type="dxa"/>
          </w:tcPr>
          <w:p w14:paraId="1064C664" w14:textId="5B52D4D8" w:rsidR="009231C3" w:rsidRDefault="009231C3" w:rsidP="009231C3">
            <w:r>
              <w:t>Палпитация</w:t>
            </w:r>
          </w:p>
        </w:tc>
        <w:tc>
          <w:tcPr>
            <w:tcW w:w="2393" w:type="dxa"/>
          </w:tcPr>
          <w:p w14:paraId="051B9DF5" w14:textId="13BC3BC9" w:rsidR="009231C3" w:rsidRDefault="009231C3" w:rsidP="009231C3">
            <w:r>
              <w:t>Чести</w:t>
            </w:r>
          </w:p>
        </w:tc>
        <w:tc>
          <w:tcPr>
            <w:tcW w:w="2387" w:type="dxa"/>
          </w:tcPr>
          <w:p w14:paraId="0F877941" w14:textId="374E5547" w:rsidR="009231C3" w:rsidRDefault="009231C3" w:rsidP="009231C3">
            <w:r>
              <w:t>Много чести</w:t>
            </w:r>
          </w:p>
        </w:tc>
        <w:tc>
          <w:tcPr>
            <w:tcW w:w="2385" w:type="dxa"/>
          </w:tcPr>
          <w:p w14:paraId="5B435D65" w14:textId="532A54AA" w:rsidR="009231C3" w:rsidRDefault="009231C3" w:rsidP="009231C3">
            <w:r>
              <w:t>Много чести</w:t>
            </w:r>
          </w:p>
        </w:tc>
      </w:tr>
      <w:tr w:rsidR="0057749E" w14:paraId="70E6AA09" w14:textId="77777777" w:rsidTr="0057749E">
        <w:tc>
          <w:tcPr>
            <w:tcW w:w="9576" w:type="dxa"/>
            <w:gridSpan w:val="4"/>
          </w:tcPr>
          <w:p w14:paraId="46060B27" w14:textId="77777777" w:rsidR="0057749E" w:rsidRDefault="0057749E" w:rsidP="009231C3"/>
        </w:tc>
      </w:tr>
      <w:tr w:rsidR="009231C3" w14:paraId="546D4DC2" w14:textId="77777777" w:rsidTr="0057749E">
        <w:tc>
          <w:tcPr>
            <w:tcW w:w="9576" w:type="dxa"/>
            <w:gridSpan w:val="4"/>
          </w:tcPr>
          <w:p w14:paraId="74FACBE7" w14:textId="104B6CCD" w:rsidR="009231C3" w:rsidRPr="009231C3" w:rsidRDefault="009231C3" w:rsidP="009231C3">
            <w:pPr>
              <w:rPr>
                <w:i/>
              </w:rPr>
            </w:pPr>
            <w:r w:rsidRPr="009231C3">
              <w:rPr>
                <w:i/>
                <w:lang w:eastAsia="bg-BG"/>
              </w:rPr>
              <w:t>Съдови нарушения</w:t>
            </w:r>
          </w:p>
        </w:tc>
      </w:tr>
      <w:tr w:rsidR="0057749E" w14:paraId="1695F0CB" w14:textId="77777777" w:rsidTr="009231C3">
        <w:tc>
          <w:tcPr>
            <w:tcW w:w="2411" w:type="dxa"/>
          </w:tcPr>
          <w:p w14:paraId="004CFA99" w14:textId="2CAD7A0B" w:rsidR="0057749E" w:rsidRDefault="0057749E" w:rsidP="0057749E">
            <w:r>
              <w:t>Хипотония</w:t>
            </w:r>
          </w:p>
        </w:tc>
        <w:tc>
          <w:tcPr>
            <w:tcW w:w="2393" w:type="dxa"/>
          </w:tcPr>
          <w:p w14:paraId="2436815F" w14:textId="162FD4E9" w:rsidR="0057749E" w:rsidRDefault="0057749E" w:rsidP="0057749E">
            <w:r>
              <w:t>Чести</w:t>
            </w:r>
            <w:r>
              <w:rPr>
                <w:vertAlign w:val="superscript"/>
              </w:rPr>
              <w:t>3</w:t>
            </w:r>
          </w:p>
        </w:tc>
        <w:tc>
          <w:tcPr>
            <w:tcW w:w="2387" w:type="dxa"/>
          </w:tcPr>
          <w:p w14:paraId="5A0DDF6C" w14:textId="4407AB1D" w:rsidR="0057749E" w:rsidRDefault="0057749E" w:rsidP="0057749E">
            <w:r>
              <w:t>Чести</w:t>
            </w:r>
          </w:p>
        </w:tc>
        <w:tc>
          <w:tcPr>
            <w:tcW w:w="2385" w:type="dxa"/>
          </w:tcPr>
          <w:p w14:paraId="61410627" w14:textId="753C4169" w:rsidR="0057749E" w:rsidRDefault="0057749E" w:rsidP="0057749E">
            <w:r>
              <w:t>Чести</w:t>
            </w:r>
          </w:p>
        </w:tc>
      </w:tr>
      <w:tr w:rsidR="0057749E" w14:paraId="737459F9" w14:textId="77777777" w:rsidTr="009231C3">
        <w:tc>
          <w:tcPr>
            <w:tcW w:w="2411" w:type="dxa"/>
          </w:tcPr>
          <w:p w14:paraId="1143616F" w14:textId="23A65D18" w:rsidR="0057749E" w:rsidRDefault="0057749E" w:rsidP="0057749E">
            <w:r>
              <w:t>Зачервяване</w:t>
            </w:r>
          </w:p>
        </w:tc>
        <w:tc>
          <w:tcPr>
            <w:tcW w:w="2393" w:type="dxa"/>
          </w:tcPr>
          <w:p w14:paraId="60FD8FF3" w14:textId="404E369D" w:rsidR="0057749E" w:rsidRDefault="0057749E" w:rsidP="0057749E">
            <w:r>
              <w:t>Чести</w:t>
            </w:r>
          </w:p>
        </w:tc>
        <w:tc>
          <w:tcPr>
            <w:tcW w:w="2387" w:type="dxa"/>
          </w:tcPr>
          <w:p w14:paraId="7A88590E" w14:textId="1391F729" w:rsidR="0057749E" w:rsidRDefault="0057749E" w:rsidP="0057749E">
            <w:r>
              <w:t>Чести</w:t>
            </w:r>
          </w:p>
        </w:tc>
        <w:tc>
          <w:tcPr>
            <w:tcW w:w="2385" w:type="dxa"/>
          </w:tcPr>
          <w:p w14:paraId="5BCD70FC" w14:textId="61C3965E" w:rsidR="0057749E" w:rsidRDefault="0057749E" w:rsidP="0057749E">
            <w:r>
              <w:t>Много чести</w:t>
            </w:r>
          </w:p>
        </w:tc>
      </w:tr>
      <w:tr w:rsidR="0057749E" w14:paraId="6EDAD658" w14:textId="77777777" w:rsidTr="009231C3">
        <w:tc>
          <w:tcPr>
            <w:tcW w:w="2411" w:type="dxa"/>
          </w:tcPr>
          <w:p w14:paraId="51AC8AE9" w14:textId="276C7003" w:rsidR="0057749E" w:rsidRDefault="0057749E" w:rsidP="0057749E">
            <w:r>
              <w:t>Синкоп</w:t>
            </w:r>
          </w:p>
        </w:tc>
        <w:tc>
          <w:tcPr>
            <w:tcW w:w="2393" w:type="dxa"/>
          </w:tcPr>
          <w:p w14:paraId="6359E462" w14:textId="0611F118" w:rsidR="0057749E" w:rsidRDefault="0057749E" w:rsidP="0057749E">
            <w:r>
              <w:t>Нечести</w:t>
            </w:r>
            <w:r>
              <w:rPr>
                <w:vertAlign w:val="superscript"/>
              </w:rPr>
              <w:t>3</w:t>
            </w:r>
          </w:p>
        </w:tc>
        <w:tc>
          <w:tcPr>
            <w:tcW w:w="2387" w:type="dxa"/>
          </w:tcPr>
          <w:p w14:paraId="0A9B7858" w14:textId="795ADC90" w:rsidR="0057749E" w:rsidRDefault="0057749E" w:rsidP="0057749E">
            <w:r>
              <w:t>Чести</w:t>
            </w:r>
          </w:p>
        </w:tc>
        <w:tc>
          <w:tcPr>
            <w:tcW w:w="2385" w:type="dxa"/>
          </w:tcPr>
          <w:p w14:paraId="09647B4C" w14:textId="2DCC7F05" w:rsidR="0057749E" w:rsidRDefault="0057749E" w:rsidP="0057749E">
            <w:r>
              <w:t>Чести</w:t>
            </w:r>
          </w:p>
        </w:tc>
      </w:tr>
      <w:tr w:rsidR="0057749E" w14:paraId="424C8646" w14:textId="77777777" w:rsidTr="0057749E">
        <w:tc>
          <w:tcPr>
            <w:tcW w:w="9576" w:type="dxa"/>
            <w:gridSpan w:val="4"/>
          </w:tcPr>
          <w:p w14:paraId="10FFD9A0" w14:textId="77777777" w:rsidR="0057749E" w:rsidRDefault="0057749E" w:rsidP="009231C3"/>
        </w:tc>
      </w:tr>
      <w:tr w:rsidR="0057749E" w14:paraId="1B3B0A46" w14:textId="77777777" w:rsidTr="0057749E">
        <w:tc>
          <w:tcPr>
            <w:tcW w:w="9576" w:type="dxa"/>
            <w:gridSpan w:val="4"/>
          </w:tcPr>
          <w:p w14:paraId="52E44BC1" w14:textId="38846E27" w:rsidR="0057749E" w:rsidRPr="0057749E" w:rsidRDefault="0057749E" w:rsidP="0057749E">
            <w:pPr>
              <w:rPr>
                <w:i/>
              </w:rPr>
            </w:pPr>
            <w:r w:rsidRPr="0057749E">
              <w:rPr>
                <w:i/>
                <w:lang w:eastAsia="bg-BG"/>
              </w:rPr>
              <w:t>Респираторни, гръдни и медиастинални нарушения</w:t>
            </w:r>
          </w:p>
        </w:tc>
      </w:tr>
      <w:tr w:rsidR="0057749E" w14:paraId="50D74940" w14:textId="77777777" w:rsidTr="009231C3">
        <w:tc>
          <w:tcPr>
            <w:tcW w:w="2411" w:type="dxa"/>
          </w:tcPr>
          <w:p w14:paraId="4305ED21" w14:textId="2B5BE9A3" w:rsidR="0057749E" w:rsidRDefault="0057749E" w:rsidP="0057749E">
            <w:r>
              <w:t>Епистаксис</w:t>
            </w:r>
          </w:p>
        </w:tc>
        <w:tc>
          <w:tcPr>
            <w:tcW w:w="2393" w:type="dxa"/>
          </w:tcPr>
          <w:p w14:paraId="5566F2B0" w14:textId="001ECA1E" w:rsidR="0057749E" w:rsidRDefault="0057749E" w:rsidP="0057749E">
            <w:r>
              <w:t>Чести</w:t>
            </w:r>
            <w:r>
              <w:rPr>
                <w:vertAlign w:val="superscript"/>
              </w:rPr>
              <w:t>3</w:t>
            </w:r>
          </w:p>
        </w:tc>
        <w:tc>
          <w:tcPr>
            <w:tcW w:w="2387" w:type="dxa"/>
          </w:tcPr>
          <w:p w14:paraId="697932C3" w14:textId="383C8158" w:rsidR="0057749E" w:rsidRDefault="0057749E" w:rsidP="0057749E">
            <w:r>
              <w:t>Чести</w:t>
            </w:r>
          </w:p>
        </w:tc>
        <w:tc>
          <w:tcPr>
            <w:tcW w:w="2385" w:type="dxa"/>
          </w:tcPr>
          <w:p w14:paraId="699D4119" w14:textId="043AD967" w:rsidR="0057749E" w:rsidRDefault="0057749E" w:rsidP="0057749E">
            <w:r>
              <w:t>Чести</w:t>
            </w:r>
          </w:p>
        </w:tc>
      </w:tr>
      <w:tr w:rsidR="0057749E" w14:paraId="37F0083E" w14:textId="77777777" w:rsidTr="0057749E">
        <w:tc>
          <w:tcPr>
            <w:tcW w:w="2411" w:type="dxa"/>
            <w:vAlign w:val="bottom"/>
          </w:tcPr>
          <w:p w14:paraId="6E220F0A" w14:textId="60B2EA68" w:rsidR="0057749E" w:rsidRDefault="0057749E" w:rsidP="0057749E">
            <w:r>
              <w:t>Диспнея</w:t>
            </w:r>
          </w:p>
        </w:tc>
        <w:tc>
          <w:tcPr>
            <w:tcW w:w="2393" w:type="dxa"/>
            <w:vAlign w:val="bottom"/>
          </w:tcPr>
          <w:p w14:paraId="2BA7D6F7" w14:textId="4AD77524" w:rsidR="0057749E" w:rsidRDefault="0057749E" w:rsidP="0057749E">
            <w:r>
              <w:t>Чести</w:t>
            </w:r>
            <w:r>
              <w:rPr>
                <w:vertAlign w:val="superscript"/>
              </w:rPr>
              <w:t>3,6</w:t>
            </w:r>
          </w:p>
        </w:tc>
        <w:tc>
          <w:tcPr>
            <w:tcW w:w="2387" w:type="dxa"/>
            <w:vAlign w:val="bottom"/>
          </w:tcPr>
          <w:p w14:paraId="60EE7D99" w14:textId="46B5CC5B" w:rsidR="0057749E" w:rsidRDefault="0057749E" w:rsidP="0057749E">
            <w:r>
              <w:t>Много чести</w:t>
            </w:r>
          </w:p>
        </w:tc>
        <w:tc>
          <w:tcPr>
            <w:tcW w:w="2385" w:type="dxa"/>
            <w:vAlign w:val="bottom"/>
          </w:tcPr>
          <w:p w14:paraId="38553571" w14:textId="476D9693" w:rsidR="0057749E" w:rsidRDefault="0057749E" w:rsidP="0057749E">
            <w:r>
              <w:t>Много чести</w:t>
            </w:r>
          </w:p>
        </w:tc>
      </w:tr>
      <w:tr w:rsidR="0057749E" w14:paraId="5206CD24" w14:textId="77777777" w:rsidTr="0057749E">
        <w:tc>
          <w:tcPr>
            <w:tcW w:w="2411" w:type="dxa"/>
            <w:vAlign w:val="bottom"/>
          </w:tcPr>
          <w:p w14:paraId="0E790459" w14:textId="5236653C" w:rsidR="0057749E" w:rsidRDefault="0057749E" w:rsidP="0057749E">
            <w:r>
              <w:t>Конгестия в горните части на дихателните пътища (напр. назална, синусна), синузит, назофарингит, ринит</w:t>
            </w:r>
          </w:p>
        </w:tc>
        <w:tc>
          <w:tcPr>
            <w:tcW w:w="2393" w:type="dxa"/>
          </w:tcPr>
          <w:p w14:paraId="53A88B4B" w14:textId="0BD694DA" w:rsidR="0057749E" w:rsidRDefault="0057749E" w:rsidP="0057749E">
            <w:r>
              <w:t>Чести</w:t>
            </w:r>
            <w:r>
              <w:rPr>
                <w:vertAlign w:val="superscript"/>
              </w:rPr>
              <w:t>7</w:t>
            </w:r>
          </w:p>
        </w:tc>
        <w:tc>
          <w:tcPr>
            <w:tcW w:w="2387" w:type="dxa"/>
          </w:tcPr>
          <w:p w14:paraId="03F4A899" w14:textId="77777777" w:rsidR="0057749E" w:rsidRDefault="0057749E" w:rsidP="0057749E"/>
        </w:tc>
        <w:tc>
          <w:tcPr>
            <w:tcW w:w="2385" w:type="dxa"/>
          </w:tcPr>
          <w:p w14:paraId="5BF49BB8" w14:textId="77777777" w:rsidR="0057749E" w:rsidRDefault="0057749E" w:rsidP="0057749E"/>
        </w:tc>
      </w:tr>
      <w:tr w:rsidR="0057749E" w14:paraId="24711F38" w14:textId="77777777" w:rsidTr="0057749E">
        <w:tc>
          <w:tcPr>
            <w:tcW w:w="2411" w:type="dxa"/>
            <w:vAlign w:val="bottom"/>
          </w:tcPr>
          <w:p w14:paraId="69F8BC1C" w14:textId="421931CF" w:rsidR="0057749E" w:rsidRDefault="0057749E" w:rsidP="0057749E">
            <w:r>
              <w:t>Назофарингит</w:t>
            </w:r>
          </w:p>
        </w:tc>
        <w:tc>
          <w:tcPr>
            <w:tcW w:w="2393" w:type="dxa"/>
          </w:tcPr>
          <w:p w14:paraId="06557CCE" w14:textId="77777777" w:rsidR="0057749E" w:rsidRDefault="0057749E" w:rsidP="0057749E"/>
        </w:tc>
        <w:tc>
          <w:tcPr>
            <w:tcW w:w="2387" w:type="dxa"/>
            <w:vAlign w:val="bottom"/>
          </w:tcPr>
          <w:p w14:paraId="18A19D44" w14:textId="5B989808" w:rsidR="0057749E" w:rsidRDefault="0057749E" w:rsidP="0057749E">
            <w:r>
              <w:t>Много чести</w:t>
            </w:r>
          </w:p>
        </w:tc>
        <w:tc>
          <w:tcPr>
            <w:tcW w:w="2385" w:type="dxa"/>
            <w:vAlign w:val="bottom"/>
          </w:tcPr>
          <w:p w14:paraId="0B1AF68C" w14:textId="080D4FD7" w:rsidR="0057749E" w:rsidRDefault="0057749E" w:rsidP="0057749E">
            <w:r>
              <w:t>Много чести</w:t>
            </w:r>
          </w:p>
        </w:tc>
      </w:tr>
      <w:tr w:rsidR="0057749E" w14:paraId="1C31650C" w14:textId="77777777" w:rsidTr="0057749E">
        <w:tc>
          <w:tcPr>
            <w:tcW w:w="2411" w:type="dxa"/>
            <w:vAlign w:val="bottom"/>
          </w:tcPr>
          <w:p w14:paraId="22C77053" w14:textId="01BC91EC" w:rsidR="0057749E" w:rsidRDefault="0057749E" w:rsidP="0057749E">
            <w:r>
              <w:t>Синузит, ринит</w:t>
            </w:r>
          </w:p>
        </w:tc>
        <w:tc>
          <w:tcPr>
            <w:tcW w:w="2393" w:type="dxa"/>
          </w:tcPr>
          <w:p w14:paraId="582CF6D8" w14:textId="77777777" w:rsidR="0057749E" w:rsidRDefault="0057749E" w:rsidP="0057749E"/>
        </w:tc>
        <w:tc>
          <w:tcPr>
            <w:tcW w:w="2387" w:type="dxa"/>
            <w:vAlign w:val="bottom"/>
          </w:tcPr>
          <w:p w14:paraId="50069C60" w14:textId="3A36C1A8" w:rsidR="0057749E" w:rsidRDefault="0057749E" w:rsidP="0057749E">
            <w:r>
              <w:t>Чести</w:t>
            </w:r>
          </w:p>
        </w:tc>
        <w:tc>
          <w:tcPr>
            <w:tcW w:w="2385" w:type="dxa"/>
            <w:vAlign w:val="bottom"/>
          </w:tcPr>
          <w:p w14:paraId="28A9FBE6" w14:textId="61B02957" w:rsidR="0057749E" w:rsidRDefault="0057749E" w:rsidP="0057749E">
            <w:r>
              <w:t>Чести</w:t>
            </w:r>
          </w:p>
        </w:tc>
      </w:tr>
      <w:tr w:rsidR="0057749E" w14:paraId="16AFA481" w14:textId="77777777" w:rsidTr="0057749E">
        <w:tc>
          <w:tcPr>
            <w:tcW w:w="2411" w:type="dxa"/>
            <w:vAlign w:val="center"/>
          </w:tcPr>
          <w:p w14:paraId="2350CC13" w14:textId="7CAF74E4" w:rsidR="0057749E" w:rsidRDefault="0057749E" w:rsidP="0057749E">
            <w:r>
              <w:t>Назална конгестия</w:t>
            </w:r>
          </w:p>
        </w:tc>
        <w:tc>
          <w:tcPr>
            <w:tcW w:w="2393" w:type="dxa"/>
          </w:tcPr>
          <w:p w14:paraId="6DB1B6D6" w14:textId="77777777" w:rsidR="0057749E" w:rsidRDefault="0057749E" w:rsidP="0057749E"/>
        </w:tc>
        <w:tc>
          <w:tcPr>
            <w:tcW w:w="2387" w:type="dxa"/>
            <w:vAlign w:val="center"/>
          </w:tcPr>
          <w:p w14:paraId="55C029F3" w14:textId="72244643" w:rsidR="0057749E" w:rsidRDefault="0057749E" w:rsidP="0057749E">
            <w:r>
              <w:t>Много чести</w:t>
            </w:r>
          </w:p>
        </w:tc>
        <w:tc>
          <w:tcPr>
            <w:tcW w:w="2385" w:type="dxa"/>
            <w:vAlign w:val="center"/>
          </w:tcPr>
          <w:p w14:paraId="48163302" w14:textId="74A866DB" w:rsidR="0057749E" w:rsidRDefault="0057749E" w:rsidP="0057749E">
            <w:r>
              <w:t>Много чести</w:t>
            </w:r>
          </w:p>
        </w:tc>
      </w:tr>
      <w:tr w:rsidR="0057749E" w14:paraId="015299D0" w14:textId="77777777" w:rsidTr="0057749E">
        <w:tc>
          <w:tcPr>
            <w:tcW w:w="9576" w:type="dxa"/>
            <w:gridSpan w:val="4"/>
          </w:tcPr>
          <w:p w14:paraId="5333B278" w14:textId="77777777" w:rsidR="0057749E" w:rsidRDefault="0057749E" w:rsidP="009231C3"/>
        </w:tc>
      </w:tr>
      <w:tr w:rsidR="0057749E" w14:paraId="6D74BB1A" w14:textId="77777777" w:rsidTr="0057749E">
        <w:tc>
          <w:tcPr>
            <w:tcW w:w="9576" w:type="dxa"/>
            <w:gridSpan w:val="4"/>
          </w:tcPr>
          <w:p w14:paraId="1233EF6C" w14:textId="5E278AD7" w:rsidR="0057749E" w:rsidRPr="0057749E" w:rsidRDefault="0057749E" w:rsidP="0057749E">
            <w:pPr>
              <w:rPr>
                <w:i/>
              </w:rPr>
            </w:pPr>
            <w:r w:rsidRPr="0057749E">
              <w:rPr>
                <w:i/>
              </w:rPr>
              <w:t>Стомашно-чревни нарушения</w:t>
            </w:r>
          </w:p>
        </w:tc>
      </w:tr>
      <w:tr w:rsidR="0057749E" w14:paraId="02E9482C" w14:textId="77777777" w:rsidTr="009231C3">
        <w:tc>
          <w:tcPr>
            <w:tcW w:w="2411" w:type="dxa"/>
          </w:tcPr>
          <w:p w14:paraId="323ACF7B" w14:textId="7868DBD3" w:rsidR="0057749E" w:rsidRDefault="0057749E" w:rsidP="0057749E">
            <w:r>
              <w:t>Гадене, повръщане, диария</w:t>
            </w:r>
          </w:p>
        </w:tc>
        <w:tc>
          <w:tcPr>
            <w:tcW w:w="2393" w:type="dxa"/>
          </w:tcPr>
          <w:p w14:paraId="15365F0E" w14:textId="69C62FA7" w:rsidR="0057749E" w:rsidRDefault="0057749E" w:rsidP="0057749E">
            <w:r>
              <w:t>Чести</w:t>
            </w:r>
            <w:r>
              <w:rPr>
                <w:vertAlign w:val="superscript"/>
              </w:rPr>
              <w:t>3</w:t>
            </w:r>
          </w:p>
        </w:tc>
        <w:tc>
          <w:tcPr>
            <w:tcW w:w="2387" w:type="dxa"/>
          </w:tcPr>
          <w:p w14:paraId="61E9467E" w14:textId="77777777" w:rsidR="0057749E" w:rsidRDefault="0057749E" w:rsidP="0057749E"/>
        </w:tc>
        <w:tc>
          <w:tcPr>
            <w:tcW w:w="2385" w:type="dxa"/>
          </w:tcPr>
          <w:p w14:paraId="4D4248A2" w14:textId="77777777" w:rsidR="0057749E" w:rsidRDefault="0057749E" w:rsidP="0057749E"/>
        </w:tc>
      </w:tr>
      <w:tr w:rsidR="0057749E" w14:paraId="7DA964F4" w14:textId="77777777" w:rsidTr="009231C3">
        <w:tc>
          <w:tcPr>
            <w:tcW w:w="2411" w:type="dxa"/>
          </w:tcPr>
          <w:p w14:paraId="4A8260E1" w14:textId="731EF933" w:rsidR="0057749E" w:rsidRDefault="0057749E" w:rsidP="0057749E">
            <w:r>
              <w:t>Гадене</w:t>
            </w:r>
          </w:p>
        </w:tc>
        <w:tc>
          <w:tcPr>
            <w:tcW w:w="2393" w:type="dxa"/>
          </w:tcPr>
          <w:p w14:paraId="06CB679E" w14:textId="77777777" w:rsidR="0057749E" w:rsidRDefault="0057749E" w:rsidP="0057749E"/>
        </w:tc>
        <w:tc>
          <w:tcPr>
            <w:tcW w:w="2387" w:type="dxa"/>
          </w:tcPr>
          <w:p w14:paraId="4452D4A4" w14:textId="064B0A13" w:rsidR="0057749E" w:rsidRDefault="0057749E" w:rsidP="0057749E">
            <w:r>
              <w:t>Много чести</w:t>
            </w:r>
          </w:p>
        </w:tc>
        <w:tc>
          <w:tcPr>
            <w:tcW w:w="2385" w:type="dxa"/>
          </w:tcPr>
          <w:p w14:paraId="38B472EB" w14:textId="77777777" w:rsidR="0057749E" w:rsidRDefault="0057749E" w:rsidP="0057749E"/>
        </w:tc>
      </w:tr>
      <w:tr w:rsidR="0057749E" w14:paraId="231B5F10" w14:textId="77777777" w:rsidTr="009231C3">
        <w:tc>
          <w:tcPr>
            <w:tcW w:w="2411" w:type="dxa"/>
          </w:tcPr>
          <w:p w14:paraId="6692DEB2" w14:textId="45FDC9F2" w:rsidR="0057749E" w:rsidRDefault="0057749E" w:rsidP="0057749E">
            <w:r>
              <w:t>Повръщане</w:t>
            </w:r>
          </w:p>
        </w:tc>
        <w:tc>
          <w:tcPr>
            <w:tcW w:w="2393" w:type="dxa"/>
          </w:tcPr>
          <w:p w14:paraId="2B764ED2" w14:textId="77777777" w:rsidR="0057749E" w:rsidRDefault="0057749E" w:rsidP="0057749E"/>
        </w:tc>
        <w:tc>
          <w:tcPr>
            <w:tcW w:w="2387" w:type="dxa"/>
          </w:tcPr>
          <w:p w14:paraId="74BAA74D" w14:textId="34391139" w:rsidR="0057749E" w:rsidRDefault="0057749E" w:rsidP="0057749E">
            <w:r>
              <w:t>Чести</w:t>
            </w:r>
          </w:p>
        </w:tc>
        <w:tc>
          <w:tcPr>
            <w:tcW w:w="2385" w:type="dxa"/>
          </w:tcPr>
          <w:p w14:paraId="37B12D15" w14:textId="0C56760D" w:rsidR="0057749E" w:rsidRDefault="0057749E" w:rsidP="0057749E">
            <w:r>
              <w:t>Много чести</w:t>
            </w:r>
          </w:p>
        </w:tc>
      </w:tr>
      <w:tr w:rsidR="0057749E" w14:paraId="5DA265C1" w14:textId="77777777" w:rsidTr="009231C3">
        <w:tc>
          <w:tcPr>
            <w:tcW w:w="2411" w:type="dxa"/>
          </w:tcPr>
          <w:p w14:paraId="6C1AB9E2" w14:textId="6BFB88FE" w:rsidR="0057749E" w:rsidRDefault="0057749E" w:rsidP="0057749E">
            <w:r>
              <w:t>Диария</w:t>
            </w:r>
          </w:p>
        </w:tc>
        <w:tc>
          <w:tcPr>
            <w:tcW w:w="2393" w:type="dxa"/>
          </w:tcPr>
          <w:p w14:paraId="585A0178" w14:textId="77777777" w:rsidR="0057749E" w:rsidRDefault="0057749E" w:rsidP="0057749E"/>
        </w:tc>
        <w:tc>
          <w:tcPr>
            <w:tcW w:w="2387" w:type="dxa"/>
          </w:tcPr>
          <w:p w14:paraId="0FF747DE" w14:textId="2BC361ED" w:rsidR="0057749E" w:rsidRDefault="0057749E" w:rsidP="0057749E">
            <w:r>
              <w:t>Много чести</w:t>
            </w:r>
          </w:p>
        </w:tc>
        <w:tc>
          <w:tcPr>
            <w:tcW w:w="2385" w:type="dxa"/>
          </w:tcPr>
          <w:p w14:paraId="1C8CB903" w14:textId="01907913" w:rsidR="0057749E" w:rsidRDefault="0057749E" w:rsidP="0057749E">
            <w:r>
              <w:t>Много чести</w:t>
            </w:r>
          </w:p>
        </w:tc>
      </w:tr>
      <w:tr w:rsidR="0057749E" w14:paraId="4BCAC185" w14:textId="77777777" w:rsidTr="009231C3">
        <w:tc>
          <w:tcPr>
            <w:tcW w:w="2411" w:type="dxa"/>
          </w:tcPr>
          <w:p w14:paraId="3A2689C3" w14:textId="1E817551" w:rsidR="0057749E" w:rsidRDefault="0057749E" w:rsidP="0057749E">
            <w:r>
              <w:t>Коремна болка</w:t>
            </w:r>
          </w:p>
        </w:tc>
        <w:tc>
          <w:tcPr>
            <w:tcW w:w="2393" w:type="dxa"/>
          </w:tcPr>
          <w:p w14:paraId="737FBFD9" w14:textId="677E6CBB" w:rsidR="0057749E" w:rsidRDefault="0057749E" w:rsidP="0057749E">
            <w:r>
              <w:t>Чести</w:t>
            </w:r>
          </w:p>
        </w:tc>
        <w:tc>
          <w:tcPr>
            <w:tcW w:w="2387" w:type="dxa"/>
          </w:tcPr>
          <w:p w14:paraId="06EFE903" w14:textId="781E3223" w:rsidR="0057749E" w:rsidRDefault="0057749E" w:rsidP="0057749E">
            <w:r>
              <w:t>Чести</w:t>
            </w:r>
          </w:p>
        </w:tc>
        <w:tc>
          <w:tcPr>
            <w:tcW w:w="2385" w:type="dxa"/>
          </w:tcPr>
          <w:p w14:paraId="3CCAD143" w14:textId="397655F6" w:rsidR="0057749E" w:rsidRDefault="0057749E" w:rsidP="0057749E">
            <w:r>
              <w:t>Чести</w:t>
            </w:r>
          </w:p>
        </w:tc>
      </w:tr>
      <w:tr w:rsidR="0057749E" w14:paraId="3984C525" w14:textId="77777777" w:rsidTr="009231C3">
        <w:tc>
          <w:tcPr>
            <w:tcW w:w="2411" w:type="dxa"/>
          </w:tcPr>
          <w:p w14:paraId="3C6EDE6A" w14:textId="0BCC91EA" w:rsidR="0057749E" w:rsidRDefault="0057749E" w:rsidP="0057749E">
            <w:r>
              <w:t>Запек</w:t>
            </w:r>
          </w:p>
        </w:tc>
        <w:tc>
          <w:tcPr>
            <w:tcW w:w="2393" w:type="dxa"/>
          </w:tcPr>
          <w:p w14:paraId="04574CD9" w14:textId="420685CA" w:rsidR="0057749E" w:rsidRDefault="0057749E" w:rsidP="0057749E">
            <w:r>
              <w:t>Чести</w:t>
            </w:r>
          </w:p>
        </w:tc>
        <w:tc>
          <w:tcPr>
            <w:tcW w:w="2387" w:type="dxa"/>
          </w:tcPr>
          <w:p w14:paraId="242BC71F" w14:textId="0F4770AD" w:rsidR="0057749E" w:rsidRDefault="0057749E" w:rsidP="0057749E">
            <w:r>
              <w:t>Чести</w:t>
            </w:r>
          </w:p>
        </w:tc>
        <w:tc>
          <w:tcPr>
            <w:tcW w:w="2385" w:type="dxa"/>
          </w:tcPr>
          <w:p w14:paraId="3E82C322" w14:textId="42BA4B9A" w:rsidR="0057749E" w:rsidRDefault="0057749E" w:rsidP="0057749E">
            <w:r>
              <w:t>Чести</w:t>
            </w:r>
          </w:p>
        </w:tc>
      </w:tr>
      <w:tr w:rsidR="0057749E" w14:paraId="0BC6166C" w14:textId="77777777" w:rsidTr="0057749E">
        <w:tc>
          <w:tcPr>
            <w:tcW w:w="9576" w:type="dxa"/>
            <w:gridSpan w:val="4"/>
          </w:tcPr>
          <w:p w14:paraId="7361D8C6" w14:textId="77777777" w:rsidR="0057749E" w:rsidRDefault="0057749E" w:rsidP="009231C3"/>
        </w:tc>
      </w:tr>
      <w:tr w:rsidR="0057749E" w14:paraId="36568C9A" w14:textId="77777777" w:rsidTr="0057749E">
        <w:tc>
          <w:tcPr>
            <w:tcW w:w="9576" w:type="dxa"/>
            <w:gridSpan w:val="4"/>
          </w:tcPr>
          <w:p w14:paraId="7DE787ED" w14:textId="7EF7D042" w:rsidR="0057749E" w:rsidRPr="0057749E" w:rsidRDefault="0057749E" w:rsidP="0057749E">
            <w:pPr>
              <w:rPr>
                <w:i/>
              </w:rPr>
            </w:pPr>
            <w:r w:rsidRPr="0057749E">
              <w:rPr>
                <w:i/>
                <w:lang w:eastAsia="bg-BG"/>
              </w:rPr>
              <w:t>Хепатобилиарни нарушения</w:t>
            </w:r>
          </w:p>
        </w:tc>
      </w:tr>
      <w:tr w:rsidR="0057749E" w14:paraId="08509A08" w14:textId="77777777" w:rsidTr="009231C3">
        <w:tc>
          <w:tcPr>
            <w:tcW w:w="2411" w:type="dxa"/>
          </w:tcPr>
          <w:p w14:paraId="315CD360" w14:textId="1D7EAAFE" w:rsidR="0057749E" w:rsidRDefault="0057749E" w:rsidP="0057749E">
            <w:r>
              <w:t>Чернодробно увреждане (вж. точка 4.4)</w:t>
            </w:r>
          </w:p>
        </w:tc>
        <w:tc>
          <w:tcPr>
            <w:tcW w:w="2393" w:type="dxa"/>
          </w:tcPr>
          <w:p w14:paraId="5125E523" w14:textId="1F72951D" w:rsidR="0057749E" w:rsidRDefault="0057749E" w:rsidP="0057749E">
            <w:r>
              <w:t>Нечести</w:t>
            </w:r>
            <w:r>
              <w:rPr>
                <w:vertAlign w:val="superscript"/>
              </w:rPr>
              <w:t>3,8</w:t>
            </w:r>
          </w:p>
        </w:tc>
        <w:tc>
          <w:tcPr>
            <w:tcW w:w="2387" w:type="dxa"/>
          </w:tcPr>
          <w:p w14:paraId="35D452B2" w14:textId="09CF2DEA" w:rsidR="0057749E" w:rsidRDefault="0057749E" w:rsidP="0057749E">
            <w:r>
              <w:t>НС</w:t>
            </w:r>
          </w:p>
        </w:tc>
        <w:tc>
          <w:tcPr>
            <w:tcW w:w="2385" w:type="dxa"/>
          </w:tcPr>
          <w:p w14:paraId="2D754E7B" w14:textId="6C211C35" w:rsidR="0057749E" w:rsidRDefault="0057749E" w:rsidP="0057749E">
            <w:r>
              <w:t>НС</w:t>
            </w:r>
          </w:p>
        </w:tc>
      </w:tr>
      <w:tr w:rsidR="0057749E" w14:paraId="118570AD" w14:textId="77777777" w:rsidTr="009231C3">
        <w:tc>
          <w:tcPr>
            <w:tcW w:w="2411" w:type="dxa"/>
          </w:tcPr>
          <w:p w14:paraId="1731D41D" w14:textId="4D4411EB" w:rsidR="0057749E" w:rsidRDefault="0057749E" w:rsidP="0057749E">
            <w:r>
              <w:t>Автоимунен хепатит (вж. точка 4.4)</w:t>
            </w:r>
          </w:p>
        </w:tc>
        <w:tc>
          <w:tcPr>
            <w:tcW w:w="2393" w:type="dxa"/>
          </w:tcPr>
          <w:p w14:paraId="6DA320A4" w14:textId="4770372B" w:rsidR="0057749E" w:rsidRDefault="0057749E" w:rsidP="0057749E">
            <w:r>
              <w:t>Нечести</w:t>
            </w:r>
            <w:r>
              <w:rPr>
                <w:vertAlign w:val="superscript"/>
              </w:rPr>
              <w:t>3,8</w:t>
            </w:r>
          </w:p>
        </w:tc>
        <w:tc>
          <w:tcPr>
            <w:tcW w:w="2387" w:type="dxa"/>
          </w:tcPr>
          <w:p w14:paraId="2628380E" w14:textId="37013B72" w:rsidR="0057749E" w:rsidRDefault="0057749E" w:rsidP="0057749E">
            <w:r>
              <w:t>НС</w:t>
            </w:r>
          </w:p>
        </w:tc>
        <w:tc>
          <w:tcPr>
            <w:tcW w:w="2385" w:type="dxa"/>
          </w:tcPr>
          <w:p w14:paraId="6FFB29F4" w14:textId="4552618D" w:rsidR="0057749E" w:rsidRDefault="0057749E" w:rsidP="0057749E">
            <w:r>
              <w:t>НС</w:t>
            </w:r>
          </w:p>
        </w:tc>
      </w:tr>
      <w:tr w:rsidR="0057749E" w14:paraId="12F6542C" w14:textId="77777777" w:rsidTr="009231C3">
        <w:tc>
          <w:tcPr>
            <w:tcW w:w="2411" w:type="dxa"/>
          </w:tcPr>
          <w:p w14:paraId="47405A37" w14:textId="04752F99" w:rsidR="0057749E" w:rsidRDefault="0057749E" w:rsidP="0057749E">
            <w:r>
              <w:t>Повишаване на чернодробните трансаминази</w:t>
            </w:r>
          </w:p>
        </w:tc>
        <w:tc>
          <w:tcPr>
            <w:tcW w:w="2393" w:type="dxa"/>
          </w:tcPr>
          <w:p w14:paraId="0AD1C0C2" w14:textId="1EAFBE1A" w:rsidR="0057749E" w:rsidRDefault="0057749E" w:rsidP="0057749E">
            <w:r>
              <w:t>Чести</w:t>
            </w:r>
            <w:r>
              <w:rPr>
                <w:vertAlign w:val="superscript"/>
              </w:rPr>
              <w:t>3</w:t>
            </w:r>
          </w:p>
        </w:tc>
        <w:tc>
          <w:tcPr>
            <w:tcW w:w="2387" w:type="dxa"/>
          </w:tcPr>
          <w:p w14:paraId="2BDC7E9C" w14:textId="571CA3CA" w:rsidR="0057749E" w:rsidRDefault="0057749E" w:rsidP="0057749E">
            <w:r>
              <w:t>НС</w:t>
            </w:r>
          </w:p>
        </w:tc>
        <w:tc>
          <w:tcPr>
            <w:tcW w:w="2385" w:type="dxa"/>
          </w:tcPr>
          <w:p w14:paraId="44F1FFFD" w14:textId="00C46D01" w:rsidR="0057749E" w:rsidRDefault="0057749E" w:rsidP="0057749E">
            <w:r>
              <w:t>НС</w:t>
            </w:r>
          </w:p>
        </w:tc>
      </w:tr>
      <w:tr w:rsidR="0057749E" w14:paraId="525D43F5" w14:textId="77777777" w:rsidTr="0057749E">
        <w:tc>
          <w:tcPr>
            <w:tcW w:w="9576" w:type="dxa"/>
            <w:gridSpan w:val="4"/>
          </w:tcPr>
          <w:p w14:paraId="0B04CDF1" w14:textId="77777777" w:rsidR="0057749E" w:rsidRDefault="0057749E" w:rsidP="009231C3"/>
        </w:tc>
      </w:tr>
      <w:tr w:rsidR="0057749E" w14:paraId="4F7D7610" w14:textId="77777777" w:rsidTr="0057749E">
        <w:tc>
          <w:tcPr>
            <w:tcW w:w="9576" w:type="dxa"/>
            <w:gridSpan w:val="4"/>
          </w:tcPr>
          <w:p w14:paraId="3AC26A86" w14:textId="05382D4D" w:rsidR="0057749E" w:rsidRPr="0057749E" w:rsidRDefault="0057749E" w:rsidP="0057749E">
            <w:pPr>
              <w:rPr>
                <w:i/>
              </w:rPr>
            </w:pPr>
            <w:r w:rsidRPr="0057749E">
              <w:rPr>
                <w:i/>
                <w:lang w:eastAsia="bg-BG"/>
              </w:rPr>
              <w:t>Нарушения на кожата и подкожната тъкан</w:t>
            </w:r>
          </w:p>
        </w:tc>
      </w:tr>
      <w:tr w:rsidR="0057749E" w14:paraId="40142336" w14:textId="77777777" w:rsidTr="009231C3">
        <w:tc>
          <w:tcPr>
            <w:tcW w:w="2411" w:type="dxa"/>
          </w:tcPr>
          <w:p w14:paraId="1B27266C" w14:textId="3715D8E0" w:rsidR="0057749E" w:rsidRDefault="0057749E" w:rsidP="0057749E">
            <w:r>
              <w:lastRenderedPageBreak/>
              <w:t>Обрив</w:t>
            </w:r>
          </w:p>
        </w:tc>
        <w:tc>
          <w:tcPr>
            <w:tcW w:w="2393" w:type="dxa"/>
          </w:tcPr>
          <w:p w14:paraId="47F9B235" w14:textId="5C2DEB9B" w:rsidR="0057749E" w:rsidRDefault="0057749E" w:rsidP="0057749E">
            <w:r>
              <w:t>НС</w:t>
            </w:r>
          </w:p>
        </w:tc>
        <w:tc>
          <w:tcPr>
            <w:tcW w:w="2387" w:type="dxa"/>
          </w:tcPr>
          <w:p w14:paraId="51368534" w14:textId="68B4782A" w:rsidR="0057749E" w:rsidRDefault="0057749E" w:rsidP="0057749E">
            <w:r>
              <w:t>Чести</w:t>
            </w:r>
            <w:r>
              <w:rPr>
                <w:vertAlign w:val="superscript"/>
              </w:rPr>
              <w:t>9</w:t>
            </w:r>
          </w:p>
        </w:tc>
        <w:tc>
          <w:tcPr>
            <w:tcW w:w="2385" w:type="dxa"/>
          </w:tcPr>
          <w:p w14:paraId="33A0EF96" w14:textId="6E72E1CF" w:rsidR="0057749E" w:rsidRDefault="0057749E" w:rsidP="0057749E">
            <w:r>
              <w:t>Чести</w:t>
            </w:r>
            <w:r>
              <w:rPr>
                <w:vertAlign w:val="superscript"/>
              </w:rPr>
              <w:t>9</w:t>
            </w:r>
          </w:p>
        </w:tc>
      </w:tr>
      <w:tr w:rsidR="0057749E" w14:paraId="3FB46AD8" w14:textId="77777777" w:rsidTr="0057749E">
        <w:tc>
          <w:tcPr>
            <w:tcW w:w="9576" w:type="dxa"/>
            <w:gridSpan w:val="4"/>
          </w:tcPr>
          <w:p w14:paraId="2D2D58CD" w14:textId="77777777" w:rsidR="0057749E" w:rsidRDefault="0057749E" w:rsidP="009231C3"/>
        </w:tc>
      </w:tr>
      <w:tr w:rsidR="0057749E" w14:paraId="77ACFC6F" w14:textId="77777777" w:rsidTr="0057749E">
        <w:tc>
          <w:tcPr>
            <w:tcW w:w="9576" w:type="dxa"/>
            <w:gridSpan w:val="4"/>
          </w:tcPr>
          <w:p w14:paraId="587E1308" w14:textId="73C6AA2D" w:rsidR="0057749E" w:rsidRPr="0057749E" w:rsidRDefault="0057749E" w:rsidP="0057749E">
            <w:pPr>
              <w:rPr>
                <w:i/>
              </w:rPr>
            </w:pPr>
            <w:r w:rsidRPr="0057749E">
              <w:rPr>
                <w:i/>
                <w:lang w:eastAsia="bg-BG"/>
              </w:rPr>
              <w:t>Общи нарушения и ефекти на мястото на приложение</w:t>
            </w:r>
          </w:p>
        </w:tc>
      </w:tr>
      <w:tr w:rsidR="0057749E" w14:paraId="2B3AD262" w14:textId="77777777" w:rsidTr="009231C3">
        <w:tc>
          <w:tcPr>
            <w:tcW w:w="2411" w:type="dxa"/>
          </w:tcPr>
          <w:p w14:paraId="425D290F" w14:textId="4CE2AC8D" w:rsidR="0057749E" w:rsidRDefault="0057749E" w:rsidP="0057749E">
            <w:r>
              <w:t>Периферен оток, задържане на течности</w:t>
            </w:r>
          </w:p>
        </w:tc>
        <w:tc>
          <w:tcPr>
            <w:tcW w:w="2393" w:type="dxa"/>
          </w:tcPr>
          <w:p w14:paraId="0AFCEC4F" w14:textId="2F028C91" w:rsidR="0057749E" w:rsidRDefault="0057749E" w:rsidP="0057749E">
            <w:r>
              <w:t>Много чести</w:t>
            </w:r>
          </w:p>
        </w:tc>
        <w:tc>
          <w:tcPr>
            <w:tcW w:w="2387" w:type="dxa"/>
          </w:tcPr>
          <w:p w14:paraId="24024D98" w14:textId="0FD76D5F" w:rsidR="0057749E" w:rsidRDefault="0057749E" w:rsidP="0057749E">
            <w:r>
              <w:t>Много чести</w:t>
            </w:r>
          </w:p>
        </w:tc>
        <w:tc>
          <w:tcPr>
            <w:tcW w:w="2385" w:type="dxa"/>
          </w:tcPr>
          <w:p w14:paraId="07679138" w14:textId="568B8F0E" w:rsidR="0057749E" w:rsidRDefault="0057749E" w:rsidP="0057749E">
            <w:r>
              <w:t>Много чести</w:t>
            </w:r>
          </w:p>
        </w:tc>
      </w:tr>
      <w:tr w:rsidR="0057749E" w14:paraId="5457B17C" w14:textId="77777777" w:rsidTr="009231C3">
        <w:tc>
          <w:tcPr>
            <w:tcW w:w="2411" w:type="dxa"/>
          </w:tcPr>
          <w:p w14:paraId="0AA5C68E" w14:textId="42FBF91B" w:rsidR="0057749E" w:rsidRDefault="0057749E" w:rsidP="0057749E">
            <w:r>
              <w:t>Болка в гърдите/дискомфорт</w:t>
            </w:r>
          </w:p>
        </w:tc>
        <w:tc>
          <w:tcPr>
            <w:tcW w:w="2393" w:type="dxa"/>
          </w:tcPr>
          <w:p w14:paraId="14BEFDF8" w14:textId="579065A9" w:rsidR="0057749E" w:rsidRDefault="0057749E" w:rsidP="0057749E">
            <w:r>
              <w:t>Чести</w:t>
            </w:r>
          </w:p>
        </w:tc>
        <w:tc>
          <w:tcPr>
            <w:tcW w:w="2387" w:type="dxa"/>
          </w:tcPr>
          <w:p w14:paraId="7E21D866" w14:textId="5998F0F7" w:rsidR="0057749E" w:rsidRDefault="0057749E" w:rsidP="0057749E">
            <w:r>
              <w:t>Чести</w:t>
            </w:r>
          </w:p>
        </w:tc>
        <w:tc>
          <w:tcPr>
            <w:tcW w:w="2385" w:type="dxa"/>
          </w:tcPr>
          <w:p w14:paraId="7377C1EE" w14:textId="5B611523" w:rsidR="0057749E" w:rsidRDefault="0057749E" w:rsidP="0057749E">
            <w:r>
              <w:t>Много чести</w:t>
            </w:r>
          </w:p>
        </w:tc>
      </w:tr>
      <w:tr w:rsidR="0057749E" w14:paraId="19302074" w14:textId="77777777" w:rsidTr="009231C3">
        <w:tc>
          <w:tcPr>
            <w:tcW w:w="2411" w:type="dxa"/>
          </w:tcPr>
          <w:p w14:paraId="4340BCC9" w14:textId="3674BEA6" w:rsidR="0057749E" w:rsidRDefault="0057749E" w:rsidP="0057749E">
            <w:r>
              <w:t>Астения</w:t>
            </w:r>
          </w:p>
        </w:tc>
        <w:tc>
          <w:tcPr>
            <w:tcW w:w="2393" w:type="dxa"/>
          </w:tcPr>
          <w:p w14:paraId="25974396" w14:textId="37C2C577" w:rsidR="0057749E" w:rsidRDefault="0057749E" w:rsidP="0057749E">
            <w:r>
              <w:t>Чести</w:t>
            </w:r>
            <w:r>
              <w:rPr>
                <w:vertAlign w:val="superscript"/>
              </w:rPr>
              <w:t>3</w:t>
            </w:r>
          </w:p>
        </w:tc>
        <w:tc>
          <w:tcPr>
            <w:tcW w:w="2387" w:type="dxa"/>
          </w:tcPr>
          <w:p w14:paraId="37089FCB" w14:textId="461E33EE" w:rsidR="0057749E" w:rsidRDefault="0057749E" w:rsidP="0057749E">
            <w:r>
              <w:t>Чести</w:t>
            </w:r>
          </w:p>
        </w:tc>
        <w:tc>
          <w:tcPr>
            <w:tcW w:w="2385" w:type="dxa"/>
          </w:tcPr>
          <w:p w14:paraId="60E70177" w14:textId="0FBB192A" w:rsidR="0057749E" w:rsidRDefault="0057749E" w:rsidP="0057749E">
            <w:r>
              <w:t>Чести</w:t>
            </w:r>
          </w:p>
        </w:tc>
      </w:tr>
      <w:tr w:rsidR="0057749E" w14:paraId="2A977039" w14:textId="77777777" w:rsidTr="009231C3">
        <w:tc>
          <w:tcPr>
            <w:tcW w:w="2411" w:type="dxa"/>
          </w:tcPr>
          <w:p w14:paraId="6659BD08" w14:textId="17C122B9" w:rsidR="0057749E" w:rsidRDefault="0057749E" w:rsidP="0057749E">
            <w:r>
              <w:t>Умора</w:t>
            </w:r>
          </w:p>
        </w:tc>
        <w:tc>
          <w:tcPr>
            <w:tcW w:w="2393" w:type="dxa"/>
          </w:tcPr>
          <w:p w14:paraId="1BB5D345" w14:textId="675DCB1A" w:rsidR="0057749E" w:rsidRDefault="0057749E" w:rsidP="0057749E">
            <w:r>
              <w:t>Чести</w:t>
            </w:r>
            <w:r>
              <w:rPr>
                <w:vertAlign w:val="superscript"/>
              </w:rPr>
              <w:t>3</w:t>
            </w:r>
          </w:p>
        </w:tc>
        <w:tc>
          <w:tcPr>
            <w:tcW w:w="2387" w:type="dxa"/>
          </w:tcPr>
          <w:p w14:paraId="2976BF1B" w14:textId="1445919E" w:rsidR="0057749E" w:rsidRDefault="0057749E" w:rsidP="0057749E">
            <w:r>
              <w:t>Много чести</w:t>
            </w:r>
          </w:p>
        </w:tc>
        <w:tc>
          <w:tcPr>
            <w:tcW w:w="2385" w:type="dxa"/>
          </w:tcPr>
          <w:p w14:paraId="4B8E3BC2" w14:textId="4BF026D3" w:rsidR="0057749E" w:rsidRDefault="0057749E" w:rsidP="0057749E">
            <w:r>
              <w:t>Много чести</w:t>
            </w:r>
          </w:p>
        </w:tc>
      </w:tr>
    </w:tbl>
    <w:p w14:paraId="4F878F28" w14:textId="77777777" w:rsidR="0057749E" w:rsidRPr="0057749E" w:rsidRDefault="0057749E" w:rsidP="0057749E">
      <w:pPr>
        <w:spacing w:line="240" w:lineRule="auto"/>
        <w:rPr>
          <w:rFonts w:eastAsia="Times New Roman" w:cs="Arial"/>
        </w:rPr>
      </w:pPr>
      <w:r w:rsidRPr="0057749E">
        <w:rPr>
          <w:rFonts w:eastAsia="Times New Roman" w:cs="Arial"/>
          <w:color w:val="000000"/>
          <w:lang w:eastAsia="bg-BG"/>
        </w:rPr>
        <w:t>НС — не се съобщава</w:t>
      </w:r>
    </w:p>
    <w:p w14:paraId="1E8BCFCB" w14:textId="691F9AA7" w:rsidR="0057749E" w:rsidRP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1.Вижте раздел „Описание на избрани нежелани реакции”.</w:t>
      </w:r>
    </w:p>
    <w:p w14:paraId="74AF658D" w14:textId="5C0C123E" w:rsidR="0057749E" w:rsidRP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 xml:space="preserve">2.Честотата на главоболие е по-висока при 10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амбрисентан.</w:t>
      </w:r>
    </w:p>
    <w:p w14:paraId="07D7C504" w14:textId="58F9EF2E" w:rsidR="0057749E" w:rsidRP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3.Данни, получени от рутинно проследяване на лекарствената безопасност и честоти, базирани на опита от плацебо-контролирано клинично изпитване.</w:t>
      </w:r>
    </w:p>
    <w:p w14:paraId="7BADE86A" w14:textId="12D85866" w:rsidR="0057749E" w:rsidRP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4.Данни, получени от рутинно проследяване на лекарствената безопасност.</w:t>
      </w:r>
    </w:p>
    <w:p w14:paraId="59BA3307" w14:textId="142C691E" w:rsidR="0057749E" w:rsidRP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5.Повечето от докладваните случаи на сърдечна недостатъчност са свързани със задържане на течности. Данните са получени от рутинно проследяване на лекарствената безопасност, честотите са на базата на статистическо моделиране на данни от плацебо-контролирано клинично изпитване.</w:t>
      </w:r>
    </w:p>
    <w:p w14:paraId="57446B95" w14:textId="7540CE82" w:rsidR="0057749E" w:rsidRP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6.Случаи на влошаване на диспнеята, с неясна етиология са съобщавани скоро след започване на лечението с амбрисентан.</w:t>
      </w:r>
    </w:p>
    <w:p w14:paraId="76E01D60" w14:textId="62E1722C" w:rsidR="0057749E" w:rsidRP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7.Честотата на назална конгестия е дозозависима по време на лечение с амбрисентан.</w:t>
      </w:r>
    </w:p>
    <w:p w14:paraId="0ED3DB72" w14:textId="76A4DA05" w:rsidR="0057749E" w:rsidRP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8.Съобщавани са случаи на автоимунен хепатит, включително случаи на обостряне на автоимунен хепатит и чернодробно увреждане по време на лечение с амбрисентан.</w:t>
      </w:r>
    </w:p>
    <w:p w14:paraId="709669B8" w14:textId="798C16FA" w:rsidR="0057749E" w:rsidRP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9.Обривът включва еритематозен обрив, генерализиран обрив, папулозен обрив и сърбящ обрив.</w:t>
      </w:r>
    </w:p>
    <w:p w14:paraId="18A98247" w14:textId="77777777" w:rsidR="0057749E" w:rsidRPr="0057749E" w:rsidRDefault="0057749E" w:rsidP="0057749E">
      <w:pPr>
        <w:spacing w:line="240" w:lineRule="auto"/>
        <w:rPr>
          <w:rFonts w:eastAsia="Times New Roman" w:cs="Arial"/>
          <w:color w:val="000000"/>
          <w:u w:val="single"/>
          <w:lang w:eastAsia="bg-BG"/>
        </w:rPr>
      </w:pPr>
    </w:p>
    <w:p w14:paraId="5562B8B8" w14:textId="7120F6D0" w:rsidR="0057749E" w:rsidRPr="0057749E" w:rsidRDefault="0057749E" w:rsidP="0057749E">
      <w:pPr>
        <w:spacing w:line="240" w:lineRule="auto"/>
        <w:rPr>
          <w:rFonts w:eastAsia="Times New Roman" w:cs="Arial"/>
        </w:rPr>
      </w:pPr>
      <w:r w:rsidRPr="0057749E">
        <w:rPr>
          <w:rFonts w:eastAsia="Times New Roman" w:cs="Arial"/>
          <w:color w:val="000000"/>
          <w:u w:val="single"/>
          <w:lang w:eastAsia="bg-BG"/>
        </w:rPr>
        <w:t>Описание на избрани нежелани реакции</w:t>
      </w:r>
    </w:p>
    <w:p w14:paraId="475554DE" w14:textId="77777777" w:rsidR="0057749E" w:rsidRPr="0057749E" w:rsidRDefault="0057749E" w:rsidP="0057749E">
      <w:pPr>
        <w:spacing w:line="240" w:lineRule="auto"/>
        <w:rPr>
          <w:rFonts w:eastAsia="Times New Roman" w:cs="Arial"/>
        </w:rPr>
      </w:pPr>
      <w:r w:rsidRPr="0057749E">
        <w:rPr>
          <w:rFonts w:eastAsia="Times New Roman" w:cs="Arial"/>
          <w:i/>
          <w:iCs/>
          <w:color w:val="000000"/>
          <w:u w:val="single"/>
          <w:lang w:eastAsia="bg-BG"/>
        </w:rPr>
        <w:t>Понижен хемоглобин</w:t>
      </w:r>
    </w:p>
    <w:p w14:paraId="2FA5A350" w14:textId="77777777" w:rsidR="0057749E" w:rsidRPr="0057749E" w:rsidRDefault="0057749E" w:rsidP="0057749E">
      <w:pPr>
        <w:spacing w:line="240" w:lineRule="auto"/>
        <w:rPr>
          <w:rFonts w:eastAsia="Times New Roman" w:cs="Arial"/>
        </w:rPr>
      </w:pPr>
      <w:r w:rsidRPr="0057749E">
        <w:rPr>
          <w:rFonts w:eastAsia="Times New Roman" w:cs="Arial"/>
          <w:color w:val="000000"/>
          <w:lang w:eastAsia="bg-BG"/>
        </w:rPr>
        <w:t xml:space="preserve">В постмаркетинговия период са докладвани случаи на анемия, изискващи трансфузия на кръвни клетки (вж. точка 4.4). Честотата на понижаване на хемоглобина (анемия) е по-висока при приложение на амбрисентан 10 </w:t>
      </w:r>
      <w:r w:rsidRPr="0057749E">
        <w:rPr>
          <w:rFonts w:eastAsia="Times New Roman" w:cs="Arial"/>
          <w:color w:val="000000"/>
          <w:lang w:val="en-US"/>
        </w:rPr>
        <w:t>mg</w:t>
      </w:r>
      <w:r w:rsidRPr="0057749E">
        <w:rPr>
          <w:rFonts w:eastAsia="Times New Roman" w:cs="Arial"/>
          <w:color w:val="000000"/>
          <w:lang w:val="ru-RU"/>
        </w:rPr>
        <w:t>.</w:t>
      </w:r>
    </w:p>
    <w:p w14:paraId="37592F1A" w14:textId="77777777" w:rsidR="0057749E" w:rsidRPr="0057749E" w:rsidRDefault="0057749E" w:rsidP="0057749E">
      <w:pPr>
        <w:rPr>
          <w:rFonts w:eastAsia="Times New Roman" w:cs="Arial"/>
        </w:rPr>
      </w:pPr>
      <w:r w:rsidRPr="0057749E">
        <w:rPr>
          <w:rFonts w:eastAsia="Times New Roman" w:cs="Arial"/>
          <w:color w:val="000000"/>
          <w:lang w:eastAsia="bg-BG"/>
        </w:rPr>
        <w:t xml:space="preserve">По време на 12-седмични плацебо-контролирани фаза 3 клинични проучвания, средните концентрации на хемоглобина се понижават при пациентите в групите, приемащи амбрисентан, и са отчетени още на 4-та седмица (понижение с 0,83 </w:t>
      </w:r>
      <w:r w:rsidRPr="0057749E">
        <w:rPr>
          <w:rFonts w:eastAsia="Times New Roman" w:cs="Arial"/>
          <w:color w:val="000000"/>
          <w:lang w:val="en-US"/>
        </w:rPr>
        <w:t>g</w:t>
      </w:r>
      <w:r w:rsidRPr="0057749E">
        <w:rPr>
          <w:rFonts w:eastAsia="Times New Roman" w:cs="Arial"/>
          <w:color w:val="000000"/>
          <w:lang w:val="ru-RU"/>
        </w:rPr>
        <w:t>/</w:t>
      </w:r>
      <w:r w:rsidRPr="0057749E">
        <w:rPr>
          <w:rFonts w:eastAsia="Times New Roman" w:cs="Arial"/>
          <w:color w:val="000000"/>
          <w:lang w:val="en-US"/>
        </w:rPr>
        <w:t>dl</w:t>
      </w:r>
      <w:r w:rsidRPr="0057749E">
        <w:rPr>
          <w:rFonts w:eastAsia="Times New Roman" w:cs="Arial"/>
          <w:color w:val="000000"/>
          <w:lang w:val="ru-RU"/>
        </w:rPr>
        <w:t xml:space="preserve">); </w:t>
      </w:r>
      <w:r w:rsidRPr="0057749E">
        <w:rPr>
          <w:rFonts w:eastAsia="Times New Roman" w:cs="Arial"/>
          <w:color w:val="000000"/>
          <w:lang w:eastAsia="bg-BG"/>
        </w:rPr>
        <w:t>средни промени от изходното ниво се стабилизират през следващите 8 седмици. Общо 17 пациенти (6,5%) в групите на лечение с амбрисентан имат понижаване на хемоглобина ≥ 15% от изходното ниво, което е под долната граница на нормата.</w:t>
      </w:r>
    </w:p>
    <w:p w14:paraId="6D81FC9F" w14:textId="77777777" w:rsidR="0057749E" w:rsidRPr="0057749E" w:rsidRDefault="0057749E" w:rsidP="0057749E">
      <w:pPr>
        <w:spacing w:line="240" w:lineRule="auto"/>
        <w:rPr>
          <w:rFonts w:eastAsia="Times New Roman" w:cs="Arial"/>
          <w:color w:val="000000"/>
          <w:u w:val="single"/>
          <w:lang w:eastAsia="bg-BG"/>
        </w:rPr>
      </w:pPr>
    </w:p>
    <w:p w14:paraId="7370B6DC" w14:textId="0BAC5693" w:rsidR="0057749E" w:rsidRPr="0057749E" w:rsidRDefault="0057749E" w:rsidP="0057749E">
      <w:pPr>
        <w:spacing w:line="240" w:lineRule="auto"/>
        <w:rPr>
          <w:rFonts w:eastAsia="Times New Roman" w:cs="Arial"/>
        </w:rPr>
      </w:pPr>
      <w:r w:rsidRPr="0057749E">
        <w:rPr>
          <w:rFonts w:eastAsia="Times New Roman" w:cs="Arial"/>
          <w:color w:val="000000"/>
          <w:u w:val="single"/>
          <w:lang w:eastAsia="bg-BG"/>
        </w:rPr>
        <w:t>Съобщаване на подозирани нежелани реакции</w:t>
      </w:r>
    </w:p>
    <w:p w14:paraId="4623FB86" w14:textId="0FB77265" w:rsidR="0057749E" w:rsidRPr="0057749E" w:rsidRDefault="0057749E" w:rsidP="0057749E">
      <w:pPr>
        <w:spacing w:line="240" w:lineRule="auto"/>
        <w:rPr>
          <w:rFonts w:eastAsia="Times New Roman" w:cs="Arial"/>
        </w:rPr>
      </w:pPr>
      <w:r w:rsidRPr="0057749E">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+359 2 8903417, уебсайт: </w:t>
      </w:r>
      <w:r w:rsidRPr="0057749E">
        <w:rPr>
          <w:rFonts w:eastAsia="Times New Roman" w:cs="Arial"/>
        </w:rPr>
        <w:fldChar w:fldCharType="begin"/>
      </w:r>
      <w:r w:rsidRPr="0057749E">
        <w:rPr>
          <w:rFonts w:eastAsia="Times New Roman" w:cs="Arial"/>
        </w:rPr>
        <w:instrText xml:space="preserve"> HYPERLINK "http://www.bda.bg" </w:instrText>
      </w:r>
      <w:r w:rsidRPr="0057749E">
        <w:rPr>
          <w:rFonts w:eastAsia="Times New Roman" w:cs="Arial"/>
        </w:rPr>
      </w:r>
      <w:r w:rsidRPr="0057749E">
        <w:rPr>
          <w:rFonts w:eastAsia="Times New Roman" w:cs="Arial"/>
        </w:rPr>
        <w:fldChar w:fldCharType="separate"/>
      </w:r>
      <w:r w:rsidRPr="0057749E">
        <w:rPr>
          <w:rFonts w:eastAsia="Times New Roman" w:cs="Arial"/>
          <w:color w:val="000000"/>
          <w:u w:val="single"/>
          <w:lang w:val="en-US"/>
        </w:rPr>
        <w:t>www</w:t>
      </w:r>
      <w:r w:rsidRPr="0057749E">
        <w:rPr>
          <w:rFonts w:eastAsia="Times New Roman" w:cs="Arial"/>
          <w:color w:val="000000"/>
          <w:u w:val="single"/>
          <w:lang w:val="ru-RU"/>
        </w:rPr>
        <w:t>.</w:t>
      </w:r>
      <w:proofErr w:type="spellStart"/>
      <w:r w:rsidRPr="0057749E">
        <w:rPr>
          <w:rFonts w:eastAsia="Times New Roman" w:cs="Arial"/>
          <w:color w:val="000000"/>
          <w:u w:val="single"/>
          <w:lang w:val="en-US"/>
        </w:rPr>
        <w:t>bda</w:t>
      </w:r>
      <w:proofErr w:type="spellEnd"/>
      <w:r w:rsidRPr="0057749E">
        <w:rPr>
          <w:rFonts w:eastAsia="Times New Roman" w:cs="Arial"/>
          <w:color w:val="000000"/>
          <w:u w:val="single"/>
          <w:lang w:val="ru-RU"/>
        </w:rPr>
        <w:t>.</w:t>
      </w:r>
      <w:proofErr w:type="spellStart"/>
      <w:r w:rsidRPr="0057749E">
        <w:rPr>
          <w:rFonts w:eastAsia="Times New Roman" w:cs="Arial"/>
          <w:color w:val="000000"/>
          <w:u w:val="single"/>
          <w:lang w:val="en-US"/>
        </w:rPr>
        <w:t>bg</w:t>
      </w:r>
      <w:proofErr w:type="spellEnd"/>
      <w:r w:rsidRPr="0057749E">
        <w:rPr>
          <w:rFonts w:eastAsia="Times New Roman" w:cs="Arial"/>
        </w:rPr>
        <w:fldChar w:fldCharType="end"/>
      </w:r>
      <w:r w:rsidRPr="0057749E">
        <w:rPr>
          <w:rFonts w:eastAsia="Times New Roman" w:cs="Arial"/>
          <w:color w:val="000000"/>
          <w:lang w:val="ru-RU"/>
        </w:rPr>
        <w:t>.</w:t>
      </w:r>
    </w:p>
    <w:p w14:paraId="007705AA" w14:textId="0E5A72DA" w:rsidR="0057749E" w:rsidRPr="0057749E" w:rsidRDefault="0057749E" w:rsidP="0057749E">
      <w:pPr>
        <w:spacing w:line="240" w:lineRule="auto"/>
        <w:rPr>
          <w:rFonts w:ascii="Times New Roman" w:eastAsia="Times New Roman" w:hAnsi="Times New Roman" w:cs="Times New Roman"/>
          <w:sz w:val="24"/>
          <w:szCs w:val="24"/>
        </w:rPr>
      </w:pPr>
    </w:p>
    <w:p w14:paraId="2ACE54F6" w14:textId="77777777" w:rsidR="009231C3" w:rsidRPr="009231C3" w:rsidRDefault="009231C3" w:rsidP="009231C3"/>
    <w:p w14:paraId="27DB8793" w14:textId="1F5BAAA1" w:rsidR="009231C3" w:rsidRDefault="002C50EE" w:rsidP="009231C3">
      <w:pPr>
        <w:pStyle w:val="Heading2"/>
      </w:pPr>
      <w:r>
        <w:lastRenderedPageBreak/>
        <w:t>4.9. Предозиране</w:t>
      </w:r>
    </w:p>
    <w:p w14:paraId="50F2322F" w14:textId="77777777" w:rsidR="0057749E" w:rsidRDefault="0057749E" w:rsidP="0057749E">
      <w:pPr>
        <w:spacing w:line="240" w:lineRule="auto"/>
      </w:pPr>
    </w:p>
    <w:p w14:paraId="6F751D5C" w14:textId="52598FE5" w:rsidR="0057749E" w:rsidRPr="0057749E" w:rsidRDefault="0057749E" w:rsidP="0057749E">
      <w:pPr>
        <w:rPr>
          <w:sz w:val="24"/>
          <w:szCs w:val="24"/>
        </w:rPr>
      </w:pPr>
      <w:r w:rsidRPr="0057749E">
        <w:rPr>
          <w:lang w:eastAsia="bg-BG"/>
        </w:rPr>
        <w:t xml:space="preserve">При пациенти с БАХ няма опит от прилагане на амбрисентан в дневни дози, по-високи от 10 </w:t>
      </w:r>
      <w:r w:rsidRPr="0057749E">
        <w:rPr>
          <w:lang w:val="en-US"/>
        </w:rPr>
        <w:t>mg</w:t>
      </w:r>
      <w:r w:rsidRPr="0057749E">
        <w:rPr>
          <w:lang w:val="ru-RU"/>
        </w:rPr>
        <w:t xml:space="preserve">. </w:t>
      </w:r>
      <w:r w:rsidRPr="0057749E">
        <w:rPr>
          <w:lang w:eastAsia="bg-BG"/>
        </w:rPr>
        <w:t xml:space="preserve">При здрави доброволци, единични дози от 50 и 100 </w:t>
      </w:r>
      <w:r w:rsidRPr="0057749E">
        <w:rPr>
          <w:lang w:val="en-US"/>
        </w:rPr>
        <w:t>mg</w:t>
      </w:r>
      <w:r w:rsidRPr="0057749E">
        <w:rPr>
          <w:lang w:val="ru-RU"/>
        </w:rPr>
        <w:t xml:space="preserve"> </w:t>
      </w:r>
      <w:r w:rsidRPr="0057749E">
        <w:rPr>
          <w:lang w:eastAsia="bg-BG"/>
        </w:rPr>
        <w:t>(5 до 10 пъти над максималната препоръчителна доза) са свързани с главоболие, зачервяване, замайване, гадене и назална конгестия.</w:t>
      </w:r>
    </w:p>
    <w:p w14:paraId="100B5532" w14:textId="77777777" w:rsidR="0057749E" w:rsidRDefault="0057749E" w:rsidP="0057749E">
      <w:pPr>
        <w:rPr>
          <w:lang w:eastAsia="bg-BG"/>
        </w:rPr>
      </w:pPr>
    </w:p>
    <w:p w14:paraId="7AF44CA0" w14:textId="092CA039" w:rsidR="0057749E" w:rsidRPr="0057749E" w:rsidRDefault="0057749E" w:rsidP="0057749E">
      <w:pPr>
        <w:rPr>
          <w:sz w:val="24"/>
          <w:szCs w:val="24"/>
        </w:rPr>
      </w:pPr>
      <w:r w:rsidRPr="0057749E">
        <w:rPr>
          <w:lang w:eastAsia="bg-BG"/>
        </w:rPr>
        <w:t>Поради механизма на действие, предозирането с амбрисентан е възможно да доведе до хипотония (вж. точка 5.3). В случай на изразена хипотония, може да се наложи активна сърдечно-съдова реанимация. Няма специфичен антидот.</w:t>
      </w:r>
    </w:p>
    <w:p w14:paraId="7E2403D1" w14:textId="77777777" w:rsidR="0057749E" w:rsidRPr="0057749E" w:rsidRDefault="0057749E" w:rsidP="0057749E"/>
    <w:p w14:paraId="02081B24" w14:textId="1F46E296" w:rsidR="00395555" w:rsidRPr="00395555" w:rsidRDefault="002C50EE" w:rsidP="008A6AF2">
      <w:pPr>
        <w:pStyle w:val="Heading1"/>
      </w:pPr>
      <w:r>
        <w:t>5. ФАРМАКОЛОГИЧНИ СВОЙСТВА</w:t>
      </w:r>
    </w:p>
    <w:p w14:paraId="32B6DE66" w14:textId="767C27C9" w:rsidR="00CF77F7" w:rsidRDefault="002C50EE" w:rsidP="004A448E">
      <w:pPr>
        <w:pStyle w:val="Heading2"/>
      </w:pPr>
      <w:r>
        <w:t>5.1. Фармакодинамични свойства</w:t>
      </w:r>
    </w:p>
    <w:p w14:paraId="140F4DBF" w14:textId="2A265874" w:rsidR="0057749E" w:rsidRDefault="0057749E" w:rsidP="0057749E"/>
    <w:p w14:paraId="03B79FF9" w14:textId="77777777"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Фармакотерапевтична група: Антихипертензивни средства, други антихипертензивни средства, АТС код: С02КХ02</w:t>
      </w:r>
    </w:p>
    <w:p w14:paraId="3DE6B378" w14:textId="77777777" w:rsidR="0057749E" w:rsidRDefault="0057749E" w:rsidP="0057749E">
      <w:pPr>
        <w:spacing w:line="240" w:lineRule="auto"/>
        <w:rPr>
          <w:rFonts w:eastAsia="Times New Roman" w:cs="Arial"/>
          <w:color w:val="000000"/>
          <w:u w:val="single"/>
          <w:lang w:eastAsia="bg-BG"/>
        </w:rPr>
      </w:pPr>
    </w:p>
    <w:p w14:paraId="3680D8FE" w14:textId="2864CBAF" w:rsidR="0057749E" w:rsidRPr="0057749E" w:rsidRDefault="0057749E" w:rsidP="0057749E">
      <w:pPr>
        <w:spacing w:line="240" w:lineRule="auto"/>
        <w:rPr>
          <w:rFonts w:eastAsia="Times New Roman" w:cs="Arial"/>
          <w:sz w:val="24"/>
          <w:szCs w:val="24"/>
        </w:rPr>
      </w:pPr>
      <w:r w:rsidRPr="0057749E">
        <w:rPr>
          <w:rFonts w:eastAsia="Times New Roman" w:cs="Arial"/>
          <w:color w:val="000000"/>
          <w:u w:val="single"/>
          <w:lang w:eastAsia="bg-BG"/>
        </w:rPr>
        <w:t>Механизъм на действие</w:t>
      </w:r>
    </w:p>
    <w:p w14:paraId="08116853" w14:textId="77777777"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 xml:space="preserve">Амбрисентан е перорално активен антагонист на ендотелиновите рецептори (ЕРА) от класа на пропановата киселина, селективен за рецептора на ендотелин А </w:t>
      </w:r>
      <w:r w:rsidRPr="0057749E">
        <w:rPr>
          <w:rFonts w:eastAsia="Times New Roman" w:cs="Arial"/>
          <w:smallCaps/>
          <w:color w:val="000000"/>
          <w:lang w:eastAsia="bg-BG"/>
        </w:rPr>
        <w:t>(ЕТ</w:t>
      </w:r>
      <w:r w:rsidRPr="0057749E">
        <w:rPr>
          <w:rFonts w:eastAsia="Times New Roman" w:cs="Arial"/>
          <w:smallCaps/>
          <w:color w:val="000000"/>
          <w:vertAlign w:val="subscript"/>
          <w:lang w:eastAsia="bg-BG"/>
        </w:rPr>
        <w:t>а</w:t>
      </w:r>
      <w:r w:rsidRPr="0057749E">
        <w:rPr>
          <w:rFonts w:eastAsia="Times New Roman" w:cs="Arial"/>
          <w:smallCaps/>
          <w:color w:val="000000"/>
          <w:lang w:eastAsia="bg-BG"/>
        </w:rPr>
        <w:t>).</w:t>
      </w:r>
      <w:r w:rsidRPr="0057749E">
        <w:rPr>
          <w:rFonts w:eastAsia="Times New Roman" w:cs="Arial"/>
          <w:color w:val="000000"/>
          <w:lang w:eastAsia="bg-BG"/>
        </w:rPr>
        <w:t xml:space="preserve"> Ендотелинът играе съществена роля в патофизиологията на БАХ.</w:t>
      </w:r>
    </w:p>
    <w:p w14:paraId="00E52F43" w14:textId="77777777" w:rsidR="0057749E" w:rsidRDefault="0057749E" w:rsidP="0057749E">
      <w:pPr>
        <w:spacing w:line="240" w:lineRule="auto"/>
        <w:rPr>
          <w:rFonts w:eastAsia="Times New Roman" w:cs="Arial"/>
          <w:color w:val="000000"/>
          <w:lang w:eastAsia="bg-BG"/>
        </w:rPr>
      </w:pPr>
    </w:p>
    <w:p w14:paraId="5864E473" w14:textId="77777777" w:rsidR="0057749E" w:rsidRDefault="0057749E" w:rsidP="0057749E">
      <w:pPr>
        <w:pStyle w:val="ListParagraph"/>
        <w:numPr>
          <w:ilvl w:val="0"/>
          <w:numId w:val="36"/>
        </w:numPr>
        <w:spacing w:line="240" w:lineRule="auto"/>
        <w:rPr>
          <w:rFonts w:eastAsia="Times New Roman" w:cs="Arial"/>
          <w:color w:val="000000"/>
          <w:lang w:eastAsia="bg-BG"/>
        </w:rPr>
      </w:pPr>
      <w:r w:rsidRPr="0057749E">
        <w:rPr>
          <w:rFonts w:eastAsia="Times New Roman" w:cs="Arial"/>
          <w:color w:val="000000"/>
          <w:lang w:eastAsia="bg-BG"/>
        </w:rPr>
        <w:t xml:space="preserve">Амбрисентан е мощен </w:t>
      </w:r>
      <w:r w:rsidRPr="0057749E">
        <w:rPr>
          <w:rFonts w:eastAsia="Times New Roman" w:cs="Arial"/>
          <w:color w:val="000000"/>
          <w:lang w:val="ru-RU"/>
        </w:rPr>
        <w:t>(</w:t>
      </w:r>
      <w:r w:rsidRPr="0057749E">
        <w:rPr>
          <w:rFonts w:eastAsia="Times New Roman" w:cs="Arial"/>
          <w:color w:val="000000"/>
          <w:lang w:val="en-US"/>
        </w:rPr>
        <w:t>Ki</w:t>
      </w:r>
      <w:r w:rsidRPr="0057749E">
        <w:rPr>
          <w:rFonts w:eastAsia="Times New Roman" w:cs="Arial"/>
          <w:color w:val="000000"/>
          <w:lang w:val="ru-RU"/>
        </w:rPr>
        <w:t xml:space="preserve"> </w:t>
      </w:r>
      <w:r w:rsidRPr="0057749E">
        <w:rPr>
          <w:rFonts w:eastAsia="Times New Roman" w:cs="Arial"/>
          <w:color w:val="000000"/>
          <w:lang w:eastAsia="bg-BG"/>
        </w:rPr>
        <w:t xml:space="preserve">0,016 </w:t>
      </w:r>
      <w:r w:rsidRPr="0057749E">
        <w:rPr>
          <w:rFonts w:eastAsia="Times New Roman" w:cs="Arial"/>
          <w:color w:val="000000"/>
          <w:lang w:val="en-US"/>
        </w:rPr>
        <w:t>n</w:t>
      </w:r>
      <w:r w:rsidRPr="0057749E">
        <w:rPr>
          <w:rFonts w:eastAsia="Times New Roman" w:cs="Arial"/>
          <w:color w:val="000000"/>
          <w:lang w:eastAsia="bg-BG"/>
        </w:rPr>
        <w:t xml:space="preserve">М) и високоселективен </w:t>
      </w:r>
      <w:r w:rsidRPr="0057749E">
        <w:rPr>
          <w:rFonts w:eastAsia="Times New Roman" w:cs="Arial"/>
          <w:smallCaps/>
          <w:color w:val="000000"/>
          <w:lang w:eastAsia="bg-BG"/>
        </w:rPr>
        <w:t>ЕТ</w:t>
      </w:r>
      <w:r w:rsidRPr="0057749E">
        <w:rPr>
          <w:rFonts w:eastAsia="Times New Roman" w:cs="Arial"/>
          <w:smallCaps/>
          <w:color w:val="000000"/>
          <w:vertAlign w:val="subscript"/>
          <w:lang w:eastAsia="bg-BG"/>
        </w:rPr>
        <w:t>а</w:t>
      </w:r>
      <w:r w:rsidRPr="0057749E">
        <w:rPr>
          <w:rFonts w:eastAsia="Times New Roman" w:cs="Arial"/>
          <w:color w:val="000000"/>
          <w:lang w:eastAsia="bg-BG"/>
        </w:rPr>
        <w:t xml:space="preserve"> антагонист (приблизително 4 000 пъти по-селективен към </w:t>
      </w:r>
      <w:r w:rsidRPr="0057749E">
        <w:rPr>
          <w:rFonts w:eastAsia="Times New Roman" w:cs="Arial"/>
          <w:smallCaps/>
          <w:color w:val="000000"/>
          <w:lang w:eastAsia="bg-BG"/>
        </w:rPr>
        <w:t>ЕТ</w:t>
      </w:r>
      <w:r w:rsidRPr="0057749E">
        <w:rPr>
          <w:rFonts w:eastAsia="Times New Roman" w:cs="Arial"/>
          <w:smallCaps/>
          <w:color w:val="000000"/>
          <w:vertAlign w:val="subscript"/>
          <w:lang w:eastAsia="bg-BG"/>
        </w:rPr>
        <w:t>а</w:t>
      </w:r>
      <w:r w:rsidRPr="0057749E">
        <w:rPr>
          <w:rFonts w:eastAsia="Times New Roman" w:cs="Arial"/>
          <w:smallCaps/>
          <w:color w:val="000000"/>
          <w:lang w:eastAsia="bg-BG"/>
        </w:rPr>
        <w:t>, в</w:t>
      </w:r>
      <w:r w:rsidRPr="0057749E">
        <w:rPr>
          <w:rFonts w:eastAsia="Times New Roman" w:cs="Arial"/>
          <w:color w:val="000000"/>
          <w:lang w:eastAsia="bg-BG"/>
        </w:rPr>
        <w:t xml:space="preserve"> сравнение с ЕТв).</w:t>
      </w:r>
    </w:p>
    <w:p w14:paraId="36FD04B3" w14:textId="77777777" w:rsidR="0057749E" w:rsidRDefault="0057749E" w:rsidP="0057749E">
      <w:pPr>
        <w:pStyle w:val="ListParagraph"/>
        <w:numPr>
          <w:ilvl w:val="0"/>
          <w:numId w:val="36"/>
        </w:numPr>
        <w:spacing w:line="240" w:lineRule="auto"/>
        <w:rPr>
          <w:rFonts w:eastAsia="Times New Roman" w:cs="Arial"/>
          <w:color w:val="000000"/>
          <w:lang w:eastAsia="bg-BG"/>
        </w:rPr>
      </w:pPr>
      <w:r w:rsidRPr="0057749E">
        <w:rPr>
          <w:rFonts w:eastAsia="Times New Roman" w:cs="Arial"/>
          <w:color w:val="000000"/>
          <w:lang w:eastAsia="bg-BG"/>
        </w:rPr>
        <w:t xml:space="preserve">Амбрисентан блокира рецепторния субтип </w:t>
      </w:r>
      <w:r w:rsidRPr="0057749E">
        <w:rPr>
          <w:rFonts w:eastAsia="Times New Roman" w:cs="Arial"/>
          <w:smallCaps/>
          <w:color w:val="000000"/>
          <w:lang w:eastAsia="bg-BG"/>
        </w:rPr>
        <w:t>ЕТ</w:t>
      </w:r>
      <w:r w:rsidRPr="0057749E">
        <w:rPr>
          <w:rFonts w:eastAsia="Times New Roman" w:cs="Arial"/>
          <w:smallCaps/>
          <w:color w:val="000000"/>
          <w:vertAlign w:val="subscript"/>
          <w:lang w:eastAsia="bg-BG"/>
        </w:rPr>
        <w:t>а</w:t>
      </w:r>
      <w:r w:rsidRPr="0057749E">
        <w:rPr>
          <w:rFonts w:eastAsia="Times New Roman" w:cs="Arial"/>
          <w:smallCaps/>
          <w:color w:val="000000"/>
          <w:lang w:eastAsia="bg-BG"/>
        </w:rPr>
        <w:t>,</w:t>
      </w:r>
      <w:r w:rsidRPr="0057749E">
        <w:rPr>
          <w:rFonts w:eastAsia="Times New Roman" w:cs="Arial"/>
          <w:color w:val="000000"/>
          <w:lang w:eastAsia="bg-BG"/>
        </w:rPr>
        <w:t xml:space="preserve"> локализиран предимно върху клетките на гладката мускулатура на съдовете и върху сърдечните миоцити. Това предотвратява ендотелин-медиираната активация на вторичните сигнални системи, която предизвиква вазоконстрикция и пролиферация на гладкомускулни клетки.</w:t>
      </w:r>
    </w:p>
    <w:p w14:paraId="650BDD43" w14:textId="16E70023" w:rsidR="0057749E" w:rsidRPr="0057749E" w:rsidRDefault="0057749E" w:rsidP="0057749E">
      <w:pPr>
        <w:pStyle w:val="ListParagraph"/>
        <w:numPr>
          <w:ilvl w:val="0"/>
          <w:numId w:val="36"/>
        </w:numPr>
        <w:spacing w:line="240" w:lineRule="auto"/>
        <w:rPr>
          <w:rFonts w:eastAsia="Times New Roman" w:cs="Arial"/>
          <w:color w:val="000000"/>
          <w:lang w:eastAsia="bg-BG"/>
        </w:rPr>
      </w:pPr>
      <w:r w:rsidRPr="0057749E">
        <w:rPr>
          <w:rFonts w:eastAsia="Times New Roman" w:cs="Arial"/>
          <w:color w:val="000000"/>
          <w:lang w:eastAsia="bg-BG"/>
        </w:rPr>
        <w:t xml:space="preserve">Селективностга на амбрисентан към </w:t>
      </w:r>
      <w:r w:rsidRPr="0057749E">
        <w:rPr>
          <w:rFonts w:eastAsia="Times New Roman" w:cs="Arial"/>
          <w:smallCaps/>
          <w:color w:val="000000"/>
          <w:lang w:eastAsia="bg-BG"/>
        </w:rPr>
        <w:t>ЕТ</w:t>
      </w:r>
      <w:r w:rsidRPr="0057749E">
        <w:rPr>
          <w:rFonts w:eastAsia="Times New Roman" w:cs="Arial"/>
          <w:smallCaps/>
          <w:color w:val="000000"/>
          <w:vertAlign w:val="subscript"/>
          <w:lang w:eastAsia="bg-BG"/>
        </w:rPr>
        <w:t>а</w:t>
      </w:r>
      <w:r w:rsidRPr="0057749E">
        <w:rPr>
          <w:rFonts w:eastAsia="Times New Roman" w:cs="Arial"/>
          <w:color w:val="000000"/>
          <w:lang w:eastAsia="bg-BG"/>
        </w:rPr>
        <w:t xml:space="preserve"> рецептора в сравнение с ЕТв рецептора се очаква да задържи образуването на вазодилататорите азотен оксид и простациклин, което се медиира от ЕТв рецепторите.</w:t>
      </w:r>
    </w:p>
    <w:p w14:paraId="4EBC0D57" w14:textId="77777777" w:rsidR="0057749E" w:rsidRDefault="0057749E" w:rsidP="0057749E">
      <w:pPr>
        <w:spacing w:line="240" w:lineRule="auto"/>
        <w:rPr>
          <w:rFonts w:eastAsia="Times New Roman" w:cs="Arial"/>
          <w:color w:val="000000"/>
          <w:u w:val="single"/>
          <w:lang w:eastAsia="bg-BG"/>
        </w:rPr>
      </w:pPr>
    </w:p>
    <w:p w14:paraId="13342E15" w14:textId="23AA1388" w:rsidR="0057749E" w:rsidRPr="0057749E" w:rsidRDefault="0057749E" w:rsidP="0057749E">
      <w:pPr>
        <w:spacing w:line="240" w:lineRule="auto"/>
        <w:rPr>
          <w:rFonts w:eastAsia="Times New Roman" w:cs="Arial"/>
          <w:sz w:val="24"/>
          <w:szCs w:val="24"/>
        </w:rPr>
      </w:pPr>
      <w:r w:rsidRPr="0057749E">
        <w:rPr>
          <w:rFonts w:eastAsia="Times New Roman" w:cs="Arial"/>
          <w:color w:val="000000"/>
          <w:u w:val="single"/>
          <w:lang w:eastAsia="bg-BG"/>
        </w:rPr>
        <w:t>Клинична ефикасност и безопасност</w:t>
      </w:r>
    </w:p>
    <w:p w14:paraId="5A53868E" w14:textId="77777777" w:rsidR="0057749E" w:rsidRPr="0057749E" w:rsidRDefault="0057749E" w:rsidP="0057749E">
      <w:pPr>
        <w:rPr>
          <w:rFonts w:eastAsia="Times New Roman" w:cs="Arial"/>
          <w:sz w:val="24"/>
          <w:szCs w:val="24"/>
        </w:rPr>
      </w:pPr>
      <w:r w:rsidRPr="0057749E">
        <w:rPr>
          <w:rFonts w:eastAsia="Times New Roman" w:cs="Arial"/>
          <w:color w:val="000000"/>
          <w:lang w:eastAsia="bg-BG"/>
        </w:rPr>
        <w:t xml:space="preserve">Проведени са две рандомизирани, двойно-слепи, многоцентрови, плацебо контролирани, фаза 3 основни проучвания </w:t>
      </w:r>
      <w:r w:rsidRPr="0057749E">
        <w:rPr>
          <w:rFonts w:eastAsia="Times New Roman" w:cs="Arial"/>
          <w:color w:val="000000"/>
          <w:lang w:val="ru-RU"/>
        </w:rPr>
        <w:t>(</w:t>
      </w:r>
      <w:r w:rsidRPr="0057749E">
        <w:rPr>
          <w:rFonts w:eastAsia="Times New Roman" w:cs="Arial"/>
          <w:color w:val="000000"/>
          <w:lang w:val="en-US"/>
        </w:rPr>
        <w:t>ARIES</w:t>
      </w:r>
      <w:r w:rsidRPr="0057749E">
        <w:rPr>
          <w:rFonts w:eastAsia="Times New Roman" w:cs="Arial"/>
          <w:color w:val="000000"/>
          <w:lang w:val="ru-RU"/>
        </w:rPr>
        <w:t xml:space="preserve">-1 </w:t>
      </w:r>
      <w:r w:rsidRPr="0057749E">
        <w:rPr>
          <w:rFonts w:eastAsia="Times New Roman" w:cs="Arial"/>
          <w:color w:val="000000"/>
          <w:lang w:eastAsia="bg-BG"/>
        </w:rPr>
        <w:t xml:space="preserve">и 2). Проучването </w:t>
      </w:r>
      <w:r w:rsidRPr="0057749E">
        <w:rPr>
          <w:rFonts w:eastAsia="Times New Roman" w:cs="Arial"/>
          <w:color w:val="000000"/>
          <w:lang w:val="en-US"/>
        </w:rPr>
        <w:t>ARIES</w:t>
      </w:r>
      <w:r w:rsidRPr="0057749E">
        <w:rPr>
          <w:rFonts w:eastAsia="Times New Roman" w:cs="Arial"/>
          <w:color w:val="000000"/>
          <w:lang w:val="ru-RU"/>
        </w:rPr>
        <w:t>-</w:t>
      </w:r>
      <w:r w:rsidRPr="0057749E">
        <w:rPr>
          <w:rFonts w:eastAsia="Times New Roman" w:cs="Arial"/>
          <w:color w:val="000000"/>
          <w:lang w:eastAsia="bg-BG"/>
        </w:rPr>
        <w:t xml:space="preserve">1 е включва 201 пациенти и сравнява амбрисентан 5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 xml:space="preserve">и 10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 xml:space="preserve">с плацебо. Проучването </w:t>
      </w:r>
      <w:r w:rsidRPr="0057749E">
        <w:rPr>
          <w:rFonts w:eastAsia="Times New Roman" w:cs="Arial"/>
          <w:color w:val="000000"/>
          <w:lang w:val="en-US"/>
        </w:rPr>
        <w:t>ARIES</w:t>
      </w:r>
      <w:r w:rsidRPr="0057749E">
        <w:rPr>
          <w:rFonts w:eastAsia="Times New Roman" w:cs="Arial"/>
          <w:color w:val="000000"/>
          <w:lang w:val="ru-RU"/>
        </w:rPr>
        <w:t xml:space="preserve">-2 </w:t>
      </w:r>
      <w:r w:rsidRPr="0057749E">
        <w:rPr>
          <w:rFonts w:eastAsia="Times New Roman" w:cs="Arial"/>
          <w:color w:val="000000"/>
          <w:lang w:eastAsia="bg-BG"/>
        </w:rPr>
        <w:t xml:space="preserve">включва 192 пациенти и сравнява амбрисентан 2,5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 xml:space="preserve">и 5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с плацебо. В двете проучвания амбрисентан е бил добавен към допълнителното/основното лечение на пациентите, което може да е включвало комбинация от дигоксин, антикоагуланти, диуретици, кислород и вазодилататори (блокери на калциевите канали, АСЕ инхибитори). Включените пациенти са имали ИБАХ или БАХ, свързани със заболяване на съединителната тъкан (БАХ-ЗСТ). Повечето от пациентите са имали симптоми от функционален клас по СЗО II (38,4%) или III (55,0%). Пациентите със съществуващо</w:t>
      </w:r>
      <w:r w:rsidRPr="0057749E">
        <w:rPr>
          <w:rFonts w:eastAsia="Times New Roman" w:cs="Arial"/>
          <w:i/>
          <w:iCs/>
          <w:color w:val="000000"/>
          <w:lang w:eastAsia="bg-BG"/>
        </w:rPr>
        <w:t xml:space="preserve"> </w:t>
      </w:r>
      <w:r w:rsidRPr="0057749E">
        <w:rPr>
          <w:rFonts w:eastAsia="Times New Roman" w:cs="Arial"/>
          <w:color w:val="000000"/>
          <w:lang w:eastAsia="bg-BG"/>
        </w:rPr>
        <w:t>чернодробно заболяване (цироза или клинично значимо повишаване на аминотрансферазите),</w:t>
      </w:r>
      <w:r>
        <w:rPr>
          <w:rFonts w:eastAsia="Times New Roman" w:cs="Arial"/>
          <w:color w:val="000000"/>
          <w:lang w:eastAsia="bg-BG"/>
        </w:rPr>
        <w:t xml:space="preserve"> </w:t>
      </w:r>
      <w:r w:rsidRPr="0057749E">
        <w:rPr>
          <w:rFonts w:eastAsia="Times New Roman" w:cs="Arial"/>
          <w:color w:val="000000"/>
          <w:lang w:eastAsia="bg-BG"/>
        </w:rPr>
        <w:t xml:space="preserve">както и пациентите, приемащи друга таргетирана терапия за БАХ </w:t>
      </w:r>
      <w:r w:rsidRPr="0057749E">
        <w:rPr>
          <w:rFonts w:eastAsia="Times New Roman" w:cs="Arial"/>
          <w:color w:val="000000"/>
          <w:lang w:eastAsia="bg-BG"/>
        </w:rPr>
        <w:lastRenderedPageBreak/>
        <w:t>(напр. простаноиди), са изключени. В тези проучвания хемодинамичните параметри не са били оценявани.</w:t>
      </w:r>
    </w:p>
    <w:p w14:paraId="64B65C91" w14:textId="77777777" w:rsidR="0057749E" w:rsidRPr="0057749E" w:rsidRDefault="0057749E" w:rsidP="0057749E">
      <w:pPr>
        <w:spacing w:line="240" w:lineRule="auto"/>
        <w:rPr>
          <w:rFonts w:eastAsia="Times New Roman" w:cs="Arial"/>
          <w:color w:val="000000"/>
          <w:lang w:eastAsia="bg-BG"/>
        </w:rPr>
      </w:pPr>
    </w:p>
    <w:p w14:paraId="515DD74B" w14:textId="7E6E3363"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 xml:space="preserve">Първичната крайна точка, определена за проучванията фаза 3, е била подобряване на капацитета при физическо натоварване, оценено чрез промяна в сравнение с изходното ниво за 6-минутно ходене пеша (6 </w:t>
      </w:r>
      <w:r w:rsidRPr="0057749E">
        <w:rPr>
          <w:rFonts w:eastAsia="Times New Roman" w:cs="Arial"/>
          <w:color w:val="000000"/>
          <w:lang w:val="en-US"/>
        </w:rPr>
        <w:t>minute</w:t>
      </w:r>
      <w:r w:rsidRPr="0057749E">
        <w:rPr>
          <w:rFonts w:eastAsia="Times New Roman" w:cs="Arial"/>
          <w:color w:val="000000"/>
          <w:lang w:val="ru-RU"/>
        </w:rPr>
        <w:t xml:space="preserve"> </w:t>
      </w:r>
      <w:r w:rsidRPr="0057749E">
        <w:rPr>
          <w:rFonts w:eastAsia="Times New Roman" w:cs="Arial"/>
          <w:color w:val="000000"/>
          <w:lang w:val="en-US"/>
        </w:rPr>
        <w:t>walk</w:t>
      </w:r>
      <w:r w:rsidRPr="0057749E">
        <w:rPr>
          <w:rFonts w:eastAsia="Times New Roman" w:cs="Arial"/>
          <w:color w:val="000000"/>
          <w:lang w:val="ru-RU"/>
        </w:rPr>
        <w:t xml:space="preserve"> </w:t>
      </w:r>
      <w:r w:rsidRPr="0057749E">
        <w:rPr>
          <w:rFonts w:eastAsia="Times New Roman" w:cs="Arial"/>
          <w:color w:val="000000"/>
          <w:lang w:val="en-US"/>
        </w:rPr>
        <w:t>distance</w:t>
      </w:r>
      <w:r w:rsidRPr="0057749E">
        <w:rPr>
          <w:rFonts w:eastAsia="Times New Roman" w:cs="Arial"/>
          <w:color w:val="000000"/>
          <w:lang w:val="ru-RU"/>
        </w:rPr>
        <w:t>, 6</w:t>
      </w:r>
      <w:r w:rsidRPr="0057749E">
        <w:rPr>
          <w:rFonts w:eastAsia="Times New Roman" w:cs="Arial"/>
          <w:color w:val="000000"/>
          <w:lang w:val="en-US"/>
        </w:rPr>
        <w:t>MWD</w:t>
      </w:r>
      <w:r w:rsidRPr="0057749E">
        <w:rPr>
          <w:rFonts w:eastAsia="Times New Roman" w:cs="Arial"/>
          <w:color w:val="000000"/>
          <w:lang w:val="ru-RU"/>
        </w:rPr>
        <w:t xml:space="preserve">) </w:t>
      </w:r>
      <w:r w:rsidRPr="0057749E">
        <w:rPr>
          <w:rFonts w:eastAsia="Times New Roman" w:cs="Arial"/>
          <w:color w:val="000000"/>
          <w:lang w:eastAsia="bg-BG"/>
        </w:rPr>
        <w:t xml:space="preserve">на 12-та седмица. И в двете проучвания лечението с амбрисентан е показало значително подобрение в </w:t>
      </w:r>
      <w:r w:rsidRPr="0057749E">
        <w:rPr>
          <w:rFonts w:eastAsia="Times New Roman" w:cs="Arial"/>
          <w:color w:val="000000"/>
          <w:lang w:val="ru-RU"/>
        </w:rPr>
        <w:t>6</w:t>
      </w:r>
      <w:r w:rsidRPr="0057749E">
        <w:rPr>
          <w:rFonts w:eastAsia="Times New Roman" w:cs="Arial"/>
          <w:color w:val="000000"/>
          <w:lang w:val="en-US"/>
        </w:rPr>
        <w:t>MWD</w:t>
      </w:r>
      <w:r w:rsidRPr="0057749E">
        <w:rPr>
          <w:rFonts w:eastAsia="Times New Roman" w:cs="Arial"/>
          <w:color w:val="000000"/>
          <w:lang w:val="ru-RU"/>
        </w:rPr>
        <w:t xml:space="preserve"> </w:t>
      </w:r>
      <w:r w:rsidRPr="0057749E">
        <w:rPr>
          <w:rFonts w:eastAsia="Times New Roman" w:cs="Arial"/>
          <w:color w:val="000000"/>
          <w:lang w:eastAsia="bg-BG"/>
        </w:rPr>
        <w:t>при всяка доза амбрисентан.</w:t>
      </w:r>
    </w:p>
    <w:p w14:paraId="71F27B39" w14:textId="77777777" w:rsidR="0057749E" w:rsidRPr="0057749E" w:rsidRDefault="0057749E" w:rsidP="0057749E">
      <w:pPr>
        <w:spacing w:line="240" w:lineRule="auto"/>
        <w:rPr>
          <w:rFonts w:eastAsia="Times New Roman" w:cs="Arial"/>
          <w:color w:val="000000"/>
          <w:lang w:eastAsia="bg-BG"/>
        </w:rPr>
      </w:pPr>
    </w:p>
    <w:p w14:paraId="18192CB1" w14:textId="5CB39F48"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 xml:space="preserve">Коригираното спрямо плацебо подобрение в средното </w:t>
      </w:r>
      <w:r w:rsidRPr="0057749E">
        <w:rPr>
          <w:rFonts w:eastAsia="Times New Roman" w:cs="Arial"/>
          <w:color w:val="000000"/>
          <w:lang w:val="ru-RU"/>
        </w:rPr>
        <w:t>6</w:t>
      </w:r>
      <w:r w:rsidRPr="0057749E">
        <w:rPr>
          <w:rFonts w:eastAsia="Times New Roman" w:cs="Arial"/>
          <w:color w:val="000000"/>
          <w:lang w:val="en-US"/>
        </w:rPr>
        <w:t>MWD</w:t>
      </w:r>
      <w:r w:rsidRPr="0057749E">
        <w:rPr>
          <w:rFonts w:eastAsia="Times New Roman" w:cs="Arial"/>
          <w:color w:val="000000"/>
          <w:lang w:val="ru-RU"/>
        </w:rPr>
        <w:t xml:space="preserve"> </w:t>
      </w:r>
      <w:r w:rsidRPr="0057749E">
        <w:rPr>
          <w:rFonts w:eastAsia="Times New Roman" w:cs="Arial"/>
          <w:color w:val="000000"/>
          <w:lang w:eastAsia="bg-BG"/>
        </w:rPr>
        <w:t xml:space="preserve">на 12-та седмица в сравнение с изходното ниво е било съответно 30,6 </w:t>
      </w:r>
      <w:r w:rsidRPr="0057749E">
        <w:rPr>
          <w:rFonts w:eastAsia="Times New Roman" w:cs="Arial"/>
          <w:color w:val="000000"/>
          <w:lang w:val="en-US"/>
        </w:rPr>
        <w:t>m</w:t>
      </w:r>
      <w:r w:rsidRPr="0057749E">
        <w:rPr>
          <w:rFonts w:eastAsia="Times New Roman" w:cs="Arial"/>
          <w:color w:val="000000"/>
          <w:lang w:val="ru-RU"/>
        </w:rPr>
        <w:t xml:space="preserve"> </w:t>
      </w:r>
      <w:r w:rsidRPr="0057749E">
        <w:rPr>
          <w:rFonts w:eastAsia="Times New Roman" w:cs="Arial"/>
          <w:color w:val="000000"/>
          <w:lang w:eastAsia="bg-BG"/>
        </w:rPr>
        <w:t xml:space="preserve">(95 % </w:t>
      </w:r>
      <w:r w:rsidRPr="0057749E">
        <w:rPr>
          <w:rFonts w:eastAsia="Times New Roman" w:cs="Arial"/>
          <w:color w:val="000000"/>
          <w:lang w:val="en-US"/>
        </w:rPr>
        <w:t>CI</w:t>
      </w:r>
      <w:r w:rsidRPr="0057749E">
        <w:rPr>
          <w:rFonts w:eastAsia="Times New Roman" w:cs="Arial"/>
          <w:color w:val="000000"/>
          <w:lang w:val="ru-RU"/>
        </w:rPr>
        <w:t xml:space="preserve">: </w:t>
      </w:r>
      <w:r w:rsidRPr="0057749E">
        <w:rPr>
          <w:rFonts w:eastAsia="Times New Roman" w:cs="Arial"/>
          <w:color w:val="000000"/>
          <w:lang w:eastAsia="bg-BG"/>
        </w:rPr>
        <w:t xml:space="preserve">2,9 до 58,3; р=0,008) и 59,4 </w:t>
      </w:r>
      <w:r w:rsidRPr="0057749E">
        <w:rPr>
          <w:rFonts w:eastAsia="Times New Roman" w:cs="Arial"/>
          <w:color w:val="000000"/>
          <w:lang w:val="en-US"/>
        </w:rPr>
        <w:t>m</w:t>
      </w:r>
      <w:r w:rsidRPr="0057749E">
        <w:rPr>
          <w:rFonts w:eastAsia="Times New Roman" w:cs="Arial"/>
          <w:color w:val="000000"/>
          <w:lang w:val="ru-RU"/>
        </w:rPr>
        <w:t xml:space="preserve"> </w:t>
      </w:r>
      <w:r w:rsidRPr="0057749E">
        <w:rPr>
          <w:rFonts w:eastAsia="Times New Roman" w:cs="Arial"/>
          <w:color w:val="000000"/>
          <w:lang w:eastAsia="bg-BG"/>
        </w:rPr>
        <w:t xml:space="preserve">(95 % </w:t>
      </w:r>
      <w:r w:rsidRPr="0057749E">
        <w:rPr>
          <w:rFonts w:eastAsia="Times New Roman" w:cs="Arial"/>
          <w:color w:val="000000"/>
          <w:lang w:val="en-US"/>
        </w:rPr>
        <w:t>CI</w:t>
      </w:r>
      <w:r w:rsidRPr="0057749E">
        <w:rPr>
          <w:rFonts w:eastAsia="Times New Roman" w:cs="Arial"/>
          <w:color w:val="000000"/>
          <w:lang w:val="ru-RU"/>
        </w:rPr>
        <w:t xml:space="preserve">: </w:t>
      </w:r>
      <w:r w:rsidRPr="0057749E">
        <w:rPr>
          <w:rFonts w:eastAsia="Times New Roman" w:cs="Arial"/>
          <w:color w:val="000000"/>
          <w:lang w:eastAsia="bg-BG"/>
        </w:rPr>
        <w:t xml:space="preserve">29,6 до 89,3; р &lt; 0,001) в групата с прием на 5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 xml:space="preserve">в проучванията </w:t>
      </w:r>
      <w:r w:rsidRPr="0057749E">
        <w:rPr>
          <w:rFonts w:eastAsia="Times New Roman" w:cs="Arial"/>
          <w:color w:val="000000"/>
          <w:lang w:val="en-US"/>
        </w:rPr>
        <w:t>ARIES</w:t>
      </w:r>
      <w:r w:rsidRPr="0057749E">
        <w:rPr>
          <w:rFonts w:eastAsia="Times New Roman" w:cs="Arial"/>
          <w:color w:val="000000"/>
          <w:lang w:val="ru-RU"/>
        </w:rPr>
        <w:t xml:space="preserve"> </w:t>
      </w:r>
      <w:r w:rsidRPr="0057749E">
        <w:rPr>
          <w:rFonts w:eastAsia="Times New Roman" w:cs="Arial"/>
          <w:color w:val="000000"/>
          <w:lang w:eastAsia="bg-BG"/>
        </w:rPr>
        <w:t xml:space="preserve">1 и 2. Коригираното спрямо плацебо подобрение в средното </w:t>
      </w:r>
      <w:r w:rsidRPr="0057749E">
        <w:rPr>
          <w:rFonts w:eastAsia="Times New Roman" w:cs="Arial"/>
          <w:color w:val="000000"/>
          <w:lang w:val="ru-RU"/>
        </w:rPr>
        <w:t>6</w:t>
      </w:r>
      <w:r w:rsidRPr="0057749E">
        <w:rPr>
          <w:rFonts w:eastAsia="Times New Roman" w:cs="Arial"/>
          <w:color w:val="000000"/>
          <w:lang w:val="en-US"/>
        </w:rPr>
        <w:t>MWD</w:t>
      </w:r>
      <w:r w:rsidRPr="0057749E">
        <w:rPr>
          <w:rFonts w:eastAsia="Times New Roman" w:cs="Arial"/>
          <w:color w:val="000000"/>
          <w:lang w:val="ru-RU"/>
        </w:rPr>
        <w:t xml:space="preserve"> </w:t>
      </w:r>
      <w:r w:rsidRPr="0057749E">
        <w:rPr>
          <w:rFonts w:eastAsia="Times New Roman" w:cs="Arial"/>
          <w:color w:val="000000"/>
          <w:lang w:eastAsia="bg-BG"/>
        </w:rPr>
        <w:t xml:space="preserve">на 12-та седмица, при пациентите от групата, с прием на 10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 xml:space="preserve">в </w:t>
      </w:r>
      <w:r w:rsidRPr="0057749E">
        <w:rPr>
          <w:rFonts w:eastAsia="Times New Roman" w:cs="Arial"/>
          <w:color w:val="000000"/>
          <w:lang w:val="en-US"/>
        </w:rPr>
        <w:t>ARIES</w:t>
      </w:r>
      <w:r w:rsidRPr="0057749E">
        <w:rPr>
          <w:rFonts w:eastAsia="Times New Roman" w:cs="Arial"/>
          <w:color w:val="000000"/>
          <w:lang w:val="ru-RU"/>
        </w:rPr>
        <w:t xml:space="preserve">-1 </w:t>
      </w:r>
      <w:r w:rsidRPr="0057749E">
        <w:rPr>
          <w:rFonts w:eastAsia="Times New Roman" w:cs="Arial"/>
          <w:color w:val="000000"/>
          <w:lang w:eastAsia="bg-BG"/>
        </w:rPr>
        <w:t xml:space="preserve">е било 51,4 </w:t>
      </w:r>
      <w:r w:rsidRPr="0057749E">
        <w:rPr>
          <w:rFonts w:eastAsia="Times New Roman" w:cs="Arial"/>
          <w:color w:val="000000"/>
          <w:lang w:val="en-US"/>
        </w:rPr>
        <w:t>m</w:t>
      </w:r>
      <w:r w:rsidRPr="0057749E">
        <w:rPr>
          <w:rFonts w:eastAsia="Times New Roman" w:cs="Arial"/>
          <w:color w:val="000000"/>
          <w:lang w:val="ru-RU"/>
        </w:rPr>
        <w:t xml:space="preserve"> </w:t>
      </w:r>
      <w:r w:rsidRPr="0057749E">
        <w:rPr>
          <w:rFonts w:eastAsia="Times New Roman" w:cs="Arial"/>
          <w:color w:val="000000"/>
          <w:lang w:eastAsia="bg-BG"/>
        </w:rPr>
        <w:t xml:space="preserve">(95 % </w:t>
      </w:r>
      <w:r w:rsidRPr="0057749E">
        <w:rPr>
          <w:rFonts w:eastAsia="Times New Roman" w:cs="Arial"/>
          <w:color w:val="000000"/>
          <w:lang w:val="en-US"/>
        </w:rPr>
        <w:t>CI</w:t>
      </w:r>
      <w:r w:rsidRPr="0057749E">
        <w:rPr>
          <w:rFonts w:eastAsia="Times New Roman" w:cs="Arial"/>
          <w:color w:val="000000"/>
          <w:lang w:val="ru-RU"/>
        </w:rPr>
        <w:t xml:space="preserve">: </w:t>
      </w:r>
      <w:r w:rsidRPr="0057749E">
        <w:rPr>
          <w:rFonts w:eastAsia="Times New Roman" w:cs="Arial"/>
          <w:color w:val="000000"/>
          <w:lang w:eastAsia="bg-BG"/>
        </w:rPr>
        <w:t>26,6 до 76,2; р &lt; 0,001).</w:t>
      </w:r>
    </w:p>
    <w:p w14:paraId="077633F3" w14:textId="77777777" w:rsidR="0057749E" w:rsidRPr="0057749E" w:rsidRDefault="0057749E" w:rsidP="0057749E">
      <w:pPr>
        <w:spacing w:line="240" w:lineRule="auto"/>
        <w:rPr>
          <w:rFonts w:eastAsia="Times New Roman" w:cs="Arial"/>
          <w:color w:val="000000"/>
          <w:lang w:eastAsia="bg-BG"/>
        </w:rPr>
      </w:pPr>
    </w:p>
    <w:p w14:paraId="18D450FA" w14:textId="183D6C73"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 xml:space="preserve">Проведен е предварително определен комбиниран анализ на проучванията фаза 3 </w:t>
      </w:r>
      <w:r w:rsidRPr="0057749E">
        <w:rPr>
          <w:rFonts w:eastAsia="Times New Roman" w:cs="Arial"/>
          <w:color w:val="000000"/>
          <w:lang w:val="ru-RU"/>
        </w:rPr>
        <w:t>(</w:t>
      </w:r>
      <w:r w:rsidRPr="0057749E">
        <w:rPr>
          <w:rFonts w:eastAsia="Times New Roman" w:cs="Arial"/>
          <w:color w:val="000000"/>
          <w:lang w:val="en-US"/>
        </w:rPr>
        <w:t>ARIES</w:t>
      </w:r>
      <w:r w:rsidRPr="0057749E">
        <w:rPr>
          <w:rFonts w:eastAsia="Times New Roman" w:cs="Arial"/>
          <w:color w:val="000000"/>
          <w:lang w:val="ru-RU"/>
        </w:rPr>
        <w:t>-</w:t>
      </w:r>
      <w:r w:rsidRPr="0057749E">
        <w:rPr>
          <w:rFonts w:eastAsia="Times New Roman" w:cs="Arial"/>
          <w:color w:val="000000"/>
          <w:lang w:val="en-US"/>
        </w:rPr>
        <w:t>C</w:t>
      </w:r>
      <w:r w:rsidRPr="0057749E">
        <w:rPr>
          <w:rFonts w:eastAsia="Times New Roman" w:cs="Arial"/>
          <w:color w:val="000000"/>
          <w:lang w:val="ru-RU"/>
        </w:rPr>
        <w:t xml:space="preserve">). </w:t>
      </w:r>
      <w:r w:rsidRPr="0057749E">
        <w:rPr>
          <w:rFonts w:eastAsia="Times New Roman" w:cs="Arial"/>
          <w:color w:val="000000"/>
          <w:lang w:eastAsia="bg-BG"/>
        </w:rPr>
        <w:t xml:space="preserve">Коригираното спрямо плацебо средно подобрение на </w:t>
      </w:r>
      <w:r w:rsidRPr="0057749E">
        <w:rPr>
          <w:rFonts w:eastAsia="Times New Roman" w:cs="Arial"/>
          <w:color w:val="000000"/>
          <w:lang w:val="ru-RU"/>
        </w:rPr>
        <w:t>6</w:t>
      </w:r>
      <w:r w:rsidRPr="0057749E">
        <w:rPr>
          <w:rFonts w:eastAsia="Times New Roman" w:cs="Arial"/>
          <w:color w:val="000000"/>
          <w:lang w:val="en-US"/>
        </w:rPr>
        <w:t>MWD</w:t>
      </w:r>
      <w:r w:rsidRPr="0057749E">
        <w:rPr>
          <w:rFonts w:eastAsia="Times New Roman" w:cs="Arial"/>
          <w:color w:val="000000"/>
          <w:lang w:val="ru-RU"/>
        </w:rPr>
        <w:t xml:space="preserve"> </w:t>
      </w:r>
      <w:r w:rsidRPr="0057749E">
        <w:rPr>
          <w:rFonts w:eastAsia="Times New Roman" w:cs="Arial"/>
          <w:color w:val="000000"/>
          <w:lang w:eastAsia="bg-BG"/>
        </w:rPr>
        <w:t xml:space="preserve">е било 44,6 </w:t>
      </w:r>
      <w:r w:rsidRPr="0057749E">
        <w:rPr>
          <w:rFonts w:eastAsia="Times New Roman" w:cs="Arial"/>
          <w:color w:val="000000"/>
          <w:lang w:val="en-US"/>
        </w:rPr>
        <w:t>m</w:t>
      </w:r>
      <w:r w:rsidRPr="0057749E">
        <w:rPr>
          <w:rFonts w:eastAsia="Times New Roman" w:cs="Arial"/>
          <w:color w:val="000000"/>
          <w:lang w:val="ru-RU"/>
        </w:rPr>
        <w:t xml:space="preserve"> </w:t>
      </w:r>
      <w:r w:rsidRPr="0057749E">
        <w:rPr>
          <w:rFonts w:eastAsia="Times New Roman" w:cs="Arial"/>
          <w:color w:val="000000"/>
          <w:lang w:eastAsia="bg-BG"/>
        </w:rPr>
        <w:t xml:space="preserve">(95 % </w:t>
      </w:r>
      <w:r w:rsidRPr="0057749E">
        <w:rPr>
          <w:rFonts w:eastAsia="Times New Roman" w:cs="Arial"/>
          <w:color w:val="000000"/>
          <w:lang w:val="en-US"/>
        </w:rPr>
        <w:t>CI</w:t>
      </w:r>
      <w:r w:rsidRPr="0057749E">
        <w:rPr>
          <w:rFonts w:eastAsia="Times New Roman" w:cs="Arial"/>
          <w:color w:val="000000"/>
          <w:lang w:val="ru-RU"/>
        </w:rPr>
        <w:t xml:space="preserve">: </w:t>
      </w:r>
      <w:r w:rsidRPr="0057749E">
        <w:rPr>
          <w:rFonts w:eastAsia="Times New Roman" w:cs="Arial"/>
          <w:color w:val="000000"/>
          <w:lang w:eastAsia="bg-BG"/>
        </w:rPr>
        <w:t xml:space="preserve">24,3 до 64,9; р &lt; 0,001) при дозата от 5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 xml:space="preserve">и 52,5 ш (95 % </w:t>
      </w:r>
      <w:r w:rsidRPr="0057749E">
        <w:rPr>
          <w:rFonts w:eastAsia="Times New Roman" w:cs="Arial"/>
          <w:color w:val="000000"/>
          <w:lang w:val="en-US"/>
        </w:rPr>
        <w:t>CI</w:t>
      </w:r>
      <w:r w:rsidRPr="0057749E">
        <w:rPr>
          <w:rFonts w:eastAsia="Times New Roman" w:cs="Arial"/>
          <w:color w:val="000000"/>
          <w:lang w:val="ru-RU"/>
        </w:rPr>
        <w:t xml:space="preserve">: </w:t>
      </w:r>
      <w:r w:rsidRPr="0057749E">
        <w:rPr>
          <w:rFonts w:eastAsia="Times New Roman" w:cs="Arial"/>
          <w:color w:val="000000"/>
          <w:lang w:eastAsia="bg-BG"/>
        </w:rPr>
        <w:t xml:space="preserve">28,8 до 76,2; р &lt; 0,001) при дозата от 10 </w:t>
      </w:r>
      <w:r w:rsidRPr="0057749E">
        <w:rPr>
          <w:rFonts w:eastAsia="Times New Roman" w:cs="Arial"/>
          <w:color w:val="000000"/>
          <w:lang w:val="en-US"/>
        </w:rPr>
        <w:t>mg</w:t>
      </w:r>
      <w:r w:rsidRPr="0057749E">
        <w:rPr>
          <w:rFonts w:eastAsia="Times New Roman" w:cs="Arial"/>
          <w:color w:val="000000"/>
          <w:lang w:val="ru-RU"/>
        </w:rPr>
        <w:t>.</w:t>
      </w:r>
    </w:p>
    <w:p w14:paraId="7ACFFD82" w14:textId="77777777" w:rsidR="0057749E" w:rsidRPr="0057749E" w:rsidRDefault="0057749E" w:rsidP="0057749E">
      <w:pPr>
        <w:spacing w:line="240" w:lineRule="auto"/>
        <w:rPr>
          <w:rFonts w:eastAsia="Times New Roman" w:cs="Arial"/>
          <w:color w:val="000000"/>
          <w:lang w:eastAsia="bg-BG"/>
        </w:rPr>
      </w:pPr>
    </w:p>
    <w:p w14:paraId="24335606" w14:textId="651BE93F"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 xml:space="preserve">В </w:t>
      </w:r>
      <w:r w:rsidRPr="0057749E">
        <w:rPr>
          <w:rFonts w:eastAsia="Times New Roman" w:cs="Arial"/>
          <w:color w:val="000000"/>
          <w:lang w:val="en-US"/>
        </w:rPr>
        <w:t>ARIES</w:t>
      </w:r>
      <w:r w:rsidRPr="0057749E">
        <w:rPr>
          <w:rFonts w:eastAsia="Times New Roman" w:cs="Arial"/>
          <w:color w:val="000000"/>
          <w:lang w:val="ru-RU"/>
        </w:rPr>
        <w:t xml:space="preserve">-2 </w:t>
      </w:r>
      <w:r w:rsidRPr="0057749E">
        <w:rPr>
          <w:rFonts w:eastAsia="Times New Roman" w:cs="Arial"/>
          <w:color w:val="000000"/>
          <w:lang w:eastAsia="bg-BG"/>
        </w:rPr>
        <w:t xml:space="preserve">амбрисентан (комбинирана дозова група) значително отлага времето до клинично влошаване на БАХ в сравнение с плацебо (р &lt; 0,001), коефициентът на риск показва понижаване с 80 % (95 % </w:t>
      </w:r>
      <w:r w:rsidRPr="0057749E">
        <w:rPr>
          <w:rFonts w:eastAsia="Times New Roman" w:cs="Arial"/>
          <w:color w:val="000000"/>
          <w:lang w:val="en-US"/>
        </w:rPr>
        <w:t>CI</w:t>
      </w:r>
      <w:r w:rsidRPr="0057749E">
        <w:rPr>
          <w:rFonts w:eastAsia="Times New Roman" w:cs="Arial"/>
          <w:color w:val="000000"/>
          <w:lang w:val="ru-RU"/>
        </w:rPr>
        <w:t xml:space="preserve">: </w:t>
      </w:r>
      <w:r w:rsidRPr="0057749E">
        <w:rPr>
          <w:rFonts w:eastAsia="Times New Roman" w:cs="Arial"/>
          <w:color w:val="000000"/>
          <w:lang w:eastAsia="bg-BG"/>
        </w:rPr>
        <w:t xml:space="preserve">47 % до 92 %). Критерият е включвал: смърт, белодробна трансплантация, хоспитализация заради БАХ, предсърдна септостомия, добавяне на други терапевтични средства за БАХ и критерии за ранно изключване. В комбинираната дозова група е наблюдавано статистически значимо повишаване (3,41 ± 6,96) в скалата за телесно функциониране на Здравното проучване </w:t>
      </w:r>
      <w:r w:rsidRPr="0057749E">
        <w:rPr>
          <w:rFonts w:eastAsia="Times New Roman" w:cs="Arial"/>
          <w:color w:val="000000"/>
          <w:lang w:val="en-US"/>
        </w:rPr>
        <w:t>SF</w:t>
      </w:r>
      <w:r w:rsidRPr="0057749E">
        <w:rPr>
          <w:rFonts w:eastAsia="Times New Roman" w:cs="Arial"/>
          <w:color w:val="000000"/>
          <w:lang w:val="ru-RU"/>
        </w:rPr>
        <w:t xml:space="preserve">-36 </w:t>
      </w:r>
      <w:r w:rsidRPr="0057749E">
        <w:rPr>
          <w:rFonts w:eastAsia="Times New Roman" w:cs="Arial"/>
          <w:color w:val="000000"/>
          <w:lang w:eastAsia="bg-BG"/>
        </w:rPr>
        <w:t xml:space="preserve">в сравнение с плацебо (-0,20 ± 8,14; р = 0,005). Лечението с амбрисентан е довело до статистически значимо подобрение на индекса за диспнея на </w:t>
      </w:r>
      <w:r w:rsidRPr="0057749E">
        <w:rPr>
          <w:rFonts w:eastAsia="Times New Roman" w:cs="Arial"/>
          <w:color w:val="000000"/>
          <w:lang w:val="en-US"/>
        </w:rPr>
        <w:t>Borg</w:t>
      </w:r>
      <w:r w:rsidRPr="0057749E">
        <w:rPr>
          <w:rFonts w:eastAsia="Times New Roman" w:cs="Arial"/>
          <w:color w:val="000000"/>
          <w:lang w:val="ru-RU"/>
        </w:rPr>
        <w:t xml:space="preserve"> (</w:t>
      </w:r>
      <w:r w:rsidRPr="0057749E">
        <w:rPr>
          <w:rFonts w:eastAsia="Times New Roman" w:cs="Arial"/>
          <w:color w:val="000000"/>
          <w:lang w:val="en-US"/>
        </w:rPr>
        <w:t>BDI</w:t>
      </w:r>
      <w:r w:rsidRPr="0057749E">
        <w:rPr>
          <w:rFonts w:eastAsia="Times New Roman" w:cs="Arial"/>
          <w:color w:val="000000"/>
          <w:lang w:val="ru-RU"/>
        </w:rPr>
        <w:t xml:space="preserve">) </w:t>
      </w:r>
      <w:r w:rsidRPr="0057749E">
        <w:rPr>
          <w:rFonts w:eastAsia="Times New Roman" w:cs="Arial"/>
          <w:color w:val="000000"/>
          <w:lang w:eastAsia="bg-BG"/>
        </w:rPr>
        <w:t xml:space="preserve">на 12-та седмица (коригиран спрямо плацебо </w:t>
      </w:r>
      <w:r w:rsidRPr="0057749E">
        <w:rPr>
          <w:rFonts w:eastAsia="Times New Roman" w:cs="Arial"/>
          <w:color w:val="000000"/>
          <w:lang w:val="en-US"/>
        </w:rPr>
        <w:t>BDI</w:t>
      </w:r>
      <w:r w:rsidRPr="0057749E">
        <w:rPr>
          <w:rFonts w:eastAsia="Times New Roman" w:cs="Arial"/>
          <w:color w:val="000000"/>
          <w:lang w:val="ru-RU"/>
        </w:rPr>
        <w:t xml:space="preserve"> </w:t>
      </w:r>
      <w:r w:rsidRPr="0057749E">
        <w:rPr>
          <w:rFonts w:eastAsia="Times New Roman" w:cs="Arial"/>
          <w:color w:val="000000"/>
          <w:lang w:eastAsia="bg-BG"/>
        </w:rPr>
        <w:t xml:space="preserve">-1,1 (95 % </w:t>
      </w:r>
      <w:r w:rsidRPr="0057749E">
        <w:rPr>
          <w:rFonts w:eastAsia="Times New Roman" w:cs="Arial"/>
          <w:color w:val="000000"/>
          <w:lang w:val="en-US"/>
        </w:rPr>
        <w:t>CI</w:t>
      </w:r>
      <w:r w:rsidRPr="0057749E">
        <w:rPr>
          <w:rFonts w:eastAsia="Times New Roman" w:cs="Arial"/>
          <w:color w:val="000000"/>
          <w:lang w:val="ru-RU"/>
        </w:rPr>
        <w:t xml:space="preserve">: </w:t>
      </w:r>
      <w:r w:rsidRPr="0057749E">
        <w:rPr>
          <w:rFonts w:eastAsia="Times New Roman" w:cs="Arial"/>
          <w:color w:val="000000"/>
          <w:lang w:eastAsia="bg-BG"/>
        </w:rPr>
        <w:t>- 1,8 до - 0,4; р = 0,019; комбинирана дозова група)).</w:t>
      </w:r>
    </w:p>
    <w:p w14:paraId="621F480C" w14:textId="77777777" w:rsidR="0057749E" w:rsidRPr="0057749E" w:rsidRDefault="0057749E" w:rsidP="0057749E">
      <w:pPr>
        <w:spacing w:line="240" w:lineRule="auto"/>
        <w:rPr>
          <w:rFonts w:eastAsia="Times New Roman" w:cs="Arial"/>
          <w:color w:val="000000"/>
          <w:u w:val="single"/>
          <w:lang w:eastAsia="bg-BG"/>
        </w:rPr>
      </w:pPr>
    </w:p>
    <w:p w14:paraId="6077D76E" w14:textId="085C907A" w:rsidR="0057749E" w:rsidRPr="0057749E" w:rsidRDefault="0057749E" w:rsidP="0057749E">
      <w:pPr>
        <w:spacing w:line="240" w:lineRule="auto"/>
        <w:rPr>
          <w:rFonts w:eastAsia="Times New Roman" w:cs="Arial"/>
          <w:sz w:val="24"/>
          <w:szCs w:val="24"/>
        </w:rPr>
      </w:pPr>
      <w:r w:rsidRPr="0057749E">
        <w:rPr>
          <w:rFonts w:eastAsia="Times New Roman" w:cs="Arial"/>
          <w:color w:val="000000"/>
          <w:u w:val="single"/>
          <w:lang w:eastAsia="bg-BG"/>
        </w:rPr>
        <w:t>Дългосрочни данни</w:t>
      </w:r>
    </w:p>
    <w:p w14:paraId="70907A17" w14:textId="77777777"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 xml:space="preserve">Пациентите, включени в </w:t>
      </w:r>
      <w:r w:rsidRPr="0057749E">
        <w:rPr>
          <w:rFonts w:eastAsia="Times New Roman" w:cs="Arial"/>
          <w:color w:val="000000"/>
          <w:lang w:val="en-US"/>
        </w:rPr>
        <w:t>ARIES</w:t>
      </w:r>
      <w:r w:rsidRPr="0057749E">
        <w:rPr>
          <w:rFonts w:eastAsia="Times New Roman" w:cs="Arial"/>
          <w:color w:val="000000"/>
          <w:lang w:val="ru-RU"/>
        </w:rPr>
        <w:t>-</w:t>
      </w:r>
      <w:r w:rsidRPr="0057749E">
        <w:rPr>
          <w:rFonts w:eastAsia="Times New Roman" w:cs="Arial"/>
          <w:color w:val="000000"/>
          <w:lang w:eastAsia="bg-BG"/>
        </w:rPr>
        <w:t xml:space="preserve">1 и -2, са отговаряли на критериите за включване в дългосрочно открито проучване с продължение </w:t>
      </w:r>
      <w:r w:rsidRPr="0057749E">
        <w:rPr>
          <w:rFonts w:eastAsia="Times New Roman" w:cs="Arial"/>
          <w:color w:val="000000"/>
          <w:lang w:val="en-US"/>
        </w:rPr>
        <w:t>ARIES</w:t>
      </w:r>
      <w:r w:rsidRPr="0057749E">
        <w:rPr>
          <w:rFonts w:eastAsia="Times New Roman" w:cs="Arial"/>
          <w:color w:val="000000"/>
          <w:lang w:val="ru-RU"/>
        </w:rPr>
        <w:t>-</w:t>
      </w:r>
      <w:r w:rsidRPr="0057749E">
        <w:rPr>
          <w:rFonts w:eastAsia="Times New Roman" w:cs="Arial"/>
          <w:color w:val="000000"/>
          <w:lang w:val="en-US"/>
        </w:rPr>
        <w:t>E</w:t>
      </w:r>
      <w:r w:rsidRPr="0057749E">
        <w:rPr>
          <w:rFonts w:eastAsia="Times New Roman" w:cs="Arial"/>
          <w:color w:val="000000"/>
          <w:lang w:val="ru-RU"/>
        </w:rPr>
        <w:t xml:space="preserve"> </w:t>
      </w:r>
      <w:r w:rsidRPr="0057749E">
        <w:rPr>
          <w:rFonts w:eastAsia="Times New Roman" w:cs="Arial"/>
          <w:color w:val="000000"/>
          <w:lang w:eastAsia="bg-BG"/>
        </w:rPr>
        <w:t>(</w:t>
      </w:r>
      <w:r w:rsidRPr="0057749E">
        <w:rPr>
          <w:rFonts w:eastAsia="Times New Roman" w:cs="Arial"/>
          <w:color w:val="000000"/>
          <w:lang w:val="en-US"/>
        </w:rPr>
        <w:t>n</w:t>
      </w:r>
      <w:r w:rsidRPr="0057749E">
        <w:rPr>
          <w:rFonts w:eastAsia="Times New Roman" w:cs="Arial"/>
          <w:color w:val="000000"/>
          <w:lang w:eastAsia="bg-BG"/>
        </w:rPr>
        <w:t xml:space="preserve">= 383). Комбинираната средна експозиция е била приблизително 145 ± 80 седмици, а максималната експозиция е приблизително 295 седмици. Основните първични крайни точки на това проучване са били честотата и тежестта на нежеланите реакции, свързани с дългосрочната експозиция на амбрисентан, включително и серумните </w:t>
      </w:r>
      <w:r w:rsidRPr="0057749E">
        <w:rPr>
          <w:rFonts w:eastAsia="Times New Roman" w:cs="Arial"/>
          <w:color w:val="000000"/>
          <w:lang w:val="en-US"/>
        </w:rPr>
        <w:t>LFTs</w:t>
      </w:r>
      <w:r w:rsidRPr="0057749E">
        <w:rPr>
          <w:rFonts w:eastAsia="Times New Roman" w:cs="Arial"/>
          <w:color w:val="000000"/>
          <w:lang w:val="ru-RU"/>
        </w:rPr>
        <w:t xml:space="preserve">. </w:t>
      </w:r>
      <w:r w:rsidRPr="0057749E">
        <w:rPr>
          <w:rFonts w:eastAsia="Times New Roman" w:cs="Arial"/>
          <w:color w:val="000000"/>
          <w:lang w:eastAsia="bg-BG"/>
        </w:rPr>
        <w:t>Данните от това проучване, свързани с безопасността, наблюдавани при дългосрочна експозиция на амбрисентан, като цяло са били в съответствие, с тези, наблюдавани при 12-седмичните плацебо контролирани проучвания.</w:t>
      </w:r>
    </w:p>
    <w:p w14:paraId="13002A1F" w14:textId="77777777" w:rsidR="0057749E" w:rsidRPr="0057749E" w:rsidRDefault="0057749E" w:rsidP="0057749E">
      <w:pPr>
        <w:spacing w:line="240" w:lineRule="auto"/>
        <w:rPr>
          <w:rFonts w:eastAsia="Times New Roman" w:cs="Arial"/>
          <w:color w:val="000000"/>
          <w:lang w:eastAsia="bg-BG"/>
        </w:rPr>
      </w:pPr>
    </w:p>
    <w:p w14:paraId="71A8AA1B" w14:textId="12F9C4D0"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Наблюдаваната вероятност за преживяемост на индивиди, приемащи амбрисентан (група с комбинирано дозиране на амбрисентан) на 1-та, 2-та и 3-та година, е била съответно 93 %, 85 %, 79 %.</w:t>
      </w:r>
    </w:p>
    <w:p w14:paraId="7FDE6C9D" w14:textId="77777777" w:rsidR="0057749E" w:rsidRPr="0057749E" w:rsidRDefault="0057749E" w:rsidP="0057749E">
      <w:pPr>
        <w:spacing w:line="240" w:lineRule="auto"/>
        <w:rPr>
          <w:rFonts w:eastAsia="Times New Roman" w:cs="Arial"/>
          <w:color w:val="000000"/>
          <w:lang w:eastAsia="bg-BG"/>
        </w:rPr>
      </w:pPr>
    </w:p>
    <w:p w14:paraId="6E92C16C" w14:textId="497A9CCE"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 xml:space="preserve">В открито проучване (АМВ222) амбрисентан е изпитван при 36 пациенти, за да се оцени честотата на повишаване на серумните концентрации на аминотрансферазите при пациенти, които са преустановили лечението с друг ендотелин-рецепторен антагонист поради аминотрансферазни аномалии. По време на лечение в продължение средно на 53 </w:t>
      </w:r>
      <w:r w:rsidRPr="0057749E">
        <w:rPr>
          <w:rFonts w:eastAsia="Times New Roman" w:cs="Arial"/>
          <w:color w:val="000000"/>
          <w:lang w:eastAsia="bg-BG"/>
        </w:rPr>
        <w:lastRenderedPageBreak/>
        <w:t xml:space="preserve">седмици с амбрисентан, при нито един от включените пациенти е нямало потвърдени данни за серумна </w:t>
      </w:r>
      <w:r w:rsidRPr="0057749E">
        <w:rPr>
          <w:rFonts w:eastAsia="Times New Roman" w:cs="Arial"/>
          <w:color w:val="000000"/>
          <w:lang w:val="en-US"/>
        </w:rPr>
        <w:t>ALT</w:t>
      </w:r>
      <w:r w:rsidRPr="0057749E">
        <w:rPr>
          <w:rFonts w:eastAsia="Times New Roman" w:cs="Arial"/>
          <w:color w:val="000000"/>
          <w:lang w:val="ru-RU"/>
        </w:rPr>
        <w:t xml:space="preserve"> &gt;3</w:t>
      </w:r>
      <w:proofErr w:type="spellStart"/>
      <w:r w:rsidRPr="0057749E">
        <w:rPr>
          <w:rFonts w:eastAsia="Times New Roman" w:cs="Arial"/>
          <w:color w:val="000000"/>
          <w:lang w:val="en-US"/>
        </w:rPr>
        <w:t>xULN</w:t>
      </w:r>
      <w:proofErr w:type="spellEnd"/>
      <w:r w:rsidRPr="0057749E">
        <w:rPr>
          <w:rFonts w:eastAsia="Times New Roman" w:cs="Arial"/>
          <w:color w:val="000000"/>
          <w:lang w:val="ru-RU"/>
        </w:rPr>
        <w:t xml:space="preserve">, </w:t>
      </w:r>
      <w:r w:rsidRPr="0057749E">
        <w:rPr>
          <w:rFonts w:eastAsia="Times New Roman" w:cs="Arial"/>
          <w:color w:val="000000"/>
          <w:lang w:eastAsia="bg-BG"/>
        </w:rPr>
        <w:t xml:space="preserve">налагащи окончателно преустановяване на лечението. През това време при петдесет процента от пациентите концентрацията на амбрисентан е била повишена от </w:t>
      </w:r>
      <w:r w:rsidRPr="0057749E">
        <w:rPr>
          <w:rFonts w:eastAsia="Times New Roman" w:cs="Arial"/>
          <w:color w:val="000000"/>
          <w:lang w:val="ru-RU"/>
        </w:rPr>
        <w:t>5</w:t>
      </w:r>
      <w:r w:rsidRPr="0057749E">
        <w:rPr>
          <w:rFonts w:eastAsia="Times New Roman" w:cs="Arial"/>
          <w:color w:val="000000"/>
          <w:u w:val="single"/>
          <w:lang w:val="en-US"/>
        </w:rPr>
        <w:t>mg</w:t>
      </w:r>
      <w:r w:rsidRPr="0057749E">
        <w:rPr>
          <w:rFonts w:eastAsia="Times New Roman" w:cs="Arial"/>
          <w:color w:val="000000"/>
          <w:u w:val="single"/>
          <w:lang w:val="ru-RU"/>
        </w:rPr>
        <w:t xml:space="preserve"> </w:t>
      </w:r>
      <w:r w:rsidRPr="0057749E">
        <w:rPr>
          <w:rFonts w:eastAsia="Times New Roman" w:cs="Arial"/>
          <w:color w:val="000000"/>
          <w:u w:val="single"/>
          <w:lang w:eastAsia="bg-BG"/>
        </w:rPr>
        <w:t>н</w:t>
      </w:r>
      <w:r w:rsidRPr="0057749E">
        <w:rPr>
          <w:rFonts w:eastAsia="Times New Roman" w:cs="Arial"/>
          <w:color w:val="000000"/>
          <w:lang w:eastAsia="bg-BG"/>
        </w:rPr>
        <w:t>а</w:t>
      </w:r>
    </w:p>
    <w:p w14:paraId="06C3445C" w14:textId="77777777" w:rsidR="0057749E" w:rsidRPr="0057749E" w:rsidRDefault="0057749E" w:rsidP="0057749E">
      <w:pPr>
        <w:rPr>
          <w:rFonts w:eastAsia="Times New Roman" w:cs="Arial"/>
          <w:sz w:val="24"/>
          <w:szCs w:val="24"/>
        </w:rPr>
      </w:pPr>
      <w:r w:rsidRPr="0057749E">
        <w:rPr>
          <w:rFonts w:eastAsia="Times New Roman" w:cs="Arial"/>
          <w:color w:val="000000"/>
          <w:lang w:eastAsia="bg-BG"/>
        </w:rPr>
        <w:t xml:space="preserve">Кумулативната честота на абнормни нива на серумните аминотрансферази </w:t>
      </w:r>
      <w:r w:rsidRPr="0057749E">
        <w:rPr>
          <w:rFonts w:eastAsia="Times New Roman" w:cs="Arial"/>
          <w:color w:val="000000"/>
          <w:lang w:val="ru-RU"/>
        </w:rPr>
        <w:t>&gt;3</w:t>
      </w:r>
      <w:proofErr w:type="spellStart"/>
      <w:r w:rsidRPr="0057749E">
        <w:rPr>
          <w:rFonts w:eastAsia="Times New Roman" w:cs="Arial"/>
          <w:color w:val="000000"/>
          <w:lang w:val="en-US"/>
        </w:rPr>
        <w:t>xULN</w:t>
      </w:r>
      <w:proofErr w:type="spellEnd"/>
      <w:r w:rsidRPr="0057749E">
        <w:rPr>
          <w:rFonts w:eastAsia="Times New Roman" w:cs="Arial"/>
          <w:color w:val="000000"/>
          <w:lang w:val="ru-RU"/>
        </w:rPr>
        <w:t xml:space="preserve"> </w:t>
      </w:r>
      <w:r w:rsidRPr="0057749E">
        <w:rPr>
          <w:rFonts w:eastAsia="Times New Roman" w:cs="Arial"/>
          <w:color w:val="000000"/>
          <w:lang w:eastAsia="bg-BG"/>
        </w:rPr>
        <w:t xml:space="preserve">във всички проучвания фаза 2 и 3 (включително съответни открити продължения) е била 17 от 483 пациенти при средна продължителност на експозицията 79,5 седмици. Това е била честоата 2,3 събития на 100 пациентогодини експозиция на амбрисентан. В дългосрочно открито проучване с продължение </w:t>
      </w:r>
      <w:r w:rsidRPr="0057749E">
        <w:rPr>
          <w:rFonts w:eastAsia="Times New Roman" w:cs="Arial"/>
          <w:color w:val="000000"/>
          <w:lang w:val="en-US"/>
        </w:rPr>
        <w:t>ARIES</w:t>
      </w:r>
      <w:r w:rsidRPr="0057749E">
        <w:rPr>
          <w:rFonts w:eastAsia="Times New Roman" w:cs="Arial"/>
          <w:color w:val="000000"/>
          <w:lang w:val="ru-RU"/>
        </w:rPr>
        <w:t>-</w:t>
      </w:r>
      <w:r w:rsidRPr="0057749E">
        <w:rPr>
          <w:rFonts w:eastAsia="Times New Roman" w:cs="Arial"/>
          <w:color w:val="000000"/>
          <w:lang w:val="en-US"/>
        </w:rPr>
        <w:t>E</w:t>
      </w:r>
      <w:r w:rsidRPr="0057749E">
        <w:rPr>
          <w:rFonts w:eastAsia="Times New Roman" w:cs="Arial"/>
          <w:color w:val="000000"/>
          <w:lang w:val="ru-RU"/>
        </w:rPr>
        <w:t xml:space="preserve">, </w:t>
      </w:r>
      <w:r w:rsidRPr="0057749E">
        <w:rPr>
          <w:rFonts w:eastAsia="Times New Roman" w:cs="Arial"/>
          <w:color w:val="000000"/>
          <w:lang w:eastAsia="bg-BG"/>
        </w:rPr>
        <w:t xml:space="preserve">през 2-та година, рискът от поява на повишени нива на серумните аминотрансферази </w:t>
      </w:r>
      <w:r w:rsidRPr="0057749E">
        <w:rPr>
          <w:rFonts w:eastAsia="Times New Roman" w:cs="Arial"/>
          <w:color w:val="000000"/>
          <w:lang w:val="ru-RU"/>
        </w:rPr>
        <w:t>&gt;3</w:t>
      </w:r>
      <w:proofErr w:type="spellStart"/>
      <w:r w:rsidRPr="0057749E">
        <w:rPr>
          <w:rFonts w:eastAsia="Times New Roman" w:cs="Arial"/>
          <w:color w:val="000000"/>
          <w:lang w:val="en-US"/>
        </w:rPr>
        <w:t>xULN</w:t>
      </w:r>
      <w:proofErr w:type="spellEnd"/>
      <w:r w:rsidRPr="0057749E">
        <w:rPr>
          <w:rFonts w:eastAsia="Times New Roman" w:cs="Arial"/>
          <w:color w:val="000000"/>
          <w:lang w:val="ru-RU"/>
        </w:rPr>
        <w:t xml:space="preserve"> </w:t>
      </w:r>
      <w:r w:rsidRPr="0057749E">
        <w:rPr>
          <w:rFonts w:eastAsia="Times New Roman" w:cs="Arial"/>
          <w:color w:val="000000"/>
          <w:lang w:eastAsia="bg-BG"/>
        </w:rPr>
        <w:t>при пациенти, лекувани с амбрисентан е била 3,9%.</w:t>
      </w:r>
    </w:p>
    <w:p w14:paraId="7717F691" w14:textId="77777777" w:rsidR="0057749E" w:rsidRPr="0057749E" w:rsidRDefault="0057749E" w:rsidP="0057749E">
      <w:pPr>
        <w:spacing w:line="240" w:lineRule="auto"/>
        <w:rPr>
          <w:rFonts w:eastAsia="Times New Roman" w:cs="Arial"/>
          <w:color w:val="000000"/>
          <w:u w:val="single"/>
          <w:lang w:eastAsia="bg-BG"/>
        </w:rPr>
      </w:pPr>
    </w:p>
    <w:p w14:paraId="0C222F54" w14:textId="2D88E077" w:rsidR="0057749E" w:rsidRPr="0057749E" w:rsidRDefault="0057749E" w:rsidP="0057749E">
      <w:pPr>
        <w:spacing w:line="240" w:lineRule="auto"/>
        <w:rPr>
          <w:rFonts w:eastAsia="Times New Roman" w:cs="Arial"/>
          <w:sz w:val="24"/>
          <w:szCs w:val="24"/>
        </w:rPr>
      </w:pPr>
      <w:r w:rsidRPr="0057749E">
        <w:rPr>
          <w:rFonts w:eastAsia="Times New Roman" w:cs="Arial"/>
          <w:color w:val="000000"/>
          <w:u w:val="single"/>
          <w:lang w:eastAsia="bg-BG"/>
        </w:rPr>
        <w:t>Друга клинична информация</w:t>
      </w:r>
    </w:p>
    <w:p w14:paraId="167E5BF2" w14:textId="77777777"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В проучване фаза 2 (АМВ220) е наблюдавано подобрение на хемодинамичните показатели при пациенти с БАХ (</w:t>
      </w:r>
      <w:r w:rsidRPr="0057749E">
        <w:rPr>
          <w:rFonts w:eastAsia="Times New Roman" w:cs="Arial"/>
          <w:color w:val="000000"/>
          <w:lang w:val="en-US"/>
        </w:rPr>
        <w:t>n</w:t>
      </w:r>
      <w:r w:rsidRPr="0057749E">
        <w:rPr>
          <w:rFonts w:eastAsia="Times New Roman" w:cs="Arial"/>
          <w:color w:val="000000"/>
          <w:lang w:eastAsia="bg-BG"/>
        </w:rPr>
        <w:t>=29) след 12 седмици. Лечението с амбрисентан е довело до повишаване на средния сърдечен индекс, понижаване на средното налягане в белодробната артерия и понижаване на средното белодробно съдово съпротивление.</w:t>
      </w:r>
    </w:p>
    <w:p w14:paraId="5AC7E235" w14:textId="77777777" w:rsidR="0057749E" w:rsidRPr="0057749E" w:rsidRDefault="0057749E" w:rsidP="0057749E">
      <w:pPr>
        <w:spacing w:line="240" w:lineRule="auto"/>
        <w:rPr>
          <w:rFonts w:eastAsia="Times New Roman" w:cs="Arial"/>
          <w:color w:val="000000"/>
          <w:lang w:eastAsia="bg-BG"/>
        </w:rPr>
      </w:pPr>
    </w:p>
    <w:p w14:paraId="7DE9A2A1" w14:textId="77777777" w:rsidR="0057749E" w:rsidRP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 xml:space="preserve">При лечение с амбрисентан е съобщено понижаване на систоличното и диастоличното кръвно налягане. В плацебо контролирани клинични изпитвания, с продължителност 12 седмици, средното понижаване на систоличното и диастоличното кръвно налягане от изходното ниво до края на лечението, е било съответно 3 </w:t>
      </w:r>
      <w:r w:rsidRPr="0057749E">
        <w:rPr>
          <w:rFonts w:eastAsia="Times New Roman" w:cs="Arial"/>
          <w:color w:val="000000"/>
          <w:lang w:val="en-US"/>
        </w:rPr>
        <w:t>mm</w:t>
      </w:r>
      <w:r w:rsidRPr="0057749E">
        <w:rPr>
          <w:rFonts w:eastAsia="Times New Roman" w:cs="Arial"/>
          <w:color w:val="000000"/>
          <w:lang w:val="ru-RU"/>
        </w:rPr>
        <w:t xml:space="preserve"> </w:t>
      </w:r>
      <w:r w:rsidRPr="0057749E">
        <w:rPr>
          <w:rFonts w:eastAsia="Times New Roman" w:cs="Arial"/>
          <w:color w:val="000000"/>
          <w:lang w:val="en-US"/>
        </w:rPr>
        <w:t>Hg</w:t>
      </w:r>
      <w:r w:rsidRPr="0057749E">
        <w:rPr>
          <w:rFonts w:eastAsia="Times New Roman" w:cs="Arial"/>
          <w:color w:val="000000"/>
          <w:lang w:val="ru-RU"/>
        </w:rPr>
        <w:t xml:space="preserve"> </w:t>
      </w:r>
      <w:r w:rsidRPr="0057749E">
        <w:rPr>
          <w:rFonts w:eastAsia="Times New Roman" w:cs="Arial"/>
          <w:color w:val="000000"/>
          <w:lang w:eastAsia="bg-BG"/>
        </w:rPr>
        <w:t xml:space="preserve">и 4,2 </w:t>
      </w:r>
      <w:r w:rsidRPr="0057749E">
        <w:rPr>
          <w:rFonts w:eastAsia="Times New Roman" w:cs="Arial"/>
          <w:color w:val="000000"/>
          <w:lang w:val="en-US"/>
        </w:rPr>
        <w:t>mm</w:t>
      </w:r>
      <w:r w:rsidRPr="0057749E">
        <w:rPr>
          <w:rFonts w:eastAsia="Times New Roman" w:cs="Arial"/>
          <w:color w:val="000000"/>
          <w:lang w:val="ru-RU"/>
        </w:rPr>
        <w:t xml:space="preserve"> </w:t>
      </w:r>
      <w:r w:rsidRPr="0057749E">
        <w:rPr>
          <w:rFonts w:eastAsia="Times New Roman" w:cs="Arial"/>
          <w:color w:val="000000"/>
          <w:lang w:val="en-US"/>
        </w:rPr>
        <w:t>Hg</w:t>
      </w:r>
      <w:r w:rsidRPr="0057749E">
        <w:rPr>
          <w:rFonts w:eastAsia="Times New Roman" w:cs="Arial"/>
          <w:color w:val="000000"/>
          <w:lang w:val="ru-RU"/>
        </w:rPr>
        <w:t xml:space="preserve">. </w:t>
      </w:r>
      <w:r w:rsidRPr="0057749E">
        <w:rPr>
          <w:rFonts w:eastAsia="Times New Roman" w:cs="Arial"/>
          <w:color w:val="000000"/>
          <w:lang w:eastAsia="bg-BG"/>
        </w:rPr>
        <w:t xml:space="preserve">В дългосрочно открито проучване </w:t>
      </w:r>
    </w:p>
    <w:p w14:paraId="089A0FC2" w14:textId="46DCC280"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val="en-US"/>
        </w:rPr>
        <w:t>ARIES</w:t>
      </w:r>
      <w:r w:rsidRPr="0057749E">
        <w:rPr>
          <w:rFonts w:eastAsia="Times New Roman" w:cs="Arial"/>
          <w:color w:val="000000"/>
          <w:lang w:val="ru-RU"/>
        </w:rPr>
        <w:t>-</w:t>
      </w:r>
      <w:r w:rsidRPr="0057749E">
        <w:rPr>
          <w:rFonts w:eastAsia="Times New Roman" w:cs="Arial"/>
          <w:color w:val="000000"/>
          <w:lang w:val="en-US"/>
        </w:rPr>
        <w:t>E</w:t>
      </w:r>
      <w:r w:rsidRPr="0057749E">
        <w:rPr>
          <w:rFonts w:eastAsia="Times New Roman" w:cs="Arial"/>
          <w:color w:val="000000"/>
          <w:lang w:val="ru-RU"/>
        </w:rPr>
        <w:t xml:space="preserve">, </w:t>
      </w:r>
      <w:r w:rsidRPr="0057749E">
        <w:rPr>
          <w:rFonts w:eastAsia="Times New Roman" w:cs="Arial"/>
          <w:color w:val="000000"/>
          <w:lang w:eastAsia="bg-BG"/>
        </w:rPr>
        <w:t>средното понижаване на систоличното и диастоличното кръвно налягане, е продължило до 4 години от лечението с амбрисентан.</w:t>
      </w:r>
    </w:p>
    <w:p w14:paraId="113C2F25" w14:textId="77777777" w:rsidR="0057749E" w:rsidRPr="0057749E" w:rsidRDefault="0057749E" w:rsidP="0057749E">
      <w:pPr>
        <w:spacing w:line="240" w:lineRule="auto"/>
        <w:rPr>
          <w:rFonts w:eastAsia="Times New Roman" w:cs="Arial"/>
          <w:color w:val="000000"/>
          <w:lang w:eastAsia="bg-BG"/>
        </w:rPr>
      </w:pPr>
    </w:p>
    <w:p w14:paraId="195B4BD6" w14:textId="1E1E735B"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 xml:space="preserve">По време на проучване за лекарствено взаимодействие при здрави доброволци не са били наблюдавани клинично значими ефекти върху фармакокинетиката на амбрисентан или силденафил и комбинацията е понасяна добре. Броят на пациентите, които са приемали едновременно амбрисентан и силденафил в </w:t>
      </w:r>
      <w:r w:rsidRPr="0057749E">
        <w:rPr>
          <w:rFonts w:eastAsia="Times New Roman" w:cs="Arial"/>
          <w:color w:val="000000"/>
          <w:lang w:val="en-US"/>
        </w:rPr>
        <w:t>ARIES</w:t>
      </w:r>
      <w:r w:rsidRPr="0057749E">
        <w:rPr>
          <w:rFonts w:eastAsia="Times New Roman" w:cs="Arial"/>
          <w:color w:val="000000"/>
          <w:lang w:val="ru-RU"/>
        </w:rPr>
        <w:t>-</w:t>
      </w:r>
      <w:r w:rsidRPr="0057749E">
        <w:rPr>
          <w:rFonts w:eastAsia="Times New Roman" w:cs="Arial"/>
          <w:color w:val="000000"/>
          <w:lang w:val="en-US"/>
        </w:rPr>
        <w:t>E</w:t>
      </w:r>
      <w:r w:rsidRPr="0057749E">
        <w:rPr>
          <w:rFonts w:eastAsia="Times New Roman" w:cs="Arial"/>
          <w:color w:val="000000"/>
          <w:lang w:val="ru-RU"/>
        </w:rPr>
        <w:t xml:space="preserve"> </w:t>
      </w:r>
      <w:r w:rsidRPr="0057749E">
        <w:rPr>
          <w:rFonts w:eastAsia="Times New Roman" w:cs="Arial"/>
          <w:color w:val="000000"/>
          <w:lang w:eastAsia="bg-BG"/>
        </w:rPr>
        <w:t>и АМВ222 е бил 22 пациента (5,7%) и 17 пациенти (47 %) съответно. При тези пациенти не са били установени допълнителни проблеми по отношение на безопасността.</w:t>
      </w:r>
    </w:p>
    <w:p w14:paraId="30B016BF" w14:textId="77777777" w:rsidR="0057749E" w:rsidRPr="0057749E" w:rsidRDefault="0057749E" w:rsidP="0057749E">
      <w:pPr>
        <w:spacing w:line="240" w:lineRule="auto"/>
        <w:rPr>
          <w:rFonts w:eastAsia="Times New Roman" w:cs="Arial"/>
          <w:color w:val="000000"/>
          <w:u w:val="single"/>
          <w:lang w:eastAsia="bg-BG"/>
        </w:rPr>
      </w:pPr>
    </w:p>
    <w:p w14:paraId="5E7919B9" w14:textId="4CE9640D" w:rsidR="0057749E" w:rsidRPr="0057749E" w:rsidRDefault="0057749E" w:rsidP="0057749E">
      <w:pPr>
        <w:spacing w:line="240" w:lineRule="auto"/>
        <w:rPr>
          <w:rFonts w:eastAsia="Times New Roman" w:cs="Arial"/>
          <w:sz w:val="24"/>
          <w:szCs w:val="24"/>
        </w:rPr>
      </w:pPr>
      <w:r w:rsidRPr="0057749E">
        <w:rPr>
          <w:rFonts w:eastAsia="Times New Roman" w:cs="Arial"/>
          <w:color w:val="000000"/>
          <w:u w:val="single"/>
          <w:lang w:eastAsia="bg-BG"/>
        </w:rPr>
        <w:t>Клинична ефикасност в комбинация с тадалафил</w:t>
      </w:r>
    </w:p>
    <w:p w14:paraId="66DCA4E6" w14:textId="77777777"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Проведено е многоцентрово, двойносляпо, с активна контрола, насочвано от събития, фаза 3 проучване по отношение на изхода (АМВ1</w:t>
      </w:r>
      <w:r w:rsidRPr="0057749E">
        <w:rPr>
          <w:rFonts w:eastAsia="Times New Roman" w:cs="Arial"/>
          <w:color w:val="000000"/>
          <w:lang w:val="ru-RU"/>
        </w:rPr>
        <w:t>12565/</w:t>
      </w:r>
      <w:r w:rsidRPr="0057749E">
        <w:rPr>
          <w:rFonts w:eastAsia="Times New Roman" w:cs="Arial"/>
          <w:color w:val="000000"/>
          <w:lang w:val="en-US"/>
        </w:rPr>
        <w:t>AMBITION</w:t>
      </w:r>
      <w:r w:rsidRPr="0057749E">
        <w:rPr>
          <w:rFonts w:eastAsia="Times New Roman" w:cs="Arial"/>
          <w:color w:val="000000"/>
          <w:lang w:val="ru-RU"/>
        </w:rPr>
        <w:t xml:space="preserve">), </w:t>
      </w:r>
      <w:r w:rsidRPr="0057749E">
        <w:rPr>
          <w:rFonts w:eastAsia="Times New Roman" w:cs="Arial"/>
          <w:color w:val="000000"/>
          <w:lang w:eastAsia="bg-BG"/>
        </w:rPr>
        <w:t xml:space="preserve">за оценяване на ефикасността на начална комбинация на амбрисентан с тадалафил спрямо монотерапия с амбрисентан или тадалафил, при не лекувани преди това 500 пациенти с БАХ, рандомизирани съответно 2:1:1. Нито един от пациентите не е получавал самостоятелно плацебо. Първичният анализ е групата на комбинирана терапия спрямо сборни групи на монотерапия. Направени са били също и подкрепящи сравнения на групата на комбинирана терапия спрямо групите на индивидуална монотерапия. Пациенти с тежка анемия, задържане на течности или редки заболявания на ретината са били изключени съобразно критериите на изследователите. Пациенти със стойности на </w:t>
      </w:r>
      <w:r w:rsidRPr="0057749E">
        <w:rPr>
          <w:rFonts w:eastAsia="Times New Roman" w:cs="Arial"/>
          <w:color w:val="000000"/>
          <w:lang w:val="en-US"/>
        </w:rPr>
        <w:t>ALT</w:t>
      </w:r>
      <w:r w:rsidRPr="0057749E">
        <w:rPr>
          <w:rFonts w:eastAsia="Times New Roman" w:cs="Arial"/>
          <w:color w:val="000000"/>
          <w:lang w:val="ru-RU"/>
        </w:rPr>
        <w:t xml:space="preserve"> </w:t>
      </w:r>
      <w:r w:rsidRPr="0057749E">
        <w:rPr>
          <w:rFonts w:eastAsia="Times New Roman" w:cs="Arial"/>
          <w:color w:val="000000"/>
          <w:lang w:eastAsia="bg-BG"/>
        </w:rPr>
        <w:t xml:space="preserve">и </w:t>
      </w:r>
      <w:r w:rsidRPr="0057749E">
        <w:rPr>
          <w:rFonts w:eastAsia="Times New Roman" w:cs="Arial"/>
          <w:color w:val="000000"/>
          <w:lang w:val="en-US"/>
        </w:rPr>
        <w:t>AST</w:t>
      </w:r>
      <w:r w:rsidRPr="0057749E">
        <w:rPr>
          <w:rFonts w:eastAsia="Times New Roman" w:cs="Arial"/>
          <w:color w:val="000000"/>
          <w:lang w:val="ru-RU"/>
        </w:rPr>
        <w:t xml:space="preserve"> &gt;2</w:t>
      </w:r>
      <w:proofErr w:type="spellStart"/>
      <w:r w:rsidRPr="0057749E">
        <w:rPr>
          <w:rFonts w:eastAsia="Times New Roman" w:cs="Arial"/>
          <w:color w:val="000000"/>
          <w:lang w:val="en-US"/>
        </w:rPr>
        <w:t>xULN</w:t>
      </w:r>
      <w:proofErr w:type="spellEnd"/>
      <w:r w:rsidRPr="0057749E">
        <w:rPr>
          <w:rFonts w:eastAsia="Times New Roman" w:cs="Arial"/>
          <w:color w:val="000000"/>
          <w:lang w:val="ru-RU"/>
        </w:rPr>
        <w:t xml:space="preserve"> </w:t>
      </w:r>
      <w:r w:rsidRPr="0057749E">
        <w:rPr>
          <w:rFonts w:eastAsia="Times New Roman" w:cs="Arial"/>
          <w:color w:val="000000"/>
          <w:lang w:eastAsia="bg-BG"/>
        </w:rPr>
        <w:t>на изходно ниво са били също изключени.</w:t>
      </w:r>
    </w:p>
    <w:p w14:paraId="45903E42" w14:textId="77777777" w:rsidR="0057749E" w:rsidRPr="0057749E" w:rsidRDefault="0057749E" w:rsidP="0057749E">
      <w:pPr>
        <w:spacing w:line="240" w:lineRule="auto"/>
        <w:rPr>
          <w:rFonts w:eastAsia="Times New Roman" w:cs="Arial"/>
          <w:color w:val="000000"/>
          <w:lang w:eastAsia="bg-BG"/>
        </w:rPr>
      </w:pPr>
    </w:p>
    <w:p w14:paraId="39AEEB77" w14:textId="6E6576EC"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 xml:space="preserve">На изходно ниво 96% от пациентите не са били лекувани преди това с никакво специфично за БАХ лечение, а средното време от поставяне на диагнозата до включване в проучването е 22 дни. Пациентите са започнали с 5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 xml:space="preserve">амбрисентан и 20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 xml:space="preserve">тадалафил и са титрирани до 40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 xml:space="preserve">тадалафил на 4-та седмица и до 10 </w:t>
      </w:r>
      <w:r w:rsidRPr="0057749E">
        <w:rPr>
          <w:rFonts w:eastAsia="Times New Roman" w:cs="Arial"/>
          <w:color w:val="000000"/>
          <w:lang w:val="en-US"/>
        </w:rPr>
        <w:t>mg</w:t>
      </w:r>
      <w:r w:rsidRPr="0057749E">
        <w:rPr>
          <w:rFonts w:eastAsia="Times New Roman" w:cs="Arial"/>
          <w:color w:val="000000"/>
          <w:lang w:val="ru-RU"/>
        </w:rPr>
        <w:t xml:space="preserve"> </w:t>
      </w:r>
      <w:r w:rsidRPr="0057749E">
        <w:rPr>
          <w:rFonts w:eastAsia="Times New Roman" w:cs="Arial"/>
          <w:color w:val="000000"/>
          <w:lang w:eastAsia="bg-BG"/>
        </w:rPr>
        <w:t xml:space="preserve">амбрисентан </w:t>
      </w:r>
      <w:r w:rsidRPr="0057749E">
        <w:rPr>
          <w:rFonts w:eastAsia="Times New Roman" w:cs="Arial"/>
          <w:color w:val="000000"/>
          <w:lang w:eastAsia="bg-BG"/>
        </w:rPr>
        <w:lastRenderedPageBreak/>
        <w:t>на 8-ма седмица, освен ако не е имало проблеми с поносимостта. Продължителността на средното двойносляпо лечение при комбинираната терапия е била по-голяма от 1,5 години.</w:t>
      </w:r>
    </w:p>
    <w:p w14:paraId="32F05EAA" w14:textId="77777777" w:rsidR="0057749E" w:rsidRPr="0057749E" w:rsidRDefault="0057749E" w:rsidP="0057749E">
      <w:pPr>
        <w:spacing w:line="240" w:lineRule="auto"/>
        <w:rPr>
          <w:rFonts w:eastAsia="Times New Roman" w:cs="Arial"/>
          <w:color w:val="000000"/>
          <w:lang w:eastAsia="bg-BG"/>
        </w:rPr>
      </w:pPr>
    </w:p>
    <w:p w14:paraId="068BFAE4" w14:textId="49B15400"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Първичната крайна точка е била времето до първа поява на събитие на клиничен неуспех, определено като:</w:t>
      </w:r>
    </w:p>
    <w:p w14:paraId="39F55078" w14:textId="77777777" w:rsidR="0057749E" w:rsidRPr="0057749E" w:rsidRDefault="0057749E" w:rsidP="0057749E">
      <w:pPr>
        <w:pStyle w:val="ListParagraph"/>
        <w:numPr>
          <w:ilvl w:val="0"/>
          <w:numId w:val="2"/>
        </w:numPr>
        <w:spacing w:line="240" w:lineRule="auto"/>
        <w:rPr>
          <w:rFonts w:eastAsia="Times New Roman" w:cs="Arial"/>
          <w:color w:val="000000"/>
          <w:lang w:eastAsia="bg-BG"/>
        </w:rPr>
      </w:pPr>
      <w:r w:rsidRPr="0057749E">
        <w:rPr>
          <w:rFonts w:eastAsia="Times New Roman" w:cs="Arial"/>
          <w:color w:val="000000"/>
          <w:lang w:eastAsia="bg-BG"/>
        </w:rPr>
        <w:t>смърт или</w:t>
      </w:r>
    </w:p>
    <w:p w14:paraId="3AF9FBF2" w14:textId="77777777" w:rsidR="0057749E" w:rsidRPr="0057749E" w:rsidRDefault="0057749E" w:rsidP="0057749E">
      <w:pPr>
        <w:pStyle w:val="ListParagraph"/>
        <w:numPr>
          <w:ilvl w:val="0"/>
          <w:numId w:val="2"/>
        </w:numPr>
        <w:spacing w:line="240" w:lineRule="auto"/>
        <w:rPr>
          <w:rFonts w:eastAsia="Times New Roman" w:cs="Arial"/>
          <w:color w:val="000000"/>
          <w:lang w:eastAsia="bg-BG"/>
        </w:rPr>
      </w:pPr>
      <w:r w:rsidRPr="0057749E">
        <w:rPr>
          <w:rFonts w:eastAsia="Times New Roman" w:cs="Arial"/>
          <w:color w:val="000000"/>
          <w:lang w:eastAsia="bg-BG"/>
        </w:rPr>
        <w:t>хоспитализация поради влошаване на БАХ,</w:t>
      </w:r>
    </w:p>
    <w:p w14:paraId="78CA8B35" w14:textId="77777777" w:rsidR="0057749E" w:rsidRPr="0057749E" w:rsidRDefault="0057749E" w:rsidP="0057749E">
      <w:pPr>
        <w:pStyle w:val="ListParagraph"/>
        <w:numPr>
          <w:ilvl w:val="0"/>
          <w:numId w:val="2"/>
        </w:numPr>
        <w:spacing w:line="240" w:lineRule="auto"/>
        <w:rPr>
          <w:rFonts w:eastAsia="Times New Roman" w:cs="Arial"/>
          <w:color w:val="000000"/>
          <w:lang w:eastAsia="bg-BG"/>
        </w:rPr>
      </w:pPr>
      <w:r w:rsidRPr="0057749E">
        <w:rPr>
          <w:rFonts w:eastAsia="Times New Roman" w:cs="Arial"/>
          <w:color w:val="000000"/>
          <w:lang w:eastAsia="bg-BG"/>
        </w:rPr>
        <w:t>прогресия на заболяването,</w:t>
      </w:r>
    </w:p>
    <w:p w14:paraId="2CBDAAEF" w14:textId="2D0D783D" w:rsidR="0057749E" w:rsidRPr="0057749E" w:rsidRDefault="0057749E" w:rsidP="0057749E">
      <w:pPr>
        <w:pStyle w:val="ListParagraph"/>
        <w:numPr>
          <w:ilvl w:val="0"/>
          <w:numId w:val="2"/>
        </w:numPr>
        <w:spacing w:line="240" w:lineRule="auto"/>
        <w:rPr>
          <w:rFonts w:eastAsia="Times New Roman" w:cs="Arial"/>
          <w:color w:val="000000"/>
          <w:lang w:eastAsia="bg-BG"/>
        </w:rPr>
      </w:pPr>
      <w:r w:rsidRPr="0057749E">
        <w:rPr>
          <w:rFonts w:eastAsia="Times New Roman" w:cs="Arial"/>
          <w:color w:val="000000"/>
          <w:lang w:eastAsia="bg-BG"/>
        </w:rPr>
        <w:t>незадоволителен дългосрочен клиничен отговор.</w:t>
      </w:r>
    </w:p>
    <w:p w14:paraId="2006C2C5" w14:textId="77777777" w:rsidR="0057749E" w:rsidRPr="0057749E" w:rsidRDefault="0057749E" w:rsidP="0057749E">
      <w:pPr>
        <w:spacing w:line="240" w:lineRule="auto"/>
        <w:rPr>
          <w:rFonts w:eastAsia="Times New Roman" w:cs="Arial"/>
          <w:color w:val="000000"/>
          <w:lang w:eastAsia="bg-BG"/>
        </w:rPr>
      </w:pPr>
    </w:p>
    <w:p w14:paraId="6E3AE68A" w14:textId="3E6ACC25" w:rsidR="0057749E" w:rsidRP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 xml:space="preserve">Средната възраст на всички пациенти е била 54 години </w:t>
      </w:r>
      <w:r w:rsidRPr="0057749E">
        <w:rPr>
          <w:rFonts w:eastAsia="Times New Roman" w:cs="Arial"/>
          <w:color w:val="000000"/>
          <w:lang w:val="ru-RU"/>
        </w:rPr>
        <w:t>(</w:t>
      </w:r>
      <w:r w:rsidRPr="0057749E">
        <w:rPr>
          <w:rFonts w:eastAsia="Times New Roman" w:cs="Arial"/>
          <w:color w:val="000000"/>
          <w:lang w:val="en-US"/>
        </w:rPr>
        <w:t>SD</w:t>
      </w:r>
      <w:r w:rsidRPr="0057749E">
        <w:rPr>
          <w:rFonts w:eastAsia="Times New Roman" w:cs="Arial"/>
          <w:color w:val="000000"/>
          <w:lang w:val="ru-RU"/>
        </w:rPr>
        <w:t xml:space="preserve"> </w:t>
      </w:r>
      <w:r w:rsidRPr="0057749E">
        <w:rPr>
          <w:rFonts w:eastAsia="Times New Roman" w:cs="Arial"/>
          <w:color w:val="000000"/>
          <w:lang w:eastAsia="bg-BG"/>
        </w:rPr>
        <w:t xml:space="preserve">15; диапазон 18-75 години). На изходно ниво пациентите са били с ФК II (31%) и ФК III (69%) по СЗО. Най-честата етиология в проучваната популация са идиопатична или наследствена БАХ (56%), следвани от БАХ, дължаща се заболявания на съединителната тъкан (37%), БАХ, свързана с лекарства и токсини (3 %), коригирано не усложнено вродено сърдечно заболяване (2%) и </w:t>
      </w:r>
      <w:r w:rsidRPr="0057749E">
        <w:rPr>
          <w:rFonts w:eastAsia="Times New Roman" w:cs="Arial"/>
          <w:color w:val="000000"/>
          <w:lang w:val="en-US"/>
        </w:rPr>
        <w:t>HIV</w:t>
      </w:r>
      <w:r w:rsidRPr="0057749E">
        <w:rPr>
          <w:rFonts w:eastAsia="Times New Roman" w:cs="Arial"/>
          <w:color w:val="000000"/>
          <w:lang w:val="ru-RU"/>
        </w:rPr>
        <w:t xml:space="preserve"> </w:t>
      </w:r>
      <w:r w:rsidRPr="0057749E">
        <w:rPr>
          <w:rFonts w:eastAsia="Times New Roman" w:cs="Arial"/>
          <w:color w:val="000000"/>
          <w:lang w:eastAsia="bg-BG"/>
        </w:rPr>
        <w:t xml:space="preserve">(2%). Пациенти с ФК II и III по СЗО са имали средно </w:t>
      </w:r>
      <w:r w:rsidRPr="0057749E">
        <w:rPr>
          <w:rFonts w:eastAsia="Times New Roman" w:cs="Arial"/>
          <w:color w:val="000000"/>
          <w:lang w:val="ru-RU"/>
        </w:rPr>
        <w:t>6</w:t>
      </w:r>
      <w:r w:rsidRPr="0057749E">
        <w:rPr>
          <w:rFonts w:eastAsia="Times New Roman" w:cs="Arial"/>
          <w:color w:val="000000"/>
          <w:lang w:val="en-US"/>
        </w:rPr>
        <w:t>MWD</w:t>
      </w:r>
      <w:r w:rsidRPr="0057749E">
        <w:rPr>
          <w:rFonts w:eastAsia="Times New Roman" w:cs="Arial"/>
          <w:color w:val="000000"/>
          <w:lang w:val="ru-RU"/>
        </w:rPr>
        <w:t xml:space="preserve"> </w:t>
      </w:r>
      <w:r w:rsidRPr="0057749E">
        <w:rPr>
          <w:rFonts w:eastAsia="Times New Roman" w:cs="Arial"/>
          <w:color w:val="000000"/>
          <w:lang w:eastAsia="bg-BG"/>
        </w:rPr>
        <w:t>353 метра на изходно ниво.</w:t>
      </w:r>
    </w:p>
    <w:p w14:paraId="22267359" w14:textId="3823D0E2" w:rsidR="0057749E" w:rsidRPr="0057749E" w:rsidRDefault="0057749E" w:rsidP="0057749E">
      <w:pPr>
        <w:spacing w:line="240" w:lineRule="auto"/>
        <w:rPr>
          <w:rFonts w:eastAsia="Times New Roman" w:cs="Arial"/>
          <w:color w:val="000000"/>
          <w:lang w:eastAsia="bg-BG"/>
        </w:rPr>
      </w:pPr>
    </w:p>
    <w:p w14:paraId="6FF562C3" w14:textId="77777777" w:rsidR="0057749E" w:rsidRPr="0057749E" w:rsidRDefault="0057749E" w:rsidP="0057749E">
      <w:pPr>
        <w:spacing w:line="240" w:lineRule="auto"/>
        <w:rPr>
          <w:rFonts w:eastAsia="Times New Roman" w:cs="Arial"/>
          <w:sz w:val="24"/>
          <w:szCs w:val="24"/>
        </w:rPr>
      </w:pPr>
      <w:r w:rsidRPr="0057749E">
        <w:rPr>
          <w:rFonts w:eastAsia="Times New Roman" w:cs="Arial"/>
          <w:i/>
          <w:iCs/>
          <w:color w:val="000000"/>
          <w:u w:val="single"/>
          <w:lang w:eastAsia="bg-BG"/>
        </w:rPr>
        <w:t>Крайни точки за изход</w:t>
      </w:r>
    </w:p>
    <w:p w14:paraId="33DAC482" w14:textId="77777777" w:rsidR="0057749E" w:rsidRPr="0057749E" w:rsidRDefault="0057749E" w:rsidP="0057749E">
      <w:pPr>
        <w:spacing w:line="240" w:lineRule="auto"/>
        <w:rPr>
          <w:rFonts w:eastAsia="Times New Roman" w:cs="Arial"/>
          <w:sz w:val="24"/>
          <w:szCs w:val="24"/>
        </w:rPr>
      </w:pPr>
      <w:r w:rsidRPr="0057749E">
        <w:rPr>
          <w:rFonts w:eastAsia="Times New Roman" w:cs="Arial"/>
          <w:color w:val="000000"/>
          <w:lang w:eastAsia="bg-BG"/>
        </w:rPr>
        <w:t xml:space="preserve">Лечението с комбинирана терапия е довело до 50 % намаление на риска (коефициент на риск </w:t>
      </w:r>
      <w:r w:rsidRPr="0057749E">
        <w:rPr>
          <w:rFonts w:eastAsia="Times New Roman" w:cs="Arial"/>
          <w:color w:val="000000"/>
          <w:lang w:val="ru-RU"/>
        </w:rPr>
        <w:t>[</w:t>
      </w:r>
      <w:r w:rsidRPr="0057749E">
        <w:rPr>
          <w:rFonts w:eastAsia="Times New Roman" w:cs="Arial"/>
          <w:color w:val="000000"/>
          <w:lang w:val="en-US"/>
        </w:rPr>
        <w:t>HR</w:t>
      </w:r>
      <w:r w:rsidRPr="0057749E">
        <w:rPr>
          <w:rFonts w:eastAsia="Times New Roman" w:cs="Arial"/>
          <w:color w:val="000000"/>
          <w:lang w:val="ru-RU"/>
        </w:rPr>
        <w:t xml:space="preserve">] </w:t>
      </w:r>
      <w:r w:rsidRPr="0057749E">
        <w:rPr>
          <w:rFonts w:eastAsia="Times New Roman" w:cs="Arial"/>
          <w:color w:val="000000"/>
          <w:lang w:eastAsia="bg-BG"/>
        </w:rPr>
        <w:t xml:space="preserve">0,502; 95 % </w:t>
      </w:r>
      <w:r w:rsidRPr="0057749E">
        <w:rPr>
          <w:rFonts w:eastAsia="Times New Roman" w:cs="Arial"/>
          <w:color w:val="000000"/>
          <w:lang w:val="en-US"/>
        </w:rPr>
        <w:t>Cl</w:t>
      </w:r>
      <w:r w:rsidRPr="0057749E">
        <w:rPr>
          <w:rFonts w:eastAsia="Times New Roman" w:cs="Arial"/>
          <w:color w:val="000000"/>
          <w:lang w:val="ru-RU"/>
        </w:rPr>
        <w:t xml:space="preserve">: </w:t>
      </w:r>
      <w:r w:rsidRPr="0057749E">
        <w:rPr>
          <w:rFonts w:eastAsia="Times New Roman" w:cs="Arial"/>
          <w:color w:val="000000"/>
          <w:lang w:eastAsia="bg-BG"/>
        </w:rPr>
        <w:t>0,348 до 0,724; р= 0,0002) за съставната крайна точка за клиничен неуспех до последната визита за оценка в сравнение със сборната група на монотерапия [Фигура 1 и Таблица 1]. Ефектът от лечението е бил установен рано и е бил постоянен, и се е дължал на 63 % намаление на хоспитализациите при комбинираната терапия. Ефикасността на комбинираната терапия върху първичната крайна точка е била в съответствие със сравнението с индивидуалната монотерапия и в подгрупите по възраст, етнически произход, географски регион, етиология (ИБАХ/наследствена БАХ и БАХ, свързана със заболяване на съединителната тъкан). Ефектът за пациентите с ФК II и ФК III е бил значителен.</w:t>
      </w:r>
    </w:p>
    <w:p w14:paraId="030127EA" w14:textId="77777777" w:rsidR="0057749E" w:rsidRPr="0057749E" w:rsidRDefault="0057749E" w:rsidP="0057749E">
      <w:pPr>
        <w:spacing w:line="240" w:lineRule="auto"/>
        <w:rPr>
          <w:rFonts w:eastAsia="Times New Roman" w:cs="Arial"/>
          <w:color w:val="000000"/>
          <w:lang w:eastAsia="bg-BG"/>
        </w:rPr>
      </w:pPr>
    </w:p>
    <w:p w14:paraId="2655221E" w14:textId="3F3B1199" w:rsidR="0057749E" w:rsidRDefault="0057749E" w:rsidP="0057749E">
      <w:pPr>
        <w:spacing w:line="240" w:lineRule="auto"/>
        <w:rPr>
          <w:rFonts w:eastAsia="Times New Roman" w:cs="Arial"/>
          <w:color w:val="000000"/>
          <w:lang w:eastAsia="bg-BG"/>
        </w:rPr>
      </w:pPr>
      <w:r w:rsidRPr="0057749E">
        <w:rPr>
          <w:rFonts w:eastAsia="Times New Roman" w:cs="Arial"/>
          <w:color w:val="000000"/>
          <w:lang w:eastAsia="bg-BG"/>
        </w:rPr>
        <w:t>Фигура 1</w:t>
      </w:r>
    </w:p>
    <w:p w14:paraId="581EF4A5" w14:textId="369C4485" w:rsidR="0057749E" w:rsidRDefault="0057749E" w:rsidP="0057749E">
      <w:pPr>
        <w:spacing w:line="240" w:lineRule="auto"/>
        <w:rPr>
          <w:rFonts w:eastAsia="Times New Roman" w:cs="Arial"/>
          <w:color w:val="000000"/>
          <w:lang w:eastAsia="bg-BG"/>
        </w:rPr>
      </w:pPr>
    </w:p>
    <w:p w14:paraId="23FD6F58" w14:textId="4CA55251" w:rsidR="0057749E" w:rsidRDefault="0057749E" w:rsidP="0057749E">
      <w:pPr>
        <w:spacing w:line="240" w:lineRule="auto"/>
        <w:rPr>
          <w:rFonts w:eastAsia="Times New Roman" w:cs="Arial"/>
          <w:color w:val="000000"/>
          <w:lang w:eastAsia="bg-BG"/>
        </w:rPr>
      </w:pPr>
    </w:p>
    <w:p w14:paraId="5499F785" w14:textId="3D528692" w:rsidR="0057749E" w:rsidRPr="0057749E" w:rsidRDefault="0057749E" w:rsidP="0057749E">
      <w:pPr>
        <w:spacing w:line="240" w:lineRule="auto"/>
        <w:rPr>
          <w:rFonts w:eastAsia="Times New Roman" w:cs="Arial"/>
          <w:color w:val="000000"/>
          <w:lang w:eastAsia="bg-BG"/>
        </w:rPr>
      </w:pPr>
    </w:p>
    <w:p w14:paraId="25F7BEF1" w14:textId="431E8051" w:rsidR="0057749E" w:rsidRPr="0057749E" w:rsidRDefault="0057749E" w:rsidP="0057749E">
      <w:pPr>
        <w:spacing w:line="240" w:lineRule="auto"/>
        <w:rPr>
          <w:rFonts w:eastAsia="Times New Roman" w:cs="Arial"/>
          <w:sz w:val="24"/>
          <w:szCs w:val="24"/>
        </w:rPr>
      </w:pPr>
      <w:r>
        <w:rPr>
          <w:noProof/>
          <w:lang w:val="en-US"/>
        </w:rPr>
        <w:lastRenderedPageBreak/>
        <w:drawing>
          <wp:inline distT="0" distB="0" distL="0" distR="0" wp14:anchorId="042D6E82" wp14:editId="50A57773">
            <wp:extent cx="6254151" cy="3295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271542" cy="3304178"/>
                    </a:xfrm>
                    <a:prstGeom prst="rect">
                      <a:avLst/>
                    </a:prstGeom>
                  </pic:spPr>
                </pic:pic>
              </a:graphicData>
            </a:graphic>
          </wp:inline>
        </w:drawing>
      </w:r>
    </w:p>
    <w:p w14:paraId="1C1C193C" w14:textId="76E45DCD" w:rsidR="0057749E" w:rsidRDefault="0057749E" w:rsidP="0057749E"/>
    <w:p w14:paraId="31EF784F" w14:textId="6655B978" w:rsidR="0057749E" w:rsidRDefault="0057749E" w:rsidP="0057749E"/>
    <w:p w14:paraId="01B923FD" w14:textId="0B8F7192" w:rsidR="0057749E" w:rsidRDefault="00A5246D" w:rsidP="0057749E">
      <w:r>
        <w:t>Таблица 1</w:t>
      </w:r>
    </w:p>
    <w:tbl>
      <w:tblPr>
        <w:tblStyle w:val="TableGrid"/>
        <w:tblW w:w="0" w:type="auto"/>
        <w:tblLook w:val="04A0" w:firstRow="1" w:lastRow="0" w:firstColumn="1" w:lastColumn="0" w:noHBand="0" w:noVBand="1"/>
      </w:tblPr>
      <w:tblGrid>
        <w:gridCol w:w="2302"/>
        <w:gridCol w:w="1684"/>
        <w:gridCol w:w="1788"/>
        <w:gridCol w:w="1788"/>
        <w:gridCol w:w="1788"/>
      </w:tblGrid>
      <w:tr w:rsidR="00A5246D" w14:paraId="647CC7D3" w14:textId="77777777" w:rsidTr="00A5246D">
        <w:tc>
          <w:tcPr>
            <w:tcW w:w="2402" w:type="dxa"/>
          </w:tcPr>
          <w:p w14:paraId="03C541D7" w14:textId="77777777" w:rsidR="00A5246D" w:rsidRPr="00A5246D" w:rsidRDefault="00A5246D" w:rsidP="00A5246D">
            <w:pPr>
              <w:rPr>
                <w:rFonts w:cs="Arial"/>
              </w:rPr>
            </w:pPr>
          </w:p>
        </w:tc>
        <w:tc>
          <w:tcPr>
            <w:tcW w:w="1684" w:type="dxa"/>
          </w:tcPr>
          <w:p w14:paraId="417B9099" w14:textId="1301DD49" w:rsidR="00A5246D" w:rsidRPr="00A5246D" w:rsidRDefault="00A5246D" w:rsidP="00A5246D">
            <w:pPr>
              <w:rPr>
                <w:rFonts w:cs="Arial"/>
              </w:rPr>
            </w:pPr>
            <w:r w:rsidRPr="00A5246D">
              <w:rPr>
                <w:rFonts w:cs="Arial"/>
                <w:b/>
                <w:bCs/>
              </w:rPr>
              <w:t xml:space="preserve">Амбрисентан + Тадалафил </w:t>
            </w:r>
            <w:r w:rsidRPr="00A5246D">
              <w:rPr>
                <w:rFonts w:cs="Arial"/>
                <w:b/>
                <w:bCs/>
                <w:lang w:val="en-US"/>
              </w:rPr>
              <w:t>(N=253)</w:t>
            </w:r>
          </w:p>
        </w:tc>
        <w:tc>
          <w:tcPr>
            <w:tcW w:w="1830" w:type="dxa"/>
          </w:tcPr>
          <w:p w14:paraId="499305A5" w14:textId="77777777" w:rsidR="00A5246D" w:rsidRPr="00A5246D" w:rsidRDefault="00A5246D" w:rsidP="00A5246D">
            <w:pPr>
              <w:rPr>
                <w:rFonts w:cs="Arial"/>
              </w:rPr>
            </w:pPr>
            <w:r w:rsidRPr="00A5246D">
              <w:rPr>
                <w:rFonts w:cs="Arial"/>
                <w:b/>
                <w:bCs/>
              </w:rPr>
              <w:t>Монотерапия</w:t>
            </w:r>
          </w:p>
          <w:p w14:paraId="3C671FF7" w14:textId="284C79C3" w:rsidR="00A5246D" w:rsidRPr="00A5246D" w:rsidRDefault="00A5246D" w:rsidP="00A5246D">
            <w:pPr>
              <w:rPr>
                <w:rFonts w:cs="Arial"/>
              </w:rPr>
            </w:pPr>
            <w:r w:rsidRPr="00A5246D">
              <w:rPr>
                <w:rFonts w:cs="Arial"/>
                <w:b/>
                <w:bCs/>
              </w:rPr>
              <w:t xml:space="preserve">Сборни данни </w:t>
            </w:r>
            <w:r w:rsidRPr="00A5246D">
              <w:rPr>
                <w:rFonts w:cs="Arial"/>
                <w:b/>
                <w:bCs/>
                <w:lang w:val="en-US"/>
              </w:rPr>
              <w:t>(N=247)</w:t>
            </w:r>
          </w:p>
        </w:tc>
        <w:tc>
          <w:tcPr>
            <w:tcW w:w="1830" w:type="dxa"/>
          </w:tcPr>
          <w:p w14:paraId="5B420D29" w14:textId="18E7FA1F" w:rsidR="00A5246D" w:rsidRPr="00A5246D" w:rsidRDefault="00A5246D" w:rsidP="00A5246D">
            <w:pPr>
              <w:rPr>
                <w:rFonts w:cs="Arial"/>
              </w:rPr>
            </w:pPr>
            <w:r w:rsidRPr="00A5246D">
              <w:rPr>
                <w:rFonts w:cs="Arial"/>
                <w:b/>
                <w:bCs/>
              </w:rPr>
              <w:t xml:space="preserve">Монотерапия с амбрисентан </w:t>
            </w:r>
            <w:r w:rsidRPr="00A5246D">
              <w:rPr>
                <w:rFonts w:cs="Arial"/>
                <w:b/>
                <w:bCs/>
                <w:lang w:val="en-US"/>
              </w:rPr>
              <w:t>(N=126)</w:t>
            </w:r>
          </w:p>
        </w:tc>
        <w:tc>
          <w:tcPr>
            <w:tcW w:w="1830" w:type="dxa"/>
          </w:tcPr>
          <w:p w14:paraId="0FFFD436" w14:textId="1673274B" w:rsidR="00A5246D" w:rsidRPr="00A5246D" w:rsidRDefault="00A5246D" w:rsidP="00A5246D">
            <w:pPr>
              <w:rPr>
                <w:rFonts w:cs="Arial"/>
              </w:rPr>
            </w:pPr>
            <w:r w:rsidRPr="00A5246D">
              <w:rPr>
                <w:rFonts w:cs="Arial"/>
                <w:b/>
                <w:bCs/>
              </w:rPr>
              <w:t xml:space="preserve">Монотерапия с тадалафил </w:t>
            </w:r>
            <w:r w:rsidRPr="00A5246D">
              <w:rPr>
                <w:rFonts w:cs="Arial"/>
                <w:b/>
                <w:bCs/>
                <w:lang w:val="en-US"/>
              </w:rPr>
              <w:t>(N=121)</w:t>
            </w:r>
          </w:p>
        </w:tc>
      </w:tr>
      <w:tr w:rsidR="00A5246D" w14:paraId="78E1F29B" w14:textId="77777777" w:rsidTr="00D761D0">
        <w:tc>
          <w:tcPr>
            <w:tcW w:w="9576" w:type="dxa"/>
            <w:gridSpan w:val="5"/>
          </w:tcPr>
          <w:p w14:paraId="788DF44C" w14:textId="32E4A6FF" w:rsidR="00A5246D" w:rsidRPr="00A5246D" w:rsidRDefault="00A5246D" w:rsidP="0057749E">
            <w:pPr>
              <w:rPr>
                <w:rFonts w:cs="Arial"/>
              </w:rPr>
            </w:pPr>
            <w:r w:rsidRPr="00A5246D">
              <w:rPr>
                <w:rFonts w:eastAsia="Times New Roman" w:cs="Arial"/>
                <w:b/>
                <w:bCs/>
                <w:color w:val="000000"/>
                <w:lang w:eastAsia="bg-BG"/>
              </w:rPr>
              <w:t>Време до първо събитие на клиничен неуспех (Потвърдено)</w:t>
            </w:r>
          </w:p>
        </w:tc>
      </w:tr>
      <w:tr w:rsidR="00A5246D" w14:paraId="65FF3737" w14:textId="77777777" w:rsidTr="00A5246D">
        <w:tc>
          <w:tcPr>
            <w:tcW w:w="2402" w:type="dxa"/>
          </w:tcPr>
          <w:p w14:paraId="0F250CD6" w14:textId="4C421A7D" w:rsidR="00A5246D" w:rsidRPr="00A5246D" w:rsidRDefault="00A5246D" w:rsidP="00A5246D">
            <w:pPr>
              <w:rPr>
                <w:rFonts w:cs="Arial"/>
              </w:rPr>
            </w:pPr>
            <w:r w:rsidRPr="00A5246D">
              <w:rPr>
                <w:rFonts w:cs="Arial"/>
              </w:rPr>
              <w:t>Клиничен неуспех, п (%)</w:t>
            </w:r>
          </w:p>
        </w:tc>
        <w:tc>
          <w:tcPr>
            <w:tcW w:w="1684" w:type="dxa"/>
          </w:tcPr>
          <w:p w14:paraId="1B6A3035" w14:textId="1EFF1650" w:rsidR="00A5246D" w:rsidRPr="00A5246D" w:rsidRDefault="00A5246D" w:rsidP="00A5246D">
            <w:pPr>
              <w:rPr>
                <w:rFonts w:cs="Arial"/>
              </w:rPr>
            </w:pPr>
            <w:r w:rsidRPr="00A5246D">
              <w:rPr>
                <w:rFonts w:cs="Arial"/>
              </w:rPr>
              <w:t>46 (18%)</w:t>
            </w:r>
          </w:p>
        </w:tc>
        <w:tc>
          <w:tcPr>
            <w:tcW w:w="1830" w:type="dxa"/>
          </w:tcPr>
          <w:p w14:paraId="53C81926" w14:textId="3B07B9EE" w:rsidR="00A5246D" w:rsidRPr="00A5246D" w:rsidRDefault="00A5246D" w:rsidP="00A5246D">
            <w:pPr>
              <w:rPr>
                <w:rFonts w:cs="Arial"/>
              </w:rPr>
            </w:pPr>
            <w:r w:rsidRPr="00A5246D">
              <w:rPr>
                <w:rFonts w:cs="Arial"/>
              </w:rPr>
              <w:t>77 (31%)</w:t>
            </w:r>
          </w:p>
        </w:tc>
        <w:tc>
          <w:tcPr>
            <w:tcW w:w="1830" w:type="dxa"/>
          </w:tcPr>
          <w:p w14:paraId="3E79B3FA" w14:textId="3274A226" w:rsidR="00A5246D" w:rsidRPr="00A5246D" w:rsidRDefault="00A5246D" w:rsidP="00A5246D">
            <w:pPr>
              <w:rPr>
                <w:rFonts w:cs="Arial"/>
              </w:rPr>
            </w:pPr>
            <w:r w:rsidRPr="00A5246D">
              <w:rPr>
                <w:rFonts w:cs="Arial"/>
              </w:rPr>
              <w:t>43 (34)</w:t>
            </w:r>
          </w:p>
        </w:tc>
        <w:tc>
          <w:tcPr>
            <w:tcW w:w="1830" w:type="dxa"/>
          </w:tcPr>
          <w:p w14:paraId="5DFA4A3F" w14:textId="3F7D589B" w:rsidR="00A5246D" w:rsidRPr="00A5246D" w:rsidRDefault="00A5246D" w:rsidP="00A5246D">
            <w:pPr>
              <w:rPr>
                <w:rFonts w:cs="Arial"/>
              </w:rPr>
            </w:pPr>
            <w:r w:rsidRPr="00A5246D">
              <w:rPr>
                <w:rFonts w:cs="Arial"/>
              </w:rPr>
              <w:t>34 (28)</w:t>
            </w:r>
          </w:p>
        </w:tc>
      </w:tr>
      <w:tr w:rsidR="00A5246D" w14:paraId="3A109C09" w14:textId="77777777" w:rsidTr="00A5246D">
        <w:tc>
          <w:tcPr>
            <w:tcW w:w="2402" w:type="dxa"/>
          </w:tcPr>
          <w:p w14:paraId="0AF61B24" w14:textId="46BD131E" w:rsidR="00A5246D" w:rsidRPr="00A5246D" w:rsidRDefault="00A5246D" w:rsidP="00A5246D">
            <w:pPr>
              <w:rPr>
                <w:rFonts w:cs="Arial"/>
              </w:rPr>
            </w:pPr>
            <w:r w:rsidRPr="00A5246D">
              <w:rPr>
                <w:rFonts w:cs="Arial"/>
              </w:rPr>
              <w:t xml:space="preserve">Коефициент на риск (95% </w:t>
            </w:r>
            <w:r w:rsidRPr="00A5246D">
              <w:rPr>
                <w:rFonts w:cs="Arial"/>
                <w:lang w:val="en-US"/>
              </w:rPr>
              <w:t>Cl)</w:t>
            </w:r>
          </w:p>
        </w:tc>
        <w:tc>
          <w:tcPr>
            <w:tcW w:w="1684" w:type="dxa"/>
          </w:tcPr>
          <w:p w14:paraId="1E7BE59C" w14:textId="77777777" w:rsidR="00A5246D" w:rsidRPr="00A5246D" w:rsidRDefault="00A5246D" w:rsidP="00A5246D">
            <w:pPr>
              <w:rPr>
                <w:rFonts w:cs="Arial"/>
              </w:rPr>
            </w:pPr>
          </w:p>
        </w:tc>
        <w:tc>
          <w:tcPr>
            <w:tcW w:w="1830" w:type="dxa"/>
          </w:tcPr>
          <w:p w14:paraId="122447A0" w14:textId="5E933373" w:rsidR="00A5246D" w:rsidRPr="00A5246D" w:rsidRDefault="00A5246D" w:rsidP="00A5246D">
            <w:pPr>
              <w:rPr>
                <w:rFonts w:cs="Arial"/>
              </w:rPr>
            </w:pPr>
            <w:r w:rsidRPr="00A5246D">
              <w:rPr>
                <w:rFonts w:cs="Arial"/>
              </w:rPr>
              <w:t>0,502 (0,348; 0,724)</w:t>
            </w:r>
          </w:p>
        </w:tc>
        <w:tc>
          <w:tcPr>
            <w:tcW w:w="1830" w:type="dxa"/>
          </w:tcPr>
          <w:p w14:paraId="14DC7036" w14:textId="50299C8A" w:rsidR="00A5246D" w:rsidRPr="00A5246D" w:rsidRDefault="00A5246D" w:rsidP="00A5246D">
            <w:pPr>
              <w:rPr>
                <w:rFonts w:cs="Arial"/>
              </w:rPr>
            </w:pPr>
            <w:r w:rsidRPr="00A5246D">
              <w:rPr>
                <w:rFonts w:cs="Arial"/>
              </w:rPr>
              <w:t>0,477 (0,314; 0,723)</w:t>
            </w:r>
          </w:p>
        </w:tc>
        <w:tc>
          <w:tcPr>
            <w:tcW w:w="1830" w:type="dxa"/>
          </w:tcPr>
          <w:p w14:paraId="67C98C19" w14:textId="67674B33" w:rsidR="00A5246D" w:rsidRPr="00A5246D" w:rsidRDefault="00A5246D" w:rsidP="00A5246D">
            <w:pPr>
              <w:rPr>
                <w:rFonts w:cs="Arial"/>
              </w:rPr>
            </w:pPr>
            <w:r w:rsidRPr="00A5246D">
              <w:rPr>
                <w:rFonts w:cs="Arial"/>
              </w:rPr>
              <w:t>0,528 (0,338; 0,827)</w:t>
            </w:r>
          </w:p>
        </w:tc>
      </w:tr>
      <w:tr w:rsidR="00A5246D" w14:paraId="7D5CE3C9" w14:textId="77777777" w:rsidTr="00A5246D">
        <w:tc>
          <w:tcPr>
            <w:tcW w:w="2402" w:type="dxa"/>
          </w:tcPr>
          <w:p w14:paraId="2A3ECFE6" w14:textId="00BCC10B" w:rsidR="00A5246D" w:rsidRPr="00A5246D" w:rsidRDefault="00A5246D" w:rsidP="00A5246D">
            <w:pPr>
              <w:rPr>
                <w:rFonts w:cs="Arial"/>
              </w:rPr>
            </w:pPr>
            <w:r w:rsidRPr="00A5246D">
              <w:rPr>
                <w:rFonts w:cs="Arial"/>
              </w:rPr>
              <w:t xml:space="preserve">Р-стойност, Логаритмично трансформиран ренков тест </w:t>
            </w:r>
            <w:r w:rsidRPr="00A5246D">
              <w:rPr>
                <w:rFonts w:cs="Arial"/>
                <w:lang w:val="ru-RU"/>
              </w:rPr>
              <w:t>(</w:t>
            </w:r>
            <w:r w:rsidRPr="00A5246D">
              <w:rPr>
                <w:rFonts w:cs="Arial"/>
                <w:lang w:val="en-US"/>
              </w:rPr>
              <w:t>Log</w:t>
            </w:r>
            <w:r w:rsidRPr="00A5246D">
              <w:rPr>
                <w:rFonts w:cs="Arial"/>
                <w:lang w:val="ru-RU"/>
              </w:rPr>
              <w:t>-</w:t>
            </w:r>
            <w:r w:rsidRPr="00A5246D">
              <w:rPr>
                <w:rFonts w:cs="Arial"/>
                <w:lang w:val="en-US"/>
              </w:rPr>
              <w:t>rank</w:t>
            </w:r>
            <w:r w:rsidRPr="00A5246D">
              <w:rPr>
                <w:rFonts w:cs="Arial"/>
                <w:lang w:val="ru-RU"/>
              </w:rPr>
              <w:t xml:space="preserve"> </w:t>
            </w:r>
            <w:r w:rsidRPr="00A5246D">
              <w:rPr>
                <w:rFonts w:cs="Arial"/>
                <w:lang w:val="en-US"/>
              </w:rPr>
              <w:t>test</w:t>
            </w:r>
            <w:r w:rsidRPr="00A5246D">
              <w:rPr>
                <w:rFonts w:cs="Arial"/>
                <w:lang w:val="ru-RU"/>
              </w:rPr>
              <w:t>)</w:t>
            </w:r>
          </w:p>
        </w:tc>
        <w:tc>
          <w:tcPr>
            <w:tcW w:w="1684" w:type="dxa"/>
          </w:tcPr>
          <w:p w14:paraId="46BA8119" w14:textId="77777777" w:rsidR="00A5246D" w:rsidRPr="00A5246D" w:rsidRDefault="00A5246D" w:rsidP="00A5246D">
            <w:pPr>
              <w:rPr>
                <w:rFonts w:cs="Arial"/>
              </w:rPr>
            </w:pPr>
          </w:p>
        </w:tc>
        <w:tc>
          <w:tcPr>
            <w:tcW w:w="1830" w:type="dxa"/>
          </w:tcPr>
          <w:p w14:paraId="7BF76E0D" w14:textId="64466A7B" w:rsidR="00A5246D" w:rsidRPr="00A5246D" w:rsidRDefault="00A5246D" w:rsidP="00A5246D">
            <w:pPr>
              <w:rPr>
                <w:rFonts w:cs="Arial"/>
              </w:rPr>
            </w:pPr>
            <w:r w:rsidRPr="00A5246D">
              <w:rPr>
                <w:rFonts w:cs="Arial"/>
              </w:rPr>
              <w:t>0,0002</w:t>
            </w:r>
          </w:p>
        </w:tc>
        <w:tc>
          <w:tcPr>
            <w:tcW w:w="1830" w:type="dxa"/>
          </w:tcPr>
          <w:p w14:paraId="5E45DDFC" w14:textId="7C6FE652" w:rsidR="00A5246D" w:rsidRPr="00A5246D" w:rsidRDefault="00A5246D" w:rsidP="00A5246D">
            <w:pPr>
              <w:rPr>
                <w:rFonts w:cs="Arial"/>
              </w:rPr>
            </w:pPr>
            <w:r w:rsidRPr="00A5246D">
              <w:rPr>
                <w:rFonts w:cs="Arial"/>
              </w:rPr>
              <w:t>0,0004</w:t>
            </w:r>
          </w:p>
        </w:tc>
        <w:tc>
          <w:tcPr>
            <w:tcW w:w="1830" w:type="dxa"/>
          </w:tcPr>
          <w:p w14:paraId="3961F0BA" w14:textId="6BE3C3D5" w:rsidR="00A5246D" w:rsidRPr="00A5246D" w:rsidRDefault="00A5246D" w:rsidP="00A5246D">
            <w:pPr>
              <w:rPr>
                <w:rFonts w:cs="Arial"/>
              </w:rPr>
            </w:pPr>
            <w:r w:rsidRPr="00A5246D">
              <w:rPr>
                <w:rFonts w:cs="Arial"/>
              </w:rPr>
              <w:t>0,0045</w:t>
            </w:r>
          </w:p>
        </w:tc>
      </w:tr>
      <w:tr w:rsidR="00A5246D" w14:paraId="51F0FF7C" w14:textId="77777777" w:rsidTr="00F233CA">
        <w:tc>
          <w:tcPr>
            <w:tcW w:w="9576" w:type="dxa"/>
            <w:gridSpan w:val="5"/>
          </w:tcPr>
          <w:p w14:paraId="31C44753" w14:textId="1D107EF9" w:rsidR="00A5246D" w:rsidRPr="00A5246D" w:rsidRDefault="00A5246D" w:rsidP="0057749E">
            <w:pPr>
              <w:rPr>
                <w:rFonts w:cs="Arial"/>
              </w:rPr>
            </w:pPr>
            <w:r w:rsidRPr="00A5246D">
              <w:rPr>
                <w:rFonts w:cs="Arial"/>
                <w:b/>
                <w:bCs/>
              </w:rPr>
              <w:t>Компонент като първо събитие на клиничен неуспех (Потвърден)</w:t>
            </w:r>
          </w:p>
        </w:tc>
      </w:tr>
      <w:tr w:rsidR="00A5246D" w14:paraId="611F08B8" w14:textId="77777777" w:rsidTr="00A5246D">
        <w:tc>
          <w:tcPr>
            <w:tcW w:w="2402" w:type="dxa"/>
          </w:tcPr>
          <w:p w14:paraId="25862B10" w14:textId="7328B061" w:rsidR="00A5246D" w:rsidRPr="00A5246D" w:rsidRDefault="00A5246D" w:rsidP="00A5246D">
            <w:pPr>
              <w:rPr>
                <w:rFonts w:cs="Arial"/>
              </w:rPr>
            </w:pPr>
            <w:r w:rsidRPr="00A5246D">
              <w:rPr>
                <w:rFonts w:cs="Arial"/>
              </w:rPr>
              <w:t>Смърт (по всякакви причини)</w:t>
            </w:r>
          </w:p>
        </w:tc>
        <w:tc>
          <w:tcPr>
            <w:tcW w:w="1684" w:type="dxa"/>
          </w:tcPr>
          <w:p w14:paraId="272ED7AF" w14:textId="7B036AE7" w:rsidR="00A5246D" w:rsidRPr="00A5246D" w:rsidRDefault="00A5246D" w:rsidP="00A5246D">
            <w:pPr>
              <w:rPr>
                <w:rFonts w:cs="Arial"/>
              </w:rPr>
            </w:pPr>
            <w:r w:rsidRPr="00A5246D">
              <w:rPr>
                <w:rFonts w:cs="Arial"/>
              </w:rPr>
              <w:t>9 (4%)</w:t>
            </w:r>
          </w:p>
        </w:tc>
        <w:tc>
          <w:tcPr>
            <w:tcW w:w="1830" w:type="dxa"/>
          </w:tcPr>
          <w:p w14:paraId="4B152A5E" w14:textId="4D290EE3" w:rsidR="00A5246D" w:rsidRPr="00A5246D" w:rsidRDefault="00A5246D" w:rsidP="00A5246D">
            <w:pPr>
              <w:rPr>
                <w:rFonts w:cs="Arial"/>
              </w:rPr>
            </w:pPr>
            <w:r w:rsidRPr="00A5246D">
              <w:rPr>
                <w:rFonts w:cs="Arial"/>
              </w:rPr>
              <w:t>8 (3%)</w:t>
            </w:r>
          </w:p>
        </w:tc>
        <w:tc>
          <w:tcPr>
            <w:tcW w:w="1830" w:type="dxa"/>
          </w:tcPr>
          <w:p w14:paraId="0607312B" w14:textId="3B2CF4C1" w:rsidR="00A5246D" w:rsidRPr="00A5246D" w:rsidRDefault="00A5246D" w:rsidP="00A5246D">
            <w:pPr>
              <w:rPr>
                <w:rFonts w:cs="Arial"/>
              </w:rPr>
            </w:pPr>
            <w:r w:rsidRPr="00A5246D">
              <w:rPr>
                <w:rFonts w:cs="Arial"/>
              </w:rPr>
              <w:t>2(2)</w:t>
            </w:r>
          </w:p>
        </w:tc>
        <w:tc>
          <w:tcPr>
            <w:tcW w:w="1830" w:type="dxa"/>
          </w:tcPr>
          <w:p w14:paraId="5CF5EA01" w14:textId="46B6653B" w:rsidR="00A5246D" w:rsidRPr="00A5246D" w:rsidRDefault="00A5246D" w:rsidP="00A5246D">
            <w:pPr>
              <w:rPr>
                <w:rFonts w:cs="Arial"/>
              </w:rPr>
            </w:pPr>
            <w:r w:rsidRPr="00A5246D">
              <w:rPr>
                <w:rFonts w:cs="Arial"/>
                <w:lang w:val="en-US"/>
              </w:rPr>
              <w:t>6(5)</w:t>
            </w:r>
          </w:p>
        </w:tc>
      </w:tr>
      <w:tr w:rsidR="00A5246D" w14:paraId="42B5CCC3" w14:textId="77777777" w:rsidTr="00A5246D">
        <w:tc>
          <w:tcPr>
            <w:tcW w:w="2402" w:type="dxa"/>
          </w:tcPr>
          <w:p w14:paraId="7E9E6B4F" w14:textId="5E566F75" w:rsidR="00A5246D" w:rsidRPr="00A5246D" w:rsidRDefault="00A5246D" w:rsidP="00A5246D">
            <w:pPr>
              <w:rPr>
                <w:rFonts w:cs="Arial"/>
              </w:rPr>
            </w:pPr>
            <w:r w:rsidRPr="00A5246D">
              <w:rPr>
                <w:rFonts w:cs="Arial"/>
              </w:rPr>
              <w:t>Хоспитализация поради влошаване на БАХ</w:t>
            </w:r>
          </w:p>
        </w:tc>
        <w:tc>
          <w:tcPr>
            <w:tcW w:w="1684" w:type="dxa"/>
          </w:tcPr>
          <w:p w14:paraId="1E87A831" w14:textId="34FED257" w:rsidR="00A5246D" w:rsidRPr="00A5246D" w:rsidRDefault="00A5246D" w:rsidP="00A5246D">
            <w:pPr>
              <w:rPr>
                <w:rFonts w:cs="Arial"/>
              </w:rPr>
            </w:pPr>
            <w:r w:rsidRPr="00A5246D">
              <w:rPr>
                <w:rFonts w:cs="Arial"/>
              </w:rPr>
              <w:t>10(4%)</w:t>
            </w:r>
          </w:p>
        </w:tc>
        <w:tc>
          <w:tcPr>
            <w:tcW w:w="1830" w:type="dxa"/>
          </w:tcPr>
          <w:p w14:paraId="554C2841" w14:textId="2ED83098" w:rsidR="00A5246D" w:rsidRPr="00A5246D" w:rsidRDefault="00A5246D" w:rsidP="00A5246D">
            <w:pPr>
              <w:rPr>
                <w:rFonts w:cs="Arial"/>
              </w:rPr>
            </w:pPr>
            <w:r w:rsidRPr="00A5246D">
              <w:rPr>
                <w:rFonts w:cs="Arial"/>
              </w:rPr>
              <w:t>30(12%)</w:t>
            </w:r>
          </w:p>
        </w:tc>
        <w:tc>
          <w:tcPr>
            <w:tcW w:w="1830" w:type="dxa"/>
          </w:tcPr>
          <w:p w14:paraId="65B13840" w14:textId="36CCFAA8" w:rsidR="00A5246D" w:rsidRPr="00A5246D" w:rsidRDefault="00A5246D" w:rsidP="00A5246D">
            <w:pPr>
              <w:rPr>
                <w:rFonts w:cs="Arial"/>
              </w:rPr>
            </w:pPr>
            <w:r w:rsidRPr="00A5246D">
              <w:rPr>
                <w:rFonts w:cs="Arial"/>
              </w:rPr>
              <w:t>18(14)</w:t>
            </w:r>
          </w:p>
        </w:tc>
        <w:tc>
          <w:tcPr>
            <w:tcW w:w="1830" w:type="dxa"/>
          </w:tcPr>
          <w:p w14:paraId="5AC7EC01" w14:textId="70B8C4C9" w:rsidR="00A5246D" w:rsidRPr="00A5246D" w:rsidRDefault="00A5246D" w:rsidP="00A5246D">
            <w:pPr>
              <w:rPr>
                <w:rFonts w:cs="Arial"/>
              </w:rPr>
            </w:pPr>
            <w:r w:rsidRPr="00A5246D">
              <w:rPr>
                <w:rFonts w:cs="Arial"/>
              </w:rPr>
              <w:t>12(10)</w:t>
            </w:r>
          </w:p>
        </w:tc>
      </w:tr>
      <w:tr w:rsidR="00A5246D" w14:paraId="506A8B88" w14:textId="77777777" w:rsidTr="00A5246D">
        <w:tc>
          <w:tcPr>
            <w:tcW w:w="2402" w:type="dxa"/>
          </w:tcPr>
          <w:p w14:paraId="537D2BFB" w14:textId="7B625757" w:rsidR="00A5246D" w:rsidRPr="00A5246D" w:rsidRDefault="00A5246D" w:rsidP="00A5246D">
            <w:pPr>
              <w:rPr>
                <w:rFonts w:cs="Arial"/>
              </w:rPr>
            </w:pPr>
            <w:r w:rsidRPr="00A5246D">
              <w:rPr>
                <w:rFonts w:cs="Arial"/>
              </w:rPr>
              <w:t>Прогресия на заболяването</w:t>
            </w:r>
          </w:p>
        </w:tc>
        <w:tc>
          <w:tcPr>
            <w:tcW w:w="1684" w:type="dxa"/>
          </w:tcPr>
          <w:p w14:paraId="040D1F8B" w14:textId="06BD9C6B" w:rsidR="00A5246D" w:rsidRPr="00A5246D" w:rsidRDefault="00A5246D" w:rsidP="00A5246D">
            <w:pPr>
              <w:rPr>
                <w:rFonts w:cs="Arial"/>
              </w:rPr>
            </w:pPr>
            <w:r w:rsidRPr="00A5246D">
              <w:rPr>
                <w:rFonts w:cs="Arial"/>
              </w:rPr>
              <w:t>10(4%)</w:t>
            </w:r>
          </w:p>
        </w:tc>
        <w:tc>
          <w:tcPr>
            <w:tcW w:w="1830" w:type="dxa"/>
          </w:tcPr>
          <w:p w14:paraId="067FC56E" w14:textId="3326796E" w:rsidR="00A5246D" w:rsidRPr="00A5246D" w:rsidRDefault="00A5246D" w:rsidP="00A5246D">
            <w:pPr>
              <w:rPr>
                <w:rFonts w:cs="Arial"/>
              </w:rPr>
            </w:pPr>
            <w:r w:rsidRPr="00A5246D">
              <w:rPr>
                <w:rFonts w:cs="Arial"/>
              </w:rPr>
              <w:t>16(6%)</w:t>
            </w:r>
          </w:p>
        </w:tc>
        <w:tc>
          <w:tcPr>
            <w:tcW w:w="1830" w:type="dxa"/>
          </w:tcPr>
          <w:p w14:paraId="6EC5CDB2" w14:textId="660D5284" w:rsidR="00A5246D" w:rsidRPr="00A5246D" w:rsidRDefault="00A5246D" w:rsidP="00A5246D">
            <w:pPr>
              <w:rPr>
                <w:rFonts w:cs="Arial"/>
              </w:rPr>
            </w:pPr>
            <w:r w:rsidRPr="00A5246D">
              <w:rPr>
                <w:rFonts w:cs="Arial"/>
              </w:rPr>
              <w:t>12(10)</w:t>
            </w:r>
          </w:p>
        </w:tc>
        <w:tc>
          <w:tcPr>
            <w:tcW w:w="1830" w:type="dxa"/>
          </w:tcPr>
          <w:p w14:paraId="35712378" w14:textId="28237ED3" w:rsidR="00A5246D" w:rsidRPr="00A5246D" w:rsidRDefault="00A5246D" w:rsidP="00A5246D">
            <w:pPr>
              <w:rPr>
                <w:rFonts w:cs="Arial"/>
              </w:rPr>
            </w:pPr>
            <w:r w:rsidRPr="00A5246D">
              <w:rPr>
                <w:rFonts w:cs="Arial"/>
                <w:lang w:val="en-US"/>
              </w:rPr>
              <w:t>4(3)</w:t>
            </w:r>
          </w:p>
        </w:tc>
      </w:tr>
      <w:tr w:rsidR="00A5246D" w14:paraId="3D09CD1A" w14:textId="77777777" w:rsidTr="00A5246D">
        <w:tc>
          <w:tcPr>
            <w:tcW w:w="2402" w:type="dxa"/>
            <w:vAlign w:val="bottom"/>
          </w:tcPr>
          <w:p w14:paraId="2277D18D" w14:textId="00AD4D7F" w:rsidR="00A5246D" w:rsidRPr="00A5246D" w:rsidRDefault="00A5246D" w:rsidP="00A5246D">
            <w:pPr>
              <w:rPr>
                <w:rFonts w:cs="Arial"/>
              </w:rPr>
            </w:pPr>
            <w:r w:rsidRPr="00A5246D">
              <w:rPr>
                <w:rFonts w:cs="Arial"/>
              </w:rPr>
              <w:t>Незадоволителен дългосрочен клиничен отговор</w:t>
            </w:r>
          </w:p>
        </w:tc>
        <w:tc>
          <w:tcPr>
            <w:tcW w:w="1684" w:type="dxa"/>
            <w:vAlign w:val="center"/>
          </w:tcPr>
          <w:p w14:paraId="69AECC56" w14:textId="1382A076" w:rsidR="00A5246D" w:rsidRPr="00A5246D" w:rsidRDefault="00A5246D" w:rsidP="00A5246D">
            <w:pPr>
              <w:rPr>
                <w:rFonts w:cs="Arial"/>
              </w:rPr>
            </w:pPr>
            <w:r w:rsidRPr="00A5246D">
              <w:rPr>
                <w:rFonts w:cs="Arial"/>
              </w:rPr>
              <w:t>17 (7%)</w:t>
            </w:r>
          </w:p>
        </w:tc>
        <w:tc>
          <w:tcPr>
            <w:tcW w:w="1830" w:type="dxa"/>
            <w:vAlign w:val="center"/>
          </w:tcPr>
          <w:p w14:paraId="71E1EF55" w14:textId="15527F80" w:rsidR="00A5246D" w:rsidRPr="00A5246D" w:rsidRDefault="00A5246D" w:rsidP="00A5246D">
            <w:pPr>
              <w:rPr>
                <w:rFonts w:cs="Arial"/>
              </w:rPr>
            </w:pPr>
            <w:r w:rsidRPr="00A5246D">
              <w:rPr>
                <w:rFonts w:cs="Arial"/>
              </w:rPr>
              <w:t>23 (9%)</w:t>
            </w:r>
          </w:p>
        </w:tc>
        <w:tc>
          <w:tcPr>
            <w:tcW w:w="1830" w:type="dxa"/>
            <w:vAlign w:val="center"/>
          </w:tcPr>
          <w:p w14:paraId="03A785E5" w14:textId="18F20C0F" w:rsidR="00A5246D" w:rsidRPr="00A5246D" w:rsidRDefault="00A5246D" w:rsidP="00A5246D">
            <w:pPr>
              <w:rPr>
                <w:rFonts w:cs="Arial"/>
              </w:rPr>
            </w:pPr>
            <w:r w:rsidRPr="00A5246D">
              <w:rPr>
                <w:rFonts w:cs="Arial"/>
              </w:rPr>
              <w:t>11(9)</w:t>
            </w:r>
          </w:p>
        </w:tc>
        <w:tc>
          <w:tcPr>
            <w:tcW w:w="1830" w:type="dxa"/>
            <w:vAlign w:val="center"/>
          </w:tcPr>
          <w:p w14:paraId="4CC858F7" w14:textId="18C56046" w:rsidR="00A5246D" w:rsidRPr="00A5246D" w:rsidRDefault="00A5246D" w:rsidP="00A5246D">
            <w:pPr>
              <w:rPr>
                <w:rFonts w:cs="Arial"/>
              </w:rPr>
            </w:pPr>
            <w:r w:rsidRPr="00A5246D">
              <w:rPr>
                <w:rFonts w:cs="Arial"/>
              </w:rPr>
              <w:t>12(10)</w:t>
            </w:r>
          </w:p>
        </w:tc>
      </w:tr>
      <w:tr w:rsidR="00A5246D" w14:paraId="1800B20D" w14:textId="77777777" w:rsidTr="003319D0">
        <w:tc>
          <w:tcPr>
            <w:tcW w:w="9576" w:type="dxa"/>
            <w:gridSpan w:val="5"/>
          </w:tcPr>
          <w:p w14:paraId="5E665CBD" w14:textId="02E912AD" w:rsidR="00A5246D" w:rsidRPr="00A5246D" w:rsidRDefault="00A5246D" w:rsidP="0057749E">
            <w:pPr>
              <w:rPr>
                <w:rFonts w:cs="Arial"/>
              </w:rPr>
            </w:pPr>
            <w:r w:rsidRPr="00A5246D">
              <w:rPr>
                <w:rFonts w:eastAsia="Times New Roman" w:cs="Arial"/>
                <w:b/>
                <w:bCs/>
                <w:color w:val="000000"/>
                <w:lang w:eastAsia="bg-BG"/>
              </w:rPr>
              <w:lastRenderedPageBreak/>
              <w:t>Време до първа хоспитализация поради влошаване на БАХ (Потвърдено)</w:t>
            </w:r>
          </w:p>
        </w:tc>
      </w:tr>
      <w:tr w:rsidR="00A5246D" w14:paraId="338681D2" w14:textId="77777777" w:rsidTr="00A5246D">
        <w:tc>
          <w:tcPr>
            <w:tcW w:w="2402" w:type="dxa"/>
            <w:vAlign w:val="center"/>
          </w:tcPr>
          <w:p w14:paraId="6DBB6C12" w14:textId="7FCC561C" w:rsidR="00A5246D" w:rsidRPr="00A5246D" w:rsidRDefault="00A5246D" w:rsidP="00A5246D">
            <w:pPr>
              <w:rPr>
                <w:rFonts w:cs="Arial"/>
              </w:rPr>
            </w:pPr>
            <w:r w:rsidRPr="00A5246D">
              <w:rPr>
                <w:rFonts w:cs="Arial"/>
              </w:rPr>
              <w:t>Първа хоспитализация, п (%)</w:t>
            </w:r>
          </w:p>
        </w:tc>
        <w:tc>
          <w:tcPr>
            <w:tcW w:w="1684" w:type="dxa"/>
            <w:vAlign w:val="center"/>
          </w:tcPr>
          <w:p w14:paraId="4A2DD617" w14:textId="5D1070AC" w:rsidR="00A5246D" w:rsidRPr="00A5246D" w:rsidRDefault="00A5246D" w:rsidP="00A5246D">
            <w:pPr>
              <w:rPr>
                <w:rFonts w:cs="Arial"/>
              </w:rPr>
            </w:pPr>
            <w:r w:rsidRPr="00A5246D">
              <w:rPr>
                <w:rFonts w:cs="Arial"/>
              </w:rPr>
              <w:t>19(8%)</w:t>
            </w:r>
          </w:p>
        </w:tc>
        <w:tc>
          <w:tcPr>
            <w:tcW w:w="1830" w:type="dxa"/>
            <w:vAlign w:val="center"/>
          </w:tcPr>
          <w:p w14:paraId="5B7B0B64" w14:textId="5ABF641A" w:rsidR="00A5246D" w:rsidRPr="00A5246D" w:rsidRDefault="00A5246D" w:rsidP="00A5246D">
            <w:pPr>
              <w:rPr>
                <w:rFonts w:cs="Arial"/>
              </w:rPr>
            </w:pPr>
            <w:r w:rsidRPr="00A5246D">
              <w:rPr>
                <w:rFonts w:cs="Arial"/>
              </w:rPr>
              <w:t>44(18%)</w:t>
            </w:r>
          </w:p>
        </w:tc>
        <w:tc>
          <w:tcPr>
            <w:tcW w:w="1830" w:type="dxa"/>
            <w:vAlign w:val="center"/>
          </w:tcPr>
          <w:p w14:paraId="1A70EFC5" w14:textId="7B702FAE" w:rsidR="00A5246D" w:rsidRPr="00A5246D" w:rsidRDefault="00A5246D" w:rsidP="00A5246D">
            <w:pPr>
              <w:rPr>
                <w:rFonts w:cs="Arial"/>
              </w:rPr>
            </w:pPr>
            <w:r w:rsidRPr="00A5246D">
              <w:rPr>
                <w:rFonts w:cs="Arial"/>
              </w:rPr>
              <w:t>27 (21%)</w:t>
            </w:r>
          </w:p>
        </w:tc>
        <w:tc>
          <w:tcPr>
            <w:tcW w:w="1830" w:type="dxa"/>
            <w:vAlign w:val="center"/>
          </w:tcPr>
          <w:p w14:paraId="79AB1661" w14:textId="19E2182E" w:rsidR="00A5246D" w:rsidRPr="00A5246D" w:rsidRDefault="00A5246D" w:rsidP="00A5246D">
            <w:pPr>
              <w:rPr>
                <w:rFonts w:cs="Arial"/>
              </w:rPr>
            </w:pPr>
            <w:r w:rsidRPr="00A5246D">
              <w:rPr>
                <w:rFonts w:cs="Arial"/>
              </w:rPr>
              <w:t>17(14%)</w:t>
            </w:r>
          </w:p>
        </w:tc>
      </w:tr>
      <w:tr w:rsidR="00A5246D" w14:paraId="5CA2C6B2" w14:textId="77777777" w:rsidTr="00A5246D">
        <w:tc>
          <w:tcPr>
            <w:tcW w:w="2402" w:type="dxa"/>
            <w:vAlign w:val="bottom"/>
          </w:tcPr>
          <w:p w14:paraId="4A2F356C" w14:textId="11C65AD4" w:rsidR="00A5246D" w:rsidRPr="00A5246D" w:rsidRDefault="00A5246D" w:rsidP="00A5246D">
            <w:pPr>
              <w:rPr>
                <w:rFonts w:cs="Arial"/>
              </w:rPr>
            </w:pPr>
            <w:r w:rsidRPr="00A5246D">
              <w:rPr>
                <w:rFonts w:cs="Arial"/>
              </w:rPr>
              <w:t xml:space="preserve">Коефициент на риск (95% </w:t>
            </w:r>
            <w:r w:rsidRPr="00A5246D">
              <w:rPr>
                <w:rFonts w:cs="Arial"/>
                <w:lang w:val="en-US"/>
              </w:rPr>
              <w:t>CI)</w:t>
            </w:r>
          </w:p>
        </w:tc>
        <w:tc>
          <w:tcPr>
            <w:tcW w:w="1684" w:type="dxa"/>
          </w:tcPr>
          <w:p w14:paraId="10214BCD" w14:textId="77777777" w:rsidR="00A5246D" w:rsidRPr="00A5246D" w:rsidRDefault="00A5246D" w:rsidP="00A5246D">
            <w:pPr>
              <w:rPr>
                <w:rFonts w:cs="Arial"/>
              </w:rPr>
            </w:pPr>
          </w:p>
        </w:tc>
        <w:tc>
          <w:tcPr>
            <w:tcW w:w="1830" w:type="dxa"/>
            <w:vAlign w:val="center"/>
          </w:tcPr>
          <w:p w14:paraId="6865A999" w14:textId="019740C0" w:rsidR="00A5246D" w:rsidRPr="00A5246D" w:rsidRDefault="00A5246D" w:rsidP="00A5246D">
            <w:pPr>
              <w:rPr>
                <w:rFonts w:cs="Arial"/>
              </w:rPr>
            </w:pPr>
            <w:r w:rsidRPr="00A5246D">
              <w:rPr>
                <w:rFonts w:cs="Arial"/>
              </w:rPr>
              <w:t>0,372</w:t>
            </w:r>
          </w:p>
        </w:tc>
        <w:tc>
          <w:tcPr>
            <w:tcW w:w="1830" w:type="dxa"/>
            <w:vAlign w:val="center"/>
          </w:tcPr>
          <w:p w14:paraId="1F284048" w14:textId="229BAF0A" w:rsidR="00A5246D" w:rsidRPr="00A5246D" w:rsidRDefault="00A5246D" w:rsidP="00A5246D">
            <w:pPr>
              <w:rPr>
                <w:rFonts w:cs="Arial"/>
              </w:rPr>
            </w:pPr>
            <w:r w:rsidRPr="00A5246D">
              <w:rPr>
                <w:rFonts w:cs="Arial"/>
              </w:rPr>
              <w:t>0,323</w:t>
            </w:r>
          </w:p>
        </w:tc>
        <w:tc>
          <w:tcPr>
            <w:tcW w:w="1830" w:type="dxa"/>
            <w:vAlign w:val="center"/>
          </w:tcPr>
          <w:p w14:paraId="6636BAA2" w14:textId="4996C955" w:rsidR="00A5246D" w:rsidRPr="00A5246D" w:rsidRDefault="00A5246D" w:rsidP="00A5246D">
            <w:pPr>
              <w:rPr>
                <w:rFonts w:cs="Arial"/>
              </w:rPr>
            </w:pPr>
            <w:r w:rsidRPr="00A5246D">
              <w:rPr>
                <w:rFonts w:cs="Arial"/>
              </w:rPr>
              <w:t>0,442</w:t>
            </w:r>
          </w:p>
        </w:tc>
      </w:tr>
      <w:tr w:rsidR="00A5246D" w14:paraId="17C61EAA" w14:textId="77777777" w:rsidTr="00A5246D">
        <w:tc>
          <w:tcPr>
            <w:tcW w:w="2402" w:type="dxa"/>
            <w:vAlign w:val="center"/>
          </w:tcPr>
          <w:p w14:paraId="6BAD7F71" w14:textId="38B697C9" w:rsidR="00A5246D" w:rsidRPr="00A5246D" w:rsidRDefault="00A5246D" w:rsidP="00A5246D">
            <w:pPr>
              <w:rPr>
                <w:rFonts w:cs="Arial"/>
              </w:rPr>
            </w:pPr>
            <w:r w:rsidRPr="00A5246D">
              <w:rPr>
                <w:rFonts w:cs="Arial"/>
              </w:rPr>
              <w:t xml:space="preserve">Р-стойност, Логаритмично трансформиран ренков тест </w:t>
            </w:r>
            <w:r w:rsidRPr="00A5246D">
              <w:rPr>
                <w:rFonts w:cs="Arial"/>
                <w:lang w:val="ru-RU"/>
              </w:rPr>
              <w:t>(</w:t>
            </w:r>
            <w:r w:rsidRPr="00A5246D">
              <w:rPr>
                <w:rFonts w:cs="Arial"/>
                <w:lang w:val="en-US"/>
              </w:rPr>
              <w:t>Log</w:t>
            </w:r>
            <w:r w:rsidRPr="00A5246D">
              <w:rPr>
                <w:rFonts w:cs="Arial"/>
                <w:lang w:val="ru-RU"/>
              </w:rPr>
              <w:t xml:space="preserve"> </w:t>
            </w:r>
            <w:r w:rsidRPr="00A5246D">
              <w:rPr>
                <w:rFonts w:cs="Arial"/>
                <w:lang w:val="en-US"/>
              </w:rPr>
              <w:t>rank</w:t>
            </w:r>
            <w:r w:rsidRPr="00A5246D">
              <w:rPr>
                <w:rFonts w:cs="Arial"/>
                <w:lang w:val="ru-RU"/>
              </w:rPr>
              <w:t xml:space="preserve"> </w:t>
            </w:r>
            <w:r w:rsidRPr="00A5246D">
              <w:rPr>
                <w:rFonts w:cs="Arial"/>
                <w:lang w:val="en-US"/>
              </w:rPr>
              <w:t>test</w:t>
            </w:r>
            <w:r w:rsidRPr="00A5246D">
              <w:rPr>
                <w:rFonts w:cs="Arial"/>
                <w:lang w:val="ru-RU"/>
              </w:rPr>
              <w:t>)</w:t>
            </w:r>
          </w:p>
        </w:tc>
        <w:tc>
          <w:tcPr>
            <w:tcW w:w="1684" w:type="dxa"/>
          </w:tcPr>
          <w:p w14:paraId="79FEF7A6" w14:textId="77777777" w:rsidR="00A5246D" w:rsidRPr="00A5246D" w:rsidRDefault="00A5246D" w:rsidP="00A5246D">
            <w:pPr>
              <w:rPr>
                <w:rFonts w:cs="Arial"/>
              </w:rPr>
            </w:pPr>
          </w:p>
        </w:tc>
        <w:tc>
          <w:tcPr>
            <w:tcW w:w="1830" w:type="dxa"/>
            <w:vAlign w:val="center"/>
          </w:tcPr>
          <w:p w14:paraId="456FA732" w14:textId="4FE9CA58" w:rsidR="00A5246D" w:rsidRPr="00A5246D" w:rsidRDefault="00A5246D" w:rsidP="00A5246D">
            <w:pPr>
              <w:rPr>
                <w:rFonts w:cs="Arial"/>
              </w:rPr>
            </w:pPr>
            <w:r w:rsidRPr="00A5246D">
              <w:rPr>
                <w:rFonts w:cs="Arial"/>
              </w:rPr>
              <w:t>0,0002</w:t>
            </w:r>
          </w:p>
        </w:tc>
        <w:tc>
          <w:tcPr>
            <w:tcW w:w="1830" w:type="dxa"/>
            <w:vAlign w:val="center"/>
          </w:tcPr>
          <w:p w14:paraId="676E07CC" w14:textId="57046104" w:rsidR="00A5246D" w:rsidRPr="00A5246D" w:rsidRDefault="00A5246D" w:rsidP="00A5246D">
            <w:pPr>
              <w:rPr>
                <w:rFonts w:cs="Arial"/>
              </w:rPr>
            </w:pPr>
            <w:r w:rsidRPr="00A5246D">
              <w:rPr>
                <w:rFonts w:cs="Arial"/>
              </w:rPr>
              <w:t>&lt;0,0001</w:t>
            </w:r>
          </w:p>
        </w:tc>
        <w:tc>
          <w:tcPr>
            <w:tcW w:w="1830" w:type="dxa"/>
            <w:vAlign w:val="center"/>
          </w:tcPr>
          <w:p w14:paraId="032E06C3" w14:textId="5E0AC87E" w:rsidR="00A5246D" w:rsidRPr="00A5246D" w:rsidRDefault="00A5246D" w:rsidP="00A5246D">
            <w:pPr>
              <w:rPr>
                <w:rFonts w:cs="Arial"/>
              </w:rPr>
            </w:pPr>
            <w:r w:rsidRPr="00A5246D">
              <w:rPr>
                <w:rFonts w:cs="Arial"/>
              </w:rPr>
              <w:t>0,0124</w:t>
            </w:r>
          </w:p>
        </w:tc>
      </w:tr>
    </w:tbl>
    <w:p w14:paraId="57DDD906" w14:textId="77777777" w:rsidR="00A5246D" w:rsidRDefault="00A5246D" w:rsidP="00A5246D">
      <w:pPr>
        <w:spacing w:line="240" w:lineRule="auto"/>
        <w:rPr>
          <w:rFonts w:ascii="Times New Roman" w:eastAsia="Times New Roman" w:hAnsi="Times New Roman" w:cs="Times New Roman"/>
          <w:i/>
          <w:iCs/>
          <w:color w:val="000000"/>
          <w:u w:val="single"/>
          <w:lang w:eastAsia="bg-BG"/>
        </w:rPr>
      </w:pPr>
    </w:p>
    <w:p w14:paraId="0A5397D2" w14:textId="56CB7F42" w:rsidR="00A5246D" w:rsidRPr="00A5246D" w:rsidRDefault="00A5246D" w:rsidP="00A5246D">
      <w:pPr>
        <w:spacing w:line="240" w:lineRule="auto"/>
        <w:rPr>
          <w:rFonts w:eastAsia="Times New Roman" w:cs="Arial"/>
          <w:sz w:val="24"/>
          <w:szCs w:val="24"/>
        </w:rPr>
      </w:pPr>
      <w:r w:rsidRPr="00A5246D">
        <w:rPr>
          <w:rFonts w:eastAsia="Times New Roman" w:cs="Arial"/>
          <w:i/>
          <w:iCs/>
          <w:color w:val="000000"/>
          <w:u w:val="single"/>
          <w:lang w:eastAsia="bg-BG"/>
        </w:rPr>
        <w:t>Вторични крайни точки</w:t>
      </w:r>
    </w:p>
    <w:p w14:paraId="43F416E0"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Изследваните вторични крайни точки са:</w:t>
      </w:r>
    </w:p>
    <w:p w14:paraId="409767CC" w14:textId="0B75E171" w:rsidR="00A5246D" w:rsidRPr="00A5246D" w:rsidRDefault="00A5246D" w:rsidP="00A5246D">
      <w:pPr>
        <w:spacing w:line="240" w:lineRule="auto"/>
        <w:rPr>
          <w:rFonts w:eastAsia="Times New Roman" w:cs="Arial"/>
          <w:color w:val="000000"/>
          <w:lang w:eastAsia="bg-BG"/>
        </w:rPr>
      </w:pPr>
    </w:p>
    <w:p w14:paraId="061E6313" w14:textId="445667D8" w:rsidR="00A5246D" w:rsidRDefault="00A5246D" w:rsidP="00A5246D">
      <w:pPr>
        <w:spacing w:line="240" w:lineRule="auto"/>
        <w:rPr>
          <w:rFonts w:eastAsia="Times New Roman" w:cs="Arial"/>
          <w:color w:val="000000"/>
          <w:lang w:eastAsia="bg-BG"/>
        </w:rPr>
      </w:pPr>
      <w:r w:rsidRPr="00A5246D">
        <w:rPr>
          <w:rFonts w:eastAsia="Times New Roman" w:cs="Arial"/>
          <w:color w:val="000000"/>
          <w:lang w:eastAsia="bg-BG"/>
        </w:rPr>
        <w:t>Таблица 2</w:t>
      </w:r>
    </w:p>
    <w:tbl>
      <w:tblPr>
        <w:tblStyle w:val="TableGrid"/>
        <w:tblW w:w="0" w:type="auto"/>
        <w:tblLook w:val="04A0" w:firstRow="1" w:lastRow="0" w:firstColumn="1" w:lastColumn="0" w:noHBand="0" w:noVBand="1"/>
      </w:tblPr>
      <w:tblGrid>
        <w:gridCol w:w="2393"/>
        <w:gridCol w:w="1807"/>
        <w:gridCol w:w="1808"/>
        <w:gridCol w:w="1789"/>
        <w:gridCol w:w="1553"/>
      </w:tblGrid>
      <w:tr w:rsidR="00A5246D" w14:paraId="3656D8DF" w14:textId="77777777" w:rsidTr="00C209AC">
        <w:tc>
          <w:tcPr>
            <w:tcW w:w="1915" w:type="dxa"/>
            <w:vAlign w:val="bottom"/>
          </w:tcPr>
          <w:p w14:paraId="72F67EB1" w14:textId="47928843" w:rsidR="00A5246D" w:rsidRDefault="00A5246D" w:rsidP="00A5246D">
            <w:pPr>
              <w:spacing w:line="240" w:lineRule="auto"/>
              <w:rPr>
                <w:rFonts w:eastAsia="Times New Roman" w:cs="Arial"/>
                <w:sz w:val="24"/>
                <w:szCs w:val="24"/>
              </w:rPr>
            </w:pPr>
            <w:r>
              <w:t>Вторични крайни точки (промяна от изходно ниво до 24-та седмица)</w:t>
            </w:r>
          </w:p>
        </w:tc>
        <w:tc>
          <w:tcPr>
            <w:tcW w:w="1915" w:type="dxa"/>
          </w:tcPr>
          <w:p w14:paraId="7567363F" w14:textId="5B8253AC" w:rsidR="00A5246D" w:rsidRDefault="00A5246D" w:rsidP="00A5246D">
            <w:pPr>
              <w:spacing w:line="240" w:lineRule="auto"/>
              <w:rPr>
                <w:rFonts w:eastAsia="Times New Roman" w:cs="Arial"/>
                <w:sz w:val="24"/>
                <w:szCs w:val="24"/>
              </w:rPr>
            </w:pPr>
            <w:r>
              <w:rPr>
                <w:b/>
                <w:bCs/>
              </w:rPr>
              <w:t>Амбрисентан + Тадалафил</w:t>
            </w:r>
          </w:p>
        </w:tc>
        <w:tc>
          <w:tcPr>
            <w:tcW w:w="1915" w:type="dxa"/>
          </w:tcPr>
          <w:p w14:paraId="13990919" w14:textId="31D0C574" w:rsidR="00A5246D" w:rsidRDefault="00A5246D" w:rsidP="00A5246D">
            <w:pPr>
              <w:spacing w:line="240" w:lineRule="auto"/>
              <w:rPr>
                <w:rFonts w:eastAsia="Times New Roman" w:cs="Arial"/>
                <w:sz w:val="24"/>
                <w:szCs w:val="24"/>
              </w:rPr>
            </w:pPr>
            <w:r>
              <w:rPr>
                <w:b/>
                <w:bCs/>
              </w:rPr>
              <w:t>Монотерапия сборни данни</w:t>
            </w:r>
          </w:p>
        </w:tc>
        <w:tc>
          <w:tcPr>
            <w:tcW w:w="1915" w:type="dxa"/>
            <w:vAlign w:val="bottom"/>
          </w:tcPr>
          <w:p w14:paraId="70FEC172" w14:textId="3133B00F" w:rsidR="00A5246D" w:rsidRDefault="00A5246D" w:rsidP="00A5246D">
            <w:pPr>
              <w:spacing w:line="240" w:lineRule="auto"/>
              <w:rPr>
                <w:rFonts w:eastAsia="Times New Roman" w:cs="Arial"/>
                <w:sz w:val="24"/>
                <w:szCs w:val="24"/>
              </w:rPr>
            </w:pPr>
            <w:r>
              <w:t>Разлика и Доверителен интервал</w:t>
            </w:r>
          </w:p>
        </w:tc>
        <w:tc>
          <w:tcPr>
            <w:tcW w:w="1916" w:type="dxa"/>
          </w:tcPr>
          <w:p w14:paraId="7850298C" w14:textId="26F5FCC7" w:rsidR="00A5246D" w:rsidRDefault="00A5246D" w:rsidP="00A5246D">
            <w:pPr>
              <w:spacing w:line="240" w:lineRule="auto"/>
              <w:rPr>
                <w:rFonts w:eastAsia="Times New Roman" w:cs="Arial"/>
                <w:sz w:val="24"/>
                <w:szCs w:val="24"/>
              </w:rPr>
            </w:pPr>
            <w:r>
              <w:t>р стойност</w:t>
            </w:r>
          </w:p>
        </w:tc>
      </w:tr>
      <w:tr w:rsidR="00A5246D" w14:paraId="594A1DE3" w14:textId="77777777" w:rsidTr="00C209AC">
        <w:tc>
          <w:tcPr>
            <w:tcW w:w="1915" w:type="dxa"/>
            <w:vAlign w:val="center"/>
          </w:tcPr>
          <w:p w14:paraId="3CCAA3FA" w14:textId="45EF2327" w:rsidR="00A5246D" w:rsidRDefault="00A5246D" w:rsidP="00A5246D">
            <w:pPr>
              <w:spacing w:line="240" w:lineRule="auto"/>
              <w:rPr>
                <w:rFonts w:eastAsia="Times New Roman" w:cs="Arial"/>
                <w:sz w:val="24"/>
                <w:szCs w:val="24"/>
              </w:rPr>
            </w:pPr>
            <w:r>
              <w:rPr>
                <w:lang w:val="en-US"/>
              </w:rPr>
              <w:t>N</w:t>
            </w:r>
            <w:r>
              <w:t xml:space="preserve">-терминален прохормон/фрагмент на мозъчния натриуретичен пептид </w:t>
            </w:r>
            <w:r w:rsidRPr="00A5246D">
              <w:rPr>
                <w:lang w:val="ru-RU"/>
              </w:rPr>
              <w:t>(</w:t>
            </w:r>
            <w:r>
              <w:rPr>
                <w:lang w:val="en-US"/>
              </w:rPr>
              <w:t>NT</w:t>
            </w:r>
            <w:r w:rsidRPr="00A5246D">
              <w:rPr>
                <w:lang w:val="ru-RU"/>
              </w:rPr>
              <w:t>-</w:t>
            </w:r>
            <w:proofErr w:type="spellStart"/>
            <w:r>
              <w:rPr>
                <w:lang w:val="en-US"/>
              </w:rPr>
              <w:t>proBNP</w:t>
            </w:r>
            <w:proofErr w:type="spellEnd"/>
            <w:r w:rsidRPr="00A5246D">
              <w:rPr>
                <w:lang w:val="ru-RU"/>
              </w:rPr>
              <w:t xml:space="preserve">) </w:t>
            </w:r>
            <w:r>
              <w:t>(% намаление)</w:t>
            </w:r>
          </w:p>
        </w:tc>
        <w:tc>
          <w:tcPr>
            <w:tcW w:w="1915" w:type="dxa"/>
            <w:vAlign w:val="center"/>
          </w:tcPr>
          <w:p w14:paraId="450173CE" w14:textId="0224663D" w:rsidR="00A5246D" w:rsidRDefault="00A5246D" w:rsidP="00A5246D">
            <w:pPr>
              <w:spacing w:line="240" w:lineRule="auto"/>
              <w:rPr>
                <w:rFonts w:eastAsia="Times New Roman" w:cs="Arial"/>
                <w:sz w:val="24"/>
                <w:szCs w:val="24"/>
              </w:rPr>
            </w:pPr>
            <w:r>
              <w:t>-67,2</w:t>
            </w:r>
          </w:p>
        </w:tc>
        <w:tc>
          <w:tcPr>
            <w:tcW w:w="1915" w:type="dxa"/>
            <w:vAlign w:val="center"/>
          </w:tcPr>
          <w:p w14:paraId="63C47256" w14:textId="4972E82F" w:rsidR="00A5246D" w:rsidRDefault="00A5246D" w:rsidP="00A5246D">
            <w:pPr>
              <w:spacing w:line="240" w:lineRule="auto"/>
              <w:rPr>
                <w:rFonts w:eastAsia="Times New Roman" w:cs="Arial"/>
                <w:sz w:val="24"/>
                <w:szCs w:val="24"/>
              </w:rPr>
            </w:pPr>
            <w:r>
              <w:t>-50,4</w:t>
            </w:r>
          </w:p>
        </w:tc>
        <w:tc>
          <w:tcPr>
            <w:tcW w:w="1915" w:type="dxa"/>
            <w:vAlign w:val="center"/>
          </w:tcPr>
          <w:p w14:paraId="0263388B" w14:textId="58422B7E" w:rsidR="00A5246D" w:rsidRDefault="00A5246D" w:rsidP="00A5246D">
            <w:pPr>
              <w:spacing w:line="240" w:lineRule="auto"/>
              <w:rPr>
                <w:rFonts w:eastAsia="Times New Roman" w:cs="Arial"/>
                <w:sz w:val="24"/>
                <w:szCs w:val="24"/>
              </w:rPr>
            </w:pPr>
            <w:r>
              <w:t>% разлика -33,8; 95% СГ. -44,8; -20.7</w:t>
            </w:r>
          </w:p>
        </w:tc>
        <w:tc>
          <w:tcPr>
            <w:tcW w:w="1916" w:type="dxa"/>
            <w:vAlign w:val="center"/>
          </w:tcPr>
          <w:p w14:paraId="337CE42B" w14:textId="7D8B5823" w:rsidR="00A5246D" w:rsidRDefault="00A5246D" w:rsidP="00A5246D">
            <w:pPr>
              <w:spacing w:line="240" w:lineRule="auto"/>
              <w:rPr>
                <w:rFonts w:eastAsia="Times New Roman" w:cs="Arial"/>
                <w:sz w:val="24"/>
                <w:szCs w:val="24"/>
              </w:rPr>
            </w:pPr>
            <w:r>
              <w:t>р&lt;0,0001</w:t>
            </w:r>
          </w:p>
        </w:tc>
      </w:tr>
      <w:tr w:rsidR="00A5246D" w14:paraId="37DF53C0" w14:textId="77777777" w:rsidTr="00C209AC">
        <w:tc>
          <w:tcPr>
            <w:tcW w:w="1915" w:type="dxa"/>
            <w:vAlign w:val="center"/>
          </w:tcPr>
          <w:p w14:paraId="0B697D43" w14:textId="65C12EF9" w:rsidR="00A5246D" w:rsidRDefault="00A5246D" w:rsidP="00A5246D">
            <w:pPr>
              <w:spacing w:line="240" w:lineRule="auto"/>
              <w:rPr>
                <w:rFonts w:eastAsia="Times New Roman" w:cs="Arial"/>
                <w:sz w:val="24"/>
                <w:szCs w:val="24"/>
              </w:rPr>
            </w:pPr>
            <w:r>
              <w:t>% участници, постигнали задоволителен клиничен отговор на 24-та седмица</w:t>
            </w:r>
          </w:p>
        </w:tc>
        <w:tc>
          <w:tcPr>
            <w:tcW w:w="1915" w:type="dxa"/>
            <w:vAlign w:val="center"/>
          </w:tcPr>
          <w:p w14:paraId="68F7271D" w14:textId="3F33F4D4" w:rsidR="00A5246D" w:rsidRDefault="00A5246D" w:rsidP="00A5246D">
            <w:pPr>
              <w:spacing w:line="240" w:lineRule="auto"/>
              <w:rPr>
                <w:rFonts w:eastAsia="Times New Roman" w:cs="Arial"/>
                <w:sz w:val="24"/>
                <w:szCs w:val="24"/>
              </w:rPr>
            </w:pPr>
            <w:r>
              <w:t>39</w:t>
            </w:r>
          </w:p>
        </w:tc>
        <w:tc>
          <w:tcPr>
            <w:tcW w:w="1915" w:type="dxa"/>
            <w:vAlign w:val="center"/>
          </w:tcPr>
          <w:p w14:paraId="6CA47114" w14:textId="474431D9" w:rsidR="00A5246D" w:rsidRDefault="00A5246D" w:rsidP="00A5246D">
            <w:pPr>
              <w:spacing w:line="240" w:lineRule="auto"/>
              <w:rPr>
                <w:rFonts w:eastAsia="Times New Roman" w:cs="Arial"/>
                <w:sz w:val="24"/>
                <w:szCs w:val="24"/>
              </w:rPr>
            </w:pPr>
            <w:r>
              <w:t>29</w:t>
            </w:r>
          </w:p>
        </w:tc>
        <w:tc>
          <w:tcPr>
            <w:tcW w:w="1915" w:type="dxa"/>
            <w:vAlign w:val="center"/>
          </w:tcPr>
          <w:p w14:paraId="1E391A97" w14:textId="77777777" w:rsidR="00A5246D" w:rsidRDefault="00A5246D" w:rsidP="00A5246D">
            <w:r>
              <w:t xml:space="preserve">Съотношение на шансовете 1,56; 95% </w:t>
            </w:r>
            <w:r>
              <w:rPr>
                <w:lang w:val="en-US"/>
              </w:rPr>
              <w:t xml:space="preserve">CI: </w:t>
            </w:r>
            <w:r>
              <w:t>1,05;</w:t>
            </w:r>
          </w:p>
          <w:p w14:paraId="7B92FB88" w14:textId="0FBDD4A5" w:rsidR="00A5246D" w:rsidRDefault="00A5246D" w:rsidP="00A5246D">
            <w:pPr>
              <w:spacing w:line="240" w:lineRule="auto"/>
              <w:rPr>
                <w:rFonts w:eastAsia="Times New Roman" w:cs="Arial"/>
                <w:sz w:val="24"/>
                <w:szCs w:val="24"/>
              </w:rPr>
            </w:pPr>
            <w:r>
              <w:t>2,32</w:t>
            </w:r>
          </w:p>
        </w:tc>
        <w:tc>
          <w:tcPr>
            <w:tcW w:w="1916" w:type="dxa"/>
            <w:vAlign w:val="center"/>
          </w:tcPr>
          <w:p w14:paraId="50C88691" w14:textId="009383DB" w:rsidR="00A5246D" w:rsidRDefault="00A5246D" w:rsidP="00A5246D">
            <w:pPr>
              <w:spacing w:line="240" w:lineRule="auto"/>
              <w:rPr>
                <w:rFonts w:eastAsia="Times New Roman" w:cs="Arial"/>
                <w:sz w:val="24"/>
                <w:szCs w:val="24"/>
              </w:rPr>
            </w:pPr>
            <w:r>
              <w:t>р=0,026</w:t>
            </w:r>
          </w:p>
        </w:tc>
      </w:tr>
      <w:tr w:rsidR="00A5246D" w14:paraId="59E46AA9" w14:textId="77777777" w:rsidTr="00C209AC">
        <w:tc>
          <w:tcPr>
            <w:tcW w:w="1915" w:type="dxa"/>
          </w:tcPr>
          <w:p w14:paraId="0D9CB5E2" w14:textId="363607BB" w:rsidR="00A5246D" w:rsidRDefault="00A5246D" w:rsidP="00A5246D">
            <w:pPr>
              <w:spacing w:line="240" w:lineRule="auto"/>
              <w:rPr>
                <w:rFonts w:eastAsia="Times New Roman" w:cs="Arial"/>
                <w:sz w:val="24"/>
                <w:szCs w:val="24"/>
              </w:rPr>
            </w:pPr>
            <w:r>
              <w:rPr>
                <w:lang w:val="en-US"/>
              </w:rPr>
              <w:t xml:space="preserve">6MWD </w:t>
            </w:r>
            <w:r>
              <w:t>(метра, средна промяна)</w:t>
            </w:r>
          </w:p>
        </w:tc>
        <w:tc>
          <w:tcPr>
            <w:tcW w:w="1915" w:type="dxa"/>
            <w:vAlign w:val="center"/>
          </w:tcPr>
          <w:p w14:paraId="4FFA5D5E" w14:textId="51D359FD" w:rsidR="00A5246D" w:rsidRDefault="00A5246D" w:rsidP="00A5246D">
            <w:pPr>
              <w:spacing w:line="240" w:lineRule="auto"/>
              <w:rPr>
                <w:rFonts w:eastAsia="Times New Roman" w:cs="Arial"/>
                <w:sz w:val="24"/>
                <w:szCs w:val="24"/>
              </w:rPr>
            </w:pPr>
            <w:r>
              <w:t>49,0</w:t>
            </w:r>
          </w:p>
        </w:tc>
        <w:tc>
          <w:tcPr>
            <w:tcW w:w="1915" w:type="dxa"/>
            <w:vAlign w:val="center"/>
          </w:tcPr>
          <w:p w14:paraId="52DCB6D0" w14:textId="34302809" w:rsidR="00A5246D" w:rsidRDefault="00A5246D" w:rsidP="00A5246D">
            <w:pPr>
              <w:spacing w:line="240" w:lineRule="auto"/>
              <w:rPr>
                <w:rFonts w:eastAsia="Times New Roman" w:cs="Arial"/>
                <w:sz w:val="24"/>
                <w:szCs w:val="24"/>
              </w:rPr>
            </w:pPr>
            <w:r>
              <w:t>23,8</w:t>
            </w:r>
          </w:p>
        </w:tc>
        <w:tc>
          <w:tcPr>
            <w:tcW w:w="1915" w:type="dxa"/>
            <w:vAlign w:val="center"/>
          </w:tcPr>
          <w:p w14:paraId="785E3754" w14:textId="367CB50A" w:rsidR="00A5246D" w:rsidRDefault="00A5246D" w:rsidP="00A5246D">
            <w:pPr>
              <w:spacing w:line="240" w:lineRule="auto"/>
              <w:rPr>
                <w:rFonts w:eastAsia="Times New Roman" w:cs="Arial"/>
                <w:sz w:val="24"/>
                <w:szCs w:val="24"/>
              </w:rPr>
            </w:pPr>
            <w:r>
              <w:t xml:space="preserve">22,75 т; 95% </w:t>
            </w:r>
            <w:r>
              <w:rPr>
                <w:lang w:val="en-US"/>
              </w:rPr>
              <w:t xml:space="preserve">CI: </w:t>
            </w:r>
            <w:r>
              <w:t>12,00; 33,50</w:t>
            </w:r>
          </w:p>
        </w:tc>
        <w:tc>
          <w:tcPr>
            <w:tcW w:w="1916" w:type="dxa"/>
            <w:vAlign w:val="center"/>
          </w:tcPr>
          <w:p w14:paraId="517D95B0" w14:textId="693A1D51" w:rsidR="00A5246D" w:rsidRDefault="00A5246D" w:rsidP="00A5246D">
            <w:pPr>
              <w:spacing w:line="240" w:lineRule="auto"/>
              <w:rPr>
                <w:rFonts w:eastAsia="Times New Roman" w:cs="Arial"/>
                <w:sz w:val="24"/>
                <w:szCs w:val="24"/>
              </w:rPr>
            </w:pPr>
            <w:r>
              <w:t>р&lt;0,0001</w:t>
            </w:r>
          </w:p>
        </w:tc>
      </w:tr>
    </w:tbl>
    <w:p w14:paraId="41DAA15C" w14:textId="77777777" w:rsidR="00A5246D" w:rsidRPr="00A5246D" w:rsidRDefault="00A5246D" w:rsidP="00A5246D">
      <w:pPr>
        <w:spacing w:line="240" w:lineRule="auto"/>
        <w:rPr>
          <w:rFonts w:eastAsia="Times New Roman" w:cs="Arial"/>
          <w:sz w:val="24"/>
          <w:szCs w:val="24"/>
        </w:rPr>
      </w:pPr>
    </w:p>
    <w:p w14:paraId="0A3E9970"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u w:val="single"/>
          <w:lang w:eastAsia="bg-BG"/>
        </w:rPr>
        <w:t>Идиопатична Белодробна Фиброза (ИБФ)</w:t>
      </w:r>
    </w:p>
    <w:p w14:paraId="1E9111D7" w14:textId="7FB8333E" w:rsidR="00A5246D" w:rsidRDefault="00A5246D" w:rsidP="00A5246D">
      <w:pPr>
        <w:spacing w:line="240" w:lineRule="auto"/>
        <w:rPr>
          <w:rFonts w:eastAsia="Times New Roman" w:cs="Arial"/>
          <w:color w:val="000000"/>
          <w:lang w:eastAsia="bg-BG"/>
        </w:rPr>
      </w:pPr>
      <w:r w:rsidRPr="00A5246D">
        <w:rPr>
          <w:rFonts w:eastAsia="Times New Roman" w:cs="Arial"/>
          <w:color w:val="000000"/>
          <w:lang w:eastAsia="bg-BG"/>
        </w:rPr>
        <w:t xml:space="preserve">Проведено е проучване, включващо 492 пациенти (амбрисентан </w:t>
      </w:r>
      <w:r w:rsidRPr="00A5246D">
        <w:rPr>
          <w:rFonts w:eastAsia="Times New Roman" w:cs="Arial"/>
          <w:color w:val="000000"/>
          <w:lang w:val="en-US"/>
        </w:rPr>
        <w:t>N</w:t>
      </w:r>
      <w:r w:rsidRPr="00A5246D">
        <w:rPr>
          <w:rFonts w:eastAsia="Times New Roman" w:cs="Arial"/>
          <w:color w:val="000000"/>
          <w:lang w:val="ru-RU"/>
        </w:rPr>
        <w:t xml:space="preserve">=329, </w:t>
      </w:r>
      <w:r w:rsidRPr="00A5246D">
        <w:rPr>
          <w:rFonts w:eastAsia="Times New Roman" w:cs="Arial"/>
          <w:color w:val="000000"/>
          <w:lang w:eastAsia="bg-BG"/>
        </w:rPr>
        <w:t xml:space="preserve">плацебо </w:t>
      </w:r>
      <w:r w:rsidRPr="00A5246D">
        <w:rPr>
          <w:rFonts w:eastAsia="Times New Roman" w:cs="Arial"/>
          <w:color w:val="000000"/>
          <w:lang w:val="en-US"/>
        </w:rPr>
        <w:t>N</w:t>
      </w:r>
      <w:r w:rsidRPr="00A5246D">
        <w:rPr>
          <w:rFonts w:eastAsia="Times New Roman" w:cs="Arial"/>
          <w:color w:val="000000"/>
          <w:lang w:val="ru-RU"/>
        </w:rPr>
        <w:t xml:space="preserve">=163) </w:t>
      </w:r>
      <w:r w:rsidRPr="00A5246D">
        <w:rPr>
          <w:rFonts w:eastAsia="Times New Roman" w:cs="Arial"/>
          <w:color w:val="000000"/>
          <w:lang w:eastAsia="bg-BG"/>
        </w:rPr>
        <w:t xml:space="preserve">с идиопатична белодробна фиброза (ИБФ), 11 % от които са били с вторична белодробна хипертония (група 3 по СЗО), което е прекратено предсрочно, след като е установено, че първичната крайна точка за ефикасност (проучване </w:t>
      </w:r>
      <w:r w:rsidRPr="00A5246D">
        <w:rPr>
          <w:rFonts w:eastAsia="Times New Roman" w:cs="Arial"/>
          <w:color w:val="000000"/>
          <w:lang w:val="en-US"/>
        </w:rPr>
        <w:t>ARTEMIS</w:t>
      </w:r>
      <w:r w:rsidRPr="00A5246D">
        <w:rPr>
          <w:rFonts w:eastAsia="Times New Roman" w:cs="Arial"/>
          <w:color w:val="000000"/>
          <w:lang w:val="ru-RU"/>
        </w:rPr>
        <w:t>-</w:t>
      </w:r>
      <w:r w:rsidRPr="00A5246D">
        <w:rPr>
          <w:rFonts w:eastAsia="Times New Roman" w:cs="Arial"/>
          <w:color w:val="000000"/>
          <w:lang w:val="en-US"/>
        </w:rPr>
        <w:t>IPF</w:t>
      </w:r>
      <w:r w:rsidRPr="00A5246D">
        <w:rPr>
          <w:rFonts w:eastAsia="Times New Roman" w:cs="Arial"/>
          <w:color w:val="000000"/>
          <w:lang w:val="ru-RU"/>
        </w:rPr>
        <w:t xml:space="preserve">) </w:t>
      </w:r>
      <w:r w:rsidRPr="00A5246D">
        <w:rPr>
          <w:rFonts w:eastAsia="Times New Roman" w:cs="Arial"/>
          <w:color w:val="000000"/>
          <w:lang w:eastAsia="bg-BG"/>
        </w:rPr>
        <w:t>не може да бъде достигната. Наблюдавани са деветдесет случая (27%) на прогресия на ИБФ (включително хоспитализация поради респираторни проблеми) или смъртни случаи в групата на амбрисентан, в сравнение с 28 случая (17%) в групата на плацебо. По тази причина амбрисентан е противопоказан при пациенти с ИБФ, със или без вторична белодробна хипертония (вж. точка 4.3).</w:t>
      </w:r>
    </w:p>
    <w:p w14:paraId="1904B41A" w14:textId="4533F0BD" w:rsidR="00A5246D" w:rsidRPr="0057749E" w:rsidRDefault="00A5246D" w:rsidP="0057749E"/>
    <w:p w14:paraId="35F84B81" w14:textId="126AEAFE" w:rsidR="00CF77F7" w:rsidRDefault="002C50EE" w:rsidP="004A448E">
      <w:pPr>
        <w:pStyle w:val="Heading2"/>
      </w:pPr>
      <w:r>
        <w:t>5.2. Фармакокинетични свойства</w:t>
      </w:r>
    </w:p>
    <w:p w14:paraId="2AC5E080" w14:textId="04425A42" w:rsidR="00A5246D" w:rsidRDefault="00A5246D" w:rsidP="00A5246D"/>
    <w:p w14:paraId="697E35F9" w14:textId="77777777" w:rsidR="00A5246D" w:rsidRPr="00A5246D" w:rsidRDefault="00A5246D" w:rsidP="00A5246D">
      <w:pPr>
        <w:pStyle w:val="Heading3"/>
        <w:rPr>
          <w:rFonts w:eastAsia="Times New Roman"/>
          <w:u w:val="single"/>
        </w:rPr>
      </w:pPr>
      <w:r w:rsidRPr="00A5246D">
        <w:rPr>
          <w:rFonts w:eastAsia="Times New Roman"/>
          <w:u w:val="single"/>
          <w:lang w:eastAsia="bg-BG"/>
        </w:rPr>
        <w:lastRenderedPageBreak/>
        <w:t>Абсорбция</w:t>
      </w:r>
    </w:p>
    <w:p w14:paraId="5BF92DAD" w14:textId="77777777" w:rsidR="00A5246D" w:rsidRPr="00A5246D" w:rsidRDefault="00A5246D" w:rsidP="00A5246D">
      <w:pPr>
        <w:rPr>
          <w:rFonts w:eastAsia="Times New Roman" w:cs="Arial"/>
          <w:sz w:val="24"/>
          <w:szCs w:val="24"/>
        </w:rPr>
      </w:pPr>
      <w:r w:rsidRPr="00A5246D">
        <w:rPr>
          <w:rFonts w:eastAsia="Times New Roman" w:cs="Arial"/>
          <w:color w:val="000000"/>
          <w:lang w:eastAsia="bg-BG"/>
        </w:rPr>
        <w:t>Амбрисентан се абсорбира бързо при хора. След перорално приложение максималните плазмени концентрации (</w:t>
      </w:r>
      <w:proofErr w:type="spellStart"/>
      <w:r w:rsidRPr="00A5246D">
        <w:rPr>
          <w:rFonts w:eastAsia="Times New Roman" w:cs="Arial"/>
          <w:color w:val="000000"/>
          <w:lang w:val="en-US"/>
        </w:rPr>
        <w:t>C</w:t>
      </w:r>
      <w:r w:rsidRPr="00A5246D">
        <w:rPr>
          <w:rFonts w:eastAsia="Times New Roman" w:cs="Arial"/>
          <w:color w:val="000000"/>
          <w:vertAlign w:val="subscript"/>
          <w:lang w:val="en-US"/>
        </w:rPr>
        <w:t>max</w:t>
      </w:r>
      <w:proofErr w:type="spellEnd"/>
      <w:r w:rsidRPr="00A5246D">
        <w:rPr>
          <w:rFonts w:eastAsia="Times New Roman" w:cs="Arial"/>
          <w:color w:val="000000"/>
          <w:lang w:eastAsia="bg-BG"/>
        </w:rPr>
        <w:t>) на амбрисентан обикновено се достигат за около 1,5 часа след прилагане на дозата както на гладно, така и след хранене. С</w:t>
      </w:r>
      <w:r w:rsidRPr="00A5246D">
        <w:rPr>
          <w:rFonts w:eastAsia="Times New Roman" w:cs="Arial"/>
          <w:color w:val="000000"/>
          <w:vertAlign w:val="subscript"/>
          <w:lang w:val="en-US"/>
        </w:rPr>
        <w:t>max</w:t>
      </w:r>
      <w:r w:rsidRPr="00A5246D">
        <w:rPr>
          <w:rFonts w:eastAsia="Times New Roman" w:cs="Arial"/>
          <w:color w:val="000000"/>
          <w:lang w:eastAsia="bg-BG"/>
        </w:rPr>
        <w:t xml:space="preserve"> и площта под кривата плазмена концентрация-време </w:t>
      </w:r>
      <w:r w:rsidRPr="00A5246D">
        <w:rPr>
          <w:rFonts w:eastAsia="Times New Roman" w:cs="Arial"/>
          <w:color w:val="000000"/>
          <w:lang w:val="ru-RU"/>
        </w:rPr>
        <w:t>(</w:t>
      </w:r>
      <w:r w:rsidRPr="00A5246D">
        <w:rPr>
          <w:rFonts w:eastAsia="Times New Roman" w:cs="Arial"/>
          <w:color w:val="000000"/>
          <w:lang w:val="en-US"/>
        </w:rPr>
        <w:t>AUC</w:t>
      </w:r>
      <w:r w:rsidRPr="00A5246D">
        <w:rPr>
          <w:rFonts w:eastAsia="Times New Roman" w:cs="Arial"/>
          <w:color w:val="000000"/>
          <w:lang w:val="ru-RU"/>
        </w:rPr>
        <w:t xml:space="preserve">) </w:t>
      </w:r>
      <w:r w:rsidRPr="00A5246D">
        <w:rPr>
          <w:rFonts w:eastAsia="Times New Roman" w:cs="Arial"/>
          <w:color w:val="000000"/>
          <w:lang w:eastAsia="bg-BG"/>
        </w:rPr>
        <w:t>се увеличават пропорционално на дозата по време на прилагане на доза в терапевтичните граници. Стационарното състояние обикновено се достига след 4-дневно многократно прилагане.</w:t>
      </w:r>
    </w:p>
    <w:p w14:paraId="015A211D"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Проучване за ефекта на храната, включващо приложение на амбрисентан при здрави доброволци на гладно и след прием на храна с високо съдържание на мазнини, показва, че С</w:t>
      </w:r>
      <w:r w:rsidRPr="00A5246D">
        <w:rPr>
          <w:rFonts w:eastAsia="Times New Roman" w:cs="Arial"/>
          <w:color w:val="000000"/>
          <w:vertAlign w:val="subscript"/>
          <w:lang w:val="en-US"/>
        </w:rPr>
        <w:t>max</w:t>
      </w:r>
      <w:r w:rsidRPr="00A5246D">
        <w:rPr>
          <w:rFonts w:eastAsia="Times New Roman" w:cs="Arial"/>
          <w:color w:val="000000"/>
          <w:lang w:eastAsia="bg-BG"/>
        </w:rPr>
        <w:t xml:space="preserve"> намалява с 12 %, докато </w:t>
      </w:r>
      <w:r w:rsidRPr="00A5246D">
        <w:rPr>
          <w:rFonts w:eastAsia="Times New Roman" w:cs="Arial"/>
          <w:color w:val="000000"/>
          <w:lang w:val="en-US"/>
        </w:rPr>
        <w:t>AUC</w:t>
      </w:r>
      <w:r w:rsidRPr="00A5246D">
        <w:rPr>
          <w:rFonts w:eastAsia="Times New Roman" w:cs="Arial"/>
          <w:color w:val="000000"/>
          <w:lang w:val="ru-RU"/>
        </w:rPr>
        <w:t xml:space="preserve"> </w:t>
      </w:r>
      <w:r w:rsidRPr="00A5246D">
        <w:rPr>
          <w:rFonts w:eastAsia="Times New Roman" w:cs="Arial"/>
          <w:color w:val="000000"/>
          <w:lang w:eastAsia="bg-BG"/>
        </w:rPr>
        <w:t>остава непроменена. Това намаляване на пиковата концентрация не е клинично значимо и по тази причина амбрисентан може да се приема със или без храна.</w:t>
      </w:r>
    </w:p>
    <w:p w14:paraId="749494AF" w14:textId="77777777" w:rsidR="00A5246D" w:rsidRPr="00A5246D" w:rsidRDefault="00A5246D" w:rsidP="00A5246D">
      <w:pPr>
        <w:spacing w:line="240" w:lineRule="auto"/>
        <w:rPr>
          <w:rFonts w:eastAsia="Times New Roman" w:cs="Arial"/>
          <w:color w:val="000000"/>
          <w:u w:val="single"/>
          <w:lang w:eastAsia="bg-BG"/>
        </w:rPr>
      </w:pPr>
    </w:p>
    <w:p w14:paraId="79B51226" w14:textId="276BFB4E" w:rsidR="00A5246D" w:rsidRPr="00A5246D" w:rsidRDefault="00A5246D" w:rsidP="00A5246D">
      <w:pPr>
        <w:pStyle w:val="Heading3"/>
        <w:rPr>
          <w:rFonts w:eastAsia="Times New Roman"/>
          <w:u w:val="single"/>
        </w:rPr>
      </w:pPr>
      <w:r w:rsidRPr="00A5246D">
        <w:rPr>
          <w:rFonts w:eastAsia="Times New Roman"/>
          <w:u w:val="single"/>
          <w:lang w:eastAsia="bg-BG"/>
        </w:rPr>
        <w:t>Разпределение</w:t>
      </w:r>
    </w:p>
    <w:p w14:paraId="328639FC"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 xml:space="preserve">Амбрисентан се свързва в много голяма степен с плазмените протеини. Свързването на амбрисентан с плазмените протеини </w:t>
      </w:r>
      <w:r w:rsidRPr="00A5246D">
        <w:rPr>
          <w:rFonts w:eastAsia="Times New Roman" w:cs="Arial"/>
          <w:i/>
          <w:iCs/>
          <w:color w:val="000000"/>
          <w:lang w:val="en-US"/>
        </w:rPr>
        <w:t>in</w:t>
      </w:r>
      <w:r w:rsidRPr="00A5246D">
        <w:rPr>
          <w:rFonts w:eastAsia="Times New Roman" w:cs="Arial"/>
          <w:i/>
          <w:iCs/>
          <w:color w:val="000000"/>
          <w:lang w:val="ru-RU"/>
        </w:rPr>
        <w:t xml:space="preserve"> </w:t>
      </w:r>
      <w:r w:rsidRPr="00A5246D">
        <w:rPr>
          <w:rFonts w:eastAsia="Times New Roman" w:cs="Arial"/>
          <w:i/>
          <w:iCs/>
          <w:color w:val="000000"/>
          <w:lang w:val="en-US"/>
        </w:rPr>
        <w:t>vitro</w:t>
      </w:r>
      <w:r w:rsidRPr="00A5246D">
        <w:rPr>
          <w:rFonts w:eastAsia="Times New Roman" w:cs="Arial"/>
          <w:color w:val="000000"/>
          <w:lang w:val="ru-RU"/>
        </w:rPr>
        <w:t xml:space="preserve"> </w:t>
      </w:r>
      <w:r w:rsidRPr="00A5246D">
        <w:rPr>
          <w:rFonts w:eastAsia="Times New Roman" w:cs="Arial"/>
          <w:color w:val="000000"/>
          <w:lang w:eastAsia="bg-BG"/>
        </w:rPr>
        <w:t>е средно 98,8 % и не зависи от концентрация в границите 0,2-20 микрограма</w:t>
      </w:r>
      <w:r w:rsidRPr="00A5246D">
        <w:rPr>
          <w:rFonts w:eastAsia="Times New Roman" w:cs="Arial"/>
          <w:color w:val="000000"/>
          <w:lang w:val="ru-RU"/>
        </w:rPr>
        <w:t>/</w:t>
      </w:r>
      <w:r w:rsidRPr="00A5246D">
        <w:rPr>
          <w:rFonts w:eastAsia="Times New Roman" w:cs="Arial"/>
          <w:color w:val="000000"/>
          <w:lang w:val="en-US"/>
        </w:rPr>
        <w:t>ml</w:t>
      </w:r>
      <w:r w:rsidRPr="00A5246D">
        <w:rPr>
          <w:rFonts w:eastAsia="Times New Roman" w:cs="Arial"/>
          <w:color w:val="000000"/>
          <w:lang w:val="ru-RU"/>
        </w:rPr>
        <w:t xml:space="preserve">. </w:t>
      </w:r>
      <w:r w:rsidRPr="00A5246D">
        <w:rPr>
          <w:rFonts w:eastAsia="Times New Roman" w:cs="Arial"/>
          <w:color w:val="000000"/>
          <w:lang w:eastAsia="bg-BG"/>
        </w:rPr>
        <w:t>Амбрисентан се свързва предимно с албумина (96,5 %) и в по-малка степен с алфа1-киселия гликопротеин.</w:t>
      </w:r>
    </w:p>
    <w:p w14:paraId="6CEFB987" w14:textId="77777777" w:rsidR="00A5246D" w:rsidRPr="00A5246D" w:rsidRDefault="00A5246D" w:rsidP="00A5246D">
      <w:pPr>
        <w:spacing w:line="240" w:lineRule="auto"/>
        <w:rPr>
          <w:rFonts w:eastAsia="Times New Roman" w:cs="Arial"/>
          <w:color w:val="000000"/>
          <w:lang w:eastAsia="bg-BG"/>
        </w:rPr>
      </w:pPr>
    </w:p>
    <w:p w14:paraId="626B596D" w14:textId="0318E401"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Разпределението на амбрисентан в еритроцитите е ниско със средно съотношение кръв:плазма 0,57 и 0,61 при индивиди съответно от мъжки и женски пол.</w:t>
      </w:r>
    </w:p>
    <w:p w14:paraId="6AAD63B4" w14:textId="77777777" w:rsidR="00A5246D" w:rsidRPr="00A5246D" w:rsidRDefault="00A5246D" w:rsidP="00A5246D">
      <w:pPr>
        <w:spacing w:line="240" w:lineRule="auto"/>
        <w:rPr>
          <w:rFonts w:eastAsia="Times New Roman" w:cs="Arial"/>
          <w:color w:val="000000"/>
          <w:u w:val="single"/>
          <w:lang w:eastAsia="bg-BG"/>
        </w:rPr>
      </w:pPr>
    </w:p>
    <w:p w14:paraId="4B52A57B" w14:textId="43AD4E9B" w:rsidR="00A5246D" w:rsidRPr="00A5246D" w:rsidRDefault="00A5246D" w:rsidP="00A5246D">
      <w:pPr>
        <w:pStyle w:val="Heading3"/>
        <w:rPr>
          <w:rFonts w:eastAsia="Times New Roman"/>
          <w:u w:val="single"/>
        </w:rPr>
      </w:pPr>
      <w:r w:rsidRPr="00A5246D">
        <w:rPr>
          <w:rFonts w:eastAsia="Times New Roman"/>
          <w:u w:val="single"/>
          <w:lang w:eastAsia="bg-BG"/>
        </w:rPr>
        <w:t>Биотрансформация</w:t>
      </w:r>
    </w:p>
    <w:p w14:paraId="3CA33554"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Амбрисентан е несулфонамиден ЕРА (пропановата киселина).</w:t>
      </w:r>
    </w:p>
    <w:p w14:paraId="040D601E" w14:textId="77777777" w:rsidR="00A5246D" w:rsidRPr="00A5246D" w:rsidRDefault="00A5246D" w:rsidP="00A5246D">
      <w:pPr>
        <w:spacing w:line="240" w:lineRule="auto"/>
        <w:rPr>
          <w:rFonts w:eastAsia="Times New Roman" w:cs="Arial"/>
          <w:color w:val="000000"/>
          <w:lang w:eastAsia="bg-BG"/>
        </w:rPr>
      </w:pPr>
    </w:p>
    <w:p w14:paraId="5C41A298" w14:textId="18D6D09A"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 xml:space="preserve">Амбрисентан се глюкуронира посредством няколко </w:t>
      </w:r>
      <w:r w:rsidRPr="00A5246D">
        <w:rPr>
          <w:rFonts w:eastAsia="Times New Roman" w:cs="Arial"/>
          <w:color w:val="000000"/>
          <w:lang w:val="en-US"/>
        </w:rPr>
        <w:t>UGT</w:t>
      </w:r>
      <w:r w:rsidRPr="00A5246D">
        <w:rPr>
          <w:rFonts w:eastAsia="Times New Roman" w:cs="Arial"/>
          <w:color w:val="000000"/>
        </w:rPr>
        <w:t xml:space="preserve"> </w:t>
      </w:r>
      <w:r w:rsidRPr="00A5246D">
        <w:rPr>
          <w:rFonts w:eastAsia="Times New Roman" w:cs="Arial"/>
          <w:color w:val="000000"/>
          <w:lang w:eastAsia="bg-BG"/>
        </w:rPr>
        <w:t xml:space="preserve">изоензима </w:t>
      </w:r>
      <w:r w:rsidRPr="00A5246D">
        <w:rPr>
          <w:rFonts w:eastAsia="Times New Roman" w:cs="Arial"/>
          <w:color w:val="000000"/>
        </w:rPr>
        <w:t>(</w:t>
      </w:r>
      <w:r w:rsidRPr="00A5246D">
        <w:rPr>
          <w:rFonts w:eastAsia="Times New Roman" w:cs="Arial"/>
          <w:color w:val="000000"/>
          <w:lang w:val="en-US"/>
        </w:rPr>
        <w:t>UGT</w:t>
      </w:r>
      <w:r w:rsidRPr="00A5246D">
        <w:rPr>
          <w:rFonts w:eastAsia="Times New Roman" w:cs="Arial"/>
          <w:color w:val="000000"/>
        </w:rPr>
        <w:t>1</w:t>
      </w:r>
      <w:r w:rsidRPr="00A5246D">
        <w:rPr>
          <w:rFonts w:eastAsia="Times New Roman" w:cs="Arial"/>
          <w:color w:val="000000"/>
          <w:lang w:val="en-US"/>
        </w:rPr>
        <w:t>A</w:t>
      </w:r>
      <w:r w:rsidRPr="00A5246D">
        <w:rPr>
          <w:rFonts w:eastAsia="Times New Roman" w:cs="Arial"/>
          <w:color w:val="000000"/>
        </w:rPr>
        <w:t>9</w:t>
      </w:r>
      <w:r w:rsidRPr="00A5246D">
        <w:rPr>
          <w:rFonts w:eastAsia="Times New Roman" w:cs="Arial"/>
          <w:color w:val="000000"/>
          <w:lang w:val="en-US"/>
        </w:rPr>
        <w:t>S</w:t>
      </w:r>
      <w:r w:rsidRPr="00A5246D">
        <w:rPr>
          <w:rFonts w:eastAsia="Times New Roman" w:cs="Arial"/>
          <w:color w:val="000000"/>
        </w:rPr>
        <w:t xml:space="preserve">, </w:t>
      </w:r>
      <w:r w:rsidRPr="00A5246D">
        <w:rPr>
          <w:rFonts w:eastAsia="Times New Roman" w:cs="Arial"/>
          <w:color w:val="000000"/>
          <w:lang w:val="en-US"/>
        </w:rPr>
        <w:t>UGT</w:t>
      </w:r>
      <w:r w:rsidRPr="00A5246D">
        <w:rPr>
          <w:rFonts w:eastAsia="Times New Roman" w:cs="Arial"/>
          <w:color w:val="000000"/>
        </w:rPr>
        <w:t>2</w:t>
      </w:r>
      <w:r w:rsidRPr="00A5246D">
        <w:rPr>
          <w:rFonts w:eastAsia="Times New Roman" w:cs="Arial"/>
          <w:color w:val="000000"/>
          <w:lang w:val="en-US"/>
        </w:rPr>
        <w:t>B</w:t>
      </w:r>
      <w:r w:rsidRPr="00A5246D">
        <w:rPr>
          <w:rFonts w:eastAsia="Times New Roman" w:cs="Arial"/>
          <w:color w:val="000000"/>
        </w:rPr>
        <w:t>7</w:t>
      </w:r>
      <w:r w:rsidRPr="00A5246D">
        <w:rPr>
          <w:rFonts w:eastAsia="Times New Roman" w:cs="Arial"/>
          <w:color w:val="000000"/>
          <w:lang w:val="en-US"/>
        </w:rPr>
        <w:t>S</w:t>
      </w:r>
      <w:r w:rsidRPr="00A5246D">
        <w:rPr>
          <w:rFonts w:eastAsia="Times New Roman" w:cs="Arial"/>
          <w:color w:val="000000"/>
        </w:rPr>
        <w:t xml:space="preserve"> </w:t>
      </w:r>
      <w:r w:rsidRPr="00A5246D">
        <w:rPr>
          <w:rFonts w:eastAsia="Times New Roman" w:cs="Arial"/>
          <w:color w:val="000000"/>
          <w:lang w:eastAsia="bg-BG"/>
        </w:rPr>
        <w:t xml:space="preserve">и </w:t>
      </w:r>
      <w:r w:rsidRPr="00A5246D">
        <w:rPr>
          <w:rFonts w:eastAsia="Times New Roman" w:cs="Arial"/>
          <w:color w:val="000000"/>
          <w:lang w:val="en-US"/>
        </w:rPr>
        <w:t>UGT</w:t>
      </w:r>
      <w:r w:rsidRPr="00A5246D">
        <w:rPr>
          <w:rFonts w:eastAsia="Times New Roman" w:cs="Arial"/>
          <w:color w:val="000000"/>
        </w:rPr>
        <w:t>1</w:t>
      </w:r>
      <w:r w:rsidRPr="00A5246D">
        <w:rPr>
          <w:rFonts w:eastAsia="Times New Roman" w:cs="Arial"/>
          <w:color w:val="000000"/>
          <w:lang w:val="en-US"/>
        </w:rPr>
        <w:t>A</w:t>
      </w:r>
      <w:r w:rsidRPr="00A5246D">
        <w:rPr>
          <w:rFonts w:eastAsia="Times New Roman" w:cs="Arial"/>
          <w:color w:val="000000"/>
        </w:rPr>
        <w:t>3</w:t>
      </w:r>
      <w:r w:rsidRPr="00A5246D">
        <w:rPr>
          <w:rFonts w:eastAsia="Times New Roman" w:cs="Arial"/>
          <w:color w:val="000000"/>
          <w:lang w:val="en-US"/>
        </w:rPr>
        <w:t>S</w:t>
      </w:r>
      <w:r w:rsidRPr="00A5246D">
        <w:rPr>
          <w:rFonts w:eastAsia="Times New Roman" w:cs="Arial"/>
          <w:color w:val="000000"/>
        </w:rPr>
        <w:t xml:space="preserve">), </w:t>
      </w:r>
      <w:r w:rsidRPr="00A5246D">
        <w:rPr>
          <w:rFonts w:eastAsia="Times New Roman" w:cs="Arial"/>
          <w:color w:val="000000"/>
          <w:lang w:eastAsia="bg-BG"/>
        </w:rPr>
        <w:t xml:space="preserve">при което се образува амбрисентан глюкуронид (13 %). Амбрисентан претърпява също и оксидативен метаболизъм основно от </w:t>
      </w:r>
      <w:r w:rsidRPr="00A5246D">
        <w:rPr>
          <w:rFonts w:eastAsia="Times New Roman" w:cs="Arial"/>
          <w:color w:val="000000"/>
          <w:lang w:val="en-US"/>
        </w:rPr>
        <w:t>CYP</w:t>
      </w:r>
      <w:r w:rsidRPr="00A5246D">
        <w:rPr>
          <w:rFonts w:eastAsia="Times New Roman" w:cs="Arial"/>
          <w:color w:val="000000"/>
          <w:lang w:val="ru-RU"/>
        </w:rPr>
        <w:t>3</w:t>
      </w:r>
      <w:r w:rsidRPr="00A5246D">
        <w:rPr>
          <w:rFonts w:eastAsia="Times New Roman" w:cs="Arial"/>
          <w:color w:val="000000"/>
          <w:lang w:val="en-US"/>
        </w:rPr>
        <w:t>A</w:t>
      </w:r>
      <w:r w:rsidRPr="00A5246D">
        <w:rPr>
          <w:rFonts w:eastAsia="Times New Roman" w:cs="Arial"/>
          <w:color w:val="000000"/>
          <w:lang w:val="ru-RU"/>
        </w:rPr>
        <w:t xml:space="preserve">4 </w:t>
      </w:r>
      <w:r w:rsidRPr="00A5246D">
        <w:rPr>
          <w:rFonts w:eastAsia="Times New Roman" w:cs="Arial"/>
          <w:color w:val="000000"/>
          <w:lang w:eastAsia="bg-BG"/>
        </w:rPr>
        <w:t xml:space="preserve">и в по-малка степен от </w:t>
      </w:r>
      <w:r w:rsidRPr="00A5246D">
        <w:rPr>
          <w:rFonts w:eastAsia="Times New Roman" w:cs="Arial"/>
          <w:color w:val="000000"/>
          <w:lang w:val="en-US"/>
        </w:rPr>
        <w:t>CYP</w:t>
      </w:r>
      <w:r w:rsidRPr="00A5246D">
        <w:rPr>
          <w:rFonts w:eastAsia="Times New Roman" w:cs="Arial"/>
          <w:color w:val="000000"/>
          <w:lang w:val="ru-RU"/>
        </w:rPr>
        <w:t>3</w:t>
      </w:r>
      <w:r w:rsidRPr="00A5246D">
        <w:rPr>
          <w:rFonts w:eastAsia="Times New Roman" w:cs="Arial"/>
          <w:color w:val="000000"/>
          <w:lang w:val="en-US"/>
        </w:rPr>
        <w:t>A</w:t>
      </w:r>
      <w:r w:rsidRPr="00A5246D">
        <w:rPr>
          <w:rFonts w:eastAsia="Times New Roman" w:cs="Arial"/>
          <w:color w:val="000000"/>
          <w:lang w:val="ru-RU"/>
        </w:rPr>
        <w:t xml:space="preserve">5 </w:t>
      </w:r>
      <w:r w:rsidRPr="00A5246D">
        <w:rPr>
          <w:rFonts w:eastAsia="Times New Roman" w:cs="Arial"/>
          <w:color w:val="000000"/>
          <w:lang w:eastAsia="bg-BG"/>
        </w:rPr>
        <w:t xml:space="preserve">и </w:t>
      </w:r>
      <w:r w:rsidRPr="00A5246D">
        <w:rPr>
          <w:rFonts w:eastAsia="Times New Roman" w:cs="Arial"/>
          <w:color w:val="000000"/>
          <w:lang w:val="en-US"/>
        </w:rPr>
        <w:t>CYP</w:t>
      </w:r>
      <w:r w:rsidRPr="00A5246D">
        <w:rPr>
          <w:rFonts w:eastAsia="Times New Roman" w:cs="Arial"/>
          <w:color w:val="000000"/>
          <w:lang w:val="ru-RU"/>
        </w:rPr>
        <w:t>2</w:t>
      </w:r>
      <w:r w:rsidRPr="00A5246D">
        <w:rPr>
          <w:rFonts w:eastAsia="Times New Roman" w:cs="Arial"/>
          <w:color w:val="000000"/>
          <w:lang w:val="en-US"/>
        </w:rPr>
        <w:t>C</w:t>
      </w:r>
      <w:r w:rsidRPr="00A5246D">
        <w:rPr>
          <w:rFonts w:eastAsia="Times New Roman" w:cs="Arial"/>
          <w:color w:val="000000"/>
          <w:lang w:val="ru-RU"/>
        </w:rPr>
        <w:t xml:space="preserve">19, </w:t>
      </w:r>
      <w:r w:rsidRPr="00A5246D">
        <w:rPr>
          <w:rFonts w:eastAsia="Times New Roman" w:cs="Arial"/>
          <w:color w:val="000000"/>
          <w:lang w:eastAsia="bg-BG"/>
        </w:rPr>
        <w:t>при което се образува 4-хидроксиметил амбрисентан (21 %), който впоследствие се глюкуронира до 4-хидроксиметил амбрисентан глюкуронид (5 %). Афинитетът за свързване на 4-хидроксиметил амбрисентан към човешкия ендотелинов рецептор е 65 пъти по-нисък от този на амбрисентан. По тази причина в концентрации, отчетени в плазмата (около 4 % свързани с изходния амбрисентан), не се очаква 4-хидроксиметил амбрисентан да допринася за фармакологичната активност на амбрисентан.</w:t>
      </w:r>
    </w:p>
    <w:p w14:paraId="2B54E7FD" w14:textId="77777777" w:rsidR="00A5246D" w:rsidRPr="00A5246D" w:rsidRDefault="00A5246D" w:rsidP="00A5246D">
      <w:pPr>
        <w:spacing w:line="240" w:lineRule="auto"/>
        <w:rPr>
          <w:rFonts w:eastAsia="Times New Roman" w:cs="Arial"/>
          <w:i/>
          <w:iCs/>
          <w:color w:val="000000"/>
          <w:lang w:val="en-US"/>
        </w:rPr>
      </w:pPr>
    </w:p>
    <w:p w14:paraId="5D077B35" w14:textId="102D0CE8" w:rsidR="00A5246D" w:rsidRPr="00A5246D" w:rsidRDefault="00A5246D" w:rsidP="00A5246D">
      <w:pPr>
        <w:spacing w:line="240" w:lineRule="auto"/>
        <w:rPr>
          <w:rFonts w:eastAsia="Times New Roman" w:cs="Arial"/>
          <w:sz w:val="24"/>
          <w:szCs w:val="24"/>
        </w:rPr>
      </w:pPr>
      <w:r w:rsidRPr="00A5246D">
        <w:rPr>
          <w:rFonts w:eastAsia="Times New Roman" w:cs="Arial"/>
          <w:i/>
          <w:iCs/>
          <w:color w:val="000000"/>
          <w:lang w:val="en-US"/>
        </w:rPr>
        <w:t>In</w:t>
      </w:r>
      <w:r w:rsidRPr="00A5246D">
        <w:rPr>
          <w:rFonts w:eastAsia="Times New Roman" w:cs="Arial"/>
          <w:i/>
          <w:iCs/>
          <w:color w:val="000000"/>
          <w:lang w:val="ru-RU"/>
        </w:rPr>
        <w:t xml:space="preserve"> </w:t>
      </w:r>
      <w:r w:rsidRPr="00A5246D">
        <w:rPr>
          <w:rFonts w:eastAsia="Times New Roman" w:cs="Arial"/>
          <w:i/>
          <w:iCs/>
          <w:color w:val="000000"/>
          <w:lang w:val="en-US"/>
        </w:rPr>
        <w:t>vitro</w:t>
      </w:r>
      <w:r w:rsidRPr="00A5246D">
        <w:rPr>
          <w:rFonts w:eastAsia="Times New Roman" w:cs="Arial"/>
          <w:color w:val="000000"/>
          <w:lang w:val="ru-RU"/>
        </w:rPr>
        <w:t xml:space="preserve"> </w:t>
      </w:r>
      <w:r w:rsidRPr="00A5246D">
        <w:rPr>
          <w:rFonts w:eastAsia="Times New Roman" w:cs="Arial"/>
          <w:color w:val="000000"/>
          <w:lang w:eastAsia="bg-BG"/>
        </w:rPr>
        <w:t xml:space="preserve">данни показват, че амбрисентан 300 μМ води до по-малко от 50 % инхибиране на </w:t>
      </w:r>
      <w:r w:rsidRPr="00A5246D">
        <w:rPr>
          <w:rFonts w:eastAsia="Times New Roman" w:cs="Arial"/>
          <w:color w:val="000000"/>
          <w:lang w:val="en-US"/>
        </w:rPr>
        <w:t>UGT</w:t>
      </w:r>
      <w:r w:rsidRPr="00A5246D">
        <w:rPr>
          <w:rFonts w:eastAsia="Times New Roman" w:cs="Arial"/>
          <w:color w:val="000000"/>
          <w:lang w:val="ru-RU"/>
        </w:rPr>
        <w:t>1</w:t>
      </w:r>
      <w:r w:rsidRPr="00A5246D">
        <w:rPr>
          <w:rFonts w:eastAsia="Times New Roman" w:cs="Arial"/>
          <w:color w:val="000000"/>
          <w:lang w:val="en-US"/>
        </w:rPr>
        <w:t>A</w:t>
      </w:r>
      <w:r w:rsidRPr="00A5246D">
        <w:rPr>
          <w:rFonts w:eastAsia="Times New Roman" w:cs="Arial"/>
          <w:color w:val="000000"/>
          <w:lang w:val="ru-RU"/>
        </w:rPr>
        <w:t xml:space="preserve">1, </w:t>
      </w:r>
      <w:r w:rsidRPr="00A5246D">
        <w:rPr>
          <w:rFonts w:eastAsia="Times New Roman" w:cs="Arial"/>
          <w:color w:val="000000"/>
          <w:lang w:val="en-US"/>
        </w:rPr>
        <w:t>UGT</w:t>
      </w:r>
      <w:r w:rsidRPr="00A5246D">
        <w:rPr>
          <w:rFonts w:eastAsia="Times New Roman" w:cs="Arial"/>
          <w:color w:val="000000"/>
          <w:lang w:val="ru-RU"/>
        </w:rPr>
        <w:t>1</w:t>
      </w:r>
      <w:r w:rsidRPr="00A5246D">
        <w:rPr>
          <w:rFonts w:eastAsia="Times New Roman" w:cs="Arial"/>
          <w:color w:val="000000"/>
          <w:lang w:val="en-US"/>
        </w:rPr>
        <w:t>A</w:t>
      </w:r>
      <w:r w:rsidRPr="00A5246D">
        <w:rPr>
          <w:rFonts w:eastAsia="Times New Roman" w:cs="Arial"/>
          <w:color w:val="000000"/>
          <w:lang w:val="ru-RU"/>
        </w:rPr>
        <w:t xml:space="preserve">6, </w:t>
      </w:r>
      <w:r w:rsidRPr="00A5246D">
        <w:rPr>
          <w:rFonts w:eastAsia="Times New Roman" w:cs="Arial"/>
          <w:color w:val="000000"/>
          <w:lang w:val="en-US"/>
        </w:rPr>
        <w:t>UGT</w:t>
      </w:r>
      <w:r w:rsidRPr="00A5246D">
        <w:rPr>
          <w:rFonts w:eastAsia="Times New Roman" w:cs="Arial"/>
          <w:color w:val="000000"/>
          <w:lang w:val="ru-RU"/>
        </w:rPr>
        <w:t>1</w:t>
      </w:r>
      <w:r w:rsidRPr="00A5246D">
        <w:rPr>
          <w:rFonts w:eastAsia="Times New Roman" w:cs="Arial"/>
          <w:color w:val="000000"/>
          <w:lang w:eastAsia="bg-BG"/>
        </w:rPr>
        <w:t xml:space="preserve">А9, </w:t>
      </w:r>
      <w:r w:rsidRPr="00A5246D">
        <w:rPr>
          <w:rFonts w:eastAsia="Times New Roman" w:cs="Arial"/>
          <w:color w:val="000000"/>
          <w:lang w:val="en-US"/>
        </w:rPr>
        <w:t>UGT</w:t>
      </w:r>
      <w:r w:rsidRPr="00A5246D">
        <w:rPr>
          <w:rFonts w:eastAsia="Times New Roman" w:cs="Arial"/>
          <w:color w:val="000000"/>
          <w:lang w:val="ru-RU"/>
        </w:rPr>
        <w:t>2</w:t>
      </w:r>
      <w:r w:rsidRPr="00A5246D">
        <w:rPr>
          <w:rFonts w:eastAsia="Times New Roman" w:cs="Arial"/>
          <w:color w:val="000000"/>
          <w:lang w:val="en-US"/>
        </w:rPr>
        <w:t>B</w:t>
      </w:r>
      <w:r w:rsidRPr="00A5246D">
        <w:rPr>
          <w:rFonts w:eastAsia="Times New Roman" w:cs="Arial"/>
          <w:color w:val="000000"/>
          <w:lang w:val="ru-RU"/>
        </w:rPr>
        <w:t xml:space="preserve">7 </w:t>
      </w:r>
      <w:r w:rsidRPr="00A5246D">
        <w:rPr>
          <w:rFonts w:eastAsia="Times New Roman" w:cs="Arial"/>
          <w:color w:val="000000"/>
          <w:lang w:eastAsia="bg-BG"/>
        </w:rPr>
        <w:t>(до 30 %), или на цитохром Р450 ензимите 1А2,</w:t>
      </w:r>
      <w:r w:rsidRPr="00A5246D">
        <w:rPr>
          <w:rFonts w:eastAsia="Times New Roman" w:cs="Arial"/>
          <w:color w:val="000000"/>
          <w:lang w:val="ru-RU"/>
        </w:rPr>
        <w:t xml:space="preserve"> </w:t>
      </w:r>
      <w:r w:rsidRPr="00A5246D">
        <w:rPr>
          <w:rFonts w:eastAsia="Times New Roman" w:cs="Arial"/>
          <w:color w:val="000000"/>
          <w:lang w:eastAsia="bg-BG"/>
        </w:rPr>
        <w:t>2А6, 2В6,</w:t>
      </w:r>
      <w:r w:rsidRPr="00A5246D">
        <w:rPr>
          <w:rFonts w:eastAsia="Times New Roman" w:cs="Arial"/>
          <w:color w:val="000000"/>
          <w:lang w:val="ru-RU"/>
        </w:rPr>
        <w:t xml:space="preserve"> </w:t>
      </w:r>
      <w:r w:rsidRPr="00A5246D">
        <w:rPr>
          <w:rFonts w:eastAsia="Times New Roman" w:cs="Arial"/>
          <w:color w:val="000000"/>
          <w:lang w:eastAsia="bg-BG"/>
        </w:rPr>
        <w:t>2С8,</w:t>
      </w:r>
      <w:r w:rsidRPr="00A5246D">
        <w:rPr>
          <w:rFonts w:eastAsia="Times New Roman" w:cs="Arial"/>
          <w:color w:val="000000"/>
          <w:lang w:val="ru-RU"/>
        </w:rPr>
        <w:t xml:space="preserve"> </w:t>
      </w:r>
      <w:r w:rsidRPr="00A5246D">
        <w:rPr>
          <w:rFonts w:eastAsia="Times New Roman" w:cs="Arial"/>
          <w:color w:val="000000"/>
          <w:lang w:eastAsia="bg-BG"/>
        </w:rPr>
        <w:t>2С9,</w:t>
      </w:r>
      <w:r w:rsidRPr="00A5246D">
        <w:rPr>
          <w:rFonts w:eastAsia="Times New Roman" w:cs="Arial"/>
          <w:color w:val="000000"/>
          <w:lang w:val="ru-RU"/>
        </w:rPr>
        <w:t xml:space="preserve"> </w:t>
      </w:r>
      <w:r w:rsidRPr="00A5246D">
        <w:rPr>
          <w:rFonts w:eastAsia="Times New Roman" w:cs="Arial"/>
          <w:color w:val="000000"/>
          <w:lang w:eastAsia="bg-BG"/>
        </w:rPr>
        <w:t>2С19,</w:t>
      </w:r>
      <w:r w:rsidRPr="00A5246D">
        <w:rPr>
          <w:rFonts w:eastAsia="Times New Roman" w:cs="Arial"/>
          <w:color w:val="000000"/>
          <w:lang w:val="ru-RU"/>
        </w:rPr>
        <w:t xml:space="preserve"> 2</w:t>
      </w:r>
      <w:r w:rsidRPr="00A5246D">
        <w:rPr>
          <w:rFonts w:eastAsia="Times New Roman" w:cs="Arial"/>
          <w:color w:val="000000"/>
          <w:lang w:val="en-US"/>
        </w:rPr>
        <w:t>D</w:t>
      </w:r>
      <w:r w:rsidRPr="00A5246D">
        <w:rPr>
          <w:rFonts w:eastAsia="Times New Roman" w:cs="Arial"/>
          <w:color w:val="000000"/>
          <w:lang w:val="ru-RU"/>
        </w:rPr>
        <w:t>6,</w:t>
      </w:r>
      <w:r w:rsidRPr="00A5246D">
        <w:rPr>
          <w:rFonts w:eastAsia="Times New Roman" w:cs="Arial"/>
          <w:color w:val="000000"/>
          <w:lang w:eastAsia="bg-BG"/>
        </w:rPr>
        <w:t xml:space="preserve">2Е1 и ЗА4 (до 25%). </w:t>
      </w:r>
      <w:r w:rsidRPr="00A5246D">
        <w:rPr>
          <w:rFonts w:eastAsia="Times New Roman" w:cs="Arial"/>
          <w:i/>
          <w:iCs/>
          <w:color w:val="000000"/>
          <w:lang w:val="en-US"/>
        </w:rPr>
        <w:t>In</w:t>
      </w:r>
      <w:r w:rsidRPr="00A5246D">
        <w:rPr>
          <w:rFonts w:eastAsia="Times New Roman" w:cs="Arial"/>
          <w:i/>
          <w:iCs/>
          <w:color w:val="000000"/>
        </w:rPr>
        <w:t xml:space="preserve"> </w:t>
      </w:r>
      <w:r w:rsidRPr="00A5246D">
        <w:rPr>
          <w:rFonts w:eastAsia="Times New Roman" w:cs="Arial"/>
          <w:i/>
          <w:iCs/>
          <w:color w:val="000000"/>
          <w:lang w:val="en-US"/>
        </w:rPr>
        <w:t>vitro</w:t>
      </w:r>
      <w:r w:rsidRPr="00A5246D">
        <w:rPr>
          <w:rFonts w:eastAsia="Times New Roman" w:cs="Arial"/>
          <w:color w:val="000000"/>
        </w:rPr>
        <w:t xml:space="preserve"> </w:t>
      </w:r>
      <w:r w:rsidRPr="00A5246D">
        <w:rPr>
          <w:rFonts w:eastAsia="Times New Roman" w:cs="Arial"/>
          <w:color w:val="000000"/>
          <w:lang w:eastAsia="bg-BG"/>
        </w:rPr>
        <w:t xml:space="preserve">амбрисентан няма инхибиращ ефект върху човешки транспортери в клинично значими концентрации, включително </w:t>
      </w:r>
      <w:proofErr w:type="spellStart"/>
      <w:r w:rsidRPr="00A5246D">
        <w:rPr>
          <w:rFonts w:eastAsia="Times New Roman" w:cs="Arial"/>
          <w:color w:val="000000"/>
          <w:lang w:val="en-US"/>
        </w:rPr>
        <w:t>Pgp</w:t>
      </w:r>
      <w:proofErr w:type="spellEnd"/>
      <w:r w:rsidRPr="00A5246D">
        <w:rPr>
          <w:rFonts w:eastAsia="Times New Roman" w:cs="Arial"/>
          <w:color w:val="000000"/>
        </w:rPr>
        <w:t xml:space="preserve">, </w:t>
      </w:r>
      <w:r w:rsidRPr="00A5246D">
        <w:rPr>
          <w:rFonts w:eastAsia="Times New Roman" w:cs="Arial"/>
          <w:color w:val="000000"/>
          <w:lang w:val="en-US"/>
        </w:rPr>
        <w:t>BCRP</w:t>
      </w:r>
      <w:r w:rsidRPr="00A5246D">
        <w:rPr>
          <w:rFonts w:eastAsia="Times New Roman" w:cs="Arial"/>
          <w:color w:val="000000"/>
        </w:rPr>
        <w:t xml:space="preserve">, </w:t>
      </w:r>
      <w:r w:rsidRPr="00A5246D">
        <w:rPr>
          <w:rFonts w:eastAsia="Times New Roman" w:cs="Arial"/>
          <w:color w:val="000000"/>
          <w:lang w:val="en-US"/>
        </w:rPr>
        <w:t>MRP</w:t>
      </w:r>
      <w:r w:rsidRPr="00A5246D">
        <w:rPr>
          <w:rFonts w:eastAsia="Times New Roman" w:cs="Arial"/>
          <w:color w:val="000000"/>
        </w:rPr>
        <w:t xml:space="preserve">2, </w:t>
      </w:r>
      <w:r w:rsidRPr="00A5246D">
        <w:rPr>
          <w:rFonts w:eastAsia="Times New Roman" w:cs="Arial"/>
          <w:color w:val="000000"/>
          <w:lang w:val="en-US"/>
        </w:rPr>
        <w:t>BSEP</w:t>
      </w:r>
      <w:r w:rsidRPr="00A5246D">
        <w:rPr>
          <w:rFonts w:eastAsia="Times New Roman" w:cs="Arial"/>
          <w:color w:val="000000"/>
        </w:rPr>
        <w:t xml:space="preserve">, </w:t>
      </w:r>
      <w:r w:rsidRPr="00A5246D">
        <w:rPr>
          <w:rFonts w:eastAsia="Times New Roman" w:cs="Arial"/>
          <w:color w:val="000000"/>
          <w:lang w:eastAsia="bg-BG"/>
        </w:rPr>
        <w:t xml:space="preserve">ОАТР1В1, ОАТР1ВЗ и </w:t>
      </w:r>
      <w:r w:rsidRPr="00A5246D">
        <w:rPr>
          <w:rFonts w:eastAsia="Times New Roman" w:cs="Arial"/>
          <w:color w:val="000000"/>
          <w:lang w:val="en-US"/>
        </w:rPr>
        <w:t>NTCP</w:t>
      </w:r>
      <w:r w:rsidRPr="00A5246D">
        <w:rPr>
          <w:rFonts w:eastAsia="Times New Roman" w:cs="Arial"/>
          <w:color w:val="000000"/>
        </w:rPr>
        <w:t xml:space="preserve">. </w:t>
      </w:r>
      <w:r w:rsidRPr="00A5246D">
        <w:rPr>
          <w:rFonts w:eastAsia="Times New Roman" w:cs="Arial"/>
          <w:color w:val="000000"/>
          <w:lang w:eastAsia="bg-BG"/>
        </w:rPr>
        <w:t xml:space="preserve">Освен това, амбрисентан не индуцира </w:t>
      </w:r>
      <w:r w:rsidRPr="00A5246D">
        <w:rPr>
          <w:rFonts w:eastAsia="Times New Roman" w:cs="Arial"/>
          <w:color w:val="000000"/>
          <w:lang w:val="en-US"/>
        </w:rPr>
        <w:t>MRP</w:t>
      </w:r>
      <w:r w:rsidRPr="00A5246D">
        <w:rPr>
          <w:rFonts w:eastAsia="Times New Roman" w:cs="Arial"/>
          <w:color w:val="000000"/>
          <w:lang w:val="ru-RU"/>
        </w:rPr>
        <w:t xml:space="preserve">2, </w:t>
      </w:r>
      <w:proofErr w:type="spellStart"/>
      <w:r w:rsidRPr="00A5246D">
        <w:rPr>
          <w:rFonts w:eastAsia="Times New Roman" w:cs="Arial"/>
          <w:color w:val="000000"/>
          <w:lang w:val="en-US"/>
        </w:rPr>
        <w:t>Pgp</w:t>
      </w:r>
      <w:proofErr w:type="spellEnd"/>
      <w:r w:rsidRPr="00A5246D">
        <w:rPr>
          <w:rFonts w:eastAsia="Times New Roman" w:cs="Arial"/>
          <w:color w:val="000000"/>
          <w:lang w:val="ru-RU"/>
        </w:rPr>
        <w:t xml:space="preserve"> </w:t>
      </w:r>
      <w:r w:rsidRPr="00A5246D">
        <w:rPr>
          <w:rFonts w:eastAsia="Times New Roman" w:cs="Arial"/>
          <w:color w:val="000000"/>
          <w:lang w:eastAsia="bg-BG"/>
        </w:rPr>
        <w:t xml:space="preserve">или </w:t>
      </w:r>
      <w:r w:rsidRPr="00A5246D">
        <w:rPr>
          <w:rFonts w:eastAsia="Times New Roman" w:cs="Arial"/>
          <w:color w:val="000000"/>
          <w:lang w:val="en-US"/>
        </w:rPr>
        <w:t>BSEP</w:t>
      </w:r>
      <w:r w:rsidRPr="00A5246D">
        <w:rPr>
          <w:rFonts w:eastAsia="Times New Roman" w:cs="Arial"/>
          <w:color w:val="000000"/>
          <w:lang w:val="ru-RU"/>
        </w:rPr>
        <w:t xml:space="preserve"> </w:t>
      </w:r>
      <w:r w:rsidRPr="00A5246D">
        <w:rPr>
          <w:rFonts w:eastAsia="Times New Roman" w:cs="Arial"/>
          <w:color w:val="000000"/>
          <w:lang w:eastAsia="bg-BG"/>
        </w:rPr>
        <w:t xml:space="preserve">протеиновата експресия в хепатоцити на плъх. Взети заедно, </w:t>
      </w:r>
      <w:r w:rsidRPr="00A5246D">
        <w:rPr>
          <w:rFonts w:eastAsia="Times New Roman" w:cs="Arial"/>
          <w:i/>
          <w:iCs/>
          <w:color w:val="000000"/>
          <w:lang w:val="en-US"/>
        </w:rPr>
        <w:t>in</w:t>
      </w:r>
      <w:r w:rsidRPr="00A5246D">
        <w:rPr>
          <w:rFonts w:eastAsia="Times New Roman" w:cs="Arial"/>
          <w:i/>
          <w:iCs/>
          <w:color w:val="000000"/>
          <w:lang w:val="ru-RU"/>
        </w:rPr>
        <w:t xml:space="preserve"> </w:t>
      </w:r>
      <w:r w:rsidRPr="00A5246D">
        <w:rPr>
          <w:rFonts w:eastAsia="Times New Roman" w:cs="Arial"/>
          <w:i/>
          <w:iCs/>
          <w:color w:val="000000"/>
          <w:lang w:val="en-US"/>
        </w:rPr>
        <w:t>vitro</w:t>
      </w:r>
      <w:r w:rsidRPr="00A5246D">
        <w:rPr>
          <w:rFonts w:eastAsia="Times New Roman" w:cs="Arial"/>
          <w:color w:val="000000"/>
          <w:lang w:val="ru-RU"/>
        </w:rPr>
        <w:t xml:space="preserve"> </w:t>
      </w:r>
      <w:r w:rsidRPr="00A5246D">
        <w:rPr>
          <w:rFonts w:eastAsia="Times New Roman" w:cs="Arial"/>
          <w:color w:val="000000"/>
          <w:lang w:eastAsia="bg-BG"/>
        </w:rPr>
        <w:t>данните предполагат, че амбрисентан в клинично значими концентрации (плазмена С</w:t>
      </w:r>
      <w:r w:rsidRPr="00A5246D">
        <w:rPr>
          <w:rFonts w:eastAsia="Times New Roman" w:cs="Arial"/>
          <w:color w:val="000000"/>
          <w:vertAlign w:val="subscript"/>
          <w:lang w:val="en-US"/>
        </w:rPr>
        <w:t>max</w:t>
      </w:r>
      <w:r w:rsidRPr="00A5246D">
        <w:rPr>
          <w:rFonts w:eastAsia="Times New Roman" w:cs="Arial"/>
          <w:color w:val="000000"/>
          <w:lang w:eastAsia="bg-BG"/>
        </w:rPr>
        <w:t xml:space="preserve"> до 3,2 μМ), не се очаква да има ефект върху </w:t>
      </w:r>
      <w:r w:rsidRPr="00A5246D">
        <w:rPr>
          <w:rFonts w:eastAsia="Times New Roman" w:cs="Arial"/>
          <w:color w:val="000000"/>
          <w:lang w:val="en-US"/>
        </w:rPr>
        <w:t>UGT</w:t>
      </w:r>
      <w:r w:rsidRPr="00A5246D">
        <w:rPr>
          <w:rFonts w:eastAsia="Times New Roman" w:cs="Arial"/>
          <w:color w:val="000000"/>
          <w:lang w:val="ru-RU"/>
        </w:rPr>
        <w:t xml:space="preserve">1 </w:t>
      </w:r>
      <w:r w:rsidRPr="00A5246D">
        <w:rPr>
          <w:rFonts w:eastAsia="Times New Roman" w:cs="Arial"/>
          <w:color w:val="000000"/>
          <w:lang w:val="en-US"/>
        </w:rPr>
        <w:t>Al</w:t>
      </w:r>
      <w:r w:rsidRPr="00A5246D">
        <w:rPr>
          <w:rFonts w:eastAsia="Times New Roman" w:cs="Arial"/>
          <w:color w:val="000000"/>
          <w:lang w:val="ru-RU"/>
        </w:rPr>
        <w:t xml:space="preserve">, </w:t>
      </w:r>
      <w:r w:rsidRPr="00A5246D">
        <w:rPr>
          <w:rFonts w:eastAsia="Times New Roman" w:cs="Arial"/>
          <w:color w:val="000000"/>
          <w:lang w:val="en-US"/>
        </w:rPr>
        <w:t>UGT</w:t>
      </w:r>
      <w:r w:rsidRPr="00A5246D">
        <w:rPr>
          <w:rFonts w:eastAsia="Times New Roman" w:cs="Arial"/>
          <w:color w:val="000000"/>
          <w:lang w:val="ru-RU"/>
        </w:rPr>
        <w:t>1</w:t>
      </w:r>
      <w:r w:rsidRPr="00A5246D">
        <w:rPr>
          <w:rFonts w:eastAsia="Times New Roman" w:cs="Arial"/>
          <w:color w:val="000000"/>
          <w:lang w:eastAsia="bg-BG"/>
        </w:rPr>
        <w:t xml:space="preserve">А6, </w:t>
      </w:r>
      <w:r w:rsidRPr="00A5246D">
        <w:rPr>
          <w:rFonts w:eastAsia="Times New Roman" w:cs="Arial"/>
          <w:color w:val="000000"/>
          <w:lang w:val="en-US"/>
        </w:rPr>
        <w:t>UGT</w:t>
      </w:r>
      <w:r w:rsidRPr="00A5246D">
        <w:rPr>
          <w:rFonts w:eastAsia="Times New Roman" w:cs="Arial"/>
          <w:color w:val="000000"/>
          <w:lang w:val="ru-RU"/>
        </w:rPr>
        <w:t>1</w:t>
      </w:r>
      <w:r w:rsidRPr="00A5246D">
        <w:rPr>
          <w:rFonts w:eastAsia="Times New Roman" w:cs="Arial"/>
          <w:color w:val="000000"/>
          <w:lang w:eastAsia="bg-BG"/>
        </w:rPr>
        <w:t xml:space="preserve">А9, </w:t>
      </w:r>
      <w:r w:rsidRPr="00A5246D">
        <w:rPr>
          <w:rFonts w:eastAsia="Times New Roman" w:cs="Arial"/>
          <w:color w:val="000000"/>
          <w:lang w:val="en-US"/>
        </w:rPr>
        <w:t>UGT</w:t>
      </w:r>
      <w:r w:rsidRPr="00A5246D">
        <w:rPr>
          <w:rFonts w:eastAsia="Times New Roman" w:cs="Arial"/>
          <w:color w:val="000000"/>
          <w:lang w:val="ru-RU"/>
        </w:rPr>
        <w:t>2</w:t>
      </w:r>
      <w:r w:rsidRPr="00A5246D">
        <w:rPr>
          <w:rFonts w:eastAsia="Times New Roman" w:cs="Arial"/>
          <w:color w:val="000000"/>
          <w:lang w:val="en-US"/>
        </w:rPr>
        <w:t>B</w:t>
      </w:r>
      <w:r w:rsidRPr="00A5246D">
        <w:rPr>
          <w:rFonts w:eastAsia="Times New Roman" w:cs="Arial"/>
          <w:color w:val="000000"/>
          <w:lang w:val="ru-RU"/>
        </w:rPr>
        <w:t xml:space="preserve">7 </w:t>
      </w:r>
      <w:r w:rsidRPr="00A5246D">
        <w:rPr>
          <w:rFonts w:eastAsia="Times New Roman" w:cs="Arial"/>
          <w:color w:val="000000"/>
          <w:lang w:eastAsia="bg-BG"/>
        </w:rPr>
        <w:t>или цитохром Р450 ензимите 1А2,</w:t>
      </w:r>
      <w:r w:rsidRPr="00A5246D">
        <w:rPr>
          <w:rFonts w:eastAsia="Times New Roman" w:cs="Arial"/>
          <w:color w:val="000000"/>
          <w:lang w:val="ru-RU"/>
        </w:rPr>
        <w:t xml:space="preserve"> </w:t>
      </w:r>
      <w:r w:rsidRPr="00A5246D">
        <w:rPr>
          <w:rFonts w:eastAsia="Times New Roman" w:cs="Arial"/>
          <w:color w:val="000000"/>
          <w:lang w:eastAsia="bg-BG"/>
        </w:rPr>
        <w:t>2А6, 2В6, 2С8,</w:t>
      </w:r>
      <w:r w:rsidRPr="00A5246D">
        <w:rPr>
          <w:rFonts w:eastAsia="Times New Roman" w:cs="Arial"/>
          <w:color w:val="000000"/>
          <w:lang w:val="ru-RU"/>
        </w:rPr>
        <w:t xml:space="preserve"> </w:t>
      </w:r>
      <w:r w:rsidRPr="00A5246D">
        <w:rPr>
          <w:rFonts w:eastAsia="Times New Roman" w:cs="Arial"/>
          <w:color w:val="000000"/>
          <w:lang w:eastAsia="bg-BG"/>
        </w:rPr>
        <w:t>2С9,</w:t>
      </w:r>
      <w:r w:rsidRPr="00A5246D">
        <w:rPr>
          <w:rFonts w:eastAsia="Times New Roman" w:cs="Arial"/>
          <w:color w:val="000000"/>
          <w:lang w:val="ru-RU"/>
        </w:rPr>
        <w:t xml:space="preserve"> </w:t>
      </w:r>
      <w:r w:rsidRPr="00A5246D">
        <w:rPr>
          <w:rFonts w:eastAsia="Times New Roman" w:cs="Arial"/>
          <w:color w:val="000000"/>
          <w:lang w:eastAsia="bg-BG"/>
        </w:rPr>
        <w:t xml:space="preserve">2С19, </w:t>
      </w:r>
      <w:r w:rsidRPr="00A5246D">
        <w:rPr>
          <w:rFonts w:eastAsia="Times New Roman" w:cs="Arial"/>
          <w:color w:val="000000"/>
          <w:lang w:val="ru-RU"/>
        </w:rPr>
        <w:t>2</w:t>
      </w:r>
      <w:r w:rsidRPr="00A5246D">
        <w:rPr>
          <w:rFonts w:eastAsia="Times New Roman" w:cs="Arial"/>
          <w:color w:val="000000"/>
          <w:lang w:val="en-US"/>
        </w:rPr>
        <w:t>D</w:t>
      </w:r>
      <w:r w:rsidRPr="00A5246D">
        <w:rPr>
          <w:rFonts w:eastAsia="Times New Roman" w:cs="Arial"/>
          <w:color w:val="000000"/>
          <w:lang w:val="ru-RU"/>
        </w:rPr>
        <w:t xml:space="preserve">6, </w:t>
      </w:r>
      <w:r w:rsidRPr="00A5246D">
        <w:rPr>
          <w:rFonts w:eastAsia="Times New Roman" w:cs="Arial"/>
          <w:color w:val="000000"/>
          <w:lang w:eastAsia="bg-BG"/>
        </w:rPr>
        <w:t xml:space="preserve">2Е1, ЗА4 или върху транспорта чрез </w:t>
      </w:r>
      <w:r w:rsidRPr="00A5246D">
        <w:rPr>
          <w:rFonts w:eastAsia="Times New Roman" w:cs="Arial"/>
          <w:color w:val="000000"/>
          <w:lang w:val="en-US"/>
        </w:rPr>
        <w:t>BSEP</w:t>
      </w:r>
      <w:r w:rsidRPr="00A5246D">
        <w:rPr>
          <w:rFonts w:eastAsia="Times New Roman" w:cs="Arial"/>
          <w:color w:val="000000"/>
          <w:lang w:val="ru-RU"/>
        </w:rPr>
        <w:t xml:space="preserve">, </w:t>
      </w:r>
      <w:r w:rsidRPr="00A5246D">
        <w:rPr>
          <w:rFonts w:eastAsia="Times New Roman" w:cs="Arial"/>
          <w:color w:val="000000"/>
          <w:lang w:val="en-US"/>
        </w:rPr>
        <w:t>BCRP</w:t>
      </w:r>
      <w:r w:rsidRPr="00A5246D">
        <w:rPr>
          <w:rFonts w:eastAsia="Times New Roman" w:cs="Arial"/>
          <w:color w:val="000000"/>
          <w:lang w:val="ru-RU"/>
        </w:rPr>
        <w:t xml:space="preserve">, </w:t>
      </w:r>
      <w:proofErr w:type="spellStart"/>
      <w:r w:rsidRPr="00A5246D">
        <w:rPr>
          <w:rFonts w:eastAsia="Times New Roman" w:cs="Arial"/>
          <w:color w:val="000000"/>
          <w:lang w:val="en-US"/>
        </w:rPr>
        <w:t>Pgp</w:t>
      </w:r>
      <w:proofErr w:type="spellEnd"/>
      <w:r w:rsidRPr="00A5246D">
        <w:rPr>
          <w:rFonts w:eastAsia="Times New Roman" w:cs="Arial"/>
          <w:color w:val="000000"/>
          <w:lang w:val="ru-RU"/>
        </w:rPr>
        <w:t xml:space="preserve">, </w:t>
      </w:r>
      <w:r w:rsidRPr="00A5246D">
        <w:rPr>
          <w:rFonts w:eastAsia="Times New Roman" w:cs="Arial"/>
          <w:color w:val="000000"/>
          <w:lang w:val="en-US"/>
        </w:rPr>
        <w:t>MRP</w:t>
      </w:r>
      <w:r w:rsidRPr="00A5246D">
        <w:rPr>
          <w:rFonts w:eastAsia="Times New Roman" w:cs="Arial"/>
          <w:color w:val="000000"/>
          <w:lang w:val="ru-RU"/>
        </w:rPr>
        <w:t xml:space="preserve">2, </w:t>
      </w:r>
      <w:r w:rsidRPr="00A5246D">
        <w:rPr>
          <w:rFonts w:eastAsia="Times New Roman" w:cs="Arial"/>
          <w:color w:val="000000"/>
          <w:lang w:eastAsia="bg-BG"/>
        </w:rPr>
        <w:t xml:space="preserve">ОАТР1В1/3, или </w:t>
      </w:r>
      <w:r w:rsidRPr="00A5246D">
        <w:rPr>
          <w:rFonts w:eastAsia="Times New Roman" w:cs="Arial"/>
          <w:color w:val="000000"/>
          <w:lang w:val="en-US"/>
        </w:rPr>
        <w:t>NTCP</w:t>
      </w:r>
      <w:r w:rsidRPr="00A5246D">
        <w:rPr>
          <w:rFonts w:eastAsia="Times New Roman" w:cs="Arial"/>
          <w:color w:val="000000"/>
          <w:lang w:val="ru-RU"/>
        </w:rPr>
        <w:t>.</w:t>
      </w:r>
    </w:p>
    <w:p w14:paraId="11C6B8AD" w14:textId="77777777" w:rsidR="00A5246D" w:rsidRPr="00A5246D" w:rsidRDefault="00A5246D" w:rsidP="00A5246D">
      <w:pPr>
        <w:spacing w:line="240" w:lineRule="auto"/>
        <w:rPr>
          <w:rFonts w:eastAsia="Times New Roman" w:cs="Arial"/>
          <w:color w:val="000000"/>
          <w:lang w:eastAsia="bg-BG"/>
        </w:rPr>
      </w:pPr>
    </w:p>
    <w:p w14:paraId="030E7FDE" w14:textId="7354A83A"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 xml:space="preserve">Ефектите на амбрисентан в стационарно състояние (10 </w:t>
      </w:r>
      <w:r w:rsidRPr="00A5246D">
        <w:rPr>
          <w:rFonts w:eastAsia="Times New Roman" w:cs="Arial"/>
          <w:color w:val="000000"/>
          <w:lang w:val="en-US"/>
        </w:rPr>
        <w:t>mg</w:t>
      </w:r>
      <w:r w:rsidRPr="00A5246D">
        <w:rPr>
          <w:rFonts w:eastAsia="Times New Roman" w:cs="Arial"/>
          <w:color w:val="000000"/>
          <w:lang w:val="ru-RU"/>
        </w:rPr>
        <w:t xml:space="preserve"> </w:t>
      </w:r>
      <w:r w:rsidRPr="00A5246D">
        <w:rPr>
          <w:rFonts w:eastAsia="Times New Roman" w:cs="Arial"/>
          <w:color w:val="000000"/>
          <w:lang w:eastAsia="bg-BG"/>
        </w:rPr>
        <w:t xml:space="preserve">веднъж дневно) върху фармакокинетиката и фармакодинамиката на еднократна доза варфарин (25 </w:t>
      </w:r>
      <w:r w:rsidRPr="00A5246D">
        <w:rPr>
          <w:rFonts w:eastAsia="Times New Roman" w:cs="Arial"/>
          <w:color w:val="000000"/>
          <w:lang w:val="en-US"/>
        </w:rPr>
        <w:t>mg</w:t>
      </w:r>
      <w:r w:rsidRPr="00A5246D">
        <w:rPr>
          <w:rFonts w:eastAsia="Times New Roman" w:cs="Arial"/>
          <w:color w:val="000000"/>
          <w:lang w:val="ru-RU"/>
        </w:rPr>
        <w:t xml:space="preserve">), </w:t>
      </w:r>
      <w:r w:rsidRPr="00A5246D">
        <w:rPr>
          <w:rFonts w:eastAsia="Times New Roman" w:cs="Arial"/>
          <w:color w:val="000000"/>
          <w:lang w:eastAsia="bg-BG"/>
        </w:rPr>
        <w:lastRenderedPageBreak/>
        <w:t xml:space="preserve">измерени чрез протромбиновото време (РТ) и международното нормализирано съотношение </w:t>
      </w:r>
      <w:r w:rsidRPr="00A5246D">
        <w:rPr>
          <w:rFonts w:eastAsia="Times New Roman" w:cs="Arial"/>
          <w:color w:val="000000"/>
          <w:lang w:val="ru-RU"/>
        </w:rPr>
        <w:t>(</w:t>
      </w:r>
      <w:r w:rsidRPr="00A5246D">
        <w:rPr>
          <w:rFonts w:eastAsia="Times New Roman" w:cs="Arial"/>
          <w:color w:val="000000"/>
          <w:lang w:val="en-US"/>
        </w:rPr>
        <w:t>INR</w:t>
      </w:r>
      <w:r w:rsidRPr="00A5246D">
        <w:rPr>
          <w:rFonts w:eastAsia="Times New Roman" w:cs="Arial"/>
          <w:color w:val="000000"/>
          <w:lang w:val="ru-RU"/>
        </w:rPr>
        <w:t xml:space="preserve">), </w:t>
      </w:r>
      <w:r w:rsidRPr="00A5246D">
        <w:rPr>
          <w:rFonts w:eastAsia="Times New Roman" w:cs="Arial"/>
          <w:color w:val="000000"/>
          <w:lang w:eastAsia="bg-BG"/>
        </w:rPr>
        <w:t>са проучени при 20 здрави доброволци. Амбрисентан няма клинично значими ефекти върху фармакокинетиката или фармакодинамиката на варфарин. Също така, едновременното прилагане с варфарин не оказва влияние върху фармакокинетиката на амбрисентан (вж. точка 4.5).</w:t>
      </w:r>
    </w:p>
    <w:p w14:paraId="28AE4395" w14:textId="77777777" w:rsidR="00A5246D" w:rsidRPr="00A5246D" w:rsidRDefault="00A5246D" w:rsidP="00A5246D">
      <w:pPr>
        <w:rPr>
          <w:rFonts w:eastAsia="Times New Roman" w:cs="Arial"/>
          <w:color w:val="000000"/>
          <w:lang w:eastAsia="bg-BG"/>
        </w:rPr>
      </w:pPr>
    </w:p>
    <w:p w14:paraId="008D3B98" w14:textId="4063723C" w:rsidR="00A5246D" w:rsidRPr="00A5246D" w:rsidRDefault="00A5246D" w:rsidP="00A5246D">
      <w:pPr>
        <w:rPr>
          <w:rFonts w:eastAsia="Times New Roman" w:cs="Arial"/>
          <w:color w:val="000000"/>
          <w:lang w:eastAsia="bg-BG"/>
        </w:rPr>
      </w:pPr>
      <w:r w:rsidRPr="00A5246D">
        <w:rPr>
          <w:rFonts w:eastAsia="Times New Roman" w:cs="Arial"/>
          <w:color w:val="000000"/>
          <w:lang w:eastAsia="bg-BG"/>
        </w:rPr>
        <w:t xml:space="preserve">Ефектът на 7-дневно прилагане на силденафил (20 </w:t>
      </w:r>
      <w:r w:rsidRPr="00A5246D">
        <w:rPr>
          <w:rFonts w:eastAsia="Times New Roman" w:cs="Arial"/>
          <w:color w:val="000000"/>
          <w:lang w:val="en-US"/>
        </w:rPr>
        <w:t>mg</w:t>
      </w:r>
      <w:r w:rsidRPr="00A5246D">
        <w:rPr>
          <w:rFonts w:eastAsia="Times New Roman" w:cs="Arial"/>
          <w:color w:val="000000"/>
          <w:lang w:val="ru-RU"/>
        </w:rPr>
        <w:t xml:space="preserve"> </w:t>
      </w:r>
      <w:r w:rsidRPr="00A5246D">
        <w:rPr>
          <w:rFonts w:eastAsia="Times New Roman" w:cs="Arial"/>
          <w:color w:val="000000"/>
          <w:lang w:eastAsia="bg-BG"/>
        </w:rPr>
        <w:t xml:space="preserve">три пъти дневно) върху фармакокинетиката на еднократна доза амбрисентан и ефектите на 7-дневно прилагане на амбрисентан (10 </w:t>
      </w:r>
      <w:r w:rsidRPr="00A5246D">
        <w:rPr>
          <w:rFonts w:eastAsia="Times New Roman" w:cs="Arial"/>
          <w:color w:val="000000"/>
          <w:lang w:val="en-US"/>
        </w:rPr>
        <w:t>mg</w:t>
      </w:r>
      <w:r w:rsidRPr="00A5246D">
        <w:rPr>
          <w:rFonts w:eastAsia="Times New Roman" w:cs="Arial"/>
          <w:color w:val="000000"/>
          <w:lang w:val="ru-RU"/>
        </w:rPr>
        <w:t xml:space="preserve"> </w:t>
      </w:r>
      <w:r w:rsidRPr="00A5246D">
        <w:rPr>
          <w:rFonts w:eastAsia="Times New Roman" w:cs="Arial"/>
          <w:color w:val="000000"/>
          <w:lang w:eastAsia="bg-BG"/>
        </w:rPr>
        <w:t xml:space="preserve">веднъж дневно) върху фармакокинетиката на еднократна доза силденафил са проучени при 19 здрави доброволци. Няма други промени във фармакокинетичните параметри на силденафил, </w:t>
      </w:r>
      <w:r w:rsidRPr="00A5246D">
        <w:rPr>
          <w:rFonts w:eastAsia="Times New Roman" w:cs="Arial"/>
          <w:color w:val="000000"/>
          <w:lang w:val="en-US"/>
        </w:rPr>
        <w:t>N</w:t>
      </w:r>
      <w:r w:rsidRPr="00A5246D">
        <w:rPr>
          <w:rFonts w:eastAsia="Times New Roman" w:cs="Arial"/>
          <w:color w:val="000000"/>
          <w:lang w:eastAsia="bg-BG"/>
        </w:rPr>
        <w:t>-дезметил-силденафил и амбрисентан, освен 13% увеличение на С</w:t>
      </w:r>
      <w:r w:rsidRPr="00A5246D">
        <w:rPr>
          <w:rFonts w:eastAsia="Times New Roman" w:cs="Arial"/>
          <w:color w:val="000000"/>
          <w:vertAlign w:val="subscript"/>
          <w:lang w:val="en-US"/>
        </w:rPr>
        <w:t>max</w:t>
      </w:r>
      <w:r w:rsidRPr="00A5246D">
        <w:rPr>
          <w:rFonts w:eastAsia="Times New Roman" w:cs="Arial"/>
          <w:color w:val="000000"/>
          <w:lang w:eastAsia="bg-BG"/>
        </w:rPr>
        <w:t xml:space="preserve"> на силденафил след едновременно прилагане с амбрисентан. Това слабо повишаване на Стах на силденафил не се счита за клинично значимо (вж. точка 4.5).</w:t>
      </w:r>
    </w:p>
    <w:p w14:paraId="42225019" w14:textId="3967A2ED" w:rsidR="00A5246D" w:rsidRPr="00A5246D" w:rsidRDefault="00A5246D" w:rsidP="00A5246D">
      <w:pPr>
        <w:rPr>
          <w:rFonts w:eastAsia="Times New Roman" w:cs="Arial"/>
          <w:color w:val="000000"/>
          <w:lang w:eastAsia="bg-BG"/>
        </w:rPr>
      </w:pPr>
    </w:p>
    <w:p w14:paraId="7D351502" w14:textId="77777777" w:rsidR="00A5246D" w:rsidRPr="00A5246D" w:rsidRDefault="00A5246D" w:rsidP="00A5246D">
      <w:pPr>
        <w:rPr>
          <w:rFonts w:cs="Arial"/>
        </w:rPr>
      </w:pPr>
      <w:r w:rsidRPr="00A5246D">
        <w:rPr>
          <w:rFonts w:cs="Arial"/>
        </w:rPr>
        <w:t xml:space="preserve">Ефектите на амбрисентан в стационарно състояние (10 </w:t>
      </w:r>
      <w:r w:rsidRPr="00A5246D">
        <w:rPr>
          <w:rFonts w:cs="Arial"/>
          <w:lang w:val="en-US"/>
        </w:rPr>
        <w:t>mg</w:t>
      </w:r>
      <w:r w:rsidRPr="00A5246D">
        <w:rPr>
          <w:rFonts w:cs="Arial"/>
          <w:lang w:val="ru-RU"/>
        </w:rPr>
        <w:t xml:space="preserve"> </w:t>
      </w:r>
      <w:r w:rsidRPr="00A5246D">
        <w:rPr>
          <w:rFonts w:cs="Arial"/>
        </w:rPr>
        <w:t xml:space="preserve">веднъж дневно) върху фармакокинетиката на еднократна доза тадалафил и ефектите на тадалафил в стационарно състояние (40 </w:t>
      </w:r>
      <w:r w:rsidRPr="00A5246D">
        <w:rPr>
          <w:rFonts w:cs="Arial"/>
          <w:lang w:val="en-US"/>
        </w:rPr>
        <w:t>mg</w:t>
      </w:r>
      <w:r w:rsidRPr="00A5246D">
        <w:rPr>
          <w:rFonts w:cs="Arial"/>
          <w:lang w:val="ru-RU"/>
        </w:rPr>
        <w:t xml:space="preserve"> </w:t>
      </w:r>
      <w:r w:rsidRPr="00A5246D">
        <w:rPr>
          <w:rFonts w:cs="Arial"/>
        </w:rPr>
        <w:t>веднъж дневно) върху фармакокинетиката на еднократна доза амбрисентан са проучени при 23 здрави доброволци. Амбрисентан няма клинично значими ефекти върху фармакокинетиката на тадалафил. Също така, едновременното прилагане с тадалафил не оказва влияние върху фармакокинетиката на амбрисентан (вж. точка 4.5).</w:t>
      </w:r>
    </w:p>
    <w:p w14:paraId="05F931A6" w14:textId="77777777" w:rsidR="00A5246D" w:rsidRPr="00A5246D" w:rsidRDefault="00A5246D" w:rsidP="00A5246D">
      <w:pPr>
        <w:rPr>
          <w:rFonts w:cs="Arial"/>
        </w:rPr>
      </w:pPr>
    </w:p>
    <w:p w14:paraId="7873E17D" w14:textId="2C1392F3" w:rsidR="00A5246D" w:rsidRPr="00A5246D" w:rsidRDefault="00A5246D" w:rsidP="00A5246D">
      <w:pPr>
        <w:rPr>
          <w:rFonts w:cs="Arial"/>
        </w:rPr>
      </w:pPr>
      <w:r w:rsidRPr="00A5246D">
        <w:rPr>
          <w:rFonts w:cs="Arial"/>
        </w:rPr>
        <w:t xml:space="preserve">Ефектите на многократно прилагане на кетоконазол (400 </w:t>
      </w:r>
      <w:r w:rsidRPr="00A5246D">
        <w:rPr>
          <w:rFonts w:cs="Arial"/>
          <w:lang w:val="en-US"/>
        </w:rPr>
        <w:t>mg</w:t>
      </w:r>
      <w:r w:rsidRPr="00A5246D">
        <w:rPr>
          <w:rFonts w:cs="Arial"/>
          <w:lang w:val="ru-RU"/>
        </w:rPr>
        <w:t xml:space="preserve"> </w:t>
      </w:r>
      <w:r w:rsidRPr="00A5246D">
        <w:rPr>
          <w:rFonts w:cs="Arial"/>
        </w:rPr>
        <w:t xml:space="preserve">веднъж дневно) върху фармакокинетиката на еднократна доза 10 </w:t>
      </w:r>
      <w:r w:rsidRPr="00A5246D">
        <w:rPr>
          <w:rFonts w:cs="Arial"/>
          <w:lang w:val="en-US"/>
        </w:rPr>
        <w:t>mg</w:t>
      </w:r>
      <w:r w:rsidRPr="00A5246D">
        <w:rPr>
          <w:rFonts w:cs="Arial"/>
          <w:lang w:val="ru-RU"/>
        </w:rPr>
        <w:t xml:space="preserve"> </w:t>
      </w:r>
      <w:r w:rsidRPr="00A5246D">
        <w:rPr>
          <w:rFonts w:cs="Arial"/>
        </w:rPr>
        <w:t xml:space="preserve">амбрисентан са проучени при 16 здрави доброволци. Експозицията на амбрисентан, оценена чрез </w:t>
      </w:r>
      <w:r w:rsidRPr="00A5246D">
        <w:rPr>
          <w:rFonts w:cs="Arial"/>
          <w:lang w:val="en-US"/>
        </w:rPr>
        <w:t>AUC</w:t>
      </w:r>
      <w:r w:rsidRPr="00A5246D">
        <w:rPr>
          <w:rFonts w:cs="Arial"/>
          <w:lang w:val="ru-RU"/>
        </w:rPr>
        <w:t>(</w:t>
      </w:r>
      <w:r w:rsidRPr="00A5246D">
        <w:rPr>
          <w:rFonts w:cs="Arial"/>
          <w:lang w:val="en-US"/>
        </w:rPr>
        <w:t>O</w:t>
      </w:r>
      <w:r w:rsidRPr="00A5246D">
        <w:rPr>
          <w:rFonts w:cs="Arial"/>
          <w:lang w:val="ru-RU"/>
        </w:rPr>
        <w:t>-</w:t>
      </w:r>
      <w:proofErr w:type="spellStart"/>
      <w:r w:rsidRPr="00A5246D">
        <w:rPr>
          <w:rFonts w:cs="Arial"/>
          <w:lang w:val="en-US"/>
        </w:rPr>
        <w:t>inf</w:t>
      </w:r>
      <w:proofErr w:type="spellEnd"/>
      <w:r w:rsidRPr="00A5246D">
        <w:rPr>
          <w:rFonts w:cs="Arial"/>
          <w:lang w:val="ru-RU"/>
        </w:rPr>
        <w:t xml:space="preserve">) </w:t>
      </w:r>
      <w:r w:rsidRPr="00A5246D">
        <w:rPr>
          <w:rFonts w:cs="Arial"/>
        </w:rPr>
        <w:t>и С</w:t>
      </w:r>
      <w:r w:rsidRPr="00A5246D">
        <w:rPr>
          <w:rFonts w:cs="Arial"/>
          <w:vertAlign w:val="subscript"/>
          <w:lang w:val="en-US"/>
        </w:rPr>
        <w:t>max</w:t>
      </w:r>
      <w:r w:rsidRPr="00A5246D">
        <w:rPr>
          <w:rFonts w:cs="Arial"/>
          <w:vertAlign w:val="subscript"/>
        </w:rPr>
        <w:t xml:space="preserve"> </w:t>
      </w:r>
      <w:r w:rsidRPr="00A5246D">
        <w:rPr>
          <w:rFonts w:cs="Arial"/>
        </w:rPr>
        <w:t>се повишава с 35 % и съответно с 20 %. Малко вероятно е тази промяна в експозицията да има някаква клинична значимост и затова амбрисентан може да се прилага едновременно с кетоконазол.</w:t>
      </w:r>
    </w:p>
    <w:p w14:paraId="431BD9FA" w14:textId="77777777" w:rsidR="00A5246D" w:rsidRPr="00A5246D" w:rsidRDefault="00A5246D" w:rsidP="00A5246D">
      <w:pPr>
        <w:rPr>
          <w:rFonts w:cs="Arial"/>
        </w:rPr>
      </w:pPr>
    </w:p>
    <w:p w14:paraId="5299DC42" w14:textId="43F257B7" w:rsidR="00A5246D" w:rsidRPr="00A5246D" w:rsidRDefault="00A5246D" w:rsidP="00A5246D">
      <w:pPr>
        <w:rPr>
          <w:rFonts w:eastAsia="Times New Roman" w:cs="Arial"/>
          <w:sz w:val="24"/>
          <w:szCs w:val="24"/>
        </w:rPr>
      </w:pPr>
      <w:r w:rsidRPr="00A5246D">
        <w:rPr>
          <w:rFonts w:cs="Arial"/>
        </w:rPr>
        <w:t xml:space="preserve">При здрави доброволци са проучени ефектите при многократно прилагане на циклоспорин А (100- 150 </w:t>
      </w:r>
      <w:r w:rsidRPr="00A5246D">
        <w:rPr>
          <w:rFonts w:cs="Arial"/>
          <w:lang w:val="en-US"/>
        </w:rPr>
        <w:t>mg</w:t>
      </w:r>
      <w:r w:rsidRPr="00A5246D">
        <w:rPr>
          <w:rFonts w:cs="Arial"/>
          <w:lang w:val="ru-RU"/>
        </w:rPr>
        <w:t xml:space="preserve"> </w:t>
      </w:r>
      <w:r w:rsidRPr="00A5246D">
        <w:rPr>
          <w:rFonts w:cs="Arial"/>
        </w:rPr>
        <w:t xml:space="preserve">два пъти дневно) върху фармакокинетиката в стационарно състояние на амбрисентан (5 </w:t>
      </w:r>
      <w:r w:rsidRPr="00A5246D">
        <w:rPr>
          <w:rFonts w:cs="Arial"/>
          <w:lang w:val="en-US"/>
        </w:rPr>
        <w:t>mg</w:t>
      </w:r>
      <w:r w:rsidRPr="00A5246D">
        <w:rPr>
          <w:rFonts w:cs="Arial"/>
          <w:lang w:val="ru-RU"/>
        </w:rPr>
        <w:t xml:space="preserve"> </w:t>
      </w:r>
      <w:r w:rsidRPr="00A5246D">
        <w:rPr>
          <w:rFonts w:cs="Arial"/>
        </w:rPr>
        <w:t xml:space="preserve">веднъж дневно), както и ефектите при многократно прилагане на амбрисентан (5 </w:t>
      </w:r>
      <w:r w:rsidRPr="00A5246D">
        <w:rPr>
          <w:rFonts w:cs="Arial"/>
          <w:lang w:val="en-US"/>
        </w:rPr>
        <w:t>mg</w:t>
      </w:r>
      <w:r w:rsidRPr="00A5246D">
        <w:rPr>
          <w:rFonts w:cs="Arial"/>
          <w:lang w:val="ru-RU"/>
        </w:rPr>
        <w:t xml:space="preserve"> </w:t>
      </w:r>
      <w:r w:rsidRPr="00A5246D">
        <w:rPr>
          <w:rFonts w:cs="Arial"/>
        </w:rPr>
        <w:t xml:space="preserve">веднъж дневно) върху фармакокинетиката в стационарно състояние на циклоспорин А (100 - 150 </w:t>
      </w:r>
      <w:r w:rsidRPr="00A5246D">
        <w:rPr>
          <w:rFonts w:cs="Arial"/>
          <w:lang w:val="en-US"/>
        </w:rPr>
        <w:t>mg</w:t>
      </w:r>
      <w:r w:rsidRPr="00A5246D">
        <w:rPr>
          <w:rFonts w:cs="Arial"/>
          <w:lang w:val="ru-RU"/>
        </w:rPr>
        <w:t xml:space="preserve"> </w:t>
      </w:r>
      <w:r w:rsidRPr="00A5246D">
        <w:rPr>
          <w:rFonts w:cs="Arial"/>
        </w:rPr>
        <w:t>два пъти дневно).</w:t>
      </w:r>
      <w:r w:rsidRPr="00A5246D">
        <w:rPr>
          <w:rFonts w:cs="Arial"/>
        </w:rPr>
        <w:t xml:space="preserve"> </w:t>
      </w:r>
      <w:r w:rsidRPr="00A5246D">
        <w:rPr>
          <w:rFonts w:eastAsia="Times New Roman" w:cs="Arial"/>
          <w:color w:val="000000"/>
          <w:lang w:eastAsia="bg-BG"/>
        </w:rPr>
        <w:t>При многократно прилагане на циклоспорин А, С</w:t>
      </w:r>
      <w:r w:rsidRPr="00A5246D">
        <w:rPr>
          <w:rFonts w:eastAsia="Times New Roman" w:cs="Arial"/>
          <w:color w:val="000000"/>
          <w:vertAlign w:val="subscript"/>
          <w:lang w:val="en-US"/>
        </w:rPr>
        <w:t>max</w:t>
      </w:r>
      <w:r w:rsidRPr="00A5246D">
        <w:rPr>
          <w:rFonts w:eastAsia="Times New Roman" w:cs="Arial"/>
          <w:color w:val="000000"/>
          <w:lang w:eastAsia="bg-BG"/>
        </w:rPr>
        <w:t xml:space="preserve"> и </w:t>
      </w:r>
      <w:r w:rsidRPr="00A5246D">
        <w:rPr>
          <w:rFonts w:eastAsia="Times New Roman" w:cs="Arial"/>
          <w:color w:val="000000"/>
          <w:lang w:val="en-US"/>
        </w:rPr>
        <w:t>AUC</w:t>
      </w:r>
      <w:r w:rsidRPr="00A5246D">
        <w:rPr>
          <w:rFonts w:eastAsia="Times New Roman" w:cs="Arial"/>
          <w:color w:val="000000"/>
          <w:vertAlign w:val="subscript"/>
          <w:lang w:val="ru-RU"/>
        </w:rPr>
        <w:t>(0-</w:t>
      </w:r>
      <w:r w:rsidRPr="00A5246D">
        <w:rPr>
          <w:rFonts w:eastAsia="Times New Roman" w:cs="Arial"/>
          <w:color w:val="000000"/>
          <w:vertAlign w:val="subscript"/>
          <w:lang w:val="en-US"/>
        </w:rPr>
        <w:t>t</w:t>
      </w:r>
      <w:r w:rsidRPr="00A5246D">
        <w:rPr>
          <w:rFonts w:eastAsia="Times New Roman" w:cs="Arial"/>
          <w:color w:val="000000"/>
          <w:vertAlign w:val="subscript"/>
          <w:lang w:val="ru-RU"/>
        </w:rPr>
        <w:t>)</w:t>
      </w:r>
      <w:r w:rsidRPr="00A5246D">
        <w:rPr>
          <w:rFonts w:eastAsia="Times New Roman" w:cs="Arial"/>
          <w:color w:val="000000"/>
          <w:lang w:val="ru-RU"/>
        </w:rPr>
        <w:t xml:space="preserve"> </w:t>
      </w:r>
      <w:r w:rsidRPr="00A5246D">
        <w:rPr>
          <w:rFonts w:eastAsia="Times New Roman" w:cs="Arial"/>
          <w:color w:val="000000"/>
          <w:lang w:eastAsia="bg-BG"/>
        </w:rPr>
        <w:t xml:space="preserve">на амбрисентан се повишават (съответно 48 % и 121 %). Въз основа на тези промени, при едновременно прилагане с циклоспорин А, дозата на амбрисентан трябва да бъде ограничена до 5 </w:t>
      </w:r>
      <w:r w:rsidRPr="00A5246D">
        <w:rPr>
          <w:rFonts w:eastAsia="Times New Roman" w:cs="Arial"/>
          <w:color w:val="000000"/>
          <w:lang w:val="en-US"/>
        </w:rPr>
        <w:t>mg</w:t>
      </w:r>
      <w:r w:rsidRPr="00A5246D">
        <w:rPr>
          <w:rFonts w:eastAsia="Times New Roman" w:cs="Arial"/>
          <w:color w:val="000000"/>
          <w:lang w:val="ru-RU"/>
        </w:rPr>
        <w:t xml:space="preserve"> </w:t>
      </w:r>
      <w:r w:rsidRPr="00A5246D">
        <w:rPr>
          <w:rFonts w:eastAsia="Times New Roman" w:cs="Arial"/>
          <w:color w:val="000000"/>
          <w:lang w:eastAsia="bg-BG"/>
        </w:rPr>
        <w:t>веднъж дневно (вж. точка 4.2). Въпреки това, многократното прилагане на амбрисентан няма клинично значим ефект върху експозицията на циклоспорин А, и не се налага корекция на дозата на циклоспорин А.</w:t>
      </w:r>
    </w:p>
    <w:p w14:paraId="1B4B76F9" w14:textId="77777777" w:rsidR="00A5246D" w:rsidRPr="00A5246D" w:rsidRDefault="00A5246D" w:rsidP="00A5246D">
      <w:pPr>
        <w:rPr>
          <w:rFonts w:eastAsia="Times New Roman" w:cs="Arial"/>
          <w:color w:val="000000"/>
          <w:lang w:eastAsia="bg-BG"/>
        </w:rPr>
      </w:pPr>
    </w:p>
    <w:p w14:paraId="78324B49" w14:textId="1E862523" w:rsidR="00A5246D" w:rsidRPr="00A5246D" w:rsidRDefault="00A5246D" w:rsidP="00A5246D">
      <w:pPr>
        <w:rPr>
          <w:rFonts w:eastAsia="Times New Roman" w:cs="Arial"/>
          <w:sz w:val="24"/>
          <w:szCs w:val="24"/>
        </w:rPr>
      </w:pPr>
      <w:r w:rsidRPr="00A5246D">
        <w:rPr>
          <w:rFonts w:eastAsia="Times New Roman" w:cs="Arial"/>
          <w:color w:val="000000"/>
          <w:lang w:eastAsia="bg-BG"/>
        </w:rPr>
        <w:t xml:space="preserve">При здрави доброволци са били проучени ефектите при интензивно и многократно прилагане на рифампицин (600 </w:t>
      </w:r>
      <w:r w:rsidRPr="00A5246D">
        <w:rPr>
          <w:rFonts w:eastAsia="Times New Roman" w:cs="Arial"/>
          <w:color w:val="000000"/>
          <w:lang w:val="en-US"/>
        </w:rPr>
        <w:t>mg</w:t>
      </w:r>
      <w:r w:rsidRPr="00A5246D">
        <w:rPr>
          <w:rFonts w:eastAsia="Times New Roman" w:cs="Arial"/>
          <w:color w:val="000000"/>
          <w:lang w:val="ru-RU"/>
        </w:rPr>
        <w:t xml:space="preserve"> </w:t>
      </w:r>
      <w:r w:rsidRPr="00A5246D">
        <w:rPr>
          <w:rFonts w:eastAsia="Times New Roman" w:cs="Arial"/>
          <w:color w:val="000000"/>
          <w:lang w:eastAsia="bg-BG"/>
        </w:rPr>
        <w:t xml:space="preserve">веднъж дневно) върху фармакокинетиката в стационарно състояние на амбрисентан (10 </w:t>
      </w:r>
      <w:r w:rsidRPr="00A5246D">
        <w:rPr>
          <w:rFonts w:eastAsia="Times New Roman" w:cs="Arial"/>
          <w:color w:val="000000"/>
          <w:lang w:val="en-US"/>
        </w:rPr>
        <w:t>mg</w:t>
      </w:r>
      <w:r w:rsidRPr="00A5246D">
        <w:rPr>
          <w:rFonts w:eastAsia="Times New Roman" w:cs="Arial"/>
          <w:color w:val="000000"/>
          <w:lang w:val="ru-RU"/>
        </w:rPr>
        <w:t xml:space="preserve"> </w:t>
      </w:r>
      <w:r w:rsidRPr="00A5246D">
        <w:rPr>
          <w:rFonts w:eastAsia="Times New Roman" w:cs="Arial"/>
          <w:color w:val="000000"/>
          <w:lang w:eastAsia="bg-BG"/>
        </w:rPr>
        <w:t xml:space="preserve">веднъж дневно). След първоначалните дози рифампицин се наблюдава преходно повишаване на </w:t>
      </w:r>
      <w:r w:rsidRPr="00A5246D">
        <w:rPr>
          <w:rFonts w:eastAsia="Times New Roman" w:cs="Arial"/>
          <w:color w:val="000000"/>
          <w:lang w:val="en-US"/>
        </w:rPr>
        <w:t>AUC</w:t>
      </w:r>
      <w:r w:rsidRPr="00A5246D">
        <w:rPr>
          <w:rFonts w:eastAsia="Times New Roman" w:cs="Arial"/>
          <w:color w:val="000000"/>
          <w:vertAlign w:val="subscript"/>
          <w:lang w:val="ru-RU"/>
        </w:rPr>
        <w:t>(0-</w:t>
      </w:r>
      <w:r w:rsidRPr="00A5246D">
        <w:rPr>
          <w:rFonts w:eastAsia="Times New Roman" w:cs="Arial"/>
          <w:color w:val="000000"/>
          <w:vertAlign w:val="subscript"/>
          <w:lang w:val="en-US"/>
        </w:rPr>
        <w:t>t</w:t>
      </w:r>
      <w:r w:rsidRPr="00A5246D">
        <w:rPr>
          <w:rFonts w:eastAsia="Times New Roman" w:cs="Arial"/>
          <w:color w:val="000000"/>
          <w:vertAlign w:val="subscript"/>
          <w:lang w:val="ru-RU"/>
        </w:rPr>
        <w:t>)</w:t>
      </w:r>
      <w:r w:rsidRPr="00A5246D">
        <w:rPr>
          <w:rFonts w:eastAsia="Times New Roman" w:cs="Arial"/>
          <w:color w:val="000000"/>
          <w:lang w:val="ru-RU"/>
        </w:rPr>
        <w:t xml:space="preserve"> </w:t>
      </w:r>
      <w:r w:rsidRPr="00A5246D">
        <w:rPr>
          <w:rFonts w:eastAsia="Times New Roman" w:cs="Arial"/>
          <w:color w:val="000000"/>
          <w:lang w:eastAsia="bg-BG"/>
        </w:rPr>
        <w:t xml:space="preserve">на амбрисентан (121 % и 116 %, съответно след първата и втората доза рифампицин), вероятно дължащо се на рифампицин-медиираното ОАТР инхибиране. Въпреки това е нямало клинично значим </w:t>
      </w:r>
      <w:r w:rsidRPr="00A5246D">
        <w:rPr>
          <w:rFonts w:eastAsia="Times New Roman" w:cs="Arial"/>
          <w:color w:val="000000"/>
          <w:lang w:eastAsia="bg-BG"/>
        </w:rPr>
        <w:lastRenderedPageBreak/>
        <w:t>ефект върху експозицията на амбрисентан до ден 8, след прилагане на многократни дози рифампицин. Пациенти, лекувани, с амбрисентан е трябвало внимателно да бъдат наблюдавани при започване на лечение с рифампицин (вж. точки 4.4 и 4.5).</w:t>
      </w:r>
    </w:p>
    <w:p w14:paraId="1B6CCE7C" w14:textId="77777777" w:rsidR="00A5246D" w:rsidRPr="00A5246D" w:rsidRDefault="00A5246D" w:rsidP="00A5246D">
      <w:pPr>
        <w:spacing w:line="240" w:lineRule="auto"/>
        <w:rPr>
          <w:rFonts w:eastAsia="Times New Roman" w:cs="Arial"/>
          <w:color w:val="000000"/>
          <w:lang w:eastAsia="bg-BG"/>
        </w:rPr>
      </w:pPr>
    </w:p>
    <w:p w14:paraId="3C7F2396" w14:textId="391FFE55"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 xml:space="preserve">Ефектите на многократно прилагане на амбрисентан (10 </w:t>
      </w:r>
      <w:r w:rsidRPr="00A5246D">
        <w:rPr>
          <w:rFonts w:eastAsia="Times New Roman" w:cs="Arial"/>
          <w:color w:val="000000"/>
          <w:lang w:val="en-US"/>
        </w:rPr>
        <w:t>mg</w:t>
      </w:r>
      <w:r w:rsidRPr="00A5246D">
        <w:rPr>
          <w:rFonts w:eastAsia="Times New Roman" w:cs="Arial"/>
          <w:color w:val="000000"/>
          <w:lang w:val="ru-RU"/>
        </w:rPr>
        <w:t xml:space="preserve">) </w:t>
      </w:r>
      <w:r w:rsidRPr="00A5246D">
        <w:rPr>
          <w:rFonts w:eastAsia="Times New Roman" w:cs="Arial"/>
          <w:color w:val="000000"/>
          <w:lang w:eastAsia="bg-BG"/>
        </w:rPr>
        <w:t xml:space="preserve">върху фармакокинетиката на еднократна доза дигоксин са били проучени при 15 здрави доброволци. Многократното прилагане на амбрисентан е довело до слабо увеличаване на </w:t>
      </w:r>
      <w:r w:rsidRPr="00A5246D">
        <w:rPr>
          <w:rFonts w:eastAsia="Times New Roman" w:cs="Arial"/>
          <w:color w:val="000000"/>
          <w:lang w:val="en-US"/>
        </w:rPr>
        <w:t>AUC</w:t>
      </w:r>
      <w:r w:rsidRPr="00A5246D">
        <w:rPr>
          <w:rFonts w:eastAsia="Times New Roman" w:cs="Arial"/>
          <w:color w:val="000000"/>
          <w:vertAlign w:val="subscript"/>
          <w:lang w:val="ru-RU"/>
        </w:rPr>
        <w:t>0-</w:t>
      </w:r>
      <w:r w:rsidRPr="00A5246D">
        <w:rPr>
          <w:rFonts w:eastAsia="Times New Roman" w:cs="Arial"/>
          <w:color w:val="000000"/>
          <w:vertAlign w:val="subscript"/>
          <w:lang w:val="en-US"/>
        </w:rPr>
        <w:t>last</w:t>
      </w:r>
      <w:r w:rsidRPr="00A5246D">
        <w:rPr>
          <w:rFonts w:eastAsia="Times New Roman" w:cs="Arial"/>
          <w:color w:val="000000"/>
          <w:lang w:val="ru-RU"/>
        </w:rPr>
        <w:t xml:space="preserve"> </w:t>
      </w:r>
      <w:r w:rsidRPr="00A5246D">
        <w:rPr>
          <w:rFonts w:eastAsia="Times New Roman" w:cs="Arial"/>
          <w:color w:val="000000"/>
          <w:lang w:eastAsia="bg-BG"/>
        </w:rPr>
        <w:t>и на най-ниската концентрация на дигоксин и до повишаване на С</w:t>
      </w:r>
      <w:r w:rsidRPr="00A5246D">
        <w:rPr>
          <w:rFonts w:eastAsia="Times New Roman" w:cs="Arial"/>
          <w:color w:val="000000"/>
          <w:vertAlign w:val="subscript"/>
          <w:lang w:val="en-US"/>
        </w:rPr>
        <w:t>max</w:t>
      </w:r>
      <w:r w:rsidRPr="00A5246D">
        <w:rPr>
          <w:rFonts w:eastAsia="Times New Roman" w:cs="Arial"/>
          <w:color w:val="000000"/>
          <w:lang w:eastAsia="bg-BG"/>
        </w:rPr>
        <w:t xml:space="preserve"> на дигоксин с 29 %. Наблюдаваното увеличаване на експозицията на дигоксин в присъствието на многократни дози амбрисентан не е счетено за клинично значимо и не се е изисквало коригиране на дозата на дигоксин (вж. точка 4.5).</w:t>
      </w:r>
    </w:p>
    <w:p w14:paraId="2A471A1E" w14:textId="77777777" w:rsidR="00A5246D" w:rsidRPr="00A5246D" w:rsidRDefault="00A5246D" w:rsidP="00A5246D">
      <w:pPr>
        <w:spacing w:line="240" w:lineRule="auto"/>
        <w:rPr>
          <w:rFonts w:eastAsia="Times New Roman" w:cs="Arial"/>
          <w:color w:val="000000"/>
          <w:lang w:eastAsia="bg-BG"/>
        </w:rPr>
      </w:pPr>
    </w:p>
    <w:p w14:paraId="48DBC07C" w14:textId="383A2917"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 xml:space="preserve">Ефектите на 12 дневно дозиране на амбрисентан (10 </w:t>
      </w:r>
      <w:r w:rsidRPr="00A5246D">
        <w:rPr>
          <w:rFonts w:eastAsia="Times New Roman" w:cs="Arial"/>
          <w:color w:val="000000"/>
          <w:lang w:val="en-US"/>
        </w:rPr>
        <w:t>mg</w:t>
      </w:r>
      <w:r w:rsidRPr="00A5246D">
        <w:rPr>
          <w:rFonts w:eastAsia="Times New Roman" w:cs="Arial"/>
          <w:color w:val="000000"/>
          <w:lang w:val="ru-RU"/>
        </w:rPr>
        <w:t xml:space="preserve"> </w:t>
      </w:r>
      <w:r w:rsidRPr="00A5246D">
        <w:rPr>
          <w:rFonts w:eastAsia="Times New Roman" w:cs="Arial"/>
          <w:color w:val="000000"/>
          <w:lang w:eastAsia="bg-BG"/>
        </w:rPr>
        <w:t>веднъж дневно) върху фармакокинетиката на еднократна доза перорален контрацептив, съдържащ етинилестрадиол (35 μ</w:t>
      </w:r>
      <w:r w:rsidRPr="00A5246D">
        <w:rPr>
          <w:rFonts w:eastAsia="Times New Roman" w:cs="Arial"/>
          <w:color w:val="000000"/>
          <w:lang w:val="en-US"/>
        </w:rPr>
        <w:t>g</w:t>
      </w:r>
      <w:r w:rsidRPr="00A5246D">
        <w:rPr>
          <w:rFonts w:eastAsia="Times New Roman" w:cs="Arial"/>
          <w:color w:val="000000"/>
          <w:lang w:val="ru-RU"/>
        </w:rPr>
        <w:t xml:space="preserve">) </w:t>
      </w:r>
      <w:r w:rsidRPr="00A5246D">
        <w:rPr>
          <w:rFonts w:eastAsia="Times New Roman" w:cs="Arial"/>
          <w:color w:val="000000"/>
          <w:lang w:eastAsia="bg-BG"/>
        </w:rPr>
        <w:t xml:space="preserve">и норетиндрон (1 </w:t>
      </w:r>
      <w:r w:rsidRPr="00A5246D">
        <w:rPr>
          <w:rFonts w:eastAsia="Times New Roman" w:cs="Arial"/>
          <w:color w:val="000000"/>
          <w:lang w:val="en-US"/>
        </w:rPr>
        <w:t>mg</w:t>
      </w:r>
      <w:r w:rsidRPr="00A5246D">
        <w:rPr>
          <w:rFonts w:eastAsia="Times New Roman" w:cs="Arial"/>
          <w:color w:val="000000"/>
          <w:lang w:val="ru-RU"/>
        </w:rPr>
        <w:t xml:space="preserve">) </w:t>
      </w:r>
      <w:r w:rsidRPr="00A5246D">
        <w:rPr>
          <w:rFonts w:eastAsia="Times New Roman" w:cs="Arial"/>
          <w:color w:val="000000"/>
          <w:lang w:eastAsia="bg-BG"/>
        </w:rPr>
        <w:t>са били проучени при здрави доброволци от женски пол. С</w:t>
      </w:r>
      <w:r w:rsidRPr="00A5246D">
        <w:rPr>
          <w:rFonts w:eastAsia="Times New Roman" w:cs="Arial"/>
          <w:color w:val="000000"/>
          <w:vertAlign w:val="subscript"/>
          <w:lang w:val="en-US"/>
        </w:rPr>
        <w:t>max</w:t>
      </w:r>
      <w:r w:rsidRPr="00A5246D">
        <w:rPr>
          <w:rFonts w:eastAsia="Times New Roman" w:cs="Arial"/>
          <w:color w:val="000000"/>
          <w:lang w:eastAsia="bg-BG"/>
        </w:rPr>
        <w:t xml:space="preserve"> и </w:t>
      </w:r>
      <w:r w:rsidRPr="00A5246D">
        <w:rPr>
          <w:rFonts w:eastAsia="Times New Roman" w:cs="Arial"/>
          <w:color w:val="000000"/>
          <w:lang w:val="en-US"/>
        </w:rPr>
        <w:t>AUC</w:t>
      </w:r>
      <w:r w:rsidRPr="00A5246D">
        <w:rPr>
          <w:rFonts w:eastAsia="Times New Roman" w:cs="Arial"/>
          <w:color w:val="000000"/>
          <w:vertAlign w:val="subscript"/>
          <w:lang w:val="ru-RU"/>
        </w:rPr>
        <w:t>(0-∞)</w:t>
      </w:r>
      <w:r w:rsidRPr="00A5246D">
        <w:rPr>
          <w:rFonts w:eastAsia="Times New Roman" w:cs="Arial"/>
          <w:color w:val="000000"/>
          <w:lang w:val="ru-RU"/>
        </w:rPr>
        <w:t xml:space="preserve"> </w:t>
      </w:r>
      <w:r w:rsidRPr="00A5246D">
        <w:rPr>
          <w:rFonts w:eastAsia="Times New Roman" w:cs="Arial"/>
          <w:color w:val="000000"/>
          <w:lang w:eastAsia="bg-BG"/>
        </w:rPr>
        <w:t>се понижават слабо при етинилестрадиол (8% и съответно 4%) и се повишават слабо при норетиндрон (13% и съответно 14%). Тези промени в експозицията на етинилестрадиол или норетиндрон са малки и е малко вероятно да бъдат клинично значими (вж. точка 4.5).</w:t>
      </w:r>
    </w:p>
    <w:p w14:paraId="18A2B0CF" w14:textId="77777777" w:rsidR="00A5246D" w:rsidRPr="00A5246D" w:rsidRDefault="00A5246D" w:rsidP="00A5246D">
      <w:pPr>
        <w:spacing w:line="240" w:lineRule="auto"/>
        <w:rPr>
          <w:rFonts w:eastAsia="Times New Roman" w:cs="Arial"/>
          <w:color w:val="000000"/>
          <w:u w:val="single"/>
          <w:lang w:eastAsia="bg-BG"/>
        </w:rPr>
      </w:pPr>
    </w:p>
    <w:p w14:paraId="317423F3" w14:textId="04C1C4AC" w:rsidR="00A5246D" w:rsidRPr="00A5246D" w:rsidRDefault="00A5246D" w:rsidP="00A5246D">
      <w:pPr>
        <w:pStyle w:val="Heading3"/>
        <w:rPr>
          <w:rFonts w:eastAsia="Times New Roman"/>
          <w:u w:val="single"/>
        </w:rPr>
      </w:pPr>
      <w:r w:rsidRPr="00A5246D">
        <w:rPr>
          <w:rFonts w:eastAsia="Times New Roman"/>
          <w:u w:val="single"/>
          <w:lang w:eastAsia="bg-BG"/>
        </w:rPr>
        <w:t>Елиминиране</w:t>
      </w:r>
    </w:p>
    <w:p w14:paraId="57E241C0" w14:textId="4F93DF05" w:rsidR="00A5246D" w:rsidRPr="00A5246D" w:rsidRDefault="00A5246D" w:rsidP="00A5246D">
      <w:pPr>
        <w:rPr>
          <w:rFonts w:cs="Arial"/>
        </w:rPr>
      </w:pPr>
      <w:r w:rsidRPr="00A5246D">
        <w:rPr>
          <w:rFonts w:eastAsia="Times New Roman" w:cs="Arial"/>
          <w:color w:val="000000"/>
          <w:lang w:eastAsia="bg-BG"/>
        </w:rPr>
        <w:t>Амбрисентан и неговите метаболити се елиминират предимно с жлъчката след чернодробен</w:t>
      </w:r>
    </w:p>
    <w:p w14:paraId="1AE4EB91" w14:textId="3465C320" w:rsidR="00A5246D" w:rsidRPr="00A5246D" w:rsidRDefault="00A5246D" w:rsidP="00A5246D">
      <w:pPr>
        <w:rPr>
          <w:rFonts w:cs="Arial"/>
        </w:rPr>
      </w:pPr>
      <w:r w:rsidRPr="00A5246D">
        <w:rPr>
          <w:rFonts w:cs="Arial"/>
        </w:rPr>
        <w:t>и/или екстрахепатален метаболизъм. След перорално прилагане около 22% от приетата доза се възстановява в урината, като 3,3% е непроменен амбрисентан. Плазменият елиминационенполуживот при хора варира от 13,6 до 16,5 часа.</w:t>
      </w:r>
    </w:p>
    <w:p w14:paraId="3EFB78DE" w14:textId="5058B91C" w:rsidR="00A5246D" w:rsidRPr="00A5246D" w:rsidRDefault="00A5246D" w:rsidP="00A5246D">
      <w:pPr>
        <w:rPr>
          <w:rFonts w:cs="Arial"/>
        </w:rPr>
      </w:pPr>
    </w:p>
    <w:p w14:paraId="7D0E1827"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u w:val="single"/>
          <w:lang w:eastAsia="bg-BG"/>
        </w:rPr>
        <w:t>Специални популации</w:t>
      </w:r>
    </w:p>
    <w:p w14:paraId="20C17ED7"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Основавайки се на резултатите от популационен фармакокинетичен анализ при здрави доброволци и пациенти с БАХ фармакокинетиката на амбрисентан не се повлиява значително от пола или възрастта (вж. точка 4.2).</w:t>
      </w:r>
    </w:p>
    <w:p w14:paraId="20D0F04A" w14:textId="77777777" w:rsidR="00A5246D" w:rsidRPr="00A5246D" w:rsidRDefault="00A5246D" w:rsidP="00A5246D">
      <w:pPr>
        <w:spacing w:line="240" w:lineRule="auto"/>
        <w:rPr>
          <w:rFonts w:eastAsia="Times New Roman" w:cs="Arial"/>
          <w:i/>
          <w:iCs/>
          <w:color w:val="000000"/>
          <w:lang w:eastAsia="bg-BG"/>
        </w:rPr>
      </w:pPr>
    </w:p>
    <w:p w14:paraId="3A2BBC85" w14:textId="6F4E1037" w:rsidR="00A5246D" w:rsidRPr="00A5246D" w:rsidRDefault="00A5246D" w:rsidP="00A5246D">
      <w:pPr>
        <w:spacing w:line="240" w:lineRule="auto"/>
        <w:rPr>
          <w:rFonts w:eastAsia="Times New Roman" w:cs="Arial"/>
          <w:sz w:val="24"/>
          <w:szCs w:val="24"/>
        </w:rPr>
      </w:pPr>
      <w:r w:rsidRPr="00A5246D">
        <w:rPr>
          <w:rFonts w:eastAsia="Times New Roman" w:cs="Arial"/>
          <w:i/>
          <w:iCs/>
          <w:color w:val="000000"/>
          <w:lang w:eastAsia="bg-BG"/>
        </w:rPr>
        <w:t>Бъбречно увреждане</w:t>
      </w:r>
    </w:p>
    <w:p w14:paraId="3AEC1FEB"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Амбрисентан не претърпява значителен бъбречен метаболизъм или бъбречен клирънс (екскреция). В популационен фармакокинетичен анализ е било установено, че креатининовият клирънс е статистически значима коварианта, като оказва влияние върху клирънса след перорално приложение на амбрисентан. Степента на намаляване на клирънса след перорално приложение е умерена (20-40%) при пациенти с умерено бъбречно увреждане и затова е малко вероятно да има някакво клинично значение. Все пак, трябва да се обръща повишено внимание при пациенти с тежко бъбречно увреждане (вж. точка 4.2).</w:t>
      </w:r>
    </w:p>
    <w:p w14:paraId="11C35868" w14:textId="77777777" w:rsidR="00A5246D" w:rsidRPr="00A5246D" w:rsidRDefault="00A5246D" w:rsidP="00A5246D">
      <w:pPr>
        <w:spacing w:line="240" w:lineRule="auto"/>
        <w:rPr>
          <w:rFonts w:eastAsia="Times New Roman" w:cs="Arial"/>
          <w:i/>
          <w:iCs/>
          <w:color w:val="000000"/>
          <w:lang w:eastAsia="bg-BG"/>
        </w:rPr>
      </w:pPr>
    </w:p>
    <w:p w14:paraId="0F915FE7" w14:textId="0A9F065A" w:rsidR="00A5246D" w:rsidRPr="00A5246D" w:rsidRDefault="00A5246D" w:rsidP="00A5246D">
      <w:pPr>
        <w:spacing w:line="240" w:lineRule="auto"/>
        <w:rPr>
          <w:rFonts w:eastAsia="Times New Roman" w:cs="Arial"/>
          <w:sz w:val="24"/>
          <w:szCs w:val="24"/>
        </w:rPr>
      </w:pPr>
      <w:r w:rsidRPr="00A5246D">
        <w:rPr>
          <w:rFonts w:eastAsia="Times New Roman" w:cs="Arial"/>
          <w:i/>
          <w:iCs/>
          <w:color w:val="000000"/>
          <w:lang w:eastAsia="bg-BG"/>
        </w:rPr>
        <w:t>Чернодробно увреждане</w:t>
      </w:r>
    </w:p>
    <w:p w14:paraId="5718D91D"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Основните пътища на метаболизъм на амбрисентан са глюкурониране и окисление с последващо елиминиране с жлъчката и затова може да се очаква чернодробното увреждане да увеличи експозицията (С</w:t>
      </w:r>
      <w:r w:rsidRPr="00A5246D">
        <w:rPr>
          <w:rFonts w:eastAsia="Times New Roman" w:cs="Arial"/>
          <w:color w:val="000000"/>
          <w:vertAlign w:val="subscript"/>
          <w:lang w:val="en-US"/>
        </w:rPr>
        <w:t>max</w:t>
      </w:r>
      <w:r w:rsidRPr="00A5246D">
        <w:rPr>
          <w:rFonts w:eastAsia="Times New Roman" w:cs="Arial"/>
          <w:color w:val="000000"/>
          <w:lang w:eastAsia="bg-BG"/>
        </w:rPr>
        <w:t xml:space="preserve"> и </w:t>
      </w:r>
      <w:r w:rsidRPr="00A5246D">
        <w:rPr>
          <w:rFonts w:eastAsia="Times New Roman" w:cs="Arial"/>
          <w:color w:val="000000"/>
          <w:lang w:val="en-US"/>
        </w:rPr>
        <w:t>AUC</w:t>
      </w:r>
      <w:r w:rsidRPr="00A5246D">
        <w:rPr>
          <w:rFonts w:eastAsia="Times New Roman" w:cs="Arial"/>
          <w:color w:val="000000"/>
          <w:lang w:val="ru-RU"/>
        </w:rPr>
        <w:t xml:space="preserve">) </w:t>
      </w:r>
      <w:r w:rsidRPr="00A5246D">
        <w:rPr>
          <w:rFonts w:eastAsia="Times New Roman" w:cs="Arial"/>
          <w:color w:val="000000"/>
          <w:lang w:eastAsia="bg-BG"/>
        </w:rPr>
        <w:t xml:space="preserve">на амбрисентан. В популационен фармакокинетичен анализ клирънсът след перорално приложение намалява в зависимост от нарастващите нива на билирубина. Все пак степента на ефекта на билирубина е умерена (в сравнение с типичен пациент с билирубин 0,6 </w:t>
      </w:r>
      <w:r w:rsidRPr="00A5246D">
        <w:rPr>
          <w:rFonts w:eastAsia="Times New Roman" w:cs="Arial"/>
          <w:color w:val="000000"/>
          <w:lang w:val="en-US"/>
        </w:rPr>
        <w:t>mg</w:t>
      </w:r>
      <w:r w:rsidRPr="00A5246D">
        <w:rPr>
          <w:rFonts w:eastAsia="Times New Roman" w:cs="Arial"/>
          <w:color w:val="000000"/>
          <w:lang w:val="ru-RU"/>
        </w:rPr>
        <w:t>/</w:t>
      </w:r>
      <w:r w:rsidRPr="00A5246D">
        <w:rPr>
          <w:rFonts w:eastAsia="Times New Roman" w:cs="Arial"/>
          <w:color w:val="000000"/>
          <w:lang w:val="en-US"/>
        </w:rPr>
        <w:t>dl</w:t>
      </w:r>
      <w:r w:rsidRPr="00A5246D">
        <w:rPr>
          <w:rFonts w:eastAsia="Times New Roman" w:cs="Arial"/>
          <w:color w:val="000000"/>
          <w:lang w:val="ru-RU"/>
        </w:rPr>
        <w:t xml:space="preserve">, </w:t>
      </w:r>
      <w:r w:rsidRPr="00A5246D">
        <w:rPr>
          <w:rFonts w:eastAsia="Times New Roman" w:cs="Arial"/>
          <w:color w:val="000000"/>
          <w:lang w:eastAsia="bg-BG"/>
        </w:rPr>
        <w:t xml:space="preserve">пациент с повишен билирубин 4,5 </w:t>
      </w:r>
      <w:r w:rsidRPr="00A5246D">
        <w:rPr>
          <w:rFonts w:eastAsia="Times New Roman" w:cs="Arial"/>
          <w:color w:val="000000"/>
          <w:lang w:val="en-US"/>
        </w:rPr>
        <w:t>mg</w:t>
      </w:r>
      <w:r w:rsidRPr="00A5246D">
        <w:rPr>
          <w:rFonts w:eastAsia="Times New Roman" w:cs="Arial"/>
          <w:color w:val="000000"/>
          <w:lang w:val="ru-RU"/>
        </w:rPr>
        <w:t>/</w:t>
      </w:r>
      <w:r w:rsidRPr="00A5246D">
        <w:rPr>
          <w:rFonts w:eastAsia="Times New Roman" w:cs="Arial"/>
          <w:color w:val="000000"/>
          <w:lang w:val="en-US"/>
        </w:rPr>
        <w:t>dl</w:t>
      </w:r>
      <w:r w:rsidRPr="00A5246D">
        <w:rPr>
          <w:rFonts w:eastAsia="Times New Roman" w:cs="Arial"/>
          <w:color w:val="000000"/>
          <w:lang w:val="ru-RU"/>
        </w:rPr>
        <w:t xml:space="preserve"> </w:t>
      </w:r>
      <w:r w:rsidRPr="00A5246D">
        <w:rPr>
          <w:rFonts w:eastAsia="Times New Roman" w:cs="Arial"/>
          <w:color w:val="000000"/>
          <w:lang w:eastAsia="bg-BG"/>
        </w:rPr>
        <w:t xml:space="preserve">би имал приблизително 30% по-нисък клирънс след </w:t>
      </w:r>
      <w:r w:rsidRPr="00A5246D">
        <w:rPr>
          <w:rFonts w:eastAsia="Times New Roman" w:cs="Arial"/>
          <w:color w:val="000000"/>
          <w:lang w:eastAsia="bg-BG"/>
        </w:rPr>
        <w:lastRenderedPageBreak/>
        <w:t xml:space="preserve">перорално приложение на амбрисентан). Фармакокинетиката на амбрисентан при пациенти с чернодробно увреждане (със или без цироза) не е проучена. По тази причина не трябва да се започва лечение с амбрисентан при пациенти с тежко чернодробно увреждане или с клинично значимо повишаване на чернодробните аминотрансферази (&gt; </w:t>
      </w:r>
      <w:r w:rsidRPr="00A5246D">
        <w:rPr>
          <w:rFonts w:eastAsia="Times New Roman" w:cs="Arial"/>
          <w:color w:val="000000"/>
          <w:lang w:val="ru-RU"/>
        </w:rPr>
        <w:t>3</w:t>
      </w:r>
      <w:proofErr w:type="spellStart"/>
      <w:r w:rsidRPr="00A5246D">
        <w:rPr>
          <w:rFonts w:eastAsia="Times New Roman" w:cs="Arial"/>
          <w:color w:val="000000"/>
          <w:lang w:val="en-US"/>
        </w:rPr>
        <w:t>xULN</w:t>
      </w:r>
      <w:proofErr w:type="spellEnd"/>
      <w:r w:rsidRPr="00A5246D">
        <w:rPr>
          <w:rFonts w:eastAsia="Times New Roman" w:cs="Arial"/>
          <w:color w:val="000000"/>
          <w:lang w:val="ru-RU"/>
        </w:rPr>
        <w:t xml:space="preserve">) </w:t>
      </w:r>
      <w:r w:rsidRPr="00A5246D">
        <w:rPr>
          <w:rFonts w:eastAsia="Times New Roman" w:cs="Arial"/>
          <w:color w:val="000000"/>
          <w:lang w:eastAsia="bg-BG"/>
        </w:rPr>
        <w:t>(вж. точки 4.3 и 4.4).</w:t>
      </w:r>
    </w:p>
    <w:p w14:paraId="0985876D" w14:textId="2C53945B" w:rsidR="00A5246D" w:rsidRPr="00A5246D" w:rsidRDefault="00A5246D" w:rsidP="00A5246D"/>
    <w:p w14:paraId="648E39DA" w14:textId="00E052DA" w:rsidR="00CF77F7" w:rsidRDefault="002C50EE" w:rsidP="004A448E">
      <w:pPr>
        <w:pStyle w:val="Heading2"/>
      </w:pPr>
      <w:r>
        <w:t>5.3. Предклинични данни за безопасност</w:t>
      </w:r>
    </w:p>
    <w:p w14:paraId="38D71D48" w14:textId="1D6F204E" w:rsidR="00A5246D" w:rsidRDefault="00A5246D" w:rsidP="00A5246D"/>
    <w:p w14:paraId="6476C696"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Поради първичния фармакологичен ефект на класа лекарства, висока еднократна доза амбрисентан (напр. свръхдоза) може да понижи артериалното налягане и притежава потенциал да предизвика хипотония и симптоми, свързани с вазодилатация.</w:t>
      </w:r>
    </w:p>
    <w:p w14:paraId="3BAD6579"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Амбрисентан не притежава доказана инхибиторна активност върху транспорта на жлъчните киселини или изразена хепатотоксичност. След продължително прилагане на амбрисентан при гризачи при експозиции под терапевтичните нива при хора се били наблюдавани възпаление и промени в епителя на назалната кухина. След продължително прилагане на високи дози амбрисентан при кучета, при експозиции над 20 пъти по-високи от наблюдаваните при пациентите, е наблюдаван слаб възпалителен отговор.</w:t>
      </w:r>
    </w:p>
    <w:p w14:paraId="74D09AFC" w14:textId="77777777" w:rsidR="00A5246D" w:rsidRPr="00A5246D" w:rsidRDefault="00A5246D" w:rsidP="00A5246D">
      <w:pPr>
        <w:spacing w:line="240" w:lineRule="auto"/>
        <w:rPr>
          <w:rFonts w:eastAsia="Times New Roman" w:cs="Arial"/>
          <w:color w:val="000000"/>
          <w:lang w:eastAsia="bg-BG"/>
        </w:rPr>
      </w:pPr>
    </w:p>
    <w:p w14:paraId="061AABE7" w14:textId="27975CD2"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 xml:space="preserve">В назалната кухина на плъхове, третирани с амбрисентан при нива на експозиция З-пъти по- високи от клиничната </w:t>
      </w:r>
      <w:r w:rsidRPr="00A5246D">
        <w:rPr>
          <w:rFonts w:eastAsia="Times New Roman" w:cs="Arial"/>
          <w:color w:val="000000"/>
          <w:lang w:val="en-US"/>
        </w:rPr>
        <w:t>AUC</w:t>
      </w:r>
      <w:r w:rsidRPr="00A5246D">
        <w:rPr>
          <w:rFonts w:eastAsia="Times New Roman" w:cs="Arial"/>
          <w:color w:val="000000"/>
          <w:lang w:val="ru-RU"/>
        </w:rPr>
        <w:t xml:space="preserve">, </w:t>
      </w:r>
      <w:r w:rsidRPr="00A5246D">
        <w:rPr>
          <w:rFonts w:eastAsia="Times New Roman" w:cs="Arial"/>
          <w:color w:val="000000"/>
          <w:lang w:eastAsia="bg-BG"/>
        </w:rPr>
        <w:t>е била наблюдавана хиперплазия на назалните кости на етмоидната спирална кост. Хиперплазия на назалните кости не се е наблюдавала при прилагане на амбрисентан при мишки и кучета. При плъхове хиперплазията на назалната спирална кост е бил познат отговор при назално възпаление - на базата на опита с други химични съединения.</w:t>
      </w:r>
    </w:p>
    <w:p w14:paraId="22B73324" w14:textId="77777777" w:rsidR="00A5246D" w:rsidRPr="00A5246D" w:rsidRDefault="00A5246D" w:rsidP="00A5246D">
      <w:pPr>
        <w:spacing w:line="240" w:lineRule="auto"/>
        <w:rPr>
          <w:rFonts w:eastAsia="Times New Roman" w:cs="Arial"/>
          <w:color w:val="000000"/>
          <w:lang w:eastAsia="bg-BG"/>
        </w:rPr>
      </w:pPr>
    </w:p>
    <w:p w14:paraId="48416155" w14:textId="01D6A651"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 xml:space="preserve">Амбрисентан е кластогенен при изпитвания </w:t>
      </w:r>
      <w:r w:rsidRPr="00A5246D">
        <w:rPr>
          <w:rFonts w:eastAsia="Times New Roman" w:cs="Arial"/>
          <w:i/>
          <w:iCs/>
          <w:color w:val="000000"/>
          <w:lang w:val="en-US"/>
        </w:rPr>
        <w:t>in</w:t>
      </w:r>
      <w:r w:rsidRPr="00A5246D">
        <w:rPr>
          <w:rFonts w:eastAsia="Times New Roman" w:cs="Arial"/>
          <w:i/>
          <w:iCs/>
          <w:color w:val="000000"/>
          <w:lang w:val="ru-RU"/>
        </w:rPr>
        <w:t xml:space="preserve"> </w:t>
      </w:r>
      <w:r w:rsidRPr="00A5246D">
        <w:rPr>
          <w:rFonts w:eastAsia="Times New Roman" w:cs="Arial"/>
          <w:i/>
          <w:iCs/>
          <w:color w:val="000000"/>
          <w:lang w:val="en-US"/>
        </w:rPr>
        <w:t>vitro</w:t>
      </w:r>
      <w:r w:rsidRPr="00A5246D">
        <w:rPr>
          <w:rFonts w:eastAsia="Times New Roman" w:cs="Arial"/>
          <w:color w:val="000000"/>
          <w:lang w:val="ru-RU"/>
        </w:rPr>
        <w:t xml:space="preserve"> </w:t>
      </w:r>
      <w:r w:rsidRPr="00A5246D">
        <w:rPr>
          <w:rFonts w:eastAsia="Times New Roman" w:cs="Arial"/>
          <w:color w:val="000000"/>
          <w:lang w:eastAsia="bg-BG"/>
        </w:rPr>
        <w:t xml:space="preserve">във високи концентрации върху клетки на бозайници. Няма доказателства за мутагенни или генотоксични ефекти на амбрисентан при бактерии или в две </w:t>
      </w:r>
      <w:r w:rsidRPr="00A5246D">
        <w:rPr>
          <w:rFonts w:eastAsia="Times New Roman" w:cs="Arial"/>
          <w:i/>
          <w:iCs/>
          <w:color w:val="000000"/>
          <w:lang w:val="en-US"/>
        </w:rPr>
        <w:t>in</w:t>
      </w:r>
      <w:r w:rsidRPr="00A5246D">
        <w:rPr>
          <w:rFonts w:eastAsia="Times New Roman" w:cs="Arial"/>
          <w:i/>
          <w:iCs/>
          <w:color w:val="000000"/>
          <w:lang w:val="ru-RU"/>
        </w:rPr>
        <w:t xml:space="preserve"> </w:t>
      </w:r>
      <w:r w:rsidRPr="00A5246D">
        <w:rPr>
          <w:rFonts w:eastAsia="Times New Roman" w:cs="Arial"/>
          <w:i/>
          <w:iCs/>
          <w:color w:val="000000"/>
          <w:lang w:val="en-US"/>
        </w:rPr>
        <w:t>vivo</w:t>
      </w:r>
      <w:r w:rsidRPr="00A5246D">
        <w:rPr>
          <w:rFonts w:eastAsia="Times New Roman" w:cs="Arial"/>
          <w:color w:val="000000"/>
          <w:lang w:val="ru-RU"/>
        </w:rPr>
        <w:t xml:space="preserve"> </w:t>
      </w:r>
      <w:r w:rsidRPr="00A5246D">
        <w:rPr>
          <w:rFonts w:eastAsia="Times New Roman" w:cs="Arial"/>
          <w:color w:val="000000"/>
          <w:lang w:eastAsia="bg-BG"/>
        </w:rPr>
        <w:t>проучвания при гризачи.</w:t>
      </w:r>
    </w:p>
    <w:p w14:paraId="317ABF7A" w14:textId="77777777" w:rsidR="00A5246D" w:rsidRPr="00A5246D" w:rsidRDefault="00A5246D" w:rsidP="00A5246D">
      <w:pPr>
        <w:spacing w:line="240" w:lineRule="auto"/>
        <w:rPr>
          <w:rFonts w:eastAsia="Times New Roman" w:cs="Arial"/>
          <w:color w:val="000000"/>
          <w:lang w:eastAsia="bg-BG"/>
        </w:rPr>
      </w:pPr>
    </w:p>
    <w:p w14:paraId="0F3FDE5C" w14:textId="6931AB05"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В двегодишни проучвания при плъхове и мишки с перорално приложение на амбрисентан липсват данни за карциногенен потенциал. При мъжки плъхове, само при най-високите дози е наблюдавано слабо повишаване на честотата на доброкачествения тумор фиброаденом на</w:t>
      </w:r>
    </w:p>
    <w:p w14:paraId="4B37217C" w14:textId="4D106AEF" w:rsidR="00A5246D" w:rsidRPr="00A5246D" w:rsidRDefault="00A5246D" w:rsidP="00A5246D">
      <w:pPr>
        <w:rPr>
          <w:rFonts w:eastAsia="Times New Roman" w:cs="Arial"/>
          <w:color w:val="000000"/>
          <w:lang w:eastAsia="bg-BG"/>
        </w:rPr>
      </w:pPr>
      <w:r w:rsidRPr="00A5246D">
        <w:rPr>
          <w:rFonts w:eastAsia="Times New Roman" w:cs="Arial"/>
          <w:color w:val="000000"/>
          <w:lang w:eastAsia="bg-BG"/>
        </w:rPr>
        <w:t xml:space="preserve">млечната жлеза. Системната експозиция на амбрисентан при мъжките плъхове при тези дози (въз основа на </w:t>
      </w:r>
      <w:r w:rsidRPr="00A5246D">
        <w:rPr>
          <w:rFonts w:eastAsia="Times New Roman" w:cs="Arial"/>
          <w:color w:val="000000"/>
          <w:lang w:val="en-US"/>
        </w:rPr>
        <w:t>AUC</w:t>
      </w:r>
      <w:r w:rsidRPr="00A5246D">
        <w:rPr>
          <w:rFonts w:eastAsia="Times New Roman" w:cs="Arial"/>
          <w:color w:val="000000"/>
          <w:lang w:val="ru-RU"/>
        </w:rPr>
        <w:t xml:space="preserve"> </w:t>
      </w:r>
      <w:r w:rsidRPr="00A5246D">
        <w:rPr>
          <w:rFonts w:eastAsia="Times New Roman" w:cs="Arial"/>
          <w:color w:val="000000"/>
          <w:lang w:eastAsia="bg-BG"/>
        </w:rPr>
        <w:t xml:space="preserve">в стационарно състояние) е била 6 пъти постигнатата при 10 </w:t>
      </w:r>
      <w:r w:rsidRPr="00A5246D">
        <w:rPr>
          <w:rFonts w:eastAsia="Times New Roman" w:cs="Arial"/>
          <w:color w:val="000000"/>
          <w:lang w:val="en-US"/>
        </w:rPr>
        <w:t>mg</w:t>
      </w:r>
      <w:r w:rsidRPr="00A5246D">
        <w:rPr>
          <w:rFonts w:eastAsia="Times New Roman" w:cs="Arial"/>
          <w:color w:val="000000"/>
          <w:lang w:val="ru-RU"/>
        </w:rPr>
        <w:t>/</w:t>
      </w:r>
      <w:r w:rsidRPr="00A5246D">
        <w:rPr>
          <w:rFonts w:eastAsia="Times New Roman" w:cs="Arial"/>
          <w:color w:val="000000"/>
          <w:lang w:eastAsia="bg-BG"/>
        </w:rPr>
        <w:t>дневно клинична доза.</w:t>
      </w:r>
    </w:p>
    <w:p w14:paraId="09E334D6" w14:textId="6C6E9955" w:rsidR="00A5246D" w:rsidRPr="00A5246D" w:rsidRDefault="00A5246D" w:rsidP="00A5246D">
      <w:pPr>
        <w:rPr>
          <w:rFonts w:eastAsia="Times New Roman" w:cs="Arial"/>
          <w:color w:val="000000"/>
          <w:lang w:eastAsia="bg-BG"/>
        </w:rPr>
      </w:pPr>
    </w:p>
    <w:p w14:paraId="70F74C56" w14:textId="77777777"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 xml:space="preserve">В проучвания за токсичност и фертилитет с перорална многократна доза при мъжки плъхове и мишки се били наблюдавани тубулна атрофия на тестисите, която понякога се свързва с аспермия, без граница за безопасност. Промените в тестисите не са били напълно обратими по време на оценените периоди без прием. Не са наблюдавани обаче промени в тестисите в проучвания с продължителност до 39 седмици при кучета, при експозиция, превишаваща 35 пъти наблюдаваната при хора - на базата на </w:t>
      </w:r>
      <w:r w:rsidRPr="00A5246D">
        <w:rPr>
          <w:rFonts w:eastAsia="Times New Roman" w:cs="Arial"/>
          <w:color w:val="000000"/>
          <w:lang w:val="en-US"/>
        </w:rPr>
        <w:t>AUC</w:t>
      </w:r>
      <w:r w:rsidRPr="00A5246D">
        <w:rPr>
          <w:rFonts w:eastAsia="Times New Roman" w:cs="Arial"/>
          <w:color w:val="000000"/>
          <w:lang w:val="ru-RU"/>
        </w:rPr>
        <w:t xml:space="preserve">. </w:t>
      </w:r>
      <w:r w:rsidRPr="00A5246D">
        <w:rPr>
          <w:rFonts w:eastAsia="Times New Roman" w:cs="Arial"/>
          <w:color w:val="000000"/>
          <w:lang w:eastAsia="bg-BG"/>
        </w:rPr>
        <w:t xml:space="preserve">При мъжки плъхове не са наблюдавани ефекти на амбрисентан върху подвижността на сперматозоидите при всички тествани дози (до 300 </w:t>
      </w:r>
      <w:r w:rsidRPr="00A5246D">
        <w:rPr>
          <w:rFonts w:eastAsia="Times New Roman" w:cs="Arial"/>
          <w:color w:val="000000"/>
          <w:lang w:val="en-US"/>
        </w:rPr>
        <w:t>mg</w:t>
      </w:r>
      <w:r w:rsidRPr="00A5246D">
        <w:rPr>
          <w:rFonts w:eastAsia="Times New Roman" w:cs="Arial"/>
          <w:color w:val="000000"/>
          <w:lang w:val="ru-RU"/>
        </w:rPr>
        <w:t>/</w:t>
      </w:r>
      <w:r w:rsidRPr="00A5246D">
        <w:rPr>
          <w:rFonts w:eastAsia="Times New Roman" w:cs="Arial"/>
          <w:color w:val="000000"/>
          <w:lang w:val="en-US"/>
        </w:rPr>
        <w:t>kg</w:t>
      </w:r>
      <w:r w:rsidRPr="00A5246D">
        <w:rPr>
          <w:rFonts w:eastAsia="Times New Roman" w:cs="Arial"/>
          <w:color w:val="000000"/>
          <w:lang w:eastAsia="bg-BG"/>
        </w:rPr>
        <w:t xml:space="preserve">/ден). Слабо понижаване (&lt;10 %) на процента на морфологично нормалните сперматозоиди е наблюдавано при доза от 300 </w:t>
      </w:r>
      <w:r w:rsidRPr="00A5246D">
        <w:rPr>
          <w:rFonts w:eastAsia="Times New Roman" w:cs="Arial"/>
          <w:color w:val="000000"/>
          <w:lang w:val="en-US"/>
        </w:rPr>
        <w:t>mg</w:t>
      </w:r>
      <w:r w:rsidRPr="00A5246D">
        <w:rPr>
          <w:rFonts w:eastAsia="Times New Roman" w:cs="Arial"/>
          <w:color w:val="000000"/>
          <w:lang w:val="ru-RU"/>
        </w:rPr>
        <w:t>/</w:t>
      </w:r>
      <w:r w:rsidRPr="00A5246D">
        <w:rPr>
          <w:rFonts w:eastAsia="Times New Roman" w:cs="Arial"/>
          <w:color w:val="000000"/>
          <w:lang w:val="en-US"/>
        </w:rPr>
        <w:t>kg</w:t>
      </w:r>
      <w:r w:rsidRPr="00A5246D">
        <w:rPr>
          <w:rFonts w:eastAsia="Times New Roman" w:cs="Arial"/>
          <w:color w:val="000000"/>
          <w:lang w:eastAsia="bg-BG"/>
        </w:rPr>
        <w:t xml:space="preserve">/ден, но не и при доза 100 </w:t>
      </w:r>
      <w:r w:rsidRPr="00A5246D">
        <w:rPr>
          <w:rFonts w:eastAsia="Times New Roman" w:cs="Arial"/>
          <w:color w:val="000000"/>
          <w:lang w:val="en-US"/>
        </w:rPr>
        <w:t>mg</w:t>
      </w:r>
      <w:r w:rsidRPr="00A5246D">
        <w:rPr>
          <w:rFonts w:eastAsia="Times New Roman" w:cs="Arial"/>
          <w:color w:val="000000"/>
          <w:lang w:val="ru-RU"/>
        </w:rPr>
        <w:t>/</w:t>
      </w:r>
      <w:r w:rsidRPr="00A5246D">
        <w:rPr>
          <w:rFonts w:eastAsia="Times New Roman" w:cs="Arial"/>
          <w:color w:val="000000"/>
          <w:lang w:val="en-US"/>
        </w:rPr>
        <w:t>kg</w:t>
      </w:r>
      <w:r w:rsidRPr="00A5246D">
        <w:rPr>
          <w:rFonts w:eastAsia="Times New Roman" w:cs="Arial"/>
          <w:color w:val="000000"/>
          <w:lang w:eastAsia="bg-BG"/>
        </w:rPr>
        <w:t xml:space="preserve">/ден (&gt;9- пъти клиничната експозиция при 10 </w:t>
      </w:r>
      <w:r w:rsidRPr="00A5246D">
        <w:rPr>
          <w:rFonts w:eastAsia="Times New Roman" w:cs="Arial"/>
          <w:color w:val="000000"/>
          <w:lang w:val="en-US"/>
        </w:rPr>
        <w:t>mg</w:t>
      </w:r>
      <w:r w:rsidRPr="00A5246D">
        <w:rPr>
          <w:rFonts w:eastAsia="Times New Roman" w:cs="Arial"/>
          <w:color w:val="000000"/>
          <w:lang w:eastAsia="bg-BG"/>
        </w:rPr>
        <w:t>/ден). Ефектът на амбрисентан върху фертилитета при мъже не е установен.</w:t>
      </w:r>
    </w:p>
    <w:p w14:paraId="255FBD66" w14:textId="77777777" w:rsidR="00A5246D" w:rsidRPr="00A5246D" w:rsidRDefault="00A5246D" w:rsidP="00A5246D">
      <w:pPr>
        <w:spacing w:line="240" w:lineRule="auto"/>
        <w:rPr>
          <w:rFonts w:eastAsia="Times New Roman" w:cs="Arial"/>
          <w:color w:val="000000"/>
          <w:lang w:eastAsia="bg-BG"/>
        </w:rPr>
      </w:pPr>
    </w:p>
    <w:p w14:paraId="5A386358" w14:textId="4B054CCA"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lastRenderedPageBreak/>
        <w:t>Амбрисентан е тератогенен при плъхове и зайци. При всички изпитвани дози са били наблюдавани аномалии на долната челюст, езика и/или небцето. Освен това в проучването при плъхове е наблюдавана повишена честота на дефекти на междукамерната преграда, дефекти на магистрални кръвоносни съдове, аномалии на щитовидната жлеза и тимуса, осификация на базалната част на сфеноидната кост, и появата на умбиликална артерия, разположена от лявата страна на пикочния мехур, вместо от дясната страна. Тератогенността е предполагаем ефект на класа на ендотелин-рецепторните антагонисти.</w:t>
      </w:r>
    </w:p>
    <w:p w14:paraId="25B8A075" w14:textId="77777777" w:rsidR="00A5246D" w:rsidRPr="00A5246D" w:rsidRDefault="00A5246D" w:rsidP="00A5246D">
      <w:pPr>
        <w:spacing w:line="240" w:lineRule="auto"/>
        <w:rPr>
          <w:rFonts w:eastAsia="Times New Roman" w:cs="Arial"/>
          <w:color w:val="000000"/>
          <w:lang w:eastAsia="bg-BG"/>
        </w:rPr>
      </w:pPr>
    </w:p>
    <w:p w14:paraId="40481A95" w14:textId="64F1A7A0"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 xml:space="preserve">Прилагането на амбрисентан при женски плъхове в късна бременност и в периода на лактация, при експозиция 3 пъти над </w:t>
      </w:r>
      <w:r w:rsidRPr="00A5246D">
        <w:rPr>
          <w:rFonts w:eastAsia="Times New Roman" w:cs="Arial"/>
          <w:color w:val="000000"/>
          <w:lang w:val="en-US"/>
        </w:rPr>
        <w:t>AUC</w:t>
      </w:r>
      <w:r w:rsidRPr="00A5246D">
        <w:rPr>
          <w:rFonts w:eastAsia="Times New Roman" w:cs="Arial"/>
          <w:color w:val="000000"/>
          <w:lang w:val="ru-RU"/>
        </w:rPr>
        <w:t xml:space="preserve"> </w:t>
      </w:r>
      <w:r w:rsidRPr="00A5246D">
        <w:rPr>
          <w:rFonts w:eastAsia="Times New Roman" w:cs="Arial"/>
          <w:color w:val="000000"/>
          <w:lang w:eastAsia="bg-BG"/>
        </w:rPr>
        <w:t>при максималните препоръчвани дози за хора, води до нежелани събития в поведението на майката, намалена преживяемост на малките и увреждане на репродуктивната способност на потомството (при аутопсия се наблюдават малки тестиси).</w:t>
      </w:r>
    </w:p>
    <w:p w14:paraId="43A87CEF" w14:textId="77777777" w:rsidR="00A5246D" w:rsidRPr="00A5246D" w:rsidRDefault="00A5246D" w:rsidP="00A5246D">
      <w:pPr>
        <w:spacing w:line="240" w:lineRule="auto"/>
        <w:rPr>
          <w:rFonts w:eastAsia="Times New Roman" w:cs="Arial"/>
          <w:color w:val="000000"/>
          <w:lang w:eastAsia="bg-BG"/>
        </w:rPr>
      </w:pPr>
    </w:p>
    <w:p w14:paraId="2930AA62" w14:textId="36F08198" w:rsidR="00A5246D" w:rsidRPr="00A5246D" w:rsidRDefault="00A5246D" w:rsidP="00A5246D">
      <w:pPr>
        <w:spacing w:line="240" w:lineRule="auto"/>
        <w:rPr>
          <w:rFonts w:eastAsia="Times New Roman" w:cs="Arial"/>
          <w:sz w:val="24"/>
          <w:szCs w:val="24"/>
        </w:rPr>
      </w:pPr>
      <w:r w:rsidRPr="00A5246D">
        <w:rPr>
          <w:rFonts w:eastAsia="Times New Roman" w:cs="Arial"/>
          <w:color w:val="000000"/>
          <w:lang w:eastAsia="bg-BG"/>
        </w:rPr>
        <w:t xml:space="preserve">При ювенилни плъхове, в периода от 7-ми до 26-ти, 36-ти или 62-ри ден от раждането, амбрисентан е прилаган перорално, веднъж дневно, като е установено намаляване на теглото на мозъка (-3 % до -8 %) без настъпване на морфологични или невроповеденчески промени след наблюдавани звуци по време на дишане, апнея и хипоксия. Тези ефекти са настъпили при експозиции приблизително 1,8 до 7 пъти педиатричната експозиция при хора (на възраст между 9 и 15 години) при 10 </w:t>
      </w:r>
      <w:r w:rsidRPr="00A5246D">
        <w:rPr>
          <w:rFonts w:eastAsia="Times New Roman" w:cs="Arial"/>
          <w:color w:val="000000"/>
          <w:lang w:val="en-US"/>
        </w:rPr>
        <w:t>mg</w:t>
      </w:r>
      <w:r w:rsidRPr="00A5246D">
        <w:rPr>
          <w:rFonts w:eastAsia="Times New Roman" w:cs="Arial"/>
          <w:color w:val="000000"/>
          <w:lang w:val="ru-RU"/>
        </w:rPr>
        <w:t xml:space="preserve">, </w:t>
      </w:r>
      <w:r w:rsidRPr="00A5246D">
        <w:rPr>
          <w:rFonts w:eastAsia="Times New Roman" w:cs="Arial"/>
          <w:color w:val="000000"/>
          <w:lang w:eastAsia="bg-BG"/>
        </w:rPr>
        <w:t xml:space="preserve">на базата на </w:t>
      </w:r>
      <w:r w:rsidRPr="00A5246D">
        <w:rPr>
          <w:rFonts w:eastAsia="Times New Roman" w:cs="Arial"/>
          <w:color w:val="000000"/>
          <w:lang w:val="en-US"/>
        </w:rPr>
        <w:t>AUC</w:t>
      </w:r>
      <w:r w:rsidRPr="00A5246D">
        <w:rPr>
          <w:rFonts w:eastAsia="Times New Roman" w:cs="Arial"/>
          <w:color w:val="000000"/>
          <w:lang w:val="ru-RU"/>
        </w:rPr>
        <w:t xml:space="preserve">. </w:t>
      </w:r>
      <w:r w:rsidRPr="00A5246D">
        <w:rPr>
          <w:rFonts w:eastAsia="Times New Roman" w:cs="Arial"/>
          <w:color w:val="000000"/>
          <w:lang w:eastAsia="bg-BG"/>
        </w:rPr>
        <w:t>Клиничната значимост на тази находка за педиатричната популация не е напълно изяснена.</w:t>
      </w:r>
    </w:p>
    <w:p w14:paraId="0A4FA402" w14:textId="6E40E3BC" w:rsidR="00A5246D" w:rsidRPr="00A5246D" w:rsidRDefault="00A5246D" w:rsidP="00A5246D"/>
    <w:p w14:paraId="6A7820AB" w14:textId="4A6D86A7" w:rsidR="008A6AF2" w:rsidRDefault="002C50EE" w:rsidP="00395555">
      <w:pPr>
        <w:pStyle w:val="Heading1"/>
      </w:pPr>
      <w:r>
        <w:t>7. ПРИТЕЖАТЕЛ НА РАЗРЕШЕНИЕТО ЗА УПОТРЕБА</w:t>
      </w:r>
    </w:p>
    <w:p w14:paraId="66D3891C" w14:textId="5C3FEC35" w:rsidR="00A5246D" w:rsidRDefault="00A5246D" w:rsidP="00A5246D"/>
    <w:p w14:paraId="5822D1BE" w14:textId="77777777" w:rsidR="00A5246D" w:rsidRPr="00A5246D" w:rsidRDefault="00A5246D" w:rsidP="00A5246D">
      <w:pPr>
        <w:rPr>
          <w:sz w:val="24"/>
          <w:szCs w:val="24"/>
          <w:lang w:val="en-US"/>
        </w:rPr>
      </w:pPr>
      <w:proofErr w:type="spellStart"/>
      <w:r w:rsidRPr="00A5246D">
        <w:rPr>
          <w:lang w:val="en-US"/>
        </w:rPr>
        <w:t>Zentiva</w:t>
      </w:r>
      <w:proofErr w:type="spellEnd"/>
      <w:r w:rsidRPr="00A5246D">
        <w:rPr>
          <w:lang w:val="en-US"/>
        </w:rPr>
        <w:t xml:space="preserve"> </w:t>
      </w:r>
      <w:proofErr w:type="spellStart"/>
      <w:r w:rsidRPr="00A5246D">
        <w:rPr>
          <w:lang w:val="en-US"/>
        </w:rPr>
        <w:t>k.s</w:t>
      </w:r>
      <w:proofErr w:type="spellEnd"/>
      <w:r w:rsidRPr="00A5246D">
        <w:rPr>
          <w:lang w:val="en-US"/>
        </w:rPr>
        <w:t>.</w:t>
      </w:r>
    </w:p>
    <w:p w14:paraId="35032977" w14:textId="77777777" w:rsidR="00A5246D" w:rsidRDefault="00A5246D" w:rsidP="00A5246D">
      <w:pPr>
        <w:rPr>
          <w:lang w:eastAsia="bg-BG"/>
        </w:rPr>
      </w:pPr>
      <w:r w:rsidRPr="00A5246D">
        <w:rPr>
          <w:lang w:val="en-US"/>
        </w:rPr>
        <w:t xml:space="preserve">U </w:t>
      </w:r>
      <w:proofErr w:type="spellStart"/>
      <w:r w:rsidRPr="00A5246D">
        <w:rPr>
          <w:lang w:val="en-US"/>
        </w:rPr>
        <w:t>kabelovny</w:t>
      </w:r>
      <w:proofErr w:type="spellEnd"/>
      <w:r w:rsidRPr="00A5246D">
        <w:rPr>
          <w:lang w:val="en-US"/>
        </w:rPr>
        <w:t xml:space="preserve"> </w:t>
      </w:r>
      <w:r w:rsidRPr="00A5246D">
        <w:rPr>
          <w:lang w:eastAsia="bg-BG"/>
        </w:rPr>
        <w:t xml:space="preserve">130, </w:t>
      </w:r>
    </w:p>
    <w:p w14:paraId="0E820D21" w14:textId="77777777" w:rsidR="00A5246D" w:rsidRPr="00A5246D" w:rsidRDefault="00A5246D" w:rsidP="00A5246D">
      <w:pPr>
        <w:rPr>
          <w:lang w:val="ru-RU"/>
        </w:rPr>
      </w:pPr>
      <w:proofErr w:type="spellStart"/>
      <w:r w:rsidRPr="00A5246D">
        <w:rPr>
          <w:lang w:val="en-US"/>
        </w:rPr>
        <w:t>Dolni</w:t>
      </w:r>
      <w:proofErr w:type="spellEnd"/>
      <w:r w:rsidRPr="00A5246D">
        <w:rPr>
          <w:lang w:val="ru-RU"/>
        </w:rPr>
        <w:t xml:space="preserve"> </w:t>
      </w:r>
      <w:proofErr w:type="spellStart"/>
      <w:r w:rsidRPr="00A5246D">
        <w:rPr>
          <w:lang w:val="en-US"/>
        </w:rPr>
        <w:t>Mecholupy</w:t>
      </w:r>
      <w:proofErr w:type="spellEnd"/>
      <w:r w:rsidRPr="00A5246D">
        <w:rPr>
          <w:lang w:val="ru-RU"/>
        </w:rPr>
        <w:t xml:space="preserve"> </w:t>
      </w:r>
    </w:p>
    <w:p w14:paraId="2A224840" w14:textId="77777777" w:rsidR="00A5246D" w:rsidRPr="00A5246D" w:rsidRDefault="00A5246D" w:rsidP="00A5246D">
      <w:pPr>
        <w:rPr>
          <w:lang w:val="ru-RU"/>
        </w:rPr>
      </w:pPr>
      <w:r w:rsidRPr="00A5246D">
        <w:rPr>
          <w:lang w:val="ru-RU"/>
        </w:rPr>
        <w:t xml:space="preserve">102 37, </w:t>
      </w:r>
      <w:r w:rsidRPr="00A5246D">
        <w:rPr>
          <w:lang w:val="en-US"/>
        </w:rPr>
        <w:t>Prague</w:t>
      </w:r>
      <w:r w:rsidRPr="00A5246D">
        <w:rPr>
          <w:lang w:val="ru-RU"/>
        </w:rPr>
        <w:t xml:space="preserve"> 10 </w:t>
      </w:r>
    </w:p>
    <w:p w14:paraId="1B55A2D2" w14:textId="2E3E612A" w:rsidR="00A5246D" w:rsidRPr="00A5246D" w:rsidRDefault="00A5246D" w:rsidP="00A5246D">
      <w:r w:rsidRPr="00A5246D">
        <w:rPr>
          <w:lang w:eastAsia="bg-BG"/>
        </w:rPr>
        <w:t>Чешка Република</w:t>
      </w:r>
    </w:p>
    <w:p w14:paraId="14BC4432" w14:textId="433F7A06" w:rsidR="00A5246D" w:rsidRPr="00A5246D" w:rsidRDefault="002C50EE" w:rsidP="00A5246D">
      <w:pPr>
        <w:pStyle w:val="Heading1"/>
      </w:pPr>
      <w:r>
        <w:t>8. НОМЕР НА РАЗРЕШЕНИЕТО ЗА УПОТРЕБА</w:t>
      </w:r>
    </w:p>
    <w:p w14:paraId="2CCB5832" w14:textId="1DCF0ADA" w:rsidR="007C605B" w:rsidRDefault="002C50EE" w:rsidP="007C605B">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6C86F9EC" w:rsidR="007C605B" w:rsidRPr="003E3126" w:rsidRDefault="00A5246D" w:rsidP="00A5246D">
      <w:r>
        <w:t>26.01.2021 г.</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C504B"/>
    <w:multiLevelType w:val="hybridMultilevel"/>
    <w:tmpl w:val="0DC80D12"/>
    <w:lvl w:ilvl="0" w:tplc="BFC6B2D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861C0"/>
    <w:multiLevelType w:val="multilevel"/>
    <w:tmpl w:val="92CC29C0"/>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6"/>
  </w:num>
  <w:num w:numId="22">
    <w:abstractNumId w:val="25"/>
  </w:num>
  <w:num w:numId="23">
    <w:abstractNumId w:val="17"/>
  </w:num>
  <w:num w:numId="24">
    <w:abstractNumId w:val="8"/>
  </w:num>
  <w:num w:numId="25">
    <w:abstractNumId w:val="22"/>
  </w:num>
  <w:num w:numId="26">
    <w:abstractNumId w:val="21"/>
  </w:num>
  <w:num w:numId="27">
    <w:abstractNumId w:val="32"/>
  </w:num>
  <w:num w:numId="28">
    <w:abstractNumId w:val="6"/>
  </w:num>
  <w:num w:numId="29">
    <w:abstractNumId w:val="20"/>
  </w:num>
  <w:num w:numId="30">
    <w:abstractNumId w:val="35"/>
  </w:num>
  <w:num w:numId="31">
    <w:abstractNumId w:val="5"/>
  </w:num>
  <w:num w:numId="32">
    <w:abstractNumId w:val="34"/>
  </w:num>
  <w:num w:numId="33">
    <w:abstractNumId w:val="28"/>
  </w:num>
  <w:num w:numId="34">
    <w:abstractNumId w:val="33"/>
  </w:num>
  <w:num w:numId="35">
    <w:abstractNumId w:val="1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7749E"/>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231C3"/>
    <w:rsid w:val="009773E4"/>
    <w:rsid w:val="009B171C"/>
    <w:rsid w:val="009F1313"/>
    <w:rsid w:val="00A20351"/>
    <w:rsid w:val="00A5246D"/>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7804</Words>
  <Characters>44489</Characters>
  <Application>Microsoft Office Word</Application>
  <DocSecurity>0</DocSecurity>
  <Lines>370</Lines>
  <Paragraphs>104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2022-05-29T20:31:00Z</dcterms:created>
  <dcterms:modified xsi:type="dcterms:W3CDTF">2022-05-29T20:31:00Z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