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695B491" w:rsidR="00C40420" w:rsidRDefault="00DD466D" w:rsidP="004A448E">
      <w:pPr>
        <w:pStyle w:val="Heading1"/>
      </w:pPr>
      <w:r>
        <w:t>1.ИМЕ НА ЛЕКАРСТВЕНИЯ ПРОДУКТ</w:t>
      </w:r>
    </w:p>
    <w:p w14:paraId="383CD1DA" w14:textId="104B745C" w:rsidR="003261E2" w:rsidRDefault="003261E2" w:rsidP="003261E2"/>
    <w:p w14:paraId="1A936EC2" w14:textId="1BA13EFB" w:rsidR="003261E2" w:rsidRDefault="00787D92" w:rsidP="003261E2">
      <w:pPr>
        <w:rPr>
          <w:lang w:eastAsia="bg-BG"/>
        </w:rPr>
      </w:pPr>
      <w:r>
        <w:rPr>
          <w:lang w:eastAsia="bg-BG"/>
        </w:rPr>
        <w:t xml:space="preserve">АМЛОДИПИН БИОФАРМ </w:t>
      </w:r>
      <w:r>
        <w:rPr>
          <w:lang w:val="en-US" w:eastAsia="bg-BG"/>
        </w:rPr>
        <w:t>10</w:t>
      </w:r>
      <w:r w:rsidR="003261E2" w:rsidRPr="003261E2">
        <w:rPr>
          <w:lang w:eastAsia="bg-BG"/>
        </w:rPr>
        <w:t xml:space="preserve"> </w:t>
      </w:r>
      <w:r w:rsidR="003261E2" w:rsidRPr="003261E2">
        <w:t xml:space="preserve">mg </w:t>
      </w:r>
      <w:r w:rsidR="003261E2" w:rsidRPr="003261E2">
        <w:rPr>
          <w:lang w:eastAsia="bg-BG"/>
        </w:rPr>
        <w:t xml:space="preserve">таблетки </w:t>
      </w:r>
    </w:p>
    <w:p w14:paraId="39BBB0EF" w14:textId="4B86BD08" w:rsidR="003261E2" w:rsidRPr="003261E2" w:rsidRDefault="003261E2" w:rsidP="003261E2">
      <w:r w:rsidRPr="003261E2">
        <w:t xml:space="preserve">AMLODIPINE BIOPHARM </w:t>
      </w:r>
      <w:r w:rsidR="00787D92">
        <w:rPr>
          <w:lang w:eastAsia="bg-BG"/>
        </w:rPr>
        <w:t>10</w:t>
      </w:r>
      <w:r w:rsidRPr="003261E2">
        <w:rPr>
          <w:lang w:eastAsia="bg-BG"/>
        </w:rPr>
        <w:t xml:space="preserve"> </w:t>
      </w:r>
      <w:r w:rsidRPr="003261E2">
        <w:t>mg tablets</w:t>
      </w:r>
    </w:p>
    <w:p w14:paraId="6920A680" w14:textId="250CBECD" w:rsidR="00C40420" w:rsidRDefault="00DD466D" w:rsidP="004A448E">
      <w:pPr>
        <w:pStyle w:val="Heading1"/>
      </w:pPr>
      <w:r>
        <w:t>2. КАЧЕСТВЕН И КОЛИЧЕСТВЕН СЪСТАВ</w:t>
      </w:r>
    </w:p>
    <w:p w14:paraId="75008C65" w14:textId="3116FB4C" w:rsidR="003261E2" w:rsidRDefault="003261E2" w:rsidP="003261E2"/>
    <w:p w14:paraId="0592B803" w14:textId="311520E3"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Всяка таблетка съдържа амлодипинов безилат </w:t>
      </w:r>
      <w:r w:rsidRPr="003261E2">
        <w:rPr>
          <w:rFonts w:eastAsia="Times New Roman" w:cs="Arial"/>
          <w:color w:val="000000"/>
          <w:lang w:val="en-US"/>
        </w:rPr>
        <w:t xml:space="preserve">(amlodipine </w:t>
      </w:r>
      <w:proofErr w:type="spellStart"/>
      <w:r w:rsidRPr="003261E2">
        <w:rPr>
          <w:rFonts w:eastAsia="Times New Roman" w:cs="Arial"/>
          <w:color w:val="000000"/>
          <w:lang w:val="en-US"/>
        </w:rPr>
        <w:t>besilate</w:t>
      </w:r>
      <w:proofErr w:type="spellEnd"/>
      <w:r w:rsidRPr="003261E2">
        <w:rPr>
          <w:rFonts w:eastAsia="Times New Roman" w:cs="Arial"/>
          <w:color w:val="000000"/>
          <w:lang w:val="en-US"/>
        </w:rPr>
        <w:t xml:space="preserve">) </w:t>
      </w:r>
      <w:r w:rsidR="00787D92">
        <w:rPr>
          <w:rFonts w:eastAsia="Times New Roman" w:cs="Arial"/>
          <w:color w:val="000000"/>
          <w:lang w:eastAsia="bg-BG"/>
        </w:rPr>
        <w:t xml:space="preserve">еквивалентен на 10 </w:t>
      </w:r>
      <w:r w:rsidRPr="003261E2">
        <w:rPr>
          <w:rFonts w:eastAsia="Times New Roman" w:cs="Arial"/>
          <w:color w:val="000000"/>
          <w:lang w:val="en-US"/>
        </w:rPr>
        <w:t xml:space="preserve">mg </w:t>
      </w:r>
      <w:r w:rsidRPr="003261E2">
        <w:rPr>
          <w:rFonts w:eastAsia="Times New Roman" w:cs="Arial"/>
          <w:color w:val="000000"/>
          <w:lang w:eastAsia="bg-BG"/>
        </w:rPr>
        <w:t>амлодипин.</w:t>
      </w:r>
    </w:p>
    <w:p w14:paraId="59B36F25" w14:textId="68AA0203" w:rsidR="003261E2" w:rsidRPr="003261E2" w:rsidRDefault="003261E2" w:rsidP="003261E2">
      <w:pPr>
        <w:rPr>
          <w:rFonts w:cs="Arial"/>
        </w:rPr>
      </w:pPr>
      <w:r w:rsidRPr="003261E2">
        <w:rPr>
          <w:rFonts w:eastAsia="Times New Roman" w:cs="Arial"/>
          <w:color w:val="000000"/>
          <w:lang w:eastAsia="bg-BG"/>
        </w:rPr>
        <w:t>За пълния списък на помощните вещества, вижте точка 6.1.</w:t>
      </w:r>
    </w:p>
    <w:p w14:paraId="614984C4" w14:textId="1831A344" w:rsidR="008A6AF2" w:rsidRDefault="00DD466D" w:rsidP="002C50EE">
      <w:pPr>
        <w:pStyle w:val="Heading1"/>
      </w:pPr>
      <w:r>
        <w:t>3. ЛЕКАРСТВЕНА ФОРМА</w:t>
      </w:r>
    </w:p>
    <w:p w14:paraId="43511602" w14:textId="18C62E4F" w:rsidR="003261E2" w:rsidRDefault="003261E2" w:rsidP="003261E2"/>
    <w:p w14:paraId="722F122D"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Таблетка.</w:t>
      </w:r>
    </w:p>
    <w:p w14:paraId="12D944F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Таблетките са бели, кръгли, двойноизпъкнали с делителна черта от едната страна.</w:t>
      </w:r>
    </w:p>
    <w:p w14:paraId="05EB4F8A" w14:textId="3437212E" w:rsidR="003261E2" w:rsidRPr="003261E2" w:rsidRDefault="003261E2" w:rsidP="003261E2">
      <w:pPr>
        <w:rPr>
          <w:rFonts w:cs="Arial"/>
        </w:rPr>
      </w:pPr>
      <w:r w:rsidRPr="003261E2">
        <w:rPr>
          <w:rFonts w:eastAsia="Times New Roman" w:cs="Arial"/>
          <w:color w:val="000000"/>
          <w:lang w:eastAsia="bg-BG"/>
        </w:rPr>
        <w:t>Делителната черта е предназначена за по-лесно поглъщане на таблетката.</w:t>
      </w:r>
    </w:p>
    <w:p w14:paraId="490FC2C4" w14:textId="32682B15" w:rsidR="002C50EE" w:rsidRDefault="002C50EE" w:rsidP="002C50EE">
      <w:pPr>
        <w:pStyle w:val="Heading1"/>
      </w:pPr>
      <w:r>
        <w:t>4. КЛИНИЧНИ ДАННИ</w:t>
      </w:r>
    </w:p>
    <w:p w14:paraId="0C8E6903" w14:textId="4FC0E982" w:rsidR="008134C8" w:rsidRDefault="002C50EE" w:rsidP="004A448E">
      <w:pPr>
        <w:pStyle w:val="Heading2"/>
      </w:pPr>
      <w:r>
        <w:t>4.1. Терапевтични показания</w:t>
      </w:r>
    </w:p>
    <w:p w14:paraId="36CAF7F8" w14:textId="2397B379" w:rsidR="003261E2" w:rsidRDefault="003261E2" w:rsidP="003261E2"/>
    <w:p w14:paraId="15E2A8A5" w14:textId="77777777" w:rsidR="003261E2" w:rsidRPr="003261E2" w:rsidRDefault="003261E2" w:rsidP="003261E2">
      <w:pPr>
        <w:spacing w:line="240" w:lineRule="auto"/>
        <w:rPr>
          <w:rFonts w:eastAsia="Times New Roman" w:cs="Arial"/>
          <w:lang w:eastAsia="bg-BG"/>
        </w:rPr>
      </w:pPr>
      <w:r w:rsidRPr="003261E2">
        <w:rPr>
          <w:rFonts w:eastAsia="Times New Roman" w:cs="Arial"/>
          <w:b/>
          <w:bCs/>
          <w:i/>
          <w:iCs/>
          <w:color w:val="000000"/>
          <w:lang w:eastAsia="bg-BG"/>
        </w:rPr>
        <w:t>- Хипертония</w:t>
      </w:r>
    </w:p>
    <w:p w14:paraId="336C827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БИОФАРМ се прилага като средство на първи избор при лечение на хипертония и може да се използва самостоятелно за контрол на кръвното налягане. При пациенти, при които не се постига адекватен контрол при самостоятелно приложение, се прилага в комбинация с тиазидни диуретици, алфа блокери, бета блокери или АСЕ- инхибитори.</w:t>
      </w:r>
    </w:p>
    <w:p w14:paraId="64D5850A" w14:textId="1CEC95C2" w:rsidR="003261E2" w:rsidRPr="003261E2" w:rsidRDefault="003261E2" w:rsidP="003261E2">
      <w:pPr>
        <w:spacing w:line="240" w:lineRule="auto"/>
        <w:rPr>
          <w:rFonts w:eastAsia="Times New Roman" w:cs="Arial"/>
          <w:lang w:eastAsia="bg-BG"/>
        </w:rPr>
      </w:pPr>
      <w:r w:rsidRPr="003261E2">
        <w:rPr>
          <w:rFonts w:eastAsia="Times New Roman" w:cs="Arial"/>
          <w:b/>
          <w:bCs/>
          <w:i/>
          <w:iCs/>
          <w:color w:val="000000"/>
          <w:lang w:eastAsia="bg-BG"/>
        </w:rPr>
        <w:t>-Хронична стабилна стенокардия</w:t>
      </w:r>
    </w:p>
    <w:p w14:paraId="4D9E2BE7" w14:textId="77777777" w:rsidR="001E24F4" w:rsidRDefault="003261E2" w:rsidP="001E24F4">
      <w:pPr>
        <w:rPr>
          <w:rFonts w:eastAsia="Times New Roman" w:cs="Arial"/>
          <w:color w:val="000000"/>
          <w:lang w:eastAsia="bg-BG"/>
        </w:rPr>
      </w:pPr>
      <w:r w:rsidRPr="003261E2">
        <w:rPr>
          <w:rFonts w:eastAsia="Times New Roman" w:cs="Arial"/>
          <w:color w:val="000000"/>
          <w:lang w:eastAsia="bg-BG"/>
        </w:rPr>
        <w:t xml:space="preserve">АМЛОДИПИН БИОФАРМ е средство на избор при лечение на исхемия на миокарда, дължаща се на постоянна обструкция (стабилна ангина) и/или вазоспазъм (ангина на </w:t>
      </w:r>
      <w:proofErr w:type="spellStart"/>
      <w:r w:rsidRPr="003261E2">
        <w:rPr>
          <w:rFonts w:eastAsia="Times New Roman" w:cs="Arial"/>
          <w:color w:val="000000"/>
          <w:lang w:val="en-US"/>
        </w:rPr>
        <w:t>Prinzmetal</w:t>
      </w:r>
      <w:proofErr w:type="spellEnd"/>
      <w:r w:rsidRPr="003261E2">
        <w:rPr>
          <w:rFonts w:eastAsia="Times New Roman" w:cs="Arial"/>
          <w:color w:val="000000"/>
          <w:lang w:val="en-US"/>
        </w:rPr>
        <w:t xml:space="preserve"> </w:t>
      </w:r>
      <w:r w:rsidRPr="003261E2">
        <w:rPr>
          <w:rFonts w:eastAsia="Times New Roman" w:cs="Arial"/>
          <w:color w:val="000000"/>
          <w:lang w:eastAsia="bg-BG"/>
        </w:rPr>
        <w:t>или вариантна ангина) на коронарните съдове. АМЛОДИПИН БИОФАРМ се прилага самостоятелно като монотерапия или в комбинация с други антиангинозни продукти при пациенти със стенокардия рефрактерна на нитрати и/или адекватни дози бета блокери.</w:t>
      </w:r>
    </w:p>
    <w:p w14:paraId="5237AB33" w14:textId="77777777" w:rsidR="001E24F4" w:rsidRDefault="001E24F4" w:rsidP="001E24F4">
      <w:pPr>
        <w:rPr>
          <w:rFonts w:eastAsia="Times New Roman" w:cs="Arial"/>
          <w:color w:val="000000"/>
          <w:lang w:eastAsia="bg-BG"/>
        </w:rPr>
      </w:pPr>
    </w:p>
    <w:p w14:paraId="30BE2C7B" w14:textId="48071183" w:rsidR="008134C8" w:rsidRPr="001E24F4" w:rsidRDefault="002C50EE" w:rsidP="001E24F4">
      <w:pPr>
        <w:rPr>
          <w:rFonts w:cs="Arial"/>
        </w:rPr>
      </w:pPr>
      <w:r>
        <w:t>4.2. Дозировка и начин на приложение</w:t>
      </w:r>
    </w:p>
    <w:p w14:paraId="3C0C9A62" w14:textId="4A8B82DC" w:rsidR="003261E2" w:rsidRDefault="003261E2" w:rsidP="003261E2"/>
    <w:p w14:paraId="7671CC8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Обичайната начална доза при хипертония и стенокардия е 5 </w:t>
      </w:r>
      <w:r w:rsidRPr="003261E2">
        <w:rPr>
          <w:rFonts w:eastAsia="Times New Roman" w:cs="Arial"/>
          <w:color w:val="000000"/>
          <w:lang w:val="en-US"/>
        </w:rPr>
        <w:t xml:space="preserve">mg </w:t>
      </w:r>
      <w:r w:rsidRPr="003261E2">
        <w:rPr>
          <w:rFonts w:eastAsia="Times New Roman" w:cs="Arial"/>
          <w:color w:val="000000"/>
          <w:lang w:eastAsia="bg-BG"/>
        </w:rPr>
        <w:t xml:space="preserve">веднъж дневно, като дозата се увеличава до максимално 10 </w:t>
      </w:r>
      <w:r w:rsidRPr="003261E2">
        <w:rPr>
          <w:rFonts w:eastAsia="Times New Roman" w:cs="Arial"/>
          <w:color w:val="000000"/>
          <w:lang w:val="en-US"/>
        </w:rPr>
        <w:t xml:space="preserve">mg </w:t>
      </w:r>
      <w:r w:rsidRPr="003261E2">
        <w:rPr>
          <w:rFonts w:eastAsia="Times New Roman" w:cs="Arial"/>
          <w:color w:val="000000"/>
          <w:lang w:eastAsia="bg-BG"/>
        </w:rPr>
        <w:t>според индивидуалното повлияване на пациента.</w:t>
      </w:r>
    </w:p>
    <w:p w14:paraId="06C023A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комбинирано приложение с тиазидни диуретици, бета блокери и АСЕ- инхибитори не се налага промяна в дозата на амлодипин.</w:t>
      </w:r>
    </w:p>
    <w:p w14:paraId="39AA7393" w14:textId="77777777" w:rsidR="003261E2" w:rsidRDefault="003261E2" w:rsidP="003261E2">
      <w:pPr>
        <w:spacing w:line="240" w:lineRule="auto"/>
        <w:rPr>
          <w:rFonts w:eastAsia="Times New Roman" w:cs="Arial"/>
          <w:i/>
          <w:iCs/>
          <w:color w:val="000000"/>
          <w:lang w:eastAsia="bg-BG"/>
        </w:rPr>
      </w:pPr>
    </w:p>
    <w:p w14:paraId="142356D1" w14:textId="158C1265" w:rsidR="003261E2" w:rsidRPr="00A60E2C" w:rsidRDefault="003261E2" w:rsidP="00A60E2C">
      <w:pPr>
        <w:pStyle w:val="Heading3"/>
        <w:rPr>
          <w:rFonts w:eastAsia="Times New Roman"/>
          <w:u w:val="single"/>
          <w:lang w:eastAsia="bg-BG"/>
        </w:rPr>
      </w:pPr>
      <w:r w:rsidRPr="00A60E2C">
        <w:rPr>
          <w:rFonts w:eastAsia="Times New Roman"/>
          <w:u w:val="single"/>
          <w:lang w:eastAsia="bg-BG"/>
        </w:rPr>
        <w:lastRenderedPageBreak/>
        <w:t>Приложение при пациенти в напреднала възраст</w:t>
      </w:r>
    </w:p>
    <w:p w14:paraId="2AC6516A"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Препоръчва се нормален дозов режим. АМЛОДИПИН БИОФАРМ в едни и същи дози се понася добре от млади и възрастни пациенти.</w:t>
      </w:r>
    </w:p>
    <w:p w14:paraId="0DEBEF52" w14:textId="77777777" w:rsidR="003261E2" w:rsidRDefault="003261E2" w:rsidP="003261E2">
      <w:pPr>
        <w:spacing w:line="240" w:lineRule="auto"/>
        <w:rPr>
          <w:rFonts w:eastAsia="Times New Roman" w:cs="Arial"/>
          <w:i/>
          <w:iCs/>
          <w:color w:val="000000"/>
          <w:lang w:eastAsia="bg-BG"/>
        </w:rPr>
      </w:pPr>
    </w:p>
    <w:p w14:paraId="152E1FE9" w14:textId="5B20A1CC" w:rsidR="003261E2" w:rsidRPr="00A60E2C" w:rsidRDefault="003261E2" w:rsidP="00A60E2C">
      <w:pPr>
        <w:pStyle w:val="Heading3"/>
        <w:rPr>
          <w:rFonts w:eastAsia="Times New Roman"/>
          <w:u w:val="single"/>
          <w:lang w:eastAsia="bg-BG"/>
        </w:rPr>
      </w:pPr>
      <w:r w:rsidRPr="00A60E2C">
        <w:rPr>
          <w:rFonts w:eastAsia="Times New Roman"/>
          <w:u w:val="single"/>
          <w:lang w:eastAsia="bg-BG"/>
        </w:rPr>
        <w:t>Приложение при деца</w:t>
      </w:r>
    </w:p>
    <w:p w14:paraId="258ADD4D"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Деца с хипертония от 6 до 17 годишна възраст.</w:t>
      </w:r>
      <w:r w:rsidRPr="003261E2">
        <w:rPr>
          <w:rFonts w:eastAsia="Times New Roman" w:cs="Arial"/>
          <w:color w:val="000000"/>
          <w:lang w:eastAsia="bg-BG"/>
        </w:rPr>
        <w:tab/>
      </w:r>
    </w:p>
    <w:p w14:paraId="5B589A87"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Препоръчителната доза при педиатрични пациенти на възраст 6-17 години</w:t>
      </w:r>
      <w:r w:rsidRPr="003261E2">
        <w:rPr>
          <w:rFonts w:eastAsia="Times New Roman" w:cs="Arial"/>
          <w:color w:val="000000"/>
          <w:lang w:val="en-US"/>
        </w:rPr>
        <w:t xml:space="preserve"> e 2,5 mg</w:t>
      </w:r>
    </w:p>
    <w:p w14:paraId="712D18CA"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еднократно дневно като начална доза, титрирана впоследствие до 5 </w:t>
      </w:r>
      <w:r w:rsidRPr="003261E2">
        <w:rPr>
          <w:rFonts w:eastAsia="Times New Roman" w:cs="Arial"/>
          <w:color w:val="000000"/>
          <w:lang w:val="en-US"/>
        </w:rPr>
        <w:t>mg/</w:t>
      </w:r>
      <w:r w:rsidRPr="003261E2">
        <w:rPr>
          <w:rFonts w:eastAsia="Times New Roman" w:cs="Arial"/>
          <w:color w:val="000000"/>
          <w:lang w:eastAsia="bg-BG"/>
        </w:rPr>
        <w:t xml:space="preserve">еднократно дневно, ако не се достигне желаното кръвно налягане след 4 седмици. Дози над 5 </w:t>
      </w:r>
      <w:r w:rsidRPr="003261E2">
        <w:rPr>
          <w:rFonts w:eastAsia="Times New Roman" w:cs="Arial"/>
          <w:color w:val="000000"/>
          <w:lang w:val="en-US"/>
        </w:rPr>
        <w:t>mg</w:t>
      </w:r>
      <w:r w:rsidRPr="003261E2">
        <w:rPr>
          <w:rFonts w:eastAsia="Times New Roman" w:cs="Arial"/>
          <w:color w:val="000000"/>
          <w:lang w:eastAsia="bg-BG"/>
        </w:rPr>
        <w:t xml:space="preserve"> дневно не са</w:t>
      </w:r>
    </w:p>
    <w:p w14:paraId="652802EB" w14:textId="2F48D8F5" w:rsidR="003261E2" w:rsidRDefault="003261E2" w:rsidP="003261E2">
      <w:pPr>
        <w:rPr>
          <w:rFonts w:eastAsia="Times New Roman" w:cs="Arial"/>
          <w:color w:val="000000"/>
          <w:lang w:eastAsia="bg-BG"/>
        </w:rPr>
      </w:pPr>
      <w:r w:rsidRPr="003261E2">
        <w:rPr>
          <w:rFonts w:eastAsia="Times New Roman" w:cs="Arial"/>
          <w:color w:val="000000"/>
          <w:lang w:eastAsia="bg-BG"/>
        </w:rPr>
        <w:t>проучвани при педиатрични пациенти. Ефектът на амлодипин върху кръвното налягане при пациенти под 6 години не е известен.</w:t>
      </w:r>
    </w:p>
    <w:p w14:paraId="18B80360" w14:textId="66664194" w:rsidR="003261E2" w:rsidRDefault="003261E2" w:rsidP="003261E2">
      <w:pPr>
        <w:rPr>
          <w:rFonts w:eastAsia="Times New Roman" w:cs="Arial"/>
          <w:color w:val="000000"/>
          <w:lang w:eastAsia="bg-BG"/>
        </w:rPr>
      </w:pPr>
    </w:p>
    <w:p w14:paraId="77A65431" w14:textId="77777777" w:rsidR="003261E2" w:rsidRPr="00A60E2C" w:rsidRDefault="003261E2" w:rsidP="00A60E2C">
      <w:pPr>
        <w:pStyle w:val="Heading3"/>
        <w:rPr>
          <w:rFonts w:eastAsia="Times New Roman"/>
          <w:u w:val="single"/>
          <w:lang w:eastAsia="bg-BG"/>
        </w:rPr>
      </w:pPr>
      <w:r w:rsidRPr="00A60E2C">
        <w:rPr>
          <w:rFonts w:eastAsia="Times New Roman"/>
          <w:u w:val="single"/>
          <w:lang w:eastAsia="bg-BG"/>
        </w:rPr>
        <w:t>Приложение при нарушена чернодробна функция</w:t>
      </w:r>
    </w:p>
    <w:p w14:paraId="42F8C17B" w14:textId="77777777" w:rsidR="003261E2" w:rsidRPr="00A60E2C" w:rsidRDefault="003261E2" w:rsidP="003261E2">
      <w:pPr>
        <w:spacing w:line="240" w:lineRule="auto"/>
        <w:rPr>
          <w:rFonts w:eastAsia="Times New Roman" w:cs="Arial"/>
          <w:lang w:eastAsia="bg-BG"/>
        </w:rPr>
      </w:pPr>
      <w:r w:rsidRPr="00A60E2C">
        <w:rPr>
          <w:rFonts w:eastAsia="Times New Roman" w:cs="Arial"/>
          <w:color w:val="000000"/>
          <w:lang w:eastAsia="bg-BG"/>
        </w:rPr>
        <w:t>Вижте точка 4.4. Специални предупреждения и специални предпазни мерки при употреба.</w:t>
      </w:r>
    </w:p>
    <w:p w14:paraId="7C5BBB87" w14:textId="77777777" w:rsidR="003261E2" w:rsidRDefault="003261E2" w:rsidP="003261E2">
      <w:pPr>
        <w:spacing w:line="240" w:lineRule="auto"/>
        <w:rPr>
          <w:rFonts w:ascii="Times New Roman" w:eastAsia="Times New Roman" w:hAnsi="Times New Roman" w:cs="Times New Roman"/>
          <w:i/>
          <w:iCs/>
          <w:color w:val="000000"/>
          <w:lang w:eastAsia="bg-BG"/>
        </w:rPr>
      </w:pPr>
    </w:p>
    <w:p w14:paraId="5C235D6E" w14:textId="638EE7B3" w:rsidR="003261E2" w:rsidRPr="00A60E2C" w:rsidRDefault="003261E2" w:rsidP="00A60E2C">
      <w:pPr>
        <w:pStyle w:val="Heading3"/>
        <w:rPr>
          <w:rFonts w:eastAsia="Times New Roman"/>
          <w:u w:val="single"/>
          <w:lang w:eastAsia="bg-BG"/>
        </w:rPr>
      </w:pPr>
      <w:r w:rsidRPr="00A60E2C">
        <w:rPr>
          <w:rFonts w:eastAsia="Times New Roman"/>
          <w:u w:val="single"/>
          <w:lang w:eastAsia="bg-BG"/>
        </w:rPr>
        <w:t>Приложение при бъбречна недостатъчност</w:t>
      </w:r>
    </w:p>
    <w:p w14:paraId="53C42551" w14:textId="77777777" w:rsidR="003261E2" w:rsidRPr="00A60E2C" w:rsidRDefault="003261E2" w:rsidP="003261E2">
      <w:pPr>
        <w:spacing w:line="240" w:lineRule="auto"/>
        <w:rPr>
          <w:rFonts w:eastAsia="Times New Roman" w:cs="Arial"/>
          <w:lang w:eastAsia="bg-BG"/>
        </w:rPr>
      </w:pPr>
      <w:r w:rsidRPr="00A60E2C">
        <w:rPr>
          <w:rFonts w:eastAsia="Times New Roman" w:cs="Arial"/>
          <w:color w:val="000000"/>
          <w:lang w:eastAsia="bg-BG"/>
        </w:rPr>
        <w:t>АМЛОДИПИН БИОФАРМ се прилага при такива пациенти в нормални дози. Промените в плазмените концентрации не съответстват на степента на бъбречното увреждане.</w:t>
      </w:r>
    </w:p>
    <w:p w14:paraId="7BEEC472" w14:textId="663633C2" w:rsidR="003261E2" w:rsidRPr="00A60E2C" w:rsidRDefault="003261E2" w:rsidP="003261E2">
      <w:pPr>
        <w:rPr>
          <w:rFonts w:eastAsia="Times New Roman" w:cs="Arial"/>
          <w:color w:val="000000"/>
          <w:lang w:eastAsia="bg-BG"/>
        </w:rPr>
      </w:pPr>
      <w:r w:rsidRPr="00A60E2C">
        <w:rPr>
          <w:rFonts w:eastAsia="Times New Roman" w:cs="Arial"/>
          <w:color w:val="000000"/>
          <w:lang w:eastAsia="bg-BG"/>
        </w:rPr>
        <w:t>АМЛОДИПИН БИОФАРМ не подлежи на диализа.</w:t>
      </w:r>
    </w:p>
    <w:p w14:paraId="486C9449" w14:textId="77777777" w:rsidR="003261E2" w:rsidRPr="003261E2" w:rsidRDefault="003261E2" w:rsidP="003261E2">
      <w:pPr>
        <w:rPr>
          <w:rFonts w:cs="Arial"/>
        </w:rPr>
      </w:pPr>
    </w:p>
    <w:p w14:paraId="28C984E8" w14:textId="08818333" w:rsidR="008134C8" w:rsidRDefault="002C50EE" w:rsidP="004A448E">
      <w:pPr>
        <w:pStyle w:val="Heading2"/>
      </w:pPr>
      <w:r>
        <w:t>4.3. Противопоказания</w:t>
      </w:r>
    </w:p>
    <w:p w14:paraId="6B92E45C" w14:textId="7D4F9D65" w:rsidR="003261E2" w:rsidRDefault="003261E2" w:rsidP="003261E2"/>
    <w:p w14:paraId="23068D1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БИОФАРМ е противопоказан при:</w:t>
      </w:r>
    </w:p>
    <w:p w14:paraId="4D5E69AA" w14:textId="28F3C342"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пациенти с позната свръхчувствителност към амлодипин или към някое от помощните вещества;</w:t>
      </w:r>
    </w:p>
    <w:p w14:paraId="3A088A3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-тежка хипотония;</w:t>
      </w:r>
    </w:p>
    <w:p w14:paraId="74AAD8DC" w14:textId="687145CD"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шок (включително кардиогенен шок);</w:t>
      </w:r>
    </w:p>
    <w:p w14:paraId="594E664F" w14:textId="1141BA28"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обструкция на изхода на лявата камера (високостепенна аортна стеноза);</w:t>
      </w:r>
    </w:p>
    <w:p w14:paraId="7256352F" w14:textId="6BAB8786" w:rsidR="003261E2" w:rsidRDefault="003261E2" w:rsidP="003261E2">
      <w:pPr>
        <w:rPr>
          <w:rFonts w:eastAsia="Times New Roman" w:cs="Arial"/>
          <w:color w:val="000000"/>
          <w:lang w:eastAsia="bg-BG"/>
        </w:rPr>
      </w:pPr>
      <w:r w:rsidRPr="003261E2">
        <w:rPr>
          <w:rFonts w:eastAsia="Times New Roman" w:cs="Arial"/>
          <w:color w:val="000000"/>
          <w:lang w:eastAsia="bg-BG"/>
        </w:rPr>
        <w:t>-хемодинамично нестабилна сърдечна недостатъчност след остър миокарден инфаркт.</w:t>
      </w:r>
    </w:p>
    <w:p w14:paraId="2E7B13BF" w14:textId="77777777" w:rsidR="00A60E2C" w:rsidRPr="003261E2" w:rsidRDefault="00A60E2C" w:rsidP="003261E2">
      <w:pPr>
        <w:rPr>
          <w:rFonts w:cs="Arial"/>
        </w:rPr>
      </w:pPr>
    </w:p>
    <w:p w14:paraId="212F509C" w14:textId="218F3BD8" w:rsidR="004F498A" w:rsidRDefault="002C50EE" w:rsidP="004A448E">
      <w:pPr>
        <w:pStyle w:val="Heading2"/>
      </w:pPr>
      <w:r>
        <w:t>4.4. Специални предупреждения и предпазни мерки при употреба</w:t>
      </w:r>
    </w:p>
    <w:p w14:paraId="0EF78080" w14:textId="4809565D" w:rsidR="003261E2" w:rsidRDefault="003261E2" w:rsidP="003261E2"/>
    <w:p w14:paraId="5B7B1A96" w14:textId="7777777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болни със сърдечна недостатъчност</w:t>
      </w:r>
    </w:p>
    <w:p w14:paraId="1CB7C43C" w14:textId="7777777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Пациенти със сърдечна недостатъчност трябва да бъдат лекувани с внимание.</w:t>
      </w:r>
    </w:p>
    <w:p w14:paraId="50F0002C"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В дългосрочно плацебо-контролирано клинично проучване </w:t>
      </w:r>
      <w:r w:rsidRPr="003261E2">
        <w:rPr>
          <w:rFonts w:eastAsia="Times New Roman" w:cs="Arial"/>
          <w:color w:val="000000"/>
          <w:lang w:val="en-US"/>
        </w:rPr>
        <w:t xml:space="preserve">(PRAISE-2) </w:t>
      </w:r>
      <w:r w:rsidRPr="003261E2">
        <w:rPr>
          <w:rFonts w:eastAsia="Times New Roman" w:cs="Arial"/>
          <w:color w:val="000000"/>
          <w:lang w:eastAsia="bg-BG"/>
        </w:rPr>
        <w:t xml:space="preserve">приложението на амлодипин при болни със сърдечна недостатъчност клас III и IV по </w:t>
      </w:r>
      <w:r w:rsidRPr="003261E2">
        <w:rPr>
          <w:rFonts w:eastAsia="Times New Roman" w:cs="Arial"/>
          <w:color w:val="000000"/>
          <w:lang w:val="en-US"/>
        </w:rPr>
        <w:t xml:space="preserve">NYHA </w:t>
      </w:r>
      <w:r w:rsidRPr="003261E2">
        <w:rPr>
          <w:rFonts w:eastAsia="Times New Roman" w:cs="Arial"/>
          <w:color w:val="000000"/>
          <w:lang w:eastAsia="bg-BG"/>
        </w:rPr>
        <w:t>с неисхемична етиология, лечението с амлодипин е свързано с повишена честота на белодробен оток, независимо от липса на значима разлика в честотата на влошаване на сърдечната недостатъчност в сравнение с плацебо (вижте точка 5.1)</w:t>
      </w:r>
    </w:p>
    <w:p w14:paraId="3307B028" w14:textId="77777777" w:rsidR="003261E2" w:rsidRDefault="003261E2" w:rsidP="003261E2">
      <w:pPr>
        <w:spacing w:line="240" w:lineRule="auto"/>
        <w:rPr>
          <w:rFonts w:eastAsia="Times New Roman" w:cs="Arial"/>
          <w:i/>
          <w:iCs/>
          <w:color w:val="000000"/>
          <w:lang w:eastAsia="bg-BG"/>
        </w:rPr>
      </w:pPr>
    </w:p>
    <w:p w14:paraId="224371AD" w14:textId="5B039212"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пациенти с увредена чернодробна функция</w:t>
      </w:r>
    </w:p>
    <w:p w14:paraId="106CBD9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пациенти с увредена чернодробна функция плазменият полуживот на амлодипин се удължава. При такива пациенти приложението на амлодипин трябва да става с повишено внимание.</w:t>
      </w:r>
    </w:p>
    <w:p w14:paraId="46CC866C" w14:textId="77777777" w:rsidR="003261E2" w:rsidRDefault="003261E2" w:rsidP="003261E2">
      <w:pPr>
        <w:spacing w:line="240" w:lineRule="auto"/>
        <w:rPr>
          <w:rFonts w:eastAsia="Times New Roman" w:cs="Arial"/>
          <w:i/>
          <w:iCs/>
          <w:color w:val="000000"/>
          <w:lang w:eastAsia="bg-BG"/>
        </w:rPr>
      </w:pPr>
    </w:p>
    <w:p w14:paraId="36B1DEC3" w14:textId="48FDAC6C"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пациенти в напреднала възраст</w:t>
      </w:r>
    </w:p>
    <w:p w14:paraId="60BBAC5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lastRenderedPageBreak/>
        <w:t>Повишаване на дозата при пациенти в напреднала възраст трябва да се извършва с внимание ( вижте точка 5.2)</w:t>
      </w:r>
    </w:p>
    <w:p w14:paraId="53C881D3" w14:textId="77777777" w:rsidR="003261E2" w:rsidRDefault="003261E2" w:rsidP="003261E2">
      <w:pPr>
        <w:spacing w:line="240" w:lineRule="auto"/>
        <w:rPr>
          <w:rFonts w:eastAsia="Times New Roman" w:cs="Arial"/>
          <w:i/>
          <w:iCs/>
          <w:color w:val="000000"/>
          <w:lang w:eastAsia="bg-BG"/>
        </w:rPr>
      </w:pPr>
    </w:p>
    <w:p w14:paraId="1ACE7239" w14:textId="2F4DB93F"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бъбречна недостатъчност</w:t>
      </w:r>
    </w:p>
    <w:p w14:paraId="2942F98A" w14:textId="4E29509F" w:rsidR="003261E2" w:rsidRDefault="003261E2" w:rsidP="003261E2">
      <w:pPr>
        <w:rPr>
          <w:rFonts w:eastAsia="Times New Roman" w:cs="Arial"/>
          <w:color w:val="000000"/>
          <w:lang w:eastAsia="bg-BG"/>
        </w:rPr>
      </w:pPr>
      <w:r w:rsidRPr="003261E2">
        <w:rPr>
          <w:rFonts w:eastAsia="Times New Roman" w:cs="Arial"/>
          <w:color w:val="000000"/>
          <w:lang w:eastAsia="bg-BG"/>
        </w:rPr>
        <w:t>При такива пациенти амлодипин може да се прилага в нормални дози. Промените в плазмените концентрации на амлодипин не корелират със степента на бъбречното увреждане. Амлодипин не се диализира.</w:t>
      </w:r>
    </w:p>
    <w:p w14:paraId="2206BCDB" w14:textId="77777777" w:rsidR="003261E2" w:rsidRPr="003261E2" w:rsidRDefault="003261E2" w:rsidP="003261E2">
      <w:pPr>
        <w:rPr>
          <w:rFonts w:cs="Arial"/>
        </w:rPr>
      </w:pPr>
    </w:p>
    <w:p w14:paraId="619DED1E" w14:textId="7787CFE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03FF9E2" w14:textId="21621DA8" w:rsidR="003261E2" w:rsidRDefault="003261E2" w:rsidP="003261E2"/>
    <w:p w14:paraId="3653195E"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Употребата на амлодипин със сок от грейпфрут не се препоръчва, тъй като при някои пациенти бионаличността може да се повиши и това да доведе до засилване на хипотензивния ефект.</w:t>
      </w:r>
    </w:p>
    <w:p w14:paraId="4CABB19D" w14:textId="77777777" w:rsidR="003261E2" w:rsidRDefault="003261E2" w:rsidP="003261E2">
      <w:pPr>
        <w:spacing w:line="240" w:lineRule="auto"/>
        <w:rPr>
          <w:rFonts w:eastAsia="Times New Roman" w:cs="Arial"/>
          <w:i/>
          <w:iCs/>
          <w:color w:val="000000"/>
          <w:lang w:eastAsia="bg-BG"/>
        </w:rPr>
      </w:pPr>
    </w:p>
    <w:p w14:paraId="2D00F34E" w14:textId="2281126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Ефекти на други лекарствени продукти върху амлодипин</w:t>
      </w:r>
      <w:r w:rsidRPr="003261E2">
        <w:rPr>
          <w:rFonts w:eastAsia="Times New Roman" w:cs="Arial"/>
          <w:i/>
          <w:iCs/>
          <w:color w:val="000000"/>
          <w:lang w:eastAsia="bg-BG"/>
        </w:rPr>
        <w:tab/>
        <w:t>-</w:t>
      </w:r>
    </w:p>
    <w:p w14:paraId="1882CE1B"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val="en-US"/>
        </w:rPr>
        <w:t xml:space="preserve">CYP3A4 </w:t>
      </w:r>
      <w:r w:rsidRPr="003261E2">
        <w:rPr>
          <w:rFonts w:eastAsia="Times New Roman" w:cs="Arial"/>
          <w:color w:val="000000"/>
          <w:lang w:eastAsia="bg-BG"/>
        </w:rPr>
        <w:t xml:space="preserve">инхибитори: При едновременно приложение с </w:t>
      </w:r>
      <w:r w:rsidRPr="003261E2">
        <w:rPr>
          <w:rFonts w:eastAsia="Times New Roman" w:cs="Arial"/>
          <w:color w:val="000000"/>
          <w:lang w:val="en-US"/>
        </w:rPr>
        <w:t xml:space="preserve">CYP3A4 </w:t>
      </w:r>
      <w:r w:rsidRPr="003261E2">
        <w:rPr>
          <w:rFonts w:eastAsia="Times New Roman" w:cs="Arial"/>
          <w:color w:val="000000"/>
          <w:lang w:eastAsia="bg-BG"/>
        </w:rPr>
        <w:t>инхибитори като еритромицин при млади пациенти и дилтиазем при пациенти в напреднала възраст плазмените концентрации на амлодипин се повишават съответно с 22%</w:t>
      </w:r>
      <w:r w:rsidRPr="003261E2">
        <w:rPr>
          <w:rFonts w:eastAsia="Times New Roman" w:cs="Arial"/>
          <w:color w:val="000000"/>
          <w:lang w:val="en-US"/>
        </w:rPr>
        <w:t xml:space="preserve"> </w:t>
      </w:r>
      <w:r w:rsidRPr="003261E2">
        <w:rPr>
          <w:rFonts w:eastAsia="Times New Roman" w:cs="Arial"/>
          <w:color w:val="000000"/>
          <w:lang w:eastAsia="bg-BG"/>
        </w:rPr>
        <w:t>и 50%.Клиничната</w:t>
      </w:r>
    </w:p>
    <w:p w14:paraId="6D29A252"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значимост на тези данни не е изяснена. Не може да се изключи възможността силните  инхибитори на </w:t>
      </w:r>
      <w:r w:rsidRPr="003261E2">
        <w:rPr>
          <w:rFonts w:eastAsia="Times New Roman" w:cs="Arial"/>
          <w:color w:val="000000"/>
          <w:lang w:val="en-US"/>
        </w:rPr>
        <w:t xml:space="preserve">CYP3A4 </w:t>
      </w:r>
      <w:r w:rsidRPr="003261E2">
        <w:rPr>
          <w:rFonts w:eastAsia="Times New Roman" w:cs="Arial"/>
          <w:color w:val="000000"/>
          <w:lang w:eastAsia="bg-BG"/>
        </w:rPr>
        <w:t>(кекоконазол, итраконазол,ритонавир), да повишат плазмената</w:t>
      </w:r>
      <w:r w:rsidRPr="003261E2">
        <w:rPr>
          <w:rFonts w:eastAsia="Times New Roman" w:cs="Arial"/>
          <w:color w:val="000000"/>
          <w:lang w:eastAsia="bg-BG"/>
        </w:rPr>
        <w:tab/>
      </w:r>
    </w:p>
    <w:p w14:paraId="4C18859B" w14:textId="71C9B6B7" w:rsidR="003261E2" w:rsidRDefault="003261E2" w:rsidP="003261E2">
      <w:pPr>
        <w:rPr>
          <w:rFonts w:eastAsia="Times New Roman" w:cs="Arial"/>
          <w:color w:val="000000"/>
          <w:lang w:eastAsia="bg-BG"/>
        </w:rPr>
      </w:pPr>
      <w:r w:rsidRPr="003261E2">
        <w:rPr>
          <w:rFonts w:eastAsia="Times New Roman" w:cs="Arial"/>
          <w:color w:val="000000"/>
          <w:lang w:eastAsia="bg-BG"/>
        </w:rPr>
        <w:t>концентрация на амлодипин в по-голяма степен, отколкото дилтиазем. Амлодипин трябва</w:t>
      </w:r>
    </w:p>
    <w:p w14:paraId="022DD695" w14:textId="56C353FA" w:rsidR="003261E2" w:rsidRDefault="003261E2" w:rsidP="003261E2">
      <w:pPr>
        <w:spacing w:line="240" w:lineRule="auto"/>
        <w:rPr>
          <w:rFonts w:eastAsia="Times New Roman" w:cs="Arial"/>
          <w:color w:val="000000"/>
          <w:lang w:eastAsia="bg-BG"/>
        </w:rPr>
      </w:pPr>
      <w:r w:rsidRPr="003261E2">
        <w:rPr>
          <w:rFonts w:eastAsia="Times New Roman" w:cs="Arial"/>
          <w:color w:val="000000"/>
          <w:lang w:eastAsia="bg-BG"/>
        </w:rPr>
        <w:t xml:space="preserve">да се използва с внимание при едновременно приложение с </w:t>
      </w:r>
      <w:r w:rsidRPr="003261E2">
        <w:rPr>
          <w:rFonts w:eastAsia="Times New Roman" w:cs="Arial"/>
          <w:color w:val="000000"/>
          <w:lang w:val="en-US"/>
        </w:rPr>
        <w:t xml:space="preserve">CYP3A4 </w:t>
      </w:r>
      <w:r w:rsidRPr="003261E2">
        <w:rPr>
          <w:rFonts w:eastAsia="Times New Roman" w:cs="Arial"/>
          <w:color w:val="000000"/>
          <w:lang w:eastAsia="bg-BG"/>
        </w:rPr>
        <w:t>инхибитори. Досега не са съобщавани нежелани лекарствени реакции, свързани с такова взаимодействие.</w:t>
      </w:r>
    </w:p>
    <w:p w14:paraId="1E798F7D" w14:textId="77777777" w:rsidR="003261E2" w:rsidRPr="003261E2" w:rsidRDefault="003261E2" w:rsidP="003261E2">
      <w:pPr>
        <w:spacing w:line="240" w:lineRule="auto"/>
        <w:rPr>
          <w:rFonts w:eastAsia="Times New Roman" w:cs="Arial"/>
          <w:lang w:eastAsia="bg-BG"/>
        </w:rPr>
      </w:pPr>
    </w:p>
    <w:p w14:paraId="338DC5E8"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val="en-US"/>
        </w:rPr>
        <w:t xml:space="preserve">CYP3A4 </w:t>
      </w:r>
      <w:r w:rsidRPr="003261E2">
        <w:rPr>
          <w:rFonts w:eastAsia="Times New Roman" w:cs="Arial"/>
          <w:color w:val="000000"/>
          <w:lang w:eastAsia="bg-BG"/>
        </w:rPr>
        <w:t xml:space="preserve">индуктори: Няма налични данни, отнасящи се до ефекта на </w:t>
      </w:r>
      <w:r w:rsidRPr="003261E2">
        <w:rPr>
          <w:rFonts w:eastAsia="Times New Roman" w:cs="Arial"/>
          <w:color w:val="000000"/>
          <w:lang w:val="en-US"/>
        </w:rPr>
        <w:t xml:space="preserve">CYP3A4 </w:t>
      </w:r>
      <w:r w:rsidRPr="003261E2">
        <w:rPr>
          <w:rFonts w:eastAsia="Times New Roman" w:cs="Arial"/>
          <w:color w:val="000000"/>
          <w:lang w:eastAsia="bg-BG"/>
        </w:rPr>
        <w:t xml:space="preserve">индуктори върху амлодипин. Едноврененната употреба с такива индуктори като рифампицин, жълт кантарион, може да повиши плазмената концентрация на амлодипин. Амлодипин трябва да се използва с внимание с </w:t>
      </w:r>
      <w:r w:rsidRPr="003261E2">
        <w:rPr>
          <w:rFonts w:eastAsia="Times New Roman" w:cs="Arial"/>
          <w:color w:val="000000"/>
          <w:lang w:val="en-US"/>
        </w:rPr>
        <w:t xml:space="preserve">CYP3A4 </w:t>
      </w:r>
      <w:r w:rsidRPr="003261E2">
        <w:rPr>
          <w:rFonts w:eastAsia="Times New Roman" w:cs="Arial"/>
          <w:color w:val="000000"/>
          <w:lang w:eastAsia="bg-BG"/>
        </w:rPr>
        <w:t>индуктори.</w:t>
      </w:r>
    </w:p>
    <w:p w14:paraId="0019CECD" w14:textId="77777777" w:rsidR="003261E2" w:rsidRDefault="003261E2" w:rsidP="003261E2">
      <w:pPr>
        <w:spacing w:line="240" w:lineRule="auto"/>
        <w:rPr>
          <w:rFonts w:eastAsia="Times New Roman" w:cs="Arial"/>
          <w:i/>
          <w:iCs/>
          <w:color w:val="000000"/>
          <w:lang w:eastAsia="bg-BG"/>
        </w:rPr>
      </w:pPr>
    </w:p>
    <w:p w14:paraId="60EE1C77" w14:textId="388276F1"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Ефекти на амлодипин върху други лекарствени продукти</w:t>
      </w:r>
    </w:p>
    <w:p w14:paraId="3E0F8603" w14:textId="77777777" w:rsidR="003261E2" w:rsidRDefault="003261E2" w:rsidP="003261E2">
      <w:pPr>
        <w:spacing w:line="240" w:lineRule="auto"/>
        <w:rPr>
          <w:rFonts w:eastAsia="Times New Roman" w:cs="Arial"/>
          <w:color w:val="000000"/>
          <w:lang w:eastAsia="bg-BG"/>
        </w:rPr>
      </w:pPr>
    </w:p>
    <w:p w14:paraId="29C6E124" w14:textId="791F3A61"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Ефектите върху понижаване на артериалното налягане на амлодипин се добавят към тези на други антихипертензивни лекарствени продукти. При клинични проучвания е доказано, че амлодипин не повлиява фармакокинетиката на аторвастатин, дигоксин, етанол, варфарин, циклоспорин.</w:t>
      </w:r>
    </w:p>
    <w:p w14:paraId="451F2644" w14:textId="77777777" w:rsidR="003261E2" w:rsidRDefault="003261E2" w:rsidP="003261E2">
      <w:pPr>
        <w:spacing w:line="240" w:lineRule="auto"/>
        <w:rPr>
          <w:rFonts w:eastAsia="Times New Roman" w:cs="Arial"/>
          <w:color w:val="000000"/>
          <w:lang w:eastAsia="bg-BG"/>
        </w:rPr>
      </w:pPr>
    </w:p>
    <w:p w14:paraId="4DB7E8BC" w14:textId="4D22A4F5"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не повлиява лабораторните тестове.</w:t>
      </w:r>
    </w:p>
    <w:p w14:paraId="138AC134" w14:textId="77777777" w:rsidR="003261E2" w:rsidRDefault="003261E2" w:rsidP="003261E2">
      <w:pPr>
        <w:spacing w:line="240" w:lineRule="auto"/>
        <w:rPr>
          <w:rFonts w:eastAsia="Times New Roman" w:cs="Arial"/>
          <w:i/>
          <w:iCs/>
          <w:color w:val="000000"/>
          <w:lang w:eastAsia="bg-BG"/>
        </w:rPr>
      </w:pPr>
    </w:p>
    <w:p w14:paraId="23685927" w14:textId="7495026B"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Предпазни мерки при употреба</w:t>
      </w:r>
    </w:p>
    <w:p w14:paraId="7530F35F"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Триметоприм или комбинацията с фиксирани дози триметоприм и сулфаметоксазол (ко-тримоксазол):</w:t>
      </w:r>
    </w:p>
    <w:p w14:paraId="71F58B47"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Повишена честота на хиперкалиемия се наблюдава при пациенти, приемащи АСЕ инхибитори и триметоприм или комбинацията с фиксирани дози триметоприм и сулфаметоксазол (ко-тримоксазол).</w:t>
      </w:r>
    </w:p>
    <w:p w14:paraId="7DDDCE63" w14:textId="77777777" w:rsidR="003261E2" w:rsidRDefault="003261E2" w:rsidP="003261E2">
      <w:pPr>
        <w:spacing w:line="240" w:lineRule="auto"/>
        <w:rPr>
          <w:rFonts w:eastAsia="Times New Roman" w:cs="Arial"/>
          <w:color w:val="000000"/>
          <w:lang w:eastAsia="bg-BG"/>
        </w:rPr>
      </w:pPr>
    </w:p>
    <w:p w14:paraId="73ED2816" w14:textId="570BE1AF"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Повишен риск от ангиоедем е възможен при пациенти, приемащи съпътстващи лекарства, като </w:t>
      </w:r>
      <w:proofErr w:type="spellStart"/>
      <w:r w:rsidRPr="003261E2">
        <w:rPr>
          <w:rFonts w:eastAsia="Times New Roman" w:cs="Arial"/>
          <w:color w:val="000000"/>
          <w:lang w:val="en-US"/>
        </w:rPr>
        <w:t>mTOR</w:t>
      </w:r>
      <w:proofErr w:type="spellEnd"/>
      <w:r w:rsidRPr="003261E2">
        <w:rPr>
          <w:rFonts w:eastAsia="Times New Roman" w:cs="Arial"/>
          <w:color w:val="000000"/>
          <w:lang w:val="en-US"/>
        </w:rPr>
        <w:t xml:space="preserve"> </w:t>
      </w:r>
      <w:r w:rsidRPr="003261E2">
        <w:rPr>
          <w:rFonts w:eastAsia="Times New Roman" w:cs="Arial"/>
          <w:color w:val="000000"/>
          <w:lang w:eastAsia="bg-BG"/>
        </w:rPr>
        <w:t>инхибитори (например темсиролимус, еверолимус, сиролимус).</w:t>
      </w:r>
    </w:p>
    <w:p w14:paraId="6C27D99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започване на лечение се изисква повишено внимание.</w:t>
      </w:r>
    </w:p>
    <w:p w14:paraId="5B844720" w14:textId="77777777" w:rsidR="003261E2" w:rsidRDefault="003261E2" w:rsidP="003261E2">
      <w:pPr>
        <w:spacing w:line="240" w:lineRule="auto"/>
        <w:rPr>
          <w:rFonts w:eastAsia="Times New Roman" w:cs="Arial"/>
          <w:color w:val="000000"/>
          <w:lang w:eastAsia="bg-BG"/>
        </w:rPr>
      </w:pPr>
    </w:p>
    <w:p w14:paraId="4FD34A99" w14:textId="4143A7AC"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75D31AFA" w14:textId="77777777" w:rsidR="00527A57" w:rsidRDefault="00527A57" w:rsidP="003261E2">
      <w:pPr>
        <w:rPr>
          <w:rFonts w:eastAsia="Times New Roman" w:cs="Arial"/>
          <w:color w:val="000000"/>
          <w:lang w:eastAsia="bg-BG"/>
        </w:rPr>
      </w:pPr>
    </w:p>
    <w:p w14:paraId="62736CC9" w14:textId="3EBEDBC3" w:rsidR="003261E2" w:rsidRDefault="003261E2" w:rsidP="003261E2">
      <w:pPr>
        <w:rPr>
          <w:rFonts w:eastAsia="Times New Roman" w:cs="Arial"/>
          <w:color w:val="000000"/>
          <w:lang w:eastAsia="bg-BG"/>
        </w:rPr>
      </w:pPr>
      <w:r w:rsidRPr="003261E2">
        <w:rPr>
          <w:rFonts w:eastAsia="Times New Roman" w:cs="Arial"/>
          <w:color w:val="000000"/>
          <w:lang w:eastAsia="bg-BG"/>
        </w:rPr>
        <w:t xml:space="preserve">Кларитромицин е инхибитор на </w:t>
      </w:r>
      <w:r w:rsidRPr="003261E2">
        <w:rPr>
          <w:rFonts w:eastAsia="Times New Roman" w:cs="Arial"/>
          <w:color w:val="000000"/>
          <w:lang w:val="en-US"/>
        </w:rPr>
        <w:t xml:space="preserve">CYP3A4. </w:t>
      </w:r>
      <w:r w:rsidRPr="003261E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3B0193E5" w14:textId="77777777" w:rsidR="00527A57" w:rsidRPr="003261E2" w:rsidRDefault="00527A57" w:rsidP="003261E2">
      <w:pPr>
        <w:rPr>
          <w:rFonts w:cs="Arial"/>
        </w:rPr>
      </w:pPr>
    </w:p>
    <w:p w14:paraId="394A7584" w14:textId="469379AE" w:rsidR="004F498A" w:rsidRDefault="002C50EE" w:rsidP="004A448E">
      <w:pPr>
        <w:pStyle w:val="Heading2"/>
      </w:pPr>
      <w:r>
        <w:t>4.6. Фертилитет, бременност и кърмене</w:t>
      </w:r>
    </w:p>
    <w:p w14:paraId="22AFD89C" w14:textId="4F15AEB0" w:rsidR="00527A57" w:rsidRDefault="00527A57" w:rsidP="00527A57"/>
    <w:p w14:paraId="2805EE0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Приложението на АМЛОДИПИН БИОФАРМ по</w:t>
      </w:r>
      <w:r w:rsidRPr="00527A57">
        <w:rPr>
          <w:rFonts w:ascii="Times New Roman" w:eastAsia="Times New Roman" w:hAnsi="Times New Roman" w:cs="Times New Roman"/>
          <w:color w:val="000000"/>
          <w:sz w:val="44"/>
          <w:szCs w:val="44"/>
          <w:lang w:eastAsia="bg-BG"/>
        </w:rPr>
        <w:t xml:space="preserve"> </w:t>
      </w:r>
      <w:r w:rsidRPr="00527A57">
        <w:rPr>
          <w:rFonts w:eastAsia="Times New Roman" w:cs="Arial"/>
          <w:color w:val="000000"/>
          <w:lang w:eastAsia="bg-BG"/>
        </w:rPr>
        <w:t>време на бременност и кърмене не са установени. В репродуктивни експериментални проучвания при плъхове амлодипин в дози около 50 пъти по-високи от максимално препоръчваните при човека е показал преносване и удължаване на родовия процес.</w:t>
      </w:r>
    </w:p>
    <w:p w14:paraId="068928C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АМЛОДИПИН БИОФАРМ може да се прилага при бременност само когато няма по- безопасна алтернатива и когато заболяването само по себе си носи по-голям риск за майката и плода.</w:t>
      </w:r>
      <w:r w:rsidRPr="00527A57">
        <w:rPr>
          <w:rFonts w:eastAsia="Times New Roman" w:cs="Arial"/>
          <w:color w:val="000000"/>
          <w:lang w:eastAsia="bg-BG"/>
        </w:rPr>
        <w:tab/>
      </w:r>
    </w:p>
    <w:p w14:paraId="0DDB83DC" w14:textId="4FBD67F4" w:rsidR="00527A57" w:rsidRDefault="00527A57" w:rsidP="00527A57">
      <w:pPr>
        <w:rPr>
          <w:rFonts w:eastAsia="Times New Roman" w:cs="Arial"/>
          <w:color w:val="000000"/>
          <w:lang w:eastAsia="bg-BG"/>
        </w:rPr>
      </w:pPr>
      <w:r w:rsidRPr="00527A57">
        <w:rPr>
          <w:rFonts w:eastAsia="Times New Roman" w:cs="Arial"/>
          <w:color w:val="000000"/>
          <w:lang w:eastAsia="bg-BG"/>
        </w:rPr>
        <w:t>Няма данни дали амлодипин преминава в кърмата, поради което се препоръчва прекъсване на кърменето при лечение с АМЛОДИПИН БИОФАРМ.</w:t>
      </w:r>
    </w:p>
    <w:p w14:paraId="3049E4D7" w14:textId="77777777" w:rsidR="00527A57" w:rsidRPr="00527A57" w:rsidRDefault="00527A57" w:rsidP="00527A57">
      <w:pPr>
        <w:rPr>
          <w:rFonts w:cs="Arial"/>
        </w:rPr>
      </w:pPr>
    </w:p>
    <w:p w14:paraId="064DF1DE" w14:textId="1DDCE6D9" w:rsidR="00CF77F7" w:rsidRDefault="002C50EE" w:rsidP="004A448E">
      <w:pPr>
        <w:pStyle w:val="Heading2"/>
      </w:pPr>
      <w:r>
        <w:t>4.7. Ефекти върху способността за шофиране и работа с машини</w:t>
      </w:r>
    </w:p>
    <w:p w14:paraId="3E90C509" w14:textId="18FA7FB3" w:rsidR="00527A57" w:rsidRDefault="00527A57" w:rsidP="00527A57"/>
    <w:p w14:paraId="5D01B0EB" w14:textId="5A6A10C5" w:rsidR="00527A57" w:rsidRPr="00527A57" w:rsidRDefault="00527A57" w:rsidP="00527A57">
      <w:pPr>
        <w:rPr>
          <w:rFonts w:cs="Arial"/>
        </w:rPr>
      </w:pPr>
      <w:r w:rsidRPr="00527A57">
        <w:rPr>
          <w:rFonts w:cs="Arial"/>
        </w:rPr>
        <w:t>Амлодипин може да оказва слаб до умерен ефект върху способността и работа с машини. Ако пациентите, получаващи амлодипин имат оплаквания от замайване, главоболие, умора или гадене, способността да реагират може да бъде нарушена.</w:t>
      </w:r>
    </w:p>
    <w:p w14:paraId="052C8BC4" w14:textId="77777777" w:rsidR="00527A57" w:rsidRPr="00527A57" w:rsidRDefault="00527A57" w:rsidP="00527A57"/>
    <w:p w14:paraId="37A3FD9F" w14:textId="11EF3C60" w:rsidR="00CF77F7" w:rsidRDefault="002C50EE" w:rsidP="004A448E">
      <w:pPr>
        <w:pStyle w:val="Heading2"/>
      </w:pPr>
      <w:r>
        <w:t>4.8. Нежелани лекарствени реакции</w:t>
      </w:r>
    </w:p>
    <w:p w14:paraId="21EBF66F" w14:textId="7459C5B4" w:rsidR="00527A57" w:rsidRDefault="00527A57" w:rsidP="00527A57"/>
    <w:p w14:paraId="5A7C743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Следните нежелани лекарствени реакции са наблюдавани при лечение с амлодипин със следната честота: Много чести (≥1/10); Чести (≥1/100 до &lt;1/10); Нечести (≥1/1,000 до &lt;1/100); Редки (≥1/10,000 до &lt;1/1,000); Много редки (&lt;1/10,000) и с неизвестна честота (от наличните данни не може да бъде направена оценка).</w:t>
      </w:r>
    </w:p>
    <w:p w14:paraId="6AF7DDCD" w14:textId="77777777" w:rsidR="00527A57" w:rsidRDefault="00527A57" w:rsidP="00527A57">
      <w:pPr>
        <w:spacing w:line="240" w:lineRule="auto"/>
        <w:rPr>
          <w:rFonts w:eastAsia="Times New Roman" w:cs="Arial"/>
          <w:i/>
          <w:iCs/>
          <w:color w:val="000000"/>
          <w:lang w:eastAsia="bg-BG"/>
        </w:rPr>
      </w:pPr>
    </w:p>
    <w:p w14:paraId="73832407" w14:textId="43AD508C"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кръвта и лимфната система</w:t>
      </w:r>
    </w:p>
    <w:p w14:paraId="090A11F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левкопения, тромбоцитопения</w:t>
      </w:r>
    </w:p>
    <w:p w14:paraId="558E36A0" w14:textId="77777777" w:rsidR="00527A57" w:rsidRDefault="00527A57" w:rsidP="00527A57">
      <w:pPr>
        <w:spacing w:line="240" w:lineRule="auto"/>
        <w:rPr>
          <w:rFonts w:eastAsia="Times New Roman" w:cs="Arial"/>
          <w:i/>
          <w:iCs/>
          <w:color w:val="000000"/>
          <w:lang w:eastAsia="bg-BG"/>
        </w:rPr>
      </w:pPr>
    </w:p>
    <w:p w14:paraId="6260CAAF" w14:textId="42050499"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имунната система</w:t>
      </w:r>
    </w:p>
    <w:p w14:paraId="364C891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алергични реакции</w:t>
      </w:r>
    </w:p>
    <w:p w14:paraId="645977AB" w14:textId="77777777" w:rsidR="00527A57" w:rsidRDefault="00527A57" w:rsidP="00527A57">
      <w:pPr>
        <w:spacing w:line="240" w:lineRule="auto"/>
        <w:rPr>
          <w:rFonts w:eastAsia="Times New Roman" w:cs="Arial"/>
          <w:i/>
          <w:iCs/>
          <w:color w:val="000000"/>
          <w:lang w:eastAsia="bg-BG"/>
        </w:rPr>
      </w:pPr>
    </w:p>
    <w:p w14:paraId="3135332B" w14:textId="4BD2782F"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метаболизма и храненето</w:t>
      </w:r>
    </w:p>
    <w:p w14:paraId="60F8C858"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хипергликемия</w:t>
      </w:r>
    </w:p>
    <w:p w14:paraId="4EA56E41" w14:textId="77777777" w:rsidR="00527A57" w:rsidRDefault="00527A57" w:rsidP="00527A57">
      <w:pPr>
        <w:spacing w:line="240" w:lineRule="auto"/>
        <w:rPr>
          <w:rFonts w:eastAsia="Times New Roman" w:cs="Arial"/>
          <w:i/>
          <w:iCs/>
          <w:color w:val="000000"/>
          <w:lang w:eastAsia="bg-BG"/>
        </w:rPr>
      </w:pPr>
    </w:p>
    <w:p w14:paraId="432ABC00" w14:textId="5750B7B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ендокринната система</w:t>
      </w:r>
    </w:p>
    <w:p w14:paraId="3302923D" w14:textId="3B838DFA" w:rsidR="00527A57" w:rsidRDefault="00527A57" w:rsidP="00527A57">
      <w:pPr>
        <w:rPr>
          <w:rFonts w:eastAsia="Times New Roman" w:cs="Arial"/>
          <w:color w:val="000000"/>
          <w:lang w:eastAsia="bg-BG"/>
        </w:rPr>
      </w:pPr>
      <w:r w:rsidRPr="00527A57">
        <w:rPr>
          <w:rFonts w:eastAsia="Times New Roman" w:cs="Arial"/>
          <w:i/>
          <w:iCs/>
          <w:color w:val="000000"/>
          <w:lang w:eastAsia="bg-BG"/>
        </w:rPr>
        <w:t>С</w:t>
      </w:r>
      <w:r w:rsidRPr="00527A57">
        <w:rPr>
          <w:rFonts w:eastAsia="Times New Roman" w:cs="Arial"/>
          <w:color w:val="000000"/>
          <w:lang w:eastAsia="bg-BG"/>
        </w:rPr>
        <w:t xml:space="preserve"> неизвестна честота: Синдром на неадекватна секреция на антидиуретичен хормон (СНСАХ)</w:t>
      </w:r>
    </w:p>
    <w:p w14:paraId="40EA8BE8" w14:textId="01062631" w:rsidR="00527A57" w:rsidRDefault="00527A57" w:rsidP="00527A57">
      <w:pPr>
        <w:rPr>
          <w:rFonts w:eastAsia="Times New Roman" w:cs="Arial"/>
          <w:color w:val="000000"/>
          <w:lang w:eastAsia="bg-BG"/>
        </w:rPr>
      </w:pPr>
    </w:p>
    <w:p w14:paraId="31F510FE"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Психични нарушения</w:t>
      </w:r>
    </w:p>
    <w:p w14:paraId="2199A58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безсъние, промени в настроението (включително тревожност), депресия</w:t>
      </w:r>
    </w:p>
    <w:p w14:paraId="1E6F3FC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Редки: обърканост</w:t>
      </w:r>
    </w:p>
    <w:p w14:paraId="15DC75B1" w14:textId="77777777" w:rsidR="00527A57" w:rsidRDefault="00527A57" w:rsidP="00527A57">
      <w:pPr>
        <w:spacing w:line="240" w:lineRule="auto"/>
        <w:rPr>
          <w:rFonts w:eastAsia="Times New Roman" w:cs="Arial"/>
          <w:i/>
          <w:iCs/>
          <w:color w:val="000000"/>
          <w:lang w:eastAsia="bg-BG"/>
        </w:rPr>
      </w:pPr>
    </w:p>
    <w:p w14:paraId="2CEE56B6" w14:textId="7C31998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нервната система</w:t>
      </w:r>
    </w:p>
    <w:p w14:paraId="4E815E68"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сънливост,замайване, главоболие (особено в началото на лечението)</w:t>
      </w:r>
    </w:p>
    <w:p w14:paraId="540F90E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тремор, дисгевзия, синкоп, хипоестезия, парестезия</w:t>
      </w:r>
    </w:p>
    <w:p w14:paraId="7436AE94"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хипертония, периферна невропатия</w:t>
      </w:r>
    </w:p>
    <w:p w14:paraId="70D45A9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 неизвестна честота: екстрапирамидни нарушения</w:t>
      </w:r>
    </w:p>
    <w:p w14:paraId="017EBFCC" w14:textId="77777777" w:rsidR="00527A57" w:rsidRDefault="00527A57" w:rsidP="00527A57">
      <w:pPr>
        <w:spacing w:line="240" w:lineRule="auto"/>
        <w:rPr>
          <w:rFonts w:eastAsia="Times New Roman" w:cs="Arial"/>
          <w:i/>
          <w:iCs/>
          <w:color w:val="000000"/>
          <w:lang w:eastAsia="bg-BG"/>
        </w:rPr>
      </w:pPr>
    </w:p>
    <w:p w14:paraId="1DA4A315" w14:textId="459BB515"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Нарушение на очите</w:t>
      </w:r>
    </w:p>
    <w:p w14:paraId="50112E1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зрителни нарушения (включително диплопия)</w:t>
      </w:r>
    </w:p>
    <w:p w14:paraId="27808A14" w14:textId="77777777" w:rsidR="00527A57" w:rsidRDefault="00527A57" w:rsidP="00527A57">
      <w:pPr>
        <w:spacing w:line="240" w:lineRule="auto"/>
        <w:rPr>
          <w:rFonts w:eastAsia="Times New Roman" w:cs="Arial"/>
          <w:i/>
          <w:iCs/>
          <w:color w:val="000000"/>
          <w:lang w:eastAsia="bg-BG"/>
        </w:rPr>
      </w:pPr>
    </w:p>
    <w:p w14:paraId="3E2179C0" w14:textId="7690AE6D"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ухото и лабиринта</w:t>
      </w:r>
    </w:p>
    <w:p w14:paraId="2548955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шум в ушите</w:t>
      </w:r>
    </w:p>
    <w:p w14:paraId="1CAAA4E2" w14:textId="77777777" w:rsidR="00527A57" w:rsidRDefault="00527A57" w:rsidP="00527A57">
      <w:pPr>
        <w:spacing w:line="240" w:lineRule="auto"/>
        <w:rPr>
          <w:rFonts w:eastAsia="Times New Roman" w:cs="Arial"/>
          <w:i/>
          <w:iCs/>
          <w:color w:val="000000"/>
          <w:lang w:eastAsia="bg-BG"/>
        </w:rPr>
      </w:pPr>
    </w:p>
    <w:p w14:paraId="6C95F53B" w14:textId="3A990D93"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Сърдечни нарушения</w:t>
      </w:r>
    </w:p>
    <w:p w14:paraId="4FEDD55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сърцебиене</w:t>
      </w:r>
    </w:p>
    <w:p w14:paraId="721E3CA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миокарден инфаркт, аритмия, (включително брадикардия, камерна тахикардия, предсърдно мъждене)</w:t>
      </w:r>
    </w:p>
    <w:p w14:paraId="0939E1A7" w14:textId="77777777" w:rsidR="00527A57" w:rsidRDefault="00527A57" w:rsidP="00527A57">
      <w:pPr>
        <w:spacing w:line="240" w:lineRule="auto"/>
        <w:rPr>
          <w:rFonts w:eastAsia="Times New Roman" w:cs="Arial"/>
          <w:i/>
          <w:iCs/>
          <w:color w:val="000000"/>
          <w:lang w:eastAsia="bg-BG"/>
        </w:rPr>
      </w:pPr>
    </w:p>
    <w:p w14:paraId="0D09A88A" w14:textId="65870E3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Съдови нарушения</w:t>
      </w:r>
    </w:p>
    <w:p w14:paraId="46936FE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зачервяване на кожата</w:t>
      </w:r>
    </w:p>
    <w:p w14:paraId="2138CC7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хипотония</w:t>
      </w:r>
      <w:r w:rsidRPr="00527A57">
        <w:rPr>
          <w:rFonts w:eastAsia="Times New Roman" w:cs="Arial"/>
          <w:color w:val="000000"/>
          <w:lang w:eastAsia="bg-BG"/>
        </w:rPr>
        <w:tab/>
      </w:r>
    </w:p>
    <w:p w14:paraId="1B09632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васкулит</w:t>
      </w:r>
    </w:p>
    <w:p w14:paraId="685C4A59" w14:textId="77777777" w:rsidR="00527A57" w:rsidRDefault="00527A57" w:rsidP="00527A57">
      <w:pPr>
        <w:spacing w:line="240" w:lineRule="auto"/>
        <w:rPr>
          <w:rFonts w:eastAsia="Times New Roman" w:cs="Arial"/>
          <w:i/>
          <w:iCs/>
          <w:color w:val="000000"/>
          <w:lang w:eastAsia="bg-BG"/>
        </w:rPr>
      </w:pPr>
    </w:p>
    <w:p w14:paraId="522E7CAE" w14:textId="0C926C95"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Респираторни, гръдни и медиастенални нарушения</w:t>
      </w:r>
      <w:r w:rsidRPr="00527A57">
        <w:rPr>
          <w:rFonts w:eastAsia="Times New Roman" w:cs="Arial"/>
          <w:color w:val="000000"/>
          <w:lang w:eastAsia="bg-BG"/>
        </w:rPr>
        <w:tab/>
      </w:r>
      <w:r w:rsidRPr="00527A57">
        <w:rPr>
          <w:rFonts w:eastAsia="Times New Roman" w:cs="Arial"/>
          <w:color w:val="000000"/>
          <w:lang w:eastAsia="bg-BG"/>
        </w:rPr>
        <w:tab/>
      </w:r>
    </w:p>
    <w:p w14:paraId="5C71F60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диспнея</w:t>
      </w:r>
    </w:p>
    <w:p w14:paraId="63F3D049" w14:textId="3FAABA95" w:rsidR="00527A57" w:rsidRDefault="00527A57" w:rsidP="00527A57">
      <w:pPr>
        <w:rPr>
          <w:rFonts w:eastAsia="Times New Roman" w:cs="Arial"/>
          <w:color w:val="000000"/>
          <w:lang w:eastAsia="bg-BG"/>
        </w:rPr>
      </w:pPr>
      <w:r w:rsidRPr="00527A57">
        <w:rPr>
          <w:rFonts w:eastAsia="Times New Roman" w:cs="Arial"/>
          <w:color w:val="000000"/>
          <w:lang w:eastAsia="bg-BG"/>
        </w:rPr>
        <w:t>Много редки: кашлица</w:t>
      </w:r>
    </w:p>
    <w:p w14:paraId="13C4AC0A" w14:textId="7B08C12A" w:rsidR="00527A57" w:rsidRDefault="00527A57" w:rsidP="00527A57">
      <w:pPr>
        <w:rPr>
          <w:rFonts w:eastAsia="Times New Roman" w:cs="Arial"/>
          <w:color w:val="000000"/>
          <w:lang w:eastAsia="bg-BG"/>
        </w:rPr>
      </w:pPr>
    </w:p>
    <w:p w14:paraId="61A7F7D1"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Стомашно-чревни нарушения</w:t>
      </w:r>
    </w:p>
    <w:p w14:paraId="03DAF18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абдоминална болка, гадене</w:t>
      </w:r>
    </w:p>
    <w:p w14:paraId="0171AC4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повръщане, диспепсия промяна в перисталтиката на червата (включително диария и запек), сухота в устата</w:t>
      </w:r>
    </w:p>
    <w:p w14:paraId="00EA010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панкреатит, гастрит, хиперплазия на венците</w:t>
      </w:r>
    </w:p>
    <w:p w14:paraId="35FA8234" w14:textId="77777777" w:rsidR="00527A57" w:rsidRDefault="00527A57" w:rsidP="00527A57">
      <w:pPr>
        <w:spacing w:line="240" w:lineRule="auto"/>
        <w:rPr>
          <w:rFonts w:eastAsia="Times New Roman" w:cs="Arial"/>
          <w:i/>
          <w:iCs/>
          <w:color w:val="000000"/>
          <w:lang w:eastAsia="bg-BG"/>
        </w:rPr>
      </w:pPr>
    </w:p>
    <w:p w14:paraId="2C35FAA1" w14:textId="0B1B6B92"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Хепато-билиарни нарушения</w:t>
      </w:r>
    </w:p>
    <w:p w14:paraId="2DDCC15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хепатит, жълтеница, повишени чернодробни ензими</w:t>
      </w:r>
    </w:p>
    <w:p w14:paraId="5026C615" w14:textId="77777777" w:rsidR="00527A57" w:rsidRDefault="00527A57" w:rsidP="00527A57">
      <w:pPr>
        <w:spacing w:line="240" w:lineRule="auto"/>
        <w:rPr>
          <w:rFonts w:eastAsia="Times New Roman" w:cs="Arial"/>
          <w:i/>
          <w:iCs/>
          <w:color w:val="000000"/>
          <w:lang w:eastAsia="bg-BG"/>
        </w:rPr>
      </w:pPr>
    </w:p>
    <w:p w14:paraId="08F25022" w14:textId="6661C746"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кожата и подкожната тъкан</w:t>
      </w:r>
    </w:p>
    <w:p w14:paraId="52F8ED8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алопеция, пурпура, промяна в цвета на кожата, хиперхидроза, пруритус, обрив, екзантема</w:t>
      </w:r>
    </w:p>
    <w:p w14:paraId="32BDF71A"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Редки: ангиоедем, еритема мултиформе,уртикария,ексфолиативен дерматит, синдром на </w:t>
      </w:r>
      <w:r w:rsidRPr="00527A57">
        <w:rPr>
          <w:rFonts w:eastAsia="Times New Roman" w:cs="Arial"/>
          <w:color w:val="000000"/>
          <w:lang w:val="en-US"/>
        </w:rPr>
        <w:t xml:space="preserve">Stevens Johnson, </w:t>
      </w:r>
      <w:r w:rsidRPr="00527A57">
        <w:rPr>
          <w:rFonts w:eastAsia="Times New Roman" w:cs="Arial"/>
          <w:color w:val="000000"/>
          <w:lang w:eastAsia="bg-BG"/>
        </w:rPr>
        <w:t xml:space="preserve">оток на </w:t>
      </w:r>
      <w:proofErr w:type="spellStart"/>
      <w:r w:rsidRPr="00527A57">
        <w:rPr>
          <w:rFonts w:eastAsia="Times New Roman" w:cs="Arial"/>
          <w:color w:val="000000"/>
          <w:lang w:val="en-US"/>
        </w:rPr>
        <w:t>Quincke</w:t>
      </w:r>
      <w:proofErr w:type="spellEnd"/>
    </w:p>
    <w:p w14:paraId="3CBD7D8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фоточувствителност</w:t>
      </w:r>
    </w:p>
    <w:p w14:paraId="1BEB9DCA" w14:textId="77777777" w:rsidR="00527A57" w:rsidRDefault="00527A57" w:rsidP="00527A57">
      <w:pPr>
        <w:spacing w:line="240" w:lineRule="auto"/>
        <w:rPr>
          <w:rFonts w:eastAsia="Times New Roman" w:cs="Arial"/>
          <w:i/>
          <w:iCs/>
          <w:color w:val="000000"/>
          <w:lang w:eastAsia="bg-BG"/>
        </w:rPr>
      </w:pPr>
    </w:p>
    <w:p w14:paraId="4C84AEA1" w14:textId="7A8A04E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 xml:space="preserve">Нарушения на мускулно-скелетната система и съединителната тъкан </w:t>
      </w:r>
      <w:r w:rsidRPr="00527A57">
        <w:rPr>
          <w:rFonts w:eastAsia="Times New Roman" w:cs="Arial"/>
          <w:color w:val="000000"/>
          <w:lang w:eastAsia="bg-BG"/>
        </w:rPr>
        <w:t>Чести: оток на глезените</w:t>
      </w:r>
    </w:p>
    <w:p w14:paraId="192C3E7E"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Нечести:артралгия, миалгия, мускулни крампи, болки в гърба</w:t>
      </w:r>
    </w:p>
    <w:p w14:paraId="5E9D8E47" w14:textId="77777777" w:rsidR="00527A57" w:rsidRDefault="00527A57" w:rsidP="00527A57">
      <w:pPr>
        <w:spacing w:line="240" w:lineRule="auto"/>
        <w:rPr>
          <w:rFonts w:eastAsia="Times New Roman" w:cs="Arial"/>
          <w:i/>
          <w:iCs/>
          <w:color w:val="000000"/>
          <w:lang w:eastAsia="bg-BG"/>
        </w:rPr>
      </w:pPr>
    </w:p>
    <w:p w14:paraId="51661FBE" w14:textId="39110FF2"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lastRenderedPageBreak/>
        <w:t>Нарушения на бъбреците и пикочните пътища</w:t>
      </w:r>
    </w:p>
    <w:p w14:paraId="55DCB02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нарушено уриниране, нощно уриниране, увеличена честота на уриниране.</w:t>
      </w:r>
    </w:p>
    <w:p w14:paraId="01550B05" w14:textId="77777777" w:rsidR="00527A57" w:rsidRDefault="00527A57" w:rsidP="00527A57">
      <w:pPr>
        <w:spacing w:line="240" w:lineRule="auto"/>
        <w:rPr>
          <w:rFonts w:eastAsia="Times New Roman" w:cs="Arial"/>
          <w:i/>
          <w:iCs/>
          <w:color w:val="000000"/>
          <w:lang w:eastAsia="bg-BG"/>
        </w:rPr>
      </w:pPr>
    </w:p>
    <w:p w14:paraId="0E5F0391" w14:textId="5D68320D"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възпроизводителната система и гърдата</w:t>
      </w:r>
    </w:p>
    <w:p w14:paraId="6E18900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импотентност, гинекомастия</w:t>
      </w:r>
    </w:p>
    <w:p w14:paraId="7A196016" w14:textId="77777777" w:rsidR="00527A57" w:rsidRDefault="00527A57" w:rsidP="00527A57">
      <w:pPr>
        <w:spacing w:line="240" w:lineRule="auto"/>
        <w:rPr>
          <w:rFonts w:eastAsia="Times New Roman" w:cs="Arial"/>
          <w:i/>
          <w:iCs/>
          <w:color w:val="000000"/>
          <w:lang w:eastAsia="bg-BG"/>
        </w:rPr>
      </w:pPr>
    </w:p>
    <w:p w14:paraId="3F59C817" w14:textId="369480AE"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Общи нарушения и ефекти на мястото на приложение</w:t>
      </w:r>
    </w:p>
    <w:p w14:paraId="725DDDB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отоци, умора</w:t>
      </w:r>
    </w:p>
    <w:p w14:paraId="19E757AE" w14:textId="160F9AA3" w:rsidR="00527A57" w:rsidRPr="00527A57" w:rsidRDefault="00527A57" w:rsidP="00527A57">
      <w:pPr>
        <w:rPr>
          <w:rFonts w:eastAsia="Times New Roman" w:cs="Arial"/>
          <w:color w:val="000000"/>
          <w:lang w:eastAsia="bg-BG"/>
        </w:rPr>
      </w:pPr>
      <w:r w:rsidRPr="00527A57">
        <w:rPr>
          <w:rFonts w:eastAsia="Times New Roman" w:cs="Arial"/>
          <w:color w:val="000000"/>
          <w:lang w:eastAsia="bg-BG"/>
        </w:rPr>
        <w:t>Нечести: гръдна болка, астения, болки, неразположение</w:t>
      </w:r>
    </w:p>
    <w:p w14:paraId="1A60D7E1" w14:textId="77777777" w:rsidR="00527A57" w:rsidRPr="00527A57" w:rsidRDefault="00527A57" w:rsidP="00527A57">
      <w:pPr>
        <w:rPr>
          <w:rFonts w:cs="Arial"/>
        </w:rPr>
      </w:pPr>
    </w:p>
    <w:p w14:paraId="0A023CE0" w14:textId="10469474" w:rsidR="00CF77F7" w:rsidRDefault="002C50EE" w:rsidP="004A448E">
      <w:pPr>
        <w:pStyle w:val="Heading2"/>
      </w:pPr>
      <w:r>
        <w:t>4.9. Предозиране</w:t>
      </w:r>
    </w:p>
    <w:p w14:paraId="7EB9E514" w14:textId="3A881F3C" w:rsidR="00527A57" w:rsidRDefault="00527A57" w:rsidP="00527A57"/>
    <w:p w14:paraId="5526A13F"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Симптоми:</w:t>
      </w:r>
    </w:p>
    <w:p w14:paraId="4604CE0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При значително предозиране може да се наблюдава изразена периферна вазодилатация и рефлекторна тахикардия. Съобщавана е и продължителна хипотония до шок с фатален изход.</w:t>
      </w:r>
    </w:p>
    <w:p w14:paraId="41607161" w14:textId="74621AE3"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Лечение:</w:t>
      </w:r>
    </w:p>
    <w:p w14:paraId="1323025D" w14:textId="2BEA6EBB" w:rsidR="00527A57" w:rsidRPr="00527A57" w:rsidRDefault="00527A57" w:rsidP="00527A57">
      <w:pPr>
        <w:rPr>
          <w:rFonts w:cs="Arial"/>
        </w:rPr>
      </w:pPr>
      <w:r w:rsidRPr="00527A57">
        <w:rPr>
          <w:rFonts w:eastAsia="Times New Roman" w:cs="Arial"/>
          <w:color w:val="000000"/>
          <w:lang w:eastAsia="bg-BG"/>
        </w:rPr>
        <w:t>Приложението до два часа на активен въглен значително намалява резорбцията на амлодипин. Стомашната промивка също може да е от полза. При хипотония се изискват активни мерки за поддържане на функциите на сърдечносъдовата система-следене на циркулиращия обем и диурезата. За възстановяване на кръвното налягане и тонуса на съдовете се прилага антихипотензивни средства. Приложението на калциев глюконат венозно може да се използва за преодоляване на ефекта от блокирането на калциевите канали. АМЛОДИПИН БИОФАРМ се свързва във висок процент с плазмените протеини, диализата няма да бъде от полза.</w:t>
      </w:r>
    </w:p>
    <w:p w14:paraId="66615946" w14:textId="77777777" w:rsidR="00527A57" w:rsidRPr="00527A57" w:rsidRDefault="00527A57" w:rsidP="00527A57"/>
    <w:p w14:paraId="02081B24" w14:textId="1F46E296" w:rsidR="00395555" w:rsidRPr="00395555" w:rsidRDefault="002C50EE" w:rsidP="008A6AF2">
      <w:pPr>
        <w:pStyle w:val="Heading1"/>
      </w:pPr>
      <w:r>
        <w:t>5. ФАРМАКОЛОГИЧНИ СВОЙСТВА</w:t>
      </w:r>
    </w:p>
    <w:p w14:paraId="32B6DE66" w14:textId="72AE59E4" w:rsidR="00CF77F7" w:rsidRDefault="002C50EE" w:rsidP="004A448E">
      <w:pPr>
        <w:pStyle w:val="Heading2"/>
      </w:pPr>
      <w:r>
        <w:t>5.1. Фармакодинамични свойства</w:t>
      </w:r>
    </w:p>
    <w:p w14:paraId="25BB8188" w14:textId="25650212" w:rsidR="00527A57" w:rsidRDefault="00527A57" w:rsidP="00527A57"/>
    <w:p w14:paraId="72BB66E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Фармакотерапевтична група: Калциеви антагонисти; Дихидропиридинова група, </w:t>
      </w:r>
      <w:r w:rsidRPr="00527A57">
        <w:rPr>
          <w:rFonts w:eastAsia="Times New Roman" w:cs="Arial"/>
          <w:color w:val="000000"/>
          <w:lang w:val="en-US"/>
        </w:rPr>
        <w:t xml:space="preserve">ATC </w:t>
      </w:r>
      <w:r w:rsidRPr="00527A57">
        <w:rPr>
          <w:rFonts w:eastAsia="Times New Roman" w:cs="Arial"/>
          <w:color w:val="000000"/>
          <w:lang w:eastAsia="bg-BG"/>
        </w:rPr>
        <w:t>код:</w:t>
      </w:r>
    </w:p>
    <w:p w14:paraId="1A676AE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С08С А01</w:t>
      </w:r>
    </w:p>
    <w:p w14:paraId="0C7E238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АМЛОДИПИН БИОФАРМ е калциев антагонист, който инхибира трансмембранния  инфлукс на калциевите йони в сърдечната и съдовата гладка мускулатура. </w:t>
      </w:r>
      <w:r w:rsidRPr="00527A57">
        <w:rPr>
          <w:rFonts w:eastAsia="Times New Roman" w:cs="Arial"/>
          <w:color w:val="000000"/>
          <w:lang w:eastAsia="bg-BG"/>
        </w:rPr>
        <w:tab/>
      </w:r>
    </w:p>
    <w:p w14:paraId="5E25973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Механизмът на антихипертензивно действие на амлодипин се дължи на директен</w:t>
      </w:r>
      <w:r w:rsidRPr="00527A57">
        <w:rPr>
          <w:rFonts w:eastAsia="Times New Roman" w:cs="Arial"/>
          <w:color w:val="000000"/>
          <w:lang w:eastAsia="bg-BG"/>
        </w:rPr>
        <w:tab/>
      </w:r>
    </w:p>
    <w:p w14:paraId="2F0D20D7" w14:textId="4F0AE1DC" w:rsidR="00527A57" w:rsidRDefault="00527A57" w:rsidP="00527A57">
      <w:pPr>
        <w:rPr>
          <w:rFonts w:eastAsia="Times New Roman" w:cs="Arial"/>
          <w:color w:val="000000"/>
          <w:lang w:eastAsia="bg-BG"/>
        </w:rPr>
      </w:pPr>
      <w:r w:rsidRPr="00527A57">
        <w:rPr>
          <w:rFonts w:eastAsia="Times New Roman" w:cs="Arial"/>
          <w:color w:val="000000"/>
          <w:lang w:eastAsia="bg-BG"/>
        </w:rPr>
        <w:t>релаксиращ ефект върху съдовата гладка мускулатура. Точният механизъм, по който</w:t>
      </w:r>
    </w:p>
    <w:p w14:paraId="7BD47A7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амлодипин облекчава стенокардията, не е напълно изяснен, но намалява общото натоварване по следните два начина:</w:t>
      </w:r>
    </w:p>
    <w:p w14:paraId="216B0F1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w:t>
      </w:r>
      <w:r w:rsidRPr="00527A57">
        <w:rPr>
          <w:rFonts w:eastAsia="Times New Roman" w:cs="Arial"/>
          <w:color w:val="000000"/>
          <w:lang w:eastAsia="bg-BG"/>
        </w:rPr>
        <w:tab/>
        <w:t>Предизвиква дилатация на периферните артериоли и по този начин намалява периферното съпротивление след натоварването, срещу което сърцето работи. Сърдечната честота остава стабилна, което отбременява сърцето и намалява енергийната консумация и кислородните нужди на миокарда.</w:t>
      </w:r>
    </w:p>
    <w:p w14:paraId="232E692E"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w:t>
      </w:r>
      <w:r w:rsidRPr="00527A57">
        <w:rPr>
          <w:rFonts w:eastAsia="Times New Roman" w:cs="Arial"/>
          <w:color w:val="000000"/>
          <w:lang w:eastAsia="bg-BG"/>
        </w:rPr>
        <w:tab/>
        <w:t>Разширява коронарните артерии и артериоли, което увеличава доставката на кислород при болни с коронарен артериален спазъм и намалява коронарната вазоконстрикция.</w:t>
      </w:r>
    </w:p>
    <w:p w14:paraId="4685C74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При пациенти с хипертония осигурява понижаване на кръвното налягане при еднократно приложение за 24-часов интервал. Най-малко 4 седмици са необходими за достигане на максималния ефект. Поради бавното начало на действие остра хипотония и рефлекторна </w:t>
      </w:r>
      <w:r w:rsidRPr="00527A57">
        <w:rPr>
          <w:rFonts w:eastAsia="Times New Roman" w:cs="Arial"/>
          <w:color w:val="000000"/>
          <w:lang w:eastAsia="bg-BG"/>
        </w:rPr>
        <w:lastRenderedPageBreak/>
        <w:t>тахикардия не се наблюдава. Лечението е амлодипин предизвиква регресия на хипертрофията на лявата камера. Хемодинамичният ефект на амлодипин остава непроменен при продължително приложение.</w:t>
      </w:r>
    </w:p>
    <w:p w14:paraId="153BBAA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Приложението на амлодипин при пациенти със стенокардия увеличава времето на физическо натоварване, времето на провокиране на стенокардния пристъп и времето на депресия на </w:t>
      </w:r>
      <w:r w:rsidRPr="00527A57">
        <w:rPr>
          <w:rFonts w:eastAsia="Times New Roman" w:cs="Arial"/>
          <w:color w:val="000000"/>
          <w:lang w:val="en-US"/>
        </w:rPr>
        <w:t>ST</w:t>
      </w:r>
      <w:r w:rsidRPr="00527A57">
        <w:rPr>
          <w:rFonts w:eastAsia="Times New Roman" w:cs="Arial"/>
          <w:color w:val="000000"/>
          <w:lang w:eastAsia="bg-BG"/>
        </w:rPr>
        <w:t xml:space="preserve">-сегмента с 1 </w:t>
      </w:r>
      <w:r w:rsidRPr="00527A57">
        <w:rPr>
          <w:rFonts w:eastAsia="Times New Roman" w:cs="Arial"/>
          <w:color w:val="000000"/>
          <w:lang w:val="en-US"/>
        </w:rPr>
        <w:t xml:space="preserve">mm </w:t>
      </w:r>
      <w:r w:rsidRPr="00527A57">
        <w:rPr>
          <w:rFonts w:eastAsia="Times New Roman" w:cs="Arial"/>
          <w:color w:val="000000"/>
          <w:lang w:eastAsia="bg-BG"/>
        </w:rPr>
        <w:t>и намалява честотата на стенокардните пристъпи. Амлодипин може да се прилага като монотерапия или да се комбинира с бета блокери, диуретици, АСЕ-инхибитори.</w:t>
      </w:r>
    </w:p>
    <w:p w14:paraId="6F87A097" w14:textId="510B0E87" w:rsidR="00527A57" w:rsidRDefault="00527A57" w:rsidP="00527A57">
      <w:pPr>
        <w:rPr>
          <w:rFonts w:eastAsia="Times New Roman" w:cs="Arial"/>
          <w:color w:val="000000"/>
          <w:lang w:eastAsia="bg-BG"/>
        </w:rPr>
      </w:pPr>
      <w:r w:rsidRPr="00527A57">
        <w:rPr>
          <w:rFonts w:eastAsia="Times New Roman" w:cs="Arial"/>
          <w:color w:val="000000"/>
          <w:lang w:eastAsia="bg-BG"/>
        </w:rPr>
        <w:t>Не са установени метаболитни ефекти, т.е. влияние върху плазмените липиди и глюкозния метаболизъм при лечение с амлодипин.</w:t>
      </w:r>
    </w:p>
    <w:p w14:paraId="6B81BEB3" w14:textId="77777777" w:rsidR="00527A57" w:rsidRDefault="00527A57" w:rsidP="00527A57">
      <w:pPr>
        <w:rPr>
          <w:rFonts w:cs="Arial"/>
          <w:i/>
          <w:iCs/>
        </w:rPr>
      </w:pPr>
    </w:p>
    <w:p w14:paraId="12E54A7A" w14:textId="1C04496E" w:rsidR="00527A57" w:rsidRPr="00527A57" w:rsidRDefault="00527A57" w:rsidP="00527A57">
      <w:pPr>
        <w:rPr>
          <w:rFonts w:cs="Arial"/>
        </w:rPr>
      </w:pPr>
      <w:r w:rsidRPr="00527A57">
        <w:rPr>
          <w:rFonts w:cs="Arial"/>
          <w:i/>
          <w:iCs/>
        </w:rPr>
        <w:t>Приложение при пациенти с исхемична болест на сърцето</w:t>
      </w:r>
    </w:p>
    <w:p w14:paraId="0166DFC0" w14:textId="77777777" w:rsidR="00527A57" w:rsidRPr="00527A57" w:rsidRDefault="00527A57" w:rsidP="00527A57">
      <w:pPr>
        <w:rPr>
          <w:rFonts w:cs="Arial"/>
        </w:rPr>
      </w:pPr>
      <w:r w:rsidRPr="00527A57">
        <w:rPr>
          <w:rFonts w:cs="Arial"/>
        </w:rPr>
        <w:t xml:space="preserve">Ефектът на амлодипин върху заболеваемостта и смъртността от сърдечносъдови заболявания, върху прогресията на коронарната атеросклероза са проучени в 3 годишно клинично проучване </w:t>
      </w:r>
      <w:r w:rsidRPr="00527A57">
        <w:rPr>
          <w:rFonts w:cs="Arial"/>
          <w:lang w:val="en-US"/>
        </w:rPr>
        <w:t>PREVENT (Prospective Randomized Evaluation of the Vascular Effects of Norvasc Trial)</w:t>
      </w:r>
    </w:p>
    <w:p w14:paraId="62A2696B" w14:textId="77777777" w:rsidR="00527A57" w:rsidRPr="00527A57" w:rsidRDefault="00527A57" w:rsidP="00527A57">
      <w:pPr>
        <w:rPr>
          <w:rFonts w:cs="Arial"/>
        </w:rPr>
      </w:pPr>
      <w:r w:rsidRPr="00527A57">
        <w:rPr>
          <w:rFonts w:cs="Arial"/>
        </w:rPr>
        <w:t xml:space="preserve">В това мултицентрово, рандомизирано, двойно-сляпо, плацебо-контролирано клинично проучване за три години са проследени 825 пациента с ангиографски доказани атеросклеротични промени на коронарните артерии. Популацията включва пациенти с прекаран миокарден инфаркт (МИ) (45%), перкутанна транслумена коронарна ангиопластика (ПТКА)преди проучването, (42%) или с анамнеза за стенокардия (69%). Степента на засягане на коронарните артерии варира от едноклоново ( 45% от пациентите) до многоклоново (три и повече съда) засягане (21% от пациентите). Пациенти с неконтролирана хипертония (диастолно кръвно налягане &gt; 95 </w:t>
      </w:r>
      <w:r w:rsidRPr="00527A57">
        <w:rPr>
          <w:rFonts w:cs="Arial"/>
          <w:lang w:val="en-US"/>
        </w:rPr>
        <w:t xml:space="preserve">mm Hg) </w:t>
      </w:r>
      <w:r w:rsidRPr="00527A57">
        <w:rPr>
          <w:rFonts w:cs="Arial"/>
        </w:rPr>
        <w:t>са изключени от проучването. Оценката на големите сърдечносъдови инциденти е направена от експертен съвет, който не е имал информация за това дали пациентите са получавали съответно амлодипин или плацебо. Въпреки че няма демонстративни ефекти върху скоростта на прогресия на коронарните лезии, амлодипин спира прогресията на задебеляване на интимата и медията на каротидните артерии. При пациенти лекувани с амлодипин, е наблюдавано значимо намаление (-31%) на комбинирания показател, включващ сърдечна смърт, миокарден инфаркт, инсулт, ПТКА, аорто-коронарен байпас, хоспитализация за нестабилна стенокардия и влошаване на застойна сърдечна недостатъчност. Също така при пациентите, лекувани с амлодипин, се отчита значително намаляване (-42%) на реваскуларизационните процедури ( ПТКА и АКБ). По-малко са били и хоспитализираните (-33%) по повод на нестабилна стенокардия при пациентите на амлодипин, отколкото на плацебо.</w:t>
      </w:r>
    </w:p>
    <w:p w14:paraId="0BB30F35" w14:textId="77777777" w:rsidR="00527A57" w:rsidRPr="00527A57" w:rsidRDefault="00527A57" w:rsidP="00527A57">
      <w:pPr>
        <w:rPr>
          <w:rFonts w:cs="Arial"/>
        </w:rPr>
      </w:pPr>
      <w:r w:rsidRPr="00527A57">
        <w:rPr>
          <w:rFonts w:cs="Arial"/>
        </w:rPr>
        <w:t xml:space="preserve">Ефективността на амлодипин в профилактиката на клинични инциденти при пациенти с ИБС е оценена в мултицентрово, рандомизирано, двойно-сляпо, плацебо-контролирано проучване </w:t>
      </w:r>
      <w:r w:rsidRPr="00527A57">
        <w:rPr>
          <w:rFonts w:cs="Arial"/>
          <w:lang w:val="en-US"/>
        </w:rPr>
        <w:t>CAMELOT (</w:t>
      </w:r>
      <w:proofErr w:type="spellStart"/>
      <w:r w:rsidRPr="00527A57">
        <w:rPr>
          <w:rFonts w:cs="Arial"/>
          <w:lang w:val="en-US"/>
        </w:rPr>
        <w:t>Comperison</w:t>
      </w:r>
      <w:proofErr w:type="spellEnd"/>
      <w:r w:rsidRPr="00527A57">
        <w:rPr>
          <w:rFonts w:cs="Arial"/>
          <w:lang w:val="en-US"/>
        </w:rPr>
        <w:t xml:space="preserve"> of Amlodipine vs </w:t>
      </w:r>
      <w:proofErr w:type="spellStart"/>
      <w:r w:rsidRPr="00527A57">
        <w:rPr>
          <w:rFonts w:cs="Arial"/>
          <w:lang w:val="en-US"/>
        </w:rPr>
        <w:t>Enalapril</w:t>
      </w:r>
      <w:proofErr w:type="spellEnd"/>
      <w:r w:rsidRPr="00527A57">
        <w:rPr>
          <w:rFonts w:cs="Arial"/>
          <w:lang w:val="en-US"/>
        </w:rPr>
        <w:t xml:space="preserve"> to Limit </w:t>
      </w:r>
      <w:proofErr w:type="spellStart"/>
      <w:r w:rsidRPr="00527A57">
        <w:rPr>
          <w:rFonts w:cs="Arial"/>
          <w:lang w:val="en-US"/>
        </w:rPr>
        <w:t>Occurrenccs</w:t>
      </w:r>
      <w:proofErr w:type="spellEnd"/>
      <w:r w:rsidRPr="00527A57">
        <w:rPr>
          <w:rFonts w:cs="Arial"/>
          <w:lang w:val="en-US"/>
        </w:rPr>
        <w:t xml:space="preserve"> of Thrombosis).</w:t>
      </w:r>
      <w:r w:rsidRPr="00527A57">
        <w:rPr>
          <w:rFonts w:cs="Arial"/>
        </w:rPr>
        <w:t xml:space="preserve">Проучването включва </w:t>
      </w:r>
      <w:r w:rsidRPr="00527A57">
        <w:rPr>
          <w:rFonts w:cs="Arial"/>
          <w:lang w:val="en-US"/>
        </w:rPr>
        <w:t xml:space="preserve">1991 </w:t>
      </w:r>
      <w:r w:rsidRPr="00527A57">
        <w:rPr>
          <w:rFonts w:cs="Arial"/>
        </w:rPr>
        <w:t xml:space="preserve">пациента </w:t>
      </w:r>
      <w:r w:rsidRPr="00527A57">
        <w:rPr>
          <w:rFonts w:cs="Arial"/>
          <w:lang w:val="en-US"/>
        </w:rPr>
        <w:t xml:space="preserve">c </w:t>
      </w:r>
      <w:r w:rsidRPr="00527A57">
        <w:rPr>
          <w:rFonts w:cs="Arial"/>
        </w:rPr>
        <w:t>ИБС, доказана чрез ангиография и с</w:t>
      </w:r>
      <w:r w:rsidRPr="00527A57">
        <w:rPr>
          <w:rFonts w:cs="Arial"/>
          <w:vertAlign w:val="subscript"/>
        </w:rPr>
        <w:t xml:space="preserve"> </w:t>
      </w:r>
      <w:r w:rsidRPr="00527A57">
        <w:rPr>
          <w:rFonts w:cs="Arial"/>
        </w:rPr>
        <w:t xml:space="preserve">добре контролирано кръвно налягане. Пациентите са рандомизирани към амлодипин 10 </w:t>
      </w:r>
      <w:r w:rsidRPr="00527A57">
        <w:rPr>
          <w:rFonts w:cs="Arial"/>
          <w:lang w:val="en-US"/>
        </w:rPr>
        <w:t>mg,</w:t>
      </w:r>
      <w:r w:rsidRPr="00527A57">
        <w:rPr>
          <w:rFonts w:cs="Arial"/>
        </w:rPr>
        <w:t xml:space="preserve"> еналаприл 20 </w:t>
      </w:r>
      <w:r w:rsidRPr="00527A57">
        <w:rPr>
          <w:rFonts w:cs="Arial"/>
          <w:lang w:val="en-US"/>
        </w:rPr>
        <w:t xml:space="preserve">mg </w:t>
      </w:r>
      <w:r w:rsidRPr="00527A57">
        <w:rPr>
          <w:rFonts w:cs="Arial"/>
        </w:rPr>
        <w:t>или плацебо в допълнение към стандартно лечение,</w:t>
      </w:r>
      <w:r w:rsidRPr="00527A57">
        <w:rPr>
          <w:rFonts w:cs="Arial"/>
          <w:lang w:val="en-US"/>
        </w:rPr>
        <w:t xml:space="preserve"> </w:t>
      </w:r>
      <w:r w:rsidRPr="00527A57">
        <w:rPr>
          <w:rFonts w:cs="Arial"/>
        </w:rPr>
        <w:t>включващо аспирин.</w:t>
      </w:r>
      <w:r w:rsidRPr="00527A57">
        <w:rPr>
          <w:rFonts w:cs="Arial"/>
        </w:rPr>
        <w:tab/>
      </w:r>
    </w:p>
    <w:p w14:paraId="5D27FE9B" w14:textId="663DFFA3" w:rsidR="00527A57" w:rsidRDefault="00527A57" w:rsidP="00527A57">
      <w:pPr>
        <w:rPr>
          <w:rFonts w:eastAsia="Times New Roman" w:cs="Arial"/>
          <w:color w:val="000000"/>
          <w:lang w:eastAsia="bg-BG"/>
        </w:rPr>
      </w:pPr>
      <w:r w:rsidRPr="00527A57">
        <w:rPr>
          <w:rFonts w:cs="Arial"/>
        </w:rPr>
        <w:t>(89%), статини (83%), бета блокери (74%), нитроглицерин (50%), антикоагуланти (40</w:t>
      </w:r>
      <w:r w:rsidRPr="00527A57">
        <w:rPr>
          <w:rFonts w:cs="Arial"/>
          <w:lang w:val="en-US"/>
        </w:rPr>
        <w:t xml:space="preserve"> %) </w:t>
      </w:r>
      <w:r w:rsidRPr="00527A57">
        <w:rPr>
          <w:rFonts w:cs="Arial"/>
        </w:rPr>
        <w:t>и</w:t>
      </w:r>
      <w:r w:rsidRPr="00527A57">
        <w:rPr>
          <w:rFonts w:cs="Arial"/>
          <w:i/>
          <w:iCs/>
        </w:rPr>
        <w:t xml:space="preserve"> </w:t>
      </w:r>
      <w:r w:rsidRPr="00527A57">
        <w:rPr>
          <w:rFonts w:cs="Arial"/>
        </w:rPr>
        <w:t>диуретици (32%), но изключващо друг калциев блокер. Периодът на проследяване  е бил 2</w:t>
      </w:r>
      <w:r>
        <w:rPr>
          <w:rFonts w:cs="Arial"/>
          <w:lang w:val="en-US"/>
        </w:rPr>
        <w:t xml:space="preserve"> </w:t>
      </w:r>
      <w:r w:rsidRPr="00527A57">
        <w:rPr>
          <w:rFonts w:eastAsia="Times New Roman" w:cs="Arial"/>
          <w:color w:val="000000"/>
          <w:lang w:eastAsia="bg-BG"/>
        </w:rPr>
        <w:t xml:space="preserve">години. Първичната крайна цел била времето до първа поява на едно от следните събития: хоспитализация за стенокардия, коронарна реваскуларизация, миокарден инфаркт, сърдечна-съдова смърт, ресусцитиран сърдечен арест, хоспитализация за </w:t>
      </w:r>
      <w:r w:rsidRPr="00527A57">
        <w:rPr>
          <w:rFonts w:eastAsia="Times New Roman" w:cs="Arial"/>
          <w:color w:val="000000"/>
          <w:lang w:eastAsia="bg-BG"/>
        </w:rPr>
        <w:lastRenderedPageBreak/>
        <w:t>сърдечна недостатъчност, инсулт/преходно нарушение на мозъчното кръвообръщение или периферна съдова болест. Общо 110 (16.6%) и 151 (23.1%) първични събития са се появили съответно при групите на амлодипин и плацебо със сигнификантно намаляване на относителния риск от 31% (р= 0.003). Общо 110 (16.6%) и 136(20.2%) първични събития са се появили съответно при групите на амлодипин и еналаприл и тази разлика достига статистическа значимост (р= 0.097). Основните резултати за ефективността от лечението са представени в Табл.1. Резултатите показват, че лечението с амлодипин е свързано с по- малко хоспитализации за стенокардия и процедури за реваскуларизация при пациенти с ИБС.</w:t>
      </w:r>
    </w:p>
    <w:p w14:paraId="7384F597" w14:textId="77777777" w:rsidR="00527A57" w:rsidRPr="00527A57" w:rsidRDefault="00527A57" w:rsidP="00527A57">
      <w:pPr>
        <w:rPr>
          <w:rFonts w:eastAsia="Times New Roman" w:cs="Arial"/>
          <w:lang w:eastAsia="bg-BG"/>
        </w:rPr>
      </w:pPr>
    </w:p>
    <w:p w14:paraId="303930CD" w14:textId="4ECE98D7" w:rsidR="00527A57" w:rsidRDefault="00527A57" w:rsidP="00527A57">
      <w:pPr>
        <w:rPr>
          <w:rFonts w:eastAsia="Times New Roman" w:cs="Arial"/>
          <w:color w:val="000000"/>
          <w:lang w:val="en-US"/>
        </w:rPr>
      </w:pPr>
      <w:r w:rsidRPr="00527A57">
        <w:rPr>
          <w:rFonts w:eastAsia="Times New Roman" w:cs="Arial"/>
          <w:color w:val="000000"/>
          <w:lang w:eastAsia="bg-BG"/>
        </w:rPr>
        <w:t xml:space="preserve">Табл. 1 Честота на значимите клинични събития при </w:t>
      </w:r>
      <w:r w:rsidRPr="00527A57">
        <w:rPr>
          <w:rFonts w:eastAsia="Times New Roman" w:cs="Arial"/>
          <w:color w:val="000000"/>
          <w:lang w:val="en-US"/>
        </w:rPr>
        <w:t>CAMELOT</w:t>
      </w:r>
    </w:p>
    <w:tbl>
      <w:tblPr>
        <w:tblStyle w:val="TableGrid"/>
        <w:tblW w:w="0" w:type="auto"/>
        <w:tblLook w:val="04A0" w:firstRow="1" w:lastRow="0" w:firstColumn="1" w:lastColumn="0" w:noHBand="0" w:noVBand="1"/>
      </w:tblPr>
      <w:tblGrid>
        <w:gridCol w:w="2364"/>
        <w:gridCol w:w="2331"/>
        <w:gridCol w:w="2319"/>
        <w:gridCol w:w="2336"/>
      </w:tblGrid>
      <w:tr w:rsidR="00527A57" w14:paraId="1818429E" w14:textId="77777777" w:rsidTr="00787D92">
        <w:tc>
          <w:tcPr>
            <w:tcW w:w="9350" w:type="dxa"/>
            <w:gridSpan w:val="4"/>
          </w:tcPr>
          <w:p w14:paraId="6D92140E" w14:textId="3B30EB73" w:rsidR="00527A57" w:rsidRPr="00527A57" w:rsidRDefault="00527A57" w:rsidP="00527A57">
            <w:pPr>
              <w:jc w:val="center"/>
              <w:rPr>
                <w:rFonts w:cs="Arial"/>
                <w:lang w:val="en-US"/>
              </w:rPr>
            </w:pPr>
            <w:r w:rsidRPr="00527A57">
              <w:t>CAMELOT</w:t>
            </w:r>
          </w:p>
        </w:tc>
      </w:tr>
      <w:tr w:rsidR="00787D92" w14:paraId="77B42AD6" w14:textId="77777777" w:rsidTr="00CA1287">
        <w:trPr>
          <w:trHeight w:val="820"/>
        </w:trPr>
        <w:tc>
          <w:tcPr>
            <w:tcW w:w="2364" w:type="dxa"/>
          </w:tcPr>
          <w:p w14:paraId="61CF4C48" w14:textId="77777777" w:rsidR="00787D92" w:rsidRPr="00527A57" w:rsidRDefault="00787D92" w:rsidP="00527A57">
            <w:pPr>
              <w:rPr>
                <w:rFonts w:cs="Arial"/>
                <w:lang w:val="en-US"/>
              </w:rPr>
            </w:pPr>
            <w:r w:rsidRPr="00527A57">
              <w:t>Клинични</w:t>
            </w:r>
          </w:p>
          <w:p w14:paraId="20FA31EF" w14:textId="77777777" w:rsidR="00787D92" w:rsidRDefault="00787D92" w:rsidP="00527A57">
            <w:r w:rsidRPr="00527A57">
              <w:t>Събития</w:t>
            </w:r>
          </w:p>
          <w:p w14:paraId="75C05FAB" w14:textId="6800A52A" w:rsidR="00787D92" w:rsidRPr="00787D92" w:rsidRDefault="00787D92" w:rsidP="00527A57">
            <w:proofErr w:type="gramStart"/>
            <w:r w:rsidRPr="00527A57">
              <w:rPr>
                <w:lang w:val="en-US"/>
              </w:rPr>
              <w:t>N(</w:t>
            </w:r>
            <w:proofErr w:type="gramEnd"/>
            <w:r w:rsidRPr="00527A57">
              <w:rPr>
                <w:lang w:val="en-US"/>
              </w:rPr>
              <w:t>%)</w:t>
            </w:r>
          </w:p>
        </w:tc>
        <w:tc>
          <w:tcPr>
            <w:tcW w:w="2331" w:type="dxa"/>
          </w:tcPr>
          <w:p w14:paraId="287399B9" w14:textId="77777777" w:rsidR="00787D92" w:rsidRPr="00527A57" w:rsidRDefault="00787D92" w:rsidP="00527A57">
            <w:pPr>
              <w:rPr>
                <w:rFonts w:cs="Arial"/>
                <w:lang w:val="en-US"/>
              </w:rPr>
            </w:pPr>
            <w:r w:rsidRPr="00527A57">
              <w:t>Амлодипин</w:t>
            </w:r>
          </w:p>
          <w:p w14:paraId="70230CC4" w14:textId="75DD1157" w:rsidR="00787D92" w:rsidRPr="00527A57" w:rsidRDefault="00787D92" w:rsidP="00527A57">
            <w:pPr>
              <w:rPr>
                <w:rFonts w:cs="Arial"/>
                <w:lang w:val="en-US"/>
              </w:rPr>
            </w:pPr>
            <w:r w:rsidRPr="00527A57">
              <w:rPr>
                <w:lang w:val="en-US"/>
              </w:rPr>
              <w:t xml:space="preserve">(N= </w:t>
            </w:r>
            <w:r w:rsidRPr="00527A57">
              <w:t>663)</w:t>
            </w:r>
          </w:p>
        </w:tc>
        <w:tc>
          <w:tcPr>
            <w:tcW w:w="2319" w:type="dxa"/>
          </w:tcPr>
          <w:p w14:paraId="2D3AB741" w14:textId="77777777" w:rsidR="00787D92" w:rsidRPr="00527A57" w:rsidRDefault="00787D92" w:rsidP="00527A57">
            <w:pPr>
              <w:rPr>
                <w:rFonts w:cs="Arial"/>
                <w:lang w:val="en-US"/>
              </w:rPr>
            </w:pPr>
            <w:r w:rsidRPr="00527A57">
              <w:t>Плацебо</w:t>
            </w:r>
          </w:p>
          <w:p w14:paraId="0BADBFE8" w14:textId="4095154D" w:rsidR="00787D92" w:rsidRPr="00527A57" w:rsidRDefault="00787D92" w:rsidP="00527A57">
            <w:pPr>
              <w:rPr>
                <w:rFonts w:cs="Arial"/>
                <w:lang w:val="en-US"/>
              </w:rPr>
            </w:pPr>
            <w:r w:rsidRPr="00527A57">
              <w:rPr>
                <w:lang w:val="en-US"/>
              </w:rPr>
              <w:t>(N=655)</w:t>
            </w:r>
          </w:p>
        </w:tc>
        <w:tc>
          <w:tcPr>
            <w:tcW w:w="2336" w:type="dxa"/>
          </w:tcPr>
          <w:p w14:paraId="64CECB8B" w14:textId="77777777" w:rsidR="00787D92" w:rsidRPr="00527A57" w:rsidRDefault="00787D92" w:rsidP="00527A57">
            <w:pPr>
              <w:rPr>
                <w:rFonts w:cs="Arial"/>
                <w:lang w:val="en-US"/>
              </w:rPr>
            </w:pPr>
            <w:r w:rsidRPr="00527A57">
              <w:t>Намаляване на риска</w:t>
            </w:r>
          </w:p>
          <w:p w14:paraId="23A7CEC5" w14:textId="6C6371C1" w:rsidR="00787D92" w:rsidRPr="00527A57" w:rsidRDefault="00787D92" w:rsidP="00527A57">
            <w:pPr>
              <w:rPr>
                <w:rFonts w:cs="Arial"/>
                <w:lang w:val="en-US"/>
              </w:rPr>
            </w:pPr>
            <w:r w:rsidRPr="00527A57">
              <w:rPr>
                <w:lang w:val="en-US"/>
              </w:rPr>
              <w:t>(p-value)</w:t>
            </w:r>
          </w:p>
        </w:tc>
      </w:tr>
      <w:tr w:rsidR="00787D92" w14:paraId="79147CF3" w14:textId="77777777" w:rsidTr="004B019E">
        <w:trPr>
          <w:trHeight w:val="550"/>
        </w:trPr>
        <w:tc>
          <w:tcPr>
            <w:tcW w:w="2364" w:type="dxa"/>
          </w:tcPr>
          <w:p w14:paraId="614C4FCD" w14:textId="77777777" w:rsidR="00787D92" w:rsidRPr="00527A57" w:rsidRDefault="00787D92" w:rsidP="00527A57">
            <w:pPr>
              <w:rPr>
                <w:rFonts w:cs="Arial"/>
                <w:lang w:val="en-US"/>
              </w:rPr>
            </w:pPr>
            <w:r w:rsidRPr="00527A57">
              <w:t>Комбинирана</w:t>
            </w:r>
          </w:p>
          <w:p w14:paraId="24C4FD1B" w14:textId="160AE5A9" w:rsidR="00787D92" w:rsidRPr="00787D92" w:rsidRDefault="00787D92" w:rsidP="00527A57">
            <w:pPr>
              <w:rPr>
                <w:rFonts w:cs="Arial"/>
                <w:lang w:val="en-US"/>
              </w:rPr>
            </w:pPr>
            <w:r w:rsidRPr="00527A57">
              <w:t>сърдечно-съдова</w:t>
            </w:r>
            <w:r>
              <w:rPr>
                <w:lang w:val="en-US"/>
              </w:rPr>
              <w:t xml:space="preserve"> </w:t>
            </w:r>
            <w:r>
              <w:t>крайна цел</w:t>
            </w:r>
            <w:r>
              <w:rPr>
                <w:lang w:val="en-US"/>
              </w:rPr>
              <w:t>*</w:t>
            </w:r>
          </w:p>
        </w:tc>
        <w:tc>
          <w:tcPr>
            <w:tcW w:w="2331" w:type="dxa"/>
          </w:tcPr>
          <w:p w14:paraId="20AA81D4" w14:textId="77777777" w:rsidR="00787D92" w:rsidRPr="00527A57" w:rsidRDefault="00787D92" w:rsidP="00527A57">
            <w:pPr>
              <w:rPr>
                <w:rFonts w:cs="Arial"/>
                <w:lang w:val="en-US"/>
              </w:rPr>
            </w:pPr>
            <w:r w:rsidRPr="00527A57">
              <w:t>110</w:t>
            </w:r>
          </w:p>
          <w:p w14:paraId="342EB9F8" w14:textId="484361B4" w:rsidR="00787D92" w:rsidRPr="00527A57" w:rsidRDefault="00787D92" w:rsidP="00527A57">
            <w:pPr>
              <w:rPr>
                <w:rFonts w:cs="Arial"/>
                <w:lang w:val="en-US"/>
              </w:rPr>
            </w:pPr>
            <w:r w:rsidRPr="00527A57">
              <w:t>(16.6)</w:t>
            </w:r>
          </w:p>
        </w:tc>
        <w:tc>
          <w:tcPr>
            <w:tcW w:w="2319" w:type="dxa"/>
          </w:tcPr>
          <w:p w14:paraId="2E7A29B7" w14:textId="77777777" w:rsidR="00787D92" w:rsidRPr="00527A57" w:rsidRDefault="00787D92" w:rsidP="00527A57">
            <w:pPr>
              <w:rPr>
                <w:rFonts w:cs="Arial"/>
                <w:lang w:val="en-US"/>
              </w:rPr>
            </w:pPr>
            <w:r w:rsidRPr="00527A57">
              <w:t>151</w:t>
            </w:r>
          </w:p>
          <w:p w14:paraId="7FA12BAB" w14:textId="1F9F14B2" w:rsidR="00787D92" w:rsidRPr="00527A57" w:rsidRDefault="00787D92" w:rsidP="00527A57">
            <w:pPr>
              <w:rPr>
                <w:rFonts w:cs="Arial"/>
                <w:lang w:val="en-US"/>
              </w:rPr>
            </w:pPr>
            <w:r w:rsidRPr="00527A57">
              <w:t>(23.1)</w:t>
            </w:r>
          </w:p>
        </w:tc>
        <w:tc>
          <w:tcPr>
            <w:tcW w:w="2336" w:type="dxa"/>
          </w:tcPr>
          <w:p w14:paraId="4067B431" w14:textId="77777777" w:rsidR="00787D92" w:rsidRPr="00527A57" w:rsidRDefault="00787D92" w:rsidP="00527A57">
            <w:pPr>
              <w:rPr>
                <w:rFonts w:cs="Arial"/>
                <w:lang w:val="en-US"/>
              </w:rPr>
            </w:pPr>
            <w:r w:rsidRPr="00527A57">
              <w:t>31%</w:t>
            </w:r>
          </w:p>
          <w:p w14:paraId="65153163" w14:textId="65788AA0" w:rsidR="00787D92" w:rsidRPr="00527A57" w:rsidRDefault="00787D92" w:rsidP="00527A57">
            <w:pPr>
              <w:rPr>
                <w:rFonts w:cs="Arial"/>
                <w:lang w:val="en-US"/>
              </w:rPr>
            </w:pPr>
            <w:r w:rsidRPr="00527A57">
              <w:t>(0.003)</w:t>
            </w:r>
          </w:p>
        </w:tc>
      </w:tr>
      <w:tr w:rsidR="00787D92" w14:paraId="2338B758" w14:textId="77777777" w:rsidTr="007C4197">
        <w:trPr>
          <w:trHeight w:val="550"/>
        </w:trPr>
        <w:tc>
          <w:tcPr>
            <w:tcW w:w="2364" w:type="dxa"/>
          </w:tcPr>
          <w:p w14:paraId="4699BF3A" w14:textId="77777777" w:rsidR="00787D92" w:rsidRPr="00527A57" w:rsidRDefault="00787D92" w:rsidP="00527A57">
            <w:pPr>
              <w:rPr>
                <w:rFonts w:cs="Arial"/>
                <w:lang w:val="en-US"/>
              </w:rPr>
            </w:pPr>
            <w:r w:rsidRPr="00527A57">
              <w:t>Хоспитализация</w:t>
            </w:r>
          </w:p>
          <w:p w14:paraId="196A18AD" w14:textId="134A0105" w:rsidR="00787D92" w:rsidRPr="00527A57" w:rsidRDefault="00787D92" w:rsidP="00527A57">
            <w:pPr>
              <w:rPr>
                <w:rFonts w:cs="Arial"/>
                <w:lang w:val="en-US"/>
              </w:rPr>
            </w:pPr>
            <w:r w:rsidRPr="00527A57">
              <w:t>за стенокардия</w:t>
            </w:r>
          </w:p>
        </w:tc>
        <w:tc>
          <w:tcPr>
            <w:tcW w:w="2331" w:type="dxa"/>
          </w:tcPr>
          <w:p w14:paraId="43828EAE" w14:textId="77777777" w:rsidR="00787D92" w:rsidRPr="00527A57" w:rsidRDefault="00787D92" w:rsidP="00527A57">
            <w:pPr>
              <w:rPr>
                <w:rFonts w:cs="Arial"/>
                <w:lang w:val="en-US"/>
              </w:rPr>
            </w:pPr>
            <w:r w:rsidRPr="00527A57">
              <w:t>51</w:t>
            </w:r>
          </w:p>
          <w:p w14:paraId="16415627" w14:textId="02A89496" w:rsidR="00787D92" w:rsidRPr="00527A57" w:rsidRDefault="00787D92" w:rsidP="00527A57">
            <w:pPr>
              <w:rPr>
                <w:rFonts w:cs="Arial"/>
                <w:lang w:val="en-US"/>
              </w:rPr>
            </w:pPr>
            <w:r w:rsidRPr="00527A57">
              <w:t>(7.7)</w:t>
            </w:r>
          </w:p>
        </w:tc>
        <w:tc>
          <w:tcPr>
            <w:tcW w:w="2319" w:type="dxa"/>
          </w:tcPr>
          <w:p w14:paraId="02A97093" w14:textId="77777777" w:rsidR="00787D92" w:rsidRPr="00527A57" w:rsidRDefault="00787D92" w:rsidP="00527A57">
            <w:pPr>
              <w:rPr>
                <w:rFonts w:cs="Arial"/>
                <w:lang w:val="en-US"/>
              </w:rPr>
            </w:pPr>
            <w:r w:rsidRPr="00527A57">
              <w:t>84</w:t>
            </w:r>
          </w:p>
          <w:p w14:paraId="6392DD93" w14:textId="395060B0" w:rsidR="00787D92" w:rsidRPr="00527A57" w:rsidRDefault="00787D92" w:rsidP="00527A57">
            <w:pPr>
              <w:rPr>
                <w:rFonts w:cs="Arial"/>
                <w:lang w:val="en-US"/>
              </w:rPr>
            </w:pPr>
            <w:r w:rsidRPr="00527A57">
              <w:t>(12.8)</w:t>
            </w:r>
          </w:p>
        </w:tc>
        <w:tc>
          <w:tcPr>
            <w:tcW w:w="2336" w:type="dxa"/>
          </w:tcPr>
          <w:p w14:paraId="638D2EEA" w14:textId="77777777" w:rsidR="00787D92" w:rsidRPr="00527A57" w:rsidRDefault="00787D92" w:rsidP="00527A57">
            <w:pPr>
              <w:rPr>
                <w:rFonts w:cs="Arial"/>
                <w:lang w:val="en-US"/>
              </w:rPr>
            </w:pPr>
            <w:r w:rsidRPr="00527A57">
              <w:t>42%</w:t>
            </w:r>
          </w:p>
          <w:p w14:paraId="144B2E37" w14:textId="3A4DBB26" w:rsidR="00787D92" w:rsidRPr="00527A57" w:rsidRDefault="00787D92" w:rsidP="00527A57">
            <w:pPr>
              <w:rPr>
                <w:rFonts w:cs="Arial"/>
                <w:lang w:val="en-US"/>
              </w:rPr>
            </w:pPr>
            <w:r w:rsidRPr="00527A57">
              <w:t>(0.002)</w:t>
            </w:r>
          </w:p>
        </w:tc>
      </w:tr>
      <w:tr w:rsidR="00787D92" w14:paraId="1CD1BE47" w14:textId="77777777" w:rsidTr="00DA3C1E">
        <w:trPr>
          <w:trHeight w:val="550"/>
        </w:trPr>
        <w:tc>
          <w:tcPr>
            <w:tcW w:w="2364" w:type="dxa"/>
          </w:tcPr>
          <w:p w14:paraId="3167B35B" w14:textId="77777777" w:rsidR="00787D92" w:rsidRPr="00527A57" w:rsidRDefault="00787D92" w:rsidP="00527A57">
            <w:pPr>
              <w:rPr>
                <w:rFonts w:cs="Arial"/>
                <w:lang w:val="en-US"/>
              </w:rPr>
            </w:pPr>
            <w:r w:rsidRPr="00527A57">
              <w:t>Коронарна</w:t>
            </w:r>
          </w:p>
          <w:p w14:paraId="4D62936A" w14:textId="7258762F" w:rsidR="00787D92" w:rsidRPr="00527A57" w:rsidRDefault="00787D92" w:rsidP="00527A57">
            <w:pPr>
              <w:rPr>
                <w:rFonts w:cs="Arial"/>
                <w:lang w:val="en-US"/>
              </w:rPr>
            </w:pPr>
            <w:r w:rsidRPr="00527A57">
              <w:t>Реваскуларизация</w:t>
            </w:r>
          </w:p>
        </w:tc>
        <w:tc>
          <w:tcPr>
            <w:tcW w:w="2331" w:type="dxa"/>
          </w:tcPr>
          <w:p w14:paraId="07F9CDFB" w14:textId="77777777" w:rsidR="00787D92" w:rsidRPr="00527A57" w:rsidRDefault="00787D92" w:rsidP="00527A57">
            <w:pPr>
              <w:rPr>
                <w:rFonts w:cs="Arial"/>
                <w:lang w:val="en-US"/>
              </w:rPr>
            </w:pPr>
            <w:r w:rsidRPr="00527A57">
              <w:t>78</w:t>
            </w:r>
          </w:p>
          <w:p w14:paraId="59BE38B3" w14:textId="155FDBB8" w:rsidR="00787D92" w:rsidRPr="00527A57" w:rsidRDefault="00787D92" w:rsidP="00527A57">
            <w:pPr>
              <w:rPr>
                <w:rFonts w:cs="Arial"/>
                <w:lang w:val="en-US"/>
              </w:rPr>
            </w:pPr>
            <w:r w:rsidRPr="00527A57">
              <w:t>(11.8)</w:t>
            </w:r>
          </w:p>
        </w:tc>
        <w:tc>
          <w:tcPr>
            <w:tcW w:w="2319" w:type="dxa"/>
          </w:tcPr>
          <w:p w14:paraId="33A484FD" w14:textId="77777777" w:rsidR="00787D92" w:rsidRPr="00527A57" w:rsidRDefault="00787D92" w:rsidP="00527A57">
            <w:pPr>
              <w:rPr>
                <w:rFonts w:cs="Arial"/>
                <w:lang w:val="en-US"/>
              </w:rPr>
            </w:pPr>
            <w:r w:rsidRPr="00527A57">
              <w:t>103</w:t>
            </w:r>
          </w:p>
          <w:p w14:paraId="71921A25" w14:textId="498EA2C5" w:rsidR="00787D92" w:rsidRPr="00527A57" w:rsidRDefault="00787D92" w:rsidP="00527A57">
            <w:pPr>
              <w:rPr>
                <w:rFonts w:cs="Arial"/>
                <w:lang w:val="en-US"/>
              </w:rPr>
            </w:pPr>
            <w:r w:rsidRPr="00527A57">
              <w:t>(15.7)</w:t>
            </w:r>
          </w:p>
        </w:tc>
        <w:tc>
          <w:tcPr>
            <w:tcW w:w="2336" w:type="dxa"/>
          </w:tcPr>
          <w:p w14:paraId="4E5419F0" w14:textId="77777777" w:rsidR="00787D92" w:rsidRPr="00527A57" w:rsidRDefault="00787D92" w:rsidP="00527A57">
            <w:pPr>
              <w:rPr>
                <w:rFonts w:cs="Arial"/>
                <w:lang w:val="en-US"/>
              </w:rPr>
            </w:pPr>
            <w:r w:rsidRPr="00527A57">
              <w:t>27%</w:t>
            </w:r>
          </w:p>
          <w:p w14:paraId="0D01E598" w14:textId="0B73F949" w:rsidR="00787D92" w:rsidRPr="00527A57" w:rsidRDefault="00787D92" w:rsidP="00527A57">
            <w:pPr>
              <w:rPr>
                <w:rFonts w:cs="Arial"/>
                <w:lang w:val="en-US"/>
              </w:rPr>
            </w:pPr>
            <w:r w:rsidRPr="00527A57">
              <w:t>(0.033)</w:t>
            </w:r>
          </w:p>
        </w:tc>
      </w:tr>
    </w:tbl>
    <w:p w14:paraId="66CA5B07" w14:textId="2F2CCBF8" w:rsidR="00527A57" w:rsidRDefault="00527A57" w:rsidP="00527A57">
      <w:pPr>
        <w:rPr>
          <w:rFonts w:cs="Arial"/>
          <w:lang w:val="en-US"/>
        </w:rPr>
      </w:pPr>
    </w:p>
    <w:p w14:paraId="0932A03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*1). Определена в </w:t>
      </w:r>
      <w:r w:rsidRPr="00527A57">
        <w:rPr>
          <w:rFonts w:eastAsia="Times New Roman" w:cs="Arial"/>
          <w:color w:val="000000"/>
          <w:lang w:val="en-US"/>
        </w:rPr>
        <w:t xml:space="preserve">CAMELOT </w:t>
      </w:r>
      <w:r w:rsidRPr="00527A57">
        <w:rPr>
          <w:rFonts w:eastAsia="Times New Roman" w:cs="Arial"/>
          <w:color w:val="000000"/>
          <w:lang w:eastAsia="bg-BG"/>
        </w:rPr>
        <w:t>като сърдечна-съдова смърт, нефатален миокарден инфаркт, ресусцитиран сърдечен арест, коронарна реваскуларизация, хоспитализация за стенокардия, хоспитализация за застойна сърдечна недостатъчност, фатален или нефатален инсулт или преходно нарушение на мозъчното кръвообращение, всяка новодиагностицирана периферна съдова болест или хоспитализация за процедура за лечение на периферна съдова болест.</w:t>
      </w:r>
    </w:p>
    <w:p w14:paraId="7639E4A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2). Комбинираната сърдечно-съдова крайна цел е първичната крайна цел по отношение на ефикасността при </w:t>
      </w:r>
      <w:r w:rsidRPr="00527A57">
        <w:rPr>
          <w:rFonts w:eastAsia="Times New Roman" w:cs="Arial"/>
          <w:color w:val="000000"/>
          <w:lang w:val="en-US"/>
        </w:rPr>
        <w:t>CAMELOT.</w:t>
      </w:r>
    </w:p>
    <w:p w14:paraId="1A58CF94" w14:textId="77777777" w:rsidR="001E24F4" w:rsidRDefault="001E24F4" w:rsidP="00527A57">
      <w:pPr>
        <w:spacing w:line="240" w:lineRule="auto"/>
        <w:rPr>
          <w:rFonts w:eastAsia="Times New Roman" w:cs="Arial"/>
          <w:color w:val="000000"/>
          <w:lang w:eastAsia="bg-BG"/>
        </w:rPr>
      </w:pPr>
    </w:p>
    <w:p w14:paraId="2606BA9C" w14:textId="60182BE5"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Клинично проучване за лечение за предпазване на остър сърдечен пристъп </w:t>
      </w:r>
      <w:r w:rsidRPr="00527A57">
        <w:rPr>
          <w:rFonts w:eastAsia="Times New Roman" w:cs="Arial"/>
          <w:color w:val="000000"/>
          <w:lang w:val="en-US"/>
        </w:rPr>
        <w:t>(ALLHAT)</w:t>
      </w:r>
    </w:p>
    <w:p w14:paraId="5705B110" w14:textId="77777777" w:rsidR="001E24F4" w:rsidRDefault="001E24F4" w:rsidP="00527A57">
      <w:pPr>
        <w:spacing w:line="240" w:lineRule="auto"/>
        <w:rPr>
          <w:rFonts w:eastAsia="Times New Roman" w:cs="Arial"/>
          <w:color w:val="000000"/>
          <w:lang w:eastAsia="bg-BG"/>
        </w:rPr>
      </w:pPr>
    </w:p>
    <w:p w14:paraId="6B31AC97" w14:textId="5C201D02"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Рандомизирано, двойно сляпо, оценяващо заболеваемостта и смъртността клинично проучване </w:t>
      </w:r>
      <w:r w:rsidRPr="00527A57">
        <w:rPr>
          <w:rFonts w:eastAsia="Times New Roman" w:cs="Arial"/>
          <w:color w:val="000000"/>
          <w:lang w:val="en-US"/>
        </w:rPr>
        <w:t xml:space="preserve">ALLHAT (Antihypertensive and Lipid Lowering Treatment to Prevent Heart Attack Trial) </w:t>
      </w:r>
      <w:r w:rsidRPr="00527A57">
        <w:rPr>
          <w:rFonts w:eastAsia="Times New Roman" w:cs="Arial"/>
          <w:color w:val="000000"/>
          <w:lang w:eastAsia="bg-BG"/>
        </w:rPr>
        <w:t xml:space="preserve">е проведено за да се сравни по-новите лекарствени терапии с амлодипин 2.5 </w:t>
      </w:r>
      <w:r w:rsidRPr="00527A57">
        <w:rPr>
          <w:rFonts w:eastAsia="Times New Roman" w:cs="Arial"/>
          <w:color w:val="000000"/>
          <w:lang w:val="en-US"/>
        </w:rPr>
        <w:t xml:space="preserve">mg </w:t>
      </w:r>
      <w:r w:rsidRPr="00527A57">
        <w:rPr>
          <w:rFonts w:eastAsia="Times New Roman" w:cs="Arial"/>
          <w:color w:val="000000"/>
          <w:lang w:eastAsia="bg-BG"/>
        </w:rPr>
        <w:t xml:space="preserve">дневно или лизиноприл като лечение от първа линия спрямо лечение с тиазидния диуретик хлорталидон 12.5-25 </w:t>
      </w:r>
      <w:r w:rsidRPr="00527A57">
        <w:rPr>
          <w:rFonts w:eastAsia="Times New Roman" w:cs="Arial"/>
          <w:color w:val="000000"/>
          <w:lang w:val="en-US"/>
        </w:rPr>
        <w:t xml:space="preserve">mg </w:t>
      </w:r>
      <w:r w:rsidRPr="00527A57">
        <w:rPr>
          <w:rFonts w:eastAsia="Times New Roman" w:cs="Arial"/>
          <w:color w:val="000000"/>
          <w:lang w:eastAsia="bg-BG"/>
        </w:rPr>
        <w:t>дневно при лека до умерена хипертония.</w:t>
      </w:r>
    </w:p>
    <w:p w14:paraId="6BB7065A"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Общо 33 357 пациенти с хипертония на възраст &gt; 55г са били рандомизирани и проследени средно 4.9 години. Пациентите са имали най-малко още един рисков фактор за ИБС, включително миокарден инфаркт или инсулт &gt; 6 месеца или документирана друга атеросклеротична коронарна съдова болест (общо 51.5%), диабет тип</w:t>
      </w:r>
      <w:r w:rsidRPr="00527A57">
        <w:rPr>
          <w:rFonts w:eastAsia="Times New Roman" w:cs="Arial"/>
          <w:color w:val="000000"/>
          <w:lang w:val="en-US"/>
        </w:rPr>
        <w:t xml:space="preserve"> </w:t>
      </w:r>
      <w:r w:rsidRPr="00527A57">
        <w:rPr>
          <w:rFonts w:eastAsia="Times New Roman" w:cs="Arial"/>
          <w:color w:val="000000"/>
          <w:lang w:eastAsia="bg-BG"/>
        </w:rPr>
        <w:t xml:space="preserve">2 (36.1 %), </w:t>
      </w:r>
      <w:r w:rsidRPr="00527A57">
        <w:rPr>
          <w:rFonts w:eastAsia="Times New Roman" w:cs="Arial"/>
          <w:color w:val="000000"/>
          <w:lang w:val="en-US"/>
        </w:rPr>
        <w:t>HDL-C &lt;35mg/</w:t>
      </w:r>
      <w:proofErr w:type="spellStart"/>
      <w:r w:rsidRPr="00527A57">
        <w:rPr>
          <w:rFonts w:eastAsia="Times New Roman" w:cs="Arial"/>
          <w:color w:val="000000"/>
          <w:lang w:val="en-US"/>
        </w:rPr>
        <w:t>dL</w:t>
      </w:r>
      <w:proofErr w:type="spellEnd"/>
      <w:r w:rsidRPr="00527A57">
        <w:rPr>
          <w:rFonts w:eastAsia="Times New Roman" w:cs="Arial"/>
          <w:color w:val="000000"/>
          <w:lang w:val="en-US"/>
        </w:rPr>
        <w:t xml:space="preserve"> </w:t>
      </w:r>
      <w:r w:rsidRPr="00527A57">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r w:rsidRPr="00527A57">
        <w:rPr>
          <w:rFonts w:eastAsia="Times New Roman" w:cs="Arial"/>
          <w:color w:val="000000"/>
          <w:lang w:val="en-US"/>
        </w:rPr>
        <w:tab/>
      </w:r>
      <w:r w:rsidRPr="00527A57">
        <w:rPr>
          <w:rFonts w:eastAsia="Times New Roman" w:cs="Arial"/>
          <w:color w:val="000000"/>
          <w:lang w:eastAsia="bg-BG"/>
        </w:rPr>
        <w:tab/>
      </w:r>
    </w:p>
    <w:p w14:paraId="7004C6C2" w14:textId="77777777" w:rsidR="001E24F4" w:rsidRPr="001E24F4" w:rsidRDefault="00527A57" w:rsidP="001E24F4">
      <w:pPr>
        <w:rPr>
          <w:rFonts w:eastAsia="Times New Roman" w:cs="Arial"/>
          <w:lang w:eastAsia="bg-BG"/>
        </w:rPr>
      </w:pPr>
      <w:r w:rsidRPr="00527A57">
        <w:rPr>
          <w:rFonts w:eastAsia="Times New Roman" w:cs="Arial"/>
          <w:color w:val="000000"/>
          <w:lang w:eastAsia="bg-BG"/>
        </w:rPr>
        <w:t>Първичната крайна цел е комбинация от фатална ИБС или нефатален миокарден инфаркт. Не се наблюдава значима разлика в първичната крайна цел между терапията с амлодипин и</w:t>
      </w:r>
      <w:r w:rsidR="001E24F4">
        <w:rPr>
          <w:rFonts w:eastAsia="Times New Roman" w:cs="Arial"/>
          <w:color w:val="000000"/>
          <w:lang w:val="en-US" w:eastAsia="bg-BG"/>
        </w:rPr>
        <w:t xml:space="preserve"> </w:t>
      </w:r>
      <w:r w:rsidR="001E24F4" w:rsidRPr="001E24F4">
        <w:rPr>
          <w:rFonts w:eastAsia="Times New Roman" w:cs="Arial"/>
          <w:color w:val="000000"/>
          <w:lang w:eastAsia="bg-BG"/>
        </w:rPr>
        <w:t xml:space="preserve">хлорталидон: </w:t>
      </w:r>
      <w:r w:rsidR="001E24F4" w:rsidRPr="001E24F4">
        <w:rPr>
          <w:rFonts w:eastAsia="Times New Roman" w:cs="Arial"/>
          <w:color w:val="000000"/>
          <w:lang w:val="en-US"/>
        </w:rPr>
        <w:t xml:space="preserve">RR </w:t>
      </w:r>
      <w:r w:rsidR="001E24F4" w:rsidRPr="001E24F4">
        <w:rPr>
          <w:rFonts w:eastAsia="Times New Roman" w:cs="Arial"/>
          <w:color w:val="000000"/>
          <w:lang w:eastAsia="bg-BG"/>
        </w:rPr>
        <w:t xml:space="preserve">0.98 95% </w:t>
      </w:r>
      <w:r w:rsidR="001E24F4" w:rsidRPr="001E24F4">
        <w:rPr>
          <w:rFonts w:eastAsia="Times New Roman" w:cs="Arial"/>
          <w:color w:val="000000"/>
          <w:lang w:val="en-US"/>
        </w:rPr>
        <w:t>CI (0.90-1,07) p</w:t>
      </w:r>
      <w:r w:rsidR="001E24F4" w:rsidRPr="001E24F4">
        <w:rPr>
          <w:rFonts w:eastAsia="Times New Roman" w:cs="Arial"/>
          <w:color w:val="000000"/>
          <w:lang w:eastAsia="bg-BG"/>
        </w:rPr>
        <w:t>≈</w:t>
      </w:r>
      <w:r w:rsidR="001E24F4" w:rsidRPr="001E24F4">
        <w:rPr>
          <w:rFonts w:eastAsia="Times New Roman" w:cs="Arial"/>
          <w:color w:val="000000"/>
          <w:lang w:val="en-US"/>
        </w:rPr>
        <w:t xml:space="preserve">0.65. </w:t>
      </w:r>
      <w:r w:rsidR="001E24F4" w:rsidRPr="001E24F4">
        <w:rPr>
          <w:rFonts w:eastAsia="Times New Roman" w:cs="Arial"/>
          <w:color w:val="000000"/>
          <w:lang w:eastAsia="bg-BG"/>
        </w:rPr>
        <w:t xml:space="preserve">В допълнение, няма </w:t>
      </w:r>
      <w:r w:rsidR="001E24F4" w:rsidRPr="001E24F4">
        <w:rPr>
          <w:rFonts w:eastAsia="Times New Roman" w:cs="Arial"/>
          <w:color w:val="000000"/>
          <w:lang w:eastAsia="bg-BG"/>
        </w:rPr>
        <w:lastRenderedPageBreak/>
        <w:t>значима разлика и в обща смъртност между амлодипин и хлорталидон: 0,96 95% (0.89-1.02) р≈0.20.</w:t>
      </w:r>
    </w:p>
    <w:p w14:paraId="0E6E4984" w14:textId="77777777" w:rsidR="001E24F4" w:rsidRDefault="001E24F4" w:rsidP="001E24F4">
      <w:pPr>
        <w:spacing w:line="240" w:lineRule="auto"/>
        <w:rPr>
          <w:rFonts w:eastAsia="Times New Roman" w:cs="Arial"/>
          <w:i/>
          <w:iCs/>
          <w:color w:val="000000"/>
          <w:lang w:eastAsia="bg-BG"/>
        </w:rPr>
      </w:pPr>
    </w:p>
    <w:p w14:paraId="0249E243" w14:textId="01900DCE" w:rsidR="001E24F4" w:rsidRPr="001E24F4" w:rsidRDefault="001E24F4" w:rsidP="001E24F4">
      <w:pPr>
        <w:spacing w:line="240" w:lineRule="auto"/>
        <w:rPr>
          <w:rFonts w:eastAsia="Times New Roman" w:cs="Arial"/>
          <w:lang w:eastAsia="bg-BG"/>
        </w:rPr>
      </w:pPr>
      <w:r w:rsidRPr="001E24F4">
        <w:rPr>
          <w:rFonts w:eastAsia="Times New Roman" w:cs="Arial"/>
          <w:i/>
          <w:iCs/>
          <w:color w:val="000000"/>
          <w:lang w:eastAsia="bg-BG"/>
        </w:rPr>
        <w:t>Приложение при пациенти със сърдечна недостатъчност</w:t>
      </w:r>
    </w:p>
    <w:p w14:paraId="021DDCD1" w14:textId="77777777" w:rsidR="001E24F4" w:rsidRDefault="001E24F4" w:rsidP="001E24F4">
      <w:pPr>
        <w:spacing w:line="240" w:lineRule="auto"/>
        <w:rPr>
          <w:rFonts w:eastAsia="Times New Roman" w:cs="Arial"/>
          <w:color w:val="000000"/>
          <w:lang w:eastAsia="bg-BG"/>
        </w:rPr>
      </w:pPr>
    </w:p>
    <w:p w14:paraId="6779D976" w14:textId="380710D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Хемодинамични изледвания и контролирани клинични изпитвания с физическо натоварване при пациенти със сърдечна недостатъчност клас П</w:t>
      </w:r>
      <w:r w:rsidRPr="001E24F4">
        <w:rPr>
          <w:rFonts w:eastAsia="Times New Roman" w:cs="Arial"/>
          <w:color w:val="000000"/>
          <w:lang w:val="en-US"/>
        </w:rPr>
        <w:t xml:space="preserve">-IV </w:t>
      </w:r>
      <w:r w:rsidRPr="001E24F4">
        <w:rPr>
          <w:rFonts w:eastAsia="Times New Roman" w:cs="Arial"/>
          <w:color w:val="000000"/>
          <w:lang w:eastAsia="bg-BG"/>
        </w:rPr>
        <w:t xml:space="preserve">по </w:t>
      </w:r>
      <w:r w:rsidRPr="001E24F4">
        <w:rPr>
          <w:rFonts w:eastAsia="Times New Roman" w:cs="Arial"/>
          <w:color w:val="000000"/>
          <w:lang w:val="en-US"/>
        </w:rPr>
        <w:t xml:space="preserve">NYHA </w:t>
      </w:r>
      <w:r w:rsidRPr="001E24F4">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 на изтласкване на лявата камера и клиничната симптоматика.</w:t>
      </w:r>
    </w:p>
    <w:p w14:paraId="5AD2B84F" w14:textId="77777777" w:rsidR="001E24F4" w:rsidRDefault="001E24F4" w:rsidP="001E24F4">
      <w:pPr>
        <w:spacing w:line="240" w:lineRule="auto"/>
        <w:rPr>
          <w:rFonts w:eastAsia="Times New Roman" w:cs="Arial"/>
          <w:color w:val="000000"/>
          <w:lang w:eastAsia="bg-BG"/>
        </w:rPr>
      </w:pPr>
    </w:p>
    <w:p w14:paraId="48987BC1" w14:textId="4EACEB7B"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Плацебо-контролирано клинично проучване </w:t>
      </w:r>
      <w:r w:rsidRPr="001E24F4">
        <w:rPr>
          <w:rFonts w:eastAsia="Times New Roman" w:cs="Arial"/>
          <w:color w:val="000000"/>
          <w:lang w:val="en-US"/>
        </w:rPr>
        <w:t xml:space="preserve">(I-IV </w:t>
      </w:r>
      <w:r w:rsidRPr="001E24F4">
        <w:rPr>
          <w:rFonts w:eastAsia="Times New Roman" w:cs="Arial"/>
          <w:color w:val="000000"/>
          <w:lang w:eastAsia="bg-BG"/>
        </w:rPr>
        <w:t xml:space="preserve">по </w:t>
      </w:r>
      <w:r w:rsidRPr="001E24F4">
        <w:rPr>
          <w:rFonts w:eastAsia="Times New Roman" w:cs="Arial"/>
          <w:color w:val="000000"/>
          <w:lang w:val="en-US"/>
        </w:rPr>
        <w:t xml:space="preserve">NYHA, </w:t>
      </w:r>
      <w:r w:rsidRPr="001E24F4">
        <w:rPr>
          <w:rFonts w:eastAsia="Times New Roman" w:cs="Arial"/>
          <w:color w:val="000000"/>
          <w:lang w:eastAsia="bg-BG"/>
        </w:rPr>
        <w:t>които получават дигоксин, диуретици и АСЕ-инхибитори,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46F122E4" w14:textId="77777777" w:rsidR="001E24F4" w:rsidRDefault="001E24F4" w:rsidP="001E24F4">
      <w:pPr>
        <w:spacing w:line="240" w:lineRule="auto"/>
        <w:rPr>
          <w:rFonts w:eastAsia="Times New Roman" w:cs="Arial"/>
          <w:color w:val="000000"/>
          <w:lang w:eastAsia="bg-BG"/>
        </w:rPr>
      </w:pPr>
    </w:p>
    <w:p w14:paraId="1CD07D92" w14:textId="60F58B62"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В проследяващо, дългосрочно, плацебо-контролирано клинично проучване </w:t>
      </w:r>
      <w:r w:rsidRPr="001E24F4">
        <w:rPr>
          <w:rFonts w:eastAsia="Times New Roman" w:cs="Arial"/>
          <w:color w:val="000000"/>
          <w:lang w:val="en-US"/>
        </w:rPr>
        <w:t xml:space="preserve">(PRAISE-2) </w:t>
      </w:r>
      <w:r w:rsidRPr="001E24F4">
        <w:rPr>
          <w:rFonts w:eastAsia="Times New Roman" w:cs="Arial"/>
          <w:color w:val="000000"/>
          <w:lang w:eastAsia="bg-BG"/>
        </w:rPr>
        <w:t xml:space="preserve">с амлодипин при пациенти със сърдечна недостатъчност клас </w:t>
      </w:r>
      <w:r w:rsidRPr="001E24F4">
        <w:rPr>
          <w:rFonts w:eastAsia="Times New Roman" w:cs="Arial"/>
          <w:color w:val="000000"/>
          <w:lang w:val="en-US"/>
        </w:rPr>
        <w:t>III-</w:t>
      </w:r>
      <w:r w:rsidRPr="001E24F4">
        <w:rPr>
          <w:rFonts w:eastAsia="Times New Roman" w:cs="Arial"/>
          <w:color w:val="000000"/>
          <w:lang w:eastAsia="bg-BG"/>
        </w:rPr>
        <w:t xml:space="preserve">IV по </w:t>
      </w:r>
      <w:r w:rsidRPr="001E24F4">
        <w:rPr>
          <w:rFonts w:eastAsia="Times New Roman" w:cs="Arial"/>
          <w:color w:val="000000"/>
          <w:lang w:val="en-US"/>
        </w:rPr>
        <w:t xml:space="preserve">NYHA </w:t>
      </w:r>
      <w:r w:rsidRPr="001E24F4">
        <w:rPr>
          <w:rFonts w:eastAsia="Times New Roman" w:cs="Arial"/>
          <w:color w:val="000000"/>
          <w:lang w:eastAsia="bg-BG"/>
        </w:rPr>
        <w:t xml:space="preserve">без клинични симптоми или обективни данни, предполагащи съществуваща исхемична болест на сърцето, на терапия с АСЕ- инхибитори, дигиталис и </w:t>
      </w:r>
      <w:r w:rsidRPr="001E24F4">
        <w:rPr>
          <w:rFonts w:eastAsia="Times New Roman" w:cs="Arial"/>
          <w:color w:val="000000"/>
          <w:lang w:val="en-US"/>
        </w:rPr>
        <w:t xml:space="preserve">PRAISE), </w:t>
      </w:r>
      <w:r w:rsidRPr="001E24F4">
        <w:rPr>
          <w:rFonts w:eastAsia="Times New Roman" w:cs="Arial"/>
          <w:color w:val="000000"/>
          <w:lang w:eastAsia="bg-BG"/>
        </w:rPr>
        <w:t>в което са проучвани пациенти със сърдечна недостатъчност клас II диуретици, амлодипин няма ефект върху общата или сърдечносъдовата смъртност. При същата група пациенти приложението на амлодипин е свързано с увеличена честота на случаите на белодробен оток, въпреки че няма значителна разлика в честотата на влошаване на сърдечната недостатъчност в сравнение с групата на плацебо.</w:t>
      </w:r>
    </w:p>
    <w:p w14:paraId="056E1772"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При проучване, включващо 268 деца на възраст 6-17 години с предимно вторична хипертония, сравняването на доза от 2,5 и 5 </w:t>
      </w:r>
      <w:r w:rsidRPr="001E24F4">
        <w:rPr>
          <w:rFonts w:eastAsia="Times New Roman" w:cs="Arial"/>
          <w:color w:val="000000"/>
          <w:lang w:val="en-US"/>
        </w:rPr>
        <w:t xml:space="preserve">mg </w:t>
      </w:r>
      <w:r w:rsidRPr="001E24F4">
        <w:rPr>
          <w:rFonts w:eastAsia="Times New Roman" w:cs="Arial"/>
          <w:color w:val="000000"/>
          <w:lang w:eastAsia="bg-BG"/>
        </w:rPr>
        <w:t>амлодипин с плацебо показват, че и двете дози понижават систоличното кръвно налягане сигнификантно в сравнение с плацебо .Разликата между двете дози не е статистически значима.</w:t>
      </w:r>
    </w:p>
    <w:p w14:paraId="6499BDE9" w14:textId="2BD45B12" w:rsidR="00527A57" w:rsidRDefault="001E24F4" w:rsidP="001E24F4">
      <w:pPr>
        <w:rPr>
          <w:rFonts w:eastAsia="Times New Roman" w:cs="Arial"/>
          <w:color w:val="000000"/>
          <w:lang w:eastAsia="bg-BG"/>
        </w:rPr>
      </w:pPr>
      <w:r w:rsidRPr="001E24F4">
        <w:rPr>
          <w:rFonts w:eastAsia="Times New Roman" w:cs="Arial"/>
          <w:color w:val="000000"/>
          <w:lang w:eastAsia="bg-BG"/>
        </w:rPr>
        <w:t>Дългосрочната ефикасност на амлодипин при терапия в детската възраст за намаляване на сърдечно-съдовата заболеваемост и смъртност при възрастни не е установена.</w:t>
      </w:r>
    </w:p>
    <w:p w14:paraId="0CB69E01" w14:textId="77777777" w:rsidR="001E24F4" w:rsidRPr="001E24F4" w:rsidRDefault="001E24F4" w:rsidP="001E24F4">
      <w:pPr>
        <w:rPr>
          <w:rFonts w:cs="Arial"/>
          <w:lang w:val="en-US"/>
        </w:rPr>
      </w:pPr>
    </w:p>
    <w:p w14:paraId="35F84B81" w14:textId="54D84562" w:rsidR="00CF77F7" w:rsidRDefault="002C50EE" w:rsidP="004A448E">
      <w:pPr>
        <w:pStyle w:val="Heading2"/>
      </w:pPr>
      <w:r>
        <w:t>5.2. Фармакокинетични свойства</w:t>
      </w:r>
    </w:p>
    <w:p w14:paraId="07EAA336" w14:textId="4F840397" w:rsidR="001E24F4" w:rsidRDefault="001E24F4" w:rsidP="001E24F4"/>
    <w:p w14:paraId="03EC7FC8" w14:textId="77777777" w:rsidR="001E24F4" w:rsidRPr="00A60E2C" w:rsidRDefault="001E24F4" w:rsidP="00A60E2C">
      <w:pPr>
        <w:pStyle w:val="Heading3"/>
        <w:rPr>
          <w:rFonts w:eastAsia="Times New Roman"/>
          <w:u w:val="single"/>
          <w:lang w:eastAsia="bg-BG"/>
        </w:rPr>
      </w:pPr>
      <w:r w:rsidRPr="00A60E2C">
        <w:rPr>
          <w:rFonts w:eastAsia="Times New Roman"/>
          <w:u w:val="single"/>
          <w:lang w:eastAsia="bg-BG"/>
        </w:rPr>
        <w:t>Резорбция и разпределение</w:t>
      </w:r>
    </w:p>
    <w:p w14:paraId="22EED14F"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След орално приложение амлодипин се резорбира добре като бионаличността е 64-80% Максималните плазмени концентрации се достигат между 6-12ч. след приема, Резорбцията не се влияе от приема на храна. Обемът на разпределение е 21 </w:t>
      </w:r>
      <w:r w:rsidRPr="001E24F4">
        <w:rPr>
          <w:rFonts w:eastAsia="Times New Roman" w:cs="Arial"/>
          <w:color w:val="000000"/>
          <w:lang w:val="en-US"/>
        </w:rPr>
        <w:t xml:space="preserve">L/kg, </w:t>
      </w:r>
      <w:r w:rsidRPr="001E24F4">
        <w:rPr>
          <w:rFonts w:eastAsia="Times New Roman" w:cs="Arial"/>
          <w:color w:val="000000"/>
          <w:lang w:eastAsia="bg-BG"/>
        </w:rPr>
        <w:t>Плазменото протеинно свързване е високо (97.5 %).</w:t>
      </w:r>
    </w:p>
    <w:p w14:paraId="3EE07946"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Абсорбцията не се влияе от приема на храна.</w:t>
      </w:r>
    </w:p>
    <w:p w14:paraId="44994766" w14:textId="047F0BA6" w:rsidR="001E24F4" w:rsidRPr="00A60E2C" w:rsidRDefault="001E24F4" w:rsidP="00A60E2C">
      <w:pPr>
        <w:pStyle w:val="Heading3"/>
        <w:rPr>
          <w:rFonts w:eastAsia="Times New Roman"/>
          <w:u w:val="single"/>
          <w:lang w:eastAsia="bg-BG"/>
        </w:rPr>
      </w:pPr>
      <w:r w:rsidRPr="00A60E2C">
        <w:rPr>
          <w:rFonts w:eastAsia="Times New Roman"/>
          <w:u w:val="single"/>
          <w:lang w:eastAsia="bg-BG"/>
        </w:rPr>
        <w:t>Биотрансформация и елиминиране</w:t>
      </w:r>
    </w:p>
    <w:p w14:paraId="4754ED25"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Плазменият полуживот е 35-50 ч.и се достига при еднократно приложение. </w:t>
      </w:r>
      <w:r w:rsidRPr="001E24F4">
        <w:rPr>
          <w:rFonts w:eastAsia="Times New Roman" w:cs="Arial"/>
          <w:color w:val="000000"/>
          <w:lang w:val="en-US"/>
        </w:rPr>
        <w:t xml:space="preserve">Steady-state </w:t>
      </w:r>
      <w:r w:rsidRPr="001E24F4">
        <w:rPr>
          <w:rFonts w:eastAsia="Times New Roman" w:cs="Arial"/>
          <w:color w:val="000000"/>
          <w:lang w:eastAsia="bg-BG"/>
        </w:rPr>
        <w:t>концентрации се достигат на 7-8 ден при ежедневно приложение. Амлодипин се метаболизира значително в черния дроб до неактивни метаболити, като 60% от тях и само 10% от непромененото лекарство се екскретират с урината.</w:t>
      </w:r>
    </w:p>
    <w:p w14:paraId="201A7D29" w14:textId="5CA01629" w:rsidR="001E24F4" w:rsidRPr="00A60E2C" w:rsidRDefault="001E24F4" w:rsidP="00A60E2C">
      <w:pPr>
        <w:pStyle w:val="Heading3"/>
        <w:rPr>
          <w:rFonts w:eastAsia="Times New Roman"/>
          <w:u w:val="single"/>
          <w:lang w:eastAsia="bg-BG"/>
        </w:rPr>
      </w:pPr>
      <w:r w:rsidRPr="00A60E2C">
        <w:rPr>
          <w:rFonts w:eastAsia="Times New Roman"/>
          <w:u w:val="single"/>
          <w:lang w:eastAsia="bg-BG"/>
        </w:rPr>
        <w:t>Пациенти с чернодробни нарушения</w:t>
      </w:r>
    </w:p>
    <w:p w14:paraId="334043C5"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Плазменият полуживот е удължен при пациенти с влошена чернодробна функция (вижте точка 4.4).</w:t>
      </w:r>
    </w:p>
    <w:p w14:paraId="4374A70C" w14:textId="458363FF" w:rsidR="001E24F4" w:rsidRPr="00A60E2C" w:rsidRDefault="001E24F4" w:rsidP="00A60E2C">
      <w:pPr>
        <w:pStyle w:val="Heading3"/>
        <w:rPr>
          <w:rFonts w:eastAsia="Times New Roman"/>
          <w:u w:val="single"/>
          <w:lang w:eastAsia="bg-BG"/>
        </w:rPr>
      </w:pPr>
      <w:bookmarkStart w:id="1" w:name="_GoBack"/>
      <w:r w:rsidRPr="00A60E2C">
        <w:rPr>
          <w:rFonts w:eastAsia="Times New Roman"/>
          <w:u w:val="single"/>
          <w:lang w:eastAsia="bg-BG"/>
        </w:rPr>
        <w:lastRenderedPageBreak/>
        <w:t>Пациенти в напреднала възраст</w:t>
      </w:r>
    </w:p>
    <w:bookmarkEnd w:id="1"/>
    <w:p w14:paraId="2037B29D" w14:textId="77777777" w:rsid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Времето за достигане на </w:t>
      </w:r>
      <w:r w:rsidRPr="001E24F4">
        <w:rPr>
          <w:rFonts w:eastAsia="Times New Roman" w:cs="Arial"/>
          <w:color w:val="000000"/>
          <w:lang w:val="en-US"/>
        </w:rPr>
        <w:t xml:space="preserve">steady-state </w:t>
      </w:r>
      <w:r w:rsidRPr="001E24F4">
        <w:rPr>
          <w:rFonts w:eastAsia="Times New Roman" w:cs="Arial"/>
          <w:color w:val="000000"/>
          <w:lang w:eastAsia="bg-BG"/>
        </w:rPr>
        <w:t xml:space="preserve">концентрации е сходно при млади и пациенти в напреднала възраст. Клирънсът на амлодипин е с тенденция към намаляване при пациенти в напреднала възраст, което води до увеличаване на </w:t>
      </w:r>
      <w:r w:rsidRPr="001E24F4">
        <w:rPr>
          <w:rFonts w:eastAsia="Times New Roman" w:cs="Arial"/>
          <w:color w:val="000000"/>
          <w:lang w:val="en-US"/>
        </w:rPr>
        <w:t xml:space="preserve">AUC </w:t>
      </w:r>
      <w:r w:rsidRPr="001E24F4">
        <w:rPr>
          <w:rFonts w:eastAsia="Times New Roman" w:cs="Arial"/>
          <w:color w:val="000000"/>
          <w:lang w:eastAsia="bg-BG"/>
        </w:rPr>
        <w:t>и времето на полуелиминиране. Нарастване на тези параметри при пациенти със застойна сърдечна недостатъчност е очаквано за тази възрастова група (вижте точка 4.4).</w:t>
      </w:r>
    </w:p>
    <w:p w14:paraId="145FD558" w14:textId="77777777" w:rsidR="001E24F4" w:rsidRDefault="001E24F4" w:rsidP="001E24F4">
      <w:pPr>
        <w:spacing w:line="240" w:lineRule="auto"/>
        <w:rPr>
          <w:rFonts w:eastAsia="Times New Roman" w:cs="Arial"/>
          <w:lang w:eastAsia="bg-BG"/>
        </w:rPr>
      </w:pPr>
    </w:p>
    <w:p w14:paraId="78B8F86C" w14:textId="4E78AE0C" w:rsidR="001E24F4" w:rsidRDefault="001E24F4" w:rsidP="001E24F4">
      <w:pPr>
        <w:spacing w:line="240" w:lineRule="auto"/>
      </w:pPr>
      <w:r w:rsidRPr="001E24F4">
        <w:rPr>
          <w:rFonts w:eastAsia="Times New Roman" w:cs="Arial"/>
          <w:color w:val="000000"/>
          <w:lang w:eastAsia="bg-BG"/>
        </w:rPr>
        <w:t>Популационно фармакокинетично проучване проведено при деца 74 деца с хипертония на възраст от 12 месеца до 17 години (34 деца на възраст от 6 до 17 години и 28 на възраст от</w:t>
      </w:r>
      <w:r>
        <w:rPr>
          <w:rFonts w:eastAsia="Times New Roman" w:cs="Arial"/>
          <w:color w:val="000000"/>
          <w:lang w:val="en-US" w:eastAsia="bg-BG"/>
        </w:rPr>
        <w:t xml:space="preserve"> </w:t>
      </w:r>
      <w:r w:rsidRPr="001E24F4">
        <w:t xml:space="preserve">13 до 17 години), получаващи амлодипин в дози между 1,25 и 20 </w:t>
      </w:r>
      <w:r w:rsidRPr="001E24F4">
        <w:rPr>
          <w:lang w:val="en-US"/>
        </w:rPr>
        <w:t xml:space="preserve">mg, </w:t>
      </w:r>
      <w:r w:rsidRPr="001E24F4">
        <w:t xml:space="preserve">приемани еднократно или два пъти на ден. При деца от 6 до 12 години и при юноши от 13 до 17 години типичният перорален клирънс ( </w:t>
      </w:r>
      <w:r w:rsidRPr="001E24F4">
        <w:rPr>
          <w:lang w:val="en-US"/>
        </w:rPr>
        <w:t xml:space="preserve">CL/F) </w:t>
      </w:r>
      <w:r w:rsidRPr="001E24F4">
        <w:t xml:space="preserve">е бил съответно 22,5 и 27,4 </w:t>
      </w:r>
      <w:r w:rsidRPr="001E24F4">
        <w:rPr>
          <w:lang w:val="en-US"/>
        </w:rPr>
        <w:t xml:space="preserve">L/h </w:t>
      </w:r>
      <w:r w:rsidRPr="001E24F4">
        <w:t xml:space="preserve">при момчета и 16,4 и 21,3 </w:t>
      </w:r>
      <w:r w:rsidRPr="001E24F4">
        <w:rPr>
          <w:lang w:val="en-US"/>
        </w:rPr>
        <w:t xml:space="preserve">L/h </w:t>
      </w:r>
      <w:r w:rsidRPr="001E24F4">
        <w:t>при момичета. Наблюдавана е голяма вариабилност в експозицията между индивидите. Съобщаваните данни при деца под 6 години са ограничени.</w:t>
      </w:r>
    </w:p>
    <w:p w14:paraId="06B9F36E" w14:textId="77777777" w:rsidR="001E24F4" w:rsidRPr="001E24F4" w:rsidRDefault="001E24F4" w:rsidP="001E24F4">
      <w:pPr>
        <w:spacing w:line="240" w:lineRule="auto"/>
        <w:rPr>
          <w:rFonts w:eastAsia="Times New Roman" w:cs="Arial"/>
          <w:color w:val="000000"/>
          <w:lang w:val="en-US" w:eastAsia="bg-BG"/>
        </w:rPr>
      </w:pPr>
    </w:p>
    <w:p w14:paraId="648E39DA" w14:textId="26BC7A1C" w:rsidR="00CF77F7" w:rsidRDefault="002C50EE" w:rsidP="004A448E">
      <w:pPr>
        <w:pStyle w:val="Heading2"/>
      </w:pPr>
      <w:r>
        <w:t>5.3. Предклинични данни за безопасност</w:t>
      </w:r>
    </w:p>
    <w:p w14:paraId="544E65B9" w14:textId="6C82A91B" w:rsidR="001E24F4" w:rsidRDefault="001E24F4" w:rsidP="001E24F4"/>
    <w:p w14:paraId="266B7418"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Експерименталните проучвания при еднократно и многокртно третиране не показват специфична опасност за човека по отношение на безопасност, генотоксичност, карциногенност и фертилитет.</w:t>
      </w:r>
    </w:p>
    <w:p w14:paraId="6B9E60C0" w14:textId="0351785E" w:rsidR="001E24F4" w:rsidRPr="001E24F4" w:rsidRDefault="001E24F4" w:rsidP="001E24F4">
      <w:pPr>
        <w:rPr>
          <w:rFonts w:cs="Arial"/>
        </w:rPr>
      </w:pPr>
      <w:r w:rsidRPr="001E24F4">
        <w:rPr>
          <w:rFonts w:eastAsia="Times New Roman" w:cs="Arial"/>
          <w:color w:val="000000"/>
          <w:lang w:eastAsia="bg-BG"/>
        </w:rPr>
        <w:t xml:space="preserve">Не са установени доказателства за тератогенност или ембриотоксичност при перорален прием на амлодипин в дози до 10 </w:t>
      </w:r>
      <w:r w:rsidRPr="001E24F4">
        <w:rPr>
          <w:rFonts w:eastAsia="Times New Roman" w:cs="Arial"/>
          <w:color w:val="000000"/>
          <w:lang w:val="en-US"/>
        </w:rPr>
        <w:t xml:space="preserve">mg/kg </w:t>
      </w:r>
      <w:r w:rsidRPr="001E24F4">
        <w:rPr>
          <w:rFonts w:eastAsia="Times New Roman" w:cs="Arial"/>
          <w:color w:val="000000"/>
          <w:lang w:eastAsia="bg-BG"/>
        </w:rPr>
        <w:t>при бременни плъхове и зайци. Отчетено е намаляване на околоплодните води (около 50%), но случаите на интраутеринна смърт не са увеличени. В такива дози при плъхове е наблюдавано удължаване на гестационния период и родовия процес. Няма адекватни и контролирани проучвания при бременни жени. Затова амлодипин може да се прилага при бременни само, ако потенциалните ползи за майката надвишават възможния риск.</w:t>
      </w:r>
    </w:p>
    <w:p w14:paraId="6A7820AB" w14:textId="44CCB668" w:rsidR="008A6AF2" w:rsidRDefault="002C50EE" w:rsidP="00395555">
      <w:pPr>
        <w:pStyle w:val="Heading1"/>
      </w:pPr>
      <w:r>
        <w:t>7. ПРИТЕЖАТЕЛ НА РАЗРЕШЕНИЕТО ЗА УПОТРЕБА</w:t>
      </w:r>
    </w:p>
    <w:p w14:paraId="7C7E981B" w14:textId="1F9E4C55" w:rsidR="001E24F4" w:rsidRDefault="001E24F4" w:rsidP="001E24F4"/>
    <w:p w14:paraId="1F54BBFF"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БИОФАРМ-ИНЖЕНЕРИНГ АД</w:t>
      </w:r>
    </w:p>
    <w:p w14:paraId="0A04EA1E" w14:textId="77777777" w:rsidR="00787D92" w:rsidRDefault="001E24F4" w:rsidP="001E24F4">
      <w:pPr>
        <w:rPr>
          <w:rFonts w:eastAsia="Times New Roman" w:cs="Arial"/>
          <w:color w:val="000000"/>
          <w:lang w:eastAsia="bg-BG"/>
        </w:rPr>
      </w:pPr>
      <w:r w:rsidRPr="001E24F4">
        <w:rPr>
          <w:rFonts w:eastAsia="Times New Roman" w:cs="Arial"/>
          <w:color w:val="000000"/>
          <w:lang w:eastAsia="bg-BG"/>
        </w:rPr>
        <w:t xml:space="preserve">бул. „Тракия“ №75, </w:t>
      </w:r>
    </w:p>
    <w:p w14:paraId="16E30A8F" w14:textId="03024B06" w:rsidR="001E24F4" w:rsidRPr="001E24F4" w:rsidRDefault="001E24F4" w:rsidP="001E24F4">
      <w:pPr>
        <w:rPr>
          <w:rFonts w:cs="Arial"/>
        </w:rPr>
      </w:pPr>
      <w:r w:rsidRPr="001E24F4">
        <w:rPr>
          <w:rFonts w:eastAsia="Times New Roman" w:cs="Arial"/>
          <w:color w:val="000000"/>
          <w:lang w:eastAsia="bg-BG"/>
        </w:rPr>
        <w:t>8800 Сливен, България</w:t>
      </w:r>
    </w:p>
    <w:p w14:paraId="7BA1BA64" w14:textId="3CA7A83E" w:rsidR="00CF77F7" w:rsidRDefault="002C50EE" w:rsidP="004A448E">
      <w:pPr>
        <w:pStyle w:val="Heading1"/>
      </w:pPr>
      <w:r>
        <w:t>8. НОМЕР НА РАЗРЕШЕНИЕТО ЗА УПОТРЕБА</w:t>
      </w:r>
    </w:p>
    <w:p w14:paraId="06EE392E" w14:textId="7C144757" w:rsidR="001E24F4" w:rsidRDefault="001E24F4" w:rsidP="001E24F4"/>
    <w:p w14:paraId="3101C633" w14:textId="463028F1" w:rsidR="001E24F4" w:rsidRPr="001E24F4" w:rsidRDefault="00787D92" w:rsidP="001E24F4">
      <w:pPr>
        <w:rPr>
          <w:rFonts w:cs="Arial"/>
        </w:rPr>
      </w:pPr>
      <w:r>
        <w:rPr>
          <w:rFonts w:cs="Arial"/>
        </w:rPr>
        <w:t>АМЛОДИПИН БИОФАРМ 10</w:t>
      </w:r>
      <w:r w:rsidR="001E24F4" w:rsidRPr="001E24F4">
        <w:rPr>
          <w:rFonts w:cs="Arial"/>
        </w:rPr>
        <w:t xml:space="preserve"> </w:t>
      </w:r>
      <w:r w:rsidR="001E24F4" w:rsidRPr="001E24F4">
        <w:rPr>
          <w:rFonts w:cs="Arial"/>
          <w:lang w:val="en-US"/>
        </w:rPr>
        <w:t xml:space="preserve">mg </w:t>
      </w:r>
      <w:r>
        <w:rPr>
          <w:rFonts w:cs="Arial"/>
        </w:rPr>
        <w:t>- регистрационен номер 20070115</w:t>
      </w:r>
    </w:p>
    <w:p w14:paraId="2CCB5832" w14:textId="643C676E" w:rsidR="007C605B" w:rsidRDefault="002C50EE" w:rsidP="007C605B">
      <w:pPr>
        <w:pStyle w:val="Heading1"/>
      </w:pPr>
      <w:r>
        <w:t>9. ДАТА НА ПЪРВО РАЗРЕШАВАНЕ/ПОДНОВЯВАНЕ НА РАЗРЕШЕНИЕТО ЗА УПОТРЕБА</w:t>
      </w:r>
    </w:p>
    <w:p w14:paraId="7C58CF1C" w14:textId="760E5171" w:rsidR="001E24F4" w:rsidRDefault="001E24F4" w:rsidP="001E24F4"/>
    <w:p w14:paraId="1E574806" w14:textId="1C57D640" w:rsidR="001E24F4" w:rsidRPr="001E24F4" w:rsidRDefault="001E24F4" w:rsidP="001E24F4">
      <w:pPr>
        <w:rPr>
          <w:rFonts w:cs="Arial"/>
        </w:rPr>
      </w:pPr>
      <w:r w:rsidRPr="001E24F4">
        <w:rPr>
          <w:rFonts w:cs="Arial"/>
        </w:rPr>
        <w:t>19.11.2007</w:t>
      </w:r>
      <w:r w:rsidRPr="001E24F4">
        <w:rPr>
          <w:rFonts w:cs="Arial"/>
          <w:lang w:val="en-US"/>
        </w:rPr>
        <w:t xml:space="preserve"> </w:t>
      </w:r>
      <w:r w:rsidRPr="001E24F4">
        <w:rPr>
          <w:rFonts w:cs="Arial"/>
        </w:rPr>
        <w:t>г.</w:t>
      </w:r>
    </w:p>
    <w:p w14:paraId="0E9D0119" w14:textId="5E5C7CBE" w:rsidR="002C50EE" w:rsidRDefault="002C50EE" w:rsidP="002C50EE">
      <w:pPr>
        <w:pStyle w:val="Heading1"/>
      </w:pPr>
      <w:r>
        <w:t>10. ДАТА НА АКТУАЛИЗИРАНЕ НА ТЕКСТА</w:t>
      </w:r>
    </w:p>
    <w:p w14:paraId="1D2A5DBE" w14:textId="7D5AF7E5" w:rsidR="001E24F4" w:rsidRDefault="001E24F4" w:rsidP="001E24F4"/>
    <w:p w14:paraId="25E4FD09" w14:textId="39E9FB26" w:rsidR="001E24F4" w:rsidRPr="001E24F4" w:rsidRDefault="001E24F4" w:rsidP="001E24F4">
      <w:pPr>
        <w:rPr>
          <w:rFonts w:cs="Arial"/>
        </w:rPr>
      </w:pPr>
      <w:r w:rsidRPr="001E24F4">
        <w:rPr>
          <w:rFonts w:cs="Arial"/>
        </w:rPr>
        <w:t>Декември, 2017 г.</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24F4"/>
    <w:rsid w:val="002B3C38"/>
    <w:rsid w:val="002B4DBB"/>
    <w:rsid w:val="002C50EE"/>
    <w:rsid w:val="003261E2"/>
    <w:rsid w:val="00340A0A"/>
    <w:rsid w:val="003765DC"/>
    <w:rsid w:val="00395555"/>
    <w:rsid w:val="003E3126"/>
    <w:rsid w:val="00426E5F"/>
    <w:rsid w:val="004A448E"/>
    <w:rsid w:val="004D4D6B"/>
    <w:rsid w:val="004F1CE7"/>
    <w:rsid w:val="004F498A"/>
    <w:rsid w:val="00517A5B"/>
    <w:rsid w:val="00527A57"/>
    <w:rsid w:val="00593A00"/>
    <w:rsid w:val="005A66D9"/>
    <w:rsid w:val="00605BCA"/>
    <w:rsid w:val="006158A1"/>
    <w:rsid w:val="00617B1F"/>
    <w:rsid w:val="00672487"/>
    <w:rsid w:val="00672600"/>
    <w:rsid w:val="00681D4A"/>
    <w:rsid w:val="00685882"/>
    <w:rsid w:val="00720CEE"/>
    <w:rsid w:val="0075649D"/>
    <w:rsid w:val="00787D92"/>
    <w:rsid w:val="007C605B"/>
    <w:rsid w:val="008134C8"/>
    <w:rsid w:val="00814073"/>
    <w:rsid w:val="00826F0D"/>
    <w:rsid w:val="00893B92"/>
    <w:rsid w:val="008A6AF2"/>
    <w:rsid w:val="008C70A2"/>
    <w:rsid w:val="009773E4"/>
    <w:rsid w:val="009B171C"/>
    <w:rsid w:val="009F1313"/>
    <w:rsid w:val="00A20351"/>
    <w:rsid w:val="00A60E2C"/>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3491</Words>
  <Characters>19905</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4</cp:revision>
  <dcterms:created xsi:type="dcterms:W3CDTF">2022-04-25T13:18:00Z</dcterms:created>
  <dcterms:modified xsi:type="dcterms:W3CDTF">2022-05-09T01:18:00Z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