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4B0DA967" w:rsidR="00C40420" w:rsidRDefault="00DD466D" w:rsidP="004A448E">
      <w:pPr>
        <w:pStyle w:val="Heading1"/>
      </w:pPr>
      <w:r>
        <w:t>1.ИМЕ НА ЛЕКАРСТВЕНИЯ ПРОДУКТ</w:t>
      </w:r>
    </w:p>
    <w:p w14:paraId="6628B5D3" w14:textId="42D43E96" w:rsidR="00D922A8" w:rsidRDefault="00D922A8" w:rsidP="00D922A8"/>
    <w:p w14:paraId="46F1369A" w14:textId="77777777" w:rsidR="00D922A8" w:rsidRPr="00D922A8" w:rsidRDefault="00D922A8" w:rsidP="00D922A8">
      <w:pPr>
        <w:rPr>
          <w:sz w:val="24"/>
          <w:szCs w:val="24"/>
          <w:lang w:val="ru-RU"/>
        </w:rPr>
      </w:pPr>
      <w:r w:rsidRPr="00D922A8">
        <w:rPr>
          <w:lang w:eastAsia="bg-BG"/>
        </w:rPr>
        <w:t xml:space="preserve">Амприл 1,25 </w:t>
      </w:r>
      <w:r w:rsidRPr="00D922A8">
        <w:rPr>
          <w:lang w:val="en-US"/>
        </w:rPr>
        <w:t>mg</w:t>
      </w:r>
      <w:r w:rsidRPr="00D922A8">
        <w:rPr>
          <w:lang w:val="ru-RU"/>
        </w:rPr>
        <w:t xml:space="preserve"> </w:t>
      </w:r>
      <w:r w:rsidRPr="00D922A8">
        <w:rPr>
          <w:lang w:eastAsia="bg-BG"/>
        </w:rPr>
        <w:t>таблетки</w:t>
      </w:r>
    </w:p>
    <w:p w14:paraId="2EC8906E" w14:textId="77777777" w:rsidR="00D922A8" w:rsidRPr="00D922A8" w:rsidRDefault="00D922A8" w:rsidP="00D922A8">
      <w:pPr>
        <w:rPr>
          <w:sz w:val="24"/>
          <w:szCs w:val="24"/>
          <w:lang w:val="ru-RU"/>
        </w:rPr>
      </w:pPr>
      <w:r w:rsidRPr="00D922A8">
        <w:rPr>
          <w:lang w:eastAsia="bg-BG"/>
        </w:rPr>
        <w:t xml:space="preserve">Амприл 2,5 </w:t>
      </w:r>
      <w:r w:rsidRPr="00D922A8">
        <w:rPr>
          <w:lang w:val="en-US"/>
        </w:rPr>
        <w:t>mg</w:t>
      </w:r>
      <w:r w:rsidRPr="00D922A8">
        <w:rPr>
          <w:lang w:val="ru-RU"/>
        </w:rPr>
        <w:t xml:space="preserve"> </w:t>
      </w:r>
      <w:r w:rsidRPr="00D922A8">
        <w:rPr>
          <w:lang w:eastAsia="bg-BG"/>
        </w:rPr>
        <w:t>таблетки</w:t>
      </w:r>
    </w:p>
    <w:p w14:paraId="5F59A7AC" w14:textId="77777777" w:rsidR="00D922A8" w:rsidRPr="00D922A8" w:rsidRDefault="00D922A8" w:rsidP="00D922A8">
      <w:pPr>
        <w:rPr>
          <w:sz w:val="24"/>
          <w:szCs w:val="24"/>
          <w:lang w:val="ru-RU"/>
        </w:rPr>
      </w:pPr>
      <w:r w:rsidRPr="00D922A8">
        <w:rPr>
          <w:lang w:eastAsia="bg-BG"/>
        </w:rPr>
        <w:t xml:space="preserve">Амприл 5 </w:t>
      </w:r>
      <w:r w:rsidRPr="00D922A8">
        <w:rPr>
          <w:lang w:val="en-US"/>
        </w:rPr>
        <w:t>mg</w:t>
      </w:r>
      <w:r w:rsidRPr="00D922A8">
        <w:rPr>
          <w:lang w:val="ru-RU"/>
        </w:rPr>
        <w:t xml:space="preserve"> </w:t>
      </w:r>
      <w:r w:rsidRPr="00D922A8">
        <w:rPr>
          <w:lang w:eastAsia="bg-BG"/>
        </w:rPr>
        <w:t>таблетки</w:t>
      </w:r>
    </w:p>
    <w:p w14:paraId="0D8257EA" w14:textId="77777777" w:rsidR="00D922A8" w:rsidRPr="00D922A8" w:rsidRDefault="00D922A8" w:rsidP="00D922A8">
      <w:pPr>
        <w:rPr>
          <w:sz w:val="24"/>
          <w:szCs w:val="24"/>
          <w:lang w:val="ru-RU"/>
        </w:rPr>
      </w:pPr>
      <w:r w:rsidRPr="00D922A8">
        <w:rPr>
          <w:lang w:eastAsia="bg-BG"/>
        </w:rPr>
        <w:t xml:space="preserve">Амприл 10 </w:t>
      </w:r>
      <w:r w:rsidRPr="00D922A8">
        <w:rPr>
          <w:lang w:val="en-US"/>
        </w:rPr>
        <w:t>mg</w:t>
      </w:r>
      <w:r w:rsidRPr="00D922A8">
        <w:rPr>
          <w:lang w:val="ru-RU"/>
        </w:rPr>
        <w:t xml:space="preserve"> </w:t>
      </w:r>
      <w:r w:rsidRPr="00D922A8">
        <w:rPr>
          <w:lang w:eastAsia="bg-BG"/>
        </w:rPr>
        <w:t>таблетки</w:t>
      </w:r>
    </w:p>
    <w:p w14:paraId="667CED4C" w14:textId="77777777" w:rsidR="00D922A8" w:rsidRDefault="00D922A8" w:rsidP="00D922A8">
      <w:pPr>
        <w:rPr>
          <w:lang w:val="en-US"/>
        </w:rPr>
      </w:pPr>
    </w:p>
    <w:p w14:paraId="5C736B19" w14:textId="56D28D20" w:rsidR="00D922A8" w:rsidRPr="00D922A8" w:rsidRDefault="00D922A8" w:rsidP="00D922A8">
      <w:pPr>
        <w:rPr>
          <w:sz w:val="24"/>
          <w:szCs w:val="24"/>
          <w:lang w:val="en-US"/>
        </w:rPr>
      </w:pPr>
      <w:proofErr w:type="spellStart"/>
      <w:r w:rsidRPr="00D922A8">
        <w:rPr>
          <w:lang w:val="en-US"/>
        </w:rPr>
        <w:t>Ampril</w:t>
      </w:r>
      <w:proofErr w:type="spellEnd"/>
      <w:r w:rsidRPr="00D922A8">
        <w:rPr>
          <w:lang w:val="en-US"/>
        </w:rPr>
        <w:t xml:space="preserve"> </w:t>
      </w:r>
      <w:r w:rsidRPr="00D922A8">
        <w:rPr>
          <w:lang w:eastAsia="bg-BG"/>
        </w:rPr>
        <w:t xml:space="preserve">1.25 </w:t>
      </w:r>
      <w:r w:rsidRPr="00D922A8">
        <w:rPr>
          <w:lang w:val="en-US"/>
        </w:rPr>
        <w:t>mg tablets</w:t>
      </w:r>
    </w:p>
    <w:p w14:paraId="52E075AC" w14:textId="77777777" w:rsidR="00D922A8" w:rsidRPr="00D922A8" w:rsidRDefault="00D922A8" w:rsidP="00D922A8">
      <w:pPr>
        <w:rPr>
          <w:sz w:val="24"/>
          <w:szCs w:val="24"/>
          <w:lang w:val="en-US"/>
        </w:rPr>
      </w:pPr>
      <w:proofErr w:type="spellStart"/>
      <w:r w:rsidRPr="00D922A8">
        <w:rPr>
          <w:lang w:val="en-US"/>
        </w:rPr>
        <w:t>Ampril</w:t>
      </w:r>
      <w:proofErr w:type="spellEnd"/>
      <w:r w:rsidRPr="00D922A8">
        <w:rPr>
          <w:lang w:val="en-US"/>
        </w:rPr>
        <w:t xml:space="preserve"> 2.5 mg tablets</w:t>
      </w:r>
    </w:p>
    <w:p w14:paraId="080F2E4A" w14:textId="77777777" w:rsidR="00D922A8" w:rsidRPr="00D922A8" w:rsidRDefault="00D922A8" w:rsidP="00D922A8">
      <w:pPr>
        <w:rPr>
          <w:sz w:val="24"/>
          <w:szCs w:val="24"/>
          <w:lang w:val="en-US"/>
        </w:rPr>
      </w:pPr>
      <w:proofErr w:type="spellStart"/>
      <w:r w:rsidRPr="00D922A8">
        <w:rPr>
          <w:lang w:val="en-US"/>
        </w:rPr>
        <w:t>Ampril</w:t>
      </w:r>
      <w:proofErr w:type="spellEnd"/>
      <w:r w:rsidRPr="00D922A8">
        <w:rPr>
          <w:lang w:val="en-US"/>
        </w:rPr>
        <w:t xml:space="preserve"> 5 mg tablets</w:t>
      </w:r>
    </w:p>
    <w:p w14:paraId="496F8873" w14:textId="77777777" w:rsidR="00D922A8" w:rsidRPr="00D922A8" w:rsidRDefault="00D922A8" w:rsidP="00D922A8">
      <w:pPr>
        <w:rPr>
          <w:sz w:val="24"/>
          <w:szCs w:val="24"/>
          <w:lang w:val="en-US"/>
        </w:rPr>
      </w:pPr>
      <w:proofErr w:type="spellStart"/>
      <w:r w:rsidRPr="00D922A8">
        <w:rPr>
          <w:lang w:val="en-US"/>
        </w:rPr>
        <w:t>Ampril</w:t>
      </w:r>
      <w:proofErr w:type="spellEnd"/>
      <w:r w:rsidRPr="00D922A8">
        <w:rPr>
          <w:lang w:val="en-US"/>
        </w:rPr>
        <w:t xml:space="preserve"> 10 mg tablets</w:t>
      </w:r>
    </w:p>
    <w:p w14:paraId="6371DFA6" w14:textId="77777777" w:rsidR="00D922A8" w:rsidRPr="00D922A8" w:rsidRDefault="00D922A8" w:rsidP="00D922A8">
      <w:pPr>
        <w:rPr>
          <w:lang w:val="en-US"/>
        </w:rPr>
      </w:pPr>
    </w:p>
    <w:p w14:paraId="6920A680" w14:textId="61A8734B" w:rsidR="00C40420" w:rsidRDefault="00DD466D" w:rsidP="004A448E">
      <w:pPr>
        <w:pStyle w:val="Heading1"/>
      </w:pPr>
      <w:r>
        <w:t>2. КАЧЕСТВЕН И КОЛИЧЕСТВЕН СЪСТАВ</w:t>
      </w:r>
    </w:p>
    <w:p w14:paraId="165BF9A9" w14:textId="61859412" w:rsidR="00D922A8" w:rsidRDefault="00D922A8" w:rsidP="00D922A8"/>
    <w:p w14:paraId="053E9A62"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Всяка таблетка съдържа 1,25 </w:t>
      </w:r>
      <w:r w:rsidRPr="00D922A8">
        <w:rPr>
          <w:rFonts w:eastAsia="Times New Roman" w:cs="Arial"/>
          <w:color w:val="000000"/>
          <w:lang w:val="en-US"/>
        </w:rPr>
        <w:t>mg</w:t>
      </w:r>
      <w:r w:rsidRPr="00D922A8">
        <w:rPr>
          <w:rFonts w:eastAsia="Times New Roman" w:cs="Arial"/>
          <w:color w:val="000000"/>
        </w:rPr>
        <w:t xml:space="preserve"> </w:t>
      </w:r>
      <w:r w:rsidRPr="00D922A8">
        <w:rPr>
          <w:rFonts w:eastAsia="Times New Roman" w:cs="Arial"/>
          <w:color w:val="000000"/>
          <w:lang w:eastAsia="bg-BG"/>
        </w:rPr>
        <w:t xml:space="preserve">рамиприл </w:t>
      </w:r>
      <w:r w:rsidRPr="00D922A8">
        <w:rPr>
          <w:rFonts w:eastAsia="Times New Roman" w:cs="Arial"/>
          <w:i/>
          <w:iCs/>
          <w:color w:val="000000"/>
        </w:rPr>
        <w:t>(</w:t>
      </w:r>
      <w:proofErr w:type="spellStart"/>
      <w:r w:rsidRPr="00D922A8">
        <w:rPr>
          <w:rFonts w:eastAsia="Times New Roman" w:cs="Arial"/>
          <w:i/>
          <w:iCs/>
          <w:color w:val="000000"/>
          <w:lang w:val="en-US"/>
        </w:rPr>
        <w:t>ramipril</w:t>
      </w:r>
      <w:proofErr w:type="spellEnd"/>
      <w:r w:rsidRPr="00D922A8">
        <w:rPr>
          <w:rFonts w:eastAsia="Times New Roman" w:cs="Arial"/>
          <w:i/>
          <w:iCs/>
          <w:color w:val="000000"/>
        </w:rPr>
        <w:t>).</w:t>
      </w:r>
    </w:p>
    <w:p w14:paraId="4DB54A83"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Всяка таблетка съдържа 2,5 </w:t>
      </w:r>
      <w:r w:rsidRPr="00D922A8">
        <w:rPr>
          <w:rFonts w:eastAsia="Times New Roman" w:cs="Arial"/>
          <w:color w:val="000000"/>
          <w:lang w:val="en-US"/>
        </w:rPr>
        <w:t>mg</w:t>
      </w:r>
      <w:r w:rsidRPr="00D922A8">
        <w:rPr>
          <w:rFonts w:eastAsia="Times New Roman" w:cs="Arial"/>
          <w:color w:val="000000"/>
        </w:rPr>
        <w:t xml:space="preserve"> </w:t>
      </w:r>
      <w:r w:rsidRPr="00D922A8">
        <w:rPr>
          <w:rFonts w:eastAsia="Times New Roman" w:cs="Arial"/>
          <w:color w:val="000000"/>
          <w:lang w:eastAsia="bg-BG"/>
        </w:rPr>
        <w:t xml:space="preserve">рамиприл </w:t>
      </w:r>
      <w:r w:rsidRPr="00D922A8">
        <w:rPr>
          <w:rFonts w:eastAsia="Times New Roman" w:cs="Arial"/>
          <w:i/>
          <w:iCs/>
          <w:color w:val="000000"/>
        </w:rPr>
        <w:t>(</w:t>
      </w:r>
      <w:proofErr w:type="spellStart"/>
      <w:r w:rsidRPr="00D922A8">
        <w:rPr>
          <w:rFonts w:eastAsia="Times New Roman" w:cs="Arial"/>
          <w:i/>
          <w:iCs/>
          <w:color w:val="000000"/>
          <w:lang w:val="en-US"/>
        </w:rPr>
        <w:t>ramipril</w:t>
      </w:r>
      <w:proofErr w:type="spellEnd"/>
      <w:r w:rsidRPr="00D922A8">
        <w:rPr>
          <w:rFonts w:eastAsia="Times New Roman" w:cs="Arial"/>
          <w:i/>
          <w:iCs/>
          <w:color w:val="000000"/>
        </w:rPr>
        <w:t>).</w:t>
      </w:r>
    </w:p>
    <w:p w14:paraId="3EF8642C"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Всяка таблетка съдържа 5 </w:t>
      </w:r>
      <w:r w:rsidRPr="00D922A8">
        <w:rPr>
          <w:rFonts w:eastAsia="Times New Roman" w:cs="Arial"/>
          <w:color w:val="000000"/>
          <w:lang w:val="en-US"/>
        </w:rPr>
        <w:t>mg</w:t>
      </w:r>
      <w:r w:rsidRPr="00D922A8">
        <w:rPr>
          <w:rFonts w:eastAsia="Times New Roman" w:cs="Arial"/>
          <w:color w:val="000000"/>
        </w:rPr>
        <w:t xml:space="preserve"> </w:t>
      </w:r>
      <w:r w:rsidRPr="00D922A8">
        <w:rPr>
          <w:rFonts w:eastAsia="Times New Roman" w:cs="Arial"/>
          <w:color w:val="000000"/>
          <w:lang w:eastAsia="bg-BG"/>
        </w:rPr>
        <w:t xml:space="preserve">рамиприл </w:t>
      </w:r>
      <w:r w:rsidRPr="00D922A8">
        <w:rPr>
          <w:rFonts w:eastAsia="Times New Roman" w:cs="Arial"/>
          <w:i/>
          <w:iCs/>
          <w:color w:val="000000"/>
        </w:rPr>
        <w:t>(</w:t>
      </w:r>
      <w:proofErr w:type="spellStart"/>
      <w:r w:rsidRPr="00D922A8">
        <w:rPr>
          <w:rFonts w:eastAsia="Times New Roman" w:cs="Arial"/>
          <w:i/>
          <w:iCs/>
          <w:color w:val="000000"/>
          <w:lang w:val="en-US"/>
        </w:rPr>
        <w:t>ramipril</w:t>
      </w:r>
      <w:proofErr w:type="spellEnd"/>
      <w:r w:rsidRPr="00D922A8">
        <w:rPr>
          <w:rFonts w:eastAsia="Times New Roman" w:cs="Arial"/>
          <w:i/>
          <w:iCs/>
          <w:color w:val="000000"/>
        </w:rPr>
        <w:t>).</w:t>
      </w:r>
    </w:p>
    <w:p w14:paraId="5A27CAFE"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Всяка таблетка съдържа 10 </w:t>
      </w:r>
      <w:r w:rsidRPr="00D922A8">
        <w:rPr>
          <w:rFonts w:eastAsia="Times New Roman" w:cs="Arial"/>
          <w:color w:val="000000"/>
          <w:lang w:val="en-US"/>
        </w:rPr>
        <w:t>mg</w:t>
      </w:r>
      <w:r w:rsidRPr="00D922A8">
        <w:rPr>
          <w:rFonts w:eastAsia="Times New Roman" w:cs="Arial"/>
          <w:color w:val="000000"/>
        </w:rPr>
        <w:t xml:space="preserve"> </w:t>
      </w:r>
      <w:r w:rsidRPr="00D922A8">
        <w:rPr>
          <w:rFonts w:eastAsia="Times New Roman" w:cs="Arial"/>
          <w:color w:val="000000"/>
          <w:lang w:eastAsia="bg-BG"/>
        </w:rPr>
        <w:t xml:space="preserve">рамиприл </w:t>
      </w:r>
      <w:r w:rsidRPr="00D922A8">
        <w:rPr>
          <w:rFonts w:eastAsia="Times New Roman" w:cs="Arial"/>
          <w:i/>
          <w:iCs/>
          <w:color w:val="000000"/>
        </w:rPr>
        <w:t>(</w:t>
      </w:r>
      <w:proofErr w:type="spellStart"/>
      <w:r w:rsidRPr="00D922A8">
        <w:rPr>
          <w:rFonts w:eastAsia="Times New Roman" w:cs="Arial"/>
          <w:i/>
          <w:iCs/>
          <w:color w:val="000000"/>
          <w:lang w:val="en-US"/>
        </w:rPr>
        <w:t>ramipril</w:t>
      </w:r>
      <w:proofErr w:type="spellEnd"/>
      <w:r w:rsidRPr="00D922A8">
        <w:rPr>
          <w:rFonts w:eastAsia="Times New Roman" w:cs="Arial"/>
          <w:i/>
          <w:iCs/>
          <w:color w:val="000000"/>
        </w:rPr>
        <w:t>).</w:t>
      </w:r>
    </w:p>
    <w:p w14:paraId="4FF0DE58" w14:textId="77777777" w:rsidR="00D922A8" w:rsidRPr="00D922A8" w:rsidRDefault="00D922A8" w:rsidP="00D922A8">
      <w:pPr>
        <w:spacing w:line="240" w:lineRule="auto"/>
        <w:rPr>
          <w:rFonts w:eastAsia="Times New Roman" w:cs="Arial"/>
          <w:color w:val="000000"/>
          <w:lang w:eastAsia="bg-BG"/>
        </w:rPr>
      </w:pPr>
    </w:p>
    <w:p w14:paraId="43A35867" w14:textId="5C2392DF" w:rsidR="00D922A8" w:rsidRDefault="00D922A8" w:rsidP="00D922A8">
      <w:pPr>
        <w:spacing w:line="240" w:lineRule="auto"/>
        <w:rPr>
          <w:rFonts w:eastAsia="Times New Roman" w:cs="Arial"/>
          <w:color w:val="000000"/>
          <w:lang w:eastAsia="bg-BG"/>
        </w:rPr>
      </w:pPr>
      <w:r w:rsidRPr="00D922A8">
        <w:rPr>
          <w:rFonts w:eastAsia="Times New Roman" w:cs="Arial"/>
          <w:color w:val="000000"/>
          <w:lang w:eastAsia="bg-BG"/>
        </w:rPr>
        <w:t>Помощно вещество с известно действие:</w:t>
      </w:r>
    </w:p>
    <w:tbl>
      <w:tblPr>
        <w:tblStyle w:val="TableGrid"/>
        <w:tblW w:w="0" w:type="auto"/>
        <w:tblLook w:val="04A0" w:firstRow="1" w:lastRow="0" w:firstColumn="1" w:lastColumn="0" w:noHBand="0" w:noVBand="1"/>
      </w:tblPr>
      <w:tblGrid>
        <w:gridCol w:w="1865"/>
        <w:gridCol w:w="1871"/>
        <w:gridCol w:w="1871"/>
        <w:gridCol w:w="1871"/>
        <w:gridCol w:w="1872"/>
      </w:tblGrid>
      <w:tr w:rsidR="00D922A8" w14:paraId="23871362" w14:textId="77777777" w:rsidTr="00D922A8">
        <w:tc>
          <w:tcPr>
            <w:tcW w:w="1915" w:type="dxa"/>
          </w:tcPr>
          <w:p w14:paraId="0EB960F6" w14:textId="77777777" w:rsidR="00D922A8" w:rsidRDefault="00D922A8" w:rsidP="00D922A8">
            <w:pPr>
              <w:spacing w:line="240" w:lineRule="auto"/>
              <w:rPr>
                <w:rFonts w:eastAsia="Times New Roman" w:cs="Arial"/>
                <w:sz w:val="24"/>
                <w:szCs w:val="24"/>
              </w:rPr>
            </w:pPr>
          </w:p>
        </w:tc>
        <w:tc>
          <w:tcPr>
            <w:tcW w:w="1915" w:type="dxa"/>
          </w:tcPr>
          <w:p w14:paraId="78C982D3" w14:textId="652B6F0D" w:rsidR="00D922A8" w:rsidRDefault="00D922A8" w:rsidP="00D922A8">
            <w:pPr>
              <w:spacing w:line="240" w:lineRule="auto"/>
              <w:rPr>
                <w:rFonts w:eastAsia="Times New Roman" w:cs="Arial"/>
                <w:sz w:val="24"/>
                <w:szCs w:val="24"/>
              </w:rPr>
            </w:pPr>
            <w:r>
              <w:t xml:space="preserve">таблетка 1,25 </w:t>
            </w:r>
            <w:r>
              <w:rPr>
                <w:lang w:val="en-US"/>
              </w:rPr>
              <w:t>mg</w:t>
            </w:r>
          </w:p>
        </w:tc>
        <w:tc>
          <w:tcPr>
            <w:tcW w:w="1915" w:type="dxa"/>
          </w:tcPr>
          <w:p w14:paraId="65ACC11A" w14:textId="4E502D59" w:rsidR="00D922A8" w:rsidRDefault="00D922A8" w:rsidP="00D922A8">
            <w:pPr>
              <w:spacing w:line="240" w:lineRule="auto"/>
              <w:rPr>
                <w:rFonts w:eastAsia="Times New Roman" w:cs="Arial"/>
                <w:sz w:val="24"/>
                <w:szCs w:val="24"/>
              </w:rPr>
            </w:pPr>
            <w:r>
              <w:t xml:space="preserve">таблетка 2,5 </w:t>
            </w:r>
            <w:r>
              <w:rPr>
                <w:lang w:val="en-US"/>
              </w:rPr>
              <w:t>mg</w:t>
            </w:r>
          </w:p>
        </w:tc>
        <w:tc>
          <w:tcPr>
            <w:tcW w:w="1915" w:type="dxa"/>
          </w:tcPr>
          <w:p w14:paraId="2F78E461" w14:textId="74E8912F" w:rsidR="00D922A8" w:rsidRDefault="00D922A8" w:rsidP="00D922A8">
            <w:pPr>
              <w:spacing w:line="240" w:lineRule="auto"/>
              <w:rPr>
                <w:rFonts w:eastAsia="Times New Roman" w:cs="Arial"/>
                <w:sz w:val="24"/>
                <w:szCs w:val="24"/>
              </w:rPr>
            </w:pPr>
            <w:r>
              <w:t xml:space="preserve">таблетка </w:t>
            </w:r>
            <w:r>
              <w:rPr>
                <w:lang w:val="en-US"/>
              </w:rPr>
              <w:t>5 mg</w:t>
            </w:r>
          </w:p>
        </w:tc>
        <w:tc>
          <w:tcPr>
            <w:tcW w:w="1916" w:type="dxa"/>
          </w:tcPr>
          <w:p w14:paraId="4BDE2039" w14:textId="1916C0D2" w:rsidR="00D922A8" w:rsidRDefault="00D922A8" w:rsidP="00D922A8">
            <w:pPr>
              <w:spacing w:line="240" w:lineRule="auto"/>
              <w:rPr>
                <w:rFonts w:eastAsia="Times New Roman" w:cs="Arial"/>
                <w:sz w:val="24"/>
                <w:szCs w:val="24"/>
              </w:rPr>
            </w:pPr>
            <w:r>
              <w:t xml:space="preserve">таблетка </w:t>
            </w:r>
            <w:r>
              <w:rPr>
                <w:lang w:val="en-US"/>
              </w:rPr>
              <w:t>10 mg</w:t>
            </w:r>
          </w:p>
        </w:tc>
      </w:tr>
      <w:tr w:rsidR="00D922A8" w14:paraId="767CD87F" w14:textId="77777777" w:rsidTr="00D922A8">
        <w:tc>
          <w:tcPr>
            <w:tcW w:w="1915" w:type="dxa"/>
          </w:tcPr>
          <w:p w14:paraId="0FFF66EE" w14:textId="18EFFECD" w:rsidR="00D922A8" w:rsidRDefault="00D922A8" w:rsidP="00D922A8">
            <w:pPr>
              <w:spacing w:line="240" w:lineRule="auto"/>
              <w:rPr>
                <w:rFonts w:eastAsia="Times New Roman" w:cs="Arial"/>
                <w:sz w:val="24"/>
                <w:szCs w:val="24"/>
              </w:rPr>
            </w:pPr>
            <w:r>
              <w:t>лактоза</w:t>
            </w:r>
          </w:p>
        </w:tc>
        <w:tc>
          <w:tcPr>
            <w:tcW w:w="1915" w:type="dxa"/>
          </w:tcPr>
          <w:p w14:paraId="541C6125" w14:textId="4A0EAF07" w:rsidR="00D922A8" w:rsidRDefault="00D922A8" w:rsidP="00D922A8">
            <w:pPr>
              <w:spacing w:line="240" w:lineRule="auto"/>
              <w:rPr>
                <w:rFonts w:eastAsia="Times New Roman" w:cs="Arial"/>
                <w:sz w:val="24"/>
                <w:szCs w:val="24"/>
              </w:rPr>
            </w:pPr>
            <w:r>
              <w:t xml:space="preserve">75,53 </w:t>
            </w:r>
            <w:r>
              <w:rPr>
                <w:lang w:val="en-US"/>
              </w:rPr>
              <w:t>mg</w:t>
            </w:r>
          </w:p>
        </w:tc>
        <w:tc>
          <w:tcPr>
            <w:tcW w:w="1915" w:type="dxa"/>
          </w:tcPr>
          <w:p w14:paraId="5FC7BA7B" w14:textId="305D6DFF" w:rsidR="00D922A8" w:rsidRDefault="00D922A8" w:rsidP="00D922A8">
            <w:pPr>
              <w:spacing w:line="240" w:lineRule="auto"/>
              <w:rPr>
                <w:rFonts w:eastAsia="Times New Roman" w:cs="Arial"/>
                <w:sz w:val="24"/>
                <w:szCs w:val="24"/>
              </w:rPr>
            </w:pPr>
            <w:r>
              <w:t xml:space="preserve">150,86 </w:t>
            </w:r>
            <w:r>
              <w:rPr>
                <w:lang w:val="en-US"/>
              </w:rPr>
              <w:t>mg</w:t>
            </w:r>
          </w:p>
        </w:tc>
        <w:tc>
          <w:tcPr>
            <w:tcW w:w="1915" w:type="dxa"/>
          </w:tcPr>
          <w:p w14:paraId="0C49EC0F" w14:textId="0B5189EF" w:rsidR="00D922A8" w:rsidRDefault="00D922A8" w:rsidP="00D922A8">
            <w:pPr>
              <w:spacing w:line="240" w:lineRule="auto"/>
              <w:rPr>
                <w:rFonts w:eastAsia="Times New Roman" w:cs="Arial"/>
                <w:sz w:val="24"/>
                <w:szCs w:val="24"/>
              </w:rPr>
            </w:pPr>
            <w:r>
              <w:rPr>
                <w:lang w:val="en-US"/>
              </w:rPr>
              <w:t>91,65 mg</w:t>
            </w:r>
          </w:p>
        </w:tc>
        <w:tc>
          <w:tcPr>
            <w:tcW w:w="1916" w:type="dxa"/>
          </w:tcPr>
          <w:p w14:paraId="0AF1BA18" w14:textId="52255570" w:rsidR="00D922A8" w:rsidRDefault="00D922A8" w:rsidP="00D922A8">
            <w:pPr>
              <w:spacing w:line="240" w:lineRule="auto"/>
              <w:rPr>
                <w:rFonts w:eastAsia="Times New Roman" w:cs="Arial"/>
                <w:sz w:val="24"/>
                <w:szCs w:val="24"/>
              </w:rPr>
            </w:pPr>
            <w:r>
              <w:rPr>
                <w:lang w:val="en-US"/>
              </w:rPr>
              <w:t>183,54 mg</w:t>
            </w:r>
          </w:p>
        </w:tc>
      </w:tr>
    </w:tbl>
    <w:p w14:paraId="5BC66CF8" w14:textId="77777777" w:rsidR="00D922A8" w:rsidRPr="00D922A8" w:rsidRDefault="00D922A8" w:rsidP="00D922A8">
      <w:pPr>
        <w:spacing w:line="240" w:lineRule="auto"/>
        <w:rPr>
          <w:rFonts w:eastAsia="Times New Roman" w:cs="Arial"/>
          <w:sz w:val="24"/>
          <w:szCs w:val="24"/>
        </w:rPr>
      </w:pPr>
    </w:p>
    <w:p w14:paraId="7FFB8EB5" w14:textId="709EC17E" w:rsidR="00D922A8" w:rsidRPr="00D922A8" w:rsidRDefault="00D922A8" w:rsidP="00D922A8"/>
    <w:p w14:paraId="614984C4" w14:textId="26E1BBFD" w:rsidR="008A6AF2" w:rsidRDefault="00DD466D" w:rsidP="002C50EE">
      <w:pPr>
        <w:pStyle w:val="Heading1"/>
      </w:pPr>
      <w:r>
        <w:t>3. ЛЕКАРСТВЕНА ФОРМА</w:t>
      </w:r>
    </w:p>
    <w:p w14:paraId="3CF58F3C" w14:textId="3384BEB9" w:rsidR="00D922A8" w:rsidRDefault="00D922A8" w:rsidP="00D922A8"/>
    <w:p w14:paraId="376AD12B"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Таблетка.</w:t>
      </w:r>
    </w:p>
    <w:p w14:paraId="17E720C9"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Амприл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таблетки: бели до белезникави продълговати и плоски таблетки, с размери 8,0 х 4,0 </w:t>
      </w:r>
      <w:r w:rsidRPr="00D922A8">
        <w:rPr>
          <w:rFonts w:eastAsia="Times New Roman" w:cs="Arial"/>
          <w:color w:val="000000"/>
          <w:lang w:val="en-US"/>
        </w:rPr>
        <w:t>mm</w:t>
      </w:r>
      <w:r w:rsidRPr="00D922A8">
        <w:rPr>
          <w:rFonts w:eastAsia="Times New Roman" w:cs="Arial"/>
          <w:color w:val="000000"/>
          <w:lang w:val="ru-RU"/>
        </w:rPr>
        <w:t>.</w:t>
      </w:r>
    </w:p>
    <w:p w14:paraId="18E18169"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Амприл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таблетки: жълти продълговати и плоски таблетки, с размери 10,0 х 5,00 </w:t>
      </w:r>
      <w:r w:rsidRPr="00D922A8">
        <w:rPr>
          <w:rFonts w:eastAsia="Times New Roman" w:cs="Arial"/>
          <w:color w:val="000000"/>
          <w:lang w:val="en-US"/>
        </w:rPr>
        <w:t>mm</w:t>
      </w:r>
      <w:r w:rsidRPr="00D922A8">
        <w:rPr>
          <w:rFonts w:eastAsia="Times New Roman" w:cs="Arial"/>
          <w:color w:val="000000"/>
          <w:lang w:val="ru-RU"/>
        </w:rPr>
        <w:t>.</w:t>
      </w:r>
    </w:p>
    <w:p w14:paraId="1E2E4A13"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Амприл 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таблетки: розови продълговати и плоски таблетки, с размери 8,8 х 4,4 </w:t>
      </w:r>
      <w:r w:rsidRPr="00D922A8">
        <w:rPr>
          <w:rFonts w:eastAsia="Times New Roman" w:cs="Arial"/>
          <w:color w:val="000000"/>
          <w:lang w:val="en-US"/>
        </w:rPr>
        <w:t>mm</w:t>
      </w:r>
      <w:r w:rsidRPr="00D922A8">
        <w:rPr>
          <w:rFonts w:eastAsia="Times New Roman" w:cs="Arial"/>
          <w:color w:val="000000"/>
          <w:lang w:val="ru-RU"/>
        </w:rPr>
        <w:t>.</w:t>
      </w:r>
    </w:p>
    <w:p w14:paraId="70DC85D4"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Амприл 10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таблетки: бели до белезникави продълговати и плоски таблетки, с размери 11,0 х 5,5 </w:t>
      </w:r>
      <w:r w:rsidRPr="00D922A8">
        <w:rPr>
          <w:rFonts w:eastAsia="Times New Roman" w:cs="Arial"/>
          <w:color w:val="000000"/>
          <w:lang w:val="en-US"/>
        </w:rPr>
        <w:t>mm</w:t>
      </w:r>
      <w:r w:rsidRPr="00D922A8">
        <w:rPr>
          <w:rFonts w:eastAsia="Times New Roman" w:cs="Arial"/>
          <w:color w:val="000000"/>
          <w:lang w:val="ru-RU"/>
        </w:rPr>
        <w:t>.</w:t>
      </w:r>
    </w:p>
    <w:p w14:paraId="06959574" w14:textId="77777777" w:rsidR="00D922A8" w:rsidRPr="00D922A8" w:rsidRDefault="00D922A8" w:rsidP="00D922A8"/>
    <w:p w14:paraId="490FC2C4" w14:textId="32682B15" w:rsidR="002C50EE" w:rsidRDefault="002C50EE" w:rsidP="002C50EE">
      <w:pPr>
        <w:pStyle w:val="Heading1"/>
      </w:pPr>
      <w:r>
        <w:t>4. КЛИНИЧНИ ДАННИ</w:t>
      </w:r>
    </w:p>
    <w:p w14:paraId="0C8E6903" w14:textId="4EFB1AD5" w:rsidR="008134C8" w:rsidRDefault="002C50EE" w:rsidP="004A448E">
      <w:pPr>
        <w:pStyle w:val="Heading2"/>
      </w:pPr>
      <w:r>
        <w:t>4.1. Терапевтични показания</w:t>
      </w:r>
    </w:p>
    <w:p w14:paraId="12412F47" w14:textId="69BF7EB9" w:rsidR="00D922A8" w:rsidRDefault="00D922A8" w:rsidP="00D922A8"/>
    <w:p w14:paraId="49F8A7E1"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Лечение на хипертония:</w:t>
      </w:r>
    </w:p>
    <w:p w14:paraId="634D51A1"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lastRenderedPageBreak/>
        <w:t>Сърдечносъдова профилактика: намаляване на сърдечносъдовата заболеваемост и смъртност при пациенти с:</w:t>
      </w:r>
    </w:p>
    <w:p w14:paraId="486B8D47"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проявено атеротромботично сърдечносъдово заболяване (анамнеза за коронарно заболяване или инсулт или периферна артериална болест) или</w:t>
      </w:r>
    </w:p>
    <w:p w14:paraId="74E89C5A" w14:textId="1863D192"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диабет с поне един сърдечносъдов рисков фактор (вж. точка 5.1).</w:t>
      </w:r>
    </w:p>
    <w:p w14:paraId="6786A259" w14:textId="77777777" w:rsidR="00D922A8" w:rsidRPr="00D922A8" w:rsidRDefault="00D922A8" w:rsidP="00D922A8">
      <w:pPr>
        <w:spacing w:line="240" w:lineRule="auto"/>
        <w:rPr>
          <w:rFonts w:eastAsia="Times New Roman" w:cs="Arial"/>
          <w:color w:val="000000"/>
          <w:lang w:eastAsia="bg-BG"/>
        </w:rPr>
      </w:pPr>
    </w:p>
    <w:p w14:paraId="1AC31379" w14:textId="6117C252"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Лечение на бъбречно заболяване:</w:t>
      </w:r>
    </w:p>
    <w:p w14:paraId="3939725E"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 xml:space="preserve">начална диабетна гломерулна нефропатия, определена от наличие на микроалбуминурия, </w:t>
      </w:r>
    </w:p>
    <w:p w14:paraId="4036DB73" w14:textId="138D927D"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проявена диабетна гломерулна нефропатия, определена от макропротеинурия при пациенти с поне един сърдечносъдов рисков фактор (вж. точка 5.1),</w:t>
      </w:r>
    </w:p>
    <w:p w14:paraId="3D340A9A" w14:textId="6BE55963"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проявена недиабетна гломерулна нефропатия. определена от макропротеинурия ≥3</w:t>
      </w:r>
      <w:r w:rsidRPr="00D922A8">
        <w:rPr>
          <w:rFonts w:eastAsia="Times New Roman" w:cs="Arial"/>
          <w:color w:val="000000"/>
          <w:lang w:val="en-US"/>
        </w:rPr>
        <w:t>g</w:t>
      </w:r>
      <w:r w:rsidRPr="00D922A8">
        <w:rPr>
          <w:rFonts w:eastAsia="Times New Roman" w:cs="Arial"/>
          <w:color w:val="000000"/>
          <w:lang w:val="ru-RU"/>
        </w:rPr>
        <w:t xml:space="preserve"> </w:t>
      </w:r>
      <w:r w:rsidRPr="00D922A8">
        <w:rPr>
          <w:rFonts w:eastAsia="Times New Roman" w:cs="Arial"/>
          <w:color w:val="000000"/>
          <w:lang w:eastAsia="bg-BG"/>
        </w:rPr>
        <w:t>на ден (вж. точка 5.1).</w:t>
      </w:r>
    </w:p>
    <w:p w14:paraId="58A3119E" w14:textId="66FD4BCE" w:rsidR="00D922A8" w:rsidRPr="00D922A8" w:rsidRDefault="00D922A8" w:rsidP="00D922A8">
      <w:pPr>
        <w:spacing w:line="240" w:lineRule="auto"/>
        <w:rPr>
          <w:rFonts w:eastAsia="Times New Roman" w:cs="Arial"/>
          <w:sz w:val="24"/>
          <w:szCs w:val="24"/>
        </w:rPr>
      </w:pPr>
    </w:p>
    <w:p w14:paraId="046EEBD2"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Лечение на симптоматична сърдечна недостатъчност.</w:t>
      </w:r>
    </w:p>
    <w:p w14:paraId="3D97E478" w14:textId="77777777" w:rsidR="00D922A8" w:rsidRPr="00D922A8" w:rsidRDefault="00D922A8" w:rsidP="00D922A8">
      <w:pPr>
        <w:spacing w:line="240" w:lineRule="auto"/>
        <w:rPr>
          <w:rFonts w:eastAsia="Times New Roman" w:cs="Arial"/>
          <w:color w:val="000000"/>
          <w:lang w:eastAsia="bg-BG"/>
        </w:rPr>
      </w:pPr>
    </w:p>
    <w:p w14:paraId="726D676E" w14:textId="00B6081C" w:rsidR="00D922A8" w:rsidRDefault="00D922A8" w:rsidP="00D922A8">
      <w:pPr>
        <w:spacing w:line="240" w:lineRule="auto"/>
        <w:rPr>
          <w:rFonts w:eastAsia="Times New Roman" w:cs="Arial"/>
          <w:color w:val="000000"/>
          <w:lang w:eastAsia="bg-BG"/>
        </w:rPr>
      </w:pPr>
      <w:r w:rsidRPr="00D922A8">
        <w:rPr>
          <w:rFonts w:eastAsia="Times New Roman" w:cs="Arial"/>
          <w:color w:val="000000"/>
          <w:lang w:eastAsia="bg-BG"/>
        </w:rPr>
        <w:t>Вторична профилактика след остър миокарден инфаркт: намаляване на острата фаза на миокарден инфаркт при пациенти с клинични признаци на сърдечна недостатъчност, с начало повече от 48 часа след остър миокарден инфаркт.</w:t>
      </w:r>
    </w:p>
    <w:p w14:paraId="6261C40E" w14:textId="77777777" w:rsidR="00D922A8" w:rsidRPr="00D922A8" w:rsidRDefault="00D922A8" w:rsidP="00D922A8">
      <w:pPr>
        <w:spacing w:line="240" w:lineRule="auto"/>
        <w:rPr>
          <w:rFonts w:ascii="Times New Roman" w:eastAsia="Times New Roman" w:hAnsi="Times New Roman" w:cs="Times New Roman"/>
          <w:sz w:val="24"/>
          <w:szCs w:val="24"/>
        </w:rPr>
      </w:pPr>
    </w:p>
    <w:p w14:paraId="30BE2C7B" w14:textId="15AB8E5C" w:rsidR="008134C8" w:rsidRDefault="002C50EE" w:rsidP="004A448E">
      <w:pPr>
        <w:pStyle w:val="Heading2"/>
      </w:pPr>
      <w:r>
        <w:t>4.2. Дозировка и начин на приложение</w:t>
      </w:r>
    </w:p>
    <w:p w14:paraId="71811957" w14:textId="5BAB3B88" w:rsidR="00D922A8" w:rsidRDefault="00D922A8" w:rsidP="00D922A8"/>
    <w:p w14:paraId="0EBB9BA9" w14:textId="77777777" w:rsidR="00D922A8" w:rsidRPr="00D922A8" w:rsidRDefault="00D922A8" w:rsidP="00D922A8">
      <w:pPr>
        <w:pStyle w:val="Heading3"/>
        <w:rPr>
          <w:rFonts w:eastAsia="Times New Roman"/>
          <w:u w:val="single"/>
        </w:rPr>
      </w:pPr>
      <w:r w:rsidRPr="00D922A8">
        <w:rPr>
          <w:rFonts w:eastAsia="Times New Roman"/>
          <w:u w:val="single"/>
          <w:lang w:eastAsia="bg-BG"/>
        </w:rPr>
        <w:t>Дозировка</w:t>
      </w:r>
    </w:p>
    <w:p w14:paraId="14F97A8B" w14:textId="77777777" w:rsidR="00D922A8" w:rsidRPr="00D922A8" w:rsidRDefault="00D922A8" w:rsidP="00D922A8">
      <w:pPr>
        <w:spacing w:line="240" w:lineRule="auto"/>
        <w:rPr>
          <w:rFonts w:eastAsia="Times New Roman" w:cs="Arial"/>
          <w:i/>
          <w:iCs/>
          <w:color w:val="000000"/>
          <w:lang w:eastAsia="bg-BG"/>
        </w:rPr>
      </w:pPr>
    </w:p>
    <w:p w14:paraId="4E4F5738" w14:textId="6501E6A0"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Възрастни</w:t>
      </w:r>
    </w:p>
    <w:p w14:paraId="54D1DB5B" w14:textId="77777777"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Пациенти лекувани с диуретици</w:t>
      </w:r>
    </w:p>
    <w:p w14:paraId="11D90E00"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След започване на лечение с Амприл може да настъпи хипотония; по-вероятно е това да настъпи при пациенти, които са лекувани едновременно с диуретици. Поради това се препоръчва повишено внимание, тъй като тези пациенти могат да бъдат с намален обем течности и/ или соли. Ако е възможно, диуретикът трябва да бъде спрян 2 до 3 дни преди началото на лечението с Амприл (вж. точка 4.4).</w:t>
      </w:r>
    </w:p>
    <w:p w14:paraId="4EFAC49B"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При пациенти с хипертония, при които диуретикът не е спрян, лечението с Амприл трябва да бъде започнато с доза от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Трябва да бъдат проследявани бъбречната функция и плазмения калий. Последващата дозировка на Амприл трябва да бъде определяна според желаното кръвно налягане.</w:t>
      </w:r>
    </w:p>
    <w:p w14:paraId="1F767EF2" w14:textId="77777777" w:rsidR="00D922A8" w:rsidRPr="00D922A8" w:rsidRDefault="00D922A8" w:rsidP="00D922A8">
      <w:pPr>
        <w:spacing w:line="240" w:lineRule="auto"/>
        <w:rPr>
          <w:rFonts w:eastAsia="Times New Roman" w:cs="Arial"/>
          <w:i/>
          <w:iCs/>
          <w:color w:val="000000"/>
          <w:lang w:eastAsia="bg-BG"/>
        </w:rPr>
      </w:pPr>
    </w:p>
    <w:p w14:paraId="05554767" w14:textId="41DEE7FC"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Хипертония</w:t>
      </w:r>
    </w:p>
    <w:p w14:paraId="33A0ECC5"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Дозата трябва да бъде определена индивидуално, според профила на пациента (вж. точка 4.4) и контрола на кървното налягане.</w:t>
      </w:r>
    </w:p>
    <w:p w14:paraId="76CB9B61" w14:textId="77777777" w:rsidR="00D922A8" w:rsidRPr="00D922A8" w:rsidRDefault="00D922A8" w:rsidP="00D922A8">
      <w:pPr>
        <w:spacing w:line="240" w:lineRule="auto"/>
        <w:rPr>
          <w:rFonts w:eastAsia="Times New Roman" w:cs="Arial"/>
          <w:color w:val="000000"/>
          <w:lang w:eastAsia="bg-BG"/>
        </w:rPr>
      </w:pPr>
      <w:r w:rsidRPr="00D922A8">
        <w:rPr>
          <w:rFonts w:eastAsia="Times New Roman" w:cs="Arial"/>
          <w:color w:val="000000"/>
          <w:lang w:eastAsia="bg-BG"/>
        </w:rPr>
        <w:t xml:space="preserve">Амприл може да бъде използван като монотерапия или в комбинация с други класове </w:t>
      </w:r>
    </w:p>
    <w:p w14:paraId="3FA81DCE" w14:textId="1FF0DFEF" w:rsidR="00D922A8" w:rsidRPr="00D922A8" w:rsidRDefault="00D922A8" w:rsidP="00D922A8">
      <w:pPr>
        <w:spacing w:line="240" w:lineRule="auto"/>
        <w:rPr>
          <w:rFonts w:eastAsia="Times New Roman" w:cs="Arial"/>
        </w:rPr>
      </w:pPr>
      <w:r w:rsidRPr="00D922A8">
        <w:rPr>
          <w:rFonts w:eastAsia="Times New Roman" w:cs="Arial"/>
          <w:color w:val="000000"/>
          <w:lang w:eastAsia="bg-BG"/>
        </w:rPr>
        <w:t>антихипертензивни лекарствени продукти (вж. точки 4.3, 4.4,4.5 и 5.1).</w:t>
      </w:r>
    </w:p>
    <w:p w14:paraId="43AF7C2E" w14:textId="77777777" w:rsidR="00D922A8" w:rsidRPr="00D922A8" w:rsidRDefault="00D922A8" w:rsidP="00D922A8">
      <w:pPr>
        <w:spacing w:line="240" w:lineRule="auto"/>
        <w:rPr>
          <w:rFonts w:eastAsia="Times New Roman" w:cs="Arial"/>
          <w:color w:val="000000"/>
          <w:u w:val="single"/>
          <w:lang w:eastAsia="bg-BG"/>
        </w:rPr>
      </w:pPr>
    </w:p>
    <w:p w14:paraId="2F8C3251" w14:textId="7C14C3FB"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Начална доза</w:t>
      </w:r>
    </w:p>
    <w:p w14:paraId="30731608"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Амприл трябва да бъде започнат с постепенно повишаване на дозата като се препоръчва първоначална доза от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дневно.</w:t>
      </w:r>
    </w:p>
    <w:p w14:paraId="4A210B1F"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При пациенти с повишена активност на ренин-ангиотензин-алдостероновата система може да настъпи значително понижение на кръвното налягане след приема на първата доза. При такива пациенти се препоръчва начална доза от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като началото на лечението трябва да бъде започнато под медицински контрол (вж. точка 4.4).</w:t>
      </w:r>
    </w:p>
    <w:p w14:paraId="14FEEA1B" w14:textId="77777777" w:rsidR="00D922A8" w:rsidRPr="00D922A8" w:rsidRDefault="00D922A8" w:rsidP="00D922A8">
      <w:pPr>
        <w:spacing w:line="240" w:lineRule="auto"/>
        <w:rPr>
          <w:rFonts w:eastAsia="Times New Roman" w:cs="Arial"/>
          <w:color w:val="000000"/>
          <w:u w:val="single"/>
          <w:lang w:eastAsia="bg-BG"/>
        </w:rPr>
      </w:pPr>
    </w:p>
    <w:p w14:paraId="70B47269" w14:textId="3E3BBE43"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lastRenderedPageBreak/>
        <w:t>Титриране и поддържаща доза</w:t>
      </w:r>
    </w:p>
    <w:p w14:paraId="5596114A"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Постепенно дозата може да бъде удвоена през интервал от две до четири седмици за постигане на желаното кръвно налягане; максимално допустимата доза на Амприл е 10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дневно. Обикновено дозата се прилага веднъж дневно.</w:t>
      </w:r>
    </w:p>
    <w:p w14:paraId="34E9F71A" w14:textId="77777777" w:rsidR="00D922A8" w:rsidRPr="00D922A8" w:rsidRDefault="00D922A8" w:rsidP="00D922A8">
      <w:pPr>
        <w:spacing w:line="240" w:lineRule="auto"/>
        <w:rPr>
          <w:rFonts w:eastAsia="Times New Roman" w:cs="Arial"/>
          <w:i/>
          <w:iCs/>
          <w:color w:val="000000"/>
          <w:lang w:eastAsia="bg-BG"/>
        </w:rPr>
      </w:pPr>
    </w:p>
    <w:p w14:paraId="79223A7E" w14:textId="1267D884"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Сърдечносъдова превенция</w:t>
      </w:r>
    </w:p>
    <w:p w14:paraId="7AC928E1" w14:textId="77777777" w:rsidR="00D922A8" w:rsidRPr="00D922A8" w:rsidRDefault="00D922A8" w:rsidP="00D922A8">
      <w:pPr>
        <w:spacing w:line="240" w:lineRule="auto"/>
        <w:rPr>
          <w:rFonts w:eastAsia="Times New Roman" w:cs="Arial"/>
          <w:color w:val="000000"/>
          <w:u w:val="single"/>
          <w:lang w:eastAsia="bg-BG"/>
        </w:rPr>
      </w:pPr>
    </w:p>
    <w:p w14:paraId="312AE238" w14:textId="0EB96E4D"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Начална доза</w:t>
      </w:r>
    </w:p>
    <w:p w14:paraId="55354E4B"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Препоръчваната начална доза е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Амприл веднъж дневно.</w:t>
      </w:r>
    </w:p>
    <w:p w14:paraId="2DCE86A9" w14:textId="77777777" w:rsidR="00D922A8" w:rsidRPr="00D922A8" w:rsidRDefault="00D922A8" w:rsidP="00D922A8">
      <w:pPr>
        <w:spacing w:line="240" w:lineRule="auto"/>
        <w:rPr>
          <w:rFonts w:eastAsia="Times New Roman" w:cs="Arial"/>
          <w:color w:val="000000"/>
          <w:u w:val="single"/>
          <w:lang w:eastAsia="bg-BG"/>
        </w:rPr>
      </w:pPr>
    </w:p>
    <w:p w14:paraId="790965D0" w14:textId="123246B0"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Титриране и поддържаща доза</w:t>
      </w:r>
    </w:p>
    <w:p w14:paraId="7893E335"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В зависимост от толерантността на пациента към активното вещество, дозата трябва да бъде увеличавана постепенно. Препоръчва се удвояване на дозата след една или две сед</w:t>
      </w:r>
      <w:r w:rsidRPr="00D922A8">
        <w:rPr>
          <w:rFonts w:eastAsia="Times New Roman" w:cs="Arial"/>
          <w:color w:val="000000"/>
          <w:u w:val="single"/>
          <w:lang w:eastAsia="bg-BG"/>
        </w:rPr>
        <w:t xml:space="preserve">мици от </w:t>
      </w:r>
      <w:r w:rsidRPr="00D922A8">
        <w:rPr>
          <w:rFonts w:eastAsia="Times New Roman" w:cs="Arial"/>
          <w:color w:val="000000"/>
          <w:lang w:eastAsia="bg-BG"/>
        </w:rPr>
        <w:t xml:space="preserve">началото на лечението и - след още две до три седмици - да се увеличи до таргетната поддържаща доза от 10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Амприл веднъж дневно.</w:t>
      </w:r>
    </w:p>
    <w:p w14:paraId="09DA5F73" w14:textId="77777777" w:rsidR="00D922A8" w:rsidRPr="00D922A8" w:rsidRDefault="00D922A8" w:rsidP="00D922A8">
      <w:pPr>
        <w:spacing w:line="240" w:lineRule="auto"/>
        <w:rPr>
          <w:rFonts w:eastAsia="Times New Roman" w:cs="Arial"/>
          <w:color w:val="000000"/>
          <w:lang w:eastAsia="bg-BG"/>
        </w:rPr>
      </w:pPr>
    </w:p>
    <w:p w14:paraId="5C8051D4" w14:textId="6710C820" w:rsidR="00D922A8" w:rsidRPr="00D922A8" w:rsidRDefault="00D922A8" w:rsidP="00D922A8">
      <w:pPr>
        <w:spacing w:line="240" w:lineRule="auto"/>
        <w:rPr>
          <w:rFonts w:eastAsia="Times New Roman" w:cs="Arial"/>
        </w:rPr>
      </w:pPr>
      <w:r w:rsidRPr="00D922A8">
        <w:rPr>
          <w:rFonts w:eastAsia="Times New Roman" w:cs="Arial"/>
          <w:color w:val="000000"/>
          <w:lang w:eastAsia="bg-BG"/>
        </w:rPr>
        <w:t>Вижте също по-горе дозировка при пациенти, лекувани с диуретици.</w:t>
      </w:r>
    </w:p>
    <w:p w14:paraId="3E388011" w14:textId="77777777" w:rsidR="00D922A8" w:rsidRPr="00D922A8" w:rsidRDefault="00D922A8" w:rsidP="00D922A8">
      <w:pPr>
        <w:spacing w:line="240" w:lineRule="auto"/>
        <w:rPr>
          <w:rFonts w:eastAsia="Times New Roman" w:cs="Arial"/>
          <w:i/>
          <w:iCs/>
          <w:color w:val="000000"/>
          <w:lang w:eastAsia="bg-BG"/>
        </w:rPr>
      </w:pPr>
    </w:p>
    <w:p w14:paraId="41D0094F" w14:textId="198C80DE"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Лечение на бъбречно заболяване</w:t>
      </w:r>
    </w:p>
    <w:p w14:paraId="5317ABAB" w14:textId="1895E797" w:rsidR="00D922A8" w:rsidRPr="00D922A8" w:rsidRDefault="00D922A8" w:rsidP="00D922A8">
      <w:pPr>
        <w:rPr>
          <w:rFonts w:cs="Arial"/>
        </w:rPr>
      </w:pPr>
    </w:p>
    <w:p w14:paraId="28E2B79E" w14:textId="77777777"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Пациенти с диабет и микроалмуминурия:</w:t>
      </w:r>
    </w:p>
    <w:p w14:paraId="68281F0E" w14:textId="77777777" w:rsidR="00D922A8" w:rsidRPr="00D922A8" w:rsidRDefault="00D922A8" w:rsidP="00D922A8">
      <w:pPr>
        <w:spacing w:line="240" w:lineRule="auto"/>
        <w:rPr>
          <w:rFonts w:eastAsia="Times New Roman" w:cs="Arial"/>
          <w:color w:val="000000"/>
          <w:u w:val="single"/>
          <w:lang w:eastAsia="bg-BG"/>
        </w:rPr>
      </w:pPr>
    </w:p>
    <w:p w14:paraId="1CAAF401" w14:textId="6AF22FFE"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Начална доза</w:t>
      </w:r>
      <w:r w:rsidRPr="00D922A8">
        <w:rPr>
          <w:rFonts w:eastAsia="Times New Roman" w:cs="Arial"/>
          <w:color w:val="000000"/>
          <w:lang w:eastAsia="bg-BG"/>
        </w:rPr>
        <w:t>:</w:t>
      </w:r>
    </w:p>
    <w:p w14:paraId="655F8867"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Препоръчаната начална доза е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Амприл веднъж дневно</w:t>
      </w:r>
    </w:p>
    <w:p w14:paraId="310FBE33" w14:textId="77777777" w:rsidR="00D922A8" w:rsidRPr="00D922A8" w:rsidRDefault="00D922A8" w:rsidP="00D922A8">
      <w:pPr>
        <w:spacing w:line="240" w:lineRule="auto"/>
        <w:rPr>
          <w:rFonts w:eastAsia="Times New Roman" w:cs="Arial"/>
          <w:color w:val="000000"/>
          <w:u w:val="single"/>
          <w:lang w:eastAsia="bg-BG"/>
        </w:rPr>
      </w:pPr>
    </w:p>
    <w:p w14:paraId="1D00C08B" w14:textId="663C4429"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Титриране и поддържаща доза</w:t>
      </w:r>
    </w:p>
    <w:p w14:paraId="40E76844"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В зависимост от толерантността на пациента към активното вещество, дозата впоследствие се повишава. Препоръчва се удвояване на еднократната дневна доза до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след две седмици и до 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след още две седмици.</w:t>
      </w:r>
    </w:p>
    <w:p w14:paraId="6075F7C1" w14:textId="77777777" w:rsidR="00D922A8" w:rsidRPr="00D922A8" w:rsidRDefault="00D922A8" w:rsidP="00D922A8">
      <w:pPr>
        <w:spacing w:line="240" w:lineRule="auto"/>
        <w:rPr>
          <w:rFonts w:eastAsia="Times New Roman" w:cs="Arial"/>
          <w:i/>
          <w:iCs/>
          <w:color w:val="000000"/>
          <w:u w:val="single"/>
          <w:lang w:eastAsia="bg-BG"/>
        </w:rPr>
      </w:pPr>
    </w:p>
    <w:p w14:paraId="0897D565" w14:textId="4400742F"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При пациенти с диабет и поне един сърдечносъдов рисков фактор</w:t>
      </w:r>
    </w:p>
    <w:p w14:paraId="4AAF95A3" w14:textId="77777777" w:rsidR="00D922A8" w:rsidRPr="00D922A8" w:rsidRDefault="00D922A8" w:rsidP="00D922A8">
      <w:pPr>
        <w:spacing w:line="240" w:lineRule="auto"/>
        <w:rPr>
          <w:rFonts w:eastAsia="Times New Roman" w:cs="Arial"/>
          <w:color w:val="000000"/>
          <w:u w:val="single"/>
          <w:lang w:eastAsia="bg-BG"/>
        </w:rPr>
      </w:pPr>
    </w:p>
    <w:p w14:paraId="43E22B41" w14:textId="28AE884C"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Начална доза:</w:t>
      </w:r>
    </w:p>
    <w:p w14:paraId="56A232DB"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Препоръчваната начална доза е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Амприл веднъж дневно.</w:t>
      </w:r>
    </w:p>
    <w:p w14:paraId="72A7143C" w14:textId="77777777" w:rsidR="00D922A8" w:rsidRPr="00D922A8" w:rsidRDefault="00D922A8" w:rsidP="00D922A8">
      <w:pPr>
        <w:spacing w:line="240" w:lineRule="auto"/>
        <w:rPr>
          <w:rFonts w:eastAsia="Times New Roman" w:cs="Arial"/>
          <w:color w:val="000000"/>
          <w:u w:val="single"/>
          <w:lang w:eastAsia="bg-BG"/>
        </w:rPr>
      </w:pPr>
    </w:p>
    <w:p w14:paraId="2785D806" w14:textId="4D0C79BD"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Титриране и поддържаща доза</w:t>
      </w:r>
    </w:p>
    <w:p w14:paraId="54BD1733"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В зависимост от толерантността на пациента към активното вещество, дозата впоследствие се повишава.</w:t>
      </w:r>
    </w:p>
    <w:p w14:paraId="752FE221"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Препоръчва се удвояване на еднократната дневна доза до 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Амприл след една или две седмици и след това до 10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Амприл след още две или три седмици. Таргетната дневна доза е 10 </w:t>
      </w:r>
      <w:r w:rsidRPr="00D922A8">
        <w:rPr>
          <w:rFonts w:eastAsia="Times New Roman" w:cs="Arial"/>
          <w:color w:val="000000"/>
          <w:lang w:val="en-US"/>
        </w:rPr>
        <w:t>mg</w:t>
      </w:r>
      <w:r w:rsidRPr="00D922A8">
        <w:rPr>
          <w:rFonts w:eastAsia="Times New Roman" w:cs="Arial"/>
          <w:color w:val="000000"/>
          <w:lang w:val="ru-RU"/>
        </w:rPr>
        <w:t>.</w:t>
      </w:r>
    </w:p>
    <w:p w14:paraId="7E9A23CC" w14:textId="77777777" w:rsidR="00D922A8" w:rsidRPr="00D922A8" w:rsidRDefault="00D922A8" w:rsidP="00D922A8">
      <w:pPr>
        <w:spacing w:line="240" w:lineRule="auto"/>
        <w:rPr>
          <w:rFonts w:eastAsia="Times New Roman" w:cs="Arial"/>
          <w:i/>
          <w:iCs/>
          <w:color w:val="000000"/>
          <w:u w:val="single"/>
          <w:lang w:eastAsia="bg-BG"/>
        </w:rPr>
      </w:pPr>
    </w:p>
    <w:p w14:paraId="49030DB0" w14:textId="0EC03411"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 xml:space="preserve">При пациенти с недиабетна нефропатия, определена от макропротеинурия &gt;3 </w:t>
      </w:r>
      <w:r w:rsidRPr="00D922A8">
        <w:rPr>
          <w:rFonts w:eastAsia="Times New Roman" w:cs="Arial"/>
          <w:i/>
          <w:iCs/>
          <w:color w:val="000000"/>
          <w:u w:val="single"/>
          <w:lang w:val="en-US"/>
        </w:rPr>
        <w:t>g</w:t>
      </w:r>
      <w:r w:rsidRPr="00D922A8">
        <w:rPr>
          <w:rFonts w:eastAsia="Times New Roman" w:cs="Arial"/>
          <w:i/>
          <w:iCs/>
          <w:color w:val="000000"/>
          <w:u w:val="single"/>
          <w:lang w:eastAsia="bg-BG"/>
        </w:rPr>
        <w:t>/на ден</w:t>
      </w:r>
    </w:p>
    <w:p w14:paraId="4252A9C7" w14:textId="77777777" w:rsidR="00D922A8" w:rsidRPr="00D922A8" w:rsidRDefault="00D922A8" w:rsidP="00D922A8">
      <w:pPr>
        <w:spacing w:line="240" w:lineRule="auto"/>
        <w:rPr>
          <w:rFonts w:eastAsia="Times New Roman" w:cs="Arial"/>
          <w:color w:val="000000"/>
          <w:u w:val="single"/>
          <w:lang w:eastAsia="bg-BG"/>
        </w:rPr>
      </w:pPr>
    </w:p>
    <w:p w14:paraId="153102F7" w14:textId="7A5C4F14"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Начална доза:</w:t>
      </w:r>
    </w:p>
    <w:p w14:paraId="144B7209"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Препоръчваната начална доза е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Амприл веднъж дневно.</w:t>
      </w:r>
    </w:p>
    <w:p w14:paraId="7E2829A5" w14:textId="77777777" w:rsidR="00D922A8" w:rsidRPr="00D922A8" w:rsidRDefault="00D922A8" w:rsidP="00D922A8">
      <w:pPr>
        <w:spacing w:line="240" w:lineRule="auto"/>
        <w:rPr>
          <w:rFonts w:eastAsia="Times New Roman" w:cs="Arial"/>
          <w:color w:val="000000"/>
          <w:u w:val="single"/>
          <w:lang w:eastAsia="bg-BG"/>
        </w:rPr>
      </w:pPr>
    </w:p>
    <w:p w14:paraId="2D626E81" w14:textId="78480657"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Титриране и поддържаща доза</w:t>
      </w:r>
    </w:p>
    <w:p w14:paraId="34361D49"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lastRenderedPageBreak/>
        <w:t xml:space="preserve">В зависимост от толерантността на пациента към активното вещество, дозата впоследствие се повишава. Препоръчва се удвояване на еднократната дневна доза до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след две седмици и до 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след още две седмици.</w:t>
      </w:r>
    </w:p>
    <w:p w14:paraId="1B0E4BDE" w14:textId="77777777"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Симптоматична сърдечна недостатъчност</w:t>
      </w:r>
    </w:p>
    <w:p w14:paraId="5916C3E2" w14:textId="77777777" w:rsidR="00D922A8" w:rsidRPr="00D922A8" w:rsidRDefault="00D922A8" w:rsidP="00D922A8">
      <w:pPr>
        <w:spacing w:line="240" w:lineRule="auto"/>
        <w:rPr>
          <w:rFonts w:eastAsia="Times New Roman" w:cs="Arial"/>
          <w:color w:val="000000"/>
          <w:u w:val="single"/>
          <w:lang w:eastAsia="bg-BG"/>
        </w:rPr>
      </w:pPr>
    </w:p>
    <w:p w14:paraId="0E814F08" w14:textId="65D28A76"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Начална доза:</w:t>
      </w:r>
    </w:p>
    <w:p w14:paraId="11C18F0C"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При стабилизирани пациенти на диуретична терапия, препоръчваната начална доза е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дневно.</w:t>
      </w:r>
    </w:p>
    <w:p w14:paraId="4101F7D2" w14:textId="77777777" w:rsidR="00D922A8" w:rsidRPr="00D922A8" w:rsidRDefault="00D922A8" w:rsidP="00D922A8">
      <w:pPr>
        <w:spacing w:line="240" w:lineRule="auto"/>
        <w:rPr>
          <w:rFonts w:eastAsia="Times New Roman" w:cs="Arial"/>
          <w:color w:val="000000"/>
          <w:u w:val="single"/>
          <w:lang w:eastAsia="bg-BG"/>
        </w:rPr>
      </w:pPr>
    </w:p>
    <w:p w14:paraId="4999681F" w14:textId="7EF2BB22" w:rsidR="00D922A8" w:rsidRPr="00D922A8" w:rsidRDefault="00D922A8" w:rsidP="00D922A8">
      <w:pPr>
        <w:spacing w:line="240" w:lineRule="auto"/>
        <w:rPr>
          <w:rFonts w:eastAsia="Times New Roman" w:cs="Arial"/>
          <w:color w:val="000000"/>
          <w:u w:val="single"/>
          <w:lang w:eastAsia="bg-BG"/>
        </w:rPr>
      </w:pPr>
      <w:r w:rsidRPr="00D922A8">
        <w:rPr>
          <w:rFonts w:eastAsia="Times New Roman" w:cs="Arial"/>
          <w:color w:val="000000"/>
          <w:u w:val="single"/>
          <w:lang w:eastAsia="bg-BG"/>
        </w:rPr>
        <w:t>Титриране и поддържаща доза</w:t>
      </w:r>
    </w:p>
    <w:p w14:paraId="1D3C3FE9"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Амприл трябва да бъде титриран чрез удвояване на дозата на всеки една до две седмици до максимална дневна доза 10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Предпочита се двукратен дневен прием.</w:t>
      </w:r>
    </w:p>
    <w:p w14:paraId="53325432" w14:textId="77777777" w:rsidR="00D922A8" w:rsidRPr="00D922A8" w:rsidRDefault="00D922A8" w:rsidP="00D922A8">
      <w:pPr>
        <w:spacing w:line="240" w:lineRule="auto"/>
        <w:rPr>
          <w:rFonts w:eastAsia="Times New Roman" w:cs="Arial"/>
          <w:i/>
          <w:iCs/>
          <w:color w:val="000000"/>
          <w:lang w:eastAsia="bg-BG"/>
        </w:rPr>
      </w:pPr>
    </w:p>
    <w:p w14:paraId="2B6C8E89" w14:textId="038CFF7F"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Вторична профилактика след остър миокарден инфаркт и със сърдечна недостатъчност</w:t>
      </w:r>
    </w:p>
    <w:p w14:paraId="20224058" w14:textId="77777777" w:rsidR="00D922A8" w:rsidRPr="00D922A8" w:rsidRDefault="00D922A8" w:rsidP="00D922A8">
      <w:pPr>
        <w:spacing w:line="240" w:lineRule="auto"/>
        <w:rPr>
          <w:rFonts w:eastAsia="Times New Roman" w:cs="Arial"/>
          <w:color w:val="000000"/>
          <w:u w:val="single"/>
          <w:lang w:eastAsia="bg-BG"/>
        </w:rPr>
      </w:pPr>
    </w:p>
    <w:p w14:paraId="7EA4DCC8" w14:textId="4CD4F0AF"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Начална доза:</w:t>
      </w:r>
    </w:p>
    <w:p w14:paraId="15B6DBA5"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48 часа след остър миокарден инфаркт при клинично и хемодинамично стабилни пациенти, началната доза е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два пъти дневно в продължение на три дни. Ако началната доза от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не се толерира, доза от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два пъти дневно трябва да бъде прилагана два дни преди повишаване до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и 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два пъти дневно. Ако дозата не може да бъде повишена </w:t>
      </w:r>
      <w:r w:rsidRPr="00D922A8">
        <w:rPr>
          <w:rFonts w:eastAsia="Times New Roman" w:cs="Arial"/>
          <w:color w:val="000000"/>
          <w:u w:val="single"/>
          <w:lang w:eastAsia="bg-BG"/>
        </w:rPr>
        <w:t>до</w:t>
      </w:r>
      <w:r w:rsidRPr="00D922A8">
        <w:rPr>
          <w:rFonts w:eastAsia="Times New Roman" w:cs="Arial"/>
          <w:color w:val="000000"/>
          <w:lang w:eastAsia="bg-BG"/>
        </w:rPr>
        <w:t xml:space="preserve">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два пъти дневно, лечението трябва да се отмени.</w:t>
      </w:r>
    </w:p>
    <w:p w14:paraId="23150D81"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Вижте също по-горе дозировка при пациенти лекувани с диуретици.</w:t>
      </w:r>
    </w:p>
    <w:p w14:paraId="114FC796" w14:textId="77777777" w:rsidR="00D922A8" w:rsidRPr="00D922A8" w:rsidRDefault="00D922A8" w:rsidP="00D922A8">
      <w:pPr>
        <w:spacing w:line="240" w:lineRule="auto"/>
        <w:rPr>
          <w:rFonts w:eastAsia="Times New Roman" w:cs="Arial"/>
          <w:color w:val="000000"/>
          <w:u w:val="single"/>
          <w:lang w:eastAsia="bg-BG"/>
        </w:rPr>
      </w:pPr>
    </w:p>
    <w:p w14:paraId="79B3C90E" w14:textId="5D0B307B"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Титриране и поддържаща доза</w:t>
      </w:r>
    </w:p>
    <w:p w14:paraId="746CDF93" w14:textId="77777777" w:rsidR="00D922A8" w:rsidRPr="00D922A8" w:rsidRDefault="00D922A8" w:rsidP="00D922A8">
      <w:pPr>
        <w:rPr>
          <w:rFonts w:eastAsia="Times New Roman" w:cs="Arial"/>
        </w:rPr>
      </w:pPr>
      <w:r w:rsidRPr="00D922A8">
        <w:rPr>
          <w:rFonts w:eastAsia="Times New Roman" w:cs="Arial"/>
          <w:color w:val="000000"/>
          <w:lang w:eastAsia="bg-BG"/>
        </w:rPr>
        <w:t xml:space="preserve">В последствие дневната доза се повишава чрез удвояването й на интервало от един до три дни до достигане на таргетната поддържаща доза от 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два пъти дневно. Когато е възможно поддържащата доза се разделя на два приема дневно. Ако дозата не може да се повиши до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два пъти дневно, лечението трябва да се отмени. Все още липсва достатъчен опит при лечение на пациенти с тежка </w:t>
      </w:r>
      <w:r w:rsidRPr="00D922A8">
        <w:rPr>
          <w:rFonts w:eastAsia="Times New Roman" w:cs="Arial"/>
          <w:color w:val="000000"/>
          <w:lang w:val="ru-RU"/>
        </w:rPr>
        <w:t>(</w:t>
      </w:r>
      <w:r w:rsidRPr="00D922A8">
        <w:rPr>
          <w:rFonts w:eastAsia="Times New Roman" w:cs="Arial"/>
          <w:color w:val="000000"/>
          <w:lang w:val="en-US"/>
        </w:rPr>
        <w:t>NYHA</w:t>
      </w:r>
      <w:r w:rsidRPr="00D922A8">
        <w:rPr>
          <w:rFonts w:eastAsia="Times New Roman" w:cs="Arial"/>
          <w:color w:val="000000"/>
          <w:lang w:val="ru-RU"/>
        </w:rPr>
        <w:t xml:space="preserve"> </w:t>
      </w:r>
      <w:r w:rsidRPr="00D922A8">
        <w:rPr>
          <w:rFonts w:eastAsia="Times New Roman" w:cs="Arial"/>
          <w:color w:val="000000"/>
          <w:lang w:eastAsia="bg-BG"/>
        </w:rPr>
        <w:t xml:space="preserve">IV) сърдечна недостатъчност непосредствено след миокарден инфаркт. Ако се вземе решение за лечение на такива пациенти, препоръчва се терапията да бъде започната с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веднъж дневно и всяко повишаване на дозата да бъде извършвано с повишено внимание.</w:t>
      </w:r>
    </w:p>
    <w:p w14:paraId="1CCFB47D" w14:textId="77777777" w:rsidR="00D922A8" w:rsidRPr="00D922A8" w:rsidRDefault="00D922A8" w:rsidP="00D922A8">
      <w:pPr>
        <w:spacing w:line="240" w:lineRule="auto"/>
        <w:rPr>
          <w:rFonts w:eastAsia="Times New Roman" w:cs="Arial"/>
          <w:i/>
          <w:iCs/>
          <w:color w:val="000000"/>
          <w:u w:val="single"/>
          <w:lang w:eastAsia="bg-BG"/>
        </w:rPr>
      </w:pPr>
    </w:p>
    <w:p w14:paraId="0FCA0FC7" w14:textId="34AE4667"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Специални популаци</w:t>
      </w:r>
    </w:p>
    <w:p w14:paraId="6347DBBD" w14:textId="77777777" w:rsidR="00D922A8" w:rsidRPr="00D922A8" w:rsidRDefault="00D922A8" w:rsidP="00D922A8">
      <w:pPr>
        <w:spacing w:line="240" w:lineRule="auto"/>
        <w:rPr>
          <w:rFonts w:eastAsia="Times New Roman" w:cs="Arial"/>
          <w:i/>
          <w:iCs/>
          <w:color w:val="000000"/>
          <w:lang w:eastAsia="bg-BG"/>
        </w:rPr>
      </w:pPr>
    </w:p>
    <w:p w14:paraId="55CC050E" w14:textId="674BD56E"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Пациенти с бъбречно увреждане</w:t>
      </w:r>
    </w:p>
    <w:p w14:paraId="0EEADA08"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Дневната доза при пациенти с бъбречно увреждане трябва да се определя въз основа на креатининовия клирънс (вж. точка 5.2):</w:t>
      </w:r>
    </w:p>
    <w:p w14:paraId="62BB269E" w14:textId="6E516991"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ако креатининовият клирънс е &gt; 60 </w:t>
      </w:r>
      <w:r w:rsidRPr="00D922A8">
        <w:rPr>
          <w:rFonts w:eastAsia="Times New Roman" w:cs="Arial"/>
          <w:color w:val="000000"/>
          <w:lang w:val="en-US"/>
        </w:rPr>
        <w:t>ml</w:t>
      </w:r>
      <w:r w:rsidRPr="00D922A8">
        <w:rPr>
          <w:rFonts w:eastAsia="Times New Roman" w:cs="Arial"/>
          <w:color w:val="000000"/>
          <w:lang w:val="ru-RU"/>
        </w:rPr>
        <w:t>/</w:t>
      </w:r>
      <w:r w:rsidRPr="00D922A8">
        <w:rPr>
          <w:rFonts w:eastAsia="Times New Roman" w:cs="Arial"/>
          <w:color w:val="000000"/>
          <w:lang w:val="en-US"/>
        </w:rPr>
        <w:t>min</w:t>
      </w:r>
      <w:r w:rsidRPr="00D922A8">
        <w:rPr>
          <w:rFonts w:eastAsia="Times New Roman" w:cs="Arial"/>
          <w:color w:val="000000"/>
          <w:lang w:val="ru-RU"/>
        </w:rPr>
        <w:t xml:space="preserve">, </w:t>
      </w:r>
      <w:r w:rsidRPr="00D922A8">
        <w:rPr>
          <w:rFonts w:eastAsia="Times New Roman" w:cs="Arial"/>
          <w:color w:val="000000"/>
          <w:lang w:eastAsia="bg-BG"/>
        </w:rPr>
        <w:t xml:space="preserve">не е необходимо коригиране на началната доза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дневно); максималната дневна доза е 10 </w:t>
      </w:r>
      <w:r w:rsidRPr="00D922A8">
        <w:rPr>
          <w:rFonts w:eastAsia="Times New Roman" w:cs="Arial"/>
          <w:color w:val="000000"/>
          <w:lang w:val="en-US"/>
        </w:rPr>
        <w:t>mg</w:t>
      </w:r>
      <w:r w:rsidRPr="00D922A8">
        <w:rPr>
          <w:rFonts w:eastAsia="Times New Roman" w:cs="Arial"/>
          <w:color w:val="000000"/>
          <w:lang w:val="ru-RU"/>
        </w:rPr>
        <w:t>;</w:t>
      </w:r>
    </w:p>
    <w:p w14:paraId="2740DDC0"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ако креатининовият клирънс е между </w:t>
      </w:r>
      <w:r w:rsidRPr="00D922A8">
        <w:rPr>
          <w:rFonts w:eastAsia="Times New Roman" w:cs="Arial"/>
          <w:color w:val="000000"/>
          <w:lang w:val="ru-RU"/>
        </w:rPr>
        <w:t>30-60</w:t>
      </w:r>
      <w:r w:rsidRPr="00D922A8">
        <w:rPr>
          <w:rFonts w:eastAsia="Times New Roman" w:cs="Arial"/>
          <w:color w:val="000000"/>
          <w:lang w:val="en-US"/>
        </w:rPr>
        <w:t>ml</w:t>
      </w:r>
      <w:r w:rsidRPr="00D922A8">
        <w:rPr>
          <w:rFonts w:eastAsia="Times New Roman" w:cs="Arial"/>
          <w:color w:val="000000"/>
          <w:lang w:val="ru-RU"/>
        </w:rPr>
        <w:t>/</w:t>
      </w:r>
      <w:r w:rsidRPr="00D922A8">
        <w:rPr>
          <w:rFonts w:eastAsia="Times New Roman" w:cs="Arial"/>
          <w:color w:val="000000"/>
          <w:lang w:val="en-US"/>
        </w:rPr>
        <w:t>min</w:t>
      </w:r>
      <w:r w:rsidRPr="00D922A8">
        <w:rPr>
          <w:rFonts w:eastAsia="Times New Roman" w:cs="Arial"/>
          <w:color w:val="000000"/>
          <w:lang w:val="ru-RU"/>
        </w:rPr>
        <w:t xml:space="preserve">, </w:t>
      </w:r>
      <w:r w:rsidRPr="00D922A8">
        <w:rPr>
          <w:rFonts w:eastAsia="Times New Roman" w:cs="Arial"/>
          <w:color w:val="000000"/>
          <w:lang w:eastAsia="bg-BG"/>
        </w:rPr>
        <w:t xml:space="preserve">не е необходимо коригиране на началната доза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дневно); максималната дневна доза е 5 </w:t>
      </w:r>
      <w:r w:rsidRPr="00D922A8">
        <w:rPr>
          <w:rFonts w:eastAsia="Times New Roman" w:cs="Arial"/>
          <w:color w:val="000000"/>
          <w:lang w:val="en-US"/>
        </w:rPr>
        <w:t>mg</w:t>
      </w:r>
      <w:r w:rsidRPr="00D922A8">
        <w:rPr>
          <w:rFonts w:eastAsia="Times New Roman" w:cs="Arial"/>
          <w:color w:val="000000"/>
          <w:lang w:val="ru-RU"/>
        </w:rPr>
        <w:t>;</w:t>
      </w:r>
    </w:p>
    <w:p w14:paraId="7CACFA95"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ако креатининовият клирънс е между </w:t>
      </w:r>
      <w:r w:rsidRPr="00D922A8">
        <w:rPr>
          <w:rFonts w:eastAsia="Times New Roman" w:cs="Arial"/>
          <w:color w:val="000000"/>
          <w:lang w:val="ru-RU"/>
        </w:rPr>
        <w:t>10-30</w:t>
      </w:r>
      <w:r w:rsidRPr="00D922A8">
        <w:rPr>
          <w:rFonts w:eastAsia="Times New Roman" w:cs="Arial"/>
          <w:color w:val="000000"/>
          <w:lang w:val="en-US"/>
        </w:rPr>
        <w:t>ml</w:t>
      </w:r>
      <w:r w:rsidRPr="00D922A8">
        <w:rPr>
          <w:rFonts w:eastAsia="Times New Roman" w:cs="Arial"/>
          <w:color w:val="000000"/>
          <w:lang w:val="ru-RU"/>
        </w:rPr>
        <w:t>/</w:t>
      </w:r>
      <w:r w:rsidRPr="00D922A8">
        <w:rPr>
          <w:rFonts w:eastAsia="Times New Roman" w:cs="Arial"/>
          <w:color w:val="000000"/>
          <w:lang w:val="en-US"/>
        </w:rPr>
        <w:t>min</w:t>
      </w:r>
      <w:r w:rsidRPr="00D922A8">
        <w:rPr>
          <w:rFonts w:eastAsia="Times New Roman" w:cs="Arial"/>
          <w:color w:val="000000"/>
          <w:lang w:val="ru-RU"/>
        </w:rPr>
        <w:t xml:space="preserve">, </w:t>
      </w:r>
      <w:r w:rsidRPr="00D922A8">
        <w:rPr>
          <w:rFonts w:eastAsia="Times New Roman" w:cs="Arial"/>
          <w:color w:val="000000"/>
          <w:lang w:eastAsia="bg-BG"/>
        </w:rPr>
        <w:t xml:space="preserve">началната доза е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дневно и максималната дневна доза е 5 </w:t>
      </w:r>
      <w:r w:rsidRPr="00D922A8">
        <w:rPr>
          <w:rFonts w:eastAsia="Times New Roman" w:cs="Arial"/>
          <w:color w:val="000000"/>
          <w:lang w:val="en-US"/>
        </w:rPr>
        <w:t>mg</w:t>
      </w:r>
      <w:r w:rsidRPr="00D922A8">
        <w:rPr>
          <w:rFonts w:eastAsia="Times New Roman" w:cs="Arial"/>
          <w:color w:val="000000"/>
          <w:lang w:val="ru-RU"/>
        </w:rPr>
        <w:t>;</w:t>
      </w:r>
    </w:p>
    <w:p w14:paraId="124ACC0B" w14:textId="6954FE4F"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при хипертоници на хемодиализа: рамиприл се диализира слабо; началната доза е 1,25 </w:t>
      </w:r>
      <w:r w:rsidRPr="00D922A8">
        <w:rPr>
          <w:rFonts w:eastAsia="Times New Roman" w:cs="Arial"/>
          <w:color w:val="000000"/>
          <w:lang w:val="en-US"/>
        </w:rPr>
        <w:t>mg</w:t>
      </w:r>
      <w:r w:rsidRPr="00D922A8">
        <w:rPr>
          <w:rFonts w:eastAsia="Times New Roman" w:cs="Arial"/>
          <w:color w:val="000000"/>
          <w:lang w:eastAsia="bg-BG"/>
        </w:rPr>
        <w:t xml:space="preserve">/дневно и максималната дневна доза е 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лекарственият продукт трябва да се приема няколко часа след хемодиализната процедура.</w:t>
      </w:r>
    </w:p>
    <w:p w14:paraId="51765752" w14:textId="77777777" w:rsidR="00D922A8" w:rsidRPr="00D922A8" w:rsidRDefault="00D922A8" w:rsidP="00D922A8">
      <w:pPr>
        <w:spacing w:line="240" w:lineRule="auto"/>
        <w:rPr>
          <w:rFonts w:eastAsia="Times New Roman" w:cs="Arial"/>
          <w:i/>
          <w:iCs/>
          <w:color w:val="000000"/>
          <w:lang w:eastAsia="bg-BG"/>
        </w:rPr>
      </w:pPr>
    </w:p>
    <w:p w14:paraId="5A827CF7" w14:textId="131616D3"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Пациенти с чернодробно нарушение (вж. точка 5.2)</w:t>
      </w:r>
    </w:p>
    <w:p w14:paraId="5B00E7B2"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lastRenderedPageBreak/>
        <w:t xml:space="preserve">При пациенти с чернодробно нарушение, лечението с Амприл трябва да започне само под стриктен медицински контрол и максималната дневна доза е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Амприл.</w:t>
      </w:r>
    </w:p>
    <w:p w14:paraId="6CE88949" w14:textId="77777777" w:rsidR="00D922A8" w:rsidRPr="00D922A8" w:rsidRDefault="00D922A8" w:rsidP="00D922A8">
      <w:pPr>
        <w:spacing w:line="240" w:lineRule="auto"/>
        <w:rPr>
          <w:rFonts w:eastAsia="Times New Roman" w:cs="Arial"/>
          <w:i/>
          <w:iCs/>
          <w:color w:val="000000"/>
          <w:lang w:eastAsia="bg-BG"/>
        </w:rPr>
      </w:pPr>
    </w:p>
    <w:p w14:paraId="4CC57AF2" w14:textId="4400C73F"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Старческа възраст</w:t>
      </w:r>
    </w:p>
    <w:p w14:paraId="4F0A633D"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Началните дози трябва да бъдат по-ниски и впоследствие титрирането на дозата трябва да бъде по-бавно, поради по-голямата възможност от нежелани реакции, особено при много възрастни и немощни пациенти. Трябва да се има предвид намаляване на началната доза рамиприл на 1,25 </w:t>
      </w:r>
      <w:r w:rsidRPr="00D922A8">
        <w:rPr>
          <w:rFonts w:eastAsia="Times New Roman" w:cs="Arial"/>
          <w:color w:val="000000"/>
          <w:lang w:val="en-US"/>
        </w:rPr>
        <w:t>mg</w:t>
      </w:r>
      <w:r w:rsidRPr="00D922A8">
        <w:rPr>
          <w:rFonts w:eastAsia="Times New Roman" w:cs="Arial"/>
          <w:color w:val="000000"/>
          <w:lang w:val="ru-RU"/>
        </w:rPr>
        <w:t>.</w:t>
      </w:r>
    </w:p>
    <w:p w14:paraId="6519C410" w14:textId="77777777" w:rsidR="00D922A8" w:rsidRPr="00D922A8" w:rsidRDefault="00D922A8" w:rsidP="00D922A8">
      <w:pPr>
        <w:spacing w:line="240" w:lineRule="auto"/>
        <w:rPr>
          <w:rFonts w:eastAsia="Times New Roman" w:cs="Arial"/>
          <w:i/>
          <w:iCs/>
          <w:color w:val="000000"/>
          <w:lang w:eastAsia="bg-BG"/>
        </w:rPr>
      </w:pPr>
    </w:p>
    <w:p w14:paraId="5C8E0662" w14:textId="2FE7A7B6"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Педиатрична популация</w:t>
      </w:r>
    </w:p>
    <w:p w14:paraId="4F97B4AB"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Безопасността и ефикасността на рамиприл при деца все още не са оценени. Наличната информация за Амприл е описана в точка 4.8, 5.1, 5.2 и 5.3, но не могат да бъдат направени специфични препоръки относно дозировката.</w:t>
      </w:r>
    </w:p>
    <w:p w14:paraId="5668BA4C" w14:textId="77777777" w:rsidR="00D922A8" w:rsidRPr="00D922A8" w:rsidRDefault="00D922A8" w:rsidP="00D922A8">
      <w:pPr>
        <w:spacing w:line="240" w:lineRule="auto"/>
        <w:rPr>
          <w:rFonts w:eastAsia="Times New Roman" w:cs="Arial"/>
          <w:color w:val="000000"/>
          <w:u w:val="single"/>
          <w:lang w:eastAsia="bg-BG"/>
        </w:rPr>
      </w:pPr>
    </w:p>
    <w:p w14:paraId="09FAE083" w14:textId="28837693" w:rsidR="00D922A8" w:rsidRPr="00D922A8" w:rsidRDefault="00D922A8" w:rsidP="00D922A8">
      <w:pPr>
        <w:pStyle w:val="Heading3"/>
        <w:rPr>
          <w:rFonts w:eastAsia="Times New Roman"/>
          <w:u w:val="single"/>
        </w:rPr>
      </w:pPr>
      <w:r w:rsidRPr="00D922A8">
        <w:rPr>
          <w:rFonts w:eastAsia="Times New Roman"/>
          <w:u w:val="single"/>
          <w:lang w:eastAsia="bg-BG"/>
        </w:rPr>
        <w:t>Начин на приложение</w:t>
      </w:r>
    </w:p>
    <w:p w14:paraId="7A5E2DC4" w14:textId="77777777" w:rsidR="00D922A8" w:rsidRPr="00D922A8" w:rsidRDefault="00D922A8" w:rsidP="00D922A8">
      <w:pPr>
        <w:spacing w:line="240" w:lineRule="auto"/>
        <w:rPr>
          <w:rFonts w:eastAsia="Times New Roman" w:cs="Arial"/>
          <w:color w:val="000000"/>
          <w:lang w:eastAsia="bg-BG"/>
        </w:rPr>
      </w:pPr>
    </w:p>
    <w:p w14:paraId="7883B3A4" w14:textId="0ABFC7BC" w:rsidR="00D922A8" w:rsidRPr="00D922A8" w:rsidRDefault="00D922A8" w:rsidP="00D922A8">
      <w:pPr>
        <w:spacing w:line="240" w:lineRule="auto"/>
        <w:rPr>
          <w:rFonts w:eastAsia="Times New Roman" w:cs="Arial"/>
        </w:rPr>
      </w:pPr>
      <w:r w:rsidRPr="00D922A8">
        <w:rPr>
          <w:rFonts w:eastAsia="Times New Roman" w:cs="Arial"/>
          <w:color w:val="000000"/>
          <w:lang w:eastAsia="bg-BG"/>
        </w:rPr>
        <w:t>Перорално приложение</w:t>
      </w:r>
    </w:p>
    <w:p w14:paraId="6F8F814D"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Препоръчително е Амприл да бъде приеман всеки ден, по едно и също време.</w:t>
      </w:r>
    </w:p>
    <w:p w14:paraId="6F60685F"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Амприл може да бъде приеман преди, по време или след хранене, тъй като приемът на храна не повлиява бионаличността му (вж. точка 5.2).</w:t>
      </w:r>
    </w:p>
    <w:p w14:paraId="6090F906"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Амприл трябва да се приема с течност. Не трябва да се дъвче или раздробява.</w:t>
      </w:r>
    </w:p>
    <w:p w14:paraId="49E25669" w14:textId="3CA8845C" w:rsidR="00D922A8" w:rsidRPr="00D922A8" w:rsidRDefault="00D922A8" w:rsidP="00D922A8"/>
    <w:p w14:paraId="28C984E8" w14:textId="5259E9D1" w:rsidR="008134C8" w:rsidRDefault="002C50EE" w:rsidP="004A448E">
      <w:pPr>
        <w:pStyle w:val="Heading2"/>
      </w:pPr>
      <w:r>
        <w:t>4.3. Противопоказания</w:t>
      </w:r>
    </w:p>
    <w:p w14:paraId="5E6BE2C9" w14:textId="6BE811BB" w:rsidR="00D922A8" w:rsidRDefault="00D922A8" w:rsidP="00D922A8"/>
    <w:p w14:paraId="7C0D774B"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 xml:space="preserve">свръхчувствителност към активното вещество или към някое от помощните вещества, изброени в точка 6.1, или друг АСЕ инхибитор (инхибитор на ангиотензин конвертиращия ензим), </w:t>
      </w:r>
    </w:p>
    <w:p w14:paraId="2CD7C08F"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 xml:space="preserve">анамнеза за ангиоедем (наследствен, идиопатичен или вследствие лечение с </w:t>
      </w:r>
      <w:r w:rsidRPr="00D922A8">
        <w:rPr>
          <w:rFonts w:eastAsia="Times New Roman" w:cs="Arial"/>
          <w:color w:val="000000"/>
          <w:lang w:val="en-US"/>
        </w:rPr>
        <w:t>ACE</w:t>
      </w:r>
      <w:r w:rsidRPr="00D922A8">
        <w:rPr>
          <w:rFonts w:eastAsia="Times New Roman" w:cs="Arial"/>
          <w:color w:val="000000"/>
          <w:lang w:val="ru-RU"/>
        </w:rPr>
        <w:t xml:space="preserve">- </w:t>
      </w:r>
      <w:r w:rsidRPr="00D922A8">
        <w:rPr>
          <w:rFonts w:eastAsia="Times New Roman" w:cs="Arial"/>
          <w:color w:val="000000"/>
          <w:lang w:eastAsia="bg-BG"/>
        </w:rPr>
        <w:t xml:space="preserve">инхибитори или ангиотензин И рецепторни антагонисти </w:t>
      </w:r>
      <w:r w:rsidRPr="00D922A8">
        <w:rPr>
          <w:rFonts w:eastAsia="Times New Roman" w:cs="Arial"/>
          <w:color w:val="000000"/>
          <w:lang w:val="ru-RU"/>
        </w:rPr>
        <w:t>(</w:t>
      </w:r>
      <w:r w:rsidRPr="00D922A8">
        <w:rPr>
          <w:rFonts w:eastAsia="Times New Roman" w:cs="Arial"/>
          <w:color w:val="000000"/>
          <w:lang w:val="en-US"/>
        </w:rPr>
        <w:t>AIIRAs</w:t>
      </w:r>
      <w:r w:rsidRPr="00D922A8">
        <w:rPr>
          <w:rFonts w:eastAsia="Times New Roman" w:cs="Arial"/>
          <w:color w:val="000000"/>
          <w:lang w:val="ru-RU"/>
        </w:rPr>
        <w:t xml:space="preserve">), </w:t>
      </w:r>
    </w:p>
    <w:p w14:paraId="41C81B0E"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екстракорпорално лечение, водещо до контакт на кръвта с отрицателно заредени</w:t>
      </w:r>
      <w:r w:rsidRPr="00D922A8">
        <w:rPr>
          <w:rFonts w:eastAsia="Times New Roman" w:cs="Arial"/>
          <w:color w:val="000000"/>
          <w:vertAlign w:val="subscript"/>
          <w:lang w:eastAsia="bg-BG"/>
        </w:rPr>
        <w:t xml:space="preserve"> </w:t>
      </w:r>
      <w:r w:rsidRPr="00D922A8">
        <w:rPr>
          <w:rFonts w:eastAsia="Times New Roman" w:cs="Arial"/>
          <w:color w:val="000000"/>
          <w:lang w:eastAsia="bg-BG"/>
        </w:rPr>
        <w:t>повърхности (вж. точка 4.5),</w:t>
      </w:r>
    </w:p>
    <w:p w14:paraId="43B89E0D"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значима двустранна стеноза на бъбречните артерии или стеноза на бъбречна артерия на единствен функциониращ бъбрек,</w:t>
      </w:r>
    </w:p>
    <w:p w14:paraId="487E6B97"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втори и трети триместър на бременността (вж. точки 4.4 и 4.6),</w:t>
      </w:r>
    </w:p>
    <w:p w14:paraId="31E5FD36"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рамиприл не трябва да бъде прилаган при пациенти с хипотония или нестабилна хемодинамика,</w:t>
      </w:r>
    </w:p>
    <w:p w14:paraId="02049447"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 xml:space="preserve">едновременната употреба на Амприл с алискирен-съдържащи продукти е противопоказана при пациенти със захарен диабет или бъбречно увреждане </w:t>
      </w:r>
      <w:r w:rsidRPr="00D922A8">
        <w:rPr>
          <w:rFonts w:eastAsia="Times New Roman" w:cs="Arial"/>
          <w:color w:val="000000"/>
          <w:lang w:val="ru-RU"/>
        </w:rPr>
        <w:t>(</w:t>
      </w:r>
      <w:r w:rsidRPr="00D922A8">
        <w:rPr>
          <w:rFonts w:eastAsia="Times New Roman" w:cs="Arial"/>
          <w:color w:val="000000"/>
          <w:lang w:val="en-US"/>
        </w:rPr>
        <w:t>GFR</w:t>
      </w:r>
      <w:r w:rsidRPr="00D922A8">
        <w:rPr>
          <w:rFonts w:eastAsia="Times New Roman" w:cs="Arial"/>
          <w:color w:val="000000"/>
          <w:lang w:val="ru-RU"/>
        </w:rPr>
        <w:t xml:space="preserve"> </w:t>
      </w:r>
      <w:r w:rsidRPr="00D922A8">
        <w:rPr>
          <w:rFonts w:eastAsia="Times New Roman" w:cs="Arial"/>
          <w:color w:val="000000"/>
          <w:lang w:eastAsia="bg-BG"/>
        </w:rPr>
        <w:t xml:space="preserve">&lt; 60 </w:t>
      </w:r>
      <w:r w:rsidRPr="00D922A8">
        <w:rPr>
          <w:rFonts w:eastAsia="Times New Roman" w:cs="Arial"/>
          <w:color w:val="000000"/>
          <w:lang w:val="en-US"/>
        </w:rPr>
        <w:t>ml</w:t>
      </w:r>
      <w:r w:rsidRPr="00D922A8">
        <w:rPr>
          <w:rFonts w:eastAsia="Times New Roman" w:cs="Arial"/>
          <w:color w:val="000000"/>
          <w:lang w:val="ru-RU"/>
        </w:rPr>
        <w:t>/</w:t>
      </w:r>
      <w:r w:rsidRPr="00D922A8">
        <w:rPr>
          <w:rFonts w:eastAsia="Times New Roman" w:cs="Arial"/>
          <w:color w:val="000000"/>
          <w:lang w:val="en-US"/>
        </w:rPr>
        <w:t>min</w:t>
      </w:r>
      <w:r w:rsidRPr="00D922A8">
        <w:rPr>
          <w:rFonts w:eastAsia="Times New Roman" w:cs="Arial"/>
          <w:color w:val="000000"/>
          <w:lang w:val="ru-RU"/>
        </w:rPr>
        <w:t xml:space="preserve">/1,73 </w:t>
      </w:r>
      <w:r w:rsidRPr="00D922A8">
        <w:rPr>
          <w:rFonts w:eastAsia="Times New Roman" w:cs="Arial"/>
          <w:color w:val="000000"/>
          <w:lang w:val="en-US"/>
        </w:rPr>
        <w:t>m</w:t>
      </w:r>
      <w:r w:rsidRPr="00D922A8">
        <w:rPr>
          <w:rFonts w:eastAsia="Times New Roman" w:cs="Arial"/>
          <w:color w:val="000000"/>
          <w:vertAlign w:val="superscript"/>
          <w:lang w:val="ru-RU"/>
        </w:rPr>
        <w:t>2</w:t>
      </w:r>
      <w:r w:rsidRPr="00D922A8">
        <w:rPr>
          <w:rFonts w:eastAsia="Times New Roman" w:cs="Arial"/>
          <w:color w:val="000000"/>
          <w:lang w:val="ru-RU"/>
        </w:rPr>
        <w:t xml:space="preserve">) </w:t>
      </w:r>
      <w:r w:rsidRPr="00D922A8">
        <w:rPr>
          <w:rFonts w:eastAsia="Times New Roman" w:cs="Arial"/>
          <w:color w:val="000000"/>
          <w:lang w:eastAsia="bg-BG"/>
        </w:rPr>
        <w:t>(вж. точки 4.5 и 5.1),</w:t>
      </w:r>
    </w:p>
    <w:p w14:paraId="69424D9A" w14:textId="24D45D1B"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Съпътстваща употреба при терапия със сакубитрил/валсартан. Амприл не трябва да се започва по-рано от 36 часа след последната доза сакубитрил/валсартан (вж. също точки 4.4 и 4.5).</w:t>
      </w:r>
    </w:p>
    <w:p w14:paraId="03501F32" w14:textId="77777777" w:rsidR="00D922A8" w:rsidRPr="00D922A8" w:rsidRDefault="00D922A8" w:rsidP="00D922A8">
      <w:pPr>
        <w:spacing w:line="240" w:lineRule="auto"/>
        <w:rPr>
          <w:rFonts w:ascii="Times New Roman" w:eastAsia="Times New Roman" w:hAnsi="Times New Roman" w:cs="Times New Roman"/>
          <w:sz w:val="24"/>
          <w:szCs w:val="24"/>
        </w:rPr>
      </w:pPr>
    </w:p>
    <w:p w14:paraId="212F509C" w14:textId="3A9A2476" w:rsidR="004F498A" w:rsidRDefault="002C50EE" w:rsidP="004A448E">
      <w:pPr>
        <w:pStyle w:val="Heading2"/>
      </w:pPr>
      <w:r>
        <w:t>4.4. Специални предупреждения и предпазни мерки при употреба</w:t>
      </w:r>
    </w:p>
    <w:p w14:paraId="4675A89F" w14:textId="2AD2A8DD" w:rsidR="00D922A8" w:rsidRDefault="00D922A8" w:rsidP="00D922A8"/>
    <w:p w14:paraId="21C352D5" w14:textId="77777777"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Специални популации</w:t>
      </w:r>
    </w:p>
    <w:p w14:paraId="5D4D748B" w14:textId="77777777"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Бременност:</w:t>
      </w:r>
    </w:p>
    <w:p w14:paraId="7F7CD70D"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АСЕ-инхибиторите като рамиприл или или ангиотензин II рецепторни антагонисти </w:t>
      </w:r>
      <w:r w:rsidRPr="00D922A8">
        <w:rPr>
          <w:rFonts w:eastAsia="Times New Roman" w:cs="Arial"/>
          <w:color w:val="000000"/>
          <w:lang w:val="ru-RU"/>
        </w:rPr>
        <w:t>(</w:t>
      </w:r>
      <w:r w:rsidRPr="00D922A8">
        <w:rPr>
          <w:rFonts w:eastAsia="Times New Roman" w:cs="Arial"/>
          <w:color w:val="000000"/>
          <w:lang w:val="en-US"/>
        </w:rPr>
        <w:t>AIIRAs</w:t>
      </w:r>
      <w:r w:rsidRPr="00D922A8">
        <w:rPr>
          <w:rFonts w:eastAsia="Times New Roman" w:cs="Arial"/>
          <w:color w:val="000000"/>
          <w:lang w:val="ru-RU"/>
        </w:rPr>
        <w:t xml:space="preserve">) </w:t>
      </w:r>
      <w:r w:rsidRPr="00D922A8">
        <w:rPr>
          <w:rFonts w:eastAsia="Times New Roman" w:cs="Arial"/>
          <w:color w:val="000000"/>
          <w:lang w:eastAsia="bg-BG"/>
        </w:rPr>
        <w:t xml:space="preserve">не трябва да се започват по време на бременност. Освен ако продължаването на </w:t>
      </w:r>
      <w:r w:rsidRPr="00D922A8">
        <w:rPr>
          <w:rFonts w:eastAsia="Times New Roman" w:cs="Arial"/>
          <w:color w:val="000000"/>
          <w:lang w:eastAsia="bg-BG"/>
        </w:rPr>
        <w:lastRenderedPageBreak/>
        <w:t xml:space="preserve">лечението е АСЕ инхибитор/ </w:t>
      </w:r>
      <w:r w:rsidRPr="00D922A8">
        <w:rPr>
          <w:rFonts w:eastAsia="Times New Roman" w:cs="Arial"/>
          <w:color w:val="000000"/>
          <w:lang w:val="en-US"/>
        </w:rPr>
        <w:t>AIIRAs</w:t>
      </w:r>
      <w:r w:rsidRPr="00D922A8">
        <w:rPr>
          <w:rFonts w:eastAsia="Times New Roman" w:cs="Arial"/>
          <w:color w:val="000000"/>
          <w:lang w:val="ru-RU"/>
        </w:rPr>
        <w:t xml:space="preserve"> </w:t>
      </w:r>
      <w:r w:rsidRPr="00D922A8">
        <w:rPr>
          <w:rFonts w:eastAsia="Times New Roman" w:cs="Arial"/>
          <w:color w:val="000000"/>
          <w:lang w:eastAsia="bg-BG"/>
        </w:rPr>
        <w:t xml:space="preserve">не се смята за жизнено важно, пациентките, които планират бременност, трябва да преминат на алтернативно антихипертензивно лечение, с установен профил на безопасност при употреба по време на бременност. Когато се диагностицира бременност, лечението с АСЕ инхибитори/ </w:t>
      </w:r>
      <w:r w:rsidRPr="00D922A8">
        <w:rPr>
          <w:rFonts w:eastAsia="Times New Roman" w:cs="Arial"/>
          <w:color w:val="000000"/>
          <w:lang w:val="en-US"/>
        </w:rPr>
        <w:t>AIIRAs</w:t>
      </w:r>
      <w:r w:rsidRPr="00D922A8">
        <w:rPr>
          <w:rFonts w:eastAsia="Times New Roman" w:cs="Arial"/>
          <w:color w:val="000000"/>
          <w:lang w:val="ru-RU"/>
        </w:rPr>
        <w:t xml:space="preserve"> </w:t>
      </w:r>
      <w:r w:rsidRPr="00D922A8">
        <w:rPr>
          <w:rFonts w:eastAsia="Times New Roman" w:cs="Arial"/>
          <w:color w:val="000000"/>
          <w:lang w:eastAsia="bg-BG"/>
        </w:rPr>
        <w:t>трябва да бъде спряно незабавно и, ако е подходящо, трябва да започне алтернативно лечение (вж. точки 4.3 и 4.6).</w:t>
      </w:r>
    </w:p>
    <w:p w14:paraId="1461D7B3" w14:textId="77777777" w:rsidR="00D922A8" w:rsidRPr="00D922A8" w:rsidRDefault="00D922A8" w:rsidP="00D922A8">
      <w:pPr>
        <w:spacing w:line="240" w:lineRule="auto"/>
        <w:rPr>
          <w:rFonts w:eastAsia="Times New Roman" w:cs="Arial"/>
          <w:i/>
          <w:iCs/>
          <w:color w:val="000000"/>
          <w:lang w:eastAsia="bg-BG"/>
        </w:rPr>
      </w:pPr>
    </w:p>
    <w:p w14:paraId="735316C4" w14:textId="39412CD6"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Пациенти с особен риск от хипотония</w:t>
      </w:r>
    </w:p>
    <w:p w14:paraId="7D87B10A" w14:textId="77777777" w:rsidR="00D922A8" w:rsidRPr="00D922A8" w:rsidRDefault="00D922A8" w:rsidP="00D922A8">
      <w:pPr>
        <w:spacing w:line="240" w:lineRule="auto"/>
        <w:rPr>
          <w:rFonts w:eastAsia="Times New Roman" w:cs="Arial"/>
          <w:i/>
          <w:iCs/>
          <w:color w:val="000000"/>
          <w:lang w:eastAsia="bg-BG"/>
        </w:rPr>
      </w:pPr>
    </w:p>
    <w:p w14:paraId="559D3F95" w14:textId="69A75DC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i/>
          <w:iCs/>
          <w:color w:val="000000"/>
          <w:lang w:eastAsia="bg-BG"/>
        </w:rPr>
        <w:t xml:space="preserve">Пациенти с повишена активност наренин-ангиотензин-алдостероновата система </w:t>
      </w:r>
      <w:r w:rsidRPr="00D922A8">
        <w:rPr>
          <w:rFonts w:eastAsia="Times New Roman" w:cs="Arial"/>
          <w:color w:val="000000"/>
          <w:lang w:eastAsia="bg-BG"/>
        </w:rPr>
        <w:t>Пациенти с повишена активност на ренин-ангиотензин-алдостероновата система са изложени на риск от силно изразено понижаване на кръвното налягане и влошаване на бъбречната функция, поради АСЕ инхибиране, особено когато АСЕ инхибитор или съпътстващ диуретик се приема за пръв път или при начално повишаване на дозата.</w:t>
      </w:r>
    </w:p>
    <w:p w14:paraId="2578DA5E" w14:textId="77777777" w:rsidR="00D922A8" w:rsidRPr="00D922A8" w:rsidRDefault="00D922A8" w:rsidP="00D922A8">
      <w:pPr>
        <w:spacing w:line="240" w:lineRule="auto"/>
        <w:rPr>
          <w:rFonts w:eastAsia="Times New Roman" w:cs="Arial"/>
          <w:color w:val="000000"/>
          <w:lang w:eastAsia="bg-BG"/>
        </w:rPr>
      </w:pPr>
    </w:p>
    <w:p w14:paraId="0C9D2401" w14:textId="1375B3A1" w:rsidR="00D922A8" w:rsidRPr="00D922A8" w:rsidRDefault="00D922A8" w:rsidP="00D922A8">
      <w:pPr>
        <w:spacing w:line="240" w:lineRule="auto"/>
        <w:rPr>
          <w:rFonts w:eastAsia="Times New Roman" w:cs="Arial"/>
        </w:rPr>
      </w:pPr>
      <w:r w:rsidRPr="00D922A8">
        <w:rPr>
          <w:rFonts w:eastAsia="Times New Roman" w:cs="Arial"/>
          <w:color w:val="000000"/>
          <w:lang w:eastAsia="bg-BG"/>
        </w:rPr>
        <w:t>Значима активност на ренин-ангиотензин-алдостероновата система може да се очаква и е необходимо медицинско наблюдение, включващо проследяване на кръвното налягане, например при:</w:t>
      </w:r>
    </w:p>
    <w:p w14:paraId="3E84D190"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пациенти с тежка хипертония,</w:t>
      </w:r>
    </w:p>
    <w:p w14:paraId="2569D3A5"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пациенти с декомпенсирана застойна сърдечна недостатъчност, </w:t>
      </w:r>
    </w:p>
    <w:p w14:paraId="74C3D2E7"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пациенти с хемодинамично влошен лявокамерен изходящ или входящ кръвоток (напр. стеноза на аортата или митралната клапа), </w:t>
      </w:r>
    </w:p>
    <w:p w14:paraId="76B36C03"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пациенти с едностранна стеноза на бъбречната артерия с втори функциониращ бъбрек, </w:t>
      </w:r>
    </w:p>
    <w:p w14:paraId="29165FAF"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пациенти, при които има или може да настъпи намален обем на телесните течности или соли (включително пациенти, приемащи диуретици), </w:t>
      </w:r>
    </w:p>
    <w:p w14:paraId="6C8C5569"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пациенти с чернодробна цироза и/или асцит, </w:t>
      </w:r>
    </w:p>
    <w:p w14:paraId="1D9307D3" w14:textId="5A61948A"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пациенти, подложени на голяма хирургична итервенция или анестезия със средства, които предизвикват хипотония.</w:t>
      </w:r>
    </w:p>
    <w:p w14:paraId="2C9FE3F3" w14:textId="7A0FB902" w:rsidR="00D922A8" w:rsidRPr="00D922A8" w:rsidRDefault="00D922A8" w:rsidP="00D922A8">
      <w:pPr>
        <w:spacing w:line="240" w:lineRule="auto"/>
        <w:rPr>
          <w:rFonts w:eastAsia="Times New Roman" w:cs="Arial"/>
        </w:rPr>
      </w:pPr>
      <w:r w:rsidRPr="00D922A8">
        <w:rPr>
          <w:rFonts w:eastAsia="Times New Roman" w:cs="Arial"/>
          <w:color w:val="000000"/>
          <w:lang w:eastAsia="bg-BG"/>
        </w:rPr>
        <w:t>Обикновено се препоръчва коригиране на дехидратацията, хиповолемията или солевия дефицит преди началото на лечението (при пациенти със сърдечна недостатъчност, обаче корекцията трябва да бъде внимателно преценена спрямо риска от обемно натоварване).</w:t>
      </w:r>
    </w:p>
    <w:p w14:paraId="61A1D48D" w14:textId="77777777" w:rsidR="00D922A8" w:rsidRPr="00D922A8" w:rsidRDefault="00D922A8" w:rsidP="00D922A8">
      <w:pPr>
        <w:rPr>
          <w:rFonts w:eastAsia="Times New Roman" w:cs="Arial"/>
          <w:i/>
          <w:iCs/>
          <w:color w:val="000000"/>
          <w:lang w:eastAsia="bg-BG"/>
        </w:rPr>
      </w:pPr>
    </w:p>
    <w:p w14:paraId="071A258F" w14:textId="77777777" w:rsidR="00D922A8" w:rsidRPr="00D922A8" w:rsidRDefault="00D922A8" w:rsidP="00D922A8">
      <w:pPr>
        <w:pStyle w:val="ListParagraph"/>
        <w:numPr>
          <w:ilvl w:val="0"/>
          <w:numId w:val="36"/>
        </w:numPr>
        <w:rPr>
          <w:rFonts w:cs="Arial"/>
        </w:rPr>
      </w:pPr>
      <w:r w:rsidRPr="00D922A8">
        <w:rPr>
          <w:rFonts w:eastAsia="Times New Roman" w:cs="Arial"/>
          <w:i/>
          <w:iCs/>
          <w:color w:val="000000"/>
          <w:lang w:eastAsia="bg-BG"/>
        </w:rPr>
        <w:t xml:space="preserve">Двойно блокиране на ренин-ангиотензин-алдостероновата система (РААС) </w:t>
      </w:r>
    </w:p>
    <w:p w14:paraId="6EA4FC9A" w14:textId="688AE10F" w:rsidR="00D922A8" w:rsidRPr="00D922A8" w:rsidRDefault="00D922A8" w:rsidP="00D922A8">
      <w:pPr>
        <w:rPr>
          <w:rFonts w:eastAsia="Times New Roman" w:cs="Arial"/>
          <w:color w:val="000000"/>
          <w:lang w:eastAsia="bg-BG"/>
        </w:rPr>
      </w:pPr>
      <w:r w:rsidRPr="00D922A8">
        <w:rPr>
          <w:rFonts w:eastAsia="Times New Roman" w:cs="Arial"/>
          <w:color w:val="000000"/>
          <w:lang w:eastAsia="bg-BG"/>
        </w:rPr>
        <w:t xml:space="preserve">Има данни, че едновременната употреба на АСЕ инхибитори, ангиотензин </w:t>
      </w:r>
      <w:r w:rsidRPr="00D922A8">
        <w:rPr>
          <w:rFonts w:eastAsia="Times New Roman" w:cs="Arial"/>
          <w:color w:val="000000"/>
          <w:lang w:val="en-US"/>
        </w:rPr>
        <w:t>II</w:t>
      </w:r>
      <w:r w:rsidRPr="00D922A8">
        <w:rPr>
          <w:rFonts w:eastAsia="Times New Roman" w:cs="Arial"/>
          <w:color w:val="000000"/>
          <w:lang w:eastAsia="bg-BG"/>
        </w:rPr>
        <w:t>-рецепторни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препоръчва двойно блокиране на РААС чрез комбинираната употреба на АСЕ инхибитори. ангиотензин П-рецепторни блокери или алискирен (вж. точки 4.5 и 5.1).</w:t>
      </w:r>
      <w:r w:rsidRPr="00D922A8">
        <w:rPr>
          <w:rFonts w:eastAsia="Times New Roman" w:cs="Arial"/>
          <w:i/>
          <w:iCs/>
          <w:color w:val="000000"/>
          <w:lang w:eastAsia="bg-BG"/>
        </w:rPr>
        <w:t xml:space="preserve"> </w:t>
      </w:r>
      <w:r w:rsidRPr="00D922A8">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32E8F6CF" w14:textId="2E512E6E" w:rsidR="00D922A8" w:rsidRPr="00D922A8" w:rsidRDefault="00D922A8" w:rsidP="00D922A8">
      <w:pPr>
        <w:rPr>
          <w:rFonts w:eastAsia="Times New Roman" w:cs="Arial"/>
          <w:color w:val="000000"/>
          <w:lang w:eastAsia="bg-BG"/>
        </w:rPr>
      </w:pPr>
    </w:p>
    <w:p w14:paraId="0937A218"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АСЕ инхибитори и ангиотензин </w:t>
      </w:r>
      <w:r w:rsidRPr="00D922A8">
        <w:rPr>
          <w:rFonts w:eastAsia="Times New Roman" w:cs="Arial"/>
          <w:color w:val="000000"/>
          <w:lang w:val="en-US"/>
        </w:rPr>
        <w:t>II</w:t>
      </w:r>
      <w:r w:rsidRPr="00D922A8">
        <w:rPr>
          <w:rFonts w:eastAsia="Times New Roman" w:cs="Arial"/>
          <w:color w:val="000000"/>
          <w:lang w:eastAsia="bg-BG"/>
        </w:rPr>
        <w:t>-рецепторни.</w:t>
      </w:r>
    </w:p>
    <w:p w14:paraId="27009B6D" w14:textId="77777777" w:rsidR="00D922A8" w:rsidRPr="00D922A8" w:rsidRDefault="00D922A8" w:rsidP="00D922A8">
      <w:pPr>
        <w:spacing w:line="240" w:lineRule="auto"/>
        <w:rPr>
          <w:rFonts w:eastAsia="Times New Roman" w:cs="Arial"/>
          <w:i/>
          <w:iCs/>
          <w:color w:val="000000"/>
          <w:lang w:eastAsia="bg-BG"/>
        </w:rPr>
      </w:pPr>
    </w:p>
    <w:p w14:paraId="365225BF" w14:textId="7AF28408" w:rsidR="00D922A8" w:rsidRPr="00D922A8" w:rsidRDefault="00D922A8" w:rsidP="00D922A8">
      <w:pPr>
        <w:pStyle w:val="ListParagraph"/>
        <w:numPr>
          <w:ilvl w:val="0"/>
          <w:numId w:val="36"/>
        </w:numPr>
        <w:spacing w:line="240" w:lineRule="auto"/>
        <w:rPr>
          <w:rFonts w:eastAsia="Times New Roman" w:cs="Arial"/>
        </w:rPr>
      </w:pPr>
      <w:r w:rsidRPr="00D922A8">
        <w:rPr>
          <w:rFonts w:eastAsia="Times New Roman" w:cs="Arial"/>
          <w:i/>
          <w:iCs/>
          <w:color w:val="000000"/>
          <w:lang w:eastAsia="bg-BG"/>
        </w:rPr>
        <w:t>Преходна или персистираща сърдечна недостатъчност след миокарден инфаркт</w:t>
      </w:r>
    </w:p>
    <w:p w14:paraId="087EDE9E" w14:textId="3279F49A" w:rsidR="00D922A8" w:rsidRPr="00D922A8" w:rsidRDefault="00D922A8" w:rsidP="00D922A8">
      <w:pPr>
        <w:pStyle w:val="ListParagraph"/>
        <w:numPr>
          <w:ilvl w:val="0"/>
          <w:numId w:val="36"/>
        </w:numPr>
        <w:spacing w:line="240" w:lineRule="auto"/>
        <w:rPr>
          <w:rFonts w:eastAsia="Times New Roman" w:cs="Arial"/>
        </w:rPr>
      </w:pPr>
      <w:r w:rsidRPr="00D922A8">
        <w:rPr>
          <w:rFonts w:eastAsia="Times New Roman" w:cs="Arial"/>
          <w:i/>
          <w:iCs/>
          <w:color w:val="000000"/>
          <w:lang w:eastAsia="bg-BG"/>
        </w:rPr>
        <w:lastRenderedPageBreak/>
        <w:t>Пациенти, изложени на риск от сърдечна или мозъчна исхемия в случай на остра хипотония</w:t>
      </w:r>
    </w:p>
    <w:p w14:paraId="062EF8CB"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Началото на терапията изисква строг медицински контрол.</w:t>
      </w:r>
    </w:p>
    <w:p w14:paraId="75A31D36" w14:textId="77777777" w:rsidR="00D922A8" w:rsidRPr="00D922A8" w:rsidRDefault="00D922A8" w:rsidP="00D922A8">
      <w:pPr>
        <w:spacing w:line="240" w:lineRule="auto"/>
        <w:rPr>
          <w:rFonts w:eastAsia="Times New Roman" w:cs="Arial"/>
          <w:i/>
          <w:iCs/>
          <w:color w:val="000000"/>
          <w:lang w:eastAsia="bg-BG"/>
        </w:rPr>
      </w:pPr>
    </w:p>
    <w:p w14:paraId="7A4B7B64" w14:textId="77777777" w:rsidR="00D922A8" w:rsidRPr="00D922A8" w:rsidRDefault="00D922A8" w:rsidP="00D922A8">
      <w:pPr>
        <w:spacing w:line="240" w:lineRule="auto"/>
        <w:rPr>
          <w:rFonts w:eastAsia="Times New Roman" w:cs="Arial"/>
          <w:i/>
          <w:iCs/>
          <w:color w:val="000000"/>
          <w:lang w:eastAsia="bg-BG"/>
        </w:rPr>
      </w:pPr>
      <w:r w:rsidRPr="00D922A8">
        <w:rPr>
          <w:rFonts w:eastAsia="Times New Roman" w:cs="Arial"/>
          <w:i/>
          <w:iCs/>
          <w:color w:val="000000"/>
          <w:lang w:eastAsia="bg-BG"/>
        </w:rPr>
        <w:t>Пациенти в старческа възраст</w:t>
      </w:r>
    </w:p>
    <w:p w14:paraId="530B295C" w14:textId="1C9BB6A0" w:rsidR="00D922A8" w:rsidRPr="00D922A8" w:rsidRDefault="00D922A8" w:rsidP="00D922A8">
      <w:pPr>
        <w:spacing w:line="240" w:lineRule="auto"/>
        <w:rPr>
          <w:rFonts w:eastAsia="Times New Roman" w:cs="Arial"/>
        </w:rPr>
      </w:pPr>
      <w:r w:rsidRPr="00D922A8">
        <w:rPr>
          <w:rFonts w:eastAsia="Times New Roman" w:cs="Arial"/>
          <w:color w:val="000000"/>
          <w:lang w:eastAsia="bg-BG"/>
        </w:rPr>
        <w:t>Вижте точка 4.2.</w:t>
      </w:r>
    </w:p>
    <w:p w14:paraId="002A8512" w14:textId="77777777" w:rsidR="00D922A8" w:rsidRPr="00D922A8" w:rsidRDefault="00D922A8" w:rsidP="00D922A8">
      <w:pPr>
        <w:spacing w:line="240" w:lineRule="auto"/>
        <w:rPr>
          <w:rFonts w:eastAsia="Times New Roman" w:cs="Arial"/>
          <w:i/>
          <w:iCs/>
          <w:color w:val="000000"/>
          <w:u w:val="single"/>
          <w:lang w:eastAsia="bg-BG"/>
        </w:rPr>
      </w:pPr>
    </w:p>
    <w:p w14:paraId="6E3E8F4D" w14:textId="0DA4A3BF"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Хирургични интервенции</w:t>
      </w:r>
    </w:p>
    <w:p w14:paraId="710C77DA"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Препоръчва се, когато е възможно, лечението с инхибитори на ангиотензин конвертиращия ензим като рамиприл, да бъде прекъснато един ден преди хирургична процедура.</w:t>
      </w:r>
    </w:p>
    <w:p w14:paraId="216DE5F8" w14:textId="77777777" w:rsidR="00D922A8" w:rsidRPr="00D922A8" w:rsidRDefault="00D922A8" w:rsidP="00D922A8">
      <w:pPr>
        <w:spacing w:line="240" w:lineRule="auto"/>
        <w:rPr>
          <w:rFonts w:eastAsia="Times New Roman" w:cs="Arial"/>
          <w:i/>
          <w:iCs/>
          <w:color w:val="000000"/>
          <w:u w:val="single"/>
          <w:lang w:eastAsia="bg-BG"/>
        </w:rPr>
      </w:pPr>
    </w:p>
    <w:p w14:paraId="065EE235" w14:textId="1CB9DD5C"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Проследяване на бъбречната функиия</w:t>
      </w:r>
    </w:p>
    <w:p w14:paraId="0118B00C"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Бъбречната функция трябва да бъде оценена преди и по време на лечението и дозата трябва да бъде коригирана особено през първите седмици от лечението. Особено внимателно проследяване се изисква при пациенти с бъбречно увреждане (вж. точка 4.2). Има влошаване на бъбречната функция, особено при пациенти със застойна сърдечна недостатъчност или след бъбречна транс плантация.</w:t>
      </w:r>
    </w:p>
    <w:p w14:paraId="2272C5AA" w14:textId="77777777" w:rsidR="00D922A8" w:rsidRPr="00D922A8" w:rsidRDefault="00D922A8" w:rsidP="00D922A8">
      <w:pPr>
        <w:spacing w:line="240" w:lineRule="auto"/>
        <w:rPr>
          <w:rFonts w:eastAsia="Times New Roman" w:cs="Arial"/>
          <w:i/>
          <w:iCs/>
          <w:color w:val="000000"/>
          <w:u w:val="single"/>
          <w:lang w:eastAsia="bg-BG"/>
        </w:rPr>
      </w:pPr>
    </w:p>
    <w:p w14:paraId="2B2676F4" w14:textId="101C22E1"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Ангиоедем</w:t>
      </w:r>
    </w:p>
    <w:p w14:paraId="7DAE4A20"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Ангиоедем (т. е. оток на дихателните пътища или езика, със или без нарушение на дишането) е бил съобщаван при пациенти, лекувани с АСЕ -инхибитори, включително рамиприл (вж. точка 4.8).</w:t>
      </w:r>
    </w:p>
    <w:p w14:paraId="225EB104"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рамиприл. Лечение с рамиприл не трябва да се започва по-рано от 36 часа след последната доза сакубитрил/валсартан (вж. точки 4.3 и 4.5).</w:t>
      </w:r>
    </w:p>
    <w:p w14:paraId="25B99A3B"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Съпътстващата употреба на АСЕ инхибитори с рацекадотрил, </w:t>
      </w:r>
      <w:proofErr w:type="spellStart"/>
      <w:r w:rsidRPr="00D922A8">
        <w:rPr>
          <w:rFonts w:eastAsia="Times New Roman" w:cs="Arial"/>
          <w:color w:val="000000"/>
          <w:lang w:val="en-US"/>
        </w:rPr>
        <w:t>mTOR</w:t>
      </w:r>
      <w:proofErr w:type="spellEnd"/>
      <w:r w:rsidRPr="00D922A8">
        <w:rPr>
          <w:rFonts w:eastAsia="Times New Roman" w:cs="Arial"/>
          <w:color w:val="000000"/>
          <w:lang w:val="ru-RU"/>
        </w:rPr>
        <w:t xml:space="preserve"> </w:t>
      </w:r>
      <w:r w:rsidRPr="00D922A8">
        <w:rPr>
          <w:rFonts w:eastAsia="Times New Roman" w:cs="Arial"/>
          <w:color w:val="000000"/>
          <w:lang w:eastAsia="bg-BG"/>
        </w:rPr>
        <w:t>инхибитори (напр. сиролимус, еверолимус, темсиролимус)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w:t>
      </w:r>
    </w:p>
    <w:p w14:paraId="5C5E909D"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Необходимо е да се подходи с повишено внимание, когато се започва лечение с рацекадотрил, </w:t>
      </w:r>
      <w:proofErr w:type="spellStart"/>
      <w:r w:rsidRPr="00D922A8">
        <w:rPr>
          <w:rFonts w:eastAsia="Times New Roman" w:cs="Arial"/>
          <w:color w:val="000000"/>
          <w:lang w:val="en-US"/>
        </w:rPr>
        <w:t>mTOR</w:t>
      </w:r>
      <w:proofErr w:type="spellEnd"/>
      <w:r w:rsidRPr="00D922A8">
        <w:rPr>
          <w:rFonts w:eastAsia="Times New Roman" w:cs="Arial"/>
          <w:color w:val="000000"/>
          <w:lang w:val="ru-RU"/>
        </w:rPr>
        <w:t xml:space="preserve"> </w:t>
      </w:r>
      <w:r w:rsidRPr="00D922A8">
        <w:rPr>
          <w:rFonts w:eastAsia="Times New Roman" w:cs="Arial"/>
          <w:color w:val="000000"/>
          <w:lang w:eastAsia="bg-BG"/>
        </w:rPr>
        <w:t>инхибитори (напр. сиролимус, еверолимус, темсиролимус) и вилдаглиптин при пациент, който вече приема АСЕ инхибитор.</w:t>
      </w:r>
    </w:p>
    <w:p w14:paraId="32DEC64E"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В случай на ангиоедем, приемът на Амприл трябва да се прекрати.</w:t>
      </w:r>
    </w:p>
    <w:p w14:paraId="276A6E10"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Трябва незабавно да се назначи спешно лечение. Пациентът трябва да бъде поставен под наблюдение поне за 12 до 24 часа и изписан след напълно отшумяване на симптомите. Интестинален ангиоедем е бил съобщаван при пациенти лекувани с АСЕ- инхибитори, включително Амприл (вж. точка 4.8). При тези пациенти се наблюдава коремна болка (с или без гадене и повръщане).</w:t>
      </w:r>
    </w:p>
    <w:p w14:paraId="6A3A7B66" w14:textId="77777777" w:rsidR="00D922A8" w:rsidRPr="00D922A8" w:rsidRDefault="00D922A8" w:rsidP="00D922A8">
      <w:pPr>
        <w:spacing w:line="240" w:lineRule="auto"/>
        <w:rPr>
          <w:rFonts w:eastAsia="Times New Roman" w:cs="Arial"/>
          <w:i/>
          <w:iCs/>
          <w:color w:val="000000"/>
          <w:u w:val="single"/>
          <w:lang w:eastAsia="bg-BG"/>
        </w:rPr>
      </w:pPr>
    </w:p>
    <w:p w14:paraId="390D197B" w14:textId="2815DFE1"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Анафилактични реакции по време на десенсибилизиране</w:t>
      </w:r>
    </w:p>
    <w:p w14:paraId="469749F7"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Вероятността от поява и тежестта на анафилактични и анафилактоидни реакции към отровата на насекоми и други алергени са повишени при АСЕ- инхибиране. Трябва да се има предвид временно прекъсване на Амприл преди десенсибилизация.</w:t>
      </w:r>
    </w:p>
    <w:p w14:paraId="7F857DD0" w14:textId="77777777" w:rsidR="00D922A8" w:rsidRPr="00D922A8" w:rsidRDefault="00D922A8" w:rsidP="00D922A8">
      <w:pPr>
        <w:spacing w:line="240" w:lineRule="auto"/>
        <w:rPr>
          <w:rFonts w:eastAsia="Times New Roman" w:cs="Arial"/>
          <w:i/>
          <w:iCs/>
          <w:color w:val="000000"/>
          <w:u w:val="single"/>
          <w:lang w:eastAsia="bg-BG"/>
        </w:rPr>
      </w:pPr>
    </w:p>
    <w:p w14:paraId="34FD711B" w14:textId="609CEEE4"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Проследяване на електролити: Хиперкалиемия</w:t>
      </w:r>
    </w:p>
    <w:p w14:paraId="79E8F39E"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w:t>
      </w:r>
    </w:p>
    <w:p w14:paraId="6CE47AFC" w14:textId="77777777" w:rsidR="00D922A8" w:rsidRPr="00D922A8" w:rsidRDefault="00D922A8" w:rsidP="00D922A8">
      <w:pPr>
        <w:rPr>
          <w:rFonts w:eastAsia="Times New Roman" w:cs="Arial"/>
        </w:rPr>
      </w:pPr>
      <w:r w:rsidRPr="00D922A8">
        <w:rPr>
          <w:rFonts w:eastAsia="Times New Roman" w:cs="Arial"/>
          <w:color w:val="000000"/>
          <w:lang w:eastAsia="bg-BG"/>
        </w:rPr>
        <w:lastRenderedPageBreak/>
        <w:t>Риск от хиперкалиемия има при пациенти с бъбречна недостатъчност, на възраст 70 години с неконтролиран захарен диабет или такива, приемащи калиеви соли, калий съхраняващи диуретици и други активни вещества, повишаващи плазмените нива на калия, или такива приемащи други активни вещества, свързани с повишаване на серумния калии (напр. хепарин, триметоприм, ко-тримоксазол, известен също като триметоприм/сулфаметоксазол и особено антагонисти на алдостерона или ангиотензин-рецепторни блокери) или състояния като дехидратация, остра сърдечна декомпенсация, метаболитна ацидоза. Калий-съхраняващите диуретици и ангиотензин-рецепторните блокери и гореспоменатите агенти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78523B90" w14:textId="77777777" w:rsidR="00D922A8" w:rsidRPr="00D922A8" w:rsidRDefault="00D922A8" w:rsidP="00D922A8">
      <w:pPr>
        <w:spacing w:line="240" w:lineRule="auto"/>
        <w:rPr>
          <w:rFonts w:eastAsia="Times New Roman" w:cs="Arial"/>
          <w:i/>
          <w:iCs/>
          <w:color w:val="000000"/>
          <w:u w:val="single"/>
          <w:lang w:eastAsia="bg-BG"/>
        </w:rPr>
      </w:pPr>
    </w:p>
    <w:p w14:paraId="144F1407" w14:textId="6ACA920F"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Проследяване на електролити: Хипонатриемия</w:t>
      </w:r>
    </w:p>
    <w:p w14:paraId="38C01B66"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При някои пациенти, лекувани с рамиприл е наблюдаван синдром на неадекватна секреция на антидиуретичен хормон </w:t>
      </w:r>
      <w:r w:rsidRPr="00D922A8">
        <w:rPr>
          <w:rFonts w:eastAsia="Times New Roman" w:cs="Arial"/>
          <w:color w:val="000000"/>
          <w:lang w:val="ru-RU"/>
        </w:rPr>
        <w:t>(</w:t>
      </w:r>
      <w:r w:rsidRPr="00D922A8">
        <w:rPr>
          <w:rFonts w:eastAsia="Times New Roman" w:cs="Arial"/>
          <w:color w:val="000000"/>
          <w:lang w:val="en-US"/>
        </w:rPr>
        <w:t>SIADH</w:t>
      </w:r>
      <w:r w:rsidRPr="00D922A8">
        <w:rPr>
          <w:rFonts w:eastAsia="Times New Roman" w:cs="Arial"/>
          <w:color w:val="000000"/>
          <w:lang w:val="ru-RU"/>
        </w:rPr>
        <w:t xml:space="preserve">) </w:t>
      </w:r>
      <w:r w:rsidRPr="00D922A8">
        <w:rPr>
          <w:rFonts w:eastAsia="Times New Roman" w:cs="Arial"/>
          <w:color w:val="000000"/>
          <w:lang w:eastAsia="bg-BG"/>
        </w:rPr>
        <w:t>и последваща хипонатриемия. При пациенти в старческа възраст и други пациенти с риск от хипонатриемия, се препоръчва редовно проследяване на серумните нива на натрия.</w:t>
      </w:r>
    </w:p>
    <w:p w14:paraId="49B6C87F" w14:textId="77777777" w:rsidR="00D922A8" w:rsidRPr="00D922A8" w:rsidRDefault="00D922A8" w:rsidP="00D922A8">
      <w:pPr>
        <w:spacing w:line="240" w:lineRule="auto"/>
        <w:rPr>
          <w:rFonts w:eastAsia="Times New Roman" w:cs="Arial"/>
          <w:i/>
          <w:iCs/>
          <w:color w:val="000000"/>
          <w:u w:val="single"/>
          <w:lang w:eastAsia="bg-BG"/>
        </w:rPr>
      </w:pPr>
    </w:p>
    <w:p w14:paraId="3CE7DD24" w14:textId="05C3F5BB"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Неутропения/агранулоиитоза</w:t>
      </w:r>
    </w:p>
    <w:p w14:paraId="261B73B0"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Рядко са наблюдавани неутропения/агранулоцитоза, съобщавана е също и костно-мозъчна супресия, както и тромбоцитопения и анемия. Препоръчва се проследяване на броя бели кръвни клетки, за да се установи евентуална левкопения. По-често проследяване се препоръчва в началото на лечението и при пациенти с нарушена бъбречна функция, със съпътстваща колагеноза (напр. лупус еритематодес или склеродермия), и при лекувани с други лекарствени продукти, които могат да причинят промени в кръвната картина (вж. точка 4.5 и 4.8).</w:t>
      </w:r>
    </w:p>
    <w:p w14:paraId="3AF931C3" w14:textId="77777777" w:rsidR="00D922A8" w:rsidRPr="00D922A8" w:rsidRDefault="00D922A8" w:rsidP="00D922A8">
      <w:pPr>
        <w:spacing w:line="240" w:lineRule="auto"/>
        <w:rPr>
          <w:rFonts w:eastAsia="Times New Roman" w:cs="Arial"/>
          <w:i/>
          <w:iCs/>
          <w:color w:val="000000"/>
          <w:u w:val="single"/>
          <w:lang w:eastAsia="bg-BG"/>
        </w:rPr>
      </w:pPr>
    </w:p>
    <w:p w14:paraId="0631F6F7" w14:textId="04368782"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Етнически различия</w:t>
      </w:r>
    </w:p>
    <w:p w14:paraId="45DC14E8"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АСЕ -инхибиторите причиняват ангиоедем с по-висока честота при чернокожи пациенти, отколкото при останалите.</w:t>
      </w:r>
    </w:p>
    <w:p w14:paraId="271AE472"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Както и другите АСЕ -инхибитори, рамиприл може да бъде по-малко ефективен при понижаване на кръвното налягане при чернокожи пациенти, отколкото при останалите, поради по-честото наличие на хипертония с ниски ренинови нива при чернокожата популация.</w:t>
      </w:r>
    </w:p>
    <w:p w14:paraId="0B40E6CC" w14:textId="77777777" w:rsidR="00D922A8" w:rsidRPr="00D922A8" w:rsidRDefault="00D922A8" w:rsidP="00D922A8">
      <w:pPr>
        <w:spacing w:line="240" w:lineRule="auto"/>
        <w:rPr>
          <w:rFonts w:eastAsia="Times New Roman" w:cs="Arial"/>
          <w:i/>
          <w:iCs/>
          <w:color w:val="000000"/>
          <w:u w:val="single"/>
          <w:lang w:eastAsia="bg-BG"/>
        </w:rPr>
      </w:pPr>
    </w:p>
    <w:p w14:paraId="4DBAACED" w14:textId="04F6CDC6"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Кашлица</w:t>
      </w:r>
    </w:p>
    <w:p w14:paraId="0D88CCD4"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При употребата на АСЕ -инхибитори е съобщавана кашлица. Характерно е, че тя е непродуктивна, продължителна и отзвучава след прекратяване на лечението. Индуцираната от АСЕ -инхибитор кашлица, трябва да се разглежда като част от диференциалната диагноза на кашлица.</w:t>
      </w:r>
    </w:p>
    <w:p w14:paraId="3DEAA98A" w14:textId="77777777" w:rsidR="00D922A8" w:rsidRPr="00D922A8" w:rsidRDefault="00D922A8" w:rsidP="00D922A8">
      <w:pPr>
        <w:spacing w:line="240" w:lineRule="auto"/>
        <w:rPr>
          <w:rFonts w:eastAsia="Times New Roman" w:cs="Arial"/>
          <w:color w:val="000000"/>
          <w:lang w:eastAsia="bg-BG"/>
        </w:rPr>
      </w:pPr>
    </w:p>
    <w:p w14:paraId="5426947E" w14:textId="53E2C69F" w:rsidR="00D922A8" w:rsidRPr="00D922A8" w:rsidRDefault="00D922A8" w:rsidP="00D922A8">
      <w:pPr>
        <w:spacing w:line="240" w:lineRule="auto"/>
        <w:rPr>
          <w:rFonts w:eastAsia="Times New Roman" w:cs="Arial"/>
        </w:rPr>
      </w:pPr>
      <w:r w:rsidRPr="00D922A8">
        <w:rPr>
          <w:rFonts w:eastAsia="Times New Roman" w:cs="Arial"/>
          <w:color w:val="000000"/>
          <w:lang w:eastAsia="bg-BG"/>
        </w:rPr>
        <w:t>Амприл съдържа лактоза и натрий.</w:t>
      </w:r>
    </w:p>
    <w:p w14:paraId="671B7771"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трябвада приемат това лекарство.</w:t>
      </w:r>
    </w:p>
    <w:p w14:paraId="558B4737" w14:textId="0C4FC995" w:rsidR="00D922A8" w:rsidRPr="00D922A8" w:rsidRDefault="00D922A8" w:rsidP="00D922A8">
      <w:pPr>
        <w:spacing w:line="240" w:lineRule="auto"/>
        <w:rPr>
          <w:rFonts w:eastAsia="Times New Roman" w:cs="Arial"/>
          <w:color w:val="000000"/>
          <w:lang w:eastAsia="bg-BG"/>
        </w:rPr>
      </w:pPr>
      <w:r w:rsidRPr="00D922A8">
        <w:rPr>
          <w:rFonts w:eastAsia="Times New Roman" w:cs="Arial"/>
          <w:color w:val="000000"/>
          <w:lang w:eastAsia="bg-BG"/>
        </w:rPr>
        <w:t xml:space="preserve">Това лекарство съдържа по-малко от 1 </w:t>
      </w:r>
      <w:proofErr w:type="spellStart"/>
      <w:r w:rsidRPr="00D922A8">
        <w:rPr>
          <w:rFonts w:eastAsia="Times New Roman" w:cs="Arial"/>
          <w:color w:val="000000"/>
          <w:lang w:val="en-US"/>
        </w:rPr>
        <w:t>mmol</w:t>
      </w:r>
      <w:proofErr w:type="spellEnd"/>
      <w:r w:rsidRPr="00D922A8">
        <w:rPr>
          <w:rFonts w:eastAsia="Times New Roman" w:cs="Arial"/>
          <w:color w:val="000000"/>
          <w:lang w:val="ru-RU"/>
        </w:rPr>
        <w:t xml:space="preserve"> </w:t>
      </w:r>
      <w:r w:rsidRPr="00D922A8">
        <w:rPr>
          <w:rFonts w:eastAsia="Times New Roman" w:cs="Arial"/>
          <w:color w:val="000000"/>
          <w:lang w:eastAsia="bg-BG"/>
        </w:rPr>
        <w:t xml:space="preserve">натрий (23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на таблетка, т.е. може да се каже, че практически не съдържа натрий.</w:t>
      </w:r>
    </w:p>
    <w:p w14:paraId="7B6EF385" w14:textId="3F387E5D" w:rsidR="00D922A8" w:rsidRPr="00D922A8" w:rsidRDefault="00D922A8" w:rsidP="00D922A8"/>
    <w:p w14:paraId="619DED1E" w14:textId="6BF50F73" w:rsidR="004F498A" w:rsidRDefault="002C50EE" w:rsidP="004A448E">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35EA311" w14:textId="50A2996B" w:rsidR="00D922A8" w:rsidRDefault="00D922A8" w:rsidP="00D922A8"/>
    <w:p w14:paraId="2CD75A53" w14:textId="5B2BEF3F"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Данни от клинични проучвания показват, че двойното блокиране на ренин -ангиотензин алдостероновата система (РААС) чрез комбинираната употреба </w:t>
      </w:r>
      <w:r w:rsidRPr="00416587">
        <w:rPr>
          <w:rFonts w:eastAsia="Times New Roman" w:cs="Arial"/>
          <w:color w:val="000000"/>
          <w:lang w:eastAsia="bg-BG"/>
        </w:rPr>
        <w:t xml:space="preserve">на АСЕ инхибитори, ангиотензин </w:t>
      </w:r>
      <w:r w:rsidRPr="00416587">
        <w:rPr>
          <w:rFonts w:eastAsia="Times New Roman" w:cs="Arial"/>
          <w:color w:val="000000"/>
          <w:lang w:val="en-US" w:eastAsia="bg-BG"/>
        </w:rPr>
        <w:t>II</w:t>
      </w:r>
      <w:r w:rsidRPr="00D922A8">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6D3B53BA" w14:textId="77777777" w:rsidR="00D922A8" w:rsidRPr="00416587" w:rsidRDefault="00D922A8" w:rsidP="00D922A8">
      <w:pPr>
        <w:spacing w:line="240" w:lineRule="auto"/>
        <w:rPr>
          <w:rFonts w:eastAsia="Times New Roman" w:cs="Arial"/>
          <w:color w:val="000000"/>
          <w:u w:val="single"/>
          <w:lang w:eastAsia="bg-BG"/>
        </w:rPr>
      </w:pPr>
    </w:p>
    <w:p w14:paraId="5CB0EF06" w14:textId="4D666B9D" w:rsidR="00D922A8" w:rsidRPr="00D922A8" w:rsidRDefault="00D922A8" w:rsidP="00D922A8">
      <w:pPr>
        <w:spacing w:line="240" w:lineRule="auto"/>
        <w:rPr>
          <w:rFonts w:eastAsia="Times New Roman" w:cs="Arial"/>
          <w:sz w:val="24"/>
          <w:szCs w:val="24"/>
        </w:rPr>
      </w:pPr>
      <w:r w:rsidRPr="00D922A8">
        <w:rPr>
          <w:rFonts w:eastAsia="Times New Roman" w:cs="Arial"/>
          <w:color w:val="000000"/>
          <w:u w:val="single"/>
          <w:lang w:eastAsia="bg-BG"/>
        </w:rPr>
        <w:t>Противопоказани комбинации</w:t>
      </w:r>
    </w:p>
    <w:p w14:paraId="0ACE9951"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(вж. точка 4.3 и 4.4).</w:t>
      </w:r>
    </w:p>
    <w:p w14:paraId="18FE056C" w14:textId="77777777" w:rsidR="00D922A8" w:rsidRPr="00416587" w:rsidRDefault="00D922A8" w:rsidP="00D922A8">
      <w:pPr>
        <w:rPr>
          <w:rFonts w:eastAsia="Times New Roman" w:cs="Arial"/>
          <w:color w:val="000000"/>
          <w:lang w:eastAsia="bg-BG"/>
        </w:rPr>
      </w:pPr>
    </w:p>
    <w:p w14:paraId="08E47A56" w14:textId="6422CE4F" w:rsidR="00D922A8" w:rsidRPr="00416587" w:rsidRDefault="00D922A8" w:rsidP="00D922A8">
      <w:pPr>
        <w:rPr>
          <w:rFonts w:eastAsia="Times New Roman" w:cs="Arial"/>
          <w:color w:val="000000"/>
          <w:lang w:eastAsia="bg-BG"/>
        </w:rPr>
      </w:pPr>
      <w:r w:rsidRPr="00416587">
        <w:rPr>
          <w:rFonts w:eastAsia="Times New Roman" w:cs="Arial"/>
          <w:color w:val="000000"/>
          <w:lang w:eastAsia="bg-BG"/>
        </w:rPr>
        <w:t>Екстракорпорално лечение, водещо до контакт на кръвта с отрицателно заредени йони като например диализа или хемофилтрация с определени високопропускливи полиакрилонитрилни</w:t>
      </w:r>
    </w:p>
    <w:p w14:paraId="72266FA8"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мембрани (напр. полиакрилонитрилни мембрани) и афереза на липорпротеини с ниска плътност с декстран сулфат, поради повишен риск от тежка анафилактоидна реакция (вж. точка 4). При необходимост от такова лечение, трябва да се обмисли използване на различен тип диализа или различен клас антихипертензивено средство.</w:t>
      </w:r>
    </w:p>
    <w:p w14:paraId="110338F1" w14:textId="77777777" w:rsidR="00D922A8" w:rsidRPr="00416587" w:rsidRDefault="00D922A8" w:rsidP="00D922A8">
      <w:pPr>
        <w:spacing w:line="240" w:lineRule="auto"/>
        <w:rPr>
          <w:rFonts w:eastAsia="Times New Roman" w:cs="Arial"/>
          <w:color w:val="000000"/>
          <w:u w:val="single"/>
          <w:lang w:eastAsia="bg-BG"/>
        </w:rPr>
      </w:pPr>
    </w:p>
    <w:p w14:paraId="4796687B" w14:textId="106BC221" w:rsidR="00D922A8" w:rsidRPr="00D922A8" w:rsidRDefault="00D922A8" w:rsidP="00D922A8">
      <w:pPr>
        <w:spacing w:line="240" w:lineRule="auto"/>
        <w:rPr>
          <w:rFonts w:eastAsia="Times New Roman" w:cs="Arial"/>
          <w:sz w:val="24"/>
          <w:szCs w:val="24"/>
        </w:rPr>
      </w:pPr>
      <w:r w:rsidRPr="00D922A8">
        <w:rPr>
          <w:rFonts w:eastAsia="Times New Roman" w:cs="Arial"/>
          <w:color w:val="000000"/>
          <w:u w:val="single"/>
          <w:lang w:eastAsia="bg-BG"/>
        </w:rPr>
        <w:t>Предпазни мерки при употреба</w:t>
      </w:r>
    </w:p>
    <w:p w14:paraId="7033189D" w14:textId="77777777"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Калиеви соли, хепарин, калий-съхраняващи диуретици и други активни вещества, повишаващи плазмените нива на калий, (включително ангиотензин II антагонисти, такролимус, циклоспорин):</w:t>
      </w:r>
      <w:r w:rsidRPr="00D922A8">
        <w:rPr>
          <w:rFonts w:eastAsia="Times New Roman" w:cs="Arial"/>
          <w:color w:val="000000"/>
          <w:lang w:eastAsia="bg-BG"/>
        </w:rPr>
        <w:t xml:space="preserve"> Въпреки че серумният калий обикновено остава в рамките на нормалните граници, при някои пациенти, лекувани с рамиприл, може да възникне хиперкалиемия. Употребата на калий-съхраняващи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рамиприл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рамиприл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 (вж. точка 4.4).</w:t>
      </w:r>
    </w:p>
    <w:p w14:paraId="03140DC6" w14:textId="77777777" w:rsidR="00416587" w:rsidRPr="00416587" w:rsidRDefault="00416587" w:rsidP="00D922A8">
      <w:pPr>
        <w:spacing w:line="240" w:lineRule="auto"/>
        <w:rPr>
          <w:rFonts w:eastAsia="Times New Roman" w:cs="Arial"/>
          <w:i/>
          <w:iCs/>
          <w:color w:val="000000"/>
          <w:lang w:eastAsia="bg-BG"/>
        </w:rPr>
      </w:pPr>
    </w:p>
    <w:p w14:paraId="73442862" w14:textId="2A0E565E"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Циклоспорин</w:t>
      </w:r>
    </w:p>
    <w:p w14:paraId="18CE206E"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2D1D9489" w14:textId="77777777" w:rsidR="00416587" w:rsidRPr="00416587" w:rsidRDefault="00416587" w:rsidP="00D922A8">
      <w:pPr>
        <w:spacing w:line="240" w:lineRule="auto"/>
        <w:rPr>
          <w:rFonts w:eastAsia="Times New Roman" w:cs="Arial"/>
          <w:i/>
          <w:iCs/>
          <w:color w:val="000000"/>
          <w:lang w:eastAsia="bg-BG"/>
        </w:rPr>
      </w:pPr>
    </w:p>
    <w:p w14:paraId="36BED3EF" w14:textId="33610C31"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Хепарин</w:t>
      </w:r>
    </w:p>
    <w:p w14:paraId="51D54599"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19B75CE1" w14:textId="77777777" w:rsidR="00416587" w:rsidRPr="00416587" w:rsidRDefault="00416587" w:rsidP="00D922A8">
      <w:pPr>
        <w:spacing w:line="240" w:lineRule="auto"/>
        <w:rPr>
          <w:rFonts w:eastAsia="Times New Roman" w:cs="Arial"/>
          <w:i/>
          <w:iCs/>
          <w:color w:val="000000"/>
          <w:lang w:eastAsia="bg-BG"/>
        </w:rPr>
      </w:pPr>
    </w:p>
    <w:p w14:paraId="7DDBED3F" w14:textId="62D8295A"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 xml:space="preserve">Антихипертензивни лекарства (напр. диуретици) и други вещества, които могат да понижат кръвното налягане (напр. нитрати, трицикяични антидепресанти, анестетици, прекомерен прием на алкохол, баклофен, алфузозин, доксазозин, празозин, </w:t>
      </w:r>
      <w:r w:rsidRPr="00D922A8">
        <w:rPr>
          <w:rFonts w:eastAsia="Times New Roman" w:cs="Arial"/>
          <w:i/>
          <w:iCs/>
          <w:color w:val="000000"/>
          <w:lang w:eastAsia="bg-BG"/>
        </w:rPr>
        <w:lastRenderedPageBreak/>
        <w:t>тамсулозин, тетразозин):</w:t>
      </w:r>
      <w:r w:rsidRPr="00D922A8">
        <w:rPr>
          <w:rFonts w:eastAsia="Times New Roman" w:cs="Arial"/>
          <w:color w:val="000000"/>
          <w:lang w:eastAsia="bg-BG"/>
        </w:rPr>
        <w:t xml:space="preserve"> може да се очаква увеличаване на риска от хипотония (вж. точка 4.2 за диуретици)</w:t>
      </w:r>
    </w:p>
    <w:p w14:paraId="164381CA" w14:textId="77777777" w:rsidR="00416587" w:rsidRPr="00416587" w:rsidRDefault="00416587" w:rsidP="00D922A8">
      <w:pPr>
        <w:spacing w:line="240" w:lineRule="auto"/>
        <w:rPr>
          <w:rFonts w:eastAsia="Times New Roman" w:cs="Arial"/>
          <w:i/>
          <w:iCs/>
          <w:color w:val="000000"/>
          <w:lang w:eastAsia="bg-BG"/>
        </w:rPr>
      </w:pPr>
    </w:p>
    <w:p w14:paraId="792994F3" w14:textId="2A72EEE5"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 xml:space="preserve">Вазопресорни симпатикомиметици и други вещества (напр. изопротернол, добутамин, допамин, епинефрин), които могат да намалят антихипертензивния ефект на Амприл: </w:t>
      </w:r>
      <w:r w:rsidRPr="00D922A8">
        <w:rPr>
          <w:rFonts w:eastAsia="Times New Roman" w:cs="Arial"/>
          <w:color w:val="000000"/>
          <w:lang w:eastAsia="bg-BG"/>
        </w:rPr>
        <w:t>препоръчва се стриктно проследяване на кръвното налягане.</w:t>
      </w:r>
    </w:p>
    <w:p w14:paraId="6B1667BF" w14:textId="77777777" w:rsidR="00416587" w:rsidRPr="00416587" w:rsidRDefault="00416587" w:rsidP="00D922A8">
      <w:pPr>
        <w:spacing w:line="240" w:lineRule="auto"/>
        <w:rPr>
          <w:rFonts w:eastAsia="Times New Roman" w:cs="Arial"/>
          <w:i/>
          <w:iCs/>
          <w:color w:val="000000"/>
          <w:lang w:eastAsia="bg-BG"/>
        </w:rPr>
      </w:pPr>
    </w:p>
    <w:p w14:paraId="4B443346" w14:textId="36D6D782"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w:t>
      </w:r>
      <w:r w:rsidRPr="00D922A8">
        <w:rPr>
          <w:rFonts w:eastAsia="Times New Roman" w:cs="Arial"/>
          <w:color w:val="000000"/>
          <w:lang w:eastAsia="bg-BG"/>
        </w:rPr>
        <w:t xml:space="preserve"> повишена вероятност от поява на хематологични реакции (вж. точка 4.4).</w:t>
      </w:r>
    </w:p>
    <w:p w14:paraId="1C562D6F" w14:textId="77777777" w:rsidR="00416587" w:rsidRPr="00416587" w:rsidRDefault="00416587" w:rsidP="00D922A8">
      <w:pPr>
        <w:spacing w:line="240" w:lineRule="auto"/>
        <w:rPr>
          <w:rFonts w:eastAsia="Times New Roman" w:cs="Arial"/>
          <w:i/>
          <w:iCs/>
          <w:color w:val="000000"/>
          <w:lang w:eastAsia="bg-BG"/>
        </w:rPr>
      </w:pPr>
    </w:p>
    <w:p w14:paraId="126FEE28" w14:textId="5596FC34"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Литиеви соли:</w:t>
      </w:r>
      <w:r w:rsidRPr="00D922A8">
        <w:rPr>
          <w:rFonts w:eastAsia="Times New Roman" w:cs="Arial"/>
          <w:color w:val="000000"/>
          <w:lang w:eastAsia="bg-BG"/>
        </w:rPr>
        <w:t xml:space="preserve"> екскрецията на лития може да бъде понижена от АСЕ -инхибиторите и поради това токсичността на лития може да се увеличи. Нивата на лития трябва да се проследяват.</w:t>
      </w:r>
    </w:p>
    <w:p w14:paraId="45E5AB82" w14:textId="77777777" w:rsidR="00416587" w:rsidRPr="00416587" w:rsidRDefault="00416587" w:rsidP="00D922A8">
      <w:pPr>
        <w:spacing w:line="240" w:lineRule="auto"/>
        <w:rPr>
          <w:rFonts w:eastAsia="Times New Roman" w:cs="Arial"/>
          <w:i/>
          <w:iCs/>
          <w:color w:val="000000"/>
          <w:lang w:eastAsia="bg-BG"/>
        </w:rPr>
      </w:pPr>
    </w:p>
    <w:p w14:paraId="6B103352" w14:textId="3119CD4C"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Антидиабетни средства, включително инсулин:</w:t>
      </w:r>
      <w:r w:rsidRPr="00D922A8">
        <w:rPr>
          <w:rFonts w:eastAsia="Times New Roman" w:cs="Arial"/>
          <w:color w:val="000000"/>
          <w:lang w:eastAsia="bg-BG"/>
        </w:rPr>
        <w:t xml:space="preserve"> могат да възникнат хипогликемични реакции. Препоръчва се проследяване на нивата на кръвната захар.</w:t>
      </w:r>
    </w:p>
    <w:p w14:paraId="49885021" w14:textId="77777777" w:rsidR="00416587" w:rsidRPr="00416587" w:rsidRDefault="00416587" w:rsidP="00D922A8">
      <w:pPr>
        <w:spacing w:line="240" w:lineRule="auto"/>
        <w:rPr>
          <w:rFonts w:eastAsia="Times New Roman" w:cs="Arial"/>
          <w:i/>
          <w:iCs/>
          <w:color w:val="000000"/>
          <w:lang w:eastAsia="bg-BG"/>
        </w:rPr>
      </w:pPr>
    </w:p>
    <w:p w14:paraId="678DB2DE" w14:textId="16F17E55"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Нестероидни противовъзпалителни средства и ацетилсалицилова киселина:</w:t>
      </w:r>
      <w:r w:rsidRPr="00D922A8">
        <w:rPr>
          <w:rFonts w:eastAsia="Times New Roman" w:cs="Arial"/>
          <w:color w:val="000000"/>
          <w:lang w:eastAsia="bg-BG"/>
        </w:rPr>
        <w:t xml:space="preserve"> може да се очаква намаляване на антихипертензивния ефект на Амприл. Освен това, съпътстващото лечение с АСЕ -инхибитори и НСПВС може да доведе до повишен риск от влошаване на бъбречната функция и да увеличи калиемията.</w:t>
      </w:r>
    </w:p>
    <w:p w14:paraId="256BB3B7" w14:textId="77777777" w:rsidR="00416587" w:rsidRPr="00416587" w:rsidRDefault="00416587" w:rsidP="00D922A8">
      <w:pPr>
        <w:rPr>
          <w:rFonts w:eastAsia="Times New Roman" w:cs="Arial"/>
          <w:i/>
          <w:iCs/>
          <w:color w:val="000000"/>
          <w:lang w:eastAsia="bg-BG"/>
        </w:rPr>
      </w:pPr>
    </w:p>
    <w:p w14:paraId="36E1413B" w14:textId="77777777" w:rsidR="00416587" w:rsidRPr="00416587" w:rsidRDefault="00D922A8" w:rsidP="00416587">
      <w:pPr>
        <w:rPr>
          <w:rFonts w:eastAsia="Times New Roman" w:cs="Arial"/>
          <w:sz w:val="24"/>
          <w:szCs w:val="24"/>
        </w:rPr>
      </w:pPr>
      <w:r w:rsidRPr="00416587">
        <w:rPr>
          <w:rFonts w:eastAsia="Times New Roman" w:cs="Arial"/>
          <w:i/>
          <w:iCs/>
          <w:color w:val="000000"/>
          <w:lang w:eastAsia="bg-BG"/>
        </w:rPr>
        <w:t xml:space="preserve">Рацекадотрил, </w:t>
      </w:r>
      <w:proofErr w:type="spellStart"/>
      <w:r w:rsidRPr="00416587">
        <w:rPr>
          <w:rFonts w:eastAsia="Times New Roman" w:cs="Arial"/>
          <w:i/>
          <w:iCs/>
          <w:color w:val="000000"/>
          <w:lang w:val="en-US"/>
        </w:rPr>
        <w:t>mTOR</w:t>
      </w:r>
      <w:proofErr w:type="spellEnd"/>
      <w:r w:rsidRPr="00416587">
        <w:rPr>
          <w:rFonts w:eastAsia="Times New Roman" w:cs="Arial"/>
          <w:i/>
          <w:iCs/>
          <w:color w:val="000000"/>
        </w:rPr>
        <w:t xml:space="preserve"> </w:t>
      </w:r>
      <w:r w:rsidRPr="00416587">
        <w:rPr>
          <w:rFonts w:eastAsia="Times New Roman" w:cs="Arial"/>
          <w:i/>
          <w:iCs/>
          <w:color w:val="000000"/>
          <w:lang w:eastAsia="bg-BG"/>
        </w:rPr>
        <w:t xml:space="preserve">инхибитори </w:t>
      </w:r>
      <w:r w:rsidRPr="00416587">
        <w:rPr>
          <w:rFonts w:eastAsia="Times New Roman" w:cs="Arial"/>
          <w:i/>
          <w:iCs/>
          <w:color w:val="000000"/>
          <w:u w:val="single"/>
          <w:lang w:eastAsia="bg-BG"/>
        </w:rPr>
        <w:t xml:space="preserve">(напр. сиролимус, еверолимус, темсиролимус) или </w:t>
      </w:r>
      <w:r w:rsidRPr="00416587">
        <w:rPr>
          <w:rFonts w:eastAsia="Times New Roman" w:cs="Arial"/>
          <w:i/>
          <w:iCs/>
          <w:color w:val="000000"/>
          <w:u w:val="single"/>
          <w:lang w:val="en-US"/>
        </w:rPr>
        <w:t>DPP</w:t>
      </w:r>
      <w:r w:rsidRPr="00416587">
        <w:rPr>
          <w:rFonts w:eastAsia="Times New Roman" w:cs="Arial"/>
          <w:i/>
          <w:iCs/>
          <w:color w:val="000000"/>
          <w:u w:val="single"/>
        </w:rPr>
        <w:t>-</w:t>
      </w:r>
      <w:r w:rsidRPr="00416587">
        <w:rPr>
          <w:rFonts w:eastAsia="Times New Roman" w:cs="Arial"/>
          <w:i/>
          <w:iCs/>
          <w:color w:val="000000"/>
          <w:lang w:eastAsia="bg-BG"/>
        </w:rPr>
        <w:t xml:space="preserve"> IV инхибитори:</w:t>
      </w:r>
      <w:r w:rsidRPr="00416587">
        <w:rPr>
          <w:rFonts w:eastAsia="Times New Roman" w:cs="Arial"/>
          <w:color w:val="000000"/>
          <w:lang w:eastAsia="bg-BG"/>
        </w:rPr>
        <w:t xml:space="preserve"> повишен риск от развитие на ангиоедем е възможен при пациенти приемащи едновременно лекарства като рацекадотрил, </w:t>
      </w:r>
      <w:proofErr w:type="spellStart"/>
      <w:r w:rsidRPr="00416587">
        <w:rPr>
          <w:rFonts w:eastAsia="Times New Roman" w:cs="Arial"/>
          <w:color w:val="000000"/>
          <w:lang w:val="en-US"/>
        </w:rPr>
        <w:t>mTOR</w:t>
      </w:r>
      <w:proofErr w:type="spellEnd"/>
      <w:r w:rsidRPr="00416587">
        <w:rPr>
          <w:rFonts w:eastAsia="Times New Roman" w:cs="Arial"/>
          <w:color w:val="000000"/>
        </w:rPr>
        <w:t xml:space="preserve"> </w:t>
      </w:r>
      <w:r w:rsidRPr="00416587">
        <w:rPr>
          <w:rFonts w:eastAsia="Times New Roman" w:cs="Arial"/>
          <w:color w:val="000000"/>
          <w:lang w:eastAsia="bg-BG"/>
        </w:rPr>
        <w:t>инхибитори (напр. темсироломус</w:t>
      </w:r>
      <w:r w:rsidR="00416587" w:rsidRPr="00416587">
        <w:rPr>
          <w:rFonts w:eastAsia="Times New Roman" w:cs="Arial"/>
          <w:color w:val="000000"/>
          <w:lang w:eastAsia="bg-BG"/>
        </w:rPr>
        <w:t xml:space="preserve"> еверолимус, сиролимус) или вилдаглиптин (вж. точка 4.4). С повишено внимание трябва да се използва, когато се започва лечение.</w:t>
      </w:r>
    </w:p>
    <w:p w14:paraId="265190E1" w14:textId="2FDA2921" w:rsidR="00D922A8" w:rsidRPr="00416587" w:rsidRDefault="00D922A8" w:rsidP="00D922A8"/>
    <w:p w14:paraId="394A7584" w14:textId="398D657D" w:rsidR="004F498A" w:rsidRDefault="002C50EE" w:rsidP="004A448E">
      <w:pPr>
        <w:pStyle w:val="Heading2"/>
      </w:pPr>
      <w:r>
        <w:t>4.6. Фертилитет, бременност и кърмене</w:t>
      </w:r>
    </w:p>
    <w:p w14:paraId="007B462E" w14:textId="143FF70E" w:rsidR="00416587" w:rsidRDefault="00416587" w:rsidP="00416587"/>
    <w:p w14:paraId="74F58B3B" w14:textId="00513DD7" w:rsidR="00416587" w:rsidRPr="00416587" w:rsidRDefault="00416587" w:rsidP="00416587">
      <w:pPr>
        <w:pStyle w:val="Heading3"/>
        <w:rPr>
          <w:i/>
        </w:rPr>
      </w:pPr>
      <w:r w:rsidRPr="00416587">
        <w:rPr>
          <w:i/>
        </w:rPr>
        <w:t>Бременност</w:t>
      </w:r>
    </w:p>
    <w:tbl>
      <w:tblPr>
        <w:tblStyle w:val="TableGrid"/>
        <w:tblW w:w="0" w:type="auto"/>
        <w:tblLook w:val="04A0" w:firstRow="1" w:lastRow="0" w:firstColumn="1" w:lastColumn="0" w:noHBand="0" w:noVBand="1"/>
      </w:tblPr>
      <w:tblGrid>
        <w:gridCol w:w="9350"/>
      </w:tblGrid>
      <w:tr w:rsidR="00416587" w14:paraId="0D0D9E82" w14:textId="77777777" w:rsidTr="00416587">
        <w:trPr>
          <w:trHeight w:val="421"/>
        </w:trPr>
        <w:tc>
          <w:tcPr>
            <w:tcW w:w="9576" w:type="dxa"/>
          </w:tcPr>
          <w:p w14:paraId="440EF659" w14:textId="01B8E024" w:rsidR="00416587" w:rsidRPr="00416587" w:rsidRDefault="00416587" w:rsidP="00416587">
            <w:pPr>
              <w:rPr>
                <w:sz w:val="24"/>
                <w:szCs w:val="24"/>
              </w:rPr>
            </w:pPr>
            <w:r w:rsidRPr="00416587">
              <w:rPr>
                <w:lang w:eastAsia="bg-BG"/>
              </w:rPr>
              <w:t>Амприл не се препоръчва по време на първия триместър на бременност (вж. точка 4.4) и е противопоказан по време на втория и третия триместър на бременността(вж. точка 4.3).</w:t>
            </w:r>
          </w:p>
        </w:tc>
      </w:tr>
    </w:tbl>
    <w:p w14:paraId="47BE249E" w14:textId="7B7BF28B" w:rsidR="00416587" w:rsidRDefault="00416587" w:rsidP="00416587">
      <w:pPr>
        <w:rPr>
          <w:i/>
        </w:rPr>
      </w:pPr>
    </w:p>
    <w:p w14:paraId="4720AD49" w14:textId="77777777" w:rsidR="00416587" w:rsidRPr="00416587" w:rsidRDefault="00416587" w:rsidP="00416587">
      <w:pPr>
        <w:spacing w:line="240" w:lineRule="auto"/>
        <w:rPr>
          <w:rFonts w:eastAsia="Times New Roman" w:cs="Arial"/>
          <w:sz w:val="24"/>
          <w:szCs w:val="24"/>
        </w:rPr>
      </w:pPr>
      <w:r w:rsidRPr="00416587">
        <w:rPr>
          <w:rFonts w:eastAsia="Times New Roman" w:cs="Arial"/>
          <w:color w:val="000000"/>
          <w:lang w:eastAsia="bg-BG"/>
        </w:rPr>
        <w:t xml:space="preserve">Епидемиологични данни относно риска от тератогенност след екпозиция на АСЕ -инхибитори по време на първия триместър от бременността не са били убедителни, но леко повишаване на риска не може да бъде изключено. При пациентките планиращи бременност, терапията с АСЕ - инхибитори 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 Известно е, че терапията с АСЕ -инхибитор /ангиотензин II репторен антагонист </w:t>
      </w:r>
      <w:r w:rsidRPr="00416587">
        <w:rPr>
          <w:rFonts w:eastAsia="Times New Roman" w:cs="Arial"/>
          <w:color w:val="000000"/>
          <w:lang w:val="ru-RU"/>
        </w:rPr>
        <w:t>(</w:t>
      </w:r>
      <w:r w:rsidRPr="00416587">
        <w:rPr>
          <w:rFonts w:eastAsia="Times New Roman" w:cs="Arial"/>
          <w:color w:val="000000"/>
          <w:lang w:val="en-US"/>
        </w:rPr>
        <w:t>AIIRA</w:t>
      </w:r>
      <w:r w:rsidRPr="00416587">
        <w:rPr>
          <w:rFonts w:eastAsia="Times New Roman" w:cs="Arial"/>
          <w:color w:val="000000"/>
          <w:lang w:val="ru-RU"/>
        </w:rPr>
        <w:t xml:space="preserve">) </w:t>
      </w:r>
      <w:r w:rsidRPr="00416587">
        <w:rPr>
          <w:rFonts w:eastAsia="Times New Roman" w:cs="Arial"/>
          <w:color w:val="000000"/>
          <w:lang w:eastAsia="bg-BG"/>
        </w:rPr>
        <w:t xml:space="preserve">по време на втория и третия триместър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също 5.3). В случай на експозиция на АСЕ -инхибитор през втория триместър на бременността се препоръчва проверка на </w:t>
      </w:r>
      <w:r w:rsidRPr="00416587">
        <w:rPr>
          <w:rFonts w:eastAsia="Times New Roman" w:cs="Arial"/>
          <w:color w:val="000000"/>
          <w:lang w:eastAsia="bg-BG"/>
        </w:rPr>
        <w:lastRenderedPageBreak/>
        <w:t>бъбречната функция и черепа чрез ултразвук. Новородени, чиито майки са приемали АСЕ - инхибитори, трябва да бъдат стриктно наблюдавани за хипотония, олигурия и хиперкалиемия (вж. също точки 4.3 и 4.4).</w:t>
      </w:r>
    </w:p>
    <w:p w14:paraId="510E6B2E" w14:textId="77777777" w:rsidR="00416587" w:rsidRPr="00416587" w:rsidRDefault="00416587" w:rsidP="00416587">
      <w:pPr>
        <w:spacing w:line="240" w:lineRule="auto"/>
        <w:rPr>
          <w:rFonts w:eastAsia="Times New Roman" w:cs="Arial"/>
          <w:i/>
          <w:iCs/>
          <w:color w:val="000000"/>
          <w:lang w:eastAsia="bg-BG"/>
        </w:rPr>
      </w:pPr>
    </w:p>
    <w:p w14:paraId="4BA4A2E9" w14:textId="5EB140C3" w:rsidR="00416587" w:rsidRPr="00416587" w:rsidRDefault="00416587" w:rsidP="00416587">
      <w:pPr>
        <w:pStyle w:val="Heading3"/>
        <w:rPr>
          <w:rFonts w:eastAsia="Times New Roman"/>
          <w:i/>
        </w:rPr>
      </w:pPr>
      <w:r w:rsidRPr="00416587">
        <w:rPr>
          <w:rFonts w:eastAsia="Times New Roman"/>
          <w:i/>
          <w:lang w:eastAsia="bg-BG"/>
        </w:rPr>
        <w:t>Кърмене</w:t>
      </w:r>
    </w:p>
    <w:p w14:paraId="060A92E0" w14:textId="77777777" w:rsidR="00416587" w:rsidRPr="00416587" w:rsidRDefault="00416587" w:rsidP="00416587">
      <w:pPr>
        <w:spacing w:line="240" w:lineRule="auto"/>
        <w:rPr>
          <w:rFonts w:eastAsia="Times New Roman" w:cs="Arial"/>
          <w:sz w:val="24"/>
          <w:szCs w:val="24"/>
        </w:rPr>
      </w:pPr>
      <w:r w:rsidRPr="00416587">
        <w:rPr>
          <w:rFonts w:eastAsia="Times New Roman" w:cs="Arial"/>
          <w:color w:val="000000"/>
          <w:lang w:eastAsia="bg-BG"/>
        </w:rPr>
        <w:t>Поради недостатъчна информация относно употребата на рамиприл по време на кърмене (вж. точка 5.2), не се препоръчва приложение на Амприл, като за предпочитане е лечение с по-добре установен профил на безопасност по време на кърмене, особено при кърмене на новородено или недоносено кърмаче.</w:t>
      </w:r>
    </w:p>
    <w:p w14:paraId="5D14A6F2" w14:textId="77777777" w:rsidR="00416587" w:rsidRPr="00416587" w:rsidRDefault="00416587" w:rsidP="00416587">
      <w:pPr>
        <w:rPr>
          <w:i/>
        </w:rPr>
      </w:pPr>
    </w:p>
    <w:p w14:paraId="064DF1DE" w14:textId="1FF13B4E" w:rsidR="00CF77F7" w:rsidRDefault="002C50EE" w:rsidP="004A448E">
      <w:pPr>
        <w:pStyle w:val="Heading2"/>
      </w:pPr>
      <w:r>
        <w:t>4.7. Ефекти върху способността за шофиране и работа с машини</w:t>
      </w:r>
    </w:p>
    <w:p w14:paraId="047CEA7E" w14:textId="473C9E5E" w:rsidR="00416587" w:rsidRDefault="00416587" w:rsidP="00416587"/>
    <w:p w14:paraId="7CF43549" w14:textId="77777777" w:rsidR="00416587" w:rsidRPr="00416587" w:rsidRDefault="00416587" w:rsidP="00416587">
      <w:pPr>
        <w:rPr>
          <w:sz w:val="24"/>
          <w:szCs w:val="24"/>
        </w:rPr>
      </w:pPr>
      <w:r w:rsidRPr="00416587">
        <w:rPr>
          <w:lang w:eastAsia="bg-BG"/>
        </w:rPr>
        <w:t>Някои нежелани реакции (напр. симптоми на понижаване на кръвното налягане като замайване) могат да нарушат способността на пациента за концентрация и реакция, ето защо представлява риск в ситуации, при които тези способности са от особено значение (напр. шофиране и работа с машини).</w:t>
      </w:r>
    </w:p>
    <w:p w14:paraId="3FAD3552" w14:textId="77777777" w:rsidR="00416587" w:rsidRPr="00416587" w:rsidRDefault="00416587" w:rsidP="00416587">
      <w:pPr>
        <w:rPr>
          <w:sz w:val="24"/>
          <w:szCs w:val="24"/>
        </w:rPr>
      </w:pPr>
      <w:r w:rsidRPr="00416587">
        <w:rPr>
          <w:lang w:eastAsia="bg-BG"/>
        </w:rPr>
        <w:t>Това може да се случи особено при начало на лечението или при преминаване от други препарати. След първата доза или последващо повишаване на дозата не е препоръчително шофиране или работа с машини за няколко часа.</w:t>
      </w:r>
    </w:p>
    <w:p w14:paraId="7B9457A2" w14:textId="77777777" w:rsidR="00416587" w:rsidRPr="00416587" w:rsidRDefault="00416587" w:rsidP="00416587"/>
    <w:p w14:paraId="37A3FD9F" w14:textId="72E351BE" w:rsidR="00CF77F7" w:rsidRDefault="002C50EE" w:rsidP="004A448E">
      <w:pPr>
        <w:pStyle w:val="Heading2"/>
      </w:pPr>
      <w:r>
        <w:t>4.8. Нежелани лекарствени реакции</w:t>
      </w:r>
    </w:p>
    <w:p w14:paraId="15C3E6C1" w14:textId="17782FFD" w:rsidR="00416587" w:rsidRDefault="00416587" w:rsidP="00416587"/>
    <w:p w14:paraId="1AAE6890" w14:textId="77777777" w:rsidR="00416587" w:rsidRPr="00416587" w:rsidRDefault="00416587" w:rsidP="00416587">
      <w:pPr>
        <w:spacing w:line="240" w:lineRule="auto"/>
        <w:rPr>
          <w:rFonts w:eastAsia="Times New Roman" w:cs="Arial"/>
          <w:sz w:val="24"/>
          <w:szCs w:val="24"/>
        </w:rPr>
      </w:pPr>
      <w:r w:rsidRPr="00416587">
        <w:rPr>
          <w:rFonts w:eastAsia="Times New Roman" w:cs="Arial"/>
          <w:color w:val="000000"/>
          <w:u w:val="single"/>
          <w:lang w:eastAsia="bg-BG"/>
        </w:rPr>
        <w:t>Резюме на профила на безопасност</w:t>
      </w:r>
    </w:p>
    <w:p w14:paraId="2FEE1110" w14:textId="77777777" w:rsidR="00416587" w:rsidRPr="00416587" w:rsidRDefault="00416587" w:rsidP="00416587">
      <w:pPr>
        <w:spacing w:line="240" w:lineRule="auto"/>
        <w:rPr>
          <w:rFonts w:eastAsia="Times New Roman" w:cs="Arial"/>
          <w:sz w:val="24"/>
          <w:szCs w:val="24"/>
        </w:rPr>
      </w:pPr>
      <w:r w:rsidRPr="00416587">
        <w:rPr>
          <w:rFonts w:eastAsia="Times New Roman" w:cs="Arial"/>
          <w:color w:val="000000"/>
          <w:lang w:eastAsia="bg-BG"/>
        </w:rPr>
        <w:t>Профилът на безопасност на рамиприл включва упорита суха кашлица и реакции, свързани с хипотония. Сериозните нежелани лекарствени реакции, включват ангиоедем, хиперкалиемия, бъбречно или чернодробно увреждане, панкреатит, тежки кожни реакции и неутропения / агрануло цитоза.</w:t>
      </w:r>
    </w:p>
    <w:p w14:paraId="24778F93" w14:textId="77777777" w:rsidR="00416587" w:rsidRPr="00416587" w:rsidRDefault="00416587" w:rsidP="00416587">
      <w:pPr>
        <w:spacing w:line="240" w:lineRule="auto"/>
        <w:rPr>
          <w:rFonts w:eastAsia="Times New Roman" w:cs="Arial"/>
          <w:color w:val="000000"/>
          <w:u w:val="single"/>
          <w:lang w:eastAsia="bg-BG"/>
        </w:rPr>
      </w:pPr>
    </w:p>
    <w:p w14:paraId="5B1167DB" w14:textId="40E175F8" w:rsidR="00416587" w:rsidRPr="00416587" w:rsidRDefault="00416587" w:rsidP="00416587">
      <w:pPr>
        <w:spacing w:line="240" w:lineRule="auto"/>
        <w:rPr>
          <w:rFonts w:eastAsia="Times New Roman" w:cs="Arial"/>
          <w:sz w:val="24"/>
          <w:szCs w:val="24"/>
        </w:rPr>
      </w:pPr>
      <w:r w:rsidRPr="00416587">
        <w:rPr>
          <w:rFonts w:eastAsia="Times New Roman" w:cs="Arial"/>
          <w:color w:val="000000"/>
          <w:u w:val="single"/>
          <w:lang w:eastAsia="bg-BG"/>
        </w:rPr>
        <w:t>Табличен списък на нежеланите реакции</w:t>
      </w:r>
    </w:p>
    <w:p w14:paraId="646F5C6C" w14:textId="77777777" w:rsidR="00416587" w:rsidRPr="00416587" w:rsidRDefault="00416587" w:rsidP="00416587">
      <w:pPr>
        <w:spacing w:line="240" w:lineRule="auto"/>
        <w:rPr>
          <w:rFonts w:eastAsia="Times New Roman" w:cs="Arial"/>
          <w:color w:val="000000"/>
          <w:lang w:eastAsia="bg-BG"/>
        </w:rPr>
      </w:pPr>
      <w:r w:rsidRPr="00416587">
        <w:rPr>
          <w:rFonts w:eastAsia="Times New Roman" w:cs="Arial"/>
          <w:color w:val="000000"/>
          <w:lang w:eastAsia="bg-BG"/>
        </w:rPr>
        <w:t xml:space="preserve">Честотата на нежеланите реакции се определя, чрез използване на следната конвенция </w:t>
      </w:r>
    </w:p>
    <w:p w14:paraId="7A614AAA" w14:textId="608DA1AF" w:rsidR="00416587" w:rsidRPr="00416587" w:rsidRDefault="00416587" w:rsidP="00416587">
      <w:pPr>
        <w:pStyle w:val="ListParagraph"/>
        <w:numPr>
          <w:ilvl w:val="0"/>
          <w:numId w:val="36"/>
        </w:numPr>
        <w:spacing w:line="240" w:lineRule="auto"/>
        <w:rPr>
          <w:rFonts w:eastAsia="Times New Roman" w:cs="Arial"/>
          <w:color w:val="000000"/>
          <w:lang w:eastAsia="bg-BG"/>
        </w:rPr>
      </w:pPr>
      <w:r w:rsidRPr="00416587">
        <w:rPr>
          <w:rFonts w:eastAsia="Times New Roman" w:cs="Arial"/>
          <w:color w:val="000000"/>
          <w:lang w:eastAsia="bg-BG"/>
        </w:rPr>
        <w:t xml:space="preserve">много чести (≥ 1/10); </w:t>
      </w:r>
    </w:p>
    <w:p w14:paraId="45CA1C9E" w14:textId="0A473202" w:rsidR="00416587" w:rsidRPr="00416587" w:rsidRDefault="00416587" w:rsidP="00416587">
      <w:pPr>
        <w:pStyle w:val="ListParagraph"/>
        <w:numPr>
          <w:ilvl w:val="0"/>
          <w:numId w:val="36"/>
        </w:numPr>
        <w:spacing w:line="240" w:lineRule="auto"/>
        <w:rPr>
          <w:rFonts w:eastAsia="Times New Roman" w:cs="Arial"/>
          <w:sz w:val="24"/>
          <w:szCs w:val="24"/>
        </w:rPr>
      </w:pPr>
      <w:r w:rsidRPr="00416587">
        <w:rPr>
          <w:rFonts w:eastAsia="Times New Roman" w:cs="Arial"/>
          <w:color w:val="000000"/>
          <w:lang w:eastAsia="bg-BG"/>
        </w:rPr>
        <w:t>чести (≥ 1/100 до &lt;1/10);</w:t>
      </w:r>
    </w:p>
    <w:p w14:paraId="3223CDC1" w14:textId="77777777" w:rsidR="00416587" w:rsidRPr="00416587" w:rsidRDefault="00416587" w:rsidP="00416587">
      <w:pPr>
        <w:pStyle w:val="ListParagraph"/>
        <w:numPr>
          <w:ilvl w:val="0"/>
          <w:numId w:val="36"/>
        </w:numPr>
        <w:spacing w:line="240" w:lineRule="auto"/>
        <w:rPr>
          <w:rFonts w:eastAsia="Times New Roman" w:cs="Arial"/>
          <w:color w:val="000000"/>
          <w:lang w:eastAsia="bg-BG"/>
        </w:rPr>
      </w:pPr>
      <w:r w:rsidRPr="00416587">
        <w:rPr>
          <w:rFonts w:eastAsia="Times New Roman" w:cs="Arial"/>
          <w:color w:val="000000"/>
          <w:lang w:eastAsia="bg-BG"/>
        </w:rPr>
        <w:t xml:space="preserve">нечести (≥ 1/1000 до &lt; 1/100); </w:t>
      </w:r>
    </w:p>
    <w:p w14:paraId="3B280AD3" w14:textId="77777777" w:rsidR="00416587" w:rsidRPr="00416587" w:rsidRDefault="00416587" w:rsidP="00416587">
      <w:pPr>
        <w:pStyle w:val="ListParagraph"/>
        <w:numPr>
          <w:ilvl w:val="0"/>
          <w:numId w:val="36"/>
        </w:numPr>
        <w:spacing w:line="240" w:lineRule="auto"/>
        <w:rPr>
          <w:rFonts w:eastAsia="Times New Roman" w:cs="Arial"/>
          <w:color w:val="000000"/>
          <w:lang w:eastAsia="bg-BG"/>
        </w:rPr>
      </w:pPr>
      <w:r w:rsidRPr="00416587">
        <w:rPr>
          <w:rFonts w:eastAsia="Times New Roman" w:cs="Arial"/>
          <w:color w:val="000000"/>
          <w:lang w:eastAsia="bg-BG"/>
        </w:rPr>
        <w:t>редки (≥ 1/10 000 до &lt; 1/1 000);</w:t>
      </w:r>
    </w:p>
    <w:p w14:paraId="256222E5" w14:textId="77777777" w:rsidR="00416587" w:rsidRPr="00416587" w:rsidRDefault="00416587" w:rsidP="00416587">
      <w:pPr>
        <w:pStyle w:val="ListParagraph"/>
        <w:numPr>
          <w:ilvl w:val="0"/>
          <w:numId w:val="36"/>
        </w:numPr>
        <w:spacing w:line="240" w:lineRule="auto"/>
        <w:rPr>
          <w:rFonts w:eastAsia="Times New Roman" w:cs="Arial"/>
          <w:color w:val="000000"/>
          <w:lang w:eastAsia="bg-BG"/>
        </w:rPr>
      </w:pPr>
      <w:r w:rsidRPr="00416587">
        <w:rPr>
          <w:rFonts w:eastAsia="Times New Roman" w:cs="Arial"/>
          <w:color w:val="000000"/>
          <w:lang w:eastAsia="bg-BG"/>
        </w:rPr>
        <w:t>много редки (&lt; 1/10 000),</w:t>
      </w:r>
    </w:p>
    <w:p w14:paraId="14606F57" w14:textId="1FEB6A85" w:rsidR="00416587" w:rsidRPr="00416587" w:rsidRDefault="00416587" w:rsidP="00416587">
      <w:pPr>
        <w:pStyle w:val="ListParagraph"/>
        <w:numPr>
          <w:ilvl w:val="0"/>
          <w:numId w:val="36"/>
        </w:numPr>
        <w:spacing w:line="240" w:lineRule="auto"/>
        <w:rPr>
          <w:rFonts w:eastAsia="Times New Roman" w:cs="Arial"/>
          <w:color w:val="000000"/>
          <w:lang w:eastAsia="bg-BG"/>
        </w:rPr>
      </w:pPr>
      <w:r w:rsidRPr="00416587">
        <w:rPr>
          <w:rFonts w:eastAsia="Times New Roman" w:cs="Arial"/>
          <w:color w:val="000000"/>
          <w:lang w:eastAsia="bg-BG"/>
        </w:rPr>
        <w:t>с неизвестна честота (от наличните данни не може да бъде направена оценка).</w:t>
      </w:r>
    </w:p>
    <w:p w14:paraId="3380847C" w14:textId="77777777" w:rsidR="00416587" w:rsidRPr="00416587" w:rsidRDefault="00416587" w:rsidP="00416587">
      <w:pPr>
        <w:spacing w:line="240" w:lineRule="auto"/>
        <w:rPr>
          <w:rFonts w:eastAsia="Times New Roman" w:cs="Arial"/>
          <w:color w:val="000000"/>
          <w:lang w:eastAsia="bg-BG"/>
        </w:rPr>
      </w:pPr>
    </w:p>
    <w:p w14:paraId="529C0BE2" w14:textId="4780CE8B" w:rsidR="00416587" w:rsidRPr="00416587" w:rsidRDefault="00416587" w:rsidP="00416587">
      <w:pPr>
        <w:spacing w:line="240" w:lineRule="auto"/>
        <w:rPr>
          <w:rFonts w:eastAsia="Times New Roman" w:cs="Arial"/>
          <w:sz w:val="24"/>
          <w:szCs w:val="24"/>
        </w:rPr>
      </w:pPr>
      <w:r w:rsidRPr="00416587">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tbl>
      <w:tblPr>
        <w:tblStyle w:val="TableGrid"/>
        <w:tblW w:w="0" w:type="auto"/>
        <w:tblLook w:val="04A0" w:firstRow="1" w:lastRow="0" w:firstColumn="1" w:lastColumn="0" w:noHBand="0" w:noVBand="1"/>
      </w:tblPr>
      <w:tblGrid>
        <w:gridCol w:w="1684"/>
        <w:gridCol w:w="1467"/>
        <w:gridCol w:w="1573"/>
        <w:gridCol w:w="1507"/>
        <w:gridCol w:w="1494"/>
        <w:gridCol w:w="1625"/>
      </w:tblGrid>
      <w:tr w:rsidR="00CC212E" w14:paraId="385568BD" w14:textId="77777777" w:rsidTr="00CC212E">
        <w:tc>
          <w:tcPr>
            <w:tcW w:w="1427" w:type="dxa"/>
          </w:tcPr>
          <w:p w14:paraId="0086222E" w14:textId="77777777" w:rsidR="00CC212E" w:rsidRPr="00CC212E" w:rsidRDefault="00CC212E" w:rsidP="00CC212E">
            <w:pPr>
              <w:rPr>
                <w:rFonts w:cs="Arial"/>
              </w:rPr>
            </w:pPr>
          </w:p>
        </w:tc>
        <w:tc>
          <w:tcPr>
            <w:tcW w:w="1524" w:type="dxa"/>
          </w:tcPr>
          <w:p w14:paraId="34D9E945" w14:textId="5BDBCC43" w:rsidR="00CC212E" w:rsidRPr="00CC212E" w:rsidRDefault="00CC212E" w:rsidP="00CC212E">
            <w:pPr>
              <w:rPr>
                <w:rFonts w:cs="Arial"/>
              </w:rPr>
            </w:pPr>
            <w:r w:rsidRPr="00CC212E">
              <w:rPr>
                <w:rFonts w:cs="Arial"/>
              </w:rPr>
              <w:t>Чести</w:t>
            </w:r>
          </w:p>
        </w:tc>
        <w:tc>
          <w:tcPr>
            <w:tcW w:w="1547" w:type="dxa"/>
          </w:tcPr>
          <w:p w14:paraId="26D6DC81" w14:textId="1A3815E9" w:rsidR="00CC212E" w:rsidRPr="00CC212E" w:rsidRDefault="00CC212E" w:rsidP="00CC212E">
            <w:pPr>
              <w:rPr>
                <w:rFonts w:cs="Arial"/>
              </w:rPr>
            </w:pPr>
            <w:r w:rsidRPr="00CC212E">
              <w:rPr>
                <w:rFonts w:cs="Arial"/>
              </w:rPr>
              <w:t>Нечести</w:t>
            </w:r>
          </w:p>
        </w:tc>
        <w:tc>
          <w:tcPr>
            <w:tcW w:w="1701" w:type="dxa"/>
          </w:tcPr>
          <w:p w14:paraId="1BD5F714" w14:textId="74AD50E0" w:rsidR="00CC212E" w:rsidRPr="00CC212E" w:rsidRDefault="00CC212E" w:rsidP="00CC212E">
            <w:pPr>
              <w:rPr>
                <w:rFonts w:cs="Arial"/>
              </w:rPr>
            </w:pPr>
            <w:r w:rsidRPr="00CC212E">
              <w:rPr>
                <w:rFonts w:cs="Arial"/>
              </w:rPr>
              <w:t>Редки</w:t>
            </w:r>
          </w:p>
        </w:tc>
        <w:tc>
          <w:tcPr>
            <w:tcW w:w="1687" w:type="dxa"/>
          </w:tcPr>
          <w:p w14:paraId="7A746A8E" w14:textId="38049B49" w:rsidR="00CC212E" w:rsidRPr="00CC212E" w:rsidRDefault="00CC212E" w:rsidP="00CC212E">
            <w:pPr>
              <w:rPr>
                <w:rFonts w:cs="Arial"/>
              </w:rPr>
            </w:pPr>
            <w:r w:rsidRPr="00CC212E">
              <w:rPr>
                <w:rFonts w:cs="Arial"/>
              </w:rPr>
              <w:t>Много редки</w:t>
            </w:r>
          </w:p>
        </w:tc>
        <w:tc>
          <w:tcPr>
            <w:tcW w:w="1690" w:type="dxa"/>
          </w:tcPr>
          <w:p w14:paraId="5F28B931" w14:textId="23C60761" w:rsidR="00CC212E" w:rsidRPr="00CC212E" w:rsidRDefault="00CC212E" w:rsidP="00CC212E">
            <w:pPr>
              <w:rPr>
                <w:rFonts w:cs="Arial"/>
              </w:rPr>
            </w:pPr>
            <w:r w:rsidRPr="00CC212E">
              <w:rPr>
                <w:rFonts w:cs="Arial"/>
              </w:rPr>
              <w:t>С неизвестна честота</w:t>
            </w:r>
          </w:p>
        </w:tc>
      </w:tr>
      <w:tr w:rsidR="00CC212E" w14:paraId="1F551EB5" w14:textId="77777777" w:rsidTr="00CC212E">
        <w:tc>
          <w:tcPr>
            <w:tcW w:w="1427" w:type="dxa"/>
          </w:tcPr>
          <w:p w14:paraId="3F9FEFA1" w14:textId="7F15CF21" w:rsidR="00CC212E" w:rsidRPr="00CC212E" w:rsidRDefault="00CC212E" w:rsidP="00CC212E">
            <w:pPr>
              <w:rPr>
                <w:rFonts w:cs="Arial"/>
              </w:rPr>
            </w:pPr>
            <w:r w:rsidRPr="00CC212E">
              <w:rPr>
                <w:rFonts w:cs="Arial"/>
                <w:i/>
                <w:iCs/>
              </w:rPr>
              <w:t>Нарушения на кръвта и лимфната система</w:t>
            </w:r>
          </w:p>
        </w:tc>
        <w:tc>
          <w:tcPr>
            <w:tcW w:w="1524" w:type="dxa"/>
          </w:tcPr>
          <w:p w14:paraId="75B8CC93" w14:textId="77777777" w:rsidR="00CC212E" w:rsidRPr="00CC212E" w:rsidRDefault="00CC212E" w:rsidP="00CC212E">
            <w:pPr>
              <w:rPr>
                <w:rFonts w:cs="Arial"/>
              </w:rPr>
            </w:pPr>
          </w:p>
        </w:tc>
        <w:tc>
          <w:tcPr>
            <w:tcW w:w="1547" w:type="dxa"/>
          </w:tcPr>
          <w:p w14:paraId="4D8D227B" w14:textId="02B81C5A" w:rsidR="00CC212E" w:rsidRPr="00CC212E" w:rsidRDefault="00CC212E" w:rsidP="00CC212E">
            <w:pPr>
              <w:rPr>
                <w:rFonts w:cs="Arial"/>
              </w:rPr>
            </w:pPr>
            <w:r w:rsidRPr="00CC212E">
              <w:rPr>
                <w:rFonts w:cs="Arial"/>
              </w:rPr>
              <w:t>Еозинофилия</w:t>
            </w:r>
          </w:p>
        </w:tc>
        <w:tc>
          <w:tcPr>
            <w:tcW w:w="1701" w:type="dxa"/>
          </w:tcPr>
          <w:p w14:paraId="3A70A4EC" w14:textId="6C2469CE" w:rsidR="00CC212E" w:rsidRPr="00CC212E" w:rsidRDefault="00CC212E" w:rsidP="00CC212E">
            <w:pPr>
              <w:rPr>
                <w:rFonts w:cs="Arial"/>
              </w:rPr>
            </w:pPr>
            <w:r w:rsidRPr="00CC212E">
              <w:rPr>
                <w:rFonts w:cs="Arial"/>
              </w:rPr>
              <w:t xml:space="preserve">Намаляване на броя на белите кръвни клетки, (включително </w:t>
            </w:r>
            <w:r w:rsidRPr="00CC212E">
              <w:rPr>
                <w:rFonts w:cs="Arial"/>
              </w:rPr>
              <w:lastRenderedPageBreak/>
              <w:t>неутропения или агрануло- цитоза), на червените кръвни клетки, на хемоглобина и на тромбоцитите</w:t>
            </w:r>
          </w:p>
        </w:tc>
        <w:tc>
          <w:tcPr>
            <w:tcW w:w="1687" w:type="dxa"/>
          </w:tcPr>
          <w:p w14:paraId="0E73BC37" w14:textId="77777777" w:rsidR="00CC212E" w:rsidRPr="00CC212E" w:rsidRDefault="00CC212E" w:rsidP="00CC212E">
            <w:pPr>
              <w:rPr>
                <w:rFonts w:cs="Arial"/>
              </w:rPr>
            </w:pPr>
          </w:p>
        </w:tc>
        <w:tc>
          <w:tcPr>
            <w:tcW w:w="1690" w:type="dxa"/>
          </w:tcPr>
          <w:p w14:paraId="09085297" w14:textId="4BFBFE1F" w:rsidR="00CC212E" w:rsidRPr="00CC212E" w:rsidRDefault="00CC212E" w:rsidP="00CC212E">
            <w:pPr>
              <w:rPr>
                <w:rFonts w:cs="Arial"/>
              </w:rPr>
            </w:pPr>
            <w:r w:rsidRPr="00CC212E">
              <w:rPr>
                <w:rFonts w:cs="Arial"/>
              </w:rPr>
              <w:t xml:space="preserve">Костно-мозъчна недостатъчност, панцитопения, </w:t>
            </w:r>
            <w:r w:rsidRPr="00CC212E">
              <w:rPr>
                <w:rFonts w:cs="Arial"/>
              </w:rPr>
              <w:lastRenderedPageBreak/>
              <w:t>хемолитична анемия</w:t>
            </w:r>
          </w:p>
        </w:tc>
      </w:tr>
      <w:tr w:rsidR="00CC212E" w14:paraId="6F165D12" w14:textId="77777777" w:rsidTr="00CC212E">
        <w:tc>
          <w:tcPr>
            <w:tcW w:w="1427" w:type="dxa"/>
          </w:tcPr>
          <w:p w14:paraId="1F87D3E8" w14:textId="1D50C69A" w:rsidR="00CC212E" w:rsidRPr="00CC212E" w:rsidRDefault="00CC212E" w:rsidP="00CC212E">
            <w:pPr>
              <w:rPr>
                <w:rFonts w:cs="Arial"/>
              </w:rPr>
            </w:pPr>
            <w:r w:rsidRPr="00CC212E">
              <w:rPr>
                <w:rFonts w:cs="Arial"/>
                <w:i/>
                <w:iCs/>
              </w:rPr>
              <w:t>Нарушения на имунната система</w:t>
            </w:r>
          </w:p>
        </w:tc>
        <w:tc>
          <w:tcPr>
            <w:tcW w:w="1524" w:type="dxa"/>
          </w:tcPr>
          <w:p w14:paraId="38D93011" w14:textId="77777777" w:rsidR="00CC212E" w:rsidRPr="00CC212E" w:rsidRDefault="00CC212E" w:rsidP="00CC212E">
            <w:pPr>
              <w:rPr>
                <w:rFonts w:cs="Arial"/>
              </w:rPr>
            </w:pPr>
          </w:p>
        </w:tc>
        <w:tc>
          <w:tcPr>
            <w:tcW w:w="1547" w:type="dxa"/>
          </w:tcPr>
          <w:p w14:paraId="7F15CC45" w14:textId="77777777" w:rsidR="00CC212E" w:rsidRPr="00CC212E" w:rsidRDefault="00CC212E" w:rsidP="00CC212E">
            <w:pPr>
              <w:rPr>
                <w:rFonts w:cs="Arial"/>
              </w:rPr>
            </w:pPr>
          </w:p>
        </w:tc>
        <w:tc>
          <w:tcPr>
            <w:tcW w:w="1701" w:type="dxa"/>
          </w:tcPr>
          <w:p w14:paraId="024A79F1" w14:textId="77777777" w:rsidR="00CC212E" w:rsidRPr="00CC212E" w:rsidRDefault="00CC212E" w:rsidP="00CC212E">
            <w:pPr>
              <w:rPr>
                <w:rFonts w:cs="Arial"/>
              </w:rPr>
            </w:pPr>
          </w:p>
        </w:tc>
        <w:tc>
          <w:tcPr>
            <w:tcW w:w="1687" w:type="dxa"/>
          </w:tcPr>
          <w:p w14:paraId="7E34C43A" w14:textId="77777777" w:rsidR="00CC212E" w:rsidRPr="00CC212E" w:rsidRDefault="00CC212E" w:rsidP="00CC212E">
            <w:pPr>
              <w:rPr>
                <w:rFonts w:cs="Arial"/>
              </w:rPr>
            </w:pPr>
          </w:p>
        </w:tc>
        <w:tc>
          <w:tcPr>
            <w:tcW w:w="1690" w:type="dxa"/>
          </w:tcPr>
          <w:p w14:paraId="4958CF52" w14:textId="3EDFC588" w:rsidR="00CC212E" w:rsidRPr="00CC212E" w:rsidRDefault="00CC212E" w:rsidP="00CC212E">
            <w:pPr>
              <w:rPr>
                <w:rFonts w:cs="Arial"/>
              </w:rPr>
            </w:pPr>
            <w:r w:rsidRPr="00CC212E">
              <w:rPr>
                <w:rFonts w:cs="Arial"/>
              </w:rPr>
              <w:t>Анафилактични или анафилактоидни реакции, повишаване на ацтинуклеарните антитела</w:t>
            </w:r>
          </w:p>
        </w:tc>
      </w:tr>
      <w:tr w:rsidR="00CC212E" w14:paraId="2C450F00" w14:textId="77777777" w:rsidTr="00CC212E">
        <w:tc>
          <w:tcPr>
            <w:tcW w:w="1427" w:type="dxa"/>
          </w:tcPr>
          <w:p w14:paraId="47FD650A" w14:textId="29A9C61A" w:rsidR="00CC212E" w:rsidRPr="00CC212E" w:rsidRDefault="00CC212E" w:rsidP="00CC212E">
            <w:pPr>
              <w:rPr>
                <w:rFonts w:cs="Arial"/>
              </w:rPr>
            </w:pPr>
            <w:r w:rsidRPr="00CC212E">
              <w:rPr>
                <w:rFonts w:cs="Arial"/>
                <w:i/>
                <w:iCs/>
              </w:rPr>
              <w:t>Нарушения на ендокринна-та система</w:t>
            </w:r>
          </w:p>
        </w:tc>
        <w:tc>
          <w:tcPr>
            <w:tcW w:w="1524" w:type="dxa"/>
          </w:tcPr>
          <w:p w14:paraId="5F1A00E1" w14:textId="77777777" w:rsidR="00CC212E" w:rsidRPr="00CC212E" w:rsidRDefault="00CC212E" w:rsidP="00CC212E">
            <w:pPr>
              <w:rPr>
                <w:rFonts w:cs="Arial"/>
              </w:rPr>
            </w:pPr>
          </w:p>
        </w:tc>
        <w:tc>
          <w:tcPr>
            <w:tcW w:w="1547" w:type="dxa"/>
          </w:tcPr>
          <w:p w14:paraId="03A0A630" w14:textId="77777777" w:rsidR="00CC212E" w:rsidRPr="00CC212E" w:rsidRDefault="00CC212E" w:rsidP="00CC212E">
            <w:pPr>
              <w:rPr>
                <w:rFonts w:cs="Arial"/>
              </w:rPr>
            </w:pPr>
          </w:p>
        </w:tc>
        <w:tc>
          <w:tcPr>
            <w:tcW w:w="1701" w:type="dxa"/>
          </w:tcPr>
          <w:p w14:paraId="451428DF" w14:textId="77777777" w:rsidR="00CC212E" w:rsidRPr="00CC212E" w:rsidRDefault="00CC212E" w:rsidP="00CC212E">
            <w:pPr>
              <w:rPr>
                <w:rFonts w:cs="Arial"/>
              </w:rPr>
            </w:pPr>
          </w:p>
        </w:tc>
        <w:tc>
          <w:tcPr>
            <w:tcW w:w="1687" w:type="dxa"/>
          </w:tcPr>
          <w:p w14:paraId="3170DE03" w14:textId="77777777" w:rsidR="00CC212E" w:rsidRPr="00CC212E" w:rsidRDefault="00CC212E" w:rsidP="00CC212E">
            <w:pPr>
              <w:rPr>
                <w:rFonts w:cs="Arial"/>
              </w:rPr>
            </w:pPr>
          </w:p>
        </w:tc>
        <w:tc>
          <w:tcPr>
            <w:tcW w:w="1690" w:type="dxa"/>
          </w:tcPr>
          <w:p w14:paraId="5201DB40" w14:textId="7121A929" w:rsidR="00CC212E" w:rsidRPr="00CC212E" w:rsidRDefault="00CC212E" w:rsidP="00CC212E">
            <w:pPr>
              <w:rPr>
                <w:rFonts w:cs="Arial"/>
              </w:rPr>
            </w:pPr>
            <w:r w:rsidRPr="00CC212E">
              <w:rPr>
                <w:rFonts w:cs="Arial"/>
              </w:rPr>
              <w:t xml:space="preserve">Синдром на нарушената секреция на антидиуретичен хормон </w:t>
            </w:r>
            <w:r w:rsidRPr="00CC212E">
              <w:rPr>
                <w:rFonts w:cs="Arial"/>
                <w:lang w:val="ru-RU"/>
              </w:rPr>
              <w:t>(</w:t>
            </w:r>
            <w:r w:rsidRPr="00CC212E">
              <w:rPr>
                <w:rFonts w:cs="Arial"/>
                <w:lang w:val="en-US"/>
              </w:rPr>
              <w:t>SIADH</w:t>
            </w:r>
            <w:r w:rsidRPr="00CC212E">
              <w:rPr>
                <w:rFonts w:cs="Arial"/>
                <w:lang w:val="ru-RU"/>
              </w:rPr>
              <w:t>)</w:t>
            </w:r>
          </w:p>
        </w:tc>
      </w:tr>
      <w:tr w:rsidR="00CC212E" w14:paraId="5A4FB3FD" w14:textId="77777777" w:rsidTr="00CC212E">
        <w:tc>
          <w:tcPr>
            <w:tcW w:w="1427" w:type="dxa"/>
          </w:tcPr>
          <w:p w14:paraId="3363824E" w14:textId="77777777" w:rsidR="00CC212E" w:rsidRPr="00CC212E" w:rsidRDefault="00CC212E" w:rsidP="00CC212E">
            <w:pPr>
              <w:rPr>
                <w:rFonts w:cs="Arial"/>
              </w:rPr>
            </w:pPr>
            <w:r w:rsidRPr="00CC212E">
              <w:rPr>
                <w:rFonts w:cs="Arial"/>
                <w:i/>
                <w:iCs/>
              </w:rPr>
              <w:t>Нарушения на метаболизма и</w:t>
            </w:r>
          </w:p>
          <w:p w14:paraId="705D4A4A" w14:textId="0B8AC048" w:rsidR="00CC212E" w:rsidRPr="00CC212E" w:rsidRDefault="00CC212E" w:rsidP="00CC212E">
            <w:pPr>
              <w:rPr>
                <w:rFonts w:cs="Arial"/>
              </w:rPr>
            </w:pPr>
            <w:r w:rsidRPr="00CC212E">
              <w:rPr>
                <w:rFonts w:cs="Arial"/>
                <w:i/>
                <w:iCs/>
              </w:rPr>
              <w:t>храненето</w:t>
            </w:r>
          </w:p>
        </w:tc>
        <w:tc>
          <w:tcPr>
            <w:tcW w:w="1524" w:type="dxa"/>
          </w:tcPr>
          <w:p w14:paraId="45F7EA2D" w14:textId="64FF4ABE" w:rsidR="00CC212E" w:rsidRPr="00CC212E" w:rsidRDefault="00CC212E" w:rsidP="00CC212E">
            <w:pPr>
              <w:rPr>
                <w:rFonts w:cs="Arial"/>
              </w:rPr>
            </w:pPr>
            <w:r w:rsidRPr="00CC212E">
              <w:rPr>
                <w:rFonts w:cs="Arial"/>
              </w:rPr>
              <w:t>Повишено ниво на калий в кръвта</w:t>
            </w:r>
          </w:p>
        </w:tc>
        <w:tc>
          <w:tcPr>
            <w:tcW w:w="1547" w:type="dxa"/>
          </w:tcPr>
          <w:p w14:paraId="52DF8C66" w14:textId="30E34AE5" w:rsidR="00CC212E" w:rsidRPr="00CC212E" w:rsidRDefault="00CC212E" w:rsidP="00CC212E">
            <w:pPr>
              <w:rPr>
                <w:rFonts w:cs="Arial"/>
              </w:rPr>
            </w:pPr>
            <w:r w:rsidRPr="00CC212E">
              <w:rPr>
                <w:rFonts w:cs="Arial"/>
              </w:rPr>
              <w:t>Анорексия, понижен апетит</w:t>
            </w:r>
          </w:p>
        </w:tc>
        <w:tc>
          <w:tcPr>
            <w:tcW w:w="1701" w:type="dxa"/>
          </w:tcPr>
          <w:p w14:paraId="651A0CE7" w14:textId="77777777" w:rsidR="00CC212E" w:rsidRPr="00CC212E" w:rsidRDefault="00CC212E" w:rsidP="00CC212E">
            <w:pPr>
              <w:rPr>
                <w:rFonts w:cs="Arial"/>
              </w:rPr>
            </w:pPr>
          </w:p>
        </w:tc>
        <w:tc>
          <w:tcPr>
            <w:tcW w:w="1687" w:type="dxa"/>
          </w:tcPr>
          <w:p w14:paraId="336DF0AE" w14:textId="77777777" w:rsidR="00CC212E" w:rsidRPr="00CC212E" w:rsidRDefault="00CC212E" w:rsidP="00CC212E">
            <w:pPr>
              <w:rPr>
                <w:rFonts w:cs="Arial"/>
              </w:rPr>
            </w:pPr>
          </w:p>
        </w:tc>
        <w:tc>
          <w:tcPr>
            <w:tcW w:w="1690" w:type="dxa"/>
          </w:tcPr>
          <w:p w14:paraId="1BB7193B" w14:textId="1ABCEDF0" w:rsidR="00CC212E" w:rsidRPr="00CC212E" w:rsidRDefault="00CC212E" w:rsidP="00CC212E">
            <w:pPr>
              <w:rPr>
                <w:rFonts w:cs="Arial"/>
              </w:rPr>
            </w:pPr>
            <w:r w:rsidRPr="00CC212E">
              <w:rPr>
                <w:rFonts w:cs="Arial"/>
              </w:rPr>
              <w:t>Понижено ниво на натрия в кръвта</w:t>
            </w:r>
          </w:p>
        </w:tc>
      </w:tr>
      <w:tr w:rsidR="00CC212E" w14:paraId="1D00A3CE" w14:textId="77777777" w:rsidTr="00CC212E">
        <w:tc>
          <w:tcPr>
            <w:tcW w:w="1427" w:type="dxa"/>
          </w:tcPr>
          <w:p w14:paraId="3EB8DCA8" w14:textId="5D00D33F" w:rsidR="00CC212E" w:rsidRPr="00CC212E" w:rsidRDefault="00CC212E" w:rsidP="00CC212E">
            <w:pPr>
              <w:rPr>
                <w:rFonts w:cs="Arial"/>
              </w:rPr>
            </w:pPr>
            <w:r w:rsidRPr="00CC212E">
              <w:rPr>
                <w:rFonts w:cs="Arial"/>
                <w:i/>
                <w:iCs/>
              </w:rPr>
              <w:t>Психични нарушения</w:t>
            </w:r>
          </w:p>
        </w:tc>
        <w:tc>
          <w:tcPr>
            <w:tcW w:w="1524" w:type="dxa"/>
          </w:tcPr>
          <w:p w14:paraId="54F5FA83" w14:textId="77777777" w:rsidR="00CC212E" w:rsidRPr="00CC212E" w:rsidRDefault="00CC212E" w:rsidP="00CC212E">
            <w:pPr>
              <w:rPr>
                <w:rFonts w:cs="Arial"/>
              </w:rPr>
            </w:pPr>
          </w:p>
        </w:tc>
        <w:tc>
          <w:tcPr>
            <w:tcW w:w="1547" w:type="dxa"/>
          </w:tcPr>
          <w:p w14:paraId="7B98597D" w14:textId="03B50789" w:rsidR="00CC212E" w:rsidRPr="00CC212E" w:rsidRDefault="00CC212E" w:rsidP="00CC212E">
            <w:pPr>
              <w:rPr>
                <w:rFonts w:cs="Arial"/>
              </w:rPr>
            </w:pPr>
            <w:r w:rsidRPr="00CC212E">
              <w:rPr>
                <w:rFonts w:cs="Arial"/>
              </w:rPr>
              <w:t>Депресивно настроение, тревожност, нервност, безпокойство, нарушение на съня, включително и сънливост</w:t>
            </w:r>
          </w:p>
        </w:tc>
        <w:tc>
          <w:tcPr>
            <w:tcW w:w="1701" w:type="dxa"/>
          </w:tcPr>
          <w:p w14:paraId="1EAE11D0" w14:textId="52EEB89C" w:rsidR="00CC212E" w:rsidRPr="00CC212E" w:rsidRDefault="00CC212E" w:rsidP="00CC212E">
            <w:pPr>
              <w:rPr>
                <w:rFonts w:cs="Arial"/>
              </w:rPr>
            </w:pPr>
            <w:r w:rsidRPr="00CC212E">
              <w:rPr>
                <w:rFonts w:cs="Arial"/>
              </w:rPr>
              <w:t>Състояние на обърканост</w:t>
            </w:r>
          </w:p>
        </w:tc>
        <w:tc>
          <w:tcPr>
            <w:tcW w:w="1687" w:type="dxa"/>
          </w:tcPr>
          <w:p w14:paraId="16EE26B7" w14:textId="77777777" w:rsidR="00CC212E" w:rsidRPr="00CC212E" w:rsidRDefault="00CC212E" w:rsidP="00CC212E">
            <w:pPr>
              <w:rPr>
                <w:rFonts w:cs="Arial"/>
              </w:rPr>
            </w:pPr>
          </w:p>
        </w:tc>
        <w:tc>
          <w:tcPr>
            <w:tcW w:w="1690" w:type="dxa"/>
          </w:tcPr>
          <w:p w14:paraId="494FFF44" w14:textId="2B2D0819" w:rsidR="00CC212E" w:rsidRPr="00CC212E" w:rsidRDefault="00CC212E" w:rsidP="00CC212E">
            <w:pPr>
              <w:rPr>
                <w:rFonts w:cs="Arial"/>
              </w:rPr>
            </w:pPr>
            <w:r w:rsidRPr="00CC212E">
              <w:rPr>
                <w:rFonts w:cs="Arial"/>
              </w:rPr>
              <w:t>Нарушения на вниманието</w:t>
            </w:r>
          </w:p>
        </w:tc>
      </w:tr>
      <w:tr w:rsidR="00CC212E" w14:paraId="5B167ECE" w14:textId="77777777" w:rsidTr="00CC212E">
        <w:tc>
          <w:tcPr>
            <w:tcW w:w="1427" w:type="dxa"/>
          </w:tcPr>
          <w:p w14:paraId="3C98CFFB" w14:textId="799C6F3C" w:rsidR="00CC212E" w:rsidRPr="00CC212E" w:rsidRDefault="00CC212E" w:rsidP="00CC212E">
            <w:pPr>
              <w:rPr>
                <w:rFonts w:cs="Arial"/>
              </w:rPr>
            </w:pPr>
            <w:r w:rsidRPr="00CC212E">
              <w:rPr>
                <w:rFonts w:cs="Arial"/>
                <w:i/>
                <w:iCs/>
              </w:rPr>
              <w:t>Нарушения на нервната система</w:t>
            </w:r>
          </w:p>
        </w:tc>
        <w:tc>
          <w:tcPr>
            <w:tcW w:w="1524" w:type="dxa"/>
          </w:tcPr>
          <w:p w14:paraId="4D6FA839" w14:textId="01644DEE" w:rsidR="00CC212E" w:rsidRPr="00CC212E" w:rsidRDefault="00CC212E" w:rsidP="00CC212E">
            <w:pPr>
              <w:rPr>
                <w:rFonts w:cs="Arial"/>
              </w:rPr>
            </w:pPr>
            <w:r w:rsidRPr="00CC212E">
              <w:rPr>
                <w:rFonts w:cs="Arial"/>
              </w:rPr>
              <w:t>Главоболие, замайване</w:t>
            </w:r>
          </w:p>
        </w:tc>
        <w:tc>
          <w:tcPr>
            <w:tcW w:w="1547" w:type="dxa"/>
          </w:tcPr>
          <w:p w14:paraId="4F957CF4" w14:textId="000E6421" w:rsidR="00CC212E" w:rsidRPr="00CC212E" w:rsidRDefault="00CC212E" w:rsidP="00CC212E">
            <w:pPr>
              <w:rPr>
                <w:rFonts w:cs="Arial"/>
              </w:rPr>
            </w:pPr>
            <w:r w:rsidRPr="00CC212E">
              <w:rPr>
                <w:rFonts w:cs="Arial"/>
              </w:rPr>
              <w:t>Световъртеж, парестезия, агеузия, дисгеузия</w:t>
            </w:r>
          </w:p>
        </w:tc>
        <w:tc>
          <w:tcPr>
            <w:tcW w:w="1701" w:type="dxa"/>
          </w:tcPr>
          <w:p w14:paraId="34E78C36" w14:textId="4323F019" w:rsidR="00CC212E" w:rsidRPr="00CC212E" w:rsidRDefault="00CC212E" w:rsidP="00CC212E">
            <w:pPr>
              <w:rPr>
                <w:rFonts w:cs="Arial"/>
              </w:rPr>
            </w:pPr>
            <w:r w:rsidRPr="00CC212E">
              <w:rPr>
                <w:rFonts w:cs="Arial"/>
              </w:rPr>
              <w:t>Тремор, разстройство на баланса</w:t>
            </w:r>
          </w:p>
        </w:tc>
        <w:tc>
          <w:tcPr>
            <w:tcW w:w="1687" w:type="dxa"/>
          </w:tcPr>
          <w:p w14:paraId="31FAB8DA" w14:textId="77777777" w:rsidR="00CC212E" w:rsidRPr="00CC212E" w:rsidRDefault="00CC212E" w:rsidP="00CC212E">
            <w:pPr>
              <w:rPr>
                <w:rFonts w:cs="Arial"/>
              </w:rPr>
            </w:pPr>
          </w:p>
        </w:tc>
        <w:tc>
          <w:tcPr>
            <w:tcW w:w="1690" w:type="dxa"/>
          </w:tcPr>
          <w:p w14:paraId="54BED791" w14:textId="77777777" w:rsidR="00CC212E" w:rsidRPr="00CC212E" w:rsidRDefault="00CC212E" w:rsidP="00CC212E">
            <w:pPr>
              <w:rPr>
                <w:rFonts w:cs="Arial"/>
              </w:rPr>
            </w:pPr>
            <w:r w:rsidRPr="00CC212E">
              <w:rPr>
                <w:rFonts w:cs="Arial"/>
              </w:rPr>
              <w:t xml:space="preserve">Церебрална исхемия включително исхемичен инсулт и преходни </w:t>
            </w:r>
            <w:r w:rsidRPr="00CC212E">
              <w:rPr>
                <w:rFonts w:cs="Arial"/>
              </w:rPr>
              <w:lastRenderedPageBreak/>
              <w:t>исхемични атаки, нарушени психомоторни</w:t>
            </w:r>
          </w:p>
          <w:p w14:paraId="3860B942" w14:textId="77777777" w:rsidR="00CC212E" w:rsidRPr="00CC212E" w:rsidRDefault="00CC212E" w:rsidP="00CC212E">
            <w:pPr>
              <w:rPr>
                <w:rFonts w:cs="Arial"/>
              </w:rPr>
            </w:pPr>
            <w:r w:rsidRPr="00CC212E">
              <w:rPr>
                <w:rFonts w:cs="Arial"/>
              </w:rPr>
              <w:t>умения,</w:t>
            </w:r>
          </w:p>
          <w:p w14:paraId="71AFDBCF" w14:textId="77777777" w:rsidR="00CC212E" w:rsidRPr="00CC212E" w:rsidRDefault="00CC212E" w:rsidP="00CC212E">
            <w:pPr>
              <w:rPr>
                <w:rFonts w:cs="Arial"/>
              </w:rPr>
            </w:pPr>
            <w:r w:rsidRPr="00CC212E">
              <w:rPr>
                <w:rFonts w:cs="Arial"/>
              </w:rPr>
              <w:t>усещане</w:t>
            </w:r>
          </w:p>
          <w:p w14:paraId="0290954E" w14:textId="77777777" w:rsidR="00CC212E" w:rsidRPr="00CC212E" w:rsidRDefault="00CC212E" w:rsidP="00CC212E">
            <w:pPr>
              <w:rPr>
                <w:rFonts w:cs="Arial"/>
              </w:rPr>
            </w:pPr>
            <w:r w:rsidRPr="00CC212E">
              <w:rPr>
                <w:rFonts w:cs="Arial"/>
              </w:rPr>
              <w:t>за парене,</w:t>
            </w:r>
          </w:p>
          <w:p w14:paraId="7A9256BD" w14:textId="7FBC839C" w:rsidR="00CC212E" w:rsidRPr="00CC212E" w:rsidRDefault="00CC212E" w:rsidP="00CC212E">
            <w:pPr>
              <w:rPr>
                <w:rFonts w:cs="Arial"/>
              </w:rPr>
            </w:pPr>
            <w:r w:rsidRPr="00CC212E">
              <w:rPr>
                <w:rFonts w:cs="Arial"/>
              </w:rPr>
              <w:t>паросмия</w:t>
            </w:r>
          </w:p>
        </w:tc>
      </w:tr>
      <w:tr w:rsidR="00CC212E" w14:paraId="6965F860" w14:textId="77777777" w:rsidTr="00CC212E">
        <w:tc>
          <w:tcPr>
            <w:tcW w:w="1427" w:type="dxa"/>
          </w:tcPr>
          <w:p w14:paraId="090B7F47" w14:textId="7E11F34D" w:rsidR="00CC212E" w:rsidRPr="00CC212E" w:rsidRDefault="00CC212E" w:rsidP="00CC212E">
            <w:pPr>
              <w:rPr>
                <w:rFonts w:cs="Arial"/>
              </w:rPr>
            </w:pPr>
            <w:r w:rsidRPr="00CC212E">
              <w:rPr>
                <w:rFonts w:cs="Arial"/>
                <w:i/>
                <w:iCs/>
              </w:rPr>
              <w:lastRenderedPageBreak/>
              <w:t>Нарушения на очите</w:t>
            </w:r>
          </w:p>
        </w:tc>
        <w:tc>
          <w:tcPr>
            <w:tcW w:w="1524" w:type="dxa"/>
          </w:tcPr>
          <w:p w14:paraId="191E837D" w14:textId="77777777" w:rsidR="00CC212E" w:rsidRPr="00CC212E" w:rsidRDefault="00CC212E" w:rsidP="00CC212E">
            <w:pPr>
              <w:rPr>
                <w:rFonts w:cs="Arial"/>
              </w:rPr>
            </w:pPr>
          </w:p>
        </w:tc>
        <w:tc>
          <w:tcPr>
            <w:tcW w:w="1547" w:type="dxa"/>
          </w:tcPr>
          <w:p w14:paraId="42A70AD5" w14:textId="39D4C736" w:rsidR="00CC212E" w:rsidRPr="00CC212E" w:rsidRDefault="00CC212E" w:rsidP="00CC212E">
            <w:pPr>
              <w:rPr>
                <w:rFonts w:eastAsia="Times New Roman" w:cs="Arial"/>
              </w:rPr>
            </w:pPr>
            <w:r w:rsidRPr="00CC212E">
              <w:rPr>
                <w:rFonts w:cs="Arial"/>
              </w:rPr>
              <w:t>Зрителни смущения, включително</w:t>
            </w:r>
            <w:r w:rsidRPr="00CC212E">
              <w:rPr>
                <w:rFonts w:cs="Arial"/>
                <w:lang w:val="ru-RU"/>
              </w:rPr>
              <w:t xml:space="preserve"> </w:t>
            </w:r>
            <w:r w:rsidRPr="00CC212E">
              <w:rPr>
                <w:rFonts w:cs="Arial"/>
                <w:lang w:eastAsia="bg-BG"/>
              </w:rPr>
              <w:t>замъглено виждане</w:t>
            </w:r>
          </w:p>
        </w:tc>
        <w:tc>
          <w:tcPr>
            <w:tcW w:w="1701" w:type="dxa"/>
          </w:tcPr>
          <w:p w14:paraId="1D575E9B" w14:textId="22BEA8AA" w:rsidR="00CC212E" w:rsidRPr="00CC212E" w:rsidRDefault="00CC212E" w:rsidP="00CC212E">
            <w:pPr>
              <w:rPr>
                <w:rFonts w:cs="Arial"/>
              </w:rPr>
            </w:pPr>
            <w:r w:rsidRPr="00CC212E">
              <w:rPr>
                <w:rFonts w:cs="Arial"/>
              </w:rPr>
              <w:t>Конюнктивит</w:t>
            </w:r>
          </w:p>
        </w:tc>
        <w:tc>
          <w:tcPr>
            <w:tcW w:w="1687" w:type="dxa"/>
          </w:tcPr>
          <w:p w14:paraId="3BD50FE3" w14:textId="77777777" w:rsidR="00CC212E" w:rsidRPr="00CC212E" w:rsidRDefault="00CC212E" w:rsidP="00CC212E">
            <w:pPr>
              <w:rPr>
                <w:rFonts w:cs="Arial"/>
              </w:rPr>
            </w:pPr>
          </w:p>
        </w:tc>
        <w:tc>
          <w:tcPr>
            <w:tcW w:w="1690" w:type="dxa"/>
          </w:tcPr>
          <w:p w14:paraId="77CF5E6A" w14:textId="77777777" w:rsidR="00CC212E" w:rsidRPr="00CC212E" w:rsidRDefault="00CC212E" w:rsidP="00CC212E">
            <w:pPr>
              <w:rPr>
                <w:rFonts w:cs="Arial"/>
              </w:rPr>
            </w:pPr>
          </w:p>
        </w:tc>
      </w:tr>
      <w:tr w:rsidR="00CC212E" w14:paraId="69476108" w14:textId="77777777" w:rsidTr="00CC212E">
        <w:tc>
          <w:tcPr>
            <w:tcW w:w="1427" w:type="dxa"/>
          </w:tcPr>
          <w:p w14:paraId="07F65C10" w14:textId="42E31165" w:rsidR="00CC212E" w:rsidRPr="00CC212E" w:rsidRDefault="00CC212E" w:rsidP="00CC212E">
            <w:pPr>
              <w:rPr>
                <w:rFonts w:cs="Arial"/>
              </w:rPr>
            </w:pPr>
            <w:r w:rsidRPr="00CC212E">
              <w:rPr>
                <w:rFonts w:cs="Arial"/>
                <w:i/>
                <w:iCs/>
              </w:rPr>
              <w:t>Нарушения на ухото и лабиринта</w:t>
            </w:r>
          </w:p>
        </w:tc>
        <w:tc>
          <w:tcPr>
            <w:tcW w:w="1524" w:type="dxa"/>
          </w:tcPr>
          <w:p w14:paraId="1136757B" w14:textId="77777777" w:rsidR="00CC212E" w:rsidRPr="00CC212E" w:rsidRDefault="00CC212E" w:rsidP="00CC212E">
            <w:pPr>
              <w:rPr>
                <w:rFonts w:cs="Arial"/>
              </w:rPr>
            </w:pPr>
          </w:p>
        </w:tc>
        <w:tc>
          <w:tcPr>
            <w:tcW w:w="1547" w:type="dxa"/>
          </w:tcPr>
          <w:p w14:paraId="7145B4D7" w14:textId="77777777" w:rsidR="00CC212E" w:rsidRPr="00CC212E" w:rsidRDefault="00CC212E" w:rsidP="00CC212E">
            <w:pPr>
              <w:rPr>
                <w:rFonts w:cs="Arial"/>
              </w:rPr>
            </w:pPr>
          </w:p>
        </w:tc>
        <w:tc>
          <w:tcPr>
            <w:tcW w:w="1701" w:type="dxa"/>
          </w:tcPr>
          <w:p w14:paraId="1A378F0C" w14:textId="1C1F28A2" w:rsidR="00CC212E" w:rsidRPr="00CC212E" w:rsidRDefault="00CC212E" w:rsidP="00CC212E">
            <w:pPr>
              <w:rPr>
                <w:rFonts w:cs="Arial"/>
              </w:rPr>
            </w:pPr>
            <w:r w:rsidRPr="00CC212E">
              <w:rPr>
                <w:rFonts w:cs="Arial"/>
              </w:rPr>
              <w:t>Увреждане на слуха, тинитус</w:t>
            </w:r>
          </w:p>
        </w:tc>
        <w:tc>
          <w:tcPr>
            <w:tcW w:w="1687" w:type="dxa"/>
          </w:tcPr>
          <w:p w14:paraId="60778B69" w14:textId="77777777" w:rsidR="00CC212E" w:rsidRPr="00CC212E" w:rsidRDefault="00CC212E" w:rsidP="00CC212E">
            <w:pPr>
              <w:rPr>
                <w:rFonts w:cs="Arial"/>
              </w:rPr>
            </w:pPr>
          </w:p>
        </w:tc>
        <w:tc>
          <w:tcPr>
            <w:tcW w:w="1690" w:type="dxa"/>
          </w:tcPr>
          <w:p w14:paraId="652C22FE" w14:textId="77777777" w:rsidR="00CC212E" w:rsidRPr="00CC212E" w:rsidRDefault="00CC212E" w:rsidP="00CC212E">
            <w:pPr>
              <w:rPr>
                <w:rFonts w:cs="Arial"/>
              </w:rPr>
            </w:pPr>
          </w:p>
        </w:tc>
      </w:tr>
      <w:tr w:rsidR="00CC212E" w14:paraId="62914A78" w14:textId="77777777" w:rsidTr="00CC212E">
        <w:tc>
          <w:tcPr>
            <w:tcW w:w="1427" w:type="dxa"/>
          </w:tcPr>
          <w:p w14:paraId="72626C49" w14:textId="726699A1" w:rsidR="00CC212E" w:rsidRPr="00CC212E" w:rsidRDefault="00CC212E" w:rsidP="00CC212E">
            <w:pPr>
              <w:rPr>
                <w:rFonts w:cs="Arial"/>
              </w:rPr>
            </w:pPr>
            <w:r w:rsidRPr="00CC212E">
              <w:rPr>
                <w:rFonts w:cs="Arial"/>
                <w:i/>
                <w:iCs/>
              </w:rPr>
              <w:t>Сърдечни нарушения</w:t>
            </w:r>
          </w:p>
        </w:tc>
        <w:tc>
          <w:tcPr>
            <w:tcW w:w="1524" w:type="dxa"/>
          </w:tcPr>
          <w:p w14:paraId="44E11A70" w14:textId="77777777" w:rsidR="00CC212E" w:rsidRPr="00CC212E" w:rsidRDefault="00CC212E" w:rsidP="00CC212E">
            <w:pPr>
              <w:rPr>
                <w:rFonts w:cs="Arial"/>
              </w:rPr>
            </w:pPr>
          </w:p>
        </w:tc>
        <w:tc>
          <w:tcPr>
            <w:tcW w:w="1547" w:type="dxa"/>
            <w:vAlign w:val="bottom"/>
          </w:tcPr>
          <w:p w14:paraId="0AC02683" w14:textId="652099F7" w:rsidR="00CC212E" w:rsidRPr="00CC212E" w:rsidRDefault="00CC212E" w:rsidP="00CC212E">
            <w:pPr>
              <w:rPr>
                <w:rFonts w:cs="Arial"/>
              </w:rPr>
            </w:pPr>
            <w:r w:rsidRPr="00CC212E">
              <w:rPr>
                <w:rFonts w:cs="Arial"/>
              </w:rPr>
              <w:t>Миокард на исхемия, включително ангина пекторис или миокарден инфаркт, тахикардия, аритмия, палпитации, периферен едем</w:t>
            </w:r>
          </w:p>
        </w:tc>
        <w:tc>
          <w:tcPr>
            <w:tcW w:w="1701" w:type="dxa"/>
          </w:tcPr>
          <w:p w14:paraId="089231AE" w14:textId="77777777" w:rsidR="00CC212E" w:rsidRPr="00CC212E" w:rsidRDefault="00CC212E" w:rsidP="00CC212E">
            <w:pPr>
              <w:rPr>
                <w:rFonts w:cs="Arial"/>
              </w:rPr>
            </w:pPr>
          </w:p>
        </w:tc>
        <w:tc>
          <w:tcPr>
            <w:tcW w:w="1687" w:type="dxa"/>
          </w:tcPr>
          <w:p w14:paraId="6B889BA0" w14:textId="77777777" w:rsidR="00CC212E" w:rsidRPr="00CC212E" w:rsidRDefault="00CC212E" w:rsidP="00CC212E">
            <w:pPr>
              <w:rPr>
                <w:rFonts w:cs="Arial"/>
              </w:rPr>
            </w:pPr>
          </w:p>
        </w:tc>
        <w:tc>
          <w:tcPr>
            <w:tcW w:w="1690" w:type="dxa"/>
          </w:tcPr>
          <w:p w14:paraId="72C74AE6" w14:textId="77777777" w:rsidR="00CC212E" w:rsidRPr="00CC212E" w:rsidRDefault="00CC212E" w:rsidP="00CC212E">
            <w:pPr>
              <w:rPr>
                <w:rFonts w:cs="Arial"/>
              </w:rPr>
            </w:pPr>
          </w:p>
        </w:tc>
      </w:tr>
      <w:tr w:rsidR="00CC212E" w14:paraId="78B45B19" w14:textId="77777777" w:rsidTr="00CC212E">
        <w:tc>
          <w:tcPr>
            <w:tcW w:w="1427" w:type="dxa"/>
          </w:tcPr>
          <w:p w14:paraId="7AE2D39A" w14:textId="2EBF88E6" w:rsidR="00CC212E" w:rsidRPr="00CC212E" w:rsidRDefault="00CC212E" w:rsidP="00CC212E">
            <w:pPr>
              <w:rPr>
                <w:rFonts w:cs="Arial"/>
              </w:rPr>
            </w:pPr>
            <w:r w:rsidRPr="00CC212E">
              <w:rPr>
                <w:rFonts w:cs="Arial"/>
                <w:i/>
                <w:iCs/>
              </w:rPr>
              <w:t>Съдови нарушения</w:t>
            </w:r>
          </w:p>
        </w:tc>
        <w:tc>
          <w:tcPr>
            <w:tcW w:w="1524" w:type="dxa"/>
            <w:vAlign w:val="bottom"/>
          </w:tcPr>
          <w:p w14:paraId="6ADCBE5E" w14:textId="04F3B62D" w:rsidR="00CC212E" w:rsidRPr="00CC212E" w:rsidRDefault="00CC212E" w:rsidP="00CC212E">
            <w:pPr>
              <w:rPr>
                <w:rFonts w:cs="Arial"/>
              </w:rPr>
            </w:pPr>
            <w:r w:rsidRPr="00CC212E">
              <w:rPr>
                <w:rFonts w:cs="Arial"/>
              </w:rPr>
              <w:t>Ортостатична хипотония, понижено кръвно налягане, синкоп</w:t>
            </w:r>
          </w:p>
        </w:tc>
        <w:tc>
          <w:tcPr>
            <w:tcW w:w="1547" w:type="dxa"/>
          </w:tcPr>
          <w:p w14:paraId="31800D11" w14:textId="14A08EED" w:rsidR="00CC212E" w:rsidRPr="00CC212E" w:rsidRDefault="00CC212E" w:rsidP="00CC212E">
            <w:pPr>
              <w:rPr>
                <w:rFonts w:cs="Arial"/>
              </w:rPr>
            </w:pPr>
            <w:r w:rsidRPr="00CC212E">
              <w:rPr>
                <w:rFonts w:cs="Arial"/>
              </w:rPr>
              <w:t>Зачервяване</w:t>
            </w:r>
          </w:p>
        </w:tc>
        <w:tc>
          <w:tcPr>
            <w:tcW w:w="1701" w:type="dxa"/>
          </w:tcPr>
          <w:p w14:paraId="188214D4" w14:textId="6E97E4E0" w:rsidR="00CC212E" w:rsidRPr="00CC212E" w:rsidRDefault="00CC212E" w:rsidP="00CC212E">
            <w:pPr>
              <w:rPr>
                <w:rFonts w:cs="Arial"/>
              </w:rPr>
            </w:pPr>
            <w:r w:rsidRPr="00CC212E">
              <w:rPr>
                <w:rFonts w:cs="Arial"/>
              </w:rPr>
              <w:t>Съдова стеноза, хипоперфузия, васкулит</w:t>
            </w:r>
          </w:p>
        </w:tc>
        <w:tc>
          <w:tcPr>
            <w:tcW w:w="1687" w:type="dxa"/>
          </w:tcPr>
          <w:p w14:paraId="5165BFB6" w14:textId="77777777" w:rsidR="00CC212E" w:rsidRPr="00CC212E" w:rsidRDefault="00CC212E" w:rsidP="00CC212E">
            <w:pPr>
              <w:rPr>
                <w:rFonts w:cs="Arial"/>
              </w:rPr>
            </w:pPr>
          </w:p>
        </w:tc>
        <w:tc>
          <w:tcPr>
            <w:tcW w:w="1690" w:type="dxa"/>
          </w:tcPr>
          <w:p w14:paraId="477899E2" w14:textId="543449DA" w:rsidR="00CC212E" w:rsidRPr="00CC212E" w:rsidRDefault="00CC212E" w:rsidP="00CC212E">
            <w:pPr>
              <w:rPr>
                <w:rFonts w:cs="Arial"/>
              </w:rPr>
            </w:pPr>
            <w:r w:rsidRPr="00CC212E">
              <w:rPr>
                <w:rFonts w:cs="Arial"/>
              </w:rPr>
              <w:t xml:space="preserve">Феномен на </w:t>
            </w:r>
            <w:r w:rsidRPr="00CC212E">
              <w:rPr>
                <w:rFonts w:cs="Arial"/>
                <w:lang w:val="en-US"/>
              </w:rPr>
              <w:t>Raynaud</w:t>
            </w:r>
          </w:p>
        </w:tc>
      </w:tr>
      <w:tr w:rsidR="00CC212E" w14:paraId="28F1C9A0" w14:textId="77777777" w:rsidTr="00CC212E">
        <w:tc>
          <w:tcPr>
            <w:tcW w:w="1427" w:type="dxa"/>
          </w:tcPr>
          <w:p w14:paraId="7502205C" w14:textId="77777777" w:rsidR="00CC212E" w:rsidRPr="00CC212E" w:rsidRDefault="00CC212E" w:rsidP="00CC212E">
            <w:pPr>
              <w:rPr>
                <w:rFonts w:cs="Arial"/>
              </w:rPr>
            </w:pPr>
            <w:r w:rsidRPr="00CC212E">
              <w:rPr>
                <w:rFonts w:cs="Arial"/>
                <w:i/>
                <w:iCs/>
              </w:rPr>
              <w:t>Респиратор-ни, гръдни и медиасти-нални</w:t>
            </w:r>
          </w:p>
          <w:p w14:paraId="3A17D2C8" w14:textId="6DA06666" w:rsidR="00CC212E" w:rsidRPr="00CC212E" w:rsidRDefault="00CC212E" w:rsidP="00CC212E">
            <w:pPr>
              <w:rPr>
                <w:rFonts w:cs="Arial"/>
              </w:rPr>
            </w:pPr>
            <w:r w:rsidRPr="00CC212E">
              <w:rPr>
                <w:rFonts w:cs="Arial"/>
                <w:i/>
                <w:iCs/>
              </w:rPr>
              <w:t>нарушения</w:t>
            </w:r>
          </w:p>
        </w:tc>
        <w:tc>
          <w:tcPr>
            <w:tcW w:w="1524" w:type="dxa"/>
            <w:vAlign w:val="bottom"/>
          </w:tcPr>
          <w:p w14:paraId="3EFE1082" w14:textId="3D85565C" w:rsidR="00CC212E" w:rsidRPr="00CC212E" w:rsidRDefault="00CC212E" w:rsidP="00CC212E">
            <w:pPr>
              <w:rPr>
                <w:rFonts w:cs="Arial"/>
              </w:rPr>
            </w:pPr>
            <w:r w:rsidRPr="00CC212E">
              <w:rPr>
                <w:rFonts w:cs="Arial"/>
              </w:rPr>
              <w:t>Непродуктивна дразнеща кашлица, бронхит, синузит, диспнея</w:t>
            </w:r>
          </w:p>
        </w:tc>
        <w:tc>
          <w:tcPr>
            <w:tcW w:w="1547" w:type="dxa"/>
          </w:tcPr>
          <w:p w14:paraId="33CC1A80" w14:textId="3F4ED247" w:rsidR="00CC212E" w:rsidRPr="00CC212E" w:rsidRDefault="00CC212E" w:rsidP="00CC212E">
            <w:pPr>
              <w:rPr>
                <w:rFonts w:cs="Arial"/>
              </w:rPr>
            </w:pPr>
            <w:r w:rsidRPr="00CC212E">
              <w:rPr>
                <w:rFonts w:cs="Arial"/>
              </w:rPr>
              <w:t>Бронхоспазъм, включително влошаване на астма, запушване на носа</w:t>
            </w:r>
          </w:p>
        </w:tc>
        <w:tc>
          <w:tcPr>
            <w:tcW w:w="1701" w:type="dxa"/>
          </w:tcPr>
          <w:p w14:paraId="38218115" w14:textId="77777777" w:rsidR="00CC212E" w:rsidRPr="00CC212E" w:rsidRDefault="00CC212E" w:rsidP="00CC212E">
            <w:pPr>
              <w:rPr>
                <w:rFonts w:cs="Arial"/>
              </w:rPr>
            </w:pPr>
          </w:p>
        </w:tc>
        <w:tc>
          <w:tcPr>
            <w:tcW w:w="1687" w:type="dxa"/>
          </w:tcPr>
          <w:p w14:paraId="7861E1A3" w14:textId="77777777" w:rsidR="00CC212E" w:rsidRPr="00CC212E" w:rsidRDefault="00CC212E" w:rsidP="00CC212E">
            <w:pPr>
              <w:rPr>
                <w:rFonts w:cs="Arial"/>
              </w:rPr>
            </w:pPr>
          </w:p>
        </w:tc>
        <w:tc>
          <w:tcPr>
            <w:tcW w:w="1690" w:type="dxa"/>
          </w:tcPr>
          <w:p w14:paraId="5E1A1057" w14:textId="77777777" w:rsidR="00CC212E" w:rsidRPr="00CC212E" w:rsidRDefault="00CC212E" w:rsidP="00CC212E">
            <w:pPr>
              <w:rPr>
                <w:rFonts w:cs="Arial"/>
              </w:rPr>
            </w:pPr>
          </w:p>
        </w:tc>
      </w:tr>
      <w:tr w:rsidR="00CC212E" w14:paraId="11440500" w14:textId="77777777" w:rsidTr="00CC212E">
        <w:tc>
          <w:tcPr>
            <w:tcW w:w="1427" w:type="dxa"/>
          </w:tcPr>
          <w:p w14:paraId="5ED0C7CE" w14:textId="4DE5B2E0" w:rsidR="00CC212E" w:rsidRPr="00CC212E" w:rsidRDefault="00CC212E" w:rsidP="00CC212E">
            <w:pPr>
              <w:rPr>
                <w:rFonts w:cs="Arial"/>
              </w:rPr>
            </w:pPr>
            <w:r w:rsidRPr="00CC212E">
              <w:rPr>
                <w:rFonts w:cs="Arial"/>
                <w:i/>
                <w:iCs/>
              </w:rPr>
              <w:t>Стомашно- чревни нарушения</w:t>
            </w:r>
          </w:p>
        </w:tc>
        <w:tc>
          <w:tcPr>
            <w:tcW w:w="1524" w:type="dxa"/>
          </w:tcPr>
          <w:p w14:paraId="0A8E0B06" w14:textId="000C275A" w:rsidR="00CC212E" w:rsidRPr="00CC212E" w:rsidRDefault="00CC212E" w:rsidP="00CC212E">
            <w:pPr>
              <w:rPr>
                <w:rFonts w:cs="Arial"/>
              </w:rPr>
            </w:pPr>
            <w:r w:rsidRPr="00CC212E">
              <w:rPr>
                <w:rFonts w:cs="Arial"/>
              </w:rPr>
              <w:t>Стомашно- чревно възпаление</w:t>
            </w:r>
            <w:r w:rsidRPr="00CC212E">
              <w:rPr>
                <w:rFonts w:cs="Arial"/>
              </w:rPr>
              <w:lastRenderedPageBreak/>
              <w:t>, храно</w:t>
            </w:r>
            <w:r w:rsidRPr="00CC212E">
              <w:rPr>
                <w:rFonts w:cs="Arial"/>
              </w:rPr>
              <w:softHyphen/>
              <w:t>смилателни смущения, коремен дискомфорт, диспепсия, диария, гадене, повръщане</w:t>
            </w:r>
          </w:p>
        </w:tc>
        <w:tc>
          <w:tcPr>
            <w:tcW w:w="1547" w:type="dxa"/>
            <w:vAlign w:val="bottom"/>
          </w:tcPr>
          <w:p w14:paraId="064988D9" w14:textId="6D4E515A" w:rsidR="00CC212E" w:rsidRPr="00CC212E" w:rsidRDefault="00CC212E" w:rsidP="00CC212E">
            <w:pPr>
              <w:rPr>
                <w:rFonts w:cs="Arial"/>
              </w:rPr>
            </w:pPr>
            <w:r w:rsidRPr="00CC212E">
              <w:rPr>
                <w:rFonts w:cs="Arial"/>
              </w:rPr>
              <w:lastRenderedPageBreak/>
              <w:t xml:space="preserve">Панкреатит (случаи с фатален изход са </w:t>
            </w:r>
            <w:r w:rsidRPr="00CC212E">
              <w:rPr>
                <w:rFonts w:cs="Arial"/>
              </w:rPr>
              <w:lastRenderedPageBreak/>
              <w:t>били съобщавани изключително рядко при лечение с АСЕ - инхибитори), повишаване на панкреатич-ните ензими, ангиоедем на тънкото черво, коремна болка в горната част на корема, включително гастрит, запек, сухота в устата</w:t>
            </w:r>
          </w:p>
        </w:tc>
        <w:tc>
          <w:tcPr>
            <w:tcW w:w="1701" w:type="dxa"/>
          </w:tcPr>
          <w:p w14:paraId="4E13B1FE" w14:textId="7093E999" w:rsidR="00CC212E" w:rsidRPr="00CC212E" w:rsidRDefault="00CC212E" w:rsidP="00CC212E">
            <w:pPr>
              <w:rPr>
                <w:rFonts w:cs="Arial"/>
              </w:rPr>
            </w:pPr>
            <w:r w:rsidRPr="00CC212E">
              <w:rPr>
                <w:rFonts w:cs="Arial"/>
              </w:rPr>
              <w:lastRenderedPageBreak/>
              <w:t>Глосит</w:t>
            </w:r>
          </w:p>
        </w:tc>
        <w:tc>
          <w:tcPr>
            <w:tcW w:w="1687" w:type="dxa"/>
          </w:tcPr>
          <w:p w14:paraId="64A029D9" w14:textId="77777777" w:rsidR="00CC212E" w:rsidRPr="00CC212E" w:rsidRDefault="00CC212E" w:rsidP="00CC212E">
            <w:pPr>
              <w:rPr>
                <w:rFonts w:cs="Arial"/>
              </w:rPr>
            </w:pPr>
          </w:p>
        </w:tc>
        <w:tc>
          <w:tcPr>
            <w:tcW w:w="1690" w:type="dxa"/>
          </w:tcPr>
          <w:p w14:paraId="6F725C18" w14:textId="75757C74" w:rsidR="00CC212E" w:rsidRPr="00CC212E" w:rsidRDefault="00CC212E" w:rsidP="00CC212E">
            <w:pPr>
              <w:rPr>
                <w:rFonts w:cs="Arial"/>
              </w:rPr>
            </w:pPr>
            <w:r w:rsidRPr="00CC212E">
              <w:rPr>
                <w:rFonts w:cs="Arial"/>
              </w:rPr>
              <w:t>Афтозен стоматит</w:t>
            </w:r>
          </w:p>
        </w:tc>
      </w:tr>
      <w:tr w:rsidR="00CC212E" w14:paraId="38E79835" w14:textId="77777777" w:rsidTr="00CC212E">
        <w:tc>
          <w:tcPr>
            <w:tcW w:w="1427" w:type="dxa"/>
          </w:tcPr>
          <w:p w14:paraId="79808346" w14:textId="3734614E" w:rsidR="00CC212E" w:rsidRPr="00CC212E" w:rsidRDefault="00CC212E" w:rsidP="00CC212E">
            <w:pPr>
              <w:rPr>
                <w:rFonts w:cs="Arial"/>
              </w:rPr>
            </w:pPr>
            <w:r w:rsidRPr="00CC212E">
              <w:rPr>
                <w:rFonts w:cs="Arial"/>
                <w:i/>
                <w:iCs/>
              </w:rPr>
              <w:t>Хепато- билиарни нарушения</w:t>
            </w:r>
          </w:p>
        </w:tc>
        <w:tc>
          <w:tcPr>
            <w:tcW w:w="1524" w:type="dxa"/>
          </w:tcPr>
          <w:p w14:paraId="52391010" w14:textId="77777777" w:rsidR="00CC212E" w:rsidRPr="00CC212E" w:rsidRDefault="00CC212E" w:rsidP="00CC212E">
            <w:pPr>
              <w:rPr>
                <w:rFonts w:cs="Arial"/>
              </w:rPr>
            </w:pPr>
          </w:p>
        </w:tc>
        <w:tc>
          <w:tcPr>
            <w:tcW w:w="1547" w:type="dxa"/>
          </w:tcPr>
          <w:p w14:paraId="722A048F" w14:textId="6F85CE37" w:rsidR="00CC212E" w:rsidRPr="00CC212E" w:rsidRDefault="00CC212E" w:rsidP="00CC212E">
            <w:pPr>
              <w:rPr>
                <w:rFonts w:cs="Arial"/>
              </w:rPr>
            </w:pPr>
            <w:r w:rsidRPr="00CC212E">
              <w:rPr>
                <w:rFonts w:cs="Arial"/>
              </w:rPr>
              <w:t>Повишени нива на чернодробните ензими и/или свързания билирубин</w:t>
            </w:r>
          </w:p>
        </w:tc>
        <w:tc>
          <w:tcPr>
            <w:tcW w:w="1701" w:type="dxa"/>
          </w:tcPr>
          <w:p w14:paraId="50FDDE7B" w14:textId="7B450EDC" w:rsidR="00CC212E" w:rsidRPr="00CC212E" w:rsidRDefault="00CC212E" w:rsidP="00CC212E">
            <w:pPr>
              <w:rPr>
                <w:rFonts w:cs="Arial"/>
              </w:rPr>
            </w:pPr>
            <w:r w:rsidRPr="00CC212E">
              <w:rPr>
                <w:rFonts w:cs="Arial"/>
              </w:rPr>
              <w:t>Жълтеница, холестатично хепатоцелулар но увреждане</w:t>
            </w:r>
          </w:p>
        </w:tc>
        <w:tc>
          <w:tcPr>
            <w:tcW w:w="1687" w:type="dxa"/>
          </w:tcPr>
          <w:p w14:paraId="364CEA54" w14:textId="77777777" w:rsidR="00CC212E" w:rsidRPr="00CC212E" w:rsidRDefault="00CC212E" w:rsidP="00CC212E">
            <w:pPr>
              <w:rPr>
                <w:rFonts w:cs="Arial"/>
              </w:rPr>
            </w:pPr>
          </w:p>
        </w:tc>
        <w:tc>
          <w:tcPr>
            <w:tcW w:w="1690" w:type="dxa"/>
          </w:tcPr>
          <w:p w14:paraId="235809EE" w14:textId="77777777" w:rsidR="00CC212E" w:rsidRPr="00CC212E" w:rsidRDefault="00CC212E" w:rsidP="00CC212E">
            <w:pPr>
              <w:rPr>
                <w:rFonts w:cs="Arial"/>
              </w:rPr>
            </w:pPr>
            <w:r w:rsidRPr="00CC212E">
              <w:rPr>
                <w:rFonts w:cs="Arial"/>
              </w:rPr>
              <w:t>Остра чернодробна недостатъчност, холестатичен или цитолитичен</w:t>
            </w:r>
          </w:p>
          <w:p w14:paraId="0381BA9E" w14:textId="77777777" w:rsidR="00CC212E" w:rsidRPr="00CC212E" w:rsidRDefault="00CC212E" w:rsidP="00CC212E">
            <w:pPr>
              <w:rPr>
                <w:rFonts w:cs="Arial"/>
              </w:rPr>
            </w:pPr>
            <w:r w:rsidRPr="00CC212E">
              <w:rPr>
                <w:rFonts w:cs="Arial"/>
              </w:rPr>
              <w:t>хепатит (с</w:t>
            </w:r>
          </w:p>
          <w:p w14:paraId="22E0F9FF" w14:textId="77777777" w:rsidR="00CC212E" w:rsidRPr="00CC212E" w:rsidRDefault="00CC212E" w:rsidP="00CC212E">
            <w:pPr>
              <w:rPr>
                <w:rFonts w:cs="Arial"/>
              </w:rPr>
            </w:pPr>
            <w:r w:rsidRPr="00CC212E">
              <w:rPr>
                <w:rFonts w:cs="Arial"/>
              </w:rPr>
              <w:t>фатален изход</w:t>
            </w:r>
          </w:p>
          <w:p w14:paraId="3FC66398" w14:textId="2BE360C3" w:rsidR="00CC212E" w:rsidRPr="00CC212E" w:rsidRDefault="00CC212E" w:rsidP="00CC212E">
            <w:pPr>
              <w:rPr>
                <w:rFonts w:cs="Arial"/>
              </w:rPr>
            </w:pPr>
            <w:r w:rsidRPr="00CC212E">
              <w:rPr>
                <w:rFonts w:cs="Arial"/>
              </w:rPr>
              <w:t>изключително рядко).</w:t>
            </w:r>
          </w:p>
        </w:tc>
      </w:tr>
      <w:tr w:rsidR="00CC212E" w14:paraId="6FC20B5F" w14:textId="77777777" w:rsidTr="00CC212E">
        <w:tc>
          <w:tcPr>
            <w:tcW w:w="1427" w:type="dxa"/>
          </w:tcPr>
          <w:p w14:paraId="27C708DD" w14:textId="6B0205F7" w:rsidR="00CC212E" w:rsidRPr="00CC212E" w:rsidRDefault="00CC212E" w:rsidP="00CC212E">
            <w:pPr>
              <w:rPr>
                <w:rFonts w:cs="Arial"/>
                <w:lang w:val="ru-RU"/>
              </w:rPr>
            </w:pPr>
            <w:r w:rsidRPr="00CC212E">
              <w:rPr>
                <w:rFonts w:cs="Arial"/>
                <w:i/>
                <w:iCs/>
              </w:rPr>
              <w:t>Нарушения на кожата и подкожната</w:t>
            </w:r>
            <w:r w:rsidRPr="00CC212E">
              <w:rPr>
                <w:rFonts w:cs="Arial"/>
                <w:i/>
                <w:iCs/>
                <w:lang w:val="ru-RU"/>
              </w:rPr>
              <w:t xml:space="preserve"> </w:t>
            </w:r>
            <w:r w:rsidRPr="00CC212E">
              <w:rPr>
                <w:rFonts w:cs="Arial"/>
                <w:i/>
                <w:iCs/>
              </w:rPr>
              <w:t>тъкан</w:t>
            </w:r>
          </w:p>
        </w:tc>
        <w:tc>
          <w:tcPr>
            <w:tcW w:w="1524" w:type="dxa"/>
          </w:tcPr>
          <w:p w14:paraId="19ABD76F" w14:textId="537A448D" w:rsidR="00CC212E" w:rsidRPr="00CC212E" w:rsidRDefault="00CC212E" w:rsidP="00CC212E">
            <w:pPr>
              <w:rPr>
                <w:rFonts w:cs="Arial"/>
              </w:rPr>
            </w:pPr>
            <w:r w:rsidRPr="00CC212E">
              <w:rPr>
                <w:rFonts w:cs="Arial"/>
              </w:rPr>
              <w:t>Обрив обикновено макуло-</w:t>
            </w:r>
            <w:r w:rsidRPr="00CC212E">
              <w:rPr>
                <w:rFonts w:cs="Arial"/>
              </w:rPr>
              <w:t>папулозен</w:t>
            </w:r>
          </w:p>
        </w:tc>
        <w:tc>
          <w:tcPr>
            <w:tcW w:w="1547" w:type="dxa"/>
          </w:tcPr>
          <w:p w14:paraId="70748C4C" w14:textId="0430ED0B" w:rsidR="00CC212E" w:rsidRPr="00CC212E" w:rsidRDefault="00CC212E" w:rsidP="00CC212E">
            <w:pPr>
              <w:rPr>
                <w:rFonts w:eastAsia="Times New Roman" w:cs="Arial"/>
              </w:rPr>
            </w:pPr>
            <w:r w:rsidRPr="00CC212E">
              <w:rPr>
                <w:rFonts w:cs="Arial"/>
              </w:rPr>
              <w:t>Ангиоедем изключително рядко</w:t>
            </w:r>
            <w:r w:rsidRPr="00CC212E">
              <w:rPr>
                <w:rFonts w:cs="Arial"/>
                <w:lang w:val="ru-RU"/>
              </w:rPr>
              <w:t xml:space="preserve"> </w:t>
            </w:r>
            <w:r w:rsidRPr="00CC212E">
              <w:rPr>
                <w:rFonts w:eastAsia="Times New Roman" w:cs="Arial"/>
                <w:color w:val="000000"/>
                <w:lang w:eastAsia="bg-BG"/>
              </w:rPr>
              <w:t xml:space="preserve">обструкция на въздухонос-ните пътища в резултат от ангиоедем, може да има фатален </w:t>
            </w:r>
            <w:r w:rsidRPr="00CC212E">
              <w:rPr>
                <w:rFonts w:eastAsia="Times New Roman" w:cs="Arial"/>
                <w:color w:val="000000"/>
                <w:lang w:eastAsia="bg-BG"/>
              </w:rPr>
              <w:lastRenderedPageBreak/>
              <w:t>изход; сърбеж, хиперхидроза</w:t>
            </w:r>
          </w:p>
        </w:tc>
        <w:tc>
          <w:tcPr>
            <w:tcW w:w="1701" w:type="dxa"/>
          </w:tcPr>
          <w:p w14:paraId="49F1C007" w14:textId="77777777" w:rsidR="00CC212E" w:rsidRPr="00CC212E" w:rsidRDefault="00CC212E" w:rsidP="00CC212E">
            <w:pPr>
              <w:rPr>
                <w:rFonts w:cs="Arial"/>
              </w:rPr>
            </w:pPr>
            <w:r w:rsidRPr="00CC212E">
              <w:rPr>
                <w:rFonts w:cs="Arial"/>
              </w:rPr>
              <w:lastRenderedPageBreak/>
              <w:t>Ексфолиативен дерматит, уртикария,</w:t>
            </w:r>
          </w:p>
          <w:p w14:paraId="42372AAF" w14:textId="20FD161A" w:rsidR="00CC212E" w:rsidRPr="00CC212E" w:rsidRDefault="00CC212E" w:rsidP="00CC212E">
            <w:pPr>
              <w:rPr>
                <w:rFonts w:cs="Arial"/>
              </w:rPr>
            </w:pPr>
            <w:r w:rsidRPr="00CC212E">
              <w:rPr>
                <w:rFonts w:cs="Arial"/>
              </w:rPr>
              <w:t>онихолиза</w:t>
            </w:r>
          </w:p>
        </w:tc>
        <w:tc>
          <w:tcPr>
            <w:tcW w:w="1687" w:type="dxa"/>
          </w:tcPr>
          <w:p w14:paraId="596D44C7" w14:textId="32D80DED" w:rsidR="00CC212E" w:rsidRPr="00CC212E" w:rsidRDefault="00CC212E" w:rsidP="00CC212E">
            <w:pPr>
              <w:rPr>
                <w:rFonts w:cs="Arial"/>
              </w:rPr>
            </w:pPr>
            <w:r w:rsidRPr="00CC212E">
              <w:rPr>
                <w:rFonts w:cs="Arial"/>
              </w:rPr>
              <w:t>Реакция на фото- чувстви</w:t>
            </w:r>
            <w:r w:rsidRPr="00CC212E">
              <w:rPr>
                <w:rFonts w:cs="Arial"/>
              </w:rPr>
              <w:t>телност</w:t>
            </w:r>
          </w:p>
        </w:tc>
        <w:tc>
          <w:tcPr>
            <w:tcW w:w="1690" w:type="dxa"/>
            <w:vAlign w:val="center"/>
          </w:tcPr>
          <w:p w14:paraId="4FF471E4" w14:textId="71DFF16C" w:rsidR="00CC212E" w:rsidRPr="00CC212E" w:rsidRDefault="00CC212E" w:rsidP="00CC212E">
            <w:pPr>
              <w:spacing w:line="240" w:lineRule="auto"/>
              <w:rPr>
                <w:rFonts w:eastAsia="Times New Roman" w:cs="Arial"/>
              </w:rPr>
            </w:pPr>
            <w:r w:rsidRPr="00CC212E">
              <w:rPr>
                <w:rFonts w:eastAsia="Times New Roman" w:cs="Arial"/>
                <w:color w:val="000000"/>
                <w:lang w:eastAsia="bg-BG"/>
              </w:rPr>
              <w:t xml:space="preserve">синдром на </w:t>
            </w:r>
            <w:r w:rsidRPr="00CC212E">
              <w:rPr>
                <w:rFonts w:eastAsia="Times New Roman" w:cs="Arial"/>
                <w:color w:val="000000"/>
                <w:lang w:val="en-US"/>
              </w:rPr>
              <w:t>Stevens</w:t>
            </w:r>
            <w:r w:rsidRPr="00CC212E">
              <w:rPr>
                <w:rFonts w:eastAsia="Times New Roman" w:cs="Arial"/>
                <w:color w:val="000000"/>
              </w:rPr>
              <w:t xml:space="preserve">- </w:t>
            </w:r>
            <w:r w:rsidRPr="00CC212E">
              <w:rPr>
                <w:rFonts w:eastAsia="Times New Roman" w:cs="Arial"/>
                <w:color w:val="000000"/>
                <w:lang w:val="en-US"/>
              </w:rPr>
              <w:t>Johnson</w:t>
            </w:r>
            <w:r w:rsidRPr="00CC212E">
              <w:rPr>
                <w:rFonts w:eastAsia="Times New Roman" w:cs="Arial"/>
                <w:color w:val="000000"/>
              </w:rPr>
              <w:t xml:space="preserve">, </w:t>
            </w:r>
            <w:r w:rsidRPr="00CC212E">
              <w:rPr>
                <w:rFonts w:eastAsia="Times New Roman" w:cs="Arial"/>
                <w:color w:val="000000"/>
                <w:lang w:eastAsia="bg-BG"/>
              </w:rPr>
              <w:t xml:space="preserve">еритема мултиформе, пемфигус, обострен псориазис, псориатичен дсрматит, пемфигоиден или лихеноиден </w:t>
            </w:r>
            <w:r w:rsidRPr="00CC212E">
              <w:rPr>
                <w:rFonts w:eastAsia="Times New Roman" w:cs="Arial"/>
                <w:color w:val="000000"/>
                <w:lang w:eastAsia="bg-BG"/>
              </w:rPr>
              <w:lastRenderedPageBreak/>
              <w:t>екзантем или енантем, алопеция</w:t>
            </w:r>
          </w:p>
        </w:tc>
      </w:tr>
      <w:tr w:rsidR="00CC212E" w14:paraId="04FB5BF5" w14:textId="77777777" w:rsidTr="00CC212E">
        <w:tc>
          <w:tcPr>
            <w:tcW w:w="1427" w:type="dxa"/>
          </w:tcPr>
          <w:p w14:paraId="023B29A9" w14:textId="32D5549E" w:rsidR="00CC212E" w:rsidRPr="00CC212E" w:rsidRDefault="00CC212E" w:rsidP="00CC212E">
            <w:pPr>
              <w:rPr>
                <w:rFonts w:cs="Arial"/>
              </w:rPr>
            </w:pPr>
            <w:r w:rsidRPr="00CC212E">
              <w:rPr>
                <w:rFonts w:cs="Arial"/>
                <w:i/>
                <w:iCs/>
              </w:rPr>
              <w:lastRenderedPageBreak/>
              <w:t>Мускулно- скелетната система и съединителната тъкан</w:t>
            </w:r>
          </w:p>
        </w:tc>
        <w:tc>
          <w:tcPr>
            <w:tcW w:w="1524" w:type="dxa"/>
          </w:tcPr>
          <w:p w14:paraId="32B9EC79" w14:textId="3D1C028C" w:rsidR="00CC212E" w:rsidRPr="00CC212E" w:rsidRDefault="00CC212E" w:rsidP="00CC212E">
            <w:pPr>
              <w:rPr>
                <w:rFonts w:cs="Arial"/>
              </w:rPr>
            </w:pPr>
            <w:r w:rsidRPr="00CC212E">
              <w:rPr>
                <w:rFonts w:cs="Arial"/>
              </w:rPr>
              <w:t>Мускулни спазми, миалгия</w:t>
            </w:r>
          </w:p>
        </w:tc>
        <w:tc>
          <w:tcPr>
            <w:tcW w:w="1547" w:type="dxa"/>
          </w:tcPr>
          <w:p w14:paraId="21B19AA7" w14:textId="769A83D5" w:rsidR="00CC212E" w:rsidRPr="00CC212E" w:rsidRDefault="00CC212E" w:rsidP="00CC212E">
            <w:pPr>
              <w:rPr>
                <w:rFonts w:cs="Arial"/>
              </w:rPr>
            </w:pPr>
            <w:r w:rsidRPr="00CC212E">
              <w:rPr>
                <w:rFonts w:cs="Arial"/>
              </w:rPr>
              <w:t>Артралгия</w:t>
            </w:r>
          </w:p>
        </w:tc>
        <w:tc>
          <w:tcPr>
            <w:tcW w:w="1701" w:type="dxa"/>
          </w:tcPr>
          <w:p w14:paraId="3586C818" w14:textId="77777777" w:rsidR="00CC212E" w:rsidRPr="00CC212E" w:rsidRDefault="00CC212E" w:rsidP="00CC212E">
            <w:pPr>
              <w:rPr>
                <w:rFonts w:cs="Arial"/>
              </w:rPr>
            </w:pPr>
          </w:p>
        </w:tc>
        <w:tc>
          <w:tcPr>
            <w:tcW w:w="1687" w:type="dxa"/>
          </w:tcPr>
          <w:p w14:paraId="0EB708E1" w14:textId="77777777" w:rsidR="00CC212E" w:rsidRPr="00CC212E" w:rsidRDefault="00CC212E" w:rsidP="00CC212E">
            <w:pPr>
              <w:rPr>
                <w:rFonts w:cs="Arial"/>
              </w:rPr>
            </w:pPr>
          </w:p>
        </w:tc>
        <w:tc>
          <w:tcPr>
            <w:tcW w:w="1690" w:type="dxa"/>
          </w:tcPr>
          <w:p w14:paraId="1EDC5025" w14:textId="77777777" w:rsidR="00CC212E" w:rsidRPr="00CC212E" w:rsidRDefault="00CC212E" w:rsidP="00CC212E">
            <w:pPr>
              <w:rPr>
                <w:rFonts w:cs="Arial"/>
              </w:rPr>
            </w:pPr>
          </w:p>
        </w:tc>
      </w:tr>
      <w:tr w:rsidR="00CC212E" w14:paraId="6D0FB44D" w14:textId="77777777" w:rsidTr="00CC212E">
        <w:tc>
          <w:tcPr>
            <w:tcW w:w="1427" w:type="dxa"/>
          </w:tcPr>
          <w:p w14:paraId="3A03888A" w14:textId="20C06D74" w:rsidR="00CC212E" w:rsidRPr="00CC212E" w:rsidRDefault="00CC212E" w:rsidP="00CC212E">
            <w:pPr>
              <w:rPr>
                <w:rFonts w:cs="Arial"/>
              </w:rPr>
            </w:pPr>
            <w:r w:rsidRPr="00CC212E">
              <w:rPr>
                <w:rFonts w:cs="Arial"/>
                <w:i/>
                <w:iCs/>
              </w:rPr>
              <w:t>Нарушения на бъбреците и пикочните пътища</w:t>
            </w:r>
          </w:p>
        </w:tc>
        <w:tc>
          <w:tcPr>
            <w:tcW w:w="1524" w:type="dxa"/>
          </w:tcPr>
          <w:p w14:paraId="3499FB5D" w14:textId="77777777" w:rsidR="00CC212E" w:rsidRPr="00CC212E" w:rsidRDefault="00CC212E" w:rsidP="00CC212E">
            <w:pPr>
              <w:rPr>
                <w:rFonts w:cs="Arial"/>
              </w:rPr>
            </w:pPr>
          </w:p>
        </w:tc>
        <w:tc>
          <w:tcPr>
            <w:tcW w:w="1547" w:type="dxa"/>
          </w:tcPr>
          <w:p w14:paraId="124CE179" w14:textId="1133C459" w:rsidR="00CC212E" w:rsidRPr="00CC212E" w:rsidRDefault="00CC212E" w:rsidP="00CC212E">
            <w:pPr>
              <w:rPr>
                <w:rFonts w:cs="Arial"/>
              </w:rPr>
            </w:pPr>
            <w:r w:rsidRPr="00CC212E">
              <w:rPr>
                <w:rFonts w:cs="Arial"/>
              </w:rPr>
              <w:t>Бъбречно увреждане включително остра бъбречна недостатъчност, полиурия, влошаване на съществуваща протеинурия, повишена урея в кръвта, повишен креатинин в кръвта</w:t>
            </w:r>
          </w:p>
        </w:tc>
        <w:tc>
          <w:tcPr>
            <w:tcW w:w="1701" w:type="dxa"/>
          </w:tcPr>
          <w:p w14:paraId="2A72ABC3" w14:textId="77777777" w:rsidR="00CC212E" w:rsidRPr="00CC212E" w:rsidRDefault="00CC212E" w:rsidP="00CC212E">
            <w:pPr>
              <w:rPr>
                <w:rFonts w:cs="Arial"/>
              </w:rPr>
            </w:pPr>
          </w:p>
        </w:tc>
        <w:tc>
          <w:tcPr>
            <w:tcW w:w="1687" w:type="dxa"/>
          </w:tcPr>
          <w:p w14:paraId="0C34124A" w14:textId="77777777" w:rsidR="00CC212E" w:rsidRPr="00CC212E" w:rsidRDefault="00CC212E" w:rsidP="00CC212E">
            <w:pPr>
              <w:rPr>
                <w:rFonts w:cs="Arial"/>
              </w:rPr>
            </w:pPr>
          </w:p>
        </w:tc>
        <w:tc>
          <w:tcPr>
            <w:tcW w:w="1690" w:type="dxa"/>
          </w:tcPr>
          <w:p w14:paraId="44AE4812" w14:textId="77777777" w:rsidR="00CC212E" w:rsidRPr="00CC212E" w:rsidRDefault="00CC212E" w:rsidP="00CC212E">
            <w:pPr>
              <w:rPr>
                <w:rFonts w:cs="Arial"/>
              </w:rPr>
            </w:pPr>
          </w:p>
        </w:tc>
      </w:tr>
      <w:tr w:rsidR="00CC212E" w14:paraId="4A00E83D" w14:textId="77777777" w:rsidTr="00CC212E">
        <w:tc>
          <w:tcPr>
            <w:tcW w:w="1427" w:type="dxa"/>
          </w:tcPr>
          <w:p w14:paraId="0E84DF0B" w14:textId="0A004F92" w:rsidR="00CC212E" w:rsidRPr="00CC212E" w:rsidRDefault="00CC212E" w:rsidP="00CC212E">
            <w:pPr>
              <w:rPr>
                <w:rFonts w:cs="Arial"/>
              </w:rPr>
            </w:pPr>
            <w:r w:rsidRPr="00CC212E">
              <w:rPr>
                <w:rFonts w:cs="Arial"/>
                <w:i/>
                <w:iCs/>
              </w:rPr>
              <w:t>Нарушения на репродуктив</w:t>
            </w:r>
            <w:r w:rsidRPr="00CC212E">
              <w:rPr>
                <w:rFonts w:cs="Arial"/>
                <w:i/>
                <w:iCs/>
              </w:rPr>
              <w:softHyphen/>
              <w:t>ната система и гърдата</w:t>
            </w:r>
          </w:p>
        </w:tc>
        <w:tc>
          <w:tcPr>
            <w:tcW w:w="1524" w:type="dxa"/>
          </w:tcPr>
          <w:p w14:paraId="1A6D6039" w14:textId="77777777" w:rsidR="00CC212E" w:rsidRPr="00CC212E" w:rsidRDefault="00CC212E" w:rsidP="00CC212E">
            <w:pPr>
              <w:rPr>
                <w:rFonts w:cs="Arial"/>
              </w:rPr>
            </w:pPr>
          </w:p>
        </w:tc>
        <w:tc>
          <w:tcPr>
            <w:tcW w:w="1547" w:type="dxa"/>
          </w:tcPr>
          <w:p w14:paraId="71111929" w14:textId="48F94138" w:rsidR="00CC212E" w:rsidRPr="00CC212E" w:rsidRDefault="00CC212E" w:rsidP="00CC212E">
            <w:pPr>
              <w:rPr>
                <w:rFonts w:cs="Arial"/>
              </w:rPr>
            </w:pPr>
            <w:r w:rsidRPr="00CC212E">
              <w:rPr>
                <w:rFonts w:cs="Arial"/>
              </w:rPr>
              <w:t>Преходна еректилна импотенция, понижено либидо</w:t>
            </w:r>
          </w:p>
        </w:tc>
        <w:tc>
          <w:tcPr>
            <w:tcW w:w="1701" w:type="dxa"/>
          </w:tcPr>
          <w:p w14:paraId="37FF2B69" w14:textId="77777777" w:rsidR="00CC212E" w:rsidRPr="00CC212E" w:rsidRDefault="00CC212E" w:rsidP="00CC212E">
            <w:pPr>
              <w:rPr>
                <w:rFonts w:cs="Arial"/>
              </w:rPr>
            </w:pPr>
          </w:p>
        </w:tc>
        <w:tc>
          <w:tcPr>
            <w:tcW w:w="1687" w:type="dxa"/>
          </w:tcPr>
          <w:p w14:paraId="53313C2D" w14:textId="77777777" w:rsidR="00CC212E" w:rsidRPr="00CC212E" w:rsidRDefault="00CC212E" w:rsidP="00CC212E">
            <w:pPr>
              <w:rPr>
                <w:rFonts w:cs="Arial"/>
              </w:rPr>
            </w:pPr>
          </w:p>
        </w:tc>
        <w:tc>
          <w:tcPr>
            <w:tcW w:w="1690" w:type="dxa"/>
          </w:tcPr>
          <w:p w14:paraId="22DE6CCE" w14:textId="1D47EF7E" w:rsidR="00CC212E" w:rsidRPr="00CC212E" w:rsidRDefault="00CC212E" w:rsidP="00CC212E">
            <w:pPr>
              <w:rPr>
                <w:rFonts w:cs="Arial"/>
              </w:rPr>
            </w:pPr>
            <w:r w:rsidRPr="00CC212E">
              <w:rPr>
                <w:rFonts w:cs="Arial"/>
              </w:rPr>
              <w:t>Гинекомастия</w:t>
            </w:r>
          </w:p>
        </w:tc>
      </w:tr>
      <w:tr w:rsidR="00CC212E" w14:paraId="16DB815D" w14:textId="77777777" w:rsidTr="00CC212E">
        <w:tc>
          <w:tcPr>
            <w:tcW w:w="1427" w:type="dxa"/>
          </w:tcPr>
          <w:p w14:paraId="1FDA37FD" w14:textId="6BBB68B2" w:rsidR="00CC212E" w:rsidRPr="00CC212E" w:rsidRDefault="00CC212E" w:rsidP="00CC212E">
            <w:pPr>
              <w:rPr>
                <w:rFonts w:cs="Arial"/>
              </w:rPr>
            </w:pPr>
            <w:r w:rsidRPr="00CC212E">
              <w:rPr>
                <w:rFonts w:cs="Arial"/>
                <w:i/>
                <w:iCs/>
              </w:rPr>
              <w:t>Общи нарушения и ефекти на мястото на приложение</w:t>
            </w:r>
          </w:p>
        </w:tc>
        <w:tc>
          <w:tcPr>
            <w:tcW w:w="1524" w:type="dxa"/>
          </w:tcPr>
          <w:p w14:paraId="11A2B7DC" w14:textId="0FAC7026" w:rsidR="00CC212E" w:rsidRPr="00CC212E" w:rsidRDefault="00CC212E" w:rsidP="00CC212E">
            <w:pPr>
              <w:rPr>
                <w:rFonts w:cs="Arial"/>
              </w:rPr>
            </w:pPr>
            <w:r w:rsidRPr="00CC212E">
              <w:rPr>
                <w:rFonts w:cs="Arial"/>
              </w:rPr>
              <w:t>Болка в гърдите, умора</w:t>
            </w:r>
          </w:p>
        </w:tc>
        <w:tc>
          <w:tcPr>
            <w:tcW w:w="1547" w:type="dxa"/>
          </w:tcPr>
          <w:p w14:paraId="2A742952" w14:textId="65572277" w:rsidR="00CC212E" w:rsidRPr="00CC212E" w:rsidRDefault="00CC212E" w:rsidP="00CC212E">
            <w:pPr>
              <w:rPr>
                <w:rFonts w:cs="Arial"/>
              </w:rPr>
            </w:pPr>
            <w:r w:rsidRPr="00CC212E">
              <w:rPr>
                <w:rFonts w:cs="Arial"/>
              </w:rPr>
              <w:t>Пирексия</w:t>
            </w:r>
          </w:p>
        </w:tc>
        <w:tc>
          <w:tcPr>
            <w:tcW w:w="1701" w:type="dxa"/>
          </w:tcPr>
          <w:p w14:paraId="456203AF" w14:textId="5AD22611" w:rsidR="00CC212E" w:rsidRPr="00CC212E" w:rsidRDefault="00CC212E" w:rsidP="00CC212E">
            <w:pPr>
              <w:rPr>
                <w:rFonts w:cs="Arial"/>
              </w:rPr>
            </w:pPr>
            <w:r w:rsidRPr="00CC212E">
              <w:rPr>
                <w:rFonts w:cs="Arial"/>
              </w:rPr>
              <w:t>Астения</w:t>
            </w:r>
          </w:p>
        </w:tc>
        <w:tc>
          <w:tcPr>
            <w:tcW w:w="1687" w:type="dxa"/>
          </w:tcPr>
          <w:p w14:paraId="5C3422B2" w14:textId="77777777" w:rsidR="00CC212E" w:rsidRPr="00CC212E" w:rsidRDefault="00CC212E" w:rsidP="00CC212E">
            <w:pPr>
              <w:rPr>
                <w:rFonts w:cs="Arial"/>
              </w:rPr>
            </w:pPr>
          </w:p>
        </w:tc>
        <w:tc>
          <w:tcPr>
            <w:tcW w:w="1690" w:type="dxa"/>
          </w:tcPr>
          <w:p w14:paraId="5723E380" w14:textId="77777777" w:rsidR="00CC212E" w:rsidRPr="00CC212E" w:rsidRDefault="00CC212E" w:rsidP="00CC212E">
            <w:pPr>
              <w:rPr>
                <w:rFonts w:cs="Arial"/>
              </w:rPr>
            </w:pPr>
          </w:p>
        </w:tc>
      </w:tr>
    </w:tbl>
    <w:p w14:paraId="583D2B67" w14:textId="5F4AB776" w:rsidR="00416587" w:rsidRDefault="00416587" w:rsidP="00416587"/>
    <w:p w14:paraId="61B44125" w14:textId="77777777" w:rsidR="00CC212E" w:rsidRPr="00CC212E" w:rsidRDefault="00CC212E" w:rsidP="00CC212E">
      <w:pPr>
        <w:spacing w:line="240" w:lineRule="auto"/>
        <w:rPr>
          <w:rFonts w:eastAsia="Times New Roman" w:cs="Arial"/>
        </w:rPr>
      </w:pPr>
      <w:r w:rsidRPr="00CC212E">
        <w:rPr>
          <w:rFonts w:eastAsia="Times New Roman" w:cs="Arial"/>
          <w:i/>
          <w:iCs/>
          <w:color w:val="000000"/>
          <w:lang w:eastAsia="bg-BG"/>
        </w:rPr>
        <w:t>Педиатрична популация</w:t>
      </w:r>
    </w:p>
    <w:p w14:paraId="5B3420A0" w14:textId="77777777" w:rsidR="00CC212E" w:rsidRPr="00CC212E" w:rsidRDefault="00CC212E" w:rsidP="00CC212E">
      <w:pPr>
        <w:spacing w:line="240" w:lineRule="auto"/>
        <w:rPr>
          <w:rFonts w:eastAsia="Times New Roman" w:cs="Arial"/>
        </w:rPr>
      </w:pPr>
      <w:r w:rsidRPr="00CC212E">
        <w:rPr>
          <w:rFonts w:eastAsia="Times New Roman" w:cs="Arial"/>
          <w:color w:val="000000"/>
          <w:lang w:eastAsia="bg-BG"/>
        </w:rPr>
        <w:t>Безопасността на рамиприл е мониторирана при 325 деца и възрастни, на възраст между 2 и 16 години при двуседмични опити, Докато природата и тежестта на нежеланите лекарствени реакции са близки до тези при възрастни, честотата на проявление на следните реакции е по- висока при деца:</w:t>
      </w:r>
    </w:p>
    <w:p w14:paraId="79D48173" w14:textId="4A7905A4" w:rsidR="00CC212E" w:rsidRPr="00CC212E" w:rsidRDefault="00CC212E" w:rsidP="00CC212E">
      <w:pPr>
        <w:pStyle w:val="ListParagraph"/>
        <w:numPr>
          <w:ilvl w:val="0"/>
          <w:numId w:val="36"/>
        </w:numPr>
        <w:spacing w:line="240" w:lineRule="auto"/>
        <w:rPr>
          <w:rFonts w:eastAsia="Times New Roman" w:cs="Arial"/>
        </w:rPr>
      </w:pPr>
      <w:r w:rsidRPr="00CC212E">
        <w:rPr>
          <w:rFonts w:eastAsia="Times New Roman" w:cs="Arial"/>
          <w:color w:val="000000"/>
          <w:lang w:eastAsia="bg-BG"/>
        </w:rPr>
        <w:t>Тахикардия, назална конгестия и ринит, ‘чести’ (т.е. ≥ 1/100 &lt; 1/10) при педиатрични, и ‘нечести’ (т.е, ≥ 1/1,000 до &lt; 1/100) при възрастни пациенти.</w:t>
      </w:r>
    </w:p>
    <w:p w14:paraId="6877051F" w14:textId="15BE7756" w:rsidR="00CC212E" w:rsidRPr="00CC212E" w:rsidRDefault="00CC212E" w:rsidP="00CC212E">
      <w:pPr>
        <w:pStyle w:val="ListParagraph"/>
        <w:numPr>
          <w:ilvl w:val="0"/>
          <w:numId w:val="36"/>
        </w:numPr>
        <w:spacing w:line="240" w:lineRule="auto"/>
        <w:rPr>
          <w:rFonts w:eastAsia="Times New Roman" w:cs="Arial"/>
        </w:rPr>
      </w:pPr>
      <w:r w:rsidRPr="00CC212E">
        <w:rPr>
          <w:rFonts w:eastAsia="Times New Roman" w:cs="Arial"/>
          <w:color w:val="000000"/>
          <w:lang w:eastAsia="bg-BG"/>
        </w:rPr>
        <w:lastRenderedPageBreak/>
        <w:t xml:space="preserve">Конюктивит ‘чести’ (т.е. ≥ 1/100 до &lt; 1/10) при педиатрична, докато ‘редки’ (т.е. ≥ 1/10,000 </w:t>
      </w:r>
      <w:r w:rsidRPr="00CC212E">
        <w:rPr>
          <w:rFonts w:eastAsia="Times New Roman" w:cs="Arial"/>
          <w:color w:val="000000"/>
          <w:lang w:val="en-US"/>
        </w:rPr>
        <w:t>to</w:t>
      </w:r>
      <w:r w:rsidRPr="00CC212E">
        <w:rPr>
          <w:rFonts w:eastAsia="Times New Roman" w:cs="Arial"/>
          <w:color w:val="000000"/>
          <w:lang w:val="ru-RU"/>
        </w:rPr>
        <w:t xml:space="preserve"> </w:t>
      </w:r>
      <w:r w:rsidRPr="00CC212E">
        <w:rPr>
          <w:rFonts w:eastAsia="Times New Roman" w:cs="Arial"/>
          <w:color w:val="000000"/>
          <w:lang w:eastAsia="bg-BG"/>
        </w:rPr>
        <w:t>&lt; 1/1,000) при възрастни пациенти.</w:t>
      </w:r>
    </w:p>
    <w:p w14:paraId="390C6947" w14:textId="60D38D56" w:rsidR="00CC212E" w:rsidRPr="00CC212E" w:rsidRDefault="00CC212E" w:rsidP="00CC212E">
      <w:pPr>
        <w:pStyle w:val="ListParagraph"/>
        <w:numPr>
          <w:ilvl w:val="0"/>
          <w:numId w:val="36"/>
        </w:numPr>
        <w:spacing w:line="240" w:lineRule="auto"/>
        <w:rPr>
          <w:rFonts w:eastAsia="Times New Roman" w:cs="Arial"/>
        </w:rPr>
      </w:pPr>
      <w:r w:rsidRPr="00CC212E">
        <w:rPr>
          <w:rFonts w:eastAsia="Times New Roman" w:cs="Arial"/>
          <w:color w:val="000000"/>
          <w:lang w:eastAsia="bg-BG"/>
        </w:rPr>
        <w:t>Тремор и уртикария ‘нечести’ (т.е. ≥ 1/1,000 до &lt; 1/100) при педиатрична популация, докато ‘редки’ (т.е. ≥ 1/10,000 до &lt; 1/1,000) при възрастни пациенти.</w:t>
      </w:r>
    </w:p>
    <w:p w14:paraId="3BFBB1E8" w14:textId="77777777" w:rsidR="00CC212E" w:rsidRPr="00CC212E" w:rsidRDefault="00CC212E" w:rsidP="00CC212E">
      <w:pPr>
        <w:spacing w:line="240" w:lineRule="auto"/>
        <w:rPr>
          <w:rFonts w:eastAsia="Times New Roman" w:cs="Arial"/>
          <w:color w:val="000000"/>
          <w:lang w:eastAsia="bg-BG"/>
        </w:rPr>
      </w:pPr>
    </w:p>
    <w:p w14:paraId="2C2F9BAA" w14:textId="0A13FDC9" w:rsidR="00CC212E" w:rsidRPr="00CC212E" w:rsidRDefault="00CC212E" w:rsidP="00CC212E">
      <w:pPr>
        <w:spacing w:line="240" w:lineRule="auto"/>
        <w:rPr>
          <w:rFonts w:eastAsia="Times New Roman" w:cs="Arial"/>
        </w:rPr>
      </w:pPr>
      <w:r w:rsidRPr="00CC212E">
        <w:rPr>
          <w:rFonts w:eastAsia="Times New Roman" w:cs="Arial"/>
          <w:color w:val="000000"/>
          <w:lang w:eastAsia="bg-BG"/>
        </w:rPr>
        <w:t>Цялостният профил на безопасност на рамиприл при педиатрични пациенти не се различава значително и профила на безопасност при възрастни.</w:t>
      </w:r>
    </w:p>
    <w:p w14:paraId="03739496" w14:textId="77777777" w:rsidR="00CC212E" w:rsidRPr="00CC212E" w:rsidRDefault="00CC212E" w:rsidP="00CC212E">
      <w:pPr>
        <w:spacing w:line="240" w:lineRule="auto"/>
        <w:rPr>
          <w:rFonts w:eastAsia="Times New Roman" w:cs="Arial"/>
          <w:color w:val="000000"/>
          <w:u w:val="single"/>
          <w:lang w:eastAsia="bg-BG"/>
        </w:rPr>
      </w:pPr>
    </w:p>
    <w:p w14:paraId="39739E8D" w14:textId="04180321" w:rsidR="00CC212E" w:rsidRPr="00CC212E" w:rsidRDefault="00CC212E" w:rsidP="00CC212E">
      <w:pPr>
        <w:spacing w:line="240" w:lineRule="auto"/>
        <w:rPr>
          <w:rFonts w:eastAsia="Times New Roman" w:cs="Arial"/>
          <w:color w:val="000000"/>
          <w:u w:val="single"/>
          <w:lang w:eastAsia="bg-BG"/>
        </w:rPr>
      </w:pPr>
      <w:r w:rsidRPr="00CC212E">
        <w:rPr>
          <w:rFonts w:eastAsia="Times New Roman" w:cs="Arial"/>
          <w:color w:val="000000"/>
          <w:u w:val="single"/>
          <w:lang w:eastAsia="bg-BG"/>
        </w:rPr>
        <w:t>Съобщаване на подозирани нежелани реакции</w:t>
      </w:r>
    </w:p>
    <w:p w14:paraId="283CCB27" w14:textId="3F4A598E" w:rsidR="00CC212E" w:rsidRPr="00CC212E" w:rsidRDefault="00CC212E" w:rsidP="00CC212E">
      <w:pPr>
        <w:spacing w:line="240" w:lineRule="auto"/>
        <w:rPr>
          <w:rFonts w:eastAsia="Times New Roman" w:cs="Arial"/>
          <w:color w:val="000000"/>
          <w:u w:val="single"/>
          <w:lang w:eastAsia="bg-BG"/>
        </w:rPr>
      </w:pPr>
    </w:p>
    <w:p w14:paraId="260F958A" w14:textId="77777777" w:rsidR="00CC212E" w:rsidRPr="00CC212E" w:rsidRDefault="00CC212E" w:rsidP="00CC212E">
      <w:pPr>
        <w:spacing w:line="240" w:lineRule="auto"/>
        <w:rPr>
          <w:rFonts w:eastAsia="Times New Roman" w:cs="Arial"/>
          <w:color w:val="000000"/>
          <w:lang w:eastAsia="bg-BG"/>
        </w:rPr>
      </w:pPr>
      <w:r w:rsidRPr="00CC212E">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
    <w:p w14:paraId="71776535" w14:textId="2373A1B6" w:rsidR="00CC212E" w:rsidRPr="00CC212E" w:rsidRDefault="00CC212E" w:rsidP="00CC212E">
      <w:pPr>
        <w:spacing w:line="240" w:lineRule="auto"/>
        <w:rPr>
          <w:rFonts w:eastAsia="Times New Roman" w:cs="Arial"/>
        </w:rPr>
      </w:pPr>
      <w:r w:rsidRPr="00CC212E">
        <w:rPr>
          <w:rFonts w:eastAsia="Times New Roman" w:cs="Arial"/>
          <w:color w:val="000000"/>
          <w:lang w:eastAsia="bg-BG"/>
        </w:rPr>
        <w:t>ул. „Дамян Груев” № 8</w:t>
      </w:r>
    </w:p>
    <w:p w14:paraId="0C72A322" w14:textId="77777777" w:rsidR="00CC212E" w:rsidRPr="00CC212E" w:rsidRDefault="00CC212E" w:rsidP="00CC212E">
      <w:pPr>
        <w:spacing w:line="240" w:lineRule="auto"/>
        <w:rPr>
          <w:rFonts w:eastAsia="Times New Roman" w:cs="Arial"/>
        </w:rPr>
      </w:pPr>
      <w:r w:rsidRPr="00CC212E">
        <w:rPr>
          <w:rFonts w:eastAsia="Times New Roman" w:cs="Arial"/>
          <w:color w:val="000000"/>
          <w:lang w:eastAsia="bg-BG"/>
        </w:rPr>
        <w:t>1303 София</w:t>
      </w:r>
    </w:p>
    <w:p w14:paraId="24E91304" w14:textId="77777777" w:rsidR="00CC212E" w:rsidRPr="00CC212E" w:rsidRDefault="00CC212E" w:rsidP="00CC212E">
      <w:pPr>
        <w:spacing w:line="240" w:lineRule="auto"/>
        <w:rPr>
          <w:rFonts w:eastAsia="Times New Roman" w:cs="Arial"/>
        </w:rPr>
      </w:pPr>
      <w:r w:rsidRPr="00CC212E">
        <w:rPr>
          <w:rFonts w:eastAsia="Times New Roman" w:cs="Arial"/>
          <w:color w:val="000000"/>
          <w:lang w:eastAsia="bg-BG"/>
        </w:rPr>
        <w:t>Тел.:+35 928903417</w:t>
      </w:r>
    </w:p>
    <w:p w14:paraId="1C8B34C1" w14:textId="77777777" w:rsidR="00CC212E" w:rsidRPr="00CC212E" w:rsidRDefault="00CC212E" w:rsidP="00CC212E">
      <w:pPr>
        <w:spacing w:line="240" w:lineRule="auto"/>
        <w:rPr>
          <w:rFonts w:ascii="Times New Roman" w:eastAsia="Times New Roman" w:hAnsi="Times New Roman" w:cs="Times New Roman"/>
          <w:sz w:val="24"/>
          <w:szCs w:val="24"/>
        </w:rPr>
      </w:pPr>
      <w:r w:rsidRPr="00CC212E">
        <w:rPr>
          <w:rFonts w:eastAsia="Times New Roman" w:cs="Arial"/>
          <w:color w:val="000000"/>
          <w:lang w:eastAsia="bg-BG"/>
        </w:rPr>
        <w:t xml:space="preserve">уебсайт: </w:t>
      </w:r>
      <w:r w:rsidRPr="00CC212E">
        <w:rPr>
          <w:rFonts w:eastAsia="Times New Roman" w:cs="Arial"/>
        </w:rPr>
        <w:fldChar w:fldCharType="begin"/>
      </w:r>
      <w:r w:rsidRPr="00CC212E">
        <w:rPr>
          <w:rFonts w:eastAsia="Times New Roman" w:cs="Arial"/>
        </w:rPr>
        <w:instrText xml:space="preserve"> HYPERLINK "http://www.bda.bg" </w:instrText>
      </w:r>
      <w:r w:rsidRPr="00CC212E">
        <w:rPr>
          <w:rFonts w:eastAsia="Times New Roman" w:cs="Arial"/>
        </w:rPr>
      </w:r>
      <w:r w:rsidRPr="00CC212E">
        <w:rPr>
          <w:rFonts w:eastAsia="Times New Roman" w:cs="Arial"/>
        </w:rPr>
        <w:fldChar w:fldCharType="separate"/>
      </w:r>
      <w:r w:rsidRPr="00CC212E">
        <w:rPr>
          <w:rFonts w:eastAsia="Times New Roman" w:cs="Arial"/>
          <w:color w:val="000000"/>
          <w:lang w:val="en-US"/>
        </w:rPr>
        <w:t>www</w:t>
      </w:r>
      <w:r w:rsidRPr="00CC212E">
        <w:rPr>
          <w:rFonts w:eastAsia="Times New Roman" w:cs="Arial"/>
          <w:color w:val="000000"/>
          <w:lang w:val="ru-RU"/>
        </w:rPr>
        <w:t>.</w:t>
      </w:r>
      <w:proofErr w:type="spellStart"/>
      <w:r w:rsidRPr="00CC212E">
        <w:rPr>
          <w:rFonts w:eastAsia="Times New Roman" w:cs="Arial"/>
          <w:color w:val="000000"/>
          <w:lang w:val="en-US"/>
        </w:rPr>
        <w:t>bda</w:t>
      </w:r>
      <w:proofErr w:type="spellEnd"/>
      <w:r w:rsidRPr="00CC212E">
        <w:rPr>
          <w:rFonts w:eastAsia="Times New Roman" w:cs="Arial"/>
          <w:color w:val="000000"/>
          <w:lang w:val="ru-RU"/>
        </w:rPr>
        <w:t>.</w:t>
      </w:r>
      <w:proofErr w:type="spellStart"/>
      <w:r w:rsidRPr="00CC212E">
        <w:rPr>
          <w:rFonts w:eastAsia="Times New Roman" w:cs="Arial"/>
          <w:color w:val="000000"/>
          <w:lang w:val="en-US"/>
        </w:rPr>
        <w:t>bg</w:t>
      </w:r>
      <w:proofErr w:type="spellEnd"/>
      <w:r w:rsidRPr="00CC212E">
        <w:rPr>
          <w:rFonts w:eastAsia="Times New Roman" w:cs="Arial"/>
        </w:rPr>
        <w:fldChar w:fldCharType="end"/>
      </w:r>
    </w:p>
    <w:p w14:paraId="506D1247" w14:textId="64E30A2F" w:rsidR="00CC212E" w:rsidRPr="00416587" w:rsidRDefault="00CC212E" w:rsidP="00416587"/>
    <w:p w14:paraId="0A023CE0" w14:textId="750A9ED0" w:rsidR="00CF77F7" w:rsidRDefault="002C50EE" w:rsidP="004A448E">
      <w:pPr>
        <w:pStyle w:val="Heading2"/>
      </w:pPr>
      <w:r>
        <w:t>4.9. Предозиране</w:t>
      </w:r>
    </w:p>
    <w:p w14:paraId="337B876D" w14:textId="25072FCD" w:rsidR="00CC212E" w:rsidRDefault="00CC212E" w:rsidP="00CC212E"/>
    <w:p w14:paraId="4186EE2F" w14:textId="77777777" w:rsidR="00CC212E" w:rsidRPr="00CC212E" w:rsidRDefault="00CC212E" w:rsidP="00CC212E">
      <w:pPr>
        <w:pStyle w:val="Heading3"/>
        <w:rPr>
          <w:rFonts w:eastAsia="Times New Roman"/>
          <w:u w:val="single"/>
        </w:rPr>
      </w:pPr>
      <w:r w:rsidRPr="00CC212E">
        <w:rPr>
          <w:rFonts w:eastAsia="Times New Roman"/>
          <w:u w:val="single"/>
          <w:lang w:eastAsia="bg-BG"/>
        </w:rPr>
        <w:t>Симптоми</w:t>
      </w:r>
    </w:p>
    <w:p w14:paraId="706C560A"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Симптомите, свързани е предозиране на АСЕ -инхибитори могат да включват прекомерна периферна вазодилатация (със подчертана хипотония, шок), брадикардия, електролитни нарушения и бъбречна недостатъчност.</w:t>
      </w:r>
    </w:p>
    <w:p w14:paraId="030E68A6" w14:textId="77777777" w:rsidR="00CC212E" w:rsidRPr="00CC212E" w:rsidRDefault="00CC212E" w:rsidP="00CC212E">
      <w:pPr>
        <w:spacing w:line="240" w:lineRule="auto"/>
        <w:rPr>
          <w:rFonts w:eastAsia="Times New Roman" w:cs="Arial"/>
          <w:color w:val="000000"/>
          <w:u w:val="single"/>
          <w:lang w:eastAsia="bg-BG"/>
        </w:rPr>
      </w:pPr>
    </w:p>
    <w:p w14:paraId="072DBD17" w14:textId="3FD254DD" w:rsidR="00CC212E" w:rsidRPr="00CC212E" w:rsidRDefault="00CC212E" w:rsidP="00CC212E">
      <w:pPr>
        <w:pStyle w:val="Heading3"/>
        <w:rPr>
          <w:rFonts w:eastAsia="Times New Roman"/>
          <w:u w:val="single"/>
        </w:rPr>
      </w:pPr>
      <w:r w:rsidRPr="00CC212E">
        <w:rPr>
          <w:rFonts w:eastAsia="Times New Roman"/>
          <w:u w:val="single"/>
          <w:lang w:eastAsia="bg-BG"/>
        </w:rPr>
        <w:t>Лечение</w:t>
      </w:r>
    </w:p>
    <w:p w14:paraId="00BBCDC9"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Пациентът трябва да бъде стриктно наблюдаван, лечението трябва да бъде симтоматично и поддържащо. Предлаганите мерки, включват първоначална детоксикация (стомашна промивка, прилагане на адсорбенти) и мерки за възстановяване на хемодинамичната стабилност, включително прилагане на алфа 1-адренергични агонисти или ангиотензин II (ангиотензинамид). Рамиприлат, активният метаболит на рамиприл, се отстранява незадоволително чрез хемодиализа от общото кръвообръщение.</w:t>
      </w:r>
    </w:p>
    <w:p w14:paraId="1FC17EBA" w14:textId="77777777" w:rsidR="00CC212E" w:rsidRPr="00CC212E" w:rsidRDefault="00CC212E" w:rsidP="00CC212E"/>
    <w:p w14:paraId="02081B24" w14:textId="1F46E296" w:rsidR="00395555" w:rsidRPr="00395555" w:rsidRDefault="002C50EE" w:rsidP="008A6AF2">
      <w:pPr>
        <w:pStyle w:val="Heading1"/>
      </w:pPr>
      <w:r>
        <w:t>5. ФАРМАКОЛОГИЧНИ СВОЙСТВА</w:t>
      </w:r>
    </w:p>
    <w:p w14:paraId="32B6DE66" w14:textId="136293C9" w:rsidR="00CF77F7" w:rsidRDefault="002C50EE" w:rsidP="004A448E">
      <w:pPr>
        <w:pStyle w:val="Heading2"/>
      </w:pPr>
      <w:r>
        <w:t>5.1. Фармакодинамични свойства</w:t>
      </w:r>
    </w:p>
    <w:p w14:paraId="47CC3034" w14:textId="7F621ED7" w:rsidR="00CC212E" w:rsidRDefault="00CC212E" w:rsidP="00CC212E"/>
    <w:p w14:paraId="009EF5C8"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Фармакотерапевтична група: АСЕ -инхибитори, самостоятелно, АТС код: С09АА05. Механизъм на действие</w:t>
      </w:r>
    </w:p>
    <w:p w14:paraId="74F22DEC" w14:textId="77777777" w:rsidR="00CC212E" w:rsidRPr="00CC212E" w:rsidRDefault="00CC212E" w:rsidP="00CC212E">
      <w:pPr>
        <w:spacing w:line="240" w:lineRule="auto"/>
        <w:rPr>
          <w:rFonts w:eastAsia="Times New Roman" w:cs="Arial"/>
          <w:i/>
          <w:iCs/>
          <w:color w:val="000000"/>
          <w:u w:val="single"/>
          <w:lang w:eastAsia="bg-BG"/>
        </w:rPr>
      </w:pPr>
    </w:p>
    <w:p w14:paraId="6D47B17A" w14:textId="2A96C437" w:rsidR="00CC212E" w:rsidRPr="00CC212E" w:rsidRDefault="00CC212E" w:rsidP="00CC212E">
      <w:pPr>
        <w:spacing w:line="240" w:lineRule="auto"/>
        <w:rPr>
          <w:rFonts w:eastAsia="Times New Roman" w:cs="Arial"/>
          <w:sz w:val="24"/>
          <w:szCs w:val="24"/>
        </w:rPr>
      </w:pPr>
      <w:r w:rsidRPr="00CC212E">
        <w:rPr>
          <w:rFonts w:eastAsia="Times New Roman" w:cs="Arial"/>
          <w:i/>
          <w:iCs/>
          <w:color w:val="000000"/>
          <w:u w:val="single"/>
          <w:lang w:eastAsia="bg-BG"/>
        </w:rPr>
        <w:t>Механизъм на действие</w:t>
      </w:r>
    </w:p>
    <w:p w14:paraId="72707B85"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Рамиприлат, активният метаболит на предлекарството рамиприл, инхибира ензима дипептидилкарбоксипептидаза I (синоними: ангиотензин-конвертиращ ензим; кининаза II). В плазмата и тъканите този ензим катализира конвертирането на ангиотензин I до активния вазоконстриктор ангиотензин </w:t>
      </w:r>
      <w:r w:rsidRPr="00CC212E">
        <w:rPr>
          <w:rFonts w:eastAsia="Times New Roman" w:cs="Arial"/>
          <w:color w:val="000000"/>
          <w:lang w:val="en-US"/>
        </w:rPr>
        <w:t>II</w:t>
      </w:r>
      <w:r w:rsidRPr="00CC212E">
        <w:rPr>
          <w:rFonts w:eastAsia="Times New Roman" w:cs="Arial"/>
          <w:color w:val="000000"/>
          <w:lang w:eastAsia="bg-BG"/>
        </w:rPr>
        <w:t xml:space="preserve">, както и инхибира разграждането на активния </w:t>
      </w:r>
      <w:r w:rsidRPr="00CC212E">
        <w:rPr>
          <w:rFonts w:eastAsia="Times New Roman" w:cs="Arial"/>
          <w:color w:val="000000"/>
          <w:lang w:eastAsia="bg-BG"/>
        </w:rPr>
        <w:lastRenderedPageBreak/>
        <w:t>вазодилататор брадикинин. Пониженото образуване на ангиотензин II и ихибиране на разграждането на брадикинин, водят до вазодилатация.</w:t>
      </w:r>
    </w:p>
    <w:p w14:paraId="603F9FC4"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Тъй като ангиотензин </w:t>
      </w:r>
      <w:r w:rsidRPr="00CC212E">
        <w:rPr>
          <w:rFonts w:eastAsia="Times New Roman" w:cs="Arial"/>
          <w:color w:val="000000"/>
          <w:lang w:val="en-US"/>
        </w:rPr>
        <w:t>II</w:t>
      </w:r>
      <w:r w:rsidRPr="00CC212E">
        <w:rPr>
          <w:rFonts w:eastAsia="Times New Roman" w:cs="Arial"/>
          <w:color w:val="000000"/>
          <w:lang w:eastAsia="bg-BG"/>
        </w:rPr>
        <w:t xml:space="preserve"> стимулира освобождаването на алдостерон, рамиприлат води до намаляване на алдостероновата секреция. Средностатистически повлияването от монотерапия с АСЕ -инхибитор е по-слабо при чернокожи (афро-карибска раса) хипертонични пациенти, обикновено популация с хипертония от нисък ренин) отколкото при нечернокожи пациенти.</w:t>
      </w:r>
    </w:p>
    <w:p w14:paraId="372F3F28" w14:textId="77777777" w:rsidR="00CC212E" w:rsidRPr="00CC212E" w:rsidRDefault="00CC212E" w:rsidP="00CC212E">
      <w:pPr>
        <w:spacing w:line="240" w:lineRule="auto"/>
        <w:rPr>
          <w:rFonts w:eastAsia="Times New Roman" w:cs="Arial"/>
          <w:i/>
          <w:iCs/>
          <w:color w:val="000000"/>
          <w:u w:val="single"/>
          <w:lang w:eastAsia="bg-BG"/>
        </w:rPr>
      </w:pPr>
    </w:p>
    <w:p w14:paraId="03E10530" w14:textId="48F341C7" w:rsidR="00CC212E" w:rsidRPr="00CC212E" w:rsidRDefault="00CC212E" w:rsidP="00CC212E">
      <w:pPr>
        <w:spacing w:line="240" w:lineRule="auto"/>
        <w:rPr>
          <w:rFonts w:eastAsia="Times New Roman" w:cs="Arial"/>
          <w:sz w:val="24"/>
          <w:szCs w:val="24"/>
        </w:rPr>
      </w:pPr>
      <w:r w:rsidRPr="00CC212E">
        <w:rPr>
          <w:rFonts w:eastAsia="Times New Roman" w:cs="Arial"/>
          <w:i/>
          <w:iCs/>
          <w:color w:val="000000"/>
          <w:u w:val="single"/>
          <w:lang w:eastAsia="bg-BG"/>
        </w:rPr>
        <w:t>Фармакодинамични ефекти</w:t>
      </w:r>
    </w:p>
    <w:p w14:paraId="6A90B3E3"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Антихипертензивни свойства:</w:t>
      </w:r>
    </w:p>
    <w:p w14:paraId="4C52072C"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Прилагането на рамиприл води до значително понижаване на периферната артериална резистентност. В повечето случаи няма значими промени в бъбречния кръвоток и гломерулната филтрация. Прилагането на рамиприл при пациенти с хипертония води до намаляване на кръвното налягане в легнало и изправено положение, без компенсаторно покачване на сърдечната честота.</w:t>
      </w:r>
    </w:p>
    <w:p w14:paraId="01E9F88E"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При повечето пациенти началото на антихипертензивния ефект на еднократната доза се проявява 1 до 2 часа след перорално приложение. Пиковият ефект на еднократната доза,</w:t>
      </w:r>
    </w:p>
    <w:p w14:paraId="72462A25" w14:textId="09D89C91" w:rsidR="00CC212E" w:rsidRPr="00CC212E" w:rsidRDefault="00CC212E" w:rsidP="00CC212E">
      <w:pPr>
        <w:rPr>
          <w:rFonts w:eastAsia="Times New Roman" w:cs="Arial"/>
          <w:color w:val="000000"/>
          <w:lang w:eastAsia="bg-BG"/>
        </w:rPr>
      </w:pPr>
      <w:r w:rsidRPr="00CC212E">
        <w:rPr>
          <w:rFonts w:eastAsia="Times New Roman" w:cs="Arial"/>
          <w:color w:val="000000"/>
          <w:lang w:eastAsia="bg-BG"/>
        </w:rPr>
        <w:t>обикновено се достига 3 до 6 часа след перорално приложение. Антихипертензивният ефект на еднократна доза обикновено продължава 24 часа.</w:t>
      </w:r>
    </w:p>
    <w:p w14:paraId="55FB1475" w14:textId="1C4CA5AC" w:rsidR="00CC212E" w:rsidRPr="00CC212E" w:rsidRDefault="00CC212E" w:rsidP="00CC212E">
      <w:pPr>
        <w:rPr>
          <w:rFonts w:eastAsia="Times New Roman" w:cs="Arial"/>
          <w:color w:val="000000"/>
          <w:lang w:eastAsia="bg-BG"/>
        </w:rPr>
      </w:pPr>
    </w:p>
    <w:p w14:paraId="4B4D34D6"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Максималният антихипертензивен ефект на продължително лечение с рамиприл обикновено настъпва след 3 до 4 седмици. Доказано е, че антихипертензивният ефект е постоянен при дълготрайна терапия, продължаваща 2 години. Рязкото прекъсване на приема на рамиприл не води до бърз и прекомерен ребаунд ефект на повишаване на кръвното налягане.</w:t>
      </w:r>
    </w:p>
    <w:p w14:paraId="123DEBD3" w14:textId="77777777" w:rsidR="00CC212E" w:rsidRPr="00CC212E" w:rsidRDefault="00CC212E" w:rsidP="00CC212E">
      <w:pPr>
        <w:spacing w:line="240" w:lineRule="auto"/>
        <w:rPr>
          <w:rFonts w:eastAsia="Times New Roman" w:cs="Arial"/>
          <w:color w:val="000000"/>
          <w:lang w:eastAsia="bg-BG"/>
        </w:rPr>
      </w:pPr>
    </w:p>
    <w:p w14:paraId="6BF0DBB8" w14:textId="79A6E220"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Сърдечна недостатъчност:</w:t>
      </w:r>
    </w:p>
    <w:p w14:paraId="122A03DA"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Като добавка към конвенционалната терапия с диуретици и изборно със сърдечни гликозиди, рамиприл показва ефективност при пациенти с функционален клас </w:t>
      </w:r>
      <w:r w:rsidRPr="00CC212E">
        <w:rPr>
          <w:rFonts w:eastAsia="Times New Roman" w:cs="Arial"/>
          <w:color w:val="000000"/>
          <w:lang w:val="en-US"/>
        </w:rPr>
        <w:t>II</w:t>
      </w:r>
      <w:r w:rsidRPr="00CC212E">
        <w:rPr>
          <w:rFonts w:eastAsia="Times New Roman" w:cs="Arial"/>
          <w:color w:val="000000"/>
          <w:lang w:val="ru-RU"/>
        </w:rPr>
        <w:t>-</w:t>
      </w:r>
      <w:r w:rsidRPr="00CC212E">
        <w:rPr>
          <w:rFonts w:eastAsia="Times New Roman" w:cs="Arial"/>
          <w:color w:val="000000"/>
          <w:lang w:val="en-US"/>
        </w:rPr>
        <w:t>IV</w:t>
      </w:r>
      <w:r w:rsidRPr="00CC212E">
        <w:rPr>
          <w:rFonts w:eastAsia="Times New Roman" w:cs="Arial"/>
          <w:color w:val="000000"/>
          <w:lang w:val="ru-RU"/>
        </w:rPr>
        <w:t xml:space="preserve"> </w:t>
      </w:r>
      <w:r w:rsidRPr="00CC212E">
        <w:rPr>
          <w:rFonts w:eastAsia="Times New Roman" w:cs="Arial"/>
          <w:color w:val="000000"/>
          <w:lang w:eastAsia="bg-BG"/>
        </w:rPr>
        <w:t xml:space="preserve">по </w:t>
      </w:r>
      <w:r w:rsidRPr="00CC212E">
        <w:rPr>
          <w:rFonts w:eastAsia="Times New Roman" w:cs="Arial"/>
          <w:color w:val="000000"/>
          <w:lang w:val="en-US"/>
        </w:rPr>
        <w:t>New</w:t>
      </w:r>
      <w:r w:rsidRPr="00CC212E">
        <w:rPr>
          <w:rFonts w:eastAsia="Times New Roman" w:cs="Arial"/>
          <w:color w:val="000000"/>
          <w:lang w:val="ru-RU"/>
        </w:rPr>
        <w:t>-</w:t>
      </w:r>
      <w:r w:rsidRPr="00CC212E">
        <w:rPr>
          <w:rFonts w:eastAsia="Times New Roman" w:cs="Arial"/>
          <w:color w:val="000000"/>
          <w:lang w:val="en-US"/>
        </w:rPr>
        <w:t>York</w:t>
      </w:r>
      <w:r w:rsidRPr="00CC212E">
        <w:rPr>
          <w:rFonts w:eastAsia="Times New Roman" w:cs="Arial"/>
          <w:color w:val="000000"/>
          <w:lang w:val="ru-RU"/>
        </w:rPr>
        <w:t xml:space="preserve"> </w:t>
      </w:r>
      <w:r w:rsidRPr="00CC212E">
        <w:rPr>
          <w:rFonts w:eastAsia="Times New Roman" w:cs="Arial"/>
          <w:color w:val="000000"/>
          <w:lang w:val="en-US"/>
        </w:rPr>
        <w:t>Heart</w:t>
      </w:r>
      <w:r w:rsidRPr="00CC212E">
        <w:rPr>
          <w:rFonts w:eastAsia="Times New Roman" w:cs="Arial"/>
          <w:color w:val="000000"/>
          <w:lang w:val="ru-RU"/>
        </w:rPr>
        <w:t xml:space="preserve"> </w:t>
      </w:r>
      <w:r w:rsidRPr="00CC212E">
        <w:rPr>
          <w:rFonts w:eastAsia="Times New Roman" w:cs="Arial"/>
          <w:color w:val="000000"/>
          <w:lang w:val="en-US"/>
        </w:rPr>
        <w:t>Association</w:t>
      </w:r>
      <w:r w:rsidRPr="00CC212E">
        <w:rPr>
          <w:rFonts w:eastAsia="Times New Roman" w:cs="Arial"/>
          <w:color w:val="000000"/>
          <w:lang w:val="ru-RU"/>
        </w:rPr>
        <w:t xml:space="preserve">. </w:t>
      </w:r>
      <w:r w:rsidRPr="00CC212E">
        <w:rPr>
          <w:rFonts w:eastAsia="Times New Roman" w:cs="Arial"/>
          <w:color w:val="000000"/>
          <w:lang w:eastAsia="bg-BG"/>
        </w:rPr>
        <w:t>Лекарството има ползотворни ефекти върху сърдечната хемодинамика (намаляване на налягането при пълнене на лява и дясна камера, намаляване на общата периферна съдова резистентност, повишаване на изходящия сърдечен кръвоток и подобрен сърдечен индекс). Понижава също невроендокринната активация.</w:t>
      </w:r>
    </w:p>
    <w:p w14:paraId="6E4B7B73" w14:textId="77777777" w:rsidR="00CC212E" w:rsidRPr="00CC212E" w:rsidRDefault="00CC212E" w:rsidP="00CC212E">
      <w:pPr>
        <w:spacing w:line="240" w:lineRule="auto"/>
        <w:rPr>
          <w:rFonts w:eastAsia="Times New Roman" w:cs="Arial"/>
          <w:i/>
          <w:iCs/>
          <w:color w:val="000000"/>
          <w:u w:val="single"/>
          <w:lang w:eastAsia="bg-BG"/>
        </w:rPr>
      </w:pPr>
    </w:p>
    <w:p w14:paraId="70E28C26" w14:textId="6C8CBD6A" w:rsidR="00CC212E" w:rsidRPr="00CC212E" w:rsidRDefault="00CC212E" w:rsidP="00CC212E">
      <w:pPr>
        <w:spacing w:line="240" w:lineRule="auto"/>
        <w:rPr>
          <w:rFonts w:eastAsia="Times New Roman" w:cs="Arial"/>
          <w:sz w:val="24"/>
          <w:szCs w:val="24"/>
        </w:rPr>
      </w:pPr>
      <w:r w:rsidRPr="00CC212E">
        <w:rPr>
          <w:rFonts w:eastAsia="Times New Roman" w:cs="Arial"/>
          <w:i/>
          <w:iCs/>
          <w:color w:val="000000"/>
          <w:u w:val="single"/>
          <w:lang w:eastAsia="bg-BG"/>
        </w:rPr>
        <w:t>Клинична ефикасност и безопасност</w:t>
      </w:r>
    </w:p>
    <w:p w14:paraId="066A9A52" w14:textId="77777777" w:rsidR="00CC212E" w:rsidRPr="00CC212E" w:rsidRDefault="00CC212E" w:rsidP="00CC212E">
      <w:pPr>
        <w:spacing w:line="240" w:lineRule="auto"/>
        <w:rPr>
          <w:rFonts w:eastAsia="Times New Roman" w:cs="Arial"/>
          <w:color w:val="000000"/>
          <w:u w:val="single"/>
          <w:lang w:eastAsia="bg-BG"/>
        </w:rPr>
      </w:pPr>
    </w:p>
    <w:p w14:paraId="3E27725C" w14:textId="60CBD300" w:rsidR="00CC212E" w:rsidRPr="00CC212E" w:rsidRDefault="00CC212E" w:rsidP="00CC212E">
      <w:pPr>
        <w:spacing w:line="240" w:lineRule="auto"/>
        <w:rPr>
          <w:rFonts w:eastAsia="Times New Roman" w:cs="Arial"/>
          <w:sz w:val="24"/>
          <w:szCs w:val="24"/>
        </w:rPr>
      </w:pPr>
      <w:r w:rsidRPr="00CC212E">
        <w:rPr>
          <w:rFonts w:eastAsia="Times New Roman" w:cs="Arial"/>
          <w:color w:val="000000"/>
          <w:u w:val="single"/>
          <w:lang w:eastAsia="bg-BG"/>
        </w:rPr>
        <w:t>Сърдечносъдова профилактика /нефропротекция:</w:t>
      </w:r>
    </w:p>
    <w:p w14:paraId="0A5B0446"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Проведено е плацебо контролирано проучване за профилактика (проучването НОРЕ), при което рамиприл е бил добавен към стандартната терапия при повече от 9 200 пациенти. Пациентите с повишен риск от сърдечносъдово заболяване, след атеротромботична кардиоваскуларна болест (анамнеза за коронарна артериална болест, инсулт или периферна артериална болест) или захарен диабет с поне един съпътстващ рисков фактор (доказана микроалбуминурия, хипертония, повишени нива на общия холестерол, ниско ниво на липопротеините с висока плътност или тютюнопушене) са били включени в изпитването.</w:t>
      </w:r>
    </w:p>
    <w:p w14:paraId="60BFA487"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Изпитването показва, че рамиприл статистически значимо понижава честотата на миокарден инфаркт, сърдечносъдова смърт и инсулт, самостоятелно или в комбинация (първично комбинирани събития).</w:t>
      </w:r>
    </w:p>
    <w:p w14:paraId="49801382" w14:textId="77777777" w:rsidR="00CC212E" w:rsidRPr="00CC212E" w:rsidRDefault="00CC212E" w:rsidP="00CC212E">
      <w:pPr>
        <w:spacing w:line="240" w:lineRule="auto"/>
        <w:rPr>
          <w:rFonts w:eastAsia="Times New Roman" w:cs="Arial"/>
          <w:b/>
          <w:bCs/>
          <w:color w:val="000000"/>
          <w:lang w:eastAsia="bg-BG"/>
        </w:rPr>
      </w:pPr>
      <w:bookmarkStart w:id="1" w:name="bookmark0"/>
    </w:p>
    <w:p w14:paraId="3317CA9A" w14:textId="42AEDDCF" w:rsidR="00CC212E" w:rsidRPr="00CC212E" w:rsidRDefault="00CC212E" w:rsidP="00CC212E">
      <w:pPr>
        <w:spacing w:line="240" w:lineRule="auto"/>
        <w:rPr>
          <w:rFonts w:eastAsia="Times New Roman" w:cs="Arial"/>
          <w:sz w:val="24"/>
          <w:szCs w:val="24"/>
        </w:rPr>
      </w:pPr>
      <w:r w:rsidRPr="00CC212E">
        <w:rPr>
          <w:rFonts w:eastAsia="Times New Roman" w:cs="Arial"/>
          <w:b/>
          <w:bCs/>
          <w:color w:val="000000"/>
          <w:lang w:eastAsia="bg-BG"/>
        </w:rPr>
        <w:t>Основни резултати от изпитването НОРЕ</w:t>
      </w:r>
      <w:bookmarkEnd w:id="1"/>
    </w:p>
    <w:tbl>
      <w:tblPr>
        <w:tblStyle w:val="TableGrid"/>
        <w:tblW w:w="0" w:type="auto"/>
        <w:tblLook w:val="04A0" w:firstRow="1" w:lastRow="0" w:firstColumn="1" w:lastColumn="0" w:noHBand="0" w:noVBand="1"/>
      </w:tblPr>
      <w:tblGrid>
        <w:gridCol w:w="2104"/>
        <w:gridCol w:w="1808"/>
        <w:gridCol w:w="1785"/>
        <w:gridCol w:w="1860"/>
        <w:gridCol w:w="1793"/>
      </w:tblGrid>
      <w:tr w:rsidR="00CC212E" w14:paraId="736EC224" w14:textId="77777777" w:rsidTr="00CC212E">
        <w:tc>
          <w:tcPr>
            <w:tcW w:w="2104" w:type="dxa"/>
          </w:tcPr>
          <w:p w14:paraId="3635CD59" w14:textId="77777777" w:rsidR="00CC212E" w:rsidRPr="00CC212E" w:rsidRDefault="00CC212E" w:rsidP="00CC212E">
            <w:pPr>
              <w:rPr>
                <w:rFonts w:cs="Arial"/>
              </w:rPr>
            </w:pPr>
          </w:p>
        </w:tc>
        <w:tc>
          <w:tcPr>
            <w:tcW w:w="1866" w:type="dxa"/>
          </w:tcPr>
          <w:p w14:paraId="4913A8DF" w14:textId="7B407B46" w:rsidR="00CC212E" w:rsidRPr="00CC212E" w:rsidRDefault="00CC212E" w:rsidP="00CC212E">
            <w:pPr>
              <w:rPr>
                <w:rFonts w:cs="Arial"/>
              </w:rPr>
            </w:pPr>
            <w:r w:rsidRPr="00CC212E">
              <w:rPr>
                <w:rFonts w:cs="Arial"/>
              </w:rPr>
              <w:t>рамиприл</w:t>
            </w:r>
          </w:p>
        </w:tc>
        <w:tc>
          <w:tcPr>
            <w:tcW w:w="1856" w:type="dxa"/>
          </w:tcPr>
          <w:p w14:paraId="12424F2D" w14:textId="73C6194C" w:rsidR="00CC212E" w:rsidRPr="00CC212E" w:rsidRDefault="00CC212E" w:rsidP="00CC212E">
            <w:pPr>
              <w:rPr>
                <w:rFonts w:cs="Arial"/>
              </w:rPr>
            </w:pPr>
            <w:r w:rsidRPr="00CC212E">
              <w:rPr>
                <w:rFonts w:cs="Arial"/>
              </w:rPr>
              <w:t>плацебо</w:t>
            </w:r>
          </w:p>
        </w:tc>
        <w:tc>
          <w:tcPr>
            <w:tcW w:w="1890" w:type="dxa"/>
          </w:tcPr>
          <w:p w14:paraId="14E434DC" w14:textId="11C575F8" w:rsidR="00CC212E" w:rsidRPr="00CC212E" w:rsidRDefault="00CC212E" w:rsidP="00CC212E">
            <w:pPr>
              <w:rPr>
                <w:rFonts w:cs="Arial"/>
              </w:rPr>
            </w:pPr>
            <w:r w:rsidRPr="00CC212E">
              <w:rPr>
                <w:rFonts w:cs="Arial"/>
              </w:rPr>
              <w:t>Относителен риск (95% доверителен интервал)</w:t>
            </w:r>
          </w:p>
        </w:tc>
        <w:tc>
          <w:tcPr>
            <w:tcW w:w="1860" w:type="dxa"/>
          </w:tcPr>
          <w:p w14:paraId="11CCA8A7" w14:textId="5F4B5A39" w:rsidR="00CC212E" w:rsidRPr="00CC212E" w:rsidRDefault="00CC212E" w:rsidP="00CC212E">
            <w:pPr>
              <w:rPr>
                <w:rFonts w:cs="Arial"/>
              </w:rPr>
            </w:pPr>
            <w:r w:rsidRPr="00CC212E">
              <w:rPr>
                <w:rFonts w:cs="Arial"/>
              </w:rPr>
              <w:t>Р- стойност</w:t>
            </w:r>
          </w:p>
        </w:tc>
      </w:tr>
      <w:tr w:rsidR="00CC212E" w14:paraId="59290CCC" w14:textId="77777777" w:rsidTr="00CC212E">
        <w:tc>
          <w:tcPr>
            <w:tcW w:w="2104" w:type="dxa"/>
          </w:tcPr>
          <w:p w14:paraId="7B1AD71C" w14:textId="77777777" w:rsidR="00CC212E" w:rsidRPr="00CC212E" w:rsidRDefault="00CC212E" w:rsidP="00CC212E">
            <w:pPr>
              <w:rPr>
                <w:rFonts w:cs="Arial"/>
              </w:rPr>
            </w:pPr>
          </w:p>
        </w:tc>
        <w:tc>
          <w:tcPr>
            <w:tcW w:w="1866" w:type="dxa"/>
          </w:tcPr>
          <w:p w14:paraId="4FBB4D13" w14:textId="68D12036" w:rsidR="00CC212E" w:rsidRPr="00CC212E" w:rsidRDefault="00CC212E" w:rsidP="00CC212E">
            <w:pPr>
              <w:rPr>
                <w:rFonts w:cs="Arial"/>
              </w:rPr>
            </w:pPr>
            <w:r w:rsidRPr="00CC212E">
              <w:rPr>
                <w:rFonts w:cs="Arial"/>
                <w:b/>
                <w:bCs/>
              </w:rPr>
              <w:t>%</w:t>
            </w:r>
          </w:p>
        </w:tc>
        <w:tc>
          <w:tcPr>
            <w:tcW w:w="1856" w:type="dxa"/>
          </w:tcPr>
          <w:p w14:paraId="5F88AE23" w14:textId="39CD99D9" w:rsidR="00CC212E" w:rsidRPr="00CC212E" w:rsidRDefault="00CC212E" w:rsidP="00CC212E">
            <w:pPr>
              <w:rPr>
                <w:rFonts w:cs="Arial"/>
              </w:rPr>
            </w:pPr>
            <w:r w:rsidRPr="00CC212E">
              <w:rPr>
                <w:rFonts w:cs="Arial"/>
                <w:b/>
                <w:bCs/>
              </w:rPr>
              <w:t>%</w:t>
            </w:r>
          </w:p>
        </w:tc>
        <w:tc>
          <w:tcPr>
            <w:tcW w:w="1890" w:type="dxa"/>
          </w:tcPr>
          <w:p w14:paraId="198D658F" w14:textId="77777777" w:rsidR="00CC212E" w:rsidRPr="00CC212E" w:rsidRDefault="00CC212E" w:rsidP="00CC212E">
            <w:pPr>
              <w:rPr>
                <w:rFonts w:cs="Arial"/>
              </w:rPr>
            </w:pPr>
          </w:p>
        </w:tc>
        <w:tc>
          <w:tcPr>
            <w:tcW w:w="1860" w:type="dxa"/>
          </w:tcPr>
          <w:p w14:paraId="607DE78E" w14:textId="77777777" w:rsidR="00CC212E" w:rsidRPr="00CC212E" w:rsidRDefault="00CC212E" w:rsidP="00CC212E">
            <w:pPr>
              <w:rPr>
                <w:rFonts w:cs="Arial"/>
              </w:rPr>
            </w:pPr>
          </w:p>
        </w:tc>
      </w:tr>
      <w:tr w:rsidR="00CC212E" w14:paraId="72F68FA9" w14:textId="77777777" w:rsidTr="00CC212E">
        <w:tc>
          <w:tcPr>
            <w:tcW w:w="2104" w:type="dxa"/>
          </w:tcPr>
          <w:p w14:paraId="16DCE2A0" w14:textId="1F93F8B2" w:rsidR="00CC212E" w:rsidRPr="00CC212E" w:rsidRDefault="00CC212E" w:rsidP="00CC212E">
            <w:pPr>
              <w:rPr>
                <w:rFonts w:cs="Arial"/>
              </w:rPr>
            </w:pPr>
            <w:r w:rsidRPr="00CC212E">
              <w:rPr>
                <w:rFonts w:cs="Arial"/>
                <w:b/>
                <w:bCs/>
              </w:rPr>
              <w:t>Всички пациенти</w:t>
            </w:r>
          </w:p>
        </w:tc>
        <w:tc>
          <w:tcPr>
            <w:tcW w:w="1866" w:type="dxa"/>
          </w:tcPr>
          <w:p w14:paraId="32EED8E9" w14:textId="0AB8767F" w:rsidR="00CC212E" w:rsidRPr="00CC212E" w:rsidRDefault="00CC212E" w:rsidP="00CC212E">
            <w:pPr>
              <w:rPr>
                <w:rFonts w:cs="Arial"/>
              </w:rPr>
            </w:pPr>
            <w:r w:rsidRPr="00CC212E">
              <w:rPr>
                <w:rFonts w:cs="Arial"/>
                <w:b/>
                <w:bCs/>
                <w:lang w:val="en-US"/>
              </w:rPr>
              <w:t>n</w:t>
            </w:r>
            <w:r w:rsidRPr="00CC212E">
              <w:rPr>
                <w:rFonts w:cs="Arial"/>
                <w:b/>
                <w:bCs/>
              </w:rPr>
              <w:t>=4,645</w:t>
            </w:r>
          </w:p>
        </w:tc>
        <w:tc>
          <w:tcPr>
            <w:tcW w:w="1856" w:type="dxa"/>
          </w:tcPr>
          <w:p w14:paraId="100432BF" w14:textId="61A69198" w:rsidR="00CC212E" w:rsidRPr="00CC212E" w:rsidRDefault="00CC212E" w:rsidP="00CC212E">
            <w:pPr>
              <w:rPr>
                <w:rFonts w:cs="Arial"/>
              </w:rPr>
            </w:pPr>
            <w:r w:rsidRPr="00CC212E">
              <w:rPr>
                <w:rFonts w:cs="Arial"/>
                <w:b/>
                <w:bCs/>
                <w:lang w:val="en-US"/>
              </w:rPr>
              <w:t>N=4,652</w:t>
            </w:r>
          </w:p>
        </w:tc>
        <w:tc>
          <w:tcPr>
            <w:tcW w:w="1890" w:type="dxa"/>
          </w:tcPr>
          <w:p w14:paraId="0C1B8389" w14:textId="77777777" w:rsidR="00CC212E" w:rsidRPr="00CC212E" w:rsidRDefault="00CC212E" w:rsidP="00CC212E">
            <w:pPr>
              <w:rPr>
                <w:rFonts w:cs="Arial"/>
              </w:rPr>
            </w:pPr>
          </w:p>
        </w:tc>
        <w:tc>
          <w:tcPr>
            <w:tcW w:w="1860" w:type="dxa"/>
          </w:tcPr>
          <w:p w14:paraId="1691D073" w14:textId="77777777" w:rsidR="00CC212E" w:rsidRPr="00CC212E" w:rsidRDefault="00CC212E" w:rsidP="00CC212E">
            <w:pPr>
              <w:rPr>
                <w:rFonts w:cs="Arial"/>
              </w:rPr>
            </w:pPr>
          </w:p>
        </w:tc>
      </w:tr>
      <w:tr w:rsidR="00CC212E" w14:paraId="6ABCCEFD" w14:textId="77777777" w:rsidTr="00CC212E">
        <w:tc>
          <w:tcPr>
            <w:tcW w:w="2104" w:type="dxa"/>
          </w:tcPr>
          <w:p w14:paraId="77F235F6" w14:textId="4E2C5B8B" w:rsidR="00CC212E" w:rsidRPr="00CC212E" w:rsidRDefault="00CC212E" w:rsidP="00CC212E">
            <w:pPr>
              <w:rPr>
                <w:rFonts w:cs="Arial"/>
              </w:rPr>
            </w:pPr>
            <w:r w:rsidRPr="00CC212E">
              <w:rPr>
                <w:rFonts w:cs="Arial"/>
                <w:b/>
                <w:bCs/>
              </w:rPr>
              <w:t>Първични събития комбинирани</w:t>
            </w:r>
          </w:p>
        </w:tc>
        <w:tc>
          <w:tcPr>
            <w:tcW w:w="1866" w:type="dxa"/>
          </w:tcPr>
          <w:p w14:paraId="220D0A0B" w14:textId="16C0CFD8" w:rsidR="00CC212E" w:rsidRPr="00CC212E" w:rsidRDefault="00CC212E" w:rsidP="00CC212E">
            <w:pPr>
              <w:rPr>
                <w:rFonts w:cs="Arial"/>
              </w:rPr>
            </w:pPr>
            <w:r w:rsidRPr="00CC212E">
              <w:rPr>
                <w:rFonts w:cs="Arial"/>
                <w:b/>
                <w:bCs/>
              </w:rPr>
              <w:t>14.0</w:t>
            </w:r>
          </w:p>
        </w:tc>
        <w:tc>
          <w:tcPr>
            <w:tcW w:w="1856" w:type="dxa"/>
          </w:tcPr>
          <w:p w14:paraId="6946FC38" w14:textId="7DF25DF8" w:rsidR="00CC212E" w:rsidRPr="00CC212E" w:rsidRDefault="00CC212E" w:rsidP="00CC212E">
            <w:pPr>
              <w:rPr>
                <w:rFonts w:cs="Arial"/>
              </w:rPr>
            </w:pPr>
            <w:r w:rsidRPr="00CC212E">
              <w:rPr>
                <w:rFonts w:cs="Arial"/>
                <w:b/>
                <w:bCs/>
              </w:rPr>
              <w:t>17.8</w:t>
            </w:r>
          </w:p>
        </w:tc>
        <w:tc>
          <w:tcPr>
            <w:tcW w:w="1890" w:type="dxa"/>
          </w:tcPr>
          <w:p w14:paraId="6346E155" w14:textId="560BDE64" w:rsidR="00CC212E" w:rsidRPr="00CC212E" w:rsidRDefault="00CC212E" w:rsidP="00CC212E">
            <w:pPr>
              <w:rPr>
                <w:rFonts w:cs="Arial"/>
              </w:rPr>
            </w:pPr>
            <w:r w:rsidRPr="00CC212E">
              <w:rPr>
                <w:rFonts w:cs="Arial"/>
                <w:b/>
                <w:bCs/>
              </w:rPr>
              <w:t>0.78 (0.70-0.86)</w:t>
            </w:r>
          </w:p>
        </w:tc>
        <w:tc>
          <w:tcPr>
            <w:tcW w:w="1860" w:type="dxa"/>
          </w:tcPr>
          <w:p w14:paraId="313F76C9" w14:textId="205F805E" w:rsidR="00CC212E" w:rsidRPr="00CC212E" w:rsidRDefault="00CC212E" w:rsidP="00CC212E">
            <w:pPr>
              <w:rPr>
                <w:rFonts w:cs="Arial"/>
              </w:rPr>
            </w:pPr>
            <w:r w:rsidRPr="00CC212E">
              <w:rPr>
                <w:rFonts w:cs="Arial"/>
                <w:b/>
                <w:bCs/>
              </w:rPr>
              <w:t>&lt;0.001</w:t>
            </w:r>
          </w:p>
        </w:tc>
      </w:tr>
      <w:tr w:rsidR="00CC212E" w14:paraId="69E668F0" w14:textId="77777777" w:rsidTr="00CC212E">
        <w:tc>
          <w:tcPr>
            <w:tcW w:w="2104" w:type="dxa"/>
          </w:tcPr>
          <w:p w14:paraId="685DB52C" w14:textId="0ACC480E" w:rsidR="00CC212E" w:rsidRPr="00CC212E" w:rsidRDefault="00CC212E" w:rsidP="00CC212E">
            <w:pPr>
              <w:rPr>
                <w:rFonts w:cs="Arial"/>
              </w:rPr>
            </w:pPr>
            <w:r w:rsidRPr="00CC212E">
              <w:rPr>
                <w:rFonts w:cs="Arial"/>
                <w:i/>
                <w:iCs/>
              </w:rPr>
              <w:t>Миокарден инфаркт</w:t>
            </w:r>
          </w:p>
        </w:tc>
        <w:tc>
          <w:tcPr>
            <w:tcW w:w="1866" w:type="dxa"/>
          </w:tcPr>
          <w:p w14:paraId="6DFC3D16" w14:textId="59F4F383" w:rsidR="00CC212E" w:rsidRPr="00CC212E" w:rsidRDefault="00CC212E" w:rsidP="00CC212E">
            <w:pPr>
              <w:rPr>
                <w:rFonts w:cs="Arial"/>
              </w:rPr>
            </w:pPr>
            <w:r w:rsidRPr="00CC212E">
              <w:rPr>
                <w:rFonts w:cs="Arial"/>
                <w:i/>
                <w:iCs/>
              </w:rPr>
              <w:t>9.9</w:t>
            </w:r>
          </w:p>
        </w:tc>
        <w:tc>
          <w:tcPr>
            <w:tcW w:w="1856" w:type="dxa"/>
          </w:tcPr>
          <w:p w14:paraId="00C0689C" w14:textId="252ECBCC" w:rsidR="00CC212E" w:rsidRPr="00CC212E" w:rsidRDefault="00CC212E" w:rsidP="00CC212E">
            <w:pPr>
              <w:rPr>
                <w:rFonts w:cs="Arial"/>
              </w:rPr>
            </w:pPr>
            <w:r w:rsidRPr="00CC212E">
              <w:rPr>
                <w:rFonts w:cs="Arial"/>
                <w:i/>
                <w:iCs/>
              </w:rPr>
              <w:t>12.3</w:t>
            </w:r>
          </w:p>
        </w:tc>
        <w:tc>
          <w:tcPr>
            <w:tcW w:w="1890" w:type="dxa"/>
          </w:tcPr>
          <w:p w14:paraId="7079E6A3" w14:textId="0F4D1778" w:rsidR="00CC212E" w:rsidRPr="00CC212E" w:rsidRDefault="00CC212E" w:rsidP="00CC212E">
            <w:pPr>
              <w:rPr>
                <w:rFonts w:cs="Arial"/>
              </w:rPr>
            </w:pPr>
            <w:r w:rsidRPr="00CC212E">
              <w:rPr>
                <w:rFonts w:cs="Arial"/>
                <w:i/>
                <w:iCs/>
              </w:rPr>
              <w:t>0.80(0.70-0.90)</w:t>
            </w:r>
          </w:p>
        </w:tc>
        <w:tc>
          <w:tcPr>
            <w:tcW w:w="1860" w:type="dxa"/>
          </w:tcPr>
          <w:p w14:paraId="0F91DD60" w14:textId="1B8A1F94" w:rsidR="00CC212E" w:rsidRPr="00CC212E" w:rsidRDefault="00CC212E" w:rsidP="00CC212E">
            <w:pPr>
              <w:rPr>
                <w:rFonts w:cs="Arial"/>
              </w:rPr>
            </w:pPr>
            <w:r w:rsidRPr="00CC212E">
              <w:rPr>
                <w:rFonts w:cs="Arial"/>
                <w:i/>
                <w:iCs/>
              </w:rPr>
              <w:t>&lt;0.001</w:t>
            </w:r>
          </w:p>
        </w:tc>
      </w:tr>
      <w:tr w:rsidR="00CC212E" w14:paraId="7CED8BCD" w14:textId="77777777" w:rsidTr="00CC212E">
        <w:tc>
          <w:tcPr>
            <w:tcW w:w="2104" w:type="dxa"/>
          </w:tcPr>
          <w:p w14:paraId="4754C0D0" w14:textId="1CEA2119" w:rsidR="00CC212E" w:rsidRPr="00CC212E" w:rsidRDefault="00CC212E" w:rsidP="00CC212E">
            <w:pPr>
              <w:rPr>
                <w:rFonts w:cs="Arial"/>
              </w:rPr>
            </w:pPr>
            <w:r w:rsidRPr="00CC212E">
              <w:rPr>
                <w:rFonts w:cs="Arial"/>
                <w:i/>
                <w:iCs/>
              </w:rPr>
              <w:t>Сърдечносъдова смърт</w:t>
            </w:r>
          </w:p>
        </w:tc>
        <w:tc>
          <w:tcPr>
            <w:tcW w:w="1866" w:type="dxa"/>
          </w:tcPr>
          <w:p w14:paraId="1975CE8C" w14:textId="5D0475A0" w:rsidR="00CC212E" w:rsidRPr="00CC212E" w:rsidRDefault="00CC212E" w:rsidP="00CC212E">
            <w:pPr>
              <w:rPr>
                <w:rFonts w:cs="Arial"/>
              </w:rPr>
            </w:pPr>
            <w:r w:rsidRPr="00CC212E">
              <w:rPr>
                <w:rFonts w:cs="Arial"/>
                <w:i/>
                <w:iCs/>
              </w:rPr>
              <w:t>6.1</w:t>
            </w:r>
          </w:p>
        </w:tc>
        <w:tc>
          <w:tcPr>
            <w:tcW w:w="1856" w:type="dxa"/>
          </w:tcPr>
          <w:p w14:paraId="57818250" w14:textId="0F216826" w:rsidR="00CC212E" w:rsidRPr="00CC212E" w:rsidRDefault="00CC212E" w:rsidP="00CC212E">
            <w:pPr>
              <w:rPr>
                <w:rFonts w:cs="Arial"/>
              </w:rPr>
            </w:pPr>
            <w:r w:rsidRPr="00CC212E">
              <w:rPr>
                <w:rFonts w:cs="Arial"/>
                <w:i/>
                <w:iCs/>
              </w:rPr>
              <w:t>8.1</w:t>
            </w:r>
          </w:p>
        </w:tc>
        <w:tc>
          <w:tcPr>
            <w:tcW w:w="1890" w:type="dxa"/>
          </w:tcPr>
          <w:p w14:paraId="1E710C68" w14:textId="0FA5384C" w:rsidR="00CC212E" w:rsidRPr="00CC212E" w:rsidRDefault="00CC212E" w:rsidP="00CC212E">
            <w:pPr>
              <w:rPr>
                <w:rFonts w:cs="Arial"/>
              </w:rPr>
            </w:pPr>
            <w:r w:rsidRPr="00CC212E">
              <w:rPr>
                <w:rFonts w:cs="Arial"/>
                <w:i/>
                <w:iCs/>
              </w:rPr>
              <w:t>0.74(0.64-0.87)</w:t>
            </w:r>
          </w:p>
        </w:tc>
        <w:tc>
          <w:tcPr>
            <w:tcW w:w="1860" w:type="dxa"/>
          </w:tcPr>
          <w:p w14:paraId="71F5C759" w14:textId="506D81D1" w:rsidR="00CC212E" w:rsidRPr="00CC212E" w:rsidRDefault="00CC212E" w:rsidP="00CC212E">
            <w:pPr>
              <w:rPr>
                <w:rFonts w:cs="Arial"/>
              </w:rPr>
            </w:pPr>
            <w:r w:rsidRPr="00CC212E">
              <w:rPr>
                <w:rFonts w:cs="Arial"/>
                <w:i/>
                <w:iCs/>
              </w:rPr>
              <w:t>&lt;0.001</w:t>
            </w:r>
          </w:p>
        </w:tc>
      </w:tr>
      <w:tr w:rsidR="00CC212E" w14:paraId="6BF98C41" w14:textId="77777777" w:rsidTr="00CC212E">
        <w:tc>
          <w:tcPr>
            <w:tcW w:w="2104" w:type="dxa"/>
          </w:tcPr>
          <w:p w14:paraId="40193C05" w14:textId="141A1056" w:rsidR="00CC212E" w:rsidRPr="00CC212E" w:rsidRDefault="00CC212E" w:rsidP="00CC212E">
            <w:pPr>
              <w:rPr>
                <w:rFonts w:cs="Arial"/>
              </w:rPr>
            </w:pPr>
            <w:r w:rsidRPr="00CC212E">
              <w:rPr>
                <w:rFonts w:cs="Arial"/>
                <w:i/>
                <w:iCs/>
              </w:rPr>
              <w:t>Инсулт</w:t>
            </w:r>
          </w:p>
        </w:tc>
        <w:tc>
          <w:tcPr>
            <w:tcW w:w="1866" w:type="dxa"/>
          </w:tcPr>
          <w:p w14:paraId="23207218" w14:textId="46F16BD0" w:rsidR="00CC212E" w:rsidRPr="00CC212E" w:rsidRDefault="00CC212E" w:rsidP="00CC212E">
            <w:pPr>
              <w:rPr>
                <w:rFonts w:cs="Arial"/>
              </w:rPr>
            </w:pPr>
            <w:r w:rsidRPr="00CC212E">
              <w:rPr>
                <w:rFonts w:cs="Arial"/>
                <w:i/>
                <w:iCs/>
              </w:rPr>
              <w:t>3.4</w:t>
            </w:r>
          </w:p>
        </w:tc>
        <w:tc>
          <w:tcPr>
            <w:tcW w:w="1856" w:type="dxa"/>
          </w:tcPr>
          <w:p w14:paraId="2EC5DA3D" w14:textId="36C1E9B9" w:rsidR="00CC212E" w:rsidRPr="00CC212E" w:rsidRDefault="00CC212E" w:rsidP="00CC212E">
            <w:pPr>
              <w:rPr>
                <w:rFonts w:cs="Arial"/>
              </w:rPr>
            </w:pPr>
            <w:r w:rsidRPr="00CC212E">
              <w:rPr>
                <w:rFonts w:cs="Arial"/>
                <w:i/>
                <w:iCs/>
              </w:rPr>
              <w:t>4.9</w:t>
            </w:r>
          </w:p>
        </w:tc>
        <w:tc>
          <w:tcPr>
            <w:tcW w:w="1890" w:type="dxa"/>
          </w:tcPr>
          <w:p w14:paraId="77520FA1" w14:textId="48302BE8" w:rsidR="00CC212E" w:rsidRPr="00CC212E" w:rsidRDefault="00CC212E" w:rsidP="00CC212E">
            <w:pPr>
              <w:rPr>
                <w:rFonts w:cs="Arial"/>
              </w:rPr>
            </w:pPr>
            <w:r w:rsidRPr="00CC212E">
              <w:rPr>
                <w:rFonts w:cs="Arial"/>
                <w:i/>
                <w:iCs/>
              </w:rPr>
              <w:t>0.68 (0.56-0.84)</w:t>
            </w:r>
          </w:p>
        </w:tc>
        <w:tc>
          <w:tcPr>
            <w:tcW w:w="1860" w:type="dxa"/>
          </w:tcPr>
          <w:p w14:paraId="222E798B" w14:textId="7B114AFB" w:rsidR="00CC212E" w:rsidRPr="00CC212E" w:rsidRDefault="00CC212E" w:rsidP="00CC212E">
            <w:pPr>
              <w:rPr>
                <w:rFonts w:cs="Arial"/>
              </w:rPr>
            </w:pPr>
            <w:r w:rsidRPr="00CC212E">
              <w:rPr>
                <w:rFonts w:cs="Arial"/>
                <w:i/>
                <w:iCs/>
              </w:rPr>
              <w:t>&lt;0.001</w:t>
            </w:r>
          </w:p>
        </w:tc>
      </w:tr>
      <w:tr w:rsidR="00CC212E" w14:paraId="67E25ACF" w14:textId="77777777" w:rsidTr="001145AD">
        <w:tc>
          <w:tcPr>
            <w:tcW w:w="9576" w:type="dxa"/>
            <w:gridSpan w:val="5"/>
          </w:tcPr>
          <w:p w14:paraId="6D6F74D7" w14:textId="76D59247" w:rsidR="00CC212E" w:rsidRPr="00CC212E" w:rsidRDefault="00CC212E" w:rsidP="00CC212E">
            <w:pPr>
              <w:rPr>
                <w:rFonts w:cs="Arial"/>
              </w:rPr>
            </w:pPr>
            <w:r w:rsidRPr="00CC212E">
              <w:rPr>
                <w:rFonts w:cs="Arial"/>
                <w:b/>
                <w:bCs/>
              </w:rPr>
              <w:t>Вторични крайни точки</w:t>
            </w:r>
          </w:p>
        </w:tc>
      </w:tr>
      <w:tr w:rsidR="00CC212E" w14:paraId="56591C2F" w14:textId="77777777" w:rsidTr="00CC212E">
        <w:tc>
          <w:tcPr>
            <w:tcW w:w="2104" w:type="dxa"/>
          </w:tcPr>
          <w:p w14:paraId="71C29708" w14:textId="1680F310" w:rsidR="00CC212E" w:rsidRPr="00CC212E" w:rsidRDefault="00CC212E" w:rsidP="00CC212E">
            <w:pPr>
              <w:rPr>
                <w:rFonts w:cs="Arial"/>
              </w:rPr>
            </w:pPr>
            <w:r w:rsidRPr="00CC212E">
              <w:rPr>
                <w:rFonts w:cs="Arial"/>
                <w:i/>
                <w:iCs/>
              </w:rPr>
              <w:t>Смърт по всякаква причина</w:t>
            </w:r>
          </w:p>
        </w:tc>
        <w:tc>
          <w:tcPr>
            <w:tcW w:w="1866" w:type="dxa"/>
          </w:tcPr>
          <w:p w14:paraId="5128F3F5" w14:textId="6BF97A96" w:rsidR="00CC212E" w:rsidRPr="00CC212E" w:rsidRDefault="00CC212E" w:rsidP="00CC212E">
            <w:pPr>
              <w:rPr>
                <w:rFonts w:cs="Arial"/>
              </w:rPr>
            </w:pPr>
            <w:r w:rsidRPr="00CC212E">
              <w:rPr>
                <w:rFonts w:cs="Arial"/>
                <w:i/>
                <w:iCs/>
              </w:rPr>
              <w:t>10.4</w:t>
            </w:r>
          </w:p>
        </w:tc>
        <w:tc>
          <w:tcPr>
            <w:tcW w:w="1856" w:type="dxa"/>
          </w:tcPr>
          <w:p w14:paraId="2B23E721" w14:textId="5CE0BB29" w:rsidR="00CC212E" w:rsidRPr="00CC212E" w:rsidRDefault="00CC212E" w:rsidP="00CC212E">
            <w:pPr>
              <w:rPr>
                <w:rFonts w:cs="Arial"/>
              </w:rPr>
            </w:pPr>
            <w:r w:rsidRPr="00CC212E">
              <w:rPr>
                <w:rFonts w:cs="Arial"/>
                <w:i/>
                <w:iCs/>
              </w:rPr>
              <w:t>12.2</w:t>
            </w:r>
          </w:p>
        </w:tc>
        <w:tc>
          <w:tcPr>
            <w:tcW w:w="1890" w:type="dxa"/>
          </w:tcPr>
          <w:p w14:paraId="1B66B0C3" w14:textId="3478F8AD" w:rsidR="00CC212E" w:rsidRPr="00CC212E" w:rsidRDefault="00CC212E" w:rsidP="00CC212E">
            <w:pPr>
              <w:rPr>
                <w:rFonts w:cs="Arial"/>
              </w:rPr>
            </w:pPr>
            <w:r w:rsidRPr="00CC212E">
              <w:rPr>
                <w:rFonts w:cs="Arial"/>
                <w:i/>
                <w:iCs/>
              </w:rPr>
              <w:t>0.84(0.75-0.95)</w:t>
            </w:r>
          </w:p>
        </w:tc>
        <w:tc>
          <w:tcPr>
            <w:tcW w:w="1860" w:type="dxa"/>
          </w:tcPr>
          <w:p w14:paraId="4D97DF2A" w14:textId="1FE8C417" w:rsidR="00CC212E" w:rsidRPr="00CC212E" w:rsidRDefault="00CC212E" w:rsidP="00CC212E">
            <w:pPr>
              <w:rPr>
                <w:rFonts w:cs="Arial"/>
              </w:rPr>
            </w:pPr>
            <w:r w:rsidRPr="00CC212E">
              <w:rPr>
                <w:rFonts w:cs="Arial"/>
                <w:i/>
                <w:iCs/>
              </w:rPr>
              <w:t>0.005</w:t>
            </w:r>
          </w:p>
        </w:tc>
      </w:tr>
      <w:tr w:rsidR="00CC212E" w14:paraId="5A35EA21" w14:textId="77777777" w:rsidTr="00CC212E">
        <w:tc>
          <w:tcPr>
            <w:tcW w:w="2104" w:type="dxa"/>
          </w:tcPr>
          <w:p w14:paraId="339B0D51" w14:textId="3FB76585" w:rsidR="00CC212E" w:rsidRPr="00CC212E" w:rsidRDefault="00CC212E" w:rsidP="00CC212E">
            <w:pPr>
              <w:rPr>
                <w:rFonts w:cs="Arial"/>
              </w:rPr>
            </w:pPr>
            <w:r w:rsidRPr="00CC212E">
              <w:rPr>
                <w:rFonts w:cs="Arial"/>
                <w:i/>
                <w:iCs/>
              </w:rPr>
              <w:t>Необходимост от реваскуларизация</w:t>
            </w:r>
          </w:p>
        </w:tc>
        <w:tc>
          <w:tcPr>
            <w:tcW w:w="1866" w:type="dxa"/>
          </w:tcPr>
          <w:p w14:paraId="5E5AB8E3" w14:textId="79BE7DDF" w:rsidR="00CC212E" w:rsidRPr="00CC212E" w:rsidRDefault="00CC212E" w:rsidP="00CC212E">
            <w:pPr>
              <w:rPr>
                <w:rFonts w:cs="Arial"/>
              </w:rPr>
            </w:pPr>
            <w:r w:rsidRPr="00CC212E">
              <w:rPr>
                <w:rFonts w:cs="Arial"/>
                <w:i/>
                <w:iCs/>
              </w:rPr>
              <w:t>16.0</w:t>
            </w:r>
          </w:p>
        </w:tc>
        <w:tc>
          <w:tcPr>
            <w:tcW w:w="1856" w:type="dxa"/>
          </w:tcPr>
          <w:p w14:paraId="5973BBD9" w14:textId="1BEFDD0F" w:rsidR="00CC212E" w:rsidRPr="00CC212E" w:rsidRDefault="00CC212E" w:rsidP="00CC212E">
            <w:pPr>
              <w:rPr>
                <w:rFonts w:cs="Arial"/>
              </w:rPr>
            </w:pPr>
            <w:r w:rsidRPr="00CC212E">
              <w:rPr>
                <w:rFonts w:cs="Arial"/>
                <w:i/>
                <w:iCs/>
              </w:rPr>
              <w:t>18.3</w:t>
            </w:r>
          </w:p>
        </w:tc>
        <w:tc>
          <w:tcPr>
            <w:tcW w:w="1890" w:type="dxa"/>
          </w:tcPr>
          <w:p w14:paraId="47FA5670" w14:textId="5C004477" w:rsidR="00CC212E" w:rsidRPr="00CC212E" w:rsidRDefault="00CC212E" w:rsidP="00CC212E">
            <w:pPr>
              <w:rPr>
                <w:rFonts w:cs="Arial"/>
              </w:rPr>
            </w:pPr>
            <w:r w:rsidRPr="00CC212E">
              <w:rPr>
                <w:rFonts w:cs="Arial"/>
                <w:i/>
                <w:iCs/>
              </w:rPr>
              <w:t>0.85(0.77-0.94)</w:t>
            </w:r>
          </w:p>
        </w:tc>
        <w:tc>
          <w:tcPr>
            <w:tcW w:w="1860" w:type="dxa"/>
          </w:tcPr>
          <w:p w14:paraId="69D2E206" w14:textId="114F7608" w:rsidR="00CC212E" w:rsidRPr="00CC212E" w:rsidRDefault="00CC212E" w:rsidP="00CC212E">
            <w:pPr>
              <w:rPr>
                <w:rFonts w:cs="Arial"/>
              </w:rPr>
            </w:pPr>
            <w:r w:rsidRPr="00CC212E">
              <w:rPr>
                <w:rFonts w:cs="Arial"/>
                <w:i/>
                <w:iCs/>
              </w:rPr>
              <w:t>0.002</w:t>
            </w:r>
          </w:p>
        </w:tc>
      </w:tr>
      <w:tr w:rsidR="00CC212E" w14:paraId="5B3FC3F1" w14:textId="77777777" w:rsidTr="00CC212E">
        <w:tc>
          <w:tcPr>
            <w:tcW w:w="2104" w:type="dxa"/>
          </w:tcPr>
          <w:p w14:paraId="6163C7AE" w14:textId="306FBA7E" w:rsidR="00CC212E" w:rsidRPr="00CC212E" w:rsidRDefault="00CC212E" w:rsidP="00CC212E">
            <w:pPr>
              <w:rPr>
                <w:rFonts w:cs="Arial"/>
              </w:rPr>
            </w:pPr>
            <w:r w:rsidRPr="00CC212E">
              <w:rPr>
                <w:rFonts w:cs="Arial"/>
                <w:i/>
                <w:iCs/>
              </w:rPr>
              <w:t>Хоспитализация поради нестабилна стенокардия</w:t>
            </w:r>
          </w:p>
        </w:tc>
        <w:tc>
          <w:tcPr>
            <w:tcW w:w="1866" w:type="dxa"/>
          </w:tcPr>
          <w:p w14:paraId="4BF05A4B" w14:textId="49524658" w:rsidR="00CC212E" w:rsidRPr="00CC212E" w:rsidRDefault="00CC212E" w:rsidP="00CC212E">
            <w:pPr>
              <w:rPr>
                <w:rFonts w:cs="Arial"/>
              </w:rPr>
            </w:pPr>
            <w:r w:rsidRPr="00CC212E">
              <w:rPr>
                <w:rFonts w:cs="Arial"/>
                <w:i/>
                <w:iCs/>
              </w:rPr>
              <w:t>12.1</w:t>
            </w:r>
          </w:p>
        </w:tc>
        <w:tc>
          <w:tcPr>
            <w:tcW w:w="1856" w:type="dxa"/>
          </w:tcPr>
          <w:p w14:paraId="5EC4C14B" w14:textId="74617E40" w:rsidR="00CC212E" w:rsidRPr="00CC212E" w:rsidRDefault="00CC212E" w:rsidP="00CC212E">
            <w:pPr>
              <w:rPr>
                <w:rFonts w:cs="Arial"/>
              </w:rPr>
            </w:pPr>
            <w:r w:rsidRPr="00CC212E">
              <w:rPr>
                <w:rFonts w:cs="Arial"/>
                <w:i/>
                <w:iCs/>
              </w:rPr>
              <w:t>12.3</w:t>
            </w:r>
          </w:p>
        </w:tc>
        <w:tc>
          <w:tcPr>
            <w:tcW w:w="1890" w:type="dxa"/>
          </w:tcPr>
          <w:p w14:paraId="3D38301D" w14:textId="5B3546BF" w:rsidR="00CC212E" w:rsidRPr="00CC212E" w:rsidRDefault="00CC212E" w:rsidP="00CC212E">
            <w:pPr>
              <w:rPr>
                <w:rFonts w:cs="Arial"/>
              </w:rPr>
            </w:pPr>
            <w:r w:rsidRPr="00CC212E">
              <w:rPr>
                <w:rFonts w:cs="Arial"/>
                <w:i/>
                <w:iCs/>
              </w:rPr>
              <w:t>0.98 (0.87-1.10)</w:t>
            </w:r>
          </w:p>
        </w:tc>
        <w:tc>
          <w:tcPr>
            <w:tcW w:w="1860" w:type="dxa"/>
          </w:tcPr>
          <w:p w14:paraId="2F9AA885" w14:textId="25E80400" w:rsidR="00CC212E" w:rsidRPr="00CC212E" w:rsidRDefault="00CC212E" w:rsidP="00CC212E">
            <w:pPr>
              <w:rPr>
                <w:rFonts w:cs="Arial"/>
              </w:rPr>
            </w:pPr>
            <w:r w:rsidRPr="00CC212E">
              <w:rPr>
                <w:rFonts w:cs="Arial"/>
                <w:i/>
                <w:iCs/>
                <w:lang w:val="en-US"/>
              </w:rPr>
              <w:t>NS</w:t>
            </w:r>
          </w:p>
        </w:tc>
      </w:tr>
      <w:tr w:rsidR="00CC212E" w14:paraId="0306ECDF" w14:textId="77777777" w:rsidTr="00CC212E">
        <w:tc>
          <w:tcPr>
            <w:tcW w:w="2104" w:type="dxa"/>
          </w:tcPr>
          <w:p w14:paraId="384CD549" w14:textId="50EE3C15" w:rsidR="00CC212E" w:rsidRPr="00CC212E" w:rsidRDefault="00CC212E" w:rsidP="00CC212E">
            <w:pPr>
              <w:rPr>
                <w:rFonts w:cs="Arial"/>
              </w:rPr>
            </w:pPr>
            <w:r w:rsidRPr="00CC212E">
              <w:rPr>
                <w:rFonts w:cs="Arial"/>
                <w:i/>
                <w:iCs/>
              </w:rPr>
              <w:t>Хоспитализация поради сърдечна недостатъчност</w:t>
            </w:r>
          </w:p>
        </w:tc>
        <w:tc>
          <w:tcPr>
            <w:tcW w:w="1866" w:type="dxa"/>
          </w:tcPr>
          <w:p w14:paraId="769F1819" w14:textId="5E83C16D" w:rsidR="00CC212E" w:rsidRPr="00CC212E" w:rsidRDefault="00CC212E" w:rsidP="00CC212E">
            <w:pPr>
              <w:rPr>
                <w:rFonts w:cs="Arial"/>
              </w:rPr>
            </w:pPr>
            <w:r w:rsidRPr="00CC212E">
              <w:rPr>
                <w:rFonts w:cs="Arial"/>
                <w:i/>
                <w:iCs/>
              </w:rPr>
              <w:t>3.2</w:t>
            </w:r>
          </w:p>
        </w:tc>
        <w:tc>
          <w:tcPr>
            <w:tcW w:w="1856" w:type="dxa"/>
          </w:tcPr>
          <w:p w14:paraId="506C7B54" w14:textId="7FA05D97" w:rsidR="00CC212E" w:rsidRPr="00CC212E" w:rsidRDefault="00CC212E" w:rsidP="00CC212E">
            <w:pPr>
              <w:rPr>
                <w:rFonts w:cs="Arial"/>
              </w:rPr>
            </w:pPr>
            <w:r w:rsidRPr="00CC212E">
              <w:rPr>
                <w:rFonts w:cs="Arial"/>
                <w:i/>
                <w:iCs/>
              </w:rPr>
              <w:t>3.5</w:t>
            </w:r>
          </w:p>
        </w:tc>
        <w:tc>
          <w:tcPr>
            <w:tcW w:w="1890" w:type="dxa"/>
          </w:tcPr>
          <w:p w14:paraId="6CC43648" w14:textId="463378BE" w:rsidR="00CC212E" w:rsidRPr="00CC212E" w:rsidRDefault="00CC212E" w:rsidP="00CC212E">
            <w:pPr>
              <w:rPr>
                <w:rFonts w:cs="Arial"/>
              </w:rPr>
            </w:pPr>
            <w:r w:rsidRPr="00CC212E">
              <w:rPr>
                <w:rFonts w:cs="Arial"/>
                <w:i/>
                <w:iCs/>
              </w:rPr>
              <w:t>0.88 (0.70-1.10)</w:t>
            </w:r>
          </w:p>
        </w:tc>
        <w:tc>
          <w:tcPr>
            <w:tcW w:w="1860" w:type="dxa"/>
          </w:tcPr>
          <w:p w14:paraId="3E635028" w14:textId="3FABF9D9" w:rsidR="00CC212E" w:rsidRPr="00CC212E" w:rsidRDefault="00CC212E" w:rsidP="00CC212E">
            <w:pPr>
              <w:rPr>
                <w:rFonts w:cs="Arial"/>
              </w:rPr>
            </w:pPr>
            <w:r w:rsidRPr="00CC212E">
              <w:rPr>
                <w:rFonts w:cs="Arial"/>
                <w:i/>
                <w:iCs/>
              </w:rPr>
              <w:t>0.25</w:t>
            </w:r>
          </w:p>
        </w:tc>
      </w:tr>
      <w:tr w:rsidR="00CC212E" w14:paraId="4F09210A" w14:textId="77777777" w:rsidTr="00CC212E">
        <w:tc>
          <w:tcPr>
            <w:tcW w:w="2104" w:type="dxa"/>
          </w:tcPr>
          <w:p w14:paraId="3BB9CE6D" w14:textId="439CD818" w:rsidR="00CC212E" w:rsidRPr="00CC212E" w:rsidRDefault="00CC212E" w:rsidP="00CC212E">
            <w:pPr>
              <w:rPr>
                <w:rFonts w:cs="Arial"/>
              </w:rPr>
            </w:pPr>
            <w:r w:rsidRPr="00CC212E">
              <w:rPr>
                <w:rFonts w:cs="Arial"/>
                <w:i/>
                <w:iCs/>
              </w:rPr>
              <w:t>Усложнения, свързани с диабет</w:t>
            </w:r>
          </w:p>
        </w:tc>
        <w:tc>
          <w:tcPr>
            <w:tcW w:w="1866" w:type="dxa"/>
          </w:tcPr>
          <w:p w14:paraId="6230F3E7" w14:textId="731AD786" w:rsidR="00CC212E" w:rsidRPr="00CC212E" w:rsidRDefault="00CC212E" w:rsidP="00CC212E">
            <w:pPr>
              <w:rPr>
                <w:rFonts w:cs="Arial"/>
              </w:rPr>
            </w:pPr>
            <w:r w:rsidRPr="00CC212E">
              <w:rPr>
                <w:rFonts w:cs="Arial"/>
                <w:i/>
                <w:iCs/>
              </w:rPr>
              <w:t>6.4</w:t>
            </w:r>
          </w:p>
        </w:tc>
        <w:tc>
          <w:tcPr>
            <w:tcW w:w="1856" w:type="dxa"/>
          </w:tcPr>
          <w:p w14:paraId="0B09E0A1" w14:textId="67CB2278" w:rsidR="00CC212E" w:rsidRPr="00CC212E" w:rsidRDefault="00CC212E" w:rsidP="00CC212E">
            <w:pPr>
              <w:rPr>
                <w:rFonts w:cs="Arial"/>
              </w:rPr>
            </w:pPr>
            <w:r w:rsidRPr="00CC212E">
              <w:rPr>
                <w:rFonts w:cs="Arial"/>
                <w:i/>
                <w:iCs/>
              </w:rPr>
              <w:t>7.6</w:t>
            </w:r>
          </w:p>
        </w:tc>
        <w:tc>
          <w:tcPr>
            <w:tcW w:w="1890" w:type="dxa"/>
          </w:tcPr>
          <w:p w14:paraId="14FB2FB2" w14:textId="76F639EB" w:rsidR="00CC212E" w:rsidRPr="00CC212E" w:rsidRDefault="00CC212E" w:rsidP="00CC212E">
            <w:pPr>
              <w:rPr>
                <w:rFonts w:cs="Arial"/>
              </w:rPr>
            </w:pPr>
            <w:r w:rsidRPr="00CC212E">
              <w:rPr>
                <w:rFonts w:cs="Arial"/>
                <w:i/>
                <w:iCs/>
              </w:rPr>
              <w:t>0.84 (0.72-0.98)</w:t>
            </w:r>
          </w:p>
        </w:tc>
        <w:tc>
          <w:tcPr>
            <w:tcW w:w="1860" w:type="dxa"/>
          </w:tcPr>
          <w:p w14:paraId="036183C7" w14:textId="77777777" w:rsidR="00CC212E" w:rsidRPr="00CC212E" w:rsidRDefault="00CC212E" w:rsidP="00CC212E">
            <w:pPr>
              <w:rPr>
                <w:rFonts w:cs="Arial"/>
              </w:rPr>
            </w:pPr>
          </w:p>
        </w:tc>
      </w:tr>
    </w:tbl>
    <w:p w14:paraId="28F2C96B" w14:textId="77777777" w:rsidR="00CC212E" w:rsidRDefault="00CC212E" w:rsidP="00CC212E">
      <w:pPr>
        <w:spacing w:line="240" w:lineRule="auto"/>
        <w:rPr>
          <w:rFonts w:eastAsia="Times New Roman" w:cs="Arial"/>
          <w:color w:val="000000"/>
          <w:lang w:eastAsia="bg-BG"/>
        </w:rPr>
      </w:pPr>
    </w:p>
    <w:p w14:paraId="67DA10A6" w14:textId="32BA1CE2"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Изпитването </w:t>
      </w:r>
      <w:r w:rsidRPr="00CC212E">
        <w:rPr>
          <w:rFonts w:eastAsia="Times New Roman" w:cs="Arial"/>
          <w:color w:val="000000"/>
          <w:lang w:val="en-US"/>
        </w:rPr>
        <w:t>MICRO</w:t>
      </w:r>
      <w:r w:rsidRPr="00CC212E">
        <w:rPr>
          <w:rFonts w:eastAsia="Times New Roman" w:cs="Arial"/>
          <w:color w:val="000000"/>
          <w:lang w:val="ru-RU"/>
        </w:rPr>
        <w:t>-</w:t>
      </w:r>
      <w:r w:rsidRPr="00CC212E">
        <w:rPr>
          <w:rFonts w:eastAsia="Times New Roman" w:cs="Arial"/>
          <w:color w:val="000000"/>
          <w:lang w:val="en-US"/>
        </w:rPr>
        <w:t>HOPE</w:t>
      </w:r>
      <w:r w:rsidRPr="00CC212E">
        <w:rPr>
          <w:rFonts w:eastAsia="Times New Roman" w:cs="Arial"/>
          <w:color w:val="000000"/>
          <w:lang w:val="ru-RU"/>
        </w:rPr>
        <w:t xml:space="preserve">, </w:t>
      </w:r>
      <w:r w:rsidRPr="00CC212E">
        <w:rPr>
          <w:rFonts w:eastAsia="Times New Roman" w:cs="Arial"/>
          <w:color w:val="000000"/>
          <w:lang w:eastAsia="bg-BG"/>
        </w:rPr>
        <w:t>предварително определено подизпитване от</w:t>
      </w:r>
      <w:r w:rsidRPr="00CC212E">
        <w:rPr>
          <w:rFonts w:eastAsia="Times New Roman" w:cs="Arial"/>
          <w:color w:val="000000"/>
          <w:lang w:val="ru-RU"/>
        </w:rPr>
        <w:t xml:space="preserve"> </w:t>
      </w:r>
      <w:r w:rsidRPr="00CC212E">
        <w:rPr>
          <w:rFonts w:eastAsia="Times New Roman" w:cs="Arial"/>
          <w:color w:val="000000"/>
          <w:lang w:val="en-US"/>
        </w:rPr>
        <w:t>HOPE</w:t>
      </w:r>
      <w:r w:rsidRPr="00CC212E">
        <w:rPr>
          <w:rFonts w:eastAsia="Times New Roman" w:cs="Arial"/>
          <w:color w:val="000000"/>
          <w:lang w:val="ru-RU"/>
        </w:rPr>
        <w:t xml:space="preserve"> </w:t>
      </w:r>
      <w:r w:rsidRPr="00CC212E">
        <w:rPr>
          <w:rFonts w:eastAsia="Times New Roman" w:cs="Arial"/>
          <w:color w:val="000000"/>
          <w:lang w:eastAsia="bg-BG"/>
        </w:rPr>
        <w:t xml:space="preserve">изследва ефекта от добавянето на рамиприл 10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към текущата схема на лечение спрямо плацебо при</w:t>
      </w:r>
    </w:p>
    <w:p w14:paraId="437C70CE" w14:textId="0AF34D66" w:rsidR="00CC212E" w:rsidRPr="00CC212E" w:rsidRDefault="00CC212E" w:rsidP="00CC212E">
      <w:pPr>
        <w:rPr>
          <w:rFonts w:eastAsia="Times New Roman" w:cs="Arial"/>
          <w:color w:val="000000"/>
          <w:lang w:eastAsia="bg-BG"/>
        </w:rPr>
      </w:pPr>
      <w:r w:rsidRPr="00CC212E">
        <w:rPr>
          <w:rFonts w:eastAsia="Times New Roman" w:cs="Arial"/>
          <w:color w:val="000000"/>
          <w:lang w:eastAsia="bg-BG"/>
        </w:rPr>
        <w:t>577 пациенти на поне 55 годишна възраст и по-възрастни (без горна граница на възрастта), като</w:t>
      </w:r>
    </w:p>
    <w:p w14:paraId="22D8EC81"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мнозинството са с диабет тип 2 (и поне един сърдечносъдов рисков фактор), с нормално артериално налягане или хипертоници.</w:t>
      </w:r>
    </w:p>
    <w:p w14:paraId="76F5E3BB"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Първичният анализ показва, че 117 (6,5%) от участниците на рамиприл и 149 (8,4%) от тези на плацебо развиват доказана нефропатия, което съответства на </w:t>
      </w:r>
      <w:r w:rsidRPr="00CC212E">
        <w:rPr>
          <w:rFonts w:eastAsia="Times New Roman" w:cs="Arial"/>
          <w:color w:val="000000"/>
          <w:lang w:val="en-US"/>
        </w:rPr>
        <w:t>RRR</w:t>
      </w:r>
      <w:r w:rsidRPr="00CC212E">
        <w:rPr>
          <w:rFonts w:eastAsia="Times New Roman" w:cs="Arial"/>
          <w:color w:val="000000"/>
          <w:lang w:val="ru-RU"/>
        </w:rPr>
        <w:t xml:space="preserve"> </w:t>
      </w:r>
      <w:r w:rsidRPr="00CC212E">
        <w:rPr>
          <w:rFonts w:eastAsia="Times New Roman" w:cs="Arial"/>
          <w:color w:val="000000"/>
          <w:lang w:eastAsia="bg-BG"/>
        </w:rPr>
        <w:t xml:space="preserve">24%,95% </w:t>
      </w:r>
      <w:r w:rsidRPr="00CC212E">
        <w:rPr>
          <w:rFonts w:eastAsia="Times New Roman" w:cs="Arial"/>
          <w:color w:val="000000"/>
          <w:lang w:val="en-US"/>
        </w:rPr>
        <w:t>CI</w:t>
      </w:r>
      <w:r w:rsidRPr="00CC212E">
        <w:rPr>
          <w:rFonts w:eastAsia="Times New Roman" w:cs="Arial"/>
          <w:color w:val="000000"/>
          <w:lang w:val="ru-RU"/>
        </w:rPr>
        <w:t xml:space="preserve"> </w:t>
      </w:r>
      <w:r w:rsidRPr="00CC212E">
        <w:rPr>
          <w:rFonts w:eastAsia="Times New Roman" w:cs="Arial"/>
          <w:color w:val="000000"/>
          <w:lang w:eastAsia="bg-BG"/>
        </w:rPr>
        <w:t xml:space="preserve">[3-40], р=0,027. Изпитването </w:t>
      </w:r>
      <w:r w:rsidRPr="00CC212E">
        <w:rPr>
          <w:rFonts w:eastAsia="Times New Roman" w:cs="Arial"/>
          <w:color w:val="000000"/>
          <w:lang w:val="en-US"/>
        </w:rPr>
        <w:t>REIN</w:t>
      </w:r>
      <w:r w:rsidRPr="00CC212E">
        <w:rPr>
          <w:rFonts w:eastAsia="Times New Roman" w:cs="Arial"/>
          <w:color w:val="000000"/>
          <w:lang w:val="ru-RU"/>
        </w:rPr>
        <w:t xml:space="preserve"> </w:t>
      </w:r>
      <w:r w:rsidRPr="00CC212E">
        <w:rPr>
          <w:rFonts w:eastAsia="Times New Roman" w:cs="Arial"/>
          <w:color w:val="000000"/>
          <w:lang w:eastAsia="bg-BG"/>
        </w:rPr>
        <w:t>е многоцентрово рандомизирано, двойно-сляпо, плацебо контролирано изпитване с паралелни групи, целящо оценяване на ефекта от лечението с рамиприл върху честотата на влошаване на степента на гломерулна филтрация (СГФ) при 352 пациенти с нормално артериално налягане или хипертоници (18-70 годишна възраст), страдащи от лека (т.е. средна екскреция на протеин в урина</w:t>
      </w:r>
      <w:r w:rsidRPr="00CC212E">
        <w:rPr>
          <w:rFonts w:eastAsia="Times New Roman" w:cs="Arial"/>
          <w:color w:val="000000"/>
          <w:lang w:val="ru-RU"/>
        </w:rPr>
        <w:t xml:space="preserve"> </w:t>
      </w:r>
      <w:r w:rsidRPr="00CC212E">
        <w:rPr>
          <w:rFonts w:eastAsia="Times New Roman" w:cs="Arial"/>
          <w:color w:val="000000"/>
          <w:lang w:eastAsia="bg-BG"/>
        </w:rPr>
        <w:t xml:space="preserve">&gt; 1 и &lt; 3 </w:t>
      </w:r>
      <w:r w:rsidRPr="00CC212E">
        <w:rPr>
          <w:rFonts w:eastAsia="Times New Roman" w:cs="Arial"/>
          <w:color w:val="000000"/>
          <w:lang w:val="en-US"/>
        </w:rPr>
        <w:t>g</w:t>
      </w:r>
      <w:r w:rsidRPr="00CC212E">
        <w:rPr>
          <w:rFonts w:eastAsia="Times New Roman" w:cs="Arial"/>
          <w:color w:val="000000"/>
          <w:lang w:val="ru-RU"/>
        </w:rPr>
        <w:t xml:space="preserve">/24 </w:t>
      </w:r>
      <w:r w:rsidRPr="00CC212E">
        <w:rPr>
          <w:rFonts w:eastAsia="Times New Roman" w:cs="Arial"/>
          <w:color w:val="000000"/>
          <w:lang w:eastAsia="bg-BG"/>
        </w:rPr>
        <w:t xml:space="preserve">часа) или тежка протеинурия (&gt; 3 </w:t>
      </w:r>
      <w:r w:rsidRPr="00CC212E">
        <w:rPr>
          <w:rFonts w:eastAsia="Times New Roman" w:cs="Arial"/>
          <w:color w:val="000000"/>
          <w:lang w:val="en-US"/>
        </w:rPr>
        <w:t>g</w:t>
      </w:r>
      <w:r w:rsidRPr="00CC212E">
        <w:rPr>
          <w:rFonts w:eastAsia="Times New Roman" w:cs="Arial"/>
          <w:color w:val="000000"/>
          <w:lang w:val="ru-RU"/>
        </w:rPr>
        <w:t xml:space="preserve">/24 </w:t>
      </w:r>
      <w:r w:rsidRPr="00CC212E">
        <w:rPr>
          <w:rFonts w:eastAsia="Times New Roman" w:cs="Arial"/>
          <w:color w:val="000000"/>
          <w:lang w:eastAsia="bg-BG"/>
        </w:rPr>
        <w:t>часа) поради хронична недиабетна нефропатия. И двете субпопулации са били проспективно стратифицирани.</w:t>
      </w:r>
    </w:p>
    <w:p w14:paraId="522E7917"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lastRenderedPageBreak/>
        <w:t xml:space="preserve">Основният анализ на пациентите с най-тежка протеинурия (частта от пациенти преждевременно отстранена, поради предимствата при групата на рамиприл) показва, че средната честота на влошаване на СГФ за месец е била по-ниска при рамиприл, отколкото при плацебо; -0,54 (0,66) спрямо -0,88 (1,03) </w:t>
      </w:r>
      <w:r w:rsidRPr="00CC212E">
        <w:rPr>
          <w:rFonts w:eastAsia="Times New Roman" w:cs="Arial"/>
          <w:color w:val="000000"/>
          <w:lang w:val="en-US"/>
        </w:rPr>
        <w:t>ml</w:t>
      </w:r>
      <w:r w:rsidRPr="00CC212E">
        <w:rPr>
          <w:rFonts w:eastAsia="Times New Roman" w:cs="Arial"/>
          <w:color w:val="000000"/>
          <w:lang w:val="ru-RU"/>
        </w:rPr>
        <w:t>/</w:t>
      </w:r>
      <w:r w:rsidRPr="00CC212E">
        <w:rPr>
          <w:rFonts w:eastAsia="Times New Roman" w:cs="Arial"/>
          <w:color w:val="000000"/>
          <w:lang w:val="en-US"/>
        </w:rPr>
        <w:t>min</w:t>
      </w:r>
      <w:r w:rsidRPr="00CC212E">
        <w:rPr>
          <w:rFonts w:eastAsia="Times New Roman" w:cs="Arial"/>
          <w:color w:val="000000"/>
          <w:lang w:val="ru-RU"/>
        </w:rPr>
        <w:t xml:space="preserve"> </w:t>
      </w:r>
      <w:r w:rsidRPr="00CC212E">
        <w:rPr>
          <w:rFonts w:eastAsia="Times New Roman" w:cs="Arial"/>
          <w:color w:val="000000"/>
          <w:lang w:eastAsia="bg-BG"/>
        </w:rPr>
        <w:t xml:space="preserve">/месец, р = 0,038. Вътрегруповата разлика е била 0,34 [0,03-0,65] за месец, и около 4 </w:t>
      </w:r>
      <w:r w:rsidRPr="00CC212E">
        <w:rPr>
          <w:rFonts w:eastAsia="Times New Roman" w:cs="Arial"/>
          <w:color w:val="000000"/>
          <w:lang w:val="en-US"/>
        </w:rPr>
        <w:t>ml</w:t>
      </w:r>
      <w:r w:rsidRPr="00CC212E">
        <w:rPr>
          <w:rFonts w:eastAsia="Times New Roman" w:cs="Arial"/>
          <w:color w:val="000000"/>
          <w:lang w:val="ru-RU"/>
        </w:rPr>
        <w:t xml:space="preserve">/ </w:t>
      </w:r>
      <w:r w:rsidRPr="00CC212E">
        <w:rPr>
          <w:rFonts w:eastAsia="Times New Roman" w:cs="Arial"/>
          <w:color w:val="000000"/>
          <w:lang w:val="en-US"/>
        </w:rPr>
        <w:t>min</w:t>
      </w:r>
      <w:r w:rsidRPr="00CC212E">
        <w:rPr>
          <w:rFonts w:eastAsia="Times New Roman" w:cs="Arial"/>
          <w:color w:val="000000"/>
          <w:lang w:val="ru-RU"/>
        </w:rPr>
        <w:t xml:space="preserve"> </w:t>
      </w:r>
      <w:r w:rsidRPr="00CC212E">
        <w:rPr>
          <w:rFonts w:eastAsia="Times New Roman" w:cs="Arial"/>
          <w:color w:val="000000"/>
          <w:lang w:eastAsia="bg-BG"/>
        </w:rPr>
        <w:t>/година; 23,1% от пациентите в групата на рамиприл достигат комбинираните вторични крайни точки на удвояване концентрацията на изходния серумен креатинин и/или терминална бъбречна недостатъчност (необходимост от днализа или бъбречна трансплантация) спрямо 45,5 % в групата на плацебо (р = 0,02).</w:t>
      </w:r>
    </w:p>
    <w:p w14:paraId="5E609D7D" w14:textId="77777777" w:rsidR="00CC212E" w:rsidRPr="00CC212E" w:rsidRDefault="00CC212E" w:rsidP="00CC212E">
      <w:pPr>
        <w:spacing w:line="240" w:lineRule="auto"/>
        <w:rPr>
          <w:rFonts w:eastAsia="Times New Roman" w:cs="Arial"/>
          <w:color w:val="000000"/>
          <w:u w:val="single"/>
          <w:lang w:eastAsia="bg-BG"/>
        </w:rPr>
      </w:pPr>
    </w:p>
    <w:p w14:paraId="5BE84072" w14:textId="3F453DCC" w:rsidR="00CC212E" w:rsidRPr="00CC212E" w:rsidRDefault="00CC212E" w:rsidP="00CC212E">
      <w:pPr>
        <w:spacing w:line="240" w:lineRule="auto"/>
        <w:rPr>
          <w:rFonts w:eastAsia="Times New Roman" w:cs="Arial"/>
          <w:sz w:val="24"/>
          <w:szCs w:val="24"/>
        </w:rPr>
      </w:pPr>
      <w:r w:rsidRPr="00CC212E">
        <w:rPr>
          <w:rFonts w:eastAsia="Times New Roman" w:cs="Arial"/>
          <w:color w:val="000000"/>
          <w:u w:val="single"/>
          <w:lang w:eastAsia="bg-BG"/>
        </w:rPr>
        <w:t xml:space="preserve">Двойно блокиране на ренин-ангиотензин-алдостероновата система (РААС) </w:t>
      </w:r>
      <w:r w:rsidRPr="00CC212E">
        <w:rPr>
          <w:rFonts w:eastAsia="Times New Roman" w:cs="Arial"/>
          <w:color w:val="000000"/>
          <w:lang w:eastAsia="bg-BG"/>
        </w:rPr>
        <w:t xml:space="preserve">Две големи рандомизирани контролирани проучвания - </w:t>
      </w:r>
      <w:r w:rsidRPr="00CC212E">
        <w:rPr>
          <w:rFonts w:eastAsia="Times New Roman" w:cs="Arial"/>
          <w:color w:val="000000"/>
          <w:lang w:val="en-US"/>
        </w:rPr>
        <w:t>ONTARGET</w:t>
      </w:r>
      <w:r w:rsidRPr="00CC212E">
        <w:rPr>
          <w:rFonts w:eastAsia="Times New Roman" w:cs="Arial"/>
          <w:color w:val="000000"/>
          <w:lang w:val="ru-RU"/>
        </w:rPr>
        <w:t xml:space="preserve"> (</w:t>
      </w:r>
      <w:proofErr w:type="spellStart"/>
      <w:r w:rsidRPr="00CC212E">
        <w:rPr>
          <w:rFonts w:eastAsia="Times New Roman" w:cs="Arial"/>
          <w:color w:val="000000"/>
          <w:lang w:val="en-US"/>
        </w:rPr>
        <w:t>ONgoing</w:t>
      </w:r>
      <w:proofErr w:type="spellEnd"/>
      <w:r w:rsidRPr="00CC212E">
        <w:rPr>
          <w:rFonts w:eastAsia="Times New Roman" w:cs="Arial"/>
          <w:color w:val="000000"/>
          <w:lang w:val="ru-RU"/>
        </w:rPr>
        <w:t xml:space="preserve"> </w:t>
      </w:r>
      <w:proofErr w:type="spellStart"/>
      <w:r w:rsidRPr="00CC212E">
        <w:rPr>
          <w:rFonts w:eastAsia="Times New Roman" w:cs="Arial"/>
          <w:color w:val="000000"/>
          <w:lang w:val="en-US"/>
        </w:rPr>
        <w:t>Telmisartan</w:t>
      </w:r>
      <w:proofErr w:type="spellEnd"/>
      <w:r w:rsidRPr="00CC212E">
        <w:rPr>
          <w:rFonts w:eastAsia="Times New Roman" w:cs="Arial"/>
          <w:color w:val="000000"/>
          <w:lang w:val="ru-RU"/>
        </w:rPr>
        <w:t xml:space="preserve"> </w:t>
      </w:r>
      <w:r w:rsidRPr="00CC212E">
        <w:rPr>
          <w:rFonts w:eastAsia="Times New Roman" w:cs="Arial"/>
          <w:color w:val="000000"/>
          <w:lang w:val="en-US"/>
        </w:rPr>
        <w:t>Alone</w:t>
      </w:r>
      <w:r w:rsidRPr="00CC212E">
        <w:rPr>
          <w:rFonts w:eastAsia="Times New Roman" w:cs="Arial"/>
          <w:color w:val="000000"/>
          <w:lang w:val="ru-RU"/>
        </w:rPr>
        <w:t xml:space="preserve"> </w:t>
      </w:r>
      <w:r w:rsidRPr="00CC212E">
        <w:rPr>
          <w:rFonts w:eastAsia="Times New Roman" w:cs="Arial"/>
          <w:color w:val="000000"/>
          <w:lang w:val="en-US"/>
        </w:rPr>
        <w:t>and</w:t>
      </w:r>
      <w:r w:rsidRPr="00CC212E">
        <w:rPr>
          <w:rFonts w:eastAsia="Times New Roman" w:cs="Arial"/>
          <w:color w:val="000000"/>
          <w:lang w:val="ru-RU"/>
        </w:rPr>
        <w:t xml:space="preserve"> </w:t>
      </w:r>
      <w:r w:rsidRPr="00CC212E">
        <w:rPr>
          <w:rFonts w:eastAsia="Times New Roman" w:cs="Arial"/>
          <w:color w:val="000000"/>
          <w:lang w:val="en-US"/>
        </w:rPr>
        <w:t>in</w:t>
      </w:r>
      <w:r w:rsidRPr="00CC212E">
        <w:rPr>
          <w:rFonts w:eastAsia="Times New Roman" w:cs="Arial"/>
          <w:color w:val="000000"/>
          <w:lang w:val="ru-RU"/>
        </w:rPr>
        <w:t xml:space="preserve"> </w:t>
      </w:r>
      <w:r w:rsidRPr="00CC212E">
        <w:rPr>
          <w:rFonts w:eastAsia="Times New Roman" w:cs="Arial"/>
          <w:color w:val="000000"/>
          <w:lang w:val="en-US"/>
        </w:rPr>
        <w:t>combination</w:t>
      </w:r>
      <w:r w:rsidRPr="00CC212E">
        <w:rPr>
          <w:rFonts w:eastAsia="Times New Roman" w:cs="Arial"/>
          <w:color w:val="000000"/>
          <w:lang w:val="ru-RU"/>
        </w:rPr>
        <w:t xml:space="preserve"> </w:t>
      </w:r>
      <w:r w:rsidRPr="00CC212E">
        <w:rPr>
          <w:rFonts w:eastAsia="Times New Roman" w:cs="Arial"/>
          <w:color w:val="000000"/>
          <w:lang w:val="en-US"/>
        </w:rPr>
        <w:t>with</w:t>
      </w:r>
      <w:r w:rsidRPr="00CC212E">
        <w:rPr>
          <w:rFonts w:eastAsia="Times New Roman" w:cs="Arial"/>
          <w:color w:val="000000"/>
          <w:lang w:val="ru-RU"/>
        </w:rPr>
        <w:t xml:space="preserve"> </w:t>
      </w:r>
      <w:r w:rsidRPr="00CC212E">
        <w:rPr>
          <w:rFonts w:eastAsia="Times New Roman" w:cs="Arial"/>
          <w:color w:val="000000"/>
          <w:lang w:val="en-US"/>
        </w:rPr>
        <w:t>Ramipril</w:t>
      </w:r>
      <w:r w:rsidRPr="00CC212E">
        <w:rPr>
          <w:rFonts w:eastAsia="Times New Roman" w:cs="Arial"/>
          <w:color w:val="000000"/>
          <w:lang w:val="ru-RU"/>
        </w:rPr>
        <w:t xml:space="preserve"> </w:t>
      </w:r>
      <w:r w:rsidRPr="00CC212E">
        <w:rPr>
          <w:rFonts w:eastAsia="Times New Roman" w:cs="Arial"/>
          <w:color w:val="000000"/>
          <w:lang w:val="en-US"/>
        </w:rPr>
        <w:t>Global</w:t>
      </w:r>
      <w:r w:rsidRPr="00CC212E">
        <w:rPr>
          <w:rFonts w:eastAsia="Times New Roman" w:cs="Arial"/>
          <w:color w:val="000000"/>
          <w:lang w:val="ru-RU"/>
        </w:rPr>
        <w:t xml:space="preserve"> </w:t>
      </w:r>
      <w:r w:rsidRPr="00CC212E">
        <w:rPr>
          <w:rFonts w:eastAsia="Times New Roman" w:cs="Arial"/>
          <w:color w:val="000000"/>
          <w:lang w:val="en-US"/>
        </w:rPr>
        <w:t>Endpoint</w:t>
      </w:r>
      <w:r w:rsidRPr="00CC212E">
        <w:rPr>
          <w:rFonts w:eastAsia="Times New Roman" w:cs="Arial"/>
          <w:color w:val="000000"/>
          <w:lang w:val="ru-RU"/>
        </w:rPr>
        <w:t xml:space="preserve"> </w:t>
      </w:r>
      <w:r w:rsidRPr="00CC212E">
        <w:rPr>
          <w:rFonts w:eastAsia="Times New Roman" w:cs="Arial"/>
          <w:color w:val="000000"/>
          <w:lang w:val="en-US"/>
        </w:rPr>
        <w:t>Trial</w:t>
      </w:r>
      <w:r w:rsidRPr="00CC212E">
        <w:rPr>
          <w:rFonts w:eastAsia="Times New Roman" w:cs="Arial"/>
          <w:color w:val="000000"/>
          <w:lang w:val="ru-RU"/>
        </w:rPr>
        <w:t xml:space="preserve"> - </w:t>
      </w:r>
      <w:r w:rsidRPr="00CC212E">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CC212E">
        <w:rPr>
          <w:rFonts w:eastAsia="Times New Roman" w:cs="Arial"/>
          <w:color w:val="000000"/>
          <w:lang w:val="en-US"/>
        </w:rPr>
        <w:t>VA</w:t>
      </w:r>
      <w:r w:rsidRPr="00CC212E">
        <w:rPr>
          <w:rFonts w:eastAsia="Times New Roman" w:cs="Arial"/>
          <w:color w:val="000000"/>
          <w:lang w:val="ru-RU"/>
        </w:rPr>
        <w:t xml:space="preserve"> </w:t>
      </w:r>
      <w:r w:rsidRPr="00CC212E">
        <w:rPr>
          <w:rFonts w:eastAsia="Times New Roman" w:cs="Arial"/>
          <w:color w:val="000000"/>
          <w:lang w:val="en-US"/>
        </w:rPr>
        <w:t>NEPHRON</w:t>
      </w:r>
      <w:r w:rsidRPr="00CC212E">
        <w:rPr>
          <w:rFonts w:eastAsia="Times New Roman" w:cs="Arial"/>
          <w:color w:val="000000"/>
          <w:lang w:val="ru-RU"/>
        </w:rPr>
        <w:t>-</w:t>
      </w:r>
      <w:r w:rsidRPr="00CC212E">
        <w:rPr>
          <w:rFonts w:eastAsia="Times New Roman" w:cs="Arial"/>
          <w:color w:val="000000"/>
          <w:lang w:val="en-US"/>
        </w:rPr>
        <w:t>D</w:t>
      </w:r>
      <w:r w:rsidRPr="00CC212E">
        <w:rPr>
          <w:rFonts w:eastAsia="Times New Roman" w:cs="Arial"/>
          <w:color w:val="000000"/>
          <w:lang w:val="ru-RU"/>
        </w:rPr>
        <w:t xml:space="preserve"> </w:t>
      </w:r>
      <w:r w:rsidRPr="00CC212E">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CC212E">
        <w:rPr>
          <w:rFonts w:eastAsia="Times New Roman" w:cs="Arial"/>
          <w:color w:val="000000"/>
          <w:lang w:val="en-US"/>
        </w:rPr>
        <w:t>II</w:t>
      </w:r>
      <w:r w:rsidRPr="00CC212E">
        <w:rPr>
          <w:rFonts w:eastAsia="Times New Roman" w:cs="Arial"/>
          <w:color w:val="000000"/>
          <w:lang w:eastAsia="bg-BG"/>
        </w:rPr>
        <w:t>-рецепторен блокер.</w:t>
      </w:r>
    </w:p>
    <w:p w14:paraId="77FD2E20"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val="en-US"/>
        </w:rPr>
        <w:t>ONTARGET</w:t>
      </w:r>
      <w:r w:rsidRPr="00CC212E">
        <w:rPr>
          <w:rFonts w:eastAsia="Times New Roman" w:cs="Arial"/>
          <w:color w:val="000000"/>
          <w:lang w:val="ru-RU"/>
        </w:rPr>
        <w:t xml:space="preserve"> </w:t>
      </w:r>
      <w:r w:rsidRPr="00CC212E">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CC212E">
        <w:rPr>
          <w:rFonts w:eastAsia="Times New Roman" w:cs="Arial"/>
          <w:color w:val="000000"/>
          <w:lang w:val="en-US"/>
        </w:rPr>
        <w:t>VA</w:t>
      </w:r>
      <w:r w:rsidRPr="00CC212E">
        <w:rPr>
          <w:rFonts w:eastAsia="Times New Roman" w:cs="Arial"/>
          <w:color w:val="000000"/>
          <w:lang w:val="ru-RU"/>
        </w:rPr>
        <w:t xml:space="preserve"> </w:t>
      </w:r>
      <w:r w:rsidRPr="00CC212E">
        <w:rPr>
          <w:rFonts w:eastAsia="Times New Roman" w:cs="Arial"/>
          <w:color w:val="000000"/>
          <w:lang w:val="en-US"/>
        </w:rPr>
        <w:t>NEPHRON</w:t>
      </w:r>
      <w:r w:rsidRPr="00CC212E">
        <w:rPr>
          <w:rFonts w:eastAsia="Times New Roman" w:cs="Arial"/>
          <w:color w:val="000000"/>
          <w:lang w:val="ru-RU"/>
        </w:rPr>
        <w:t>-</w:t>
      </w:r>
      <w:r w:rsidRPr="00CC212E">
        <w:rPr>
          <w:rFonts w:eastAsia="Times New Roman" w:cs="Arial"/>
          <w:color w:val="000000"/>
          <w:lang w:val="en-US"/>
        </w:rPr>
        <w:t>D</w:t>
      </w:r>
      <w:r w:rsidRPr="00CC212E">
        <w:rPr>
          <w:rFonts w:eastAsia="Times New Roman" w:cs="Arial"/>
          <w:color w:val="000000"/>
          <w:lang w:val="ru-RU"/>
        </w:rPr>
        <w:t xml:space="preserve"> </w:t>
      </w:r>
      <w:r w:rsidRPr="00CC212E">
        <w:rPr>
          <w:rFonts w:eastAsia="Times New Roman" w:cs="Arial"/>
          <w:color w:val="000000"/>
          <w:lang w:eastAsia="bg-BG"/>
        </w:rPr>
        <w:t>е проучване при пациенти със захарен диабет тип 2 и диабетна нефропатия.</w:t>
      </w:r>
    </w:p>
    <w:p w14:paraId="46DF843A"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монотерапията.Като се имат предвид сходните им фармакодинамични свойства, тези резултати са приложими и за други АСЕ инхибитори и ангиотензин </w:t>
      </w:r>
      <w:r w:rsidRPr="00CC212E">
        <w:rPr>
          <w:rFonts w:eastAsia="Times New Roman" w:cs="Arial"/>
          <w:color w:val="000000"/>
          <w:lang w:val="en-US"/>
        </w:rPr>
        <w:t>II</w:t>
      </w:r>
      <w:r w:rsidRPr="00CC212E">
        <w:rPr>
          <w:rFonts w:eastAsia="Times New Roman" w:cs="Arial"/>
          <w:color w:val="000000"/>
          <w:lang w:eastAsia="bg-BG"/>
        </w:rPr>
        <w:t>-рецепторни блокери.</w:t>
      </w:r>
    </w:p>
    <w:p w14:paraId="07E06FA1"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АСЕ инхибитори и ангиотензин </w:t>
      </w:r>
      <w:r w:rsidRPr="00CC212E">
        <w:rPr>
          <w:rFonts w:eastAsia="Times New Roman" w:cs="Arial"/>
          <w:color w:val="000000"/>
          <w:lang w:val="en-US"/>
        </w:rPr>
        <w:t>II</w:t>
      </w:r>
      <w:r w:rsidRPr="00CC212E">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48271CB3"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val="en-US"/>
        </w:rPr>
        <w:t>ALTITUDE</w:t>
      </w:r>
      <w:r w:rsidRPr="00CC212E">
        <w:rPr>
          <w:rFonts w:eastAsia="Times New Roman" w:cs="Arial"/>
          <w:color w:val="000000"/>
          <w:lang w:val="ru-RU"/>
        </w:rPr>
        <w:t xml:space="preserve"> </w:t>
      </w:r>
      <w:r w:rsidRPr="00CC212E">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CC212E">
        <w:rPr>
          <w:rFonts w:eastAsia="Times New Roman" w:cs="Arial"/>
          <w:color w:val="000000"/>
          <w:lang w:val="en-US"/>
        </w:rPr>
        <w:t>II</w:t>
      </w:r>
      <w:r w:rsidRPr="00CC212E">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39490E34" w14:textId="77777777" w:rsidR="00CC212E" w:rsidRPr="00CC212E" w:rsidRDefault="00CC212E" w:rsidP="00CC212E">
      <w:pPr>
        <w:spacing w:line="240" w:lineRule="auto"/>
        <w:rPr>
          <w:rFonts w:eastAsia="Times New Roman" w:cs="Arial"/>
          <w:color w:val="000000"/>
          <w:u w:val="single"/>
          <w:lang w:eastAsia="bg-BG"/>
        </w:rPr>
      </w:pPr>
    </w:p>
    <w:p w14:paraId="1F84D51F" w14:textId="3B86B135" w:rsidR="00CC212E" w:rsidRPr="00CC212E" w:rsidRDefault="00CC212E" w:rsidP="00CC212E">
      <w:pPr>
        <w:spacing w:line="240" w:lineRule="auto"/>
        <w:rPr>
          <w:rFonts w:eastAsia="Times New Roman" w:cs="Arial"/>
          <w:sz w:val="24"/>
          <w:szCs w:val="24"/>
        </w:rPr>
      </w:pPr>
      <w:r w:rsidRPr="00CC212E">
        <w:rPr>
          <w:rFonts w:eastAsia="Times New Roman" w:cs="Arial"/>
          <w:color w:val="000000"/>
          <w:u w:val="single"/>
          <w:lang w:eastAsia="bg-BG"/>
        </w:rPr>
        <w:t>Вторична профилактика след остър миокарден инфаркт</w:t>
      </w:r>
    </w:p>
    <w:p w14:paraId="31C39596" w14:textId="77777777" w:rsidR="00CC212E" w:rsidRPr="00CC212E" w:rsidRDefault="00CC212E" w:rsidP="00CC212E">
      <w:pPr>
        <w:spacing w:line="240" w:lineRule="auto"/>
        <w:rPr>
          <w:rFonts w:eastAsia="Times New Roman" w:cs="Arial"/>
          <w:color w:val="000000"/>
          <w:lang w:eastAsia="bg-BG"/>
        </w:rPr>
      </w:pPr>
    </w:p>
    <w:p w14:paraId="38A57D90" w14:textId="71C05C8B" w:rsidR="00CC212E" w:rsidRPr="00CC212E" w:rsidRDefault="00CC212E" w:rsidP="00CC212E">
      <w:pPr>
        <w:spacing w:line="240" w:lineRule="auto"/>
        <w:rPr>
          <w:rFonts w:eastAsia="Times New Roman" w:cs="Arial"/>
          <w:color w:val="000000"/>
          <w:lang w:eastAsia="bg-BG"/>
        </w:rPr>
      </w:pPr>
      <w:r w:rsidRPr="00CC212E">
        <w:rPr>
          <w:rFonts w:eastAsia="Times New Roman" w:cs="Arial"/>
          <w:color w:val="000000"/>
          <w:lang w:eastAsia="bg-BG"/>
        </w:rPr>
        <w:t xml:space="preserve">Изпитването </w:t>
      </w:r>
      <w:r w:rsidRPr="00CC212E">
        <w:rPr>
          <w:rFonts w:eastAsia="Times New Roman" w:cs="Arial"/>
          <w:color w:val="000000"/>
          <w:lang w:val="en-US"/>
        </w:rPr>
        <w:t>AIRE</w:t>
      </w:r>
      <w:r w:rsidRPr="00CC212E">
        <w:rPr>
          <w:rFonts w:eastAsia="Times New Roman" w:cs="Arial"/>
          <w:color w:val="000000"/>
          <w:lang w:val="ru-RU"/>
        </w:rPr>
        <w:t xml:space="preserve"> </w:t>
      </w:r>
      <w:r w:rsidRPr="00CC212E">
        <w:rPr>
          <w:rFonts w:eastAsia="Times New Roman" w:cs="Arial"/>
          <w:color w:val="000000"/>
          <w:lang w:eastAsia="bg-BG"/>
        </w:rPr>
        <w:t>включва повече от 2 000 пациенти с преходни/персистращи клинични признаци на сърдечна недостатъчност след доказан миокарден инфаркт. Леченеито с рамиприл е започнато 3 до 10 дни след острия миокарден инфаркт. Изпитването, показва че с след средно</w:t>
      </w:r>
      <w:r w:rsidRPr="00CC212E">
        <w:rPr>
          <w:rFonts w:eastAsia="Times New Roman" w:cs="Arial"/>
          <w:sz w:val="24"/>
          <w:szCs w:val="24"/>
          <w:lang w:val="ru-RU"/>
        </w:rPr>
        <w:t xml:space="preserve"> </w:t>
      </w:r>
      <w:r w:rsidRPr="00CC212E">
        <w:rPr>
          <w:rFonts w:eastAsia="Times New Roman" w:cs="Arial"/>
          <w:color w:val="000000"/>
          <w:lang w:eastAsia="bg-BG"/>
        </w:rPr>
        <w:t>време на проследяване от 15 месеца, смъртността при пациентите лекувани с рамиприл е била</w:t>
      </w:r>
      <w:r w:rsidRPr="00CC212E">
        <w:rPr>
          <w:rFonts w:eastAsia="Times New Roman" w:cs="Arial"/>
          <w:color w:val="000000"/>
          <w:lang w:val="ru-RU" w:eastAsia="bg-BG"/>
        </w:rPr>
        <w:t xml:space="preserve"> </w:t>
      </w:r>
      <w:r w:rsidRPr="00CC212E">
        <w:rPr>
          <w:rFonts w:eastAsia="Times New Roman" w:cs="Arial"/>
          <w:color w:val="000000"/>
          <w:lang w:eastAsia="bg-BG"/>
        </w:rPr>
        <w:t xml:space="preserve">16,9 %, а при пациентите на плацебо -22,6 %. Това означава несъмнено намаляване на смъртността с 5,7 % и намаляване на относителния риск с 27 % (95 % </w:t>
      </w:r>
      <w:r w:rsidRPr="00CC212E">
        <w:rPr>
          <w:rFonts w:eastAsia="Times New Roman" w:cs="Arial"/>
          <w:color w:val="000000"/>
          <w:lang w:val="en-US"/>
        </w:rPr>
        <w:t>CI</w:t>
      </w:r>
      <w:r w:rsidRPr="00CC212E">
        <w:rPr>
          <w:rFonts w:eastAsia="Times New Roman" w:cs="Arial"/>
          <w:color w:val="000000"/>
          <w:lang w:val="ru-RU"/>
        </w:rPr>
        <w:t xml:space="preserve"> </w:t>
      </w:r>
      <w:r w:rsidRPr="00CC212E">
        <w:rPr>
          <w:rFonts w:eastAsia="Times New Roman" w:cs="Arial"/>
          <w:color w:val="000000"/>
          <w:lang w:eastAsia="bg-BG"/>
        </w:rPr>
        <w:t>[11-40%]).</w:t>
      </w:r>
    </w:p>
    <w:p w14:paraId="249A20FC" w14:textId="77777777" w:rsidR="00CC212E" w:rsidRPr="00CC212E" w:rsidRDefault="00CC212E" w:rsidP="00CC212E">
      <w:pPr>
        <w:spacing w:line="240" w:lineRule="auto"/>
        <w:rPr>
          <w:rFonts w:eastAsia="Times New Roman" w:cs="Arial"/>
          <w:i/>
          <w:iCs/>
          <w:color w:val="000000"/>
          <w:u w:val="single"/>
          <w:lang w:eastAsia="bg-BG"/>
        </w:rPr>
      </w:pPr>
    </w:p>
    <w:p w14:paraId="3FCED308" w14:textId="210DAC5D" w:rsidR="00CC212E" w:rsidRPr="00CC212E" w:rsidRDefault="00CC212E" w:rsidP="00CC212E">
      <w:pPr>
        <w:spacing w:line="240" w:lineRule="auto"/>
        <w:rPr>
          <w:rFonts w:eastAsia="Times New Roman" w:cs="Arial"/>
          <w:sz w:val="24"/>
          <w:szCs w:val="24"/>
        </w:rPr>
      </w:pPr>
      <w:r w:rsidRPr="00CC212E">
        <w:rPr>
          <w:rFonts w:eastAsia="Times New Roman" w:cs="Arial"/>
          <w:i/>
          <w:iCs/>
          <w:color w:val="000000"/>
          <w:u w:val="single"/>
          <w:lang w:eastAsia="bg-BG"/>
        </w:rPr>
        <w:t>Педиатрична популация</w:t>
      </w:r>
    </w:p>
    <w:p w14:paraId="7C82ABF3"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lastRenderedPageBreak/>
        <w:t xml:space="preserve">При рандомизирано, двойно-сляпо, плацебо-проконтролирано клинично проучване включващо 244 педиатрични пациенти с хипертония (73 % първична хипертония), на възраст от 6 до 16 години, като пациентите са получавали ниска доза, средна доза, или висока доза рамиприл, за да достигнат плазмени концентрации на рамиприлат, отговарящи на дозовите нива при възрастни, съответно 1,25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и 20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на базата на телесното тегло. В края на четвъртата седмица, рамиприл е бил неефективен в крайната точка на понижаване на систоличното кръвно налягане, но е понижил диастоличното кръвно налягане в най-висока доза. И средната, и високата доза на Рамиприл са показали значителна редукция на систоличното и на диастоличното кръвно налягане при деца с потвърдена хипертония.</w:t>
      </w:r>
    </w:p>
    <w:p w14:paraId="3C0B8582"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Този ефект не е бил потвърден при 4-седмично, дозо-ескалиращо, рандомизирано, двойно- сляпо, оттеглящо проучване при 218 педиатрични пациенти на възраст от 6 до 16 години (75 % първична хипертония), където и диастоличното, и систоличното кръвно налягане са показали значителен спад, но не и статистически значим обрат към базовата линия, при всички три дозови нива [ниска доза (0.625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- 2.5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средна доза (2.5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- 10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или висока доза (5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- 20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рамиприл, базиран на тегло. При изследваната педиатрична популация, рамиприл не е показал линеарен дозов отговор.</w:t>
      </w:r>
    </w:p>
    <w:p w14:paraId="32ECFFF2" w14:textId="374E6393" w:rsidR="00CC212E" w:rsidRPr="00CC212E" w:rsidRDefault="00CC212E" w:rsidP="00CC212E"/>
    <w:p w14:paraId="35F84B81" w14:textId="7BAB30BC" w:rsidR="00CF77F7" w:rsidRDefault="002C50EE" w:rsidP="004A448E">
      <w:pPr>
        <w:pStyle w:val="Heading2"/>
      </w:pPr>
      <w:r>
        <w:t>5.2. Фармакокинетични свойства</w:t>
      </w:r>
    </w:p>
    <w:p w14:paraId="7179A065" w14:textId="620B2585" w:rsidR="00CC212E" w:rsidRDefault="00CC212E" w:rsidP="00CC212E"/>
    <w:p w14:paraId="587F25A0" w14:textId="77777777" w:rsidR="00CC212E" w:rsidRPr="00CC212E" w:rsidRDefault="00CC212E" w:rsidP="00CC212E">
      <w:pPr>
        <w:pStyle w:val="Heading3"/>
        <w:rPr>
          <w:rFonts w:eastAsia="Times New Roman"/>
          <w:u w:val="single"/>
        </w:rPr>
      </w:pPr>
      <w:r w:rsidRPr="00CC212E">
        <w:rPr>
          <w:rFonts w:eastAsia="Times New Roman"/>
          <w:u w:val="single"/>
          <w:lang w:eastAsia="bg-BG"/>
        </w:rPr>
        <w:t>Абсорбция</w:t>
      </w:r>
    </w:p>
    <w:p w14:paraId="20D3535A"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След перорално приложение рамиприл се абсорбира бързо в стомашно-чревния тракт: пикова плазмена концентрация на рамиприл се достига в рамките на един час. Въз основа на възстановяване в урината, степента на абсорбция е поне 56% и не се повлиява значимо от присъствието на храна в стомашно-чревния тракт. Бионаличността на активния метаболит рамиприлат след перорално приложение на 2,5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и 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рамиприл е 45 %.</w:t>
      </w:r>
    </w:p>
    <w:p w14:paraId="66317092"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Пикова плазмена концентрация на рамиприлат, единствения активен метаболит на рамиприл се достига 2-4 часа след приема на рамиприл. Стационарните плазмени концентрации на рамиприлат след прилагане веднъж дневно на обичайни дози рамиприл се достигат след около четири дни от началото на лечението.</w:t>
      </w:r>
    </w:p>
    <w:p w14:paraId="7FAB09DB" w14:textId="77777777" w:rsidR="00CC212E" w:rsidRPr="00CC212E" w:rsidRDefault="00CC212E" w:rsidP="00CC212E">
      <w:pPr>
        <w:spacing w:line="240" w:lineRule="auto"/>
        <w:rPr>
          <w:rFonts w:eastAsia="Times New Roman" w:cs="Arial"/>
          <w:color w:val="000000"/>
          <w:u w:val="single"/>
          <w:lang w:eastAsia="bg-BG"/>
        </w:rPr>
      </w:pPr>
    </w:p>
    <w:p w14:paraId="11B878D1" w14:textId="14A7AD2B" w:rsidR="00CC212E" w:rsidRPr="00CC212E" w:rsidRDefault="00CC212E" w:rsidP="00CC212E">
      <w:pPr>
        <w:pStyle w:val="Heading3"/>
        <w:rPr>
          <w:rFonts w:eastAsia="Times New Roman"/>
          <w:u w:val="single"/>
        </w:rPr>
      </w:pPr>
      <w:r w:rsidRPr="00CC212E">
        <w:rPr>
          <w:rFonts w:eastAsia="Times New Roman"/>
          <w:u w:val="single"/>
          <w:lang w:eastAsia="bg-BG"/>
        </w:rPr>
        <w:t>Разпределение</w:t>
      </w:r>
    </w:p>
    <w:p w14:paraId="6CFFB35A"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Серумните протеини на рамиприл е около 73%, а този на рамиприлат около 56%.</w:t>
      </w:r>
    </w:p>
    <w:p w14:paraId="0384746A" w14:textId="77777777" w:rsidR="00CC212E" w:rsidRPr="00CC212E" w:rsidRDefault="00CC212E" w:rsidP="00CC212E">
      <w:pPr>
        <w:spacing w:line="240" w:lineRule="auto"/>
        <w:rPr>
          <w:rFonts w:eastAsia="Times New Roman" w:cs="Arial"/>
          <w:color w:val="000000"/>
          <w:u w:val="single"/>
          <w:lang w:eastAsia="bg-BG"/>
        </w:rPr>
      </w:pPr>
    </w:p>
    <w:p w14:paraId="28908433" w14:textId="5FA62273" w:rsidR="00CC212E" w:rsidRPr="00CC212E" w:rsidRDefault="00CC212E" w:rsidP="00CC212E">
      <w:pPr>
        <w:pStyle w:val="Heading3"/>
        <w:rPr>
          <w:rFonts w:eastAsia="Times New Roman"/>
          <w:u w:val="single"/>
        </w:rPr>
      </w:pPr>
      <w:r w:rsidRPr="00CC212E">
        <w:rPr>
          <w:rFonts w:eastAsia="Times New Roman"/>
          <w:u w:val="single"/>
          <w:lang w:eastAsia="bg-BG"/>
        </w:rPr>
        <w:t>Биотрансформация</w:t>
      </w:r>
    </w:p>
    <w:p w14:paraId="4B2C5FC9"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Рамиприл почти напълно се метаболизира до рамиприлат, и до дикетопиперазинов естер, дикетопиперазинова киселина, и глюкуронидите на рамиприл и рамиприлат.</w:t>
      </w:r>
    </w:p>
    <w:p w14:paraId="4DB44EEE" w14:textId="77777777" w:rsidR="00CC212E" w:rsidRPr="00CC212E" w:rsidRDefault="00CC212E" w:rsidP="00CC212E">
      <w:pPr>
        <w:spacing w:line="240" w:lineRule="auto"/>
        <w:rPr>
          <w:rFonts w:eastAsia="Times New Roman" w:cs="Arial"/>
          <w:color w:val="000000"/>
          <w:u w:val="single"/>
          <w:lang w:eastAsia="bg-BG"/>
        </w:rPr>
      </w:pPr>
    </w:p>
    <w:p w14:paraId="006371E6" w14:textId="0B72C9CC" w:rsidR="00CC212E" w:rsidRPr="00CC212E" w:rsidRDefault="00CC212E" w:rsidP="00CC212E">
      <w:pPr>
        <w:pStyle w:val="Heading3"/>
        <w:rPr>
          <w:rFonts w:eastAsia="Times New Roman"/>
          <w:u w:val="single"/>
        </w:rPr>
      </w:pPr>
      <w:r w:rsidRPr="00CC212E">
        <w:rPr>
          <w:rFonts w:eastAsia="Times New Roman"/>
          <w:u w:val="single"/>
          <w:lang w:eastAsia="bg-BG"/>
        </w:rPr>
        <w:t>Елиминиране</w:t>
      </w:r>
    </w:p>
    <w:p w14:paraId="021529CC"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Екскрецията на метаболитите е предимно бъбречна.</w:t>
      </w:r>
    </w:p>
    <w:p w14:paraId="00F13528"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Плазмената концентрация на рамиприлат намалява по полифазов начин. Поради неговото силно, насищащо свързване с АСЕ и бавното разделяне от ензима, рамиприлат показва удължена терминална елиминационна фаза при много ниски плазмени концентрации.</w:t>
      </w:r>
    </w:p>
    <w:p w14:paraId="4090EA4E"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След многократно прилагане на дози рамиприл, веднъж дневно, ефективният полуживот на рамиприлат е 13-17 часа за дози от 5-10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и по-дълъг за по-ниските дози 1,25-2,5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Тази разлика е свързана с капацитета за насищане на ензима чрез свързване с рамиприлат.</w:t>
      </w:r>
    </w:p>
    <w:p w14:paraId="0351D84F" w14:textId="77777777" w:rsidR="00CC212E" w:rsidRPr="00CC212E" w:rsidRDefault="00CC212E" w:rsidP="00CC212E">
      <w:pPr>
        <w:spacing w:line="240" w:lineRule="auto"/>
        <w:rPr>
          <w:rFonts w:eastAsia="Times New Roman" w:cs="Arial"/>
          <w:color w:val="000000"/>
          <w:lang w:eastAsia="bg-BG"/>
        </w:rPr>
      </w:pPr>
    </w:p>
    <w:p w14:paraId="1279816D" w14:textId="1944E6AA"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Пациенти с бъбречно увреждане (вж. точка 4.2)</w:t>
      </w:r>
    </w:p>
    <w:p w14:paraId="5A66E313"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w:t>
      </w:r>
    </w:p>
    <w:p w14:paraId="60AB4FA2" w14:textId="75E40C4A" w:rsidR="00CC212E" w:rsidRPr="00CC212E" w:rsidRDefault="00CC212E" w:rsidP="00CC212E">
      <w:pPr>
        <w:rPr>
          <w:rFonts w:eastAsia="Times New Roman" w:cs="Arial"/>
          <w:color w:val="000000"/>
          <w:lang w:eastAsia="bg-BG"/>
        </w:rPr>
      </w:pPr>
      <w:r w:rsidRPr="00CC212E">
        <w:rPr>
          <w:rFonts w:eastAsia="Times New Roman" w:cs="Arial"/>
          <w:color w:val="000000"/>
          <w:lang w:eastAsia="bg-BG"/>
        </w:rPr>
        <w:t>отколкото при индивиди с нормална бъбречна функция.</w:t>
      </w:r>
    </w:p>
    <w:p w14:paraId="48B85890" w14:textId="632A6972" w:rsidR="00CC212E" w:rsidRPr="00CC212E" w:rsidRDefault="00CC212E" w:rsidP="00CC212E">
      <w:pPr>
        <w:rPr>
          <w:rFonts w:eastAsia="Times New Roman" w:cs="Arial"/>
          <w:color w:val="000000"/>
          <w:lang w:eastAsia="bg-BG"/>
        </w:rPr>
      </w:pPr>
    </w:p>
    <w:p w14:paraId="51664911"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Пациенти с чернодробно увреждане (вж. точка 4.2)</w:t>
      </w:r>
    </w:p>
    <w:p w14:paraId="7D8769F8" w14:textId="77777777" w:rsidR="00CC212E" w:rsidRPr="00CC212E" w:rsidRDefault="00CC212E" w:rsidP="00CC212E">
      <w:pPr>
        <w:spacing w:line="240" w:lineRule="auto"/>
        <w:rPr>
          <w:rFonts w:eastAsia="Times New Roman" w:cs="Arial"/>
          <w:color w:val="000000"/>
          <w:lang w:eastAsia="bg-BG"/>
        </w:rPr>
      </w:pPr>
      <w:r w:rsidRPr="00CC212E">
        <w:rPr>
          <w:rFonts w:eastAsia="Times New Roman" w:cs="Arial"/>
          <w:color w:val="000000"/>
          <w:lang w:eastAsia="bg-BG"/>
        </w:rPr>
        <w:t xml:space="preserve">При пациенти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тези наблюдавани при индивиди с нормална чернодробна </w:t>
      </w:r>
    </w:p>
    <w:p w14:paraId="5C0E017E" w14:textId="6763DFA3"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функция.</w:t>
      </w:r>
    </w:p>
    <w:p w14:paraId="4E583D4A" w14:textId="77777777" w:rsidR="00CC212E" w:rsidRPr="00CC212E" w:rsidRDefault="00CC212E" w:rsidP="00CC212E">
      <w:pPr>
        <w:spacing w:line="240" w:lineRule="auto"/>
        <w:rPr>
          <w:rFonts w:eastAsia="Times New Roman" w:cs="Arial"/>
          <w:i/>
          <w:iCs/>
          <w:color w:val="000000"/>
          <w:u w:val="single"/>
          <w:lang w:eastAsia="bg-BG"/>
        </w:rPr>
      </w:pPr>
    </w:p>
    <w:p w14:paraId="205C2354" w14:textId="4EF955AA" w:rsidR="00CC212E" w:rsidRPr="00CC212E" w:rsidRDefault="00CC212E" w:rsidP="00CC212E">
      <w:pPr>
        <w:pStyle w:val="Heading3"/>
        <w:rPr>
          <w:rFonts w:eastAsia="Times New Roman"/>
          <w:u w:val="single"/>
        </w:rPr>
      </w:pPr>
      <w:r w:rsidRPr="00CC212E">
        <w:rPr>
          <w:rFonts w:eastAsia="Times New Roman"/>
          <w:u w:val="single"/>
          <w:lang w:eastAsia="bg-BG"/>
        </w:rPr>
        <w:t>Кърмене</w:t>
      </w:r>
    </w:p>
    <w:p w14:paraId="09C41E38"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Еднократен прием на 10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перорално приложение на рамиприл води до неоткриваеми нива в майчиното мляко. Въпреки това влиянието на многократни дози не е известна.</w:t>
      </w:r>
    </w:p>
    <w:p w14:paraId="2AF9C952" w14:textId="77777777" w:rsidR="00CC212E" w:rsidRPr="00CC212E" w:rsidRDefault="00CC212E" w:rsidP="00CC212E">
      <w:pPr>
        <w:spacing w:line="240" w:lineRule="auto"/>
        <w:rPr>
          <w:rFonts w:eastAsia="Times New Roman" w:cs="Arial"/>
          <w:i/>
          <w:iCs/>
          <w:color w:val="000000"/>
          <w:u w:val="single"/>
          <w:lang w:eastAsia="bg-BG"/>
        </w:rPr>
      </w:pPr>
    </w:p>
    <w:p w14:paraId="43C7EF82" w14:textId="2A341441" w:rsidR="00CC212E" w:rsidRPr="00CC212E" w:rsidRDefault="00CC212E" w:rsidP="00CC212E">
      <w:pPr>
        <w:pStyle w:val="Heading3"/>
        <w:rPr>
          <w:rFonts w:eastAsia="Times New Roman"/>
          <w:u w:val="single"/>
        </w:rPr>
      </w:pPr>
      <w:r w:rsidRPr="00CC212E">
        <w:rPr>
          <w:rFonts w:eastAsia="Times New Roman"/>
          <w:u w:val="single"/>
          <w:lang w:eastAsia="bg-BG"/>
        </w:rPr>
        <w:t>Педиатрична популация</w:t>
      </w:r>
    </w:p>
    <w:p w14:paraId="683C2BA9"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Фармакокинетичният профил на рамиприл е бил проучван при 30 педиатрични пациенти с хипертония, на възраст от 2 до 16 години, с тегло ≥ </w:t>
      </w:r>
      <w:r w:rsidRPr="00CC212E">
        <w:rPr>
          <w:rFonts w:eastAsia="Times New Roman" w:cs="Arial"/>
          <w:color w:val="000000"/>
          <w:lang w:val="ru-RU"/>
        </w:rPr>
        <w:t>10</w:t>
      </w:r>
      <w:r w:rsidRPr="00CC212E">
        <w:rPr>
          <w:rFonts w:eastAsia="Times New Roman" w:cs="Arial"/>
          <w:color w:val="000000"/>
          <w:lang w:val="en-US"/>
        </w:rPr>
        <w:t>kg</w:t>
      </w:r>
      <w:r w:rsidRPr="00CC212E">
        <w:rPr>
          <w:rFonts w:eastAsia="Times New Roman" w:cs="Arial"/>
          <w:color w:val="000000"/>
          <w:lang w:val="ru-RU"/>
        </w:rPr>
        <w:t xml:space="preserve">. </w:t>
      </w:r>
      <w:r w:rsidRPr="00CC212E">
        <w:rPr>
          <w:rFonts w:eastAsia="Times New Roman" w:cs="Arial"/>
          <w:color w:val="000000"/>
          <w:lang w:eastAsia="bg-BG"/>
        </w:rPr>
        <w:t xml:space="preserve">След дози от 0.05 </w:t>
      </w:r>
      <w:r w:rsidRPr="00CC212E">
        <w:rPr>
          <w:rFonts w:eastAsia="Times New Roman" w:cs="Arial"/>
          <w:color w:val="000000"/>
          <w:lang w:val="en-US"/>
        </w:rPr>
        <w:t>to</w:t>
      </w:r>
      <w:r w:rsidRPr="00CC212E">
        <w:rPr>
          <w:rFonts w:eastAsia="Times New Roman" w:cs="Arial"/>
          <w:color w:val="000000"/>
          <w:lang w:val="ru-RU"/>
        </w:rPr>
        <w:t xml:space="preserve"> </w:t>
      </w:r>
      <w:r w:rsidRPr="00CC212E">
        <w:rPr>
          <w:rFonts w:eastAsia="Times New Roman" w:cs="Arial"/>
          <w:color w:val="000000"/>
          <w:lang w:eastAsia="bg-BG"/>
        </w:rPr>
        <w:t xml:space="preserve">0.2 </w:t>
      </w:r>
      <w:r w:rsidRPr="00CC212E">
        <w:rPr>
          <w:rFonts w:eastAsia="Times New Roman" w:cs="Arial"/>
          <w:color w:val="000000"/>
          <w:lang w:val="en-US"/>
        </w:rPr>
        <w:t>mg</w:t>
      </w:r>
      <w:r w:rsidRPr="00CC212E">
        <w:rPr>
          <w:rFonts w:eastAsia="Times New Roman" w:cs="Arial"/>
          <w:color w:val="000000"/>
          <w:lang w:val="ru-RU"/>
        </w:rPr>
        <w:t>/</w:t>
      </w:r>
      <w:r w:rsidRPr="00CC212E">
        <w:rPr>
          <w:rFonts w:eastAsia="Times New Roman" w:cs="Arial"/>
          <w:color w:val="000000"/>
          <w:lang w:val="en-US"/>
        </w:rPr>
        <w:t>kg</w:t>
      </w:r>
      <w:r w:rsidRPr="00CC212E">
        <w:rPr>
          <w:rFonts w:eastAsia="Times New Roman" w:cs="Arial"/>
          <w:color w:val="000000"/>
          <w:lang w:val="ru-RU"/>
        </w:rPr>
        <w:t xml:space="preserve">, </w:t>
      </w:r>
      <w:r w:rsidRPr="00CC212E">
        <w:rPr>
          <w:rFonts w:eastAsia="Times New Roman" w:cs="Arial"/>
          <w:color w:val="000000"/>
          <w:lang w:eastAsia="bg-BG"/>
        </w:rPr>
        <w:t xml:space="preserve">рамиприл бързо и екстензивно се е метаболизирал до рамиприлат. Пиковата плазмена концентрация на рамиприлат се е появила след 2-3 часа. Клирънсът на рамиприлат високо корелира с индекса на телесно тегло (р&lt;0.01), както и с дозата (р&lt;0.001). Клирънсът и обемът на разпределение са се повишили с повишаване на възрастта на децата във всяка група. Доза от 0,2 </w:t>
      </w:r>
      <w:r w:rsidRPr="00CC212E">
        <w:rPr>
          <w:rFonts w:eastAsia="Times New Roman" w:cs="Arial"/>
          <w:color w:val="000000"/>
          <w:lang w:val="en-US"/>
        </w:rPr>
        <w:t>mg</w:t>
      </w:r>
      <w:r w:rsidRPr="00CC212E">
        <w:rPr>
          <w:rFonts w:eastAsia="Times New Roman" w:cs="Arial"/>
          <w:color w:val="000000"/>
          <w:lang w:val="ru-RU"/>
        </w:rPr>
        <w:t>/</w:t>
      </w:r>
      <w:r w:rsidRPr="00CC212E">
        <w:rPr>
          <w:rFonts w:eastAsia="Times New Roman" w:cs="Arial"/>
          <w:color w:val="000000"/>
          <w:lang w:val="en-US"/>
        </w:rPr>
        <w:t>kg</w:t>
      </w:r>
      <w:r w:rsidRPr="00CC212E">
        <w:rPr>
          <w:rFonts w:eastAsia="Times New Roman" w:cs="Arial"/>
          <w:color w:val="000000"/>
          <w:lang w:val="ru-RU"/>
        </w:rPr>
        <w:t xml:space="preserve"> </w:t>
      </w:r>
      <w:r w:rsidRPr="00CC212E">
        <w:rPr>
          <w:rFonts w:eastAsia="Times New Roman" w:cs="Arial"/>
          <w:color w:val="000000"/>
          <w:lang w:eastAsia="bg-BG"/>
        </w:rPr>
        <w:t xml:space="preserve">при деца, е дала за резултат нива на експозиция, по-високи от тези при максималната препоръчителна доза от 10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на ден при възрастни.</w:t>
      </w:r>
    </w:p>
    <w:p w14:paraId="6D1C3226" w14:textId="77777777" w:rsidR="00CC212E" w:rsidRPr="00CC212E" w:rsidRDefault="00CC212E" w:rsidP="00CC212E"/>
    <w:p w14:paraId="648E39DA" w14:textId="50021009" w:rsidR="00CF77F7" w:rsidRDefault="002C50EE" w:rsidP="004A448E">
      <w:pPr>
        <w:pStyle w:val="Heading2"/>
      </w:pPr>
      <w:r>
        <w:t>5.3. Предклинични данни за безопасност</w:t>
      </w:r>
    </w:p>
    <w:p w14:paraId="7A2E1132" w14:textId="54569988" w:rsidR="00CC212E" w:rsidRDefault="00CC212E" w:rsidP="00CC212E"/>
    <w:p w14:paraId="5851FD32" w14:textId="77777777" w:rsidR="00CC212E" w:rsidRPr="00CC212E" w:rsidRDefault="00CC212E" w:rsidP="00CC212E">
      <w:pPr>
        <w:rPr>
          <w:sz w:val="24"/>
          <w:szCs w:val="24"/>
        </w:rPr>
      </w:pPr>
      <w:r w:rsidRPr="00CC212E">
        <w:rPr>
          <w:lang w:eastAsia="bg-BG"/>
        </w:rPr>
        <w:t>Пероралното приложение на рамиприл не показва остра токсичност при гризачи и кучета. Проучвания, включващи продължително перорално приложение, са били провеждани при плъхове, кучета и маймуни. Промени в плазмените електролити и кръвната картина са били установени при трите вида.</w:t>
      </w:r>
    </w:p>
    <w:p w14:paraId="5C6B5F33" w14:textId="77777777" w:rsidR="00CC212E" w:rsidRPr="00CC212E" w:rsidRDefault="00CC212E" w:rsidP="00CC212E">
      <w:pPr>
        <w:rPr>
          <w:sz w:val="24"/>
          <w:szCs w:val="24"/>
        </w:rPr>
      </w:pPr>
      <w:r w:rsidRPr="00CC212E">
        <w:rPr>
          <w:lang w:eastAsia="bg-BG"/>
        </w:rPr>
        <w:t xml:space="preserve">При кучета и маймуни при дневни дози от 250 </w:t>
      </w:r>
      <w:r w:rsidRPr="00CC212E">
        <w:rPr>
          <w:lang w:val="en-US"/>
        </w:rPr>
        <w:t>mg</w:t>
      </w:r>
      <w:r w:rsidRPr="00CC212E">
        <w:rPr>
          <w:lang w:val="ru-RU"/>
        </w:rPr>
        <w:t>/</w:t>
      </w:r>
      <w:r w:rsidRPr="00CC212E">
        <w:rPr>
          <w:lang w:val="en-US"/>
        </w:rPr>
        <w:t>kg</w:t>
      </w:r>
      <w:r w:rsidRPr="00CC212E">
        <w:rPr>
          <w:lang w:val="ru-RU"/>
        </w:rPr>
        <w:t>/</w:t>
      </w:r>
      <w:r w:rsidRPr="00CC212E">
        <w:rPr>
          <w:lang w:eastAsia="bg-BG"/>
        </w:rPr>
        <w:t xml:space="preserve">ден е било наблюдавано значително уголемяване на юкстагломеруларния апарат вследствие фармакодинамичната активност на рамиприл. Плъхове, кучета и маймуни понасят дневни дози съответно от 2,2,5 и 8 </w:t>
      </w:r>
      <w:r w:rsidRPr="00CC212E">
        <w:rPr>
          <w:lang w:val="en-US"/>
        </w:rPr>
        <w:t>mg</w:t>
      </w:r>
      <w:r w:rsidRPr="00CC212E">
        <w:rPr>
          <w:lang w:val="ru-RU"/>
        </w:rPr>
        <w:t>/</w:t>
      </w:r>
      <w:r w:rsidRPr="00CC212E">
        <w:rPr>
          <w:lang w:val="en-US"/>
        </w:rPr>
        <w:t>kg</w:t>
      </w:r>
      <w:r w:rsidRPr="00CC212E">
        <w:rPr>
          <w:lang w:eastAsia="bg-BG"/>
        </w:rPr>
        <w:t>/дневно без вредни ефекти.</w:t>
      </w:r>
    </w:p>
    <w:p w14:paraId="1E3000EB" w14:textId="77777777" w:rsidR="00CC212E" w:rsidRPr="00CC212E" w:rsidRDefault="00CC212E" w:rsidP="00CC212E">
      <w:pPr>
        <w:rPr>
          <w:sz w:val="24"/>
          <w:szCs w:val="24"/>
        </w:rPr>
      </w:pPr>
      <w:r w:rsidRPr="00CC212E">
        <w:rPr>
          <w:lang w:eastAsia="bg-BG"/>
        </w:rPr>
        <w:t>Изпитванията за репродуктивна токсичност при плъхове, зайци и маймуни не показват тератогенни свойства.</w:t>
      </w:r>
    </w:p>
    <w:p w14:paraId="32A00599" w14:textId="77777777" w:rsidR="00CC212E" w:rsidRPr="00CC212E" w:rsidRDefault="00CC212E" w:rsidP="00CC212E">
      <w:pPr>
        <w:rPr>
          <w:sz w:val="24"/>
          <w:szCs w:val="24"/>
        </w:rPr>
      </w:pPr>
      <w:r w:rsidRPr="00CC212E">
        <w:rPr>
          <w:lang w:eastAsia="bg-BG"/>
        </w:rPr>
        <w:t xml:space="preserve">Фертилитетът не се повлиява нито при мъжки, нито при женски плъхове. Прилагането на рамиприл върху женски плъхове по време на феталния период и лактацията причинява необратимо бъбречно увреждане (дилатация на бъбречното легенче) в потомството при дневни дози от 50 </w:t>
      </w:r>
      <w:r w:rsidRPr="00CC212E">
        <w:rPr>
          <w:lang w:val="en-US"/>
        </w:rPr>
        <w:t>mg</w:t>
      </w:r>
      <w:r w:rsidRPr="00CC212E">
        <w:rPr>
          <w:lang w:val="ru-RU"/>
        </w:rPr>
        <w:t>/</w:t>
      </w:r>
      <w:r w:rsidRPr="00CC212E">
        <w:rPr>
          <w:lang w:val="en-US"/>
        </w:rPr>
        <w:t>kg</w:t>
      </w:r>
      <w:r w:rsidRPr="00CC212E">
        <w:rPr>
          <w:lang w:val="ru-RU"/>
        </w:rPr>
        <w:t xml:space="preserve"> </w:t>
      </w:r>
      <w:r w:rsidRPr="00CC212E">
        <w:rPr>
          <w:lang w:eastAsia="bg-BG"/>
        </w:rPr>
        <w:t xml:space="preserve">телесно тегло или по-високи. Разширено изследване за </w:t>
      </w:r>
      <w:r w:rsidRPr="00CC212E">
        <w:rPr>
          <w:lang w:eastAsia="bg-BG"/>
        </w:rPr>
        <w:lastRenderedPageBreak/>
        <w:t>мутагенност, чрез използване на няколко тест системи показва, че рамиприл притежава мутагенни или генотоксични свойства.</w:t>
      </w:r>
    </w:p>
    <w:p w14:paraId="40038A56" w14:textId="77777777" w:rsidR="00CC212E" w:rsidRPr="00CC212E" w:rsidRDefault="00CC212E" w:rsidP="00CC212E">
      <w:pPr>
        <w:rPr>
          <w:sz w:val="24"/>
          <w:szCs w:val="24"/>
        </w:rPr>
      </w:pPr>
      <w:r w:rsidRPr="00CC212E">
        <w:rPr>
          <w:lang w:eastAsia="bg-BG"/>
        </w:rPr>
        <w:t>Необратими бъбречни увреждания са били наблюдавани при много млади плъхове, приели еднократна доза рамиприл.</w:t>
      </w:r>
    </w:p>
    <w:p w14:paraId="194CE5AD" w14:textId="77777777" w:rsidR="00CC212E" w:rsidRPr="00CC212E" w:rsidRDefault="00CC212E" w:rsidP="00CC212E"/>
    <w:p w14:paraId="6A7820AB" w14:textId="62DED138" w:rsidR="008A6AF2" w:rsidRDefault="002C50EE" w:rsidP="00395555">
      <w:pPr>
        <w:pStyle w:val="Heading1"/>
      </w:pPr>
      <w:r>
        <w:t>7. ПРИТЕЖАТЕЛ НА РАЗРЕШЕНИЕТО ЗА УПОТРЕБА</w:t>
      </w:r>
    </w:p>
    <w:p w14:paraId="190D323B" w14:textId="2A4CAF97" w:rsidR="00CC212E" w:rsidRDefault="00CC212E" w:rsidP="00CC212E"/>
    <w:p w14:paraId="5AF9097F" w14:textId="7B7F8E9C" w:rsidR="00CC212E" w:rsidRPr="00CC212E" w:rsidRDefault="00CC212E" w:rsidP="00CC212E">
      <w:pPr>
        <w:rPr>
          <w:sz w:val="24"/>
          <w:szCs w:val="24"/>
        </w:rPr>
      </w:pPr>
      <w:r w:rsidRPr="00CC212E">
        <w:rPr>
          <w:lang w:val="en-US"/>
        </w:rPr>
        <w:t xml:space="preserve">KRKA, </w:t>
      </w:r>
      <w:proofErr w:type="spellStart"/>
      <w:proofErr w:type="gramStart"/>
      <w:r w:rsidRPr="00CC212E">
        <w:rPr>
          <w:lang w:val="en-US"/>
        </w:rPr>
        <w:t>d.d</w:t>
      </w:r>
      <w:proofErr w:type="spellEnd"/>
      <w:proofErr w:type="gramEnd"/>
      <w:r w:rsidRPr="00CC212E">
        <w:rPr>
          <w:lang w:val="en-US"/>
        </w:rPr>
        <w:t xml:space="preserve">., Novo </w:t>
      </w:r>
      <w:proofErr w:type="spellStart"/>
      <w:r w:rsidRPr="00CC212E">
        <w:rPr>
          <w:lang w:val="en-US"/>
        </w:rPr>
        <w:t>mesto</w:t>
      </w:r>
      <w:proofErr w:type="spellEnd"/>
      <w:r w:rsidRPr="00CC212E">
        <w:rPr>
          <w:lang w:val="en-US"/>
        </w:rPr>
        <w:t xml:space="preserve">, </w:t>
      </w:r>
      <w:proofErr w:type="spellStart"/>
      <w:r w:rsidRPr="00CC212E">
        <w:rPr>
          <w:lang w:val="en-US"/>
        </w:rPr>
        <w:t>Smarjeska</w:t>
      </w:r>
      <w:proofErr w:type="spellEnd"/>
      <w:r w:rsidRPr="00CC212E">
        <w:rPr>
          <w:lang w:val="en-US"/>
        </w:rPr>
        <w:t xml:space="preserve"> </w:t>
      </w:r>
      <w:proofErr w:type="spellStart"/>
      <w:r w:rsidRPr="00CC212E">
        <w:rPr>
          <w:lang w:val="en-US"/>
        </w:rPr>
        <w:t>cesta</w:t>
      </w:r>
      <w:proofErr w:type="spellEnd"/>
      <w:r w:rsidRPr="00CC212E">
        <w:rPr>
          <w:lang w:val="en-US"/>
        </w:rPr>
        <w:t xml:space="preserve"> 6, 8501 Novo </w:t>
      </w:r>
      <w:proofErr w:type="spellStart"/>
      <w:r w:rsidRPr="00CC212E">
        <w:rPr>
          <w:lang w:val="en-US"/>
        </w:rPr>
        <w:t>mesto</w:t>
      </w:r>
      <w:proofErr w:type="spellEnd"/>
      <w:r w:rsidRPr="00CC212E">
        <w:rPr>
          <w:lang w:val="en-US"/>
        </w:rPr>
        <w:t xml:space="preserve">, </w:t>
      </w:r>
      <w:r w:rsidRPr="00CC212E">
        <w:rPr>
          <w:lang w:eastAsia="bg-BG"/>
        </w:rPr>
        <w:t>Словения</w:t>
      </w:r>
    </w:p>
    <w:p w14:paraId="7BA1BA64" w14:textId="678EE257" w:rsidR="00CF77F7" w:rsidRDefault="002C50EE" w:rsidP="004A448E">
      <w:pPr>
        <w:pStyle w:val="Heading1"/>
      </w:pPr>
      <w:r>
        <w:t>8. НОМЕР НА РАЗРЕШЕНИЕТО ЗА УПОТРЕБА</w:t>
      </w:r>
    </w:p>
    <w:p w14:paraId="6F8E248E" w14:textId="3B1D4C94" w:rsidR="00CC212E" w:rsidRDefault="00CC212E" w:rsidP="00CC212E"/>
    <w:p w14:paraId="6A208C6C" w14:textId="77777777" w:rsidR="00CC212E" w:rsidRPr="00CC212E" w:rsidRDefault="00CC212E" w:rsidP="00CC212E">
      <w:pPr>
        <w:rPr>
          <w:sz w:val="24"/>
          <w:szCs w:val="24"/>
          <w:lang w:val="en-US"/>
        </w:rPr>
      </w:pPr>
      <w:r w:rsidRPr="00CC212E">
        <w:rPr>
          <w:lang w:eastAsia="bg-BG"/>
        </w:rPr>
        <w:t xml:space="preserve">Амприл </w:t>
      </w:r>
      <w:r w:rsidRPr="00CC212E">
        <w:rPr>
          <w:rFonts w:cs="Arial"/>
          <w:sz w:val="18"/>
          <w:szCs w:val="18"/>
          <w:lang w:eastAsia="bg-BG"/>
        </w:rPr>
        <w:t xml:space="preserve">1,25 </w:t>
      </w:r>
      <w:r w:rsidRPr="00CC212E">
        <w:rPr>
          <w:lang w:val="en-US"/>
        </w:rPr>
        <w:t xml:space="preserve">mg </w:t>
      </w:r>
      <w:r w:rsidRPr="00CC212E">
        <w:rPr>
          <w:lang w:eastAsia="bg-BG"/>
        </w:rPr>
        <w:t xml:space="preserve">- </w:t>
      </w:r>
      <w:r w:rsidRPr="00CC212E">
        <w:rPr>
          <w:lang w:val="en-US"/>
        </w:rPr>
        <w:t>Per. №: 20100776</w:t>
      </w:r>
    </w:p>
    <w:p w14:paraId="7DB7FD92" w14:textId="77777777" w:rsidR="00CC212E" w:rsidRPr="00CC212E" w:rsidRDefault="00CC212E" w:rsidP="00CC212E">
      <w:pPr>
        <w:rPr>
          <w:sz w:val="24"/>
          <w:szCs w:val="24"/>
          <w:lang w:val="ru-RU"/>
        </w:rPr>
      </w:pPr>
      <w:r w:rsidRPr="00CC212E">
        <w:rPr>
          <w:lang w:eastAsia="bg-BG"/>
        </w:rPr>
        <w:t xml:space="preserve">Амприл </w:t>
      </w:r>
      <w:r w:rsidRPr="00CC212E">
        <w:rPr>
          <w:lang w:val="en-US"/>
        </w:rPr>
        <w:t xml:space="preserve">2,5 mg - Per. </w:t>
      </w:r>
      <w:r w:rsidRPr="00CC212E">
        <w:rPr>
          <w:lang w:val="ru-RU"/>
        </w:rPr>
        <w:t>№: 20100777</w:t>
      </w:r>
    </w:p>
    <w:p w14:paraId="1687D14A" w14:textId="77777777" w:rsidR="00CC212E" w:rsidRPr="00CC212E" w:rsidRDefault="00CC212E" w:rsidP="00CC212E">
      <w:pPr>
        <w:rPr>
          <w:sz w:val="24"/>
          <w:szCs w:val="24"/>
          <w:lang w:val="ru-RU"/>
        </w:rPr>
      </w:pPr>
      <w:r w:rsidRPr="00CC212E">
        <w:rPr>
          <w:lang w:eastAsia="bg-BG"/>
        </w:rPr>
        <w:t xml:space="preserve">Амприл </w:t>
      </w:r>
      <w:r w:rsidRPr="00CC212E">
        <w:rPr>
          <w:lang w:val="ru-RU"/>
        </w:rPr>
        <w:t xml:space="preserve">5 </w:t>
      </w:r>
      <w:r w:rsidRPr="00CC212E">
        <w:rPr>
          <w:lang w:val="en-US"/>
        </w:rPr>
        <w:t>mg</w:t>
      </w:r>
      <w:r w:rsidRPr="00CC212E">
        <w:rPr>
          <w:lang w:val="ru-RU"/>
        </w:rPr>
        <w:t xml:space="preserve"> - </w:t>
      </w:r>
      <w:r w:rsidRPr="00CC212E">
        <w:rPr>
          <w:lang w:val="en-US"/>
        </w:rPr>
        <w:t>Per</w:t>
      </w:r>
      <w:r w:rsidRPr="00CC212E">
        <w:rPr>
          <w:lang w:val="ru-RU"/>
        </w:rPr>
        <w:t>. №: 20100778</w:t>
      </w:r>
    </w:p>
    <w:p w14:paraId="6E0FA04E" w14:textId="7374B21C" w:rsidR="00CC212E" w:rsidRPr="00CC212E" w:rsidRDefault="00CC212E" w:rsidP="00CC212E">
      <w:pPr>
        <w:rPr>
          <w:lang w:val="ru-RU"/>
        </w:rPr>
      </w:pPr>
      <w:r w:rsidRPr="00CC212E">
        <w:rPr>
          <w:lang w:eastAsia="bg-BG"/>
        </w:rPr>
        <w:t xml:space="preserve">Амприл </w:t>
      </w:r>
      <w:r w:rsidRPr="00CC212E">
        <w:rPr>
          <w:lang w:val="ru-RU"/>
        </w:rPr>
        <w:t xml:space="preserve">10 </w:t>
      </w:r>
      <w:r w:rsidRPr="00CC212E">
        <w:rPr>
          <w:lang w:val="en-US"/>
        </w:rPr>
        <w:t>mg</w:t>
      </w:r>
      <w:r w:rsidRPr="00CC212E">
        <w:rPr>
          <w:lang w:val="ru-RU"/>
        </w:rPr>
        <w:t xml:space="preserve"> - </w:t>
      </w:r>
      <w:r w:rsidRPr="00CC212E">
        <w:rPr>
          <w:lang w:val="en-US"/>
        </w:rPr>
        <w:t>Per</w:t>
      </w:r>
      <w:r w:rsidRPr="00CC212E">
        <w:rPr>
          <w:lang w:val="ru-RU"/>
        </w:rPr>
        <w:t>. №: 20100779</w:t>
      </w:r>
    </w:p>
    <w:p w14:paraId="2CCB5832" w14:textId="5EE1DF25" w:rsidR="007C605B" w:rsidRDefault="002C50EE" w:rsidP="007C605B">
      <w:pPr>
        <w:pStyle w:val="Heading1"/>
      </w:pPr>
      <w:r>
        <w:t>9. ДАТА НА ПЪРВО РАЗРЕШАВАНЕ/ПОДНОВЯВАНЕ НА РАЗРЕШЕНИЕТО ЗА УПОТРЕБА</w:t>
      </w:r>
    </w:p>
    <w:p w14:paraId="1A3A7BC4" w14:textId="50AAC234" w:rsidR="00CC212E" w:rsidRDefault="00CC212E" w:rsidP="00CC212E"/>
    <w:p w14:paraId="21BDF6D5" w14:textId="77777777" w:rsidR="00CC212E" w:rsidRPr="00CC212E" w:rsidRDefault="00CC212E" w:rsidP="00CC212E">
      <w:pPr>
        <w:rPr>
          <w:sz w:val="24"/>
          <w:szCs w:val="24"/>
        </w:rPr>
      </w:pPr>
      <w:r w:rsidRPr="00CC212E">
        <w:rPr>
          <w:lang w:eastAsia="bg-BG"/>
        </w:rPr>
        <w:t>Дата на първо разрешаване: 01.12.2010</w:t>
      </w:r>
    </w:p>
    <w:p w14:paraId="0FB3004E" w14:textId="77777777" w:rsidR="00CC212E" w:rsidRPr="00CC212E" w:rsidRDefault="00CC212E" w:rsidP="00CC212E">
      <w:pPr>
        <w:rPr>
          <w:sz w:val="24"/>
          <w:szCs w:val="24"/>
        </w:rPr>
      </w:pPr>
      <w:r w:rsidRPr="00CC212E">
        <w:rPr>
          <w:lang w:eastAsia="bg-BG"/>
        </w:rPr>
        <w:t>Дата на последно подновяване: 23.05.2013</w:t>
      </w:r>
    </w:p>
    <w:p w14:paraId="41E920FA" w14:textId="77777777" w:rsidR="00CC212E" w:rsidRPr="00CC212E" w:rsidRDefault="00CC212E" w:rsidP="00CC212E"/>
    <w:p w14:paraId="0E9D0119" w14:textId="0245C6D7" w:rsidR="002C50EE" w:rsidRDefault="002C50EE" w:rsidP="002C50EE">
      <w:pPr>
        <w:pStyle w:val="Heading1"/>
      </w:pPr>
      <w:r>
        <w:t>10. ДАТА НА АКТУАЛИЗИРАНЕ НА ТЕКСТА</w:t>
      </w:r>
    </w:p>
    <w:bookmarkEnd w:id="0"/>
    <w:p w14:paraId="43FB38A2" w14:textId="69CD14D1" w:rsidR="007C605B" w:rsidRPr="003E3126" w:rsidRDefault="00CC212E" w:rsidP="00CC212E">
      <w:r>
        <w:t>14 Февруари 2020</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5ED5855"/>
    <w:multiLevelType w:val="hybridMultilevel"/>
    <w:tmpl w:val="FBE0625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8D22E22"/>
    <w:multiLevelType w:val="hybridMultilevel"/>
    <w:tmpl w:val="E38AE668"/>
    <w:lvl w:ilvl="0" w:tplc="431E4582">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0"/>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16587"/>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C212E"/>
    <w:rsid w:val="00CF77F7"/>
    <w:rsid w:val="00D86297"/>
    <w:rsid w:val="00D922A8"/>
    <w:rsid w:val="00D9777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6905</Words>
  <Characters>39359</Characters>
  <Application>Microsoft Office Word</Application>
  <DocSecurity>0</DocSecurity>
  <Lines>327</Lines>
  <Paragraphs>92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2022-06-04T19:07:00Z</dcterms:created>
  <dcterms:modified xsi:type="dcterms:W3CDTF">2022-06-04T19:07:00Z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