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77777777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6AF1D2F0" w14:textId="201B33F5" w:rsidR="002C50EE" w:rsidRDefault="002C50EE" w:rsidP="00D47A09">
      <w:pPr>
        <w:pStyle w:val="Heading1"/>
        <w:numPr>
          <w:ilvl w:val="0"/>
          <w:numId w:val="11"/>
        </w:numPr>
      </w:pPr>
      <w:r>
        <w:t>ИМЕ НА ЛЕКАРСТВЕНИЯ ПРОДУКТ</w:t>
      </w:r>
    </w:p>
    <w:p w14:paraId="7B4B5825" w14:textId="77777777" w:rsidR="00D47A09" w:rsidRDefault="00D47A09" w:rsidP="00D47A09">
      <w:pPr>
        <w:pStyle w:val="BodyText"/>
      </w:pPr>
    </w:p>
    <w:p w14:paraId="2CA24098" w14:textId="48804106" w:rsidR="00D47A09" w:rsidRPr="00D47A09" w:rsidRDefault="00D47A09" w:rsidP="00D47A09">
      <w:pPr>
        <w:pStyle w:val="BodyText"/>
      </w:pPr>
      <w:proofErr w:type="spellStart"/>
      <w:r w:rsidRPr="00D47A09">
        <w:t>Analgin</w:t>
      </w:r>
      <w:proofErr w:type="spellEnd"/>
      <w:r w:rsidRPr="00D47A09">
        <w:t xml:space="preserve"> 500 </w:t>
      </w:r>
      <w:proofErr w:type="spellStart"/>
      <w:r w:rsidRPr="00D47A09">
        <w:t>mg</w:t>
      </w:r>
      <w:proofErr w:type="spellEnd"/>
      <w:r w:rsidRPr="00D47A09">
        <w:t xml:space="preserve"> </w:t>
      </w:r>
      <w:proofErr w:type="spellStart"/>
      <w:r w:rsidRPr="00D47A09">
        <w:t>tablets</w:t>
      </w:r>
      <w:proofErr w:type="spellEnd"/>
    </w:p>
    <w:p w14:paraId="6794D06C" w14:textId="77777777" w:rsidR="00D47A09" w:rsidRPr="00D47A09" w:rsidRDefault="00D47A09" w:rsidP="00D47A09">
      <w:pPr>
        <w:pStyle w:val="BodyText"/>
      </w:pPr>
      <w:r w:rsidRPr="00D47A09">
        <w:t xml:space="preserve">Аналгин 500 </w:t>
      </w:r>
      <w:proofErr w:type="spellStart"/>
      <w:r w:rsidRPr="00D47A09">
        <w:t>mg</w:t>
      </w:r>
      <w:proofErr w:type="spellEnd"/>
      <w:r w:rsidRPr="00D47A09">
        <w:t xml:space="preserve"> таблетки</w:t>
      </w:r>
    </w:p>
    <w:p w14:paraId="0A2A9ECF" w14:textId="77777777" w:rsidR="00D47A09" w:rsidRPr="00D47A09" w:rsidRDefault="00D47A09" w:rsidP="00D47A09"/>
    <w:p w14:paraId="5A36363A" w14:textId="08C5D78D" w:rsidR="002C50EE" w:rsidRDefault="002C50EE" w:rsidP="00D47A09">
      <w:pPr>
        <w:pStyle w:val="Heading1"/>
        <w:numPr>
          <w:ilvl w:val="0"/>
          <w:numId w:val="11"/>
        </w:numPr>
      </w:pPr>
      <w:r>
        <w:t>КАЧЕСТВЕН И КОЛИЧЕСТВЕН СЪСТАВ</w:t>
      </w:r>
    </w:p>
    <w:p w14:paraId="1809BC0F" w14:textId="77777777" w:rsidR="00D47A09" w:rsidRDefault="00D47A09" w:rsidP="00D47A09">
      <w:pPr>
        <w:pStyle w:val="BodyText"/>
      </w:pPr>
    </w:p>
    <w:p w14:paraId="63083D02" w14:textId="6616E987" w:rsidR="00D47A09" w:rsidRPr="00D47A09" w:rsidRDefault="00D47A09" w:rsidP="00D47A09">
      <w:pPr>
        <w:pStyle w:val="BodyText"/>
      </w:pPr>
      <w:r w:rsidRPr="00D47A09">
        <w:t xml:space="preserve">Всяка таблетка съдържа активно вещество </w:t>
      </w:r>
      <w:proofErr w:type="spellStart"/>
      <w:r w:rsidRPr="00D47A09">
        <w:t>метамизол</w:t>
      </w:r>
      <w:proofErr w:type="spellEnd"/>
      <w:r w:rsidRPr="00D47A09">
        <w:t xml:space="preserve"> натрий (</w:t>
      </w:r>
      <w:proofErr w:type="spellStart"/>
      <w:r w:rsidRPr="00D47A09">
        <w:t>metamizole</w:t>
      </w:r>
      <w:proofErr w:type="spellEnd"/>
      <w:r w:rsidRPr="00D47A09">
        <w:t xml:space="preserve"> </w:t>
      </w:r>
      <w:proofErr w:type="spellStart"/>
      <w:r w:rsidRPr="00D47A09">
        <w:t>sodium</w:t>
      </w:r>
      <w:proofErr w:type="spellEnd"/>
      <w:r w:rsidRPr="00D47A09">
        <w:t xml:space="preserve">) 500 </w:t>
      </w:r>
      <w:proofErr w:type="spellStart"/>
      <w:r w:rsidRPr="00D47A09">
        <w:t>mg</w:t>
      </w:r>
      <w:proofErr w:type="spellEnd"/>
      <w:r w:rsidRPr="00D47A09">
        <w:t>.</w:t>
      </w:r>
    </w:p>
    <w:p w14:paraId="4E1957E2" w14:textId="77777777" w:rsidR="00D47A09" w:rsidRPr="00D47A09" w:rsidRDefault="00D47A09" w:rsidP="00D47A09">
      <w:pPr>
        <w:pStyle w:val="BodyText"/>
      </w:pPr>
      <w:r w:rsidRPr="00D47A09">
        <w:t xml:space="preserve">Помощно вещество: всяка таблетка съдържа 34 </w:t>
      </w:r>
      <w:proofErr w:type="spellStart"/>
      <w:r w:rsidRPr="00D47A09">
        <w:t>mg</w:t>
      </w:r>
      <w:proofErr w:type="spellEnd"/>
      <w:r w:rsidRPr="00D47A09">
        <w:t xml:space="preserve"> пшенично нишесте.</w:t>
      </w:r>
    </w:p>
    <w:p w14:paraId="2632DFF1" w14:textId="77777777" w:rsidR="00D47A09" w:rsidRPr="00D47A09" w:rsidRDefault="00D47A09" w:rsidP="00D47A09"/>
    <w:p w14:paraId="6CCB29CE" w14:textId="5D6AE4DA" w:rsidR="002C50EE" w:rsidRDefault="002C50EE" w:rsidP="00D47A09">
      <w:pPr>
        <w:pStyle w:val="Heading1"/>
        <w:numPr>
          <w:ilvl w:val="0"/>
          <w:numId w:val="11"/>
        </w:numPr>
      </w:pPr>
      <w:r>
        <w:t>ЛЕКАРСТВЕНА ФОРМА</w:t>
      </w:r>
    </w:p>
    <w:p w14:paraId="4E77D443" w14:textId="77777777" w:rsidR="00D47A09" w:rsidRDefault="00D47A09" w:rsidP="00D47A09">
      <w:pPr>
        <w:pStyle w:val="BodyText"/>
      </w:pPr>
    </w:p>
    <w:p w14:paraId="56FE2560" w14:textId="1E4B6BEB" w:rsidR="00D47A09" w:rsidRPr="00D47A09" w:rsidRDefault="00D47A09" w:rsidP="00D47A09">
      <w:pPr>
        <w:pStyle w:val="BodyText"/>
      </w:pPr>
      <w:r w:rsidRPr="00D47A09">
        <w:t>Таблетка</w:t>
      </w:r>
    </w:p>
    <w:p w14:paraId="2443F06A" w14:textId="30610498" w:rsidR="00D47A09" w:rsidRDefault="00D47A09" w:rsidP="00D47A09">
      <w:pPr>
        <w:pStyle w:val="BodyText"/>
      </w:pPr>
      <w:r w:rsidRPr="00D47A09">
        <w:t>Кръгли, плоски таблетки с делителна черта от едната страна, диаметър 13 mm, бели до почти бели, без мирис. Делителната черта е за разделяне на таблетката на две равни половини</w:t>
      </w:r>
      <w:r>
        <w:t>.</w:t>
      </w:r>
    </w:p>
    <w:p w14:paraId="14FA0E78" w14:textId="77777777" w:rsidR="00D47A09" w:rsidRPr="00D47A09" w:rsidRDefault="00D47A09" w:rsidP="00D47A09">
      <w:pPr>
        <w:pStyle w:val="BodyText"/>
      </w:pP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7CAFA7A6" w14:textId="7A2C11EA" w:rsidR="002C50EE" w:rsidRDefault="002C50EE" w:rsidP="002C50EE">
      <w:pPr>
        <w:pStyle w:val="Heading2"/>
      </w:pPr>
      <w:r>
        <w:t>4.1. Терапевтични показания</w:t>
      </w:r>
    </w:p>
    <w:p w14:paraId="08B7C247" w14:textId="77777777" w:rsidR="00D47A09" w:rsidRDefault="00D47A09" w:rsidP="00D47A09">
      <w:pPr>
        <w:pStyle w:val="BodyText"/>
        <w:rPr>
          <w:rFonts w:cs="Arial"/>
        </w:rPr>
      </w:pPr>
    </w:p>
    <w:p w14:paraId="41C4748A" w14:textId="5809BD80" w:rsidR="00D47A09" w:rsidRPr="00546FCB" w:rsidRDefault="00D47A09" w:rsidP="00D47A09">
      <w:pPr>
        <w:pStyle w:val="BodyText"/>
        <w:rPr>
          <w:rFonts w:cs="Arial"/>
        </w:rPr>
      </w:pPr>
      <w:r w:rsidRPr="00546FCB">
        <w:rPr>
          <w:rFonts w:cs="Arial"/>
        </w:rPr>
        <w:t xml:space="preserve">За повлияване на умерено до силно изразени болки от различен произход: главоболие, зъбобол, невралгии, неврити, </w:t>
      </w:r>
      <w:proofErr w:type="spellStart"/>
      <w:r w:rsidRPr="00546FCB">
        <w:rPr>
          <w:rFonts w:cs="Arial"/>
        </w:rPr>
        <w:t>миалгии</w:t>
      </w:r>
      <w:proofErr w:type="spellEnd"/>
      <w:r w:rsidRPr="00546FCB">
        <w:rPr>
          <w:rFonts w:cs="Arial"/>
        </w:rPr>
        <w:t xml:space="preserve">, травми, изгаряния, постоперативни болки, фантомни болки, </w:t>
      </w:r>
      <w:proofErr w:type="spellStart"/>
      <w:r w:rsidRPr="00546FCB">
        <w:rPr>
          <w:rFonts w:cs="Arial"/>
        </w:rPr>
        <w:t>дисменорея</w:t>
      </w:r>
      <w:proofErr w:type="spellEnd"/>
      <w:r w:rsidRPr="00546FCB">
        <w:rPr>
          <w:rFonts w:cs="Arial"/>
        </w:rPr>
        <w:t>, болки при онкологични заболявания, бъбречни и жлъчни колики.</w:t>
      </w:r>
    </w:p>
    <w:p w14:paraId="7F6808FB" w14:textId="552D823D" w:rsidR="00D47A09" w:rsidRPr="00D47A09" w:rsidRDefault="00D47A09" w:rsidP="00D47A09">
      <w:pPr>
        <w:pStyle w:val="BodyText"/>
        <w:spacing w:after="260"/>
        <w:rPr>
          <w:rFonts w:cs="Arial"/>
        </w:rPr>
      </w:pPr>
      <w:r w:rsidRPr="00546FCB">
        <w:rPr>
          <w:rFonts w:cs="Arial"/>
        </w:rPr>
        <w:t xml:space="preserve">Като </w:t>
      </w:r>
      <w:proofErr w:type="spellStart"/>
      <w:r w:rsidRPr="00546FCB">
        <w:rPr>
          <w:rFonts w:cs="Arial"/>
        </w:rPr>
        <w:t>антипиретично</w:t>
      </w:r>
      <w:proofErr w:type="spellEnd"/>
      <w:r w:rsidRPr="00546FCB">
        <w:rPr>
          <w:rFonts w:cs="Arial"/>
        </w:rPr>
        <w:t xml:space="preserve"> средство в комплексната терапия на различни състояния, съпроводени с висока температура, </w:t>
      </w:r>
      <w:proofErr w:type="spellStart"/>
      <w:r w:rsidRPr="00546FCB">
        <w:rPr>
          <w:rFonts w:cs="Arial"/>
        </w:rPr>
        <w:t>неповлияваща</w:t>
      </w:r>
      <w:proofErr w:type="spellEnd"/>
      <w:r w:rsidRPr="00546FCB">
        <w:rPr>
          <w:rFonts w:cs="Arial"/>
        </w:rPr>
        <w:t xml:space="preserve"> се от друга терапия.</w:t>
      </w:r>
    </w:p>
    <w:p w14:paraId="654D2FE8" w14:textId="045B2E27" w:rsidR="00D47A09" w:rsidRDefault="002C50EE" w:rsidP="00D47A09">
      <w:pPr>
        <w:pStyle w:val="Heading2"/>
      </w:pPr>
      <w:r>
        <w:t>4.2. Дозировка и начин на приложение</w:t>
      </w:r>
    </w:p>
    <w:p w14:paraId="4DEA3E25" w14:textId="77777777" w:rsidR="00D47A09" w:rsidRPr="00D47A09" w:rsidRDefault="00D47A09" w:rsidP="00D47A09">
      <w:pPr>
        <w:pStyle w:val="Heading3"/>
        <w:rPr>
          <w:i/>
          <w:iCs/>
          <w:u w:val="single"/>
        </w:rPr>
      </w:pPr>
      <w:r w:rsidRPr="00D47A09">
        <w:rPr>
          <w:i/>
          <w:iCs/>
          <w:u w:val="single"/>
        </w:rPr>
        <w:t>Дозировка</w:t>
      </w:r>
    </w:p>
    <w:p w14:paraId="2E5EDF12" w14:textId="77777777" w:rsidR="00D47A09" w:rsidRPr="00546FCB" w:rsidRDefault="00D47A09" w:rsidP="00D47A09">
      <w:pPr>
        <w:pStyle w:val="BodyText"/>
        <w:spacing w:after="260"/>
        <w:rPr>
          <w:rFonts w:cs="Arial"/>
        </w:rPr>
      </w:pPr>
      <w:r w:rsidRPr="00546FCB">
        <w:rPr>
          <w:rFonts w:cs="Arial"/>
        </w:rPr>
        <w:t xml:space="preserve">Дозата се определя от интензитета на болката или повишената температура и от индивидуалната чувствителност към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>. Важно е да се избере най-ниската доза, при която се овладяват болката и повишената температура.</w:t>
      </w:r>
    </w:p>
    <w:p w14:paraId="08A06FE9" w14:textId="77777777" w:rsidR="00D47A09" w:rsidRPr="00D47A09" w:rsidRDefault="00D47A09" w:rsidP="00D47A09">
      <w:pPr>
        <w:pStyle w:val="Heading3"/>
        <w:rPr>
          <w:i/>
          <w:iCs/>
          <w:u w:val="single"/>
        </w:rPr>
      </w:pPr>
      <w:r w:rsidRPr="00D47A09">
        <w:rPr>
          <w:i/>
          <w:iCs/>
          <w:u w:val="single"/>
        </w:rPr>
        <w:t>Възрастни и подрастващи над 15-годишна възраст</w:t>
      </w:r>
    </w:p>
    <w:p w14:paraId="0DF2043B" w14:textId="77777777" w:rsidR="00D47A09" w:rsidRPr="00546FCB" w:rsidRDefault="00D47A09" w:rsidP="00D47A09">
      <w:pPr>
        <w:pStyle w:val="BodyText"/>
        <w:spacing w:after="260"/>
        <w:rPr>
          <w:rFonts w:cs="Arial"/>
        </w:rPr>
      </w:pPr>
      <w:r w:rsidRPr="00546FCB">
        <w:rPr>
          <w:rFonts w:cs="Arial"/>
        </w:rPr>
        <w:t xml:space="preserve">Възрастни и юноши на 15 години или по-големи (&gt; 53 </w:t>
      </w:r>
      <w:r w:rsidRPr="00546FCB">
        <w:rPr>
          <w:rFonts w:cs="Arial"/>
          <w:lang w:val="en-US" w:bidi="en-US"/>
        </w:rPr>
        <w:t xml:space="preserve">kg) </w:t>
      </w:r>
      <w:r w:rsidRPr="00546FCB">
        <w:rPr>
          <w:rFonts w:cs="Arial"/>
        </w:rPr>
        <w:t xml:space="preserve">могат да приемат до 1 000 </w:t>
      </w:r>
      <w:r w:rsidRPr="00546FCB">
        <w:rPr>
          <w:rFonts w:cs="Arial"/>
          <w:lang w:val="en-US" w:bidi="en-US"/>
        </w:rPr>
        <w:t xml:space="preserve">mg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като единична доза, която може да се приема до 4 пъти дневно през интервали от 6 - 8 часа, което съответства на максимална дневна доза 4 000 </w:t>
      </w:r>
      <w:r w:rsidRPr="00546FCB">
        <w:rPr>
          <w:rFonts w:cs="Arial"/>
          <w:lang w:val="en-US" w:bidi="en-US"/>
        </w:rPr>
        <w:t>mg.</w:t>
      </w:r>
    </w:p>
    <w:p w14:paraId="189902F5" w14:textId="77777777" w:rsidR="00D47A09" w:rsidRPr="00546FCB" w:rsidRDefault="00D47A09" w:rsidP="00D47A09">
      <w:pPr>
        <w:pStyle w:val="BodyText"/>
        <w:spacing w:after="260"/>
        <w:rPr>
          <w:rFonts w:cs="Arial"/>
        </w:rPr>
      </w:pPr>
      <w:r w:rsidRPr="00546FCB">
        <w:rPr>
          <w:rFonts w:cs="Arial"/>
        </w:rPr>
        <w:t>Ясно изразен ефект може да се очаква 30 до 60 минути след перорално приложение.</w:t>
      </w:r>
    </w:p>
    <w:p w14:paraId="41133B55" w14:textId="77777777" w:rsidR="00D47A09" w:rsidRPr="00546FCB" w:rsidRDefault="00D47A09" w:rsidP="00D47A09">
      <w:pPr>
        <w:pStyle w:val="BodyText"/>
        <w:spacing w:after="260" w:line="319" w:lineRule="auto"/>
        <w:rPr>
          <w:rFonts w:cs="Arial"/>
        </w:rPr>
      </w:pPr>
      <w:r w:rsidRPr="00546FCB">
        <w:rPr>
          <w:rFonts w:cs="Arial"/>
        </w:rPr>
        <w:lastRenderedPageBreak/>
        <w:t>В следващата таблица са показани препоръчителните единични дози и максималните дневни дози в зависимост от теглото или възрастта:</w:t>
      </w:r>
    </w:p>
    <w:tbl>
      <w:tblPr>
        <w:tblStyle w:val="TableGrid"/>
        <w:tblW w:w="9788" w:type="dxa"/>
        <w:tblLook w:val="04A0" w:firstRow="1" w:lastRow="0" w:firstColumn="1" w:lastColumn="0" w:noHBand="0" w:noVBand="1"/>
      </w:tblPr>
      <w:tblGrid>
        <w:gridCol w:w="1631"/>
        <w:gridCol w:w="1631"/>
        <w:gridCol w:w="1631"/>
        <w:gridCol w:w="1632"/>
        <w:gridCol w:w="1631"/>
        <w:gridCol w:w="1632"/>
      </w:tblGrid>
      <w:tr w:rsidR="00D47A09" w:rsidRPr="00546FCB" w14:paraId="26D7ADFB" w14:textId="77777777" w:rsidTr="007A641B">
        <w:trPr>
          <w:trHeight w:val="358"/>
        </w:trPr>
        <w:tc>
          <w:tcPr>
            <w:tcW w:w="3262" w:type="dxa"/>
            <w:gridSpan w:val="2"/>
          </w:tcPr>
          <w:p w14:paraId="75CD0CF0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</w:rPr>
              <w:t>Телесно тегло</w:t>
            </w:r>
          </w:p>
        </w:tc>
        <w:tc>
          <w:tcPr>
            <w:tcW w:w="3263" w:type="dxa"/>
            <w:gridSpan w:val="2"/>
          </w:tcPr>
          <w:p w14:paraId="56763EEF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</w:rPr>
              <w:t>Единична доза</w:t>
            </w:r>
          </w:p>
        </w:tc>
        <w:tc>
          <w:tcPr>
            <w:tcW w:w="3263" w:type="dxa"/>
            <w:gridSpan w:val="2"/>
          </w:tcPr>
          <w:p w14:paraId="11593875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</w:rPr>
              <w:t>Максимална дневна доза</w:t>
            </w:r>
          </w:p>
        </w:tc>
      </w:tr>
      <w:tr w:rsidR="00D47A09" w:rsidRPr="00546FCB" w14:paraId="7F092A4F" w14:textId="77777777" w:rsidTr="007A641B">
        <w:trPr>
          <w:trHeight w:val="368"/>
        </w:trPr>
        <w:tc>
          <w:tcPr>
            <w:tcW w:w="1631" w:type="dxa"/>
          </w:tcPr>
          <w:p w14:paraId="3B3A48FB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  <w:lang w:val="en-US" w:eastAsia="en-US" w:bidi="en-US"/>
              </w:rPr>
              <w:t>kg</w:t>
            </w:r>
          </w:p>
        </w:tc>
        <w:tc>
          <w:tcPr>
            <w:tcW w:w="1631" w:type="dxa"/>
          </w:tcPr>
          <w:p w14:paraId="460E9402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</w:rPr>
              <w:t>възраст</w:t>
            </w:r>
          </w:p>
        </w:tc>
        <w:tc>
          <w:tcPr>
            <w:tcW w:w="1631" w:type="dxa"/>
            <w:vAlign w:val="bottom"/>
          </w:tcPr>
          <w:p w14:paraId="3850EDDD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</w:rPr>
              <w:t>таблетки</w:t>
            </w:r>
          </w:p>
        </w:tc>
        <w:tc>
          <w:tcPr>
            <w:tcW w:w="1632" w:type="dxa"/>
          </w:tcPr>
          <w:p w14:paraId="13C208A9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  <w:lang w:val="en-US" w:eastAsia="en-US" w:bidi="en-US"/>
              </w:rPr>
              <w:t>mg</w:t>
            </w:r>
          </w:p>
        </w:tc>
        <w:tc>
          <w:tcPr>
            <w:tcW w:w="1631" w:type="dxa"/>
            <w:vAlign w:val="bottom"/>
          </w:tcPr>
          <w:p w14:paraId="15D2F8EA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</w:rPr>
              <w:t>таблетки</w:t>
            </w:r>
          </w:p>
        </w:tc>
        <w:tc>
          <w:tcPr>
            <w:tcW w:w="1632" w:type="dxa"/>
          </w:tcPr>
          <w:p w14:paraId="59A3E15A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  <w:lang w:val="en-US" w:eastAsia="en-US" w:bidi="en-US"/>
              </w:rPr>
              <w:t>mg</w:t>
            </w:r>
          </w:p>
        </w:tc>
      </w:tr>
      <w:tr w:rsidR="00D47A09" w:rsidRPr="00546FCB" w14:paraId="02388D7D" w14:textId="77777777" w:rsidTr="007A641B">
        <w:trPr>
          <w:trHeight w:val="367"/>
        </w:trPr>
        <w:tc>
          <w:tcPr>
            <w:tcW w:w="1631" w:type="dxa"/>
          </w:tcPr>
          <w:p w14:paraId="1DA91921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</w:rPr>
              <w:t>&gt;53</w:t>
            </w:r>
          </w:p>
        </w:tc>
        <w:tc>
          <w:tcPr>
            <w:tcW w:w="1631" w:type="dxa"/>
          </w:tcPr>
          <w:p w14:paraId="7B35C759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  <w:lang w:val="en-US"/>
              </w:rPr>
            </w:pPr>
            <w:r w:rsidRPr="00546FCB">
              <w:rPr>
                <w:rFonts w:cs="Arial"/>
                <w:sz w:val="22"/>
                <w:szCs w:val="22"/>
              </w:rPr>
              <w:t>≥ 15 години</w:t>
            </w:r>
          </w:p>
        </w:tc>
        <w:tc>
          <w:tcPr>
            <w:tcW w:w="1631" w:type="dxa"/>
          </w:tcPr>
          <w:p w14:paraId="592DA2A8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</w:rPr>
              <w:t>1-2</w:t>
            </w:r>
          </w:p>
        </w:tc>
        <w:tc>
          <w:tcPr>
            <w:tcW w:w="1632" w:type="dxa"/>
          </w:tcPr>
          <w:p w14:paraId="46C5F4A7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</w:rPr>
              <w:t>500-1000</w:t>
            </w:r>
          </w:p>
        </w:tc>
        <w:tc>
          <w:tcPr>
            <w:tcW w:w="1631" w:type="dxa"/>
          </w:tcPr>
          <w:p w14:paraId="33477A8B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32" w:type="dxa"/>
          </w:tcPr>
          <w:p w14:paraId="5834F219" w14:textId="77777777" w:rsidR="00D47A09" w:rsidRPr="00546FCB" w:rsidRDefault="00D47A09" w:rsidP="007A641B">
            <w:pPr>
              <w:spacing w:line="360" w:lineRule="exact"/>
              <w:rPr>
                <w:rFonts w:cs="Arial"/>
                <w:sz w:val="22"/>
                <w:szCs w:val="22"/>
              </w:rPr>
            </w:pPr>
            <w:r w:rsidRPr="00546FCB">
              <w:rPr>
                <w:rFonts w:cs="Arial"/>
                <w:sz w:val="22"/>
                <w:szCs w:val="22"/>
              </w:rPr>
              <w:t>4000</w:t>
            </w:r>
          </w:p>
        </w:tc>
      </w:tr>
    </w:tbl>
    <w:p w14:paraId="39064098" w14:textId="10E39C8B" w:rsidR="00D47A09" w:rsidRDefault="00D47A09" w:rsidP="00D47A09"/>
    <w:p w14:paraId="252E3C62" w14:textId="5EB401CE" w:rsidR="007044FD" w:rsidRPr="004D3DD4" w:rsidRDefault="007044FD" w:rsidP="004D3DD4">
      <w:pPr>
        <w:pStyle w:val="Heading3"/>
        <w:rPr>
          <w:i/>
          <w:iCs/>
          <w:u w:val="single"/>
        </w:rPr>
      </w:pPr>
      <w:r w:rsidRPr="004D3DD4">
        <w:rPr>
          <w:i/>
          <w:iCs/>
          <w:u w:val="single"/>
        </w:rPr>
        <w:t>Педиатрична  популация</w:t>
      </w:r>
    </w:p>
    <w:p w14:paraId="0743414F" w14:textId="77777777" w:rsidR="007044FD" w:rsidRDefault="007044FD" w:rsidP="007044FD">
      <w:pPr>
        <w:pStyle w:val="BodyText"/>
        <w:spacing w:after="40" w:line="261" w:lineRule="exact"/>
        <w:rPr>
          <w:rFonts w:cs="Arial"/>
          <w:i/>
          <w:iCs/>
          <w:u w:val="single"/>
        </w:rPr>
      </w:pPr>
    </w:p>
    <w:p w14:paraId="1196C367" w14:textId="4B57ED9B" w:rsidR="007044FD" w:rsidRPr="00546FCB" w:rsidRDefault="007044FD" w:rsidP="007044FD">
      <w:pPr>
        <w:pStyle w:val="BodyText"/>
        <w:spacing w:after="40" w:line="261" w:lineRule="exact"/>
        <w:rPr>
          <w:rFonts w:cs="Arial"/>
        </w:rPr>
      </w:pPr>
      <w:r w:rsidRPr="00546FCB">
        <w:rPr>
          <w:rFonts w:cs="Arial"/>
          <w:i/>
          <w:iCs/>
          <w:u w:val="single"/>
        </w:rPr>
        <w:t xml:space="preserve">Деца от 10 години и юноши до 14-годишна възраст (с тегло от 32 </w:t>
      </w:r>
      <w:r w:rsidRPr="00546FCB">
        <w:rPr>
          <w:rFonts w:cs="Arial"/>
          <w:i/>
          <w:iCs/>
          <w:u w:val="single"/>
          <w:lang w:val="en-US" w:bidi="en-US"/>
        </w:rPr>
        <w:t xml:space="preserve">kg </w:t>
      </w:r>
      <w:r w:rsidRPr="00546FCB">
        <w:rPr>
          <w:rFonts w:cs="Arial"/>
          <w:i/>
          <w:iCs/>
          <w:u w:val="single"/>
        </w:rPr>
        <w:t xml:space="preserve">до 53 </w:t>
      </w:r>
      <w:r w:rsidRPr="00546FCB">
        <w:rPr>
          <w:rFonts w:cs="Arial"/>
          <w:i/>
          <w:iCs/>
          <w:u w:val="single"/>
          <w:lang w:val="en-US" w:bidi="en-US"/>
        </w:rPr>
        <w:t>kg)</w:t>
      </w:r>
    </w:p>
    <w:p w14:paraId="5FD302F5" w14:textId="77777777" w:rsidR="007044FD" w:rsidRPr="00546FCB" w:rsidRDefault="007044FD" w:rsidP="007044FD">
      <w:pPr>
        <w:pStyle w:val="BodyText"/>
        <w:spacing w:after="300" w:line="261" w:lineRule="exact"/>
        <w:rPr>
          <w:rFonts w:cs="Arial"/>
        </w:rPr>
      </w:pPr>
      <w:r w:rsidRPr="00546FCB">
        <w:rPr>
          <w:rFonts w:cs="Arial"/>
        </w:rPr>
        <w:t xml:space="preserve">При деца и юноши на възраст до 14 години 8-16 </w:t>
      </w:r>
      <w:r w:rsidRPr="00546FCB">
        <w:rPr>
          <w:rFonts w:cs="Arial"/>
          <w:lang w:val="en-US" w:bidi="en-US"/>
        </w:rPr>
        <w:t xml:space="preserve">mg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на килограм телесно тегло може да се прилагат като единична доза. В случай на повишена температура доза от 10 </w:t>
      </w:r>
      <w:r w:rsidRPr="00546FCB">
        <w:rPr>
          <w:rFonts w:cs="Arial"/>
          <w:lang w:val="en-US" w:bidi="en-US"/>
        </w:rPr>
        <w:t xml:space="preserve">mg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на килограм телесно тегло обикновено е достатъчна за деца.</w:t>
      </w:r>
    </w:p>
    <w:p w14:paraId="3D256837" w14:textId="77777777" w:rsidR="007044FD" w:rsidRPr="00546FCB" w:rsidRDefault="007044FD" w:rsidP="007044FD">
      <w:pPr>
        <w:pStyle w:val="BodyText"/>
        <w:spacing w:after="300" w:line="261" w:lineRule="exact"/>
        <w:rPr>
          <w:rFonts w:cs="Arial"/>
        </w:rPr>
      </w:pPr>
      <w:r w:rsidRPr="00546FCB">
        <w:rPr>
          <w:rFonts w:cs="Arial"/>
        </w:rPr>
        <w:t>Ясно изразен ефект може да се очаква 30 до 60 минути след перорално приложение.</w:t>
      </w:r>
    </w:p>
    <w:p w14:paraId="5F1BDF71" w14:textId="77777777" w:rsidR="007044FD" w:rsidRPr="00546FCB" w:rsidRDefault="007044FD" w:rsidP="007044FD">
      <w:pPr>
        <w:pStyle w:val="BodyText"/>
        <w:spacing w:after="300" w:line="338" w:lineRule="exact"/>
        <w:rPr>
          <w:rFonts w:cs="Arial"/>
        </w:rPr>
      </w:pPr>
      <w:r w:rsidRPr="00546FCB">
        <w:rPr>
          <w:rFonts w:cs="Arial"/>
        </w:rPr>
        <w:t>В следващата таблица са показани препоръчителните единични дози и максималните дневни дози в зависимост от теглото или възрастта:</w:t>
      </w:r>
    </w:p>
    <w:tbl>
      <w:tblPr>
        <w:tblStyle w:val="TableGrid"/>
        <w:tblW w:w="9788" w:type="dxa"/>
        <w:tblLook w:val="04A0" w:firstRow="1" w:lastRow="0" w:firstColumn="1" w:lastColumn="0" w:noHBand="0" w:noVBand="1"/>
      </w:tblPr>
      <w:tblGrid>
        <w:gridCol w:w="1631"/>
        <w:gridCol w:w="1631"/>
        <w:gridCol w:w="1631"/>
        <w:gridCol w:w="1632"/>
        <w:gridCol w:w="1631"/>
        <w:gridCol w:w="1632"/>
      </w:tblGrid>
      <w:tr w:rsidR="007044FD" w:rsidRPr="00546FCB" w14:paraId="37927BDD" w14:textId="77777777" w:rsidTr="007A641B">
        <w:trPr>
          <w:trHeight w:val="358"/>
        </w:trPr>
        <w:tc>
          <w:tcPr>
            <w:tcW w:w="3262" w:type="dxa"/>
            <w:gridSpan w:val="2"/>
          </w:tcPr>
          <w:p w14:paraId="38AFB5FE" w14:textId="77777777" w:rsidR="007044FD" w:rsidRPr="00546FCB" w:rsidRDefault="007044FD" w:rsidP="007044FD">
            <w:pPr>
              <w:pStyle w:val="BodyText"/>
            </w:pPr>
            <w:r w:rsidRPr="00546FCB">
              <w:t>Телесно тегло</w:t>
            </w:r>
          </w:p>
        </w:tc>
        <w:tc>
          <w:tcPr>
            <w:tcW w:w="3263" w:type="dxa"/>
            <w:gridSpan w:val="2"/>
          </w:tcPr>
          <w:p w14:paraId="47E5AAF6" w14:textId="77777777" w:rsidR="007044FD" w:rsidRPr="00546FCB" w:rsidRDefault="007044FD" w:rsidP="007044FD">
            <w:pPr>
              <w:pStyle w:val="BodyText"/>
            </w:pPr>
            <w:r w:rsidRPr="00546FCB">
              <w:t>Единична доза</w:t>
            </w:r>
          </w:p>
        </w:tc>
        <w:tc>
          <w:tcPr>
            <w:tcW w:w="3263" w:type="dxa"/>
            <w:gridSpan w:val="2"/>
          </w:tcPr>
          <w:p w14:paraId="50DC8977" w14:textId="77777777" w:rsidR="007044FD" w:rsidRPr="00546FCB" w:rsidRDefault="007044FD" w:rsidP="007044FD">
            <w:pPr>
              <w:pStyle w:val="BodyText"/>
            </w:pPr>
            <w:r w:rsidRPr="00546FCB">
              <w:t>Максимална дневна доза</w:t>
            </w:r>
          </w:p>
        </w:tc>
      </w:tr>
      <w:tr w:rsidR="007044FD" w:rsidRPr="00546FCB" w14:paraId="042380E4" w14:textId="77777777" w:rsidTr="007A641B">
        <w:trPr>
          <w:trHeight w:val="368"/>
        </w:trPr>
        <w:tc>
          <w:tcPr>
            <w:tcW w:w="1631" w:type="dxa"/>
          </w:tcPr>
          <w:p w14:paraId="09A69AC4" w14:textId="77777777" w:rsidR="007044FD" w:rsidRPr="00546FCB" w:rsidRDefault="007044FD" w:rsidP="007044FD">
            <w:pPr>
              <w:pStyle w:val="BodyText"/>
            </w:pPr>
            <w:r w:rsidRPr="00546FCB">
              <w:rPr>
                <w:lang w:val="en-US" w:eastAsia="en-US" w:bidi="en-US"/>
              </w:rPr>
              <w:t>kg</w:t>
            </w:r>
          </w:p>
        </w:tc>
        <w:tc>
          <w:tcPr>
            <w:tcW w:w="1631" w:type="dxa"/>
          </w:tcPr>
          <w:p w14:paraId="578BFDA2" w14:textId="77777777" w:rsidR="007044FD" w:rsidRPr="00546FCB" w:rsidRDefault="007044FD" w:rsidP="007044FD">
            <w:pPr>
              <w:pStyle w:val="BodyText"/>
            </w:pPr>
            <w:r w:rsidRPr="00546FCB">
              <w:t>възраст</w:t>
            </w:r>
          </w:p>
        </w:tc>
        <w:tc>
          <w:tcPr>
            <w:tcW w:w="1631" w:type="dxa"/>
            <w:vAlign w:val="bottom"/>
          </w:tcPr>
          <w:p w14:paraId="308E250A" w14:textId="77777777" w:rsidR="007044FD" w:rsidRPr="00546FCB" w:rsidRDefault="007044FD" w:rsidP="007044FD">
            <w:pPr>
              <w:pStyle w:val="BodyText"/>
            </w:pPr>
            <w:r w:rsidRPr="00546FCB">
              <w:t>таблетки</w:t>
            </w:r>
          </w:p>
        </w:tc>
        <w:tc>
          <w:tcPr>
            <w:tcW w:w="1632" w:type="dxa"/>
          </w:tcPr>
          <w:p w14:paraId="582FCDC4" w14:textId="77777777" w:rsidR="007044FD" w:rsidRPr="00546FCB" w:rsidRDefault="007044FD" w:rsidP="007044FD">
            <w:pPr>
              <w:pStyle w:val="BodyText"/>
            </w:pPr>
            <w:r w:rsidRPr="00546FCB">
              <w:rPr>
                <w:lang w:val="en-US" w:eastAsia="en-US" w:bidi="en-US"/>
              </w:rPr>
              <w:t>mg</w:t>
            </w:r>
          </w:p>
        </w:tc>
        <w:tc>
          <w:tcPr>
            <w:tcW w:w="1631" w:type="dxa"/>
            <w:vAlign w:val="bottom"/>
          </w:tcPr>
          <w:p w14:paraId="3CF5CFF0" w14:textId="77777777" w:rsidR="007044FD" w:rsidRPr="00546FCB" w:rsidRDefault="007044FD" w:rsidP="007044FD">
            <w:pPr>
              <w:pStyle w:val="BodyText"/>
            </w:pPr>
            <w:r w:rsidRPr="00546FCB">
              <w:t>таблетки</w:t>
            </w:r>
          </w:p>
        </w:tc>
        <w:tc>
          <w:tcPr>
            <w:tcW w:w="1632" w:type="dxa"/>
          </w:tcPr>
          <w:p w14:paraId="3D370E11" w14:textId="77777777" w:rsidR="007044FD" w:rsidRPr="00546FCB" w:rsidRDefault="007044FD" w:rsidP="007044FD">
            <w:pPr>
              <w:pStyle w:val="BodyText"/>
            </w:pPr>
            <w:r w:rsidRPr="00546FCB">
              <w:rPr>
                <w:lang w:val="en-US" w:eastAsia="en-US" w:bidi="en-US"/>
              </w:rPr>
              <w:t>mg</w:t>
            </w:r>
          </w:p>
        </w:tc>
      </w:tr>
      <w:tr w:rsidR="007044FD" w:rsidRPr="00546FCB" w14:paraId="59197DE2" w14:textId="77777777" w:rsidTr="007A641B">
        <w:trPr>
          <w:trHeight w:val="367"/>
        </w:trPr>
        <w:tc>
          <w:tcPr>
            <w:tcW w:w="1631" w:type="dxa"/>
          </w:tcPr>
          <w:p w14:paraId="61144EB8" w14:textId="77777777" w:rsidR="007044FD" w:rsidRPr="00546FCB" w:rsidRDefault="007044FD" w:rsidP="007044FD">
            <w:pPr>
              <w:pStyle w:val="BodyText"/>
            </w:pPr>
            <w:r w:rsidRPr="00546FCB">
              <w:t>32-53</w:t>
            </w:r>
          </w:p>
        </w:tc>
        <w:tc>
          <w:tcPr>
            <w:tcW w:w="1631" w:type="dxa"/>
          </w:tcPr>
          <w:p w14:paraId="631CC2E8" w14:textId="77777777" w:rsidR="007044FD" w:rsidRPr="00546FCB" w:rsidRDefault="007044FD" w:rsidP="007044FD">
            <w:pPr>
              <w:pStyle w:val="BodyText"/>
            </w:pPr>
            <w:r w:rsidRPr="00546FCB">
              <w:t>10-14</w:t>
            </w:r>
          </w:p>
        </w:tc>
        <w:tc>
          <w:tcPr>
            <w:tcW w:w="1631" w:type="dxa"/>
          </w:tcPr>
          <w:p w14:paraId="616E24DB" w14:textId="77777777" w:rsidR="007044FD" w:rsidRPr="00546FCB" w:rsidRDefault="007044FD" w:rsidP="007044FD">
            <w:pPr>
              <w:pStyle w:val="BodyText"/>
            </w:pPr>
            <w:r w:rsidRPr="00546FCB">
              <w:t>½-1</w:t>
            </w:r>
          </w:p>
        </w:tc>
        <w:tc>
          <w:tcPr>
            <w:tcW w:w="1632" w:type="dxa"/>
          </w:tcPr>
          <w:p w14:paraId="5988D8F2" w14:textId="77777777" w:rsidR="007044FD" w:rsidRPr="00546FCB" w:rsidRDefault="007044FD" w:rsidP="007044FD">
            <w:pPr>
              <w:pStyle w:val="BodyText"/>
            </w:pPr>
            <w:r w:rsidRPr="00546FCB">
              <w:t>250-500</w:t>
            </w:r>
          </w:p>
        </w:tc>
        <w:tc>
          <w:tcPr>
            <w:tcW w:w="1631" w:type="dxa"/>
          </w:tcPr>
          <w:p w14:paraId="71F7B1A0" w14:textId="77777777" w:rsidR="007044FD" w:rsidRPr="00546FCB" w:rsidRDefault="007044FD" w:rsidP="007044FD">
            <w:pPr>
              <w:pStyle w:val="BodyText"/>
            </w:pPr>
            <w:r w:rsidRPr="00546FCB">
              <w:t>4</w:t>
            </w:r>
          </w:p>
        </w:tc>
        <w:tc>
          <w:tcPr>
            <w:tcW w:w="1632" w:type="dxa"/>
          </w:tcPr>
          <w:p w14:paraId="46662EAD" w14:textId="77777777" w:rsidR="007044FD" w:rsidRPr="00546FCB" w:rsidRDefault="007044FD" w:rsidP="007044FD">
            <w:pPr>
              <w:pStyle w:val="BodyText"/>
            </w:pPr>
            <w:r w:rsidRPr="00546FCB">
              <w:t>2000</w:t>
            </w:r>
          </w:p>
        </w:tc>
      </w:tr>
    </w:tbl>
    <w:p w14:paraId="3AB61BE5" w14:textId="77777777" w:rsidR="007044FD" w:rsidRPr="00546FCB" w:rsidRDefault="007044FD" w:rsidP="007044FD">
      <w:pPr>
        <w:pStyle w:val="BodyText"/>
        <w:rPr>
          <w:rFonts w:cs="Arial"/>
        </w:rPr>
      </w:pPr>
    </w:p>
    <w:p w14:paraId="2267B680" w14:textId="77777777" w:rsidR="007044FD" w:rsidRPr="00546FCB" w:rsidRDefault="007044FD" w:rsidP="007044FD">
      <w:pPr>
        <w:pStyle w:val="BodyText"/>
        <w:spacing w:after="40" w:line="259" w:lineRule="exact"/>
        <w:rPr>
          <w:rFonts w:cs="Arial"/>
        </w:rPr>
      </w:pPr>
      <w:proofErr w:type="spellStart"/>
      <w:r w:rsidRPr="00546FCB">
        <w:rPr>
          <w:rFonts w:cs="Arial"/>
          <w:i/>
          <w:iCs/>
          <w:u w:val="single"/>
        </w:rPr>
        <w:t>Деиа</w:t>
      </w:r>
      <w:proofErr w:type="spellEnd"/>
      <w:r w:rsidRPr="00546FCB">
        <w:rPr>
          <w:rFonts w:cs="Arial"/>
          <w:i/>
          <w:iCs/>
          <w:u w:val="single"/>
        </w:rPr>
        <w:t xml:space="preserve"> под 10-годишна възраст</w:t>
      </w:r>
    </w:p>
    <w:p w14:paraId="7FD1194C" w14:textId="77777777" w:rsidR="007044FD" w:rsidRPr="00546FCB" w:rsidRDefault="007044FD" w:rsidP="007044FD">
      <w:pPr>
        <w:pStyle w:val="BodyText"/>
        <w:spacing w:after="40" w:line="259" w:lineRule="exact"/>
        <w:rPr>
          <w:rFonts w:cs="Arial"/>
        </w:rPr>
      </w:pPr>
      <w:r w:rsidRPr="00546FCB">
        <w:rPr>
          <w:rFonts w:cs="Arial"/>
        </w:rPr>
        <w:t>Тази лекарствена форма не е подходяща за приложение при деца под 10-годишна възраст.</w:t>
      </w:r>
    </w:p>
    <w:p w14:paraId="13C47FC8" w14:textId="77777777" w:rsidR="007044FD" w:rsidRPr="00546FCB" w:rsidRDefault="007044FD" w:rsidP="007044FD">
      <w:pPr>
        <w:pStyle w:val="BodyText"/>
        <w:spacing w:after="300" w:line="259" w:lineRule="exact"/>
        <w:rPr>
          <w:rFonts w:cs="Arial"/>
        </w:rPr>
      </w:pPr>
      <w:r w:rsidRPr="00546FCB">
        <w:rPr>
          <w:rFonts w:cs="Arial"/>
        </w:rPr>
        <w:t xml:space="preserve">Предлагат се други лекарствени форми/количества на активното вещество в </w:t>
      </w:r>
      <w:proofErr w:type="spellStart"/>
      <w:r w:rsidRPr="00546FCB">
        <w:rPr>
          <w:rFonts w:cs="Arial"/>
        </w:rPr>
        <w:t>дозова</w:t>
      </w:r>
      <w:proofErr w:type="spellEnd"/>
      <w:r w:rsidRPr="00546FCB">
        <w:rPr>
          <w:rFonts w:cs="Arial"/>
        </w:rPr>
        <w:t xml:space="preserve"> единица, които могат да бъдат подходящо дозирани при по-малки деца.</w:t>
      </w:r>
    </w:p>
    <w:p w14:paraId="7466E934" w14:textId="77777777" w:rsidR="007044FD" w:rsidRPr="00BE6A40" w:rsidRDefault="007044FD" w:rsidP="00BE6A40">
      <w:pPr>
        <w:pStyle w:val="Heading3"/>
        <w:rPr>
          <w:i/>
          <w:iCs/>
          <w:u w:val="single"/>
        </w:rPr>
      </w:pPr>
      <w:r w:rsidRPr="00BE6A40">
        <w:rPr>
          <w:i/>
          <w:iCs/>
          <w:u w:val="single"/>
        </w:rPr>
        <w:t>Специални популации</w:t>
      </w:r>
    </w:p>
    <w:p w14:paraId="2B0D7005" w14:textId="77777777" w:rsidR="007044FD" w:rsidRPr="00546FCB" w:rsidRDefault="007044FD" w:rsidP="007044FD">
      <w:pPr>
        <w:pStyle w:val="BodyText"/>
        <w:spacing w:after="380" w:line="260" w:lineRule="exact"/>
        <w:rPr>
          <w:rFonts w:cs="Arial"/>
        </w:rPr>
      </w:pPr>
      <w:r w:rsidRPr="00546FCB">
        <w:rPr>
          <w:rFonts w:cs="Arial"/>
          <w:i/>
          <w:iCs/>
        </w:rPr>
        <w:t xml:space="preserve">Популация в старческа възраст, изтощени пациенти и пациенти с намален </w:t>
      </w:r>
      <w:proofErr w:type="spellStart"/>
      <w:r w:rsidRPr="00546FCB">
        <w:rPr>
          <w:rFonts w:cs="Arial"/>
          <w:i/>
          <w:iCs/>
        </w:rPr>
        <w:t>креатининов</w:t>
      </w:r>
      <w:proofErr w:type="spellEnd"/>
      <w:r w:rsidRPr="00546FCB">
        <w:rPr>
          <w:rFonts w:cs="Arial"/>
          <w:i/>
          <w:iCs/>
        </w:rPr>
        <w:t xml:space="preserve"> клирънс</w:t>
      </w:r>
    </w:p>
    <w:p w14:paraId="3D8F3AAC" w14:textId="77777777" w:rsidR="007044FD" w:rsidRPr="00546FCB" w:rsidRDefault="007044FD" w:rsidP="007044FD">
      <w:pPr>
        <w:pStyle w:val="BodyText"/>
        <w:spacing w:after="180" w:line="261" w:lineRule="exact"/>
        <w:rPr>
          <w:rFonts w:cs="Arial"/>
        </w:rPr>
      </w:pPr>
      <w:r w:rsidRPr="00546FCB">
        <w:rPr>
          <w:rFonts w:cs="Arial"/>
        </w:rPr>
        <w:t xml:space="preserve">Дозата трябва да се намали при пациенти в старческа възраст, при изтощени пациенти и при пациенти с намален </w:t>
      </w:r>
      <w:proofErr w:type="spellStart"/>
      <w:r w:rsidRPr="00546FCB">
        <w:rPr>
          <w:rFonts w:cs="Arial"/>
        </w:rPr>
        <w:t>креатининов</w:t>
      </w:r>
      <w:proofErr w:type="spellEnd"/>
      <w:r w:rsidRPr="00546FCB">
        <w:rPr>
          <w:rFonts w:cs="Arial"/>
        </w:rPr>
        <w:t xml:space="preserve"> клирънс, тъй като елиминирането на метаболитните продукти на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може да се удължи.</w:t>
      </w:r>
    </w:p>
    <w:p w14:paraId="3ACA9D92" w14:textId="77777777" w:rsidR="007044FD" w:rsidRPr="00BE6A40" w:rsidRDefault="007044FD" w:rsidP="00BE6A40">
      <w:pPr>
        <w:pStyle w:val="Heading3"/>
        <w:rPr>
          <w:i/>
          <w:iCs/>
          <w:u w:val="single"/>
        </w:rPr>
      </w:pPr>
      <w:r w:rsidRPr="00BE6A40">
        <w:rPr>
          <w:i/>
          <w:iCs/>
          <w:u w:val="single"/>
        </w:rPr>
        <w:t>Чернодробно или бъбречно увреждане</w:t>
      </w:r>
    </w:p>
    <w:p w14:paraId="0A0BAFA7" w14:textId="77777777" w:rsidR="007044FD" w:rsidRPr="00546FCB" w:rsidRDefault="007044FD" w:rsidP="007044FD">
      <w:pPr>
        <w:pStyle w:val="BodyText"/>
        <w:spacing w:after="300" w:line="258" w:lineRule="exact"/>
        <w:rPr>
          <w:rFonts w:cs="Arial"/>
        </w:rPr>
      </w:pPr>
      <w:r w:rsidRPr="00546FCB">
        <w:rPr>
          <w:rFonts w:cs="Arial"/>
        </w:rPr>
        <w:t xml:space="preserve">Тъй като скоростта на елиминиране е намалена, когато бъбречната или чернодробната функция е нарушена, многократни високи дози трябва да се избягват. Не се налага намаляване на дозата, когато се прилага само за кратко време. Към днешна дата няма достатъчно опит с дългосрочната употреба на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при пациенти с тежко чернодробно и бъбречно увреждане.</w:t>
      </w:r>
    </w:p>
    <w:p w14:paraId="7D5E4353" w14:textId="77777777" w:rsidR="007044FD" w:rsidRPr="00BE6A40" w:rsidRDefault="007044FD" w:rsidP="00BE6A40">
      <w:pPr>
        <w:pStyle w:val="Heading3"/>
        <w:rPr>
          <w:i/>
          <w:iCs/>
          <w:u w:val="single"/>
        </w:rPr>
      </w:pPr>
      <w:r w:rsidRPr="00BE6A40">
        <w:rPr>
          <w:i/>
          <w:iCs/>
          <w:u w:val="single"/>
        </w:rPr>
        <w:lastRenderedPageBreak/>
        <w:t>Продължителност на лечението</w:t>
      </w:r>
    </w:p>
    <w:p w14:paraId="2449C70F" w14:textId="77777777" w:rsidR="007044FD" w:rsidRPr="00546FCB" w:rsidRDefault="007044FD" w:rsidP="007044FD">
      <w:pPr>
        <w:pStyle w:val="BodyText"/>
        <w:spacing w:after="300" w:line="259" w:lineRule="exact"/>
        <w:rPr>
          <w:rFonts w:cs="Arial"/>
        </w:rPr>
      </w:pPr>
      <w:r w:rsidRPr="00546FCB">
        <w:rPr>
          <w:rFonts w:cs="Arial"/>
        </w:rPr>
        <w:t xml:space="preserve">Лечението с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не трябва да продължава повече от 3 до 5 дни. Употребата му за по- продължителен период от време или в по-високи дози от посочените е възможно само след консултация с лекуващия лекар.</w:t>
      </w:r>
    </w:p>
    <w:p w14:paraId="06F94DE7" w14:textId="77777777" w:rsidR="007044FD" w:rsidRPr="007044FD" w:rsidRDefault="007044FD" w:rsidP="007044FD">
      <w:pPr>
        <w:pStyle w:val="BodyText"/>
      </w:pPr>
    </w:p>
    <w:p w14:paraId="455D6048" w14:textId="3D664053" w:rsidR="002C50EE" w:rsidRDefault="002C50EE" w:rsidP="002C50EE">
      <w:pPr>
        <w:pStyle w:val="Heading2"/>
      </w:pPr>
      <w:r>
        <w:t>4.3. Противопоказания</w:t>
      </w:r>
    </w:p>
    <w:p w14:paraId="3FD8AFFB" w14:textId="77777777" w:rsidR="007044FD" w:rsidRPr="00546FCB" w:rsidRDefault="007044FD" w:rsidP="007044FD">
      <w:pPr>
        <w:pStyle w:val="BodyText"/>
        <w:spacing w:after="40" w:line="257" w:lineRule="exact"/>
        <w:ind w:firstLine="560"/>
        <w:rPr>
          <w:rFonts w:cs="Arial"/>
        </w:rPr>
      </w:pPr>
      <w:r w:rsidRPr="00546FCB">
        <w:rPr>
          <w:rFonts w:cs="Arial"/>
        </w:rPr>
        <w:t xml:space="preserve">-   Свръхчувствителност към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или към някое от помощните вещества;</w:t>
      </w:r>
    </w:p>
    <w:p w14:paraId="76E40B25" w14:textId="77777777" w:rsidR="007044FD" w:rsidRPr="00546FCB" w:rsidRDefault="007044FD" w:rsidP="007044FD">
      <w:pPr>
        <w:pStyle w:val="BodyText"/>
        <w:spacing w:after="40" w:line="257" w:lineRule="exact"/>
        <w:ind w:firstLine="560"/>
        <w:rPr>
          <w:rFonts w:cs="Arial"/>
        </w:rPr>
      </w:pPr>
      <w:r w:rsidRPr="00546FCB">
        <w:rPr>
          <w:rFonts w:cs="Arial"/>
        </w:rPr>
        <w:t xml:space="preserve">-   Свръхчувствителност към други </w:t>
      </w:r>
      <w:proofErr w:type="spellStart"/>
      <w:r w:rsidRPr="00546FCB">
        <w:rPr>
          <w:rFonts w:cs="Arial"/>
        </w:rPr>
        <w:t>пиразолонови</w:t>
      </w:r>
      <w:proofErr w:type="spellEnd"/>
      <w:r w:rsidRPr="00546FCB">
        <w:rPr>
          <w:rFonts w:cs="Arial"/>
        </w:rPr>
        <w:t xml:space="preserve"> производни (вкл. при пациенти с анамнеза за </w:t>
      </w:r>
      <w:proofErr w:type="spellStart"/>
      <w:r w:rsidRPr="00546FCB">
        <w:rPr>
          <w:rFonts w:cs="Arial"/>
        </w:rPr>
        <w:t>агранулоцитоза</w:t>
      </w:r>
      <w:proofErr w:type="spellEnd"/>
      <w:r w:rsidRPr="00546FCB">
        <w:rPr>
          <w:rFonts w:cs="Arial"/>
        </w:rPr>
        <w:t>, след предхождащо приложение на такива субстанции);</w:t>
      </w:r>
    </w:p>
    <w:p w14:paraId="258C77EA" w14:textId="77777777" w:rsidR="007044FD" w:rsidRPr="00546FCB" w:rsidRDefault="007044FD" w:rsidP="007044FD">
      <w:pPr>
        <w:pStyle w:val="BodyText"/>
        <w:spacing w:after="40" w:line="257" w:lineRule="exact"/>
        <w:ind w:firstLine="560"/>
        <w:rPr>
          <w:rFonts w:cs="Arial"/>
        </w:rPr>
      </w:pPr>
      <w:r w:rsidRPr="00546FCB">
        <w:rPr>
          <w:rFonts w:cs="Arial"/>
        </w:rPr>
        <w:t xml:space="preserve">-   Остра чернодробна </w:t>
      </w:r>
      <w:proofErr w:type="spellStart"/>
      <w:r w:rsidRPr="00546FCB">
        <w:rPr>
          <w:rFonts w:cs="Arial"/>
        </w:rPr>
        <w:t>порфирия</w:t>
      </w:r>
      <w:proofErr w:type="spellEnd"/>
      <w:r w:rsidRPr="00546FCB">
        <w:rPr>
          <w:rFonts w:cs="Arial"/>
        </w:rPr>
        <w:t>;</w:t>
      </w:r>
    </w:p>
    <w:p w14:paraId="18E10E06" w14:textId="77777777" w:rsidR="007044FD" w:rsidRPr="00546FCB" w:rsidRDefault="007044FD" w:rsidP="007044FD">
      <w:pPr>
        <w:pStyle w:val="BodyText"/>
        <w:spacing w:after="40" w:line="257" w:lineRule="exact"/>
        <w:ind w:firstLine="560"/>
        <w:rPr>
          <w:rFonts w:cs="Arial"/>
        </w:rPr>
      </w:pPr>
      <w:r w:rsidRPr="00546FCB">
        <w:rPr>
          <w:rFonts w:cs="Arial"/>
        </w:rPr>
        <w:t>-   Глюкозо-6-фосфатдехидрогеназна недостатъчност (опасност от хемолиза);</w:t>
      </w:r>
    </w:p>
    <w:p w14:paraId="0CE3B0A2" w14:textId="77777777" w:rsidR="007044FD" w:rsidRPr="00546FCB" w:rsidRDefault="007044FD" w:rsidP="007044FD">
      <w:pPr>
        <w:pStyle w:val="BodyText"/>
        <w:spacing w:after="40" w:line="257" w:lineRule="exact"/>
        <w:ind w:firstLine="560"/>
        <w:rPr>
          <w:rFonts w:cs="Arial"/>
        </w:rPr>
      </w:pPr>
      <w:r w:rsidRPr="00546FCB">
        <w:rPr>
          <w:rFonts w:cs="Arial"/>
        </w:rPr>
        <w:t>-   Тежки чернодробни и/или бъбречни заболявания;</w:t>
      </w:r>
    </w:p>
    <w:p w14:paraId="15FBF006" w14:textId="77777777" w:rsidR="007044FD" w:rsidRPr="00546FCB" w:rsidRDefault="007044FD" w:rsidP="007044FD">
      <w:pPr>
        <w:pStyle w:val="BodyText"/>
        <w:spacing w:after="40" w:line="257" w:lineRule="exact"/>
        <w:ind w:firstLine="560"/>
        <w:rPr>
          <w:rFonts w:cs="Arial"/>
        </w:rPr>
      </w:pPr>
      <w:r w:rsidRPr="00546FCB">
        <w:rPr>
          <w:rFonts w:cs="Arial"/>
        </w:rPr>
        <w:t xml:space="preserve">-   Нарушена </w:t>
      </w:r>
      <w:proofErr w:type="spellStart"/>
      <w:r w:rsidRPr="00546FCB">
        <w:rPr>
          <w:rFonts w:cs="Arial"/>
        </w:rPr>
        <w:t>костномозъчна</w:t>
      </w:r>
      <w:proofErr w:type="spellEnd"/>
      <w:r w:rsidRPr="00546FCB">
        <w:rPr>
          <w:rFonts w:cs="Arial"/>
        </w:rPr>
        <w:t xml:space="preserve"> функция (например след лечение с </w:t>
      </w:r>
      <w:proofErr w:type="spellStart"/>
      <w:r w:rsidRPr="00546FCB">
        <w:rPr>
          <w:rFonts w:cs="Arial"/>
        </w:rPr>
        <w:t>цитостатици</w:t>
      </w:r>
      <w:proofErr w:type="spellEnd"/>
      <w:r w:rsidRPr="00546FCB">
        <w:rPr>
          <w:rFonts w:cs="Arial"/>
        </w:rPr>
        <w:t xml:space="preserve">) или заболявания на </w:t>
      </w:r>
      <w:proofErr w:type="spellStart"/>
      <w:r w:rsidRPr="00546FCB">
        <w:rPr>
          <w:rFonts w:cs="Arial"/>
        </w:rPr>
        <w:t>хематопоетичната</w:t>
      </w:r>
      <w:proofErr w:type="spellEnd"/>
      <w:r w:rsidRPr="00546FCB">
        <w:rPr>
          <w:rFonts w:cs="Arial"/>
        </w:rPr>
        <w:t xml:space="preserve"> система (</w:t>
      </w:r>
      <w:proofErr w:type="spellStart"/>
      <w:r w:rsidRPr="00546FCB">
        <w:rPr>
          <w:rFonts w:cs="Arial"/>
        </w:rPr>
        <w:t>апластична</w:t>
      </w:r>
      <w:proofErr w:type="spellEnd"/>
      <w:r w:rsidRPr="00546FCB">
        <w:rPr>
          <w:rFonts w:cs="Arial"/>
        </w:rPr>
        <w:t xml:space="preserve"> анемия, </w:t>
      </w:r>
      <w:proofErr w:type="spellStart"/>
      <w:r w:rsidRPr="00546FCB">
        <w:rPr>
          <w:rFonts w:cs="Arial"/>
        </w:rPr>
        <w:t>агранулоцитоза</w:t>
      </w:r>
      <w:proofErr w:type="spellEnd"/>
      <w:r w:rsidRPr="00546FCB">
        <w:rPr>
          <w:rFonts w:cs="Arial"/>
        </w:rPr>
        <w:t xml:space="preserve">, </w:t>
      </w:r>
      <w:proofErr w:type="spellStart"/>
      <w:r w:rsidRPr="00546FCB">
        <w:rPr>
          <w:rFonts w:cs="Arial"/>
        </w:rPr>
        <w:t>левкопения</w:t>
      </w:r>
      <w:proofErr w:type="spellEnd"/>
      <w:r w:rsidRPr="00546FCB">
        <w:rPr>
          <w:rFonts w:cs="Arial"/>
        </w:rPr>
        <w:t>);</w:t>
      </w:r>
    </w:p>
    <w:p w14:paraId="7D33E05B" w14:textId="77777777" w:rsidR="007044FD" w:rsidRPr="00546FCB" w:rsidRDefault="007044FD" w:rsidP="007044FD">
      <w:pPr>
        <w:pStyle w:val="BodyText"/>
        <w:spacing w:after="300" w:line="257" w:lineRule="exact"/>
        <w:ind w:firstLine="560"/>
        <w:rPr>
          <w:rFonts w:cs="Arial"/>
        </w:rPr>
      </w:pPr>
      <w:r w:rsidRPr="00546FCB">
        <w:rPr>
          <w:rFonts w:cs="Arial"/>
        </w:rPr>
        <w:t>-    Трети триместър на бременността.</w:t>
      </w:r>
    </w:p>
    <w:p w14:paraId="16BE7AA2" w14:textId="77777777" w:rsidR="007044FD" w:rsidRPr="007044FD" w:rsidRDefault="007044FD" w:rsidP="007044FD"/>
    <w:p w14:paraId="2A4373D0" w14:textId="4A32FC84" w:rsidR="002C50EE" w:rsidRDefault="002C50EE" w:rsidP="002C50EE">
      <w:pPr>
        <w:pStyle w:val="Heading2"/>
      </w:pPr>
      <w:r>
        <w:t>4.4. Специални предупреждения и предпазни мерки при употреба</w:t>
      </w:r>
    </w:p>
    <w:p w14:paraId="0BA3D242" w14:textId="77777777" w:rsidR="007044FD" w:rsidRPr="00546FCB" w:rsidRDefault="007044FD" w:rsidP="007044FD">
      <w:pPr>
        <w:pStyle w:val="BodyText"/>
        <w:ind w:firstLine="640"/>
        <w:rPr>
          <w:rFonts w:cs="Arial"/>
        </w:rPr>
      </w:pPr>
      <w:r w:rsidRPr="00546FCB">
        <w:rPr>
          <w:rFonts w:cs="Arial"/>
        </w:rPr>
        <w:t xml:space="preserve">-   Лечението с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се провежда само за кратък период от време, косато няма друг алтернативен метод на лечение.</w:t>
      </w:r>
    </w:p>
    <w:p w14:paraId="26C5D40B" w14:textId="77777777" w:rsidR="007044FD" w:rsidRPr="00546FCB" w:rsidRDefault="007044FD" w:rsidP="007044FD">
      <w:pPr>
        <w:pStyle w:val="BodyText"/>
        <w:ind w:firstLine="640"/>
        <w:rPr>
          <w:rFonts w:cs="Arial"/>
        </w:rPr>
      </w:pPr>
      <w:r w:rsidRPr="00546FCB">
        <w:rPr>
          <w:rFonts w:cs="Arial"/>
        </w:rPr>
        <w:t xml:space="preserve">-  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може да предизвика </w:t>
      </w:r>
      <w:proofErr w:type="spellStart"/>
      <w:r w:rsidRPr="00546FCB">
        <w:rPr>
          <w:rFonts w:cs="Arial"/>
        </w:rPr>
        <w:t>агранулоцитоза</w:t>
      </w:r>
      <w:proofErr w:type="spellEnd"/>
      <w:r w:rsidRPr="00546FCB">
        <w:rPr>
          <w:rFonts w:cs="Arial"/>
        </w:rPr>
        <w:t xml:space="preserve"> и </w:t>
      </w:r>
      <w:proofErr w:type="spellStart"/>
      <w:r w:rsidRPr="00546FCB">
        <w:rPr>
          <w:rFonts w:cs="Arial"/>
        </w:rPr>
        <w:t>тромбоцитопения</w:t>
      </w:r>
      <w:proofErr w:type="spellEnd"/>
      <w:r w:rsidRPr="00546FCB">
        <w:rPr>
          <w:rFonts w:cs="Arial"/>
        </w:rPr>
        <w:t xml:space="preserve"> (вж. точка 4.8). Развитието на </w:t>
      </w:r>
      <w:proofErr w:type="spellStart"/>
      <w:r w:rsidRPr="00546FCB">
        <w:rPr>
          <w:rFonts w:cs="Arial"/>
        </w:rPr>
        <w:t>агранулоцитоза</w:t>
      </w:r>
      <w:proofErr w:type="spellEnd"/>
      <w:r w:rsidRPr="00546FCB">
        <w:rPr>
          <w:rFonts w:cs="Arial"/>
        </w:rPr>
        <w:t xml:space="preserve"> не зависи от дозата и не може да се предвиди. Може да настъпи след първия прием или след многократно приложение. Типични признаци на </w:t>
      </w:r>
      <w:proofErr w:type="spellStart"/>
      <w:r w:rsidRPr="00546FCB">
        <w:rPr>
          <w:rFonts w:cs="Arial"/>
        </w:rPr>
        <w:t>агранулоцитоза</w:t>
      </w:r>
      <w:proofErr w:type="spellEnd"/>
      <w:r w:rsidRPr="00546FCB">
        <w:rPr>
          <w:rFonts w:cs="Arial"/>
        </w:rPr>
        <w:t xml:space="preserve"> са </w:t>
      </w:r>
      <w:proofErr w:type="spellStart"/>
      <w:r w:rsidRPr="00546FCB">
        <w:rPr>
          <w:rFonts w:cs="Arial"/>
        </w:rPr>
        <w:t>фебрилитет</w:t>
      </w:r>
      <w:proofErr w:type="spellEnd"/>
      <w:r w:rsidRPr="00546FCB">
        <w:rPr>
          <w:rFonts w:cs="Arial"/>
        </w:rPr>
        <w:t xml:space="preserve">, болки в гърлото, болезнено преглъщане, възпаление на лигавицата на устата, носа, фаринкса, </w:t>
      </w:r>
      <w:proofErr w:type="spellStart"/>
      <w:r w:rsidRPr="00546FCB">
        <w:rPr>
          <w:rFonts w:cs="Arial"/>
        </w:rPr>
        <w:t>аноректалната</w:t>
      </w:r>
      <w:proofErr w:type="spellEnd"/>
      <w:r w:rsidRPr="00546FCB">
        <w:rPr>
          <w:rFonts w:cs="Arial"/>
        </w:rPr>
        <w:t xml:space="preserve"> и гениталната област. При внезапно влошаване на общото състояние и поява на признаци на </w:t>
      </w:r>
      <w:proofErr w:type="spellStart"/>
      <w:r w:rsidRPr="00546FCB">
        <w:rPr>
          <w:rFonts w:cs="Arial"/>
        </w:rPr>
        <w:t>агранулоцитоза</w:t>
      </w:r>
      <w:proofErr w:type="spellEnd"/>
      <w:r w:rsidRPr="00546FCB">
        <w:rPr>
          <w:rFonts w:cs="Arial"/>
        </w:rPr>
        <w:t xml:space="preserve">, лечението с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трябва да се прекрати и да се изследва кръвната картина.</w:t>
      </w:r>
    </w:p>
    <w:p w14:paraId="0E6467F7" w14:textId="77777777" w:rsidR="007044FD" w:rsidRPr="00546FCB" w:rsidRDefault="007044FD" w:rsidP="007044FD">
      <w:pPr>
        <w:pStyle w:val="BodyText"/>
        <w:ind w:firstLine="640"/>
        <w:rPr>
          <w:rFonts w:cs="Arial"/>
        </w:rPr>
      </w:pPr>
      <w:r w:rsidRPr="00546FCB">
        <w:rPr>
          <w:rFonts w:cs="Arial"/>
        </w:rPr>
        <w:t xml:space="preserve">-   При по-продължително приложение на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е необходимо контролиране на кръвната картина, включително диференциално броене на белите кръвни клетки.</w:t>
      </w:r>
    </w:p>
    <w:p w14:paraId="3CF52A86" w14:textId="77777777" w:rsidR="007044FD" w:rsidRPr="00546FCB" w:rsidRDefault="007044FD" w:rsidP="007044FD">
      <w:pPr>
        <w:pStyle w:val="BodyText"/>
        <w:ind w:firstLine="640"/>
        <w:rPr>
          <w:rFonts w:cs="Arial"/>
        </w:rPr>
      </w:pPr>
      <w:r w:rsidRPr="00546FCB">
        <w:rPr>
          <w:rFonts w:cs="Arial"/>
        </w:rPr>
        <w:t xml:space="preserve">-   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се назначава с внимание при пациенти, страдащи от алергични заболявания, пациенти със свръхчувствителност към аналгетични и противоревматични лекарства (непоносимост към аналгетици), както и към други медикаменти или храни поради повишен риск от алергични реакции и астматични пристъпи.</w:t>
      </w:r>
    </w:p>
    <w:p w14:paraId="246D2E93" w14:textId="77777777" w:rsidR="007044FD" w:rsidRPr="00546FCB" w:rsidRDefault="007044FD" w:rsidP="007044FD">
      <w:pPr>
        <w:pStyle w:val="BodyText"/>
        <w:ind w:firstLine="640"/>
        <w:rPr>
          <w:rFonts w:cs="Arial"/>
        </w:rPr>
      </w:pPr>
      <w:r w:rsidRPr="00546FCB">
        <w:rPr>
          <w:rFonts w:cs="Arial"/>
        </w:rPr>
        <w:t xml:space="preserve">-  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може да провокира хипотонични реакции (вж. точка 4.8). Тези реакции са </w:t>
      </w:r>
      <w:proofErr w:type="spellStart"/>
      <w:r w:rsidRPr="00546FCB">
        <w:rPr>
          <w:rFonts w:cs="Arial"/>
        </w:rPr>
        <w:t>дозозависими</w:t>
      </w:r>
      <w:proofErr w:type="spellEnd"/>
      <w:r w:rsidRPr="00546FCB">
        <w:rPr>
          <w:rFonts w:cs="Arial"/>
        </w:rPr>
        <w:t xml:space="preserve"> и се наблюдават предимно при парентерално приложение. Въпреки това, лечението с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под формата на таблетки трябва да се провежда с повишено внимание при пациенти с хипотония, обемен дефицит или дехидратация, нестабилно кръвообращение.</w:t>
      </w:r>
    </w:p>
    <w:p w14:paraId="0BA0735B" w14:textId="77777777" w:rsidR="007044FD" w:rsidRPr="00546FCB" w:rsidRDefault="007044FD" w:rsidP="007044FD">
      <w:pPr>
        <w:pStyle w:val="BodyText"/>
        <w:ind w:firstLine="640"/>
        <w:rPr>
          <w:rFonts w:cs="Arial"/>
        </w:rPr>
      </w:pPr>
      <w:r w:rsidRPr="00546FCB">
        <w:rPr>
          <w:rFonts w:cs="Arial"/>
        </w:rPr>
        <w:t>-   При едновременно приложение с алкохол се увеличава рискът от нежелани лекарствени реакции.</w:t>
      </w:r>
    </w:p>
    <w:p w14:paraId="25761525" w14:textId="77777777" w:rsidR="007044FD" w:rsidRPr="00546FCB" w:rsidRDefault="007044FD" w:rsidP="007044FD">
      <w:pPr>
        <w:pStyle w:val="BodyText"/>
        <w:ind w:firstLine="640"/>
        <w:rPr>
          <w:rFonts w:cs="Arial"/>
        </w:rPr>
      </w:pPr>
      <w:r w:rsidRPr="00546FCB">
        <w:rPr>
          <w:rFonts w:cs="Arial"/>
        </w:rPr>
        <w:t>-    Необходимо е да се прилага с внимание при пациенти с чернодробни или бъбречни увреждания (вж. точки 4.2 и 5.2).</w:t>
      </w:r>
    </w:p>
    <w:p w14:paraId="3E15F0ED" w14:textId="77777777" w:rsidR="007044FD" w:rsidRPr="00546FCB" w:rsidRDefault="007044FD" w:rsidP="007044FD">
      <w:pPr>
        <w:pStyle w:val="BodyText"/>
        <w:ind w:firstLine="640"/>
        <w:rPr>
          <w:rFonts w:cs="Arial"/>
        </w:rPr>
      </w:pPr>
      <w:r w:rsidRPr="00546FCB">
        <w:rPr>
          <w:rFonts w:cs="Arial"/>
        </w:rPr>
        <w:t xml:space="preserve">-   Пшеничното нишесте в това лекарство съдържа само много малки количества глутен и е малко вероятно да предизвика проблеми, ако имате </w:t>
      </w:r>
      <w:proofErr w:type="spellStart"/>
      <w:r w:rsidRPr="00546FCB">
        <w:rPr>
          <w:rFonts w:cs="Arial"/>
        </w:rPr>
        <w:t>цьолиакия</w:t>
      </w:r>
      <w:proofErr w:type="spellEnd"/>
      <w:r w:rsidRPr="00546FCB">
        <w:rPr>
          <w:rFonts w:cs="Arial"/>
        </w:rPr>
        <w:t xml:space="preserve"> (непоносимост към глутена).</w:t>
      </w:r>
    </w:p>
    <w:p w14:paraId="6AC88EAF" w14:textId="77777777" w:rsidR="007044FD" w:rsidRPr="00546FCB" w:rsidRDefault="007044FD" w:rsidP="007044FD">
      <w:pPr>
        <w:pStyle w:val="BodyText"/>
        <w:rPr>
          <w:rFonts w:cs="Arial"/>
        </w:rPr>
      </w:pPr>
      <w:r w:rsidRPr="00546FCB">
        <w:rPr>
          <w:rFonts w:cs="Arial"/>
        </w:rPr>
        <w:t xml:space="preserve">Едно таблетка съдържа не повече от 3,4 микрограма глутен. При алергия към пшеницата </w:t>
      </w:r>
      <w:r w:rsidRPr="00546FCB">
        <w:rPr>
          <w:rFonts w:cs="Arial"/>
        </w:rPr>
        <w:lastRenderedPageBreak/>
        <w:t xml:space="preserve">(състояние различно от </w:t>
      </w:r>
      <w:proofErr w:type="spellStart"/>
      <w:r w:rsidRPr="00546FCB">
        <w:rPr>
          <w:rFonts w:cs="Arial"/>
        </w:rPr>
        <w:t>цьолиакия</w:t>
      </w:r>
      <w:proofErr w:type="spellEnd"/>
      <w:r w:rsidRPr="00546FCB">
        <w:rPr>
          <w:rFonts w:cs="Arial"/>
        </w:rPr>
        <w:t>), пациентът не трябва да приема това лекарство.</w:t>
      </w:r>
    </w:p>
    <w:p w14:paraId="2B16C091" w14:textId="77777777" w:rsidR="007044FD" w:rsidRPr="00546FCB" w:rsidRDefault="007044FD" w:rsidP="007044FD">
      <w:pPr>
        <w:pStyle w:val="BodyText"/>
        <w:spacing w:after="240"/>
        <w:ind w:firstLine="640"/>
        <w:rPr>
          <w:rFonts w:cs="Arial"/>
        </w:rPr>
      </w:pPr>
      <w:r w:rsidRPr="00546FCB">
        <w:rPr>
          <w:rFonts w:cs="Arial"/>
        </w:rPr>
        <w:t xml:space="preserve">-   Този лекарствен продукт съдържа 32, 7 </w:t>
      </w:r>
      <w:r w:rsidRPr="00546FCB">
        <w:rPr>
          <w:rFonts w:cs="Arial"/>
          <w:lang w:val="en-US" w:bidi="en-US"/>
        </w:rPr>
        <w:t xml:space="preserve">mg </w:t>
      </w:r>
      <w:r w:rsidRPr="00546FCB">
        <w:rPr>
          <w:rFonts w:cs="Arial"/>
        </w:rPr>
        <w:t xml:space="preserve">натрий на таблетка, еквивалентен на 1,6% от препоръчвания от СЗО максимален дневен прием на 2 </w:t>
      </w:r>
      <w:r w:rsidRPr="00546FCB">
        <w:rPr>
          <w:rFonts w:cs="Arial"/>
          <w:lang w:val="en-US" w:bidi="en-US"/>
        </w:rPr>
        <w:t xml:space="preserve">g </w:t>
      </w:r>
      <w:r w:rsidRPr="00546FCB">
        <w:rPr>
          <w:rFonts w:cs="Arial"/>
        </w:rPr>
        <w:t>натрий за възрастен.</w:t>
      </w:r>
    </w:p>
    <w:p w14:paraId="210E3EBA" w14:textId="77777777" w:rsidR="007044FD" w:rsidRPr="007044FD" w:rsidRDefault="007044FD" w:rsidP="007044FD"/>
    <w:p w14:paraId="78BEBB3D" w14:textId="22E65138" w:rsidR="002C50EE" w:rsidRDefault="002C50EE" w:rsidP="002C50EE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1D502573" w14:textId="77777777" w:rsidR="007044FD" w:rsidRDefault="007044FD" w:rsidP="007044FD">
      <w:pPr>
        <w:pStyle w:val="BodyText"/>
        <w:rPr>
          <w:rFonts w:cs="Arial"/>
          <w:u w:val="single"/>
        </w:rPr>
      </w:pPr>
    </w:p>
    <w:p w14:paraId="630661C8" w14:textId="15BA0B4C" w:rsidR="007044FD" w:rsidRPr="00546FCB" w:rsidRDefault="007044FD" w:rsidP="007044FD">
      <w:pPr>
        <w:pStyle w:val="BodyText"/>
        <w:rPr>
          <w:rFonts w:cs="Arial"/>
        </w:rPr>
      </w:pPr>
      <w:proofErr w:type="spellStart"/>
      <w:r w:rsidRPr="00546FCB">
        <w:rPr>
          <w:rFonts w:cs="Arial"/>
          <w:u w:val="single"/>
        </w:rPr>
        <w:t>Кумаринови</w:t>
      </w:r>
      <w:proofErr w:type="spellEnd"/>
      <w:r w:rsidRPr="00546FCB">
        <w:rPr>
          <w:rFonts w:cs="Arial"/>
          <w:u w:val="single"/>
        </w:rPr>
        <w:t xml:space="preserve"> антикоагуланти</w:t>
      </w:r>
      <w:r w:rsidRPr="00546FCB">
        <w:rPr>
          <w:rFonts w:cs="Arial"/>
        </w:rPr>
        <w:t xml:space="preserve">. При едновременно приложение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може да понижи активността на </w:t>
      </w:r>
      <w:proofErr w:type="spellStart"/>
      <w:r w:rsidRPr="00546FCB">
        <w:rPr>
          <w:rFonts w:cs="Arial"/>
        </w:rPr>
        <w:t>кумариновите</w:t>
      </w:r>
      <w:proofErr w:type="spellEnd"/>
      <w:r w:rsidRPr="00546FCB">
        <w:rPr>
          <w:rFonts w:cs="Arial"/>
        </w:rPr>
        <w:t xml:space="preserve"> антикоагуланти в резултат на ензимна индукция.</w:t>
      </w:r>
    </w:p>
    <w:p w14:paraId="2942597D" w14:textId="77777777" w:rsidR="007044FD" w:rsidRDefault="007044FD" w:rsidP="007044FD">
      <w:pPr>
        <w:pStyle w:val="BodyText"/>
        <w:rPr>
          <w:rFonts w:cs="Arial"/>
          <w:u w:val="single"/>
        </w:rPr>
      </w:pPr>
    </w:p>
    <w:p w14:paraId="06E22F45" w14:textId="2F173B15" w:rsidR="007044FD" w:rsidRPr="00546FCB" w:rsidRDefault="007044FD" w:rsidP="007044FD">
      <w:pPr>
        <w:pStyle w:val="BodyText"/>
        <w:rPr>
          <w:rFonts w:cs="Arial"/>
        </w:rPr>
      </w:pPr>
      <w:proofErr w:type="spellStart"/>
      <w:r w:rsidRPr="00546FCB">
        <w:rPr>
          <w:rFonts w:cs="Arial"/>
          <w:u w:val="single"/>
        </w:rPr>
        <w:t>Хлорпромазин</w:t>
      </w:r>
      <w:proofErr w:type="spellEnd"/>
      <w:r w:rsidRPr="00546FCB">
        <w:rPr>
          <w:rFonts w:cs="Arial"/>
          <w:u w:val="single"/>
        </w:rPr>
        <w:t xml:space="preserve"> и други </w:t>
      </w:r>
      <w:proofErr w:type="spellStart"/>
      <w:r w:rsidRPr="00546FCB">
        <w:rPr>
          <w:rFonts w:cs="Arial"/>
          <w:u w:val="single"/>
        </w:rPr>
        <w:t>фенотиазинови</w:t>
      </w:r>
      <w:proofErr w:type="spellEnd"/>
      <w:r w:rsidRPr="00546FCB">
        <w:rPr>
          <w:rFonts w:cs="Arial"/>
          <w:u w:val="single"/>
        </w:rPr>
        <w:t xml:space="preserve"> производни.</w:t>
      </w:r>
      <w:r w:rsidRPr="00546FCB">
        <w:rPr>
          <w:rFonts w:cs="Arial"/>
        </w:rPr>
        <w:t xml:space="preserve"> При едновременно приложение с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съществува риск от поява на тежка хипотермия.</w:t>
      </w:r>
    </w:p>
    <w:p w14:paraId="6D100FB4" w14:textId="77777777" w:rsidR="007044FD" w:rsidRDefault="007044FD" w:rsidP="007044FD">
      <w:pPr>
        <w:pStyle w:val="BodyText"/>
        <w:rPr>
          <w:rFonts w:cs="Arial"/>
          <w:u w:val="single"/>
        </w:rPr>
      </w:pPr>
    </w:p>
    <w:p w14:paraId="2E3C15FA" w14:textId="716FE779" w:rsidR="007044FD" w:rsidRPr="00546FCB" w:rsidRDefault="007044FD" w:rsidP="007044FD">
      <w:pPr>
        <w:pStyle w:val="BodyText"/>
        <w:rPr>
          <w:rFonts w:cs="Arial"/>
        </w:rPr>
      </w:pPr>
      <w:r w:rsidRPr="00546FCB">
        <w:rPr>
          <w:rFonts w:cs="Arial"/>
          <w:u w:val="single"/>
        </w:rPr>
        <w:t>Циклоспорин.</w:t>
      </w:r>
      <w:r w:rsidRPr="00546FCB">
        <w:rPr>
          <w:rFonts w:cs="Arial"/>
        </w:rPr>
        <w:t xml:space="preserve">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понижава плазмените нива на циклоспорин при едновременна употреба. </w:t>
      </w:r>
      <w:proofErr w:type="spellStart"/>
      <w:r w:rsidRPr="00546FCB">
        <w:rPr>
          <w:rFonts w:cs="Arial"/>
          <w:u w:val="single"/>
        </w:rPr>
        <w:t>Хлорамфеникол</w:t>
      </w:r>
      <w:proofErr w:type="spellEnd"/>
      <w:r w:rsidRPr="00546FCB">
        <w:rPr>
          <w:rFonts w:cs="Arial"/>
          <w:u w:val="single"/>
        </w:rPr>
        <w:t xml:space="preserve"> и други </w:t>
      </w:r>
      <w:proofErr w:type="spellStart"/>
      <w:r w:rsidRPr="00546FCB">
        <w:rPr>
          <w:rFonts w:cs="Arial"/>
          <w:u w:val="single"/>
        </w:rPr>
        <w:t>миелотоксични</w:t>
      </w:r>
      <w:proofErr w:type="spellEnd"/>
      <w:r w:rsidRPr="00546FCB">
        <w:rPr>
          <w:rFonts w:cs="Arial"/>
          <w:u w:val="single"/>
        </w:rPr>
        <w:t xml:space="preserve"> продукти.</w:t>
      </w:r>
      <w:r w:rsidRPr="00546FCB">
        <w:rPr>
          <w:rFonts w:cs="Arial"/>
        </w:rPr>
        <w:t xml:space="preserve"> При едновременно приложение с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съществува повишен риск от поява на </w:t>
      </w:r>
      <w:proofErr w:type="spellStart"/>
      <w:r w:rsidRPr="00546FCB">
        <w:rPr>
          <w:rFonts w:cs="Arial"/>
        </w:rPr>
        <w:t>миелосупресия</w:t>
      </w:r>
      <w:proofErr w:type="spellEnd"/>
      <w:r w:rsidRPr="00546FCB">
        <w:rPr>
          <w:rFonts w:cs="Arial"/>
        </w:rPr>
        <w:t>.</w:t>
      </w:r>
    </w:p>
    <w:p w14:paraId="2BA2F022" w14:textId="77777777" w:rsidR="007044FD" w:rsidRDefault="007044FD" w:rsidP="007044FD">
      <w:pPr>
        <w:pStyle w:val="BodyText"/>
        <w:rPr>
          <w:rFonts w:cs="Arial"/>
          <w:u w:val="single"/>
        </w:rPr>
      </w:pPr>
    </w:p>
    <w:p w14:paraId="7425A74D" w14:textId="63902331" w:rsidR="007044FD" w:rsidRDefault="007044FD" w:rsidP="007044FD">
      <w:pPr>
        <w:pStyle w:val="BodyText"/>
        <w:rPr>
          <w:rFonts w:cs="Arial"/>
        </w:rPr>
      </w:pPr>
      <w:r w:rsidRPr="00546FCB">
        <w:rPr>
          <w:rFonts w:cs="Arial"/>
          <w:u w:val="single"/>
        </w:rPr>
        <w:t>Ензимните индуктори</w:t>
      </w:r>
      <w:r w:rsidRPr="00546FCB">
        <w:rPr>
          <w:rFonts w:cs="Arial"/>
        </w:rPr>
        <w:t xml:space="preserve"> (</w:t>
      </w:r>
      <w:proofErr w:type="spellStart"/>
      <w:r w:rsidRPr="00546FCB">
        <w:rPr>
          <w:rFonts w:cs="Arial"/>
        </w:rPr>
        <w:t>барбитурати</w:t>
      </w:r>
      <w:proofErr w:type="spellEnd"/>
      <w:r w:rsidRPr="00546FCB">
        <w:rPr>
          <w:rFonts w:cs="Arial"/>
        </w:rPr>
        <w:t xml:space="preserve">, </w:t>
      </w:r>
      <w:proofErr w:type="spellStart"/>
      <w:r w:rsidRPr="00546FCB">
        <w:rPr>
          <w:rFonts w:cs="Arial"/>
        </w:rPr>
        <w:t>глутетимид</w:t>
      </w:r>
      <w:proofErr w:type="spellEnd"/>
      <w:r w:rsidRPr="00546FCB">
        <w:rPr>
          <w:rFonts w:cs="Arial"/>
        </w:rPr>
        <w:t xml:space="preserve">, </w:t>
      </w:r>
      <w:proofErr w:type="spellStart"/>
      <w:r w:rsidRPr="00546FCB">
        <w:rPr>
          <w:rFonts w:cs="Arial"/>
        </w:rPr>
        <w:t>фенилбутазон</w:t>
      </w:r>
      <w:proofErr w:type="spellEnd"/>
      <w:r w:rsidRPr="00546FCB">
        <w:rPr>
          <w:rFonts w:cs="Arial"/>
        </w:rPr>
        <w:t xml:space="preserve">) могат да намалят ефекта </w:t>
      </w:r>
    </w:p>
    <w:p w14:paraId="5223DC3B" w14:textId="5A3D1398" w:rsidR="007044FD" w:rsidRPr="00546FCB" w:rsidRDefault="007044FD" w:rsidP="007044FD">
      <w:pPr>
        <w:pStyle w:val="BodyText"/>
        <w:rPr>
          <w:rFonts w:cs="Arial"/>
        </w:rPr>
      </w:pPr>
      <w:r w:rsidRPr="00546FCB">
        <w:rPr>
          <w:rFonts w:cs="Arial"/>
        </w:rPr>
        <w:t xml:space="preserve">на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>.</w:t>
      </w:r>
    </w:p>
    <w:p w14:paraId="30D0EDBC" w14:textId="77777777" w:rsidR="007044FD" w:rsidRDefault="007044FD" w:rsidP="007044FD">
      <w:pPr>
        <w:pStyle w:val="BodyText"/>
        <w:rPr>
          <w:rFonts w:cs="Arial"/>
          <w:u w:val="single"/>
        </w:rPr>
      </w:pPr>
    </w:p>
    <w:p w14:paraId="44C4970E" w14:textId="26B96127" w:rsidR="007044FD" w:rsidRPr="00546FCB" w:rsidRDefault="007044FD" w:rsidP="007044FD">
      <w:pPr>
        <w:pStyle w:val="BodyText"/>
        <w:rPr>
          <w:rFonts w:cs="Arial"/>
        </w:rPr>
      </w:pPr>
      <w:r w:rsidRPr="00546FCB">
        <w:rPr>
          <w:rFonts w:cs="Arial"/>
          <w:u w:val="single"/>
        </w:rPr>
        <w:t>Депресанти на ЦНС</w:t>
      </w:r>
      <w:r w:rsidRPr="00546FCB">
        <w:rPr>
          <w:rFonts w:cs="Arial"/>
        </w:rPr>
        <w:t xml:space="preserve"> при комбинация с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засилват аналгетичния му ефект.</w:t>
      </w:r>
    </w:p>
    <w:p w14:paraId="44E3C2D6" w14:textId="77777777" w:rsidR="007044FD" w:rsidRPr="00546FCB" w:rsidRDefault="007044FD" w:rsidP="007044FD">
      <w:pPr>
        <w:pStyle w:val="BodyText"/>
        <w:rPr>
          <w:rFonts w:cs="Arial"/>
        </w:rPr>
      </w:pPr>
      <w:r w:rsidRPr="00546FCB">
        <w:rPr>
          <w:rFonts w:cs="Arial"/>
        </w:rPr>
        <w:t>Действието на трициклични антидепресанти (</w:t>
      </w:r>
      <w:proofErr w:type="spellStart"/>
      <w:r w:rsidRPr="00546FCB">
        <w:rPr>
          <w:rFonts w:cs="Arial"/>
        </w:rPr>
        <w:t>психофорин</w:t>
      </w:r>
      <w:proofErr w:type="spellEnd"/>
      <w:r w:rsidRPr="00546FCB">
        <w:rPr>
          <w:rFonts w:cs="Arial"/>
        </w:rPr>
        <w:t xml:space="preserve">, </w:t>
      </w:r>
      <w:proofErr w:type="spellStart"/>
      <w:r w:rsidRPr="00546FCB">
        <w:rPr>
          <w:rFonts w:cs="Arial"/>
        </w:rPr>
        <w:t>амитриптилин</w:t>
      </w:r>
      <w:proofErr w:type="spellEnd"/>
      <w:r w:rsidRPr="00546FCB">
        <w:rPr>
          <w:rFonts w:cs="Arial"/>
        </w:rPr>
        <w:t xml:space="preserve">), орални контрацептивни средства, аналгетици, </w:t>
      </w:r>
      <w:proofErr w:type="spellStart"/>
      <w:r w:rsidRPr="00546FCB">
        <w:rPr>
          <w:rFonts w:cs="Arial"/>
        </w:rPr>
        <w:t>алопуринол</w:t>
      </w:r>
      <w:proofErr w:type="spellEnd"/>
      <w:r w:rsidRPr="00546FCB">
        <w:rPr>
          <w:rFonts w:cs="Arial"/>
        </w:rPr>
        <w:t xml:space="preserve"> и алкохол се </w:t>
      </w:r>
      <w:proofErr w:type="spellStart"/>
      <w:r w:rsidRPr="00546FCB">
        <w:rPr>
          <w:rFonts w:cs="Arial"/>
        </w:rPr>
        <w:t>потенцира</w:t>
      </w:r>
      <w:proofErr w:type="spellEnd"/>
      <w:r w:rsidRPr="00546FCB">
        <w:rPr>
          <w:rFonts w:cs="Arial"/>
        </w:rPr>
        <w:t xml:space="preserve"> при едновременно приложение с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>.</w:t>
      </w:r>
    </w:p>
    <w:p w14:paraId="70B661E8" w14:textId="77777777" w:rsidR="007044FD" w:rsidRPr="00546FCB" w:rsidRDefault="007044FD" w:rsidP="007044FD">
      <w:pPr>
        <w:pStyle w:val="BodyText"/>
        <w:spacing w:after="40"/>
        <w:rPr>
          <w:rFonts w:cs="Arial"/>
        </w:rPr>
      </w:pPr>
      <w:r w:rsidRPr="00546FCB">
        <w:rPr>
          <w:rFonts w:cs="Arial"/>
        </w:rPr>
        <w:t xml:space="preserve">За класа на </w:t>
      </w:r>
      <w:proofErr w:type="spellStart"/>
      <w:r w:rsidRPr="00546FCB">
        <w:rPr>
          <w:rFonts w:cs="Arial"/>
        </w:rPr>
        <w:t>пиразолоновите</w:t>
      </w:r>
      <w:proofErr w:type="spellEnd"/>
      <w:r w:rsidRPr="00546FCB">
        <w:rPr>
          <w:rFonts w:cs="Arial"/>
        </w:rPr>
        <w:t xml:space="preserve"> производни е известно, че може да имат взаимодействия с </w:t>
      </w:r>
      <w:proofErr w:type="spellStart"/>
      <w:r w:rsidRPr="00546FCB">
        <w:rPr>
          <w:rFonts w:cs="Arial"/>
        </w:rPr>
        <w:t>каптоприл</w:t>
      </w:r>
      <w:proofErr w:type="spellEnd"/>
      <w:r w:rsidRPr="00546FCB">
        <w:rPr>
          <w:rFonts w:cs="Arial"/>
        </w:rPr>
        <w:t xml:space="preserve">, литий, </w:t>
      </w:r>
      <w:proofErr w:type="spellStart"/>
      <w:r w:rsidRPr="00546FCB">
        <w:rPr>
          <w:rFonts w:cs="Arial"/>
        </w:rPr>
        <w:t>метотрексат</w:t>
      </w:r>
      <w:proofErr w:type="spellEnd"/>
      <w:r w:rsidRPr="00546FCB">
        <w:rPr>
          <w:rFonts w:cs="Arial"/>
        </w:rPr>
        <w:t xml:space="preserve"> и </w:t>
      </w:r>
      <w:proofErr w:type="spellStart"/>
      <w:r w:rsidRPr="00546FCB">
        <w:rPr>
          <w:rFonts w:cs="Arial"/>
        </w:rPr>
        <w:t>триамтерен</w:t>
      </w:r>
      <w:proofErr w:type="spellEnd"/>
      <w:r w:rsidRPr="00546FCB">
        <w:rPr>
          <w:rFonts w:cs="Arial"/>
        </w:rPr>
        <w:t xml:space="preserve">, както н да променят ефективността на антихипертензивните продукти и на </w:t>
      </w:r>
      <w:proofErr w:type="spellStart"/>
      <w:r w:rsidRPr="00546FCB">
        <w:rPr>
          <w:rFonts w:cs="Arial"/>
        </w:rPr>
        <w:t>диуретините</w:t>
      </w:r>
      <w:proofErr w:type="spellEnd"/>
      <w:r w:rsidRPr="00546FCB">
        <w:rPr>
          <w:rFonts w:cs="Arial"/>
        </w:rPr>
        <w:t xml:space="preserve">. До каква степен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води до тези взаимодействия не е известно.</w:t>
      </w:r>
    </w:p>
    <w:p w14:paraId="385BA6B5" w14:textId="77777777" w:rsidR="007044FD" w:rsidRDefault="007044FD" w:rsidP="007044FD">
      <w:pPr>
        <w:pStyle w:val="BodyText"/>
        <w:spacing w:after="340"/>
        <w:rPr>
          <w:rFonts w:cs="Arial"/>
        </w:rPr>
      </w:pPr>
    </w:p>
    <w:p w14:paraId="1FD6FD24" w14:textId="24E32052" w:rsidR="007044FD" w:rsidRPr="00546FCB" w:rsidRDefault="007044FD" w:rsidP="007044FD">
      <w:pPr>
        <w:pStyle w:val="BodyText"/>
        <w:spacing w:after="340"/>
        <w:rPr>
          <w:rFonts w:cs="Arial"/>
        </w:rPr>
      </w:pPr>
      <w:r w:rsidRPr="00546FCB">
        <w:rPr>
          <w:rFonts w:cs="Arial"/>
        </w:rPr>
        <w:t xml:space="preserve">При едновременен прием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може да намали ефекта на ацетилсалициловата киселина върху </w:t>
      </w:r>
      <w:proofErr w:type="spellStart"/>
      <w:r w:rsidRPr="00546FCB">
        <w:rPr>
          <w:rFonts w:cs="Arial"/>
        </w:rPr>
        <w:t>тромбоцитната</w:t>
      </w:r>
      <w:proofErr w:type="spellEnd"/>
      <w:r w:rsidRPr="00546FCB">
        <w:rPr>
          <w:rFonts w:cs="Arial"/>
        </w:rPr>
        <w:t xml:space="preserve"> агрегация. Следователно, тази комбинация трябва да се използва с повишено внимание при пациенти, приемащи ниска доза аспирин за </w:t>
      </w:r>
      <w:proofErr w:type="spellStart"/>
      <w:r w:rsidRPr="00546FCB">
        <w:rPr>
          <w:rFonts w:cs="Arial"/>
        </w:rPr>
        <w:t>кардиопротекция</w:t>
      </w:r>
      <w:proofErr w:type="spellEnd"/>
    </w:p>
    <w:p w14:paraId="78C6A350" w14:textId="77777777" w:rsidR="007044FD" w:rsidRPr="007044FD" w:rsidRDefault="007044FD" w:rsidP="007044FD"/>
    <w:p w14:paraId="2AA15E1A" w14:textId="77777777" w:rsidR="007044FD" w:rsidRPr="007044FD" w:rsidRDefault="007044FD" w:rsidP="007044FD"/>
    <w:p w14:paraId="48221AB5" w14:textId="1C376B3F" w:rsidR="002C50EE" w:rsidRDefault="002C50EE" w:rsidP="002C50EE">
      <w:pPr>
        <w:pStyle w:val="Heading2"/>
      </w:pPr>
      <w:r>
        <w:t>4.6. Фертилитет, бременност и кърмене</w:t>
      </w:r>
    </w:p>
    <w:p w14:paraId="6B126E9D" w14:textId="0C1CD301" w:rsidR="007044FD" w:rsidRPr="00546FCB" w:rsidRDefault="007044FD" w:rsidP="007044FD">
      <w:pPr>
        <w:pStyle w:val="Heading3"/>
        <w:rPr>
          <w:rStyle w:val="BodyTextChar"/>
          <w:rFonts w:eastAsiaTheme="majorEastAsia" w:cs="Arial"/>
          <w:b/>
          <w:bCs/>
          <w:sz w:val="22"/>
          <w:szCs w:val="22"/>
          <w:u w:val="single"/>
        </w:rPr>
      </w:pPr>
      <w:r w:rsidRPr="00546FCB">
        <w:rPr>
          <w:rStyle w:val="BodyTextChar"/>
          <w:rFonts w:eastAsiaTheme="majorEastAsia" w:cs="Arial"/>
          <w:b/>
          <w:sz w:val="22"/>
          <w:szCs w:val="22"/>
          <w:u w:val="single"/>
        </w:rPr>
        <w:t>Бременност</w:t>
      </w:r>
    </w:p>
    <w:p w14:paraId="2940BE96" w14:textId="77777777" w:rsidR="007044FD" w:rsidRDefault="007044FD" w:rsidP="007044FD">
      <w:pPr>
        <w:pStyle w:val="BodyText"/>
        <w:rPr>
          <w:rStyle w:val="BodyTextChar"/>
          <w:rFonts w:eastAsiaTheme="majorEastAsia" w:cs="Arial"/>
          <w:b/>
          <w:bCs/>
          <w:u w:val="single"/>
        </w:rPr>
      </w:pPr>
    </w:p>
    <w:p w14:paraId="15E4E39C" w14:textId="1159488B" w:rsidR="007044FD" w:rsidRPr="00546FCB" w:rsidRDefault="007044FD" w:rsidP="007044FD">
      <w:pPr>
        <w:pStyle w:val="BodyText"/>
      </w:pPr>
      <w:r w:rsidRPr="007044FD">
        <w:rPr>
          <w:b/>
          <w:bCs/>
        </w:rPr>
        <w:t xml:space="preserve">Налични са само ограничени данни за употребата на </w:t>
      </w:r>
      <w:proofErr w:type="spellStart"/>
      <w:r w:rsidRPr="007044FD">
        <w:rPr>
          <w:b/>
          <w:bCs/>
        </w:rPr>
        <w:t>метамизол</w:t>
      </w:r>
      <w:proofErr w:type="spellEnd"/>
      <w:r w:rsidRPr="007044FD">
        <w:rPr>
          <w:b/>
          <w:bCs/>
        </w:rPr>
        <w:t xml:space="preserve"> при бременни жени</w:t>
      </w:r>
      <w:r w:rsidRPr="00546FCB">
        <w:t>.</w:t>
      </w:r>
    </w:p>
    <w:p w14:paraId="08FC987D" w14:textId="77777777" w:rsidR="007044FD" w:rsidRPr="00546FCB" w:rsidRDefault="007044FD" w:rsidP="007044FD">
      <w:pPr>
        <w:pStyle w:val="BodyText"/>
      </w:pPr>
      <w:r w:rsidRPr="00546FCB">
        <w:t xml:space="preserve">Въз основа на публикуваните данни от бременни жени с експозиция на </w:t>
      </w:r>
      <w:proofErr w:type="spellStart"/>
      <w:r w:rsidRPr="00546FCB">
        <w:t>метамизол</w:t>
      </w:r>
      <w:proofErr w:type="spellEnd"/>
      <w:r w:rsidRPr="00546FCB">
        <w:t xml:space="preserve"> през първия триместър (</w:t>
      </w:r>
      <w:r w:rsidRPr="00546FCB">
        <w:rPr>
          <w:lang w:val="en-US" w:bidi="en-US"/>
        </w:rPr>
        <w:t>n</w:t>
      </w:r>
      <w:r w:rsidRPr="00546FCB">
        <w:t xml:space="preserve"> = 568), не са установени тератогенни или </w:t>
      </w:r>
      <w:proofErr w:type="spellStart"/>
      <w:r w:rsidRPr="00546FCB">
        <w:t>ембриотоксични</w:t>
      </w:r>
      <w:proofErr w:type="spellEnd"/>
      <w:r w:rsidRPr="00546FCB">
        <w:t xml:space="preserve"> ефекти. В отделни случаи, когато не съществуват други възможности за лечение, прилагането на единични дози </w:t>
      </w:r>
      <w:proofErr w:type="spellStart"/>
      <w:r w:rsidRPr="00546FCB">
        <w:t>метамизол</w:t>
      </w:r>
      <w:proofErr w:type="spellEnd"/>
      <w:r w:rsidRPr="00546FCB">
        <w:t xml:space="preserve"> може да се допусне през първия и втория триместър. По принцип не се препоръчва прилагането на </w:t>
      </w:r>
      <w:proofErr w:type="spellStart"/>
      <w:r w:rsidRPr="00546FCB">
        <w:t>метамизол</w:t>
      </w:r>
      <w:proofErr w:type="spellEnd"/>
      <w:r w:rsidRPr="00546FCB">
        <w:t xml:space="preserve"> през първия и втория триместър. </w:t>
      </w:r>
      <w:r w:rsidRPr="00546FCB">
        <w:lastRenderedPageBreak/>
        <w:t xml:space="preserve">Употребата по време на третия триместър е свързана с </w:t>
      </w:r>
      <w:proofErr w:type="spellStart"/>
      <w:r w:rsidRPr="00546FCB">
        <w:t>фетотоксичност</w:t>
      </w:r>
      <w:proofErr w:type="spellEnd"/>
      <w:r w:rsidRPr="00546FCB">
        <w:t xml:space="preserve"> (бъбречно увреждане и </w:t>
      </w:r>
      <w:proofErr w:type="spellStart"/>
      <w:r w:rsidRPr="00546FCB">
        <w:t>констрикция</w:t>
      </w:r>
      <w:proofErr w:type="spellEnd"/>
      <w:r w:rsidRPr="00546FCB">
        <w:t xml:space="preserve"> на </w:t>
      </w:r>
      <w:proofErr w:type="spellStart"/>
      <w:r w:rsidRPr="00546FCB">
        <w:t>дуктус</w:t>
      </w:r>
      <w:proofErr w:type="spellEnd"/>
      <w:r w:rsidRPr="00546FCB">
        <w:t xml:space="preserve"> </w:t>
      </w:r>
      <w:proofErr w:type="spellStart"/>
      <w:r w:rsidRPr="00546FCB">
        <w:t>артериозус</w:t>
      </w:r>
      <w:proofErr w:type="spellEnd"/>
      <w:r w:rsidRPr="00546FCB">
        <w:t xml:space="preserve">) и следователно употребата на </w:t>
      </w:r>
      <w:proofErr w:type="spellStart"/>
      <w:r w:rsidRPr="00546FCB">
        <w:t>метамизол</w:t>
      </w:r>
      <w:proofErr w:type="spellEnd"/>
      <w:r w:rsidRPr="00546FCB">
        <w:t xml:space="preserve"> е противопоказана по време на третия триместър на бременността (вж. точка 4.3). При случайно прилагане на </w:t>
      </w:r>
      <w:proofErr w:type="spellStart"/>
      <w:r w:rsidRPr="00546FCB">
        <w:t>метамизол</w:t>
      </w:r>
      <w:proofErr w:type="spellEnd"/>
      <w:r w:rsidRPr="00546FCB">
        <w:t xml:space="preserve"> по време на третия триместър </w:t>
      </w:r>
      <w:proofErr w:type="spellStart"/>
      <w:r w:rsidRPr="00546FCB">
        <w:t>амниотичната</w:t>
      </w:r>
      <w:proofErr w:type="spellEnd"/>
      <w:r w:rsidRPr="00546FCB">
        <w:t xml:space="preserve"> течност и </w:t>
      </w:r>
      <w:proofErr w:type="spellStart"/>
      <w:r w:rsidRPr="00546FCB">
        <w:t>дуктус</w:t>
      </w:r>
      <w:proofErr w:type="spellEnd"/>
      <w:r w:rsidRPr="00546FCB">
        <w:t xml:space="preserve"> </w:t>
      </w:r>
      <w:proofErr w:type="spellStart"/>
      <w:r w:rsidRPr="00546FCB">
        <w:t>артериозус</w:t>
      </w:r>
      <w:proofErr w:type="spellEnd"/>
      <w:r w:rsidRPr="00546FCB">
        <w:t xml:space="preserve"> трябва да се контролират чрез ултразвук и </w:t>
      </w:r>
      <w:proofErr w:type="spellStart"/>
      <w:r w:rsidRPr="00546FCB">
        <w:t>ехокардиография</w:t>
      </w:r>
      <w:proofErr w:type="spellEnd"/>
      <w:r w:rsidRPr="00546FCB">
        <w:t>.</w:t>
      </w:r>
    </w:p>
    <w:p w14:paraId="791869D2" w14:textId="77777777" w:rsidR="007044FD" w:rsidRDefault="007044FD" w:rsidP="007044FD">
      <w:pPr>
        <w:pStyle w:val="BodyText"/>
      </w:pPr>
    </w:p>
    <w:p w14:paraId="5D72AB74" w14:textId="05CBDE36" w:rsidR="007044FD" w:rsidRPr="00546FCB" w:rsidRDefault="007044FD" w:rsidP="007044FD">
      <w:pPr>
        <w:pStyle w:val="BodyText"/>
      </w:pPr>
      <w:proofErr w:type="spellStart"/>
      <w:r w:rsidRPr="00546FCB">
        <w:t>Метамизол</w:t>
      </w:r>
      <w:proofErr w:type="spellEnd"/>
      <w:r w:rsidRPr="00546FCB">
        <w:t xml:space="preserve"> преминава през </w:t>
      </w:r>
      <w:proofErr w:type="spellStart"/>
      <w:r w:rsidRPr="00546FCB">
        <w:t>плацентарната</w:t>
      </w:r>
      <w:proofErr w:type="spellEnd"/>
      <w:r w:rsidRPr="00546FCB">
        <w:t xml:space="preserve"> бариера.</w:t>
      </w:r>
    </w:p>
    <w:p w14:paraId="06299F2B" w14:textId="77777777" w:rsidR="007044FD" w:rsidRDefault="007044FD" w:rsidP="007044FD">
      <w:pPr>
        <w:pStyle w:val="BodyText"/>
      </w:pPr>
    </w:p>
    <w:p w14:paraId="13287C40" w14:textId="070FD9F7" w:rsidR="007044FD" w:rsidRPr="00546FCB" w:rsidRDefault="007044FD" w:rsidP="007044FD">
      <w:pPr>
        <w:pStyle w:val="BodyText"/>
      </w:pPr>
      <w:r w:rsidRPr="00546FCB">
        <w:t xml:space="preserve">При животни </w:t>
      </w:r>
      <w:proofErr w:type="spellStart"/>
      <w:r w:rsidRPr="00546FCB">
        <w:t>метамизол</w:t>
      </w:r>
      <w:proofErr w:type="spellEnd"/>
      <w:r w:rsidRPr="00546FCB">
        <w:t xml:space="preserve"> индуцира репродуктивна токсичност, но не и </w:t>
      </w:r>
      <w:proofErr w:type="spellStart"/>
      <w:r w:rsidRPr="00546FCB">
        <w:t>тератогенност</w:t>
      </w:r>
      <w:proofErr w:type="spellEnd"/>
      <w:r w:rsidRPr="00546FCB">
        <w:t xml:space="preserve"> (вж. точка 5.3).</w:t>
      </w:r>
    </w:p>
    <w:p w14:paraId="57879299" w14:textId="77777777" w:rsidR="007044FD" w:rsidRDefault="007044FD" w:rsidP="007044FD">
      <w:pPr>
        <w:pStyle w:val="BodyText"/>
      </w:pPr>
    </w:p>
    <w:p w14:paraId="13336770" w14:textId="3CFD2BD6" w:rsidR="007044FD" w:rsidRPr="007044FD" w:rsidRDefault="007044FD" w:rsidP="007044FD">
      <w:pPr>
        <w:pStyle w:val="Heading3"/>
        <w:rPr>
          <w:b/>
          <w:bCs/>
        </w:rPr>
      </w:pPr>
      <w:r w:rsidRPr="007044FD">
        <w:rPr>
          <w:b/>
          <w:bCs/>
        </w:rPr>
        <w:t>Кърмене</w:t>
      </w:r>
    </w:p>
    <w:p w14:paraId="3613F267" w14:textId="33DC3BE9" w:rsidR="007044FD" w:rsidRPr="00546FCB" w:rsidRDefault="007044FD" w:rsidP="007044FD">
      <w:pPr>
        <w:pStyle w:val="BodyText"/>
      </w:pPr>
      <w:r w:rsidRPr="00546FCB">
        <w:t xml:space="preserve">Продуктите от разграждането на </w:t>
      </w:r>
      <w:proofErr w:type="spellStart"/>
      <w:r w:rsidRPr="00546FCB">
        <w:t>метамизол</w:t>
      </w:r>
      <w:proofErr w:type="spellEnd"/>
      <w:r w:rsidRPr="00546FCB">
        <w:t xml:space="preserve"> преминават в кърмата в значителни количества и не може да се изключи риск за кърмачето. Поради това многократната употреба на </w:t>
      </w:r>
      <w:proofErr w:type="spellStart"/>
      <w:r w:rsidRPr="00546FCB">
        <w:t>метамизол</w:t>
      </w:r>
      <w:proofErr w:type="spellEnd"/>
      <w:r w:rsidRPr="00546FCB">
        <w:t xml:space="preserve"> по време на кърмене трябва да се избягва. В случай на еднократно приложение на </w:t>
      </w:r>
      <w:proofErr w:type="spellStart"/>
      <w:r w:rsidRPr="00546FCB">
        <w:t>метамизол</w:t>
      </w:r>
      <w:proofErr w:type="spellEnd"/>
      <w:r w:rsidRPr="00546FCB">
        <w:t>, на майките се препоръчва да събират и изхвърлят кърмата в продължение на 48 часа след прилагането на дозата.</w:t>
      </w:r>
    </w:p>
    <w:p w14:paraId="151A174C" w14:textId="77777777" w:rsidR="007044FD" w:rsidRPr="007044FD" w:rsidRDefault="007044FD" w:rsidP="007044FD"/>
    <w:p w14:paraId="5F675BDB" w14:textId="05BDF167" w:rsidR="002C50EE" w:rsidRDefault="002C50EE" w:rsidP="002C50EE">
      <w:pPr>
        <w:pStyle w:val="Heading2"/>
      </w:pPr>
      <w:r>
        <w:t>4.7. Ефекти върху способността за шофиране и работа с машини</w:t>
      </w:r>
    </w:p>
    <w:p w14:paraId="2D1E1A64" w14:textId="76E73E80" w:rsidR="007044FD" w:rsidRPr="00546FCB" w:rsidRDefault="007044FD" w:rsidP="007044FD">
      <w:pPr>
        <w:pStyle w:val="BodyText"/>
        <w:spacing w:after="300" w:line="259" w:lineRule="exact"/>
        <w:rPr>
          <w:rFonts w:cs="Arial"/>
        </w:rPr>
      </w:pPr>
      <w:r w:rsidRPr="00546FCB">
        <w:rPr>
          <w:rFonts w:cs="Arial"/>
        </w:rPr>
        <w:t>При приемане на високи дози Аналгин не се препоръчва управление на моторни превозни средства или работа с машини, изискващи активно внимание, тъй като е възможно да повлияе неблагоприятно вниманието и да наруши реакциите при неочаквани ситуации.</w:t>
      </w:r>
    </w:p>
    <w:p w14:paraId="62E2AD45" w14:textId="77777777" w:rsidR="007044FD" w:rsidRPr="007044FD" w:rsidRDefault="007044FD" w:rsidP="007044FD"/>
    <w:p w14:paraId="1B3BD30D" w14:textId="3D6FE39D" w:rsidR="002C50EE" w:rsidRDefault="002C50EE" w:rsidP="002C50EE">
      <w:pPr>
        <w:pStyle w:val="Heading2"/>
      </w:pPr>
      <w:r>
        <w:t>4.8. Нежелани лекарствени реакции</w:t>
      </w:r>
    </w:p>
    <w:p w14:paraId="7F25D28F" w14:textId="77777777" w:rsidR="007044FD" w:rsidRDefault="007044FD" w:rsidP="007044FD">
      <w:pPr>
        <w:pStyle w:val="BodyText"/>
        <w:spacing w:after="40" w:line="259" w:lineRule="exact"/>
        <w:rPr>
          <w:rFonts w:cs="Arial"/>
        </w:rPr>
      </w:pPr>
    </w:p>
    <w:p w14:paraId="1403E7CE" w14:textId="7F65CAE6" w:rsidR="007044FD" w:rsidRPr="00546FCB" w:rsidRDefault="007044FD" w:rsidP="007044FD">
      <w:pPr>
        <w:pStyle w:val="BodyText"/>
        <w:spacing w:after="40" w:line="259" w:lineRule="exact"/>
        <w:rPr>
          <w:rFonts w:cs="Arial"/>
        </w:rPr>
      </w:pPr>
      <w:r w:rsidRPr="00546FCB">
        <w:rPr>
          <w:rFonts w:cs="Arial"/>
        </w:rPr>
        <w:t>Нежеланите реакции са изброени по-долу по система орган-клас и по честота.</w:t>
      </w:r>
    </w:p>
    <w:p w14:paraId="74E090F1" w14:textId="77777777" w:rsidR="007044FD" w:rsidRPr="00546FCB" w:rsidRDefault="007044FD" w:rsidP="007044FD">
      <w:pPr>
        <w:pStyle w:val="BodyText"/>
        <w:spacing w:after="300" w:line="259" w:lineRule="exact"/>
        <w:rPr>
          <w:rFonts w:cs="Arial"/>
        </w:rPr>
      </w:pPr>
      <w:r w:rsidRPr="00546FCB">
        <w:rPr>
          <w:rFonts w:cs="Arial"/>
        </w:rPr>
        <w:t>Честотите са дефинирани като: много чести (</w:t>
      </w:r>
      <w:r w:rsidRPr="00546FCB">
        <w:rPr>
          <w:rFonts w:cs="Arial"/>
          <w:lang w:val="en-US" w:bidi="en-US"/>
        </w:rPr>
        <w:t>≥</w:t>
      </w:r>
      <w:r w:rsidRPr="00546FCB">
        <w:rPr>
          <w:rFonts w:cs="Arial"/>
        </w:rPr>
        <w:t>1/10), чести (</w:t>
      </w:r>
      <w:r w:rsidRPr="00546FCB">
        <w:rPr>
          <w:rFonts w:cs="Arial"/>
          <w:lang w:val="en-US" w:bidi="en-US"/>
        </w:rPr>
        <w:t>≥</w:t>
      </w:r>
      <w:r w:rsidRPr="00546FCB">
        <w:rPr>
          <w:rFonts w:cs="Arial"/>
        </w:rPr>
        <w:t>1/100 до &lt;1/10), нечести (</w:t>
      </w:r>
      <w:r w:rsidRPr="00546FCB">
        <w:rPr>
          <w:rFonts w:cs="Arial"/>
          <w:lang w:val="en-US" w:bidi="en-US"/>
        </w:rPr>
        <w:t>≥</w:t>
      </w:r>
      <w:r w:rsidRPr="00546FCB">
        <w:rPr>
          <w:rFonts w:cs="Arial"/>
        </w:rPr>
        <w:t>1/1 000 до &lt;1/100), редки (</w:t>
      </w:r>
      <w:r w:rsidRPr="00546FCB">
        <w:rPr>
          <w:rFonts w:cs="Arial"/>
          <w:lang w:val="en-US" w:bidi="en-US"/>
        </w:rPr>
        <w:t>≥</w:t>
      </w:r>
      <w:r w:rsidRPr="00546FCB">
        <w:rPr>
          <w:rFonts w:cs="Arial"/>
        </w:rPr>
        <w:t>1/10 000 до &lt;1/1 000), много редки (&lt;1/10 000), с неизвестна честота (от наличните данни не може да бъде направена оценка).</w:t>
      </w:r>
    </w:p>
    <w:p w14:paraId="5D710709" w14:textId="77777777" w:rsidR="00DC5458" w:rsidRPr="00DC5458" w:rsidRDefault="007044FD" w:rsidP="00DC5458">
      <w:pPr>
        <w:pStyle w:val="Heading3"/>
        <w:rPr>
          <w:u w:val="single"/>
        </w:rPr>
      </w:pPr>
      <w:r w:rsidRPr="00DC5458">
        <w:rPr>
          <w:u w:val="single"/>
        </w:rPr>
        <w:t>Нарушения на кръвта и лимфната система</w:t>
      </w:r>
    </w:p>
    <w:p w14:paraId="662555D9" w14:textId="5427CD65" w:rsidR="007044FD" w:rsidRPr="00546FCB" w:rsidRDefault="007044FD" w:rsidP="007044FD">
      <w:pPr>
        <w:pStyle w:val="BodyText"/>
        <w:spacing w:after="100" w:line="259" w:lineRule="exact"/>
        <w:rPr>
          <w:rFonts w:cs="Arial"/>
        </w:rPr>
      </w:pPr>
      <w:r w:rsidRPr="00546FCB">
        <w:rPr>
          <w:rFonts w:cs="Arial"/>
          <w:i/>
          <w:iCs/>
        </w:rPr>
        <w:t xml:space="preserve">Редки: </w:t>
      </w:r>
      <w:proofErr w:type="spellStart"/>
      <w:r w:rsidRPr="00546FCB">
        <w:rPr>
          <w:rFonts w:cs="Arial"/>
          <w:i/>
          <w:iCs/>
        </w:rPr>
        <w:t>левкопення</w:t>
      </w:r>
      <w:proofErr w:type="spellEnd"/>
      <w:r w:rsidRPr="00546FCB">
        <w:rPr>
          <w:rFonts w:cs="Arial"/>
          <w:i/>
          <w:iCs/>
        </w:rPr>
        <w:t>.</w:t>
      </w:r>
    </w:p>
    <w:p w14:paraId="415B600A" w14:textId="77777777" w:rsidR="007044FD" w:rsidRPr="00546FCB" w:rsidRDefault="007044FD" w:rsidP="007044FD">
      <w:pPr>
        <w:pStyle w:val="BodyText"/>
        <w:spacing w:after="40" w:line="259" w:lineRule="exact"/>
        <w:rPr>
          <w:rFonts w:cs="Arial"/>
        </w:rPr>
      </w:pPr>
      <w:r w:rsidRPr="00546FCB">
        <w:rPr>
          <w:rFonts w:cs="Arial"/>
          <w:i/>
          <w:iCs/>
        </w:rPr>
        <w:t>Много редки:</w:t>
      </w:r>
      <w:r w:rsidRPr="00546FCB">
        <w:rPr>
          <w:rFonts w:cs="Arial"/>
        </w:rPr>
        <w:t xml:space="preserve"> </w:t>
      </w:r>
      <w:proofErr w:type="spellStart"/>
      <w:r w:rsidRPr="00546FCB">
        <w:rPr>
          <w:rFonts w:cs="Arial"/>
        </w:rPr>
        <w:t>агранулоцитоза</w:t>
      </w:r>
      <w:proofErr w:type="spellEnd"/>
      <w:r w:rsidRPr="00546FCB">
        <w:rPr>
          <w:rFonts w:cs="Arial"/>
        </w:rPr>
        <w:t xml:space="preserve">, </w:t>
      </w:r>
      <w:proofErr w:type="spellStart"/>
      <w:r w:rsidRPr="00546FCB">
        <w:rPr>
          <w:rFonts w:cs="Arial"/>
        </w:rPr>
        <w:t>тромбоцитопения</w:t>
      </w:r>
      <w:proofErr w:type="spellEnd"/>
      <w:r w:rsidRPr="00546FCB">
        <w:rPr>
          <w:rFonts w:cs="Arial"/>
        </w:rPr>
        <w:t xml:space="preserve">, </w:t>
      </w:r>
      <w:proofErr w:type="spellStart"/>
      <w:r w:rsidRPr="00546FCB">
        <w:rPr>
          <w:rFonts w:cs="Arial"/>
        </w:rPr>
        <w:t>хемолитична</w:t>
      </w:r>
      <w:proofErr w:type="spellEnd"/>
      <w:r w:rsidRPr="00546FCB">
        <w:rPr>
          <w:rFonts w:cs="Arial"/>
        </w:rPr>
        <w:t xml:space="preserve"> анемия, </w:t>
      </w:r>
      <w:proofErr w:type="spellStart"/>
      <w:r w:rsidRPr="00546FCB">
        <w:rPr>
          <w:rFonts w:cs="Arial"/>
        </w:rPr>
        <w:t>апластична</w:t>
      </w:r>
      <w:proofErr w:type="spellEnd"/>
      <w:r w:rsidRPr="00546FCB">
        <w:rPr>
          <w:rFonts w:cs="Arial"/>
        </w:rPr>
        <w:t xml:space="preserve"> анемия.</w:t>
      </w:r>
    </w:p>
    <w:p w14:paraId="69804349" w14:textId="77777777" w:rsidR="007044FD" w:rsidRPr="00546FCB" w:rsidRDefault="007044FD" w:rsidP="007044FD">
      <w:pPr>
        <w:pStyle w:val="BodyText"/>
        <w:spacing w:after="340" w:line="259" w:lineRule="exact"/>
        <w:rPr>
          <w:rFonts w:cs="Arial"/>
        </w:rPr>
      </w:pPr>
      <w:r w:rsidRPr="00546FCB">
        <w:rPr>
          <w:rFonts w:cs="Arial"/>
        </w:rPr>
        <w:t xml:space="preserve">Рискът от поява на </w:t>
      </w:r>
      <w:proofErr w:type="spellStart"/>
      <w:r w:rsidRPr="00546FCB">
        <w:rPr>
          <w:rFonts w:cs="Arial"/>
        </w:rPr>
        <w:t>агранулоцитоза</w:t>
      </w:r>
      <w:proofErr w:type="spellEnd"/>
      <w:r w:rsidRPr="00546FCB">
        <w:rPr>
          <w:rFonts w:cs="Arial"/>
        </w:rPr>
        <w:t xml:space="preserve"> не може да се предвиди. </w:t>
      </w:r>
      <w:proofErr w:type="spellStart"/>
      <w:r w:rsidRPr="00546FCB">
        <w:rPr>
          <w:rFonts w:cs="Arial"/>
        </w:rPr>
        <w:t>Агранулоцитоза</w:t>
      </w:r>
      <w:proofErr w:type="spellEnd"/>
      <w:r w:rsidRPr="00546FCB">
        <w:rPr>
          <w:rFonts w:cs="Arial"/>
        </w:rPr>
        <w:t xml:space="preserve"> може да се появи и при пациенти, при които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е приложен в миналото без поява на нежелани лекарствени реакции. Рискът от поява на </w:t>
      </w:r>
      <w:proofErr w:type="spellStart"/>
      <w:r w:rsidRPr="00546FCB">
        <w:rPr>
          <w:rFonts w:cs="Arial"/>
        </w:rPr>
        <w:t>агранулоцитоза</w:t>
      </w:r>
      <w:proofErr w:type="spellEnd"/>
      <w:r w:rsidRPr="00546FCB">
        <w:rPr>
          <w:rFonts w:cs="Arial"/>
        </w:rPr>
        <w:t xml:space="preserve"> се повишава при продължително приложение (над 1 седмица) на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>.</w:t>
      </w:r>
    </w:p>
    <w:p w14:paraId="78A237AF" w14:textId="77777777" w:rsidR="007044FD" w:rsidRPr="00DC5458" w:rsidRDefault="007044FD" w:rsidP="00DC5458">
      <w:pPr>
        <w:pStyle w:val="Heading3"/>
        <w:rPr>
          <w:u w:val="single"/>
        </w:rPr>
      </w:pPr>
      <w:r w:rsidRPr="00DC5458">
        <w:rPr>
          <w:u w:val="single"/>
        </w:rPr>
        <w:t>Нарушения на имунната система</w:t>
      </w:r>
    </w:p>
    <w:p w14:paraId="023F318F" w14:textId="77777777" w:rsidR="007044FD" w:rsidRPr="00546FCB" w:rsidRDefault="007044FD" w:rsidP="007044FD">
      <w:pPr>
        <w:pStyle w:val="BodyText"/>
        <w:spacing w:after="40" w:line="260" w:lineRule="exact"/>
        <w:rPr>
          <w:rFonts w:cs="Arial"/>
        </w:rPr>
      </w:pPr>
      <w:r w:rsidRPr="00546FCB">
        <w:rPr>
          <w:rFonts w:cs="Arial"/>
          <w:i/>
          <w:iCs/>
        </w:rPr>
        <w:t>Нечести:</w:t>
      </w:r>
      <w:r w:rsidRPr="00546FCB">
        <w:rPr>
          <w:rFonts w:cs="Arial"/>
        </w:rPr>
        <w:t xml:space="preserve"> фиксирана лекарствена </w:t>
      </w:r>
      <w:proofErr w:type="spellStart"/>
      <w:r w:rsidRPr="00546FCB">
        <w:rPr>
          <w:rFonts w:cs="Arial"/>
        </w:rPr>
        <w:t>екзантема</w:t>
      </w:r>
      <w:proofErr w:type="spellEnd"/>
      <w:r w:rsidRPr="00546FCB">
        <w:rPr>
          <w:rFonts w:cs="Arial"/>
        </w:rPr>
        <w:t>.</w:t>
      </w:r>
    </w:p>
    <w:p w14:paraId="4D5CED86" w14:textId="77777777" w:rsidR="007044FD" w:rsidRPr="00546FCB" w:rsidRDefault="007044FD" w:rsidP="007044FD">
      <w:pPr>
        <w:pStyle w:val="BodyText"/>
        <w:tabs>
          <w:tab w:val="left" w:pos="7456"/>
          <w:tab w:val="left" w:pos="9166"/>
        </w:tabs>
        <w:spacing w:after="40" w:line="260" w:lineRule="exact"/>
        <w:rPr>
          <w:rFonts w:cs="Arial"/>
        </w:rPr>
      </w:pPr>
      <w:r w:rsidRPr="00546FCB">
        <w:rPr>
          <w:rFonts w:cs="Arial"/>
          <w:i/>
          <w:iCs/>
        </w:rPr>
        <w:t>Редки:</w:t>
      </w:r>
      <w:r w:rsidRPr="00546FCB">
        <w:rPr>
          <w:rFonts w:cs="Arial"/>
        </w:rPr>
        <w:t xml:space="preserve"> </w:t>
      </w:r>
      <w:proofErr w:type="spellStart"/>
      <w:r w:rsidRPr="00546FCB">
        <w:rPr>
          <w:rFonts w:cs="Arial"/>
        </w:rPr>
        <w:t>макулопапулозен</w:t>
      </w:r>
      <w:proofErr w:type="spellEnd"/>
      <w:r w:rsidRPr="00546FCB">
        <w:rPr>
          <w:rFonts w:cs="Arial"/>
        </w:rPr>
        <w:t xml:space="preserve"> обрив, </w:t>
      </w:r>
      <w:proofErr w:type="spellStart"/>
      <w:r w:rsidRPr="00546FCB">
        <w:rPr>
          <w:rFonts w:cs="Arial"/>
        </w:rPr>
        <w:t>анафилактични</w:t>
      </w:r>
      <w:proofErr w:type="spellEnd"/>
      <w:r w:rsidRPr="00546FCB">
        <w:rPr>
          <w:rFonts w:cs="Arial"/>
        </w:rPr>
        <w:t xml:space="preserve"> или </w:t>
      </w:r>
      <w:proofErr w:type="spellStart"/>
      <w:r w:rsidRPr="00546FCB">
        <w:rPr>
          <w:rFonts w:cs="Arial"/>
        </w:rPr>
        <w:t>анафилактоидни</w:t>
      </w:r>
      <w:proofErr w:type="spellEnd"/>
      <w:r w:rsidRPr="00546FCB">
        <w:rPr>
          <w:rFonts w:cs="Arial"/>
        </w:rPr>
        <w:t xml:space="preserve"> реакции. По-леките реакции се манифестират с типични реакции на кожата и лигавицата (напр. сърбеж, парене, зачервяване, уртикария, отоци), </w:t>
      </w:r>
      <w:proofErr w:type="spellStart"/>
      <w:r w:rsidRPr="00546FCB">
        <w:rPr>
          <w:rFonts w:cs="Arial"/>
        </w:rPr>
        <w:t>диспнея</w:t>
      </w:r>
      <w:proofErr w:type="spellEnd"/>
      <w:r w:rsidRPr="00546FCB">
        <w:rPr>
          <w:rFonts w:cs="Arial"/>
        </w:rPr>
        <w:t xml:space="preserve"> и рядко гастроинтестинални оплаквания. Такива по-леки реакции могат да преминат в по-тежки форми с генерализирана </w:t>
      </w:r>
      <w:r w:rsidRPr="00546FCB">
        <w:rPr>
          <w:rFonts w:cs="Arial"/>
        </w:rPr>
        <w:lastRenderedPageBreak/>
        <w:t xml:space="preserve">уртикария, тежък ангиоедем (вкл. </w:t>
      </w:r>
      <w:proofErr w:type="spellStart"/>
      <w:r w:rsidRPr="00546FCB">
        <w:rPr>
          <w:rFonts w:cs="Arial"/>
          <w:lang w:val="en-US" w:bidi="en-US"/>
        </w:rPr>
        <w:t>ларингеален</w:t>
      </w:r>
      <w:proofErr w:type="spellEnd"/>
      <w:r w:rsidRPr="00546FCB">
        <w:rPr>
          <w:rFonts w:cs="Arial"/>
        </w:rPr>
        <w:t xml:space="preserve"> тежък </w:t>
      </w:r>
      <w:proofErr w:type="spellStart"/>
      <w:r w:rsidRPr="00546FCB">
        <w:rPr>
          <w:rFonts w:cs="Arial"/>
        </w:rPr>
        <w:t>бронхоспазъм</w:t>
      </w:r>
      <w:proofErr w:type="spellEnd"/>
      <w:r w:rsidRPr="00546FCB">
        <w:rPr>
          <w:rFonts w:cs="Arial"/>
        </w:rPr>
        <w:t>, смущения на сърдечния ритъм, понижаване на кръвното налягане понякога предхождащо повишаване на кръвното налягане).</w:t>
      </w:r>
    </w:p>
    <w:p w14:paraId="01111ED4" w14:textId="77777777" w:rsidR="007044FD" w:rsidRPr="00546FCB" w:rsidRDefault="007044FD" w:rsidP="007044FD">
      <w:pPr>
        <w:pStyle w:val="BodyText"/>
        <w:tabs>
          <w:tab w:val="left" w:pos="9378"/>
        </w:tabs>
        <w:spacing w:after="100" w:line="260" w:lineRule="exact"/>
        <w:rPr>
          <w:rFonts w:cs="Arial"/>
        </w:rPr>
      </w:pPr>
      <w:r w:rsidRPr="00546FCB">
        <w:rPr>
          <w:rFonts w:cs="Arial"/>
        </w:rPr>
        <w:t xml:space="preserve">По тази причина при поява на кожни реакции употребата на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трябва веднага да се</w:t>
      </w:r>
    </w:p>
    <w:p w14:paraId="08D859C6" w14:textId="77777777" w:rsidR="007044FD" w:rsidRPr="00546FCB" w:rsidRDefault="007044FD" w:rsidP="007044FD">
      <w:pPr>
        <w:pStyle w:val="BodyText"/>
        <w:tabs>
          <w:tab w:val="left" w:pos="9378"/>
        </w:tabs>
        <w:spacing w:after="300" w:line="260" w:lineRule="exact"/>
        <w:rPr>
          <w:rFonts w:cs="Arial"/>
        </w:rPr>
      </w:pPr>
      <w:r w:rsidRPr="00546FCB">
        <w:rPr>
          <w:rFonts w:cs="Arial"/>
        </w:rPr>
        <w:t>преустанови.</w:t>
      </w:r>
    </w:p>
    <w:p w14:paraId="6EF8C197" w14:textId="77777777" w:rsidR="007044FD" w:rsidRPr="00546FCB" w:rsidRDefault="007044FD" w:rsidP="007044FD">
      <w:pPr>
        <w:pStyle w:val="BodyText"/>
        <w:spacing w:after="300" w:line="263" w:lineRule="exact"/>
        <w:rPr>
          <w:rFonts w:cs="Arial"/>
        </w:rPr>
      </w:pPr>
      <w:r w:rsidRPr="00546FCB">
        <w:rPr>
          <w:rFonts w:cs="Arial"/>
          <w:i/>
          <w:iCs/>
        </w:rPr>
        <w:t>Много редки:</w:t>
      </w:r>
      <w:r w:rsidRPr="00546FCB">
        <w:rPr>
          <w:rFonts w:cs="Arial"/>
        </w:rPr>
        <w:t xml:space="preserve"> астматичен пристъп (при пациенти с аналгетична астма); </w:t>
      </w:r>
      <w:r w:rsidRPr="00546FCB">
        <w:rPr>
          <w:rFonts w:cs="Arial"/>
          <w:lang w:val="en-US" w:bidi="en-US"/>
        </w:rPr>
        <w:t xml:space="preserve">Stevens-Johnson- </w:t>
      </w:r>
      <w:r w:rsidRPr="00546FCB">
        <w:rPr>
          <w:rFonts w:cs="Arial"/>
        </w:rPr>
        <w:t xml:space="preserve">или </w:t>
      </w:r>
      <w:r w:rsidRPr="00546FCB">
        <w:rPr>
          <w:rFonts w:cs="Arial"/>
          <w:lang w:val="en-US" w:bidi="en-US"/>
        </w:rPr>
        <w:t>Lyell</w:t>
      </w:r>
      <w:r w:rsidRPr="00546FCB">
        <w:rPr>
          <w:rFonts w:cs="Arial"/>
        </w:rPr>
        <w:t xml:space="preserve">- синдром; </w:t>
      </w:r>
      <w:proofErr w:type="spellStart"/>
      <w:r w:rsidRPr="00546FCB">
        <w:rPr>
          <w:rFonts w:cs="Arial"/>
        </w:rPr>
        <w:t>циркулаторен</w:t>
      </w:r>
      <w:proofErr w:type="spellEnd"/>
      <w:r w:rsidRPr="00546FCB">
        <w:rPr>
          <w:rFonts w:cs="Arial"/>
        </w:rPr>
        <w:t xml:space="preserve"> шок.</w:t>
      </w:r>
    </w:p>
    <w:p w14:paraId="5827C031" w14:textId="77777777" w:rsidR="007044FD" w:rsidRPr="00DC5458" w:rsidRDefault="007044FD" w:rsidP="00DC5458">
      <w:pPr>
        <w:pStyle w:val="Heading3"/>
        <w:rPr>
          <w:u w:val="single"/>
        </w:rPr>
      </w:pPr>
      <w:r w:rsidRPr="00DC5458">
        <w:rPr>
          <w:u w:val="single"/>
        </w:rPr>
        <w:t>Сърдечни нарушения</w:t>
      </w:r>
    </w:p>
    <w:p w14:paraId="0805037A" w14:textId="77777777" w:rsidR="007044FD" w:rsidRPr="00546FCB" w:rsidRDefault="007044FD" w:rsidP="007044FD">
      <w:pPr>
        <w:pStyle w:val="BodyText"/>
        <w:spacing w:after="300" w:line="257" w:lineRule="exact"/>
        <w:rPr>
          <w:rFonts w:cs="Arial"/>
        </w:rPr>
      </w:pPr>
      <w:r w:rsidRPr="00546FCB">
        <w:rPr>
          <w:rFonts w:cs="Arial"/>
          <w:i/>
          <w:iCs/>
        </w:rPr>
        <w:t>Нечести:</w:t>
      </w:r>
      <w:r w:rsidRPr="00546FCB">
        <w:rPr>
          <w:rFonts w:cs="Arial"/>
        </w:rPr>
        <w:t xml:space="preserve"> </w:t>
      </w:r>
      <w:proofErr w:type="spellStart"/>
      <w:r w:rsidRPr="00546FCB">
        <w:rPr>
          <w:rFonts w:cs="Arial"/>
        </w:rPr>
        <w:t>палпитации</w:t>
      </w:r>
      <w:proofErr w:type="spellEnd"/>
      <w:r w:rsidRPr="00546FCB">
        <w:rPr>
          <w:rFonts w:cs="Arial"/>
        </w:rPr>
        <w:t xml:space="preserve">, тахикардия, </w:t>
      </w:r>
      <w:proofErr w:type="spellStart"/>
      <w:r w:rsidRPr="00546FCB">
        <w:rPr>
          <w:rFonts w:cs="Arial"/>
        </w:rPr>
        <w:t>цианоза</w:t>
      </w:r>
      <w:proofErr w:type="spellEnd"/>
      <w:r w:rsidRPr="00546FCB">
        <w:rPr>
          <w:rFonts w:cs="Arial"/>
        </w:rPr>
        <w:t>.</w:t>
      </w:r>
    </w:p>
    <w:p w14:paraId="43631378" w14:textId="77777777" w:rsidR="007044FD" w:rsidRPr="00DC5458" w:rsidRDefault="007044FD" w:rsidP="00DC5458">
      <w:pPr>
        <w:pStyle w:val="Heading3"/>
        <w:rPr>
          <w:u w:val="single"/>
        </w:rPr>
      </w:pPr>
      <w:r w:rsidRPr="00DC5458">
        <w:rPr>
          <w:u w:val="single"/>
        </w:rPr>
        <w:t>Съдови нарушения</w:t>
      </w:r>
    </w:p>
    <w:p w14:paraId="4AEECC9E" w14:textId="77777777" w:rsidR="007044FD" w:rsidRPr="00546FCB" w:rsidRDefault="007044FD" w:rsidP="007044FD">
      <w:pPr>
        <w:pStyle w:val="BodyText"/>
        <w:spacing w:after="340" w:line="257" w:lineRule="exact"/>
        <w:rPr>
          <w:rFonts w:cs="Arial"/>
        </w:rPr>
      </w:pPr>
      <w:r w:rsidRPr="00546FCB">
        <w:rPr>
          <w:rFonts w:cs="Arial"/>
          <w:i/>
          <w:iCs/>
        </w:rPr>
        <w:t>Нечести:</w:t>
      </w:r>
      <w:r w:rsidRPr="00546FCB">
        <w:rPr>
          <w:rFonts w:cs="Arial"/>
          <w:i/>
          <w:iCs/>
          <w:lang w:val="en-US" w:bidi="en-US"/>
        </w:rPr>
        <w:t xml:space="preserve"> </w:t>
      </w:r>
      <w:r w:rsidRPr="00546FCB">
        <w:rPr>
          <w:rFonts w:cs="Arial"/>
        </w:rPr>
        <w:t>хипотония.</w:t>
      </w:r>
    </w:p>
    <w:p w14:paraId="462CA410" w14:textId="77777777" w:rsidR="007044FD" w:rsidRPr="00DC5458" w:rsidRDefault="007044FD" w:rsidP="00DC5458">
      <w:pPr>
        <w:pStyle w:val="Heading3"/>
        <w:rPr>
          <w:u w:val="single"/>
        </w:rPr>
      </w:pPr>
      <w:r w:rsidRPr="00DC5458">
        <w:rPr>
          <w:u w:val="single"/>
        </w:rPr>
        <w:t>Стомашно-чревни нарушения</w:t>
      </w:r>
    </w:p>
    <w:p w14:paraId="399ECB69" w14:textId="77777777" w:rsidR="007044FD" w:rsidRPr="00546FCB" w:rsidRDefault="007044FD" w:rsidP="007044FD">
      <w:pPr>
        <w:pStyle w:val="BodyText"/>
        <w:spacing w:after="300" w:line="259" w:lineRule="exact"/>
        <w:rPr>
          <w:rFonts w:cs="Arial"/>
        </w:rPr>
      </w:pPr>
      <w:r w:rsidRPr="00546FCB">
        <w:rPr>
          <w:rFonts w:cs="Arial"/>
        </w:rPr>
        <w:t xml:space="preserve">С </w:t>
      </w:r>
      <w:r w:rsidRPr="00546FCB">
        <w:rPr>
          <w:rFonts w:cs="Arial"/>
          <w:i/>
          <w:iCs/>
        </w:rPr>
        <w:t>неизвестна честота:</w:t>
      </w:r>
      <w:r w:rsidRPr="00546FCB">
        <w:rPr>
          <w:rFonts w:cs="Arial"/>
          <w:i/>
          <w:iCs/>
          <w:lang w:val="en-US" w:bidi="en-US"/>
        </w:rPr>
        <w:t xml:space="preserve"> </w:t>
      </w:r>
      <w:r w:rsidRPr="00546FCB">
        <w:rPr>
          <w:rFonts w:cs="Arial"/>
        </w:rPr>
        <w:t xml:space="preserve">гадене, повръщане, коремни болки и дискомфорт, в редки случаи </w:t>
      </w:r>
      <w:proofErr w:type="spellStart"/>
      <w:r w:rsidRPr="00546FCB">
        <w:rPr>
          <w:rFonts w:cs="Arial"/>
        </w:rPr>
        <w:t>улцерации</w:t>
      </w:r>
      <w:proofErr w:type="spellEnd"/>
      <w:r w:rsidRPr="00546FCB">
        <w:rPr>
          <w:rFonts w:cs="Arial"/>
        </w:rPr>
        <w:t xml:space="preserve"> и кървене.</w:t>
      </w:r>
    </w:p>
    <w:p w14:paraId="1BEE4D91" w14:textId="77777777" w:rsidR="007044FD" w:rsidRPr="00DC5458" w:rsidRDefault="007044FD" w:rsidP="00DC5458">
      <w:pPr>
        <w:pStyle w:val="Heading3"/>
        <w:rPr>
          <w:u w:val="single"/>
        </w:rPr>
      </w:pPr>
      <w:r w:rsidRPr="00DC5458">
        <w:rPr>
          <w:u w:val="single"/>
        </w:rPr>
        <w:t>Нарушения на бъбреците и пикочните пътища</w:t>
      </w:r>
    </w:p>
    <w:p w14:paraId="20228606" w14:textId="5C082338" w:rsidR="007044FD" w:rsidRPr="00546FCB" w:rsidRDefault="007044FD" w:rsidP="007044FD">
      <w:pPr>
        <w:pStyle w:val="BodyText"/>
        <w:spacing w:after="300" w:line="257" w:lineRule="exact"/>
        <w:rPr>
          <w:rFonts w:cs="Arial"/>
        </w:rPr>
      </w:pPr>
      <w:r w:rsidRPr="00546FCB">
        <w:rPr>
          <w:rFonts w:cs="Arial"/>
          <w:i/>
          <w:iCs/>
        </w:rPr>
        <w:t>Редки</w:t>
      </w:r>
      <w:r w:rsidR="00EF7A47">
        <w:rPr>
          <w:rFonts w:cs="Arial"/>
          <w:i/>
          <w:iCs/>
        </w:rPr>
        <w:t>:</w:t>
      </w:r>
      <w:r w:rsidRPr="00546FCB">
        <w:rPr>
          <w:rFonts w:cs="Arial"/>
        </w:rPr>
        <w:t xml:space="preserve"> </w:t>
      </w:r>
      <w:proofErr w:type="spellStart"/>
      <w:r w:rsidRPr="00546FCB">
        <w:rPr>
          <w:rFonts w:cs="Arial"/>
        </w:rPr>
        <w:t>протеи</w:t>
      </w:r>
      <w:r w:rsidR="00EF7A47">
        <w:rPr>
          <w:rFonts w:cs="Arial"/>
        </w:rPr>
        <w:t>н</w:t>
      </w:r>
      <w:r w:rsidRPr="00546FCB">
        <w:rPr>
          <w:rFonts w:cs="Arial"/>
        </w:rPr>
        <w:t>урия</w:t>
      </w:r>
      <w:proofErr w:type="spellEnd"/>
      <w:r w:rsidRPr="00546FCB">
        <w:rPr>
          <w:rFonts w:cs="Arial"/>
        </w:rPr>
        <w:t xml:space="preserve">, </w:t>
      </w:r>
      <w:proofErr w:type="spellStart"/>
      <w:r w:rsidRPr="00546FCB">
        <w:rPr>
          <w:rFonts w:cs="Arial"/>
        </w:rPr>
        <w:t>олигурия</w:t>
      </w:r>
      <w:proofErr w:type="spellEnd"/>
      <w:r w:rsidRPr="00546FCB">
        <w:rPr>
          <w:rFonts w:cs="Arial"/>
        </w:rPr>
        <w:t xml:space="preserve">, </w:t>
      </w:r>
      <w:proofErr w:type="spellStart"/>
      <w:r w:rsidRPr="00546FCB">
        <w:rPr>
          <w:rFonts w:cs="Arial"/>
        </w:rPr>
        <w:t>анурия</w:t>
      </w:r>
      <w:proofErr w:type="spellEnd"/>
      <w:r w:rsidRPr="00546FCB">
        <w:rPr>
          <w:rFonts w:cs="Arial"/>
        </w:rPr>
        <w:t xml:space="preserve">, </w:t>
      </w:r>
      <w:proofErr w:type="spellStart"/>
      <w:r w:rsidRPr="00546FCB">
        <w:rPr>
          <w:rFonts w:cs="Arial"/>
        </w:rPr>
        <w:t>полиурия</w:t>
      </w:r>
      <w:proofErr w:type="spellEnd"/>
      <w:r w:rsidRPr="00546FCB">
        <w:rPr>
          <w:rFonts w:cs="Arial"/>
        </w:rPr>
        <w:t xml:space="preserve">, </w:t>
      </w:r>
      <w:proofErr w:type="spellStart"/>
      <w:r w:rsidRPr="00546FCB">
        <w:rPr>
          <w:rFonts w:cs="Arial"/>
        </w:rPr>
        <w:t>интерстициален</w:t>
      </w:r>
      <w:proofErr w:type="spellEnd"/>
      <w:r w:rsidRPr="00546FCB">
        <w:rPr>
          <w:rFonts w:cs="Arial"/>
        </w:rPr>
        <w:t xml:space="preserve"> нефрит.</w:t>
      </w:r>
    </w:p>
    <w:p w14:paraId="677C5F8E" w14:textId="77777777" w:rsidR="007044FD" w:rsidRPr="00DC5458" w:rsidRDefault="007044FD" w:rsidP="00DC5458">
      <w:pPr>
        <w:pStyle w:val="Heading3"/>
        <w:rPr>
          <w:u w:val="single"/>
        </w:rPr>
      </w:pPr>
      <w:r w:rsidRPr="00DC5458">
        <w:rPr>
          <w:u w:val="single"/>
        </w:rPr>
        <w:t>Съобщаване на подозирани нежелани реакции</w:t>
      </w:r>
    </w:p>
    <w:p w14:paraId="087BE4C4" w14:textId="06C1162A" w:rsidR="007044FD" w:rsidRPr="007044FD" w:rsidRDefault="007044FD" w:rsidP="007044FD">
      <w:pPr>
        <w:pStyle w:val="BodyText"/>
        <w:spacing w:after="520" w:line="257" w:lineRule="exact"/>
        <w:rPr>
          <w:rFonts w:cs="Arial"/>
        </w:rPr>
      </w:pPr>
      <w:r w:rsidRPr="00546FCB">
        <w:rPr>
          <w:rFonts w:cs="Arial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ул. „Дамян Груев” № 8, 1303 София, Тел.: +35 928903417, уебсайт: </w:t>
      </w:r>
      <w:hyperlink r:id="rId7" w:history="1">
        <w:r w:rsidRPr="00546FCB">
          <w:rPr>
            <w:rFonts w:cs="Arial"/>
            <w:u w:val="single"/>
            <w:lang w:val="en-US" w:bidi="en-US"/>
          </w:rPr>
          <w:t>www.bda.bg</w:t>
        </w:r>
      </w:hyperlink>
    </w:p>
    <w:p w14:paraId="611C622D" w14:textId="387BF7A4" w:rsidR="002C50EE" w:rsidRDefault="002C50EE" w:rsidP="002C50EE">
      <w:pPr>
        <w:pStyle w:val="Heading2"/>
      </w:pPr>
      <w:r>
        <w:t>4.9. Предозиране</w:t>
      </w:r>
    </w:p>
    <w:p w14:paraId="30E11679" w14:textId="77777777" w:rsidR="007044FD" w:rsidRDefault="007044FD" w:rsidP="007044FD">
      <w:pPr>
        <w:pStyle w:val="BodyText"/>
        <w:spacing w:after="40" w:line="257" w:lineRule="exact"/>
        <w:rPr>
          <w:rFonts w:cs="Arial"/>
          <w:i/>
          <w:iCs/>
          <w:u w:val="single"/>
        </w:rPr>
      </w:pPr>
    </w:p>
    <w:p w14:paraId="2A54A7EB" w14:textId="44133B92" w:rsidR="007044FD" w:rsidRPr="00546FCB" w:rsidRDefault="007044FD" w:rsidP="007044FD">
      <w:pPr>
        <w:pStyle w:val="BodyText"/>
        <w:spacing w:after="40" w:line="257" w:lineRule="exact"/>
        <w:rPr>
          <w:rFonts w:cs="Arial"/>
        </w:rPr>
      </w:pPr>
      <w:r w:rsidRPr="00EF7A47">
        <w:rPr>
          <w:rStyle w:val="Heading3Char"/>
          <w:u w:val="single"/>
        </w:rPr>
        <w:t xml:space="preserve">Симптоми: </w:t>
      </w:r>
      <w:r w:rsidRPr="00546FCB">
        <w:rPr>
          <w:rFonts w:cs="Arial"/>
        </w:rPr>
        <w:t xml:space="preserve">гадене, повръщане, болки в абдоминалната област, хипотермия. Възможно е развитие на тежък шок, остра бъбречна и чернодробна недостатъчност, </w:t>
      </w:r>
      <w:proofErr w:type="spellStart"/>
      <w:r w:rsidRPr="00546FCB">
        <w:rPr>
          <w:rFonts w:cs="Arial"/>
        </w:rPr>
        <w:t>клонично</w:t>
      </w:r>
      <w:proofErr w:type="spellEnd"/>
      <w:r w:rsidRPr="00546FCB">
        <w:rPr>
          <w:rFonts w:cs="Arial"/>
        </w:rPr>
        <w:t>-тонични гърчове, кома.</w:t>
      </w:r>
    </w:p>
    <w:p w14:paraId="14491672" w14:textId="77777777" w:rsidR="007044FD" w:rsidRDefault="007044FD" w:rsidP="007044FD">
      <w:pPr>
        <w:pStyle w:val="BodyText"/>
        <w:spacing w:line="257" w:lineRule="exact"/>
        <w:rPr>
          <w:rFonts w:cs="Arial"/>
          <w:i/>
          <w:iCs/>
          <w:u w:val="single"/>
        </w:rPr>
      </w:pPr>
    </w:p>
    <w:p w14:paraId="0CBABD7D" w14:textId="16820010" w:rsidR="007044FD" w:rsidRPr="00546FCB" w:rsidRDefault="007044FD" w:rsidP="007044FD">
      <w:pPr>
        <w:pStyle w:val="BodyText"/>
        <w:spacing w:after="520" w:line="257" w:lineRule="exact"/>
        <w:rPr>
          <w:rFonts w:cs="Arial"/>
        </w:rPr>
      </w:pPr>
      <w:r w:rsidRPr="00EF7A47">
        <w:rPr>
          <w:rStyle w:val="Heading3Char"/>
          <w:u w:val="single"/>
        </w:rPr>
        <w:t>Лечение</w:t>
      </w:r>
      <w:r w:rsidRPr="00546FCB">
        <w:rPr>
          <w:rFonts w:cs="Arial"/>
          <w:i/>
          <w:iCs/>
          <w:u w:val="single"/>
        </w:rPr>
        <w:t>:</w:t>
      </w:r>
      <w:r w:rsidRPr="00546FCB">
        <w:rPr>
          <w:rFonts w:cs="Arial"/>
        </w:rPr>
        <w:t xml:space="preserve"> Прилага се симптоматично лечение съобразно състоянието на пациента: форсирана </w:t>
      </w:r>
      <w:proofErr w:type="spellStart"/>
      <w:r w:rsidRPr="00546FCB">
        <w:rPr>
          <w:rFonts w:cs="Arial"/>
        </w:rPr>
        <w:t>диуреза</w:t>
      </w:r>
      <w:proofErr w:type="spellEnd"/>
      <w:r w:rsidRPr="00546FCB">
        <w:rPr>
          <w:rFonts w:cs="Arial"/>
        </w:rPr>
        <w:t xml:space="preserve">, дихателна реанимация, противошокови средства, </w:t>
      </w:r>
      <w:proofErr w:type="spellStart"/>
      <w:r w:rsidRPr="00546FCB">
        <w:rPr>
          <w:rFonts w:cs="Arial"/>
        </w:rPr>
        <w:t>рехидратация</w:t>
      </w:r>
      <w:proofErr w:type="spellEnd"/>
      <w:r w:rsidRPr="00546FCB">
        <w:rPr>
          <w:rFonts w:cs="Arial"/>
        </w:rPr>
        <w:t>. Специфичен антидот няма.</w:t>
      </w:r>
    </w:p>
    <w:p w14:paraId="06D812C4" w14:textId="77777777" w:rsidR="007044FD" w:rsidRPr="007044FD" w:rsidRDefault="007044FD" w:rsidP="007044FD"/>
    <w:p w14:paraId="675A1AC0" w14:textId="77777777" w:rsidR="007044FD" w:rsidRPr="007044FD" w:rsidRDefault="007044FD" w:rsidP="007044FD"/>
    <w:p w14:paraId="2FE721D2" w14:textId="55EBB903" w:rsidR="007044FD" w:rsidRPr="007044FD" w:rsidRDefault="002C50EE" w:rsidP="007044FD">
      <w:pPr>
        <w:pStyle w:val="Heading1"/>
      </w:pPr>
      <w:r>
        <w:lastRenderedPageBreak/>
        <w:t>5. ФАРМАКОЛОГИЧНИ СВОЙСТВА</w:t>
      </w:r>
    </w:p>
    <w:p w14:paraId="2F1CA24E" w14:textId="4F25970F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3B56EBE9" w14:textId="77777777" w:rsidR="007044FD" w:rsidRPr="00546FCB" w:rsidRDefault="007044FD" w:rsidP="007044FD">
      <w:pPr>
        <w:pStyle w:val="BodyText"/>
        <w:spacing w:after="300" w:line="257" w:lineRule="exact"/>
        <w:rPr>
          <w:rFonts w:cs="Arial"/>
        </w:rPr>
      </w:pPr>
      <w:proofErr w:type="spellStart"/>
      <w:r w:rsidRPr="00546FCB">
        <w:rPr>
          <w:rFonts w:cs="Arial"/>
        </w:rPr>
        <w:t>Фармакотерапевтична</w:t>
      </w:r>
      <w:proofErr w:type="spellEnd"/>
      <w:r w:rsidRPr="00546FCB">
        <w:rPr>
          <w:rFonts w:cs="Arial"/>
        </w:rPr>
        <w:t xml:space="preserve"> група: Други аналгетици и </w:t>
      </w:r>
      <w:proofErr w:type="spellStart"/>
      <w:r w:rsidRPr="00546FCB">
        <w:rPr>
          <w:rFonts w:cs="Arial"/>
        </w:rPr>
        <w:t>антипиретици</w:t>
      </w:r>
      <w:proofErr w:type="spellEnd"/>
      <w:r w:rsidRPr="00546FCB">
        <w:rPr>
          <w:rFonts w:cs="Arial"/>
        </w:rPr>
        <w:t xml:space="preserve">. </w:t>
      </w:r>
      <w:proofErr w:type="spellStart"/>
      <w:r w:rsidRPr="00546FCB">
        <w:rPr>
          <w:rFonts w:cs="Arial"/>
        </w:rPr>
        <w:t>Пиразолони</w:t>
      </w:r>
      <w:proofErr w:type="spellEnd"/>
      <w:r w:rsidRPr="00546FCB">
        <w:rPr>
          <w:rFonts w:cs="Arial"/>
        </w:rPr>
        <w:t xml:space="preserve">, АТС код: </w:t>
      </w:r>
      <w:r w:rsidRPr="00546FCB">
        <w:rPr>
          <w:rFonts w:cs="Arial"/>
          <w:lang w:val="en-US" w:bidi="en-US"/>
        </w:rPr>
        <w:t>N02BB02</w:t>
      </w:r>
    </w:p>
    <w:p w14:paraId="10A50E82" w14:textId="77777777" w:rsidR="007044FD" w:rsidRPr="00546FCB" w:rsidRDefault="007044FD" w:rsidP="007044FD">
      <w:pPr>
        <w:pStyle w:val="BodyText"/>
        <w:spacing w:after="300" w:line="257" w:lineRule="exact"/>
        <w:rPr>
          <w:rFonts w:cs="Arial"/>
        </w:rPr>
      </w:pP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натрий е аналгетик от групата на </w:t>
      </w:r>
      <w:proofErr w:type="spellStart"/>
      <w:r w:rsidRPr="00546FCB">
        <w:rPr>
          <w:rFonts w:cs="Arial"/>
        </w:rPr>
        <w:t>пиразолоните</w:t>
      </w:r>
      <w:proofErr w:type="spellEnd"/>
      <w:r w:rsidRPr="00546FCB">
        <w:rPr>
          <w:rFonts w:cs="Arial"/>
        </w:rPr>
        <w:t xml:space="preserve"> с изразено аналгетично и </w:t>
      </w:r>
      <w:proofErr w:type="spellStart"/>
      <w:r w:rsidRPr="00546FCB">
        <w:rPr>
          <w:rFonts w:cs="Arial"/>
        </w:rPr>
        <w:t>антипиретично</w:t>
      </w:r>
      <w:proofErr w:type="spellEnd"/>
      <w:r w:rsidRPr="00546FCB">
        <w:rPr>
          <w:rFonts w:cs="Arial"/>
        </w:rPr>
        <w:t xml:space="preserve"> действие. Притежава слаба противовъзпалителна активност, както и леко спазмолитично действие. Основният механизъм на действие е потискане на </w:t>
      </w:r>
      <w:proofErr w:type="spellStart"/>
      <w:r w:rsidRPr="00546FCB">
        <w:rPr>
          <w:rFonts w:cs="Arial"/>
        </w:rPr>
        <w:t>простагландиновата</w:t>
      </w:r>
      <w:proofErr w:type="spellEnd"/>
      <w:r w:rsidRPr="00546FCB">
        <w:rPr>
          <w:rFonts w:cs="Arial"/>
        </w:rPr>
        <w:t xml:space="preserve"> синтеза по пътя на инхибиране на </w:t>
      </w:r>
      <w:proofErr w:type="spellStart"/>
      <w:r w:rsidRPr="00546FCB">
        <w:rPr>
          <w:rFonts w:cs="Arial"/>
        </w:rPr>
        <w:t>циклооксигеназата</w:t>
      </w:r>
      <w:proofErr w:type="spellEnd"/>
      <w:r w:rsidRPr="00546FCB">
        <w:rPr>
          <w:rFonts w:cs="Arial"/>
        </w:rPr>
        <w:t>. Стимулира освобождаването на бета-</w:t>
      </w:r>
      <w:proofErr w:type="spellStart"/>
      <w:r w:rsidRPr="00546FCB">
        <w:rPr>
          <w:rFonts w:cs="Arial"/>
        </w:rPr>
        <w:t>ендорфини</w:t>
      </w:r>
      <w:proofErr w:type="spellEnd"/>
      <w:r w:rsidRPr="00546FCB">
        <w:rPr>
          <w:rFonts w:cs="Arial"/>
        </w:rPr>
        <w:t xml:space="preserve">, понижава нивото на ендогенните </w:t>
      </w:r>
      <w:proofErr w:type="spellStart"/>
      <w:r w:rsidRPr="00546FCB">
        <w:rPr>
          <w:rFonts w:cs="Arial"/>
        </w:rPr>
        <w:t>пирогени</w:t>
      </w:r>
      <w:proofErr w:type="spellEnd"/>
      <w:r w:rsidRPr="00546FCB">
        <w:rPr>
          <w:rFonts w:cs="Arial"/>
        </w:rPr>
        <w:t xml:space="preserve"> и повлиява директно </w:t>
      </w:r>
      <w:proofErr w:type="spellStart"/>
      <w:r w:rsidRPr="00546FCB">
        <w:rPr>
          <w:rFonts w:cs="Arial"/>
        </w:rPr>
        <w:t>терморегулаторния</w:t>
      </w:r>
      <w:proofErr w:type="spellEnd"/>
      <w:r w:rsidRPr="00546FCB">
        <w:rPr>
          <w:rFonts w:cs="Arial"/>
        </w:rPr>
        <w:t xml:space="preserve"> център в хипоталамуса.</w:t>
      </w:r>
    </w:p>
    <w:p w14:paraId="7020F4A9" w14:textId="77777777" w:rsidR="007044FD" w:rsidRPr="007044FD" w:rsidRDefault="007044FD" w:rsidP="007044FD"/>
    <w:p w14:paraId="788B4E5E" w14:textId="6F33896C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5A61B479" w14:textId="77777777" w:rsidR="007044FD" w:rsidRPr="00EF7A47" w:rsidRDefault="007044FD" w:rsidP="00EF7A47">
      <w:pPr>
        <w:pStyle w:val="Heading3"/>
        <w:rPr>
          <w:u w:val="single"/>
        </w:rPr>
      </w:pPr>
      <w:r w:rsidRPr="00EF7A47">
        <w:rPr>
          <w:u w:val="single"/>
        </w:rPr>
        <w:t>Абсорбция</w:t>
      </w:r>
    </w:p>
    <w:p w14:paraId="71556D81" w14:textId="77777777" w:rsidR="007044FD" w:rsidRPr="00546FCB" w:rsidRDefault="007044FD" w:rsidP="007044FD">
      <w:pPr>
        <w:pStyle w:val="BodyText"/>
        <w:spacing w:after="40" w:line="259" w:lineRule="exact"/>
        <w:rPr>
          <w:rFonts w:cs="Arial"/>
        </w:rPr>
      </w:pPr>
      <w:r w:rsidRPr="00546FCB">
        <w:rPr>
          <w:rFonts w:cs="Arial"/>
        </w:rPr>
        <w:t xml:space="preserve">След перорално приложение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се хидролизира в </w:t>
      </w:r>
      <w:proofErr w:type="spellStart"/>
      <w:r w:rsidRPr="00546FCB">
        <w:rPr>
          <w:rFonts w:cs="Arial"/>
        </w:rPr>
        <w:t>стамашно</w:t>
      </w:r>
      <w:proofErr w:type="spellEnd"/>
      <w:r w:rsidRPr="00546FCB">
        <w:rPr>
          <w:rFonts w:cs="Arial"/>
        </w:rPr>
        <w:t xml:space="preserve">-чревния тракт. Активните метаболити са 4-метил-амино-антипирин (МАА) и 4-амино-антипирин (АА). МАА се </w:t>
      </w:r>
      <w:r w:rsidRPr="00546FCB">
        <w:rPr>
          <w:rFonts w:cs="Arial"/>
          <w:u w:val="single"/>
        </w:rPr>
        <w:t>характ</w:t>
      </w:r>
      <w:r w:rsidRPr="00546FCB">
        <w:rPr>
          <w:rFonts w:cs="Arial"/>
        </w:rPr>
        <w:t xml:space="preserve">еризира с бърза и пълна резорбция. Максимална плазмена концентрация достига </w:t>
      </w:r>
      <w:r w:rsidRPr="00546FCB">
        <w:rPr>
          <w:rFonts w:cs="Arial"/>
          <w:i/>
          <w:iCs/>
        </w:rPr>
        <w:t>в</w:t>
      </w:r>
      <w:r w:rsidRPr="00546FCB">
        <w:rPr>
          <w:rFonts w:cs="Arial"/>
        </w:rPr>
        <w:t xml:space="preserve"> рамките</w:t>
      </w:r>
      <w:r w:rsidRPr="00546FCB">
        <w:rPr>
          <w:rFonts w:cs="Arial"/>
          <w:lang w:val="en-US" w:bidi="en-US"/>
        </w:rPr>
        <w:t xml:space="preserve"> </w:t>
      </w:r>
      <w:r w:rsidRPr="00546FCB">
        <w:rPr>
          <w:rFonts w:cs="Arial"/>
        </w:rPr>
        <w:t>на 1-2 часа.</w:t>
      </w:r>
    </w:p>
    <w:p w14:paraId="7556EF1D" w14:textId="77777777" w:rsidR="007044FD" w:rsidRPr="00546FCB" w:rsidRDefault="007044FD" w:rsidP="007044FD">
      <w:pPr>
        <w:pStyle w:val="BodyText"/>
        <w:spacing w:after="300" w:line="259" w:lineRule="exact"/>
        <w:rPr>
          <w:rFonts w:cs="Arial"/>
        </w:rPr>
      </w:pPr>
      <w:r w:rsidRPr="00546FCB">
        <w:rPr>
          <w:rFonts w:cs="Arial"/>
        </w:rPr>
        <w:t xml:space="preserve">Бионаличността на МАА е около 90%. Храната не повлиява фармакокинетиката на </w:t>
      </w:r>
      <w:proofErr w:type="spellStart"/>
      <w:r w:rsidRPr="00546FCB">
        <w:rPr>
          <w:rFonts w:cs="Arial"/>
        </w:rPr>
        <w:t>метамизол</w:t>
      </w:r>
      <w:proofErr w:type="spellEnd"/>
    </w:p>
    <w:p w14:paraId="2320121D" w14:textId="77777777" w:rsidR="007044FD" w:rsidRPr="00EF7A47" w:rsidRDefault="007044FD" w:rsidP="00EF7A47">
      <w:pPr>
        <w:pStyle w:val="Heading3"/>
        <w:rPr>
          <w:u w:val="single"/>
        </w:rPr>
      </w:pPr>
      <w:r w:rsidRPr="00EF7A47">
        <w:rPr>
          <w:u w:val="single"/>
        </w:rPr>
        <w:t>Разпределение</w:t>
      </w:r>
    </w:p>
    <w:p w14:paraId="2063AFA3" w14:textId="77777777" w:rsidR="007044FD" w:rsidRPr="00546FCB" w:rsidRDefault="007044FD" w:rsidP="007044FD">
      <w:pPr>
        <w:pStyle w:val="BodyText"/>
        <w:spacing w:after="300" w:line="259" w:lineRule="exact"/>
        <w:rPr>
          <w:rFonts w:cs="Arial"/>
        </w:rPr>
      </w:pPr>
      <w:r w:rsidRPr="00546FCB">
        <w:rPr>
          <w:rFonts w:cs="Arial"/>
        </w:rPr>
        <w:t xml:space="preserve">Свързва се с плазмените протеини в 50-60%. Преминава през </w:t>
      </w:r>
      <w:proofErr w:type="spellStart"/>
      <w:r w:rsidRPr="00546FCB">
        <w:rPr>
          <w:rFonts w:cs="Arial"/>
        </w:rPr>
        <w:t>хематоенцефалната</w:t>
      </w:r>
      <w:proofErr w:type="spellEnd"/>
      <w:r w:rsidRPr="00546FCB">
        <w:rPr>
          <w:rFonts w:cs="Arial"/>
        </w:rPr>
        <w:t xml:space="preserve"> и </w:t>
      </w:r>
      <w:proofErr w:type="spellStart"/>
      <w:r w:rsidRPr="00546FCB">
        <w:rPr>
          <w:rFonts w:cs="Arial"/>
        </w:rPr>
        <w:t>плацентарната</w:t>
      </w:r>
      <w:proofErr w:type="spellEnd"/>
      <w:r w:rsidRPr="00546FCB">
        <w:rPr>
          <w:rFonts w:cs="Arial"/>
        </w:rPr>
        <w:t xml:space="preserve"> бариери. Обем на разпределение - около 0,7 </w:t>
      </w:r>
      <w:r w:rsidRPr="00546FCB">
        <w:rPr>
          <w:rFonts w:cs="Arial"/>
          <w:lang w:val="en-US" w:bidi="en-US"/>
        </w:rPr>
        <w:t>1/kg.</w:t>
      </w:r>
    </w:p>
    <w:p w14:paraId="2B55D689" w14:textId="77777777" w:rsidR="007044FD" w:rsidRPr="00EF7A47" w:rsidRDefault="007044FD" w:rsidP="00EF7A47">
      <w:pPr>
        <w:pStyle w:val="Heading3"/>
        <w:rPr>
          <w:u w:val="single"/>
        </w:rPr>
      </w:pPr>
      <w:r w:rsidRPr="00EF7A47">
        <w:rPr>
          <w:u w:val="single"/>
        </w:rPr>
        <w:t>Биотрансформация</w:t>
      </w:r>
    </w:p>
    <w:p w14:paraId="171402D7" w14:textId="77777777" w:rsidR="007044FD" w:rsidRPr="00546FCB" w:rsidRDefault="007044FD" w:rsidP="007044FD">
      <w:pPr>
        <w:pStyle w:val="BodyText"/>
        <w:spacing w:after="300" w:line="261" w:lineRule="exact"/>
        <w:rPr>
          <w:rFonts w:cs="Arial"/>
        </w:rPr>
      </w:pP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се подлага на интензивна биотрансформация в гастроинтестиналния тракт и черния дроб. Основният му метаболит 4-метил-амино-антипирин се </w:t>
      </w:r>
      <w:proofErr w:type="spellStart"/>
      <w:r w:rsidRPr="00546FCB">
        <w:rPr>
          <w:rFonts w:cs="Arial"/>
        </w:rPr>
        <w:t>метаболизира</w:t>
      </w:r>
      <w:proofErr w:type="spellEnd"/>
      <w:r w:rsidRPr="00546FCB">
        <w:rPr>
          <w:rFonts w:cs="Arial"/>
        </w:rPr>
        <w:t xml:space="preserve"> в черния дроб до други метаболити, включително до 4-амино-антипирин (АА), който е фармакологично активен.</w:t>
      </w:r>
    </w:p>
    <w:p w14:paraId="75BDA700" w14:textId="77777777" w:rsidR="007044FD" w:rsidRPr="00EF7A47" w:rsidRDefault="007044FD" w:rsidP="00EF7A47">
      <w:pPr>
        <w:pStyle w:val="Heading3"/>
        <w:rPr>
          <w:u w:val="single"/>
        </w:rPr>
      </w:pPr>
      <w:r w:rsidRPr="00EF7A47">
        <w:rPr>
          <w:u w:val="single"/>
        </w:rPr>
        <w:t>Елиминиране</w:t>
      </w:r>
    </w:p>
    <w:p w14:paraId="07BCB459" w14:textId="77777777" w:rsidR="007044FD" w:rsidRPr="00546FCB" w:rsidRDefault="007044FD" w:rsidP="007044FD">
      <w:pPr>
        <w:pStyle w:val="BodyText"/>
        <w:spacing w:after="300" w:line="266" w:lineRule="exact"/>
        <w:rPr>
          <w:rFonts w:cs="Arial"/>
        </w:rPr>
      </w:pPr>
      <w:r w:rsidRPr="00546FCB">
        <w:rPr>
          <w:rFonts w:cs="Arial"/>
        </w:rPr>
        <w:t xml:space="preserve">Елиминира се чрез екскреция с урината под формата на метаболити, като само 3% от излъченото количество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е в непроменен вид.</w:t>
      </w:r>
    </w:p>
    <w:p w14:paraId="6D5F6BDB" w14:textId="77777777" w:rsidR="007044FD" w:rsidRPr="00546FCB" w:rsidRDefault="007044FD" w:rsidP="007044FD">
      <w:pPr>
        <w:pStyle w:val="BodyText"/>
        <w:spacing w:after="300" w:line="259" w:lineRule="exact"/>
        <w:rPr>
          <w:rFonts w:cs="Arial"/>
        </w:rPr>
      </w:pPr>
      <w:r w:rsidRPr="00546FCB">
        <w:rPr>
          <w:rFonts w:cs="Arial"/>
          <w:i/>
          <w:iCs/>
        </w:rPr>
        <w:t>Пациенти с чернодробни нарушения:</w:t>
      </w:r>
      <w:r w:rsidRPr="00546FCB">
        <w:rPr>
          <w:rFonts w:cs="Arial"/>
        </w:rPr>
        <w:t xml:space="preserve"> Времето на полуживот на активния метаболит МАА при пациенти с чернодробни нарушения е удължено около три пъти. При тези пациенти се препоръчва лечение с по-ниски дози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>.</w:t>
      </w:r>
    </w:p>
    <w:p w14:paraId="00B9B33D" w14:textId="77777777" w:rsidR="007044FD" w:rsidRPr="00546FCB" w:rsidRDefault="007044FD" w:rsidP="007044FD">
      <w:pPr>
        <w:pStyle w:val="BodyText"/>
        <w:spacing w:after="300" w:line="259" w:lineRule="exact"/>
        <w:rPr>
          <w:rFonts w:cs="Arial"/>
        </w:rPr>
      </w:pPr>
      <w:r w:rsidRPr="00546FCB">
        <w:rPr>
          <w:rFonts w:cs="Arial"/>
          <w:i/>
          <w:iCs/>
        </w:rPr>
        <w:t>Пациенти с бъбречни нарушения:</w:t>
      </w:r>
      <w:r w:rsidRPr="00546FCB">
        <w:rPr>
          <w:rFonts w:cs="Arial"/>
        </w:rPr>
        <w:t xml:space="preserve"> При пациенти с нарушена бъбречна функция се наблюдава понижена степен на елиминиране на някои метаболити. При тези пациенти се препоръчва лечение с по-ниски дози </w:t>
      </w: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>.</w:t>
      </w:r>
    </w:p>
    <w:p w14:paraId="272BE7A0" w14:textId="77777777" w:rsidR="007044FD" w:rsidRPr="007044FD" w:rsidRDefault="007044FD" w:rsidP="007044FD"/>
    <w:p w14:paraId="134A69A8" w14:textId="6F1DD63E" w:rsidR="002C50EE" w:rsidRDefault="002C50EE" w:rsidP="002C50EE">
      <w:pPr>
        <w:pStyle w:val="Heading2"/>
      </w:pPr>
      <w:r>
        <w:lastRenderedPageBreak/>
        <w:t>5.3. Предклинични данни за безопасност</w:t>
      </w:r>
    </w:p>
    <w:p w14:paraId="3077BF9D" w14:textId="77777777" w:rsidR="007044FD" w:rsidRPr="00546FCB" w:rsidRDefault="007044FD" w:rsidP="007044FD">
      <w:pPr>
        <w:pStyle w:val="BodyText"/>
        <w:spacing w:after="40" w:line="259" w:lineRule="exact"/>
        <w:rPr>
          <w:rFonts w:cs="Arial"/>
        </w:rPr>
      </w:pPr>
      <w:proofErr w:type="spellStart"/>
      <w:r w:rsidRPr="00546FCB">
        <w:rPr>
          <w:rFonts w:cs="Arial"/>
        </w:rPr>
        <w:t>Метамизол</w:t>
      </w:r>
      <w:proofErr w:type="spellEnd"/>
      <w:r w:rsidRPr="00546FCB">
        <w:rPr>
          <w:rFonts w:cs="Arial"/>
        </w:rPr>
        <w:t xml:space="preserve"> може да бъде отнесен към слаботоксичните вещества. При интравенозното му въвеждане средната летална доза за мишки е 2,389 </w:t>
      </w:r>
      <w:r w:rsidRPr="00546FCB">
        <w:rPr>
          <w:rFonts w:cs="Arial"/>
          <w:lang w:val="en-US" w:bidi="en-US"/>
        </w:rPr>
        <w:t xml:space="preserve">mg/kg, </w:t>
      </w:r>
      <w:r w:rsidRPr="00546FCB">
        <w:rPr>
          <w:rFonts w:cs="Arial"/>
        </w:rPr>
        <w:t xml:space="preserve">а за зайци 1300 </w:t>
      </w:r>
      <w:r w:rsidRPr="00546FCB">
        <w:rPr>
          <w:rFonts w:cs="Arial"/>
          <w:lang w:val="en-US" w:bidi="en-US"/>
        </w:rPr>
        <w:t xml:space="preserve">mg/kg. </w:t>
      </w:r>
      <w:r w:rsidRPr="00546FCB">
        <w:rPr>
          <w:rFonts w:cs="Arial"/>
        </w:rPr>
        <w:t>Средната ефективна доза за мишки по отношение на обезболяващия ефект е по-ниска от средната смъртна.</w:t>
      </w:r>
    </w:p>
    <w:p w14:paraId="7CFEB3B0" w14:textId="77777777" w:rsidR="007044FD" w:rsidRPr="00546FCB" w:rsidRDefault="007044FD" w:rsidP="007044FD">
      <w:pPr>
        <w:pStyle w:val="BodyText"/>
        <w:spacing w:after="40" w:line="259" w:lineRule="exact"/>
        <w:rPr>
          <w:rFonts w:cs="Arial"/>
        </w:rPr>
      </w:pPr>
      <w:r w:rsidRPr="00546FCB">
        <w:rPr>
          <w:rFonts w:cs="Arial"/>
        </w:rPr>
        <w:t xml:space="preserve">При изследване на </w:t>
      </w:r>
      <w:proofErr w:type="spellStart"/>
      <w:r w:rsidRPr="00546FCB">
        <w:rPr>
          <w:rFonts w:cs="Arial"/>
        </w:rPr>
        <w:t>субхроничната</w:t>
      </w:r>
      <w:proofErr w:type="spellEnd"/>
      <w:r w:rsidRPr="00546FCB">
        <w:rPr>
          <w:rFonts w:cs="Arial"/>
        </w:rPr>
        <w:t xml:space="preserve"> и хронична токсичност не се установяват клинични и биохимични нарушения.</w:t>
      </w:r>
    </w:p>
    <w:p w14:paraId="524055FB" w14:textId="77777777" w:rsidR="007044FD" w:rsidRPr="00546FCB" w:rsidRDefault="007044FD" w:rsidP="007044FD">
      <w:pPr>
        <w:pStyle w:val="BodyText"/>
        <w:spacing w:after="300" w:line="259" w:lineRule="exact"/>
        <w:rPr>
          <w:rFonts w:cs="Arial"/>
        </w:rPr>
      </w:pPr>
      <w:r w:rsidRPr="00546FCB">
        <w:rPr>
          <w:rFonts w:cs="Arial"/>
        </w:rPr>
        <w:t>Няма данни за тератогенно, канцерогенно или мутагенно действие.</w:t>
      </w:r>
    </w:p>
    <w:p w14:paraId="66B0F35F" w14:textId="77777777" w:rsidR="007044FD" w:rsidRPr="007044FD" w:rsidRDefault="007044FD" w:rsidP="007044FD"/>
    <w:p w14:paraId="28C40F19" w14:textId="092F5F85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56FC965E" w14:textId="77777777" w:rsidR="007044FD" w:rsidRPr="007044FD" w:rsidRDefault="007044FD" w:rsidP="007044FD">
      <w:pPr>
        <w:pStyle w:val="BodyText"/>
      </w:pPr>
      <w:r w:rsidRPr="007044FD">
        <w:t>СОФАРМА АД</w:t>
      </w:r>
    </w:p>
    <w:p w14:paraId="797022EA" w14:textId="444EA964" w:rsidR="007044FD" w:rsidRPr="007044FD" w:rsidRDefault="007044FD" w:rsidP="007044FD">
      <w:pPr>
        <w:pStyle w:val="BodyText"/>
      </w:pPr>
      <w:r w:rsidRPr="007044FD">
        <w:t xml:space="preserve">ул. </w:t>
      </w:r>
      <w:proofErr w:type="spellStart"/>
      <w:r w:rsidRPr="007044FD">
        <w:t>Илиенско</w:t>
      </w:r>
      <w:proofErr w:type="spellEnd"/>
      <w:r w:rsidRPr="007044FD">
        <w:t xml:space="preserve"> шосе 16,1220 София, България</w:t>
      </w:r>
    </w:p>
    <w:p w14:paraId="18C549C8" w14:textId="77777777" w:rsidR="007044FD" w:rsidRPr="007044FD" w:rsidRDefault="007044FD" w:rsidP="007044FD">
      <w:pPr>
        <w:pStyle w:val="BodyText"/>
        <w:spacing w:line="266" w:lineRule="exact"/>
        <w:rPr>
          <w:rFonts w:cs="Arial"/>
        </w:rPr>
      </w:pPr>
    </w:p>
    <w:p w14:paraId="04840D59" w14:textId="63AC3913" w:rsidR="002C50EE" w:rsidRDefault="002C50EE" w:rsidP="002C50EE">
      <w:pPr>
        <w:pStyle w:val="Heading1"/>
      </w:pPr>
      <w:r>
        <w:t>8. НОМЕР НА РАЗРЕШЕНИЕТО ЗА УПОТРЕБА</w:t>
      </w:r>
    </w:p>
    <w:p w14:paraId="61166950" w14:textId="6B864691" w:rsidR="007044FD" w:rsidRPr="007044FD" w:rsidRDefault="007044FD" w:rsidP="007044FD">
      <w:pPr>
        <w:pStyle w:val="BodyText"/>
      </w:pPr>
      <w:proofErr w:type="spellStart"/>
      <w:r w:rsidRPr="007044FD">
        <w:t>Per</w:t>
      </w:r>
      <w:proofErr w:type="spellEnd"/>
      <w:r w:rsidRPr="007044FD">
        <w:t>. №20010736</w:t>
      </w:r>
    </w:p>
    <w:p w14:paraId="5900CBF3" w14:textId="194E1D91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64D104F0" w14:textId="6E9A9174" w:rsidR="007044FD" w:rsidRPr="007044FD" w:rsidRDefault="007044FD" w:rsidP="007044FD">
      <w:pPr>
        <w:pStyle w:val="BodyText"/>
        <w:rPr>
          <w:lang w:val="en-US"/>
        </w:rPr>
      </w:pPr>
      <w:r>
        <w:rPr>
          <w:lang w:val="en-US"/>
        </w:rPr>
        <w:t>25.06.2001</w:t>
      </w:r>
    </w:p>
    <w:p w14:paraId="0E9D0119" w14:textId="7777777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1B802CD4" w14:textId="77777777" w:rsidR="007044FD" w:rsidRPr="007044FD" w:rsidRDefault="007044FD" w:rsidP="007044FD">
      <w:pPr>
        <w:pStyle w:val="BodyText"/>
      </w:pPr>
      <w:r w:rsidRPr="007044FD">
        <w:t>Януари 2020</w:t>
      </w:r>
    </w:p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9AF4" w14:textId="77777777" w:rsidR="002D1E96" w:rsidRDefault="002D1E96" w:rsidP="002D1E96">
      <w:pPr>
        <w:spacing w:after="0" w:line="240" w:lineRule="auto"/>
      </w:pPr>
      <w:r>
        <w:separator/>
      </w:r>
    </w:p>
  </w:endnote>
  <w:endnote w:type="continuationSeparator" w:id="0">
    <w:p w14:paraId="41F526C2" w14:textId="77777777" w:rsidR="002D1E96" w:rsidRDefault="002D1E96" w:rsidP="002D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8280F" w14:textId="77777777" w:rsidR="002D1E96" w:rsidRDefault="002D1E96" w:rsidP="002D1E96">
      <w:pPr>
        <w:spacing w:after="0" w:line="240" w:lineRule="auto"/>
      </w:pPr>
      <w:r>
        <w:separator/>
      </w:r>
    </w:p>
  </w:footnote>
  <w:footnote w:type="continuationSeparator" w:id="0">
    <w:p w14:paraId="0145D8CC" w14:textId="77777777" w:rsidR="002D1E96" w:rsidRDefault="002D1E96" w:rsidP="002D1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EA42AF5"/>
    <w:multiLevelType w:val="hybridMultilevel"/>
    <w:tmpl w:val="320C5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D1B23"/>
    <w:rsid w:val="002C50EE"/>
    <w:rsid w:val="002D1E96"/>
    <w:rsid w:val="003E3126"/>
    <w:rsid w:val="004D3DD4"/>
    <w:rsid w:val="00517A5B"/>
    <w:rsid w:val="00593A00"/>
    <w:rsid w:val="006158A1"/>
    <w:rsid w:val="00617B1F"/>
    <w:rsid w:val="00672487"/>
    <w:rsid w:val="00672600"/>
    <w:rsid w:val="00681D4A"/>
    <w:rsid w:val="00685882"/>
    <w:rsid w:val="007044FD"/>
    <w:rsid w:val="00814073"/>
    <w:rsid w:val="00826F0D"/>
    <w:rsid w:val="008C70A2"/>
    <w:rsid w:val="009773E4"/>
    <w:rsid w:val="00A20351"/>
    <w:rsid w:val="00AE2107"/>
    <w:rsid w:val="00B275A8"/>
    <w:rsid w:val="00BE6A40"/>
    <w:rsid w:val="00BF2600"/>
    <w:rsid w:val="00C33464"/>
    <w:rsid w:val="00C87E90"/>
    <w:rsid w:val="00D47A09"/>
    <w:rsid w:val="00DC5458"/>
    <w:rsid w:val="00EF7A47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84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D47A09"/>
    <w:pPr>
      <w:spacing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after="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odyTextChar">
    <w:name w:val="Body Text Char"/>
    <w:basedOn w:val="DefaultParagraphFont"/>
    <w:link w:val="BodyText"/>
    <w:rsid w:val="007044FD"/>
    <w:rPr>
      <w:rFonts w:ascii="Arial" w:eastAsia="Times New Roman" w:hAnsi="Arial" w:cs="Times New Roman"/>
      <w:lang w:val="bg-BG"/>
    </w:rPr>
  </w:style>
  <w:style w:type="paragraph" w:styleId="BodyText">
    <w:name w:val="Body Text"/>
    <w:basedOn w:val="Normal"/>
    <w:link w:val="BodyTextChar"/>
    <w:qFormat/>
    <w:rsid w:val="007044FD"/>
    <w:pPr>
      <w:widowControl w:val="0"/>
      <w:spacing w:after="0" w:line="240" w:lineRule="auto"/>
    </w:pPr>
    <w:rPr>
      <w:rFonts w:eastAsia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D47A09"/>
    <w:rPr>
      <w:rFonts w:ascii="Arial" w:hAnsi="Arial"/>
    </w:rPr>
  </w:style>
  <w:style w:type="table" w:styleId="TableGrid">
    <w:name w:val="Table Grid"/>
    <w:basedOn w:val="TableNormal"/>
    <w:uiPriority w:val="39"/>
    <w:rsid w:val="00D47A0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bg-BG" w:eastAsia="bg-BG" w:bidi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0">
    <w:name w:val="Heading #1_"/>
    <w:basedOn w:val="DefaultParagraphFont"/>
    <w:link w:val="Heading11"/>
    <w:rsid w:val="007044FD"/>
    <w:rPr>
      <w:rFonts w:ascii="Times New Roman" w:eastAsia="Times New Roman" w:hAnsi="Times New Roman" w:cs="Times New Roman"/>
      <w:b/>
      <w:bCs/>
    </w:rPr>
  </w:style>
  <w:style w:type="paragraph" w:customStyle="1" w:styleId="Heading11">
    <w:name w:val="Heading #1"/>
    <w:basedOn w:val="Normal"/>
    <w:link w:val="Heading10"/>
    <w:rsid w:val="007044FD"/>
    <w:pPr>
      <w:widowControl w:val="0"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1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E96"/>
    <w:rPr>
      <w:rFonts w:ascii="Arial" w:hAnsi="Arial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D1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E96"/>
    <w:rPr>
      <w:rFonts w:ascii="Arial" w:hAnsi="Arial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d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2302</Words>
  <Characters>13128</Characters>
  <Application>Microsoft Office Word</Application>
  <DocSecurity>0</DocSecurity>
  <Lines>109</Lines>
  <Paragraphs>30</Paragraphs>
  <ScaleCrop>false</ScaleCrop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2021-04-18T21:19:00Z</dcterms:created>
  <dcterms:modified xsi:type="dcterms:W3CDTF">2021-04-18T21:19:00Z</dcterms:modified>
</cp:coreProperties>
</file>