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5EC89F6" w:rsidR="00C40420" w:rsidRDefault="00DD466D" w:rsidP="004A448E">
      <w:pPr>
        <w:pStyle w:val="Heading1"/>
      </w:pPr>
      <w:r>
        <w:t>1.ИМЕ НА ЛЕКАРСТВЕНИЯ ПРОДУКТ</w:t>
      </w:r>
    </w:p>
    <w:p w14:paraId="1E7573D1" w14:textId="1AE8DD6A" w:rsidR="00D04E4F" w:rsidRDefault="00D04E4F" w:rsidP="00D04E4F"/>
    <w:p w14:paraId="22E2C5D6" w14:textId="77777777" w:rsidR="00D04E4F" w:rsidRPr="00D04E4F" w:rsidRDefault="00D04E4F" w:rsidP="00D04E4F">
      <w:pPr>
        <w:rPr>
          <w:sz w:val="24"/>
          <w:szCs w:val="24"/>
        </w:rPr>
      </w:pPr>
      <w:r w:rsidRPr="00D04E4F">
        <w:rPr>
          <w:lang w:eastAsia="bg-BG"/>
        </w:rPr>
        <w:t xml:space="preserve">Анастрокон 1 </w:t>
      </w:r>
      <w:r w:rsidRPr="00D04E4F">
        <w:rPr>
          <w:lang w:val="en-US"/>
        </w:rPr>
        <w:t>mg</w:t>
      </w:r>
      <w:r w:rsidRPr="00D04E4F">
        <w:t xml:space="preserve"> </w:t>
      </w:r>
      <w:r w:rsidRPr="00D04E4F">
        <w:rPr>
          <w:lang w:eastAsia="bg-BG"/>
        </w:rPr>
        <w:t>филмирани таблетки</w:t>
      </w:r>
    </w:p>
    <w:p w14:paraId="70CC7682" w14:textId="77777777" w:rsidR="00D04E4F" w:rsidRPr="00D04E4F" w:rsidRDefault="00D04E4F" w:rsidP="00D04E4F">
      <w:pPr>
        <w:rPr>
          <w:sz w:val="24"/>
          <w:szCs w:val="24"/>
        </w:rPr>
      </w:pPr>
      <w:proofErr w:type="spellStart"/>
      <w:r w:rsidRPr="00D04E4F">
        <w:rPr>
          <w:lang w:val="en-US"/>
        </w:rPr>
        <w:t>Anastrocon</w:t>
      </w:r>
      <w:proofErr w:type="spellEnd"/>
      <w:r w:rsidRPr="00D04E4F">
        <w:t xml:space="preserve"> </w:t>
      </w:r>
      <w:r w:rsidRPr="00D04E4F">
        <w:rPr>
          <w:lang w:eastAsia="bg-BG"/>
        </w:rPr>
        <w:t xml:space="preserve">1 </w:t>
      </w:r>
      <w:r w:rsidRPr="00D04E4F">
        <w:rPr>
          <w:lang w:val="en-US"/>
        </w:rPr>
        <w:t>mg</w:t>
      </w:r>
      <w:r w:rsidRPr="00D04E4F">
        <w:t xml:space="preserve"> </w:t>
      </w:r>
      <w:r w:rsidRPr="00D04E4F">
        <w:rPr>
          <w:lang w:val="en-US"/>
        </w:rPr>
        <w:t>film</w:t>
      </w:r>
      <w:r w:rsidRPr="00D04E4F">
        <w:t>-</w:t>
      </w:r>
      <w:r w:rsidRPr="00D04E4F">
        <w:rPr>
          <w:lang w:val="en-US"/>
        </w:rPr>
        <w:t>coated</w:t>
      </w:r>
      <w:r w:rsidRPr="00D04E4F">
        <w:t xml:space="preserve"> </w:t>
      </w:r>
      <w:r w:rsidRPr="00D04E4F">
        <w:rPr>
          <w:lang w:val="en-US"/>
        </w:rPr>
        <w:t>tablets</w:t>
      </w:r>
    </w:p>
    <w:p w14:paraId="7282DFBB" w14:textId="77777777" w:rsidR="00D04E4F" w:rsidRPr="00D04E4F" w:rsidRDefault="00D04E4F" w:rsidP="00D04E4F"/>
    <w:p w14:paraId="6920A680" w14:textId="6EEB5C46" w:rsidR="00C40420" w:rsidRDefault="00DD466D" w:rsidP="004A448E">
      <w:pPr>
        <w:pStyle w:val="Heading1"/>
      </w:pPr>
      <w:r>
        <w:t>2. КАЧЕСТВЕН И КОЛИЧЕСТВЕН СЪСТАВ</w:t>
      </w:r>
    </w:p>
    <w:p w14:paraId="563FDDCB" w14:textId="6B2C9208" w:rsidR="00D04E4F" w:rsidRDefault="00D04E4F" w:rsidP="00D04E4F"/>
    <w:p w14:paraId="13957ECE" w14:textId="46F019F5" w:rsidR="00D04E4F" w:rsidRPr="00D04E4F" w:rsidRDefault="00D04E4F" w:rsidP="00D04E4F">
      <w:pPr>
        <w:rPr>
          <w:sz w:val="24"/>
          <w:szCs w:val="24"/>
        </w:rPr>
      </w:pPr>
      <w:r w:rsidRPr="00D04E4F">
        <w:rPr>
          <w:lang w:eastAsia="bg-BG"/>
        </w:rPr>
        <w:t xml:space="preserve">Всяка филмирана таблетка съдържа 1 </w:t>
      </w:r>
      <w:r w:rsidRPr="00D04E4F">
        <w:rPr>
          <w:lang w:val="en-US"/>
        </w:rPr>
        <w:t>mg</w:t>
      </w:r>
      <w:r w:rsidRPr="00D04E4F">
        <w:t xml:space="preserve"> </w:t>
      </w:r>
      <w:r w:rsidRPr="00D04E4F">
        <w:rPr>
          <w:lang w:eastAsia="bg-BG"/>
        </w:rPr>
        <w:t xml:space="preserve">анастрозол </w:t>
      </w:r>
      <w:r w:rsidRPr="00D04E4F">
        <w:rPr>
          <w:i/>
          <w:iCs/>
        </w:rPr>
        <w:t>(</w:t>
      </w:r>
      <w:proofErr w:type="spellStart"/>
      <w:r w:rsidRPr="00D04E4F">
        <w:rPr>
          <w:i/>
          <w:iCs/>
          <w:lang w:val="en-US"/>
        </w:rPr>
        <w:t>anastrozole</w:t>
      </w:r>
      <w:proofErr w:type="spellEnd"/>
      <w:r w:rsidRPr="00D04E4F">
        <w:rPr>
          <w:i/>
          <w:iCs/>
        </w:rPr>
        <w:t>).</w:t>
      </w:r>
    </w:p>
    <w:p w14:paraId="729E4B9D" w14:textId="77777777" w:rsidR="00D04E4F" w:rsidRDefault="00D04E4F" w:rsidP="00D04E4F">
      <w:pPr>
        <w:rPr>
          <w:u w:val="single"/>
          <w:lang w:eastAsia="bg-BG"/>
        </w:rPr>
      </w:pPr>
    </w:p>
    <w:p w14:paraId="692E553D" w14:textId="04209FC7" w:rsidR="00D04E4F" w:rsidRPr="00D04E4F" w:rsidRDefault="00D04E4F" w:rsidP="00D04E4F">
      <w:pPr>
        <w:rPr>
          <w:sz w:val="24"/>
          <w:szCs w:val="24"/>
        </w:rPr>
      </w:pPr>
      <w:r w:rsidRPr="00D04E4F">
        <w:rPr>
          <w:u w:val="single"/>
          <w:lang w:eastAsia="bg-BG"/>
        </w:rPr>
        <w:t>Помощно вещество с известно действие.</w:t>
      </w:r>
    </w:p>
    <w:p w14:paraId="51D4F28D" w14:textId="76ABC6F6" w:rsidR="00D04E4F" w:rsidRDefault="00D04E4F" w:rsidP="00D04E4F">
      <w:pPr>
        <w:rPr>
          <w:lang w:eastAsia="bg-BG"/>
        </w:rPr>
      </w:pPr>
      <w:r w:rsidRPr="00D04E4F">
        <w:rPr>
          <w:lang w:eastAsia="bg-BG"/>
        </w:rPr>
        <w:t xml:space="preserve">Всяка филмирана таблетка съдържа 79,50 </w:t>
      </w:r>
      <w:r w:rsidRPr="00D04E4F">
        <w:rPr>
          <w:lang w:val="en-US"/>
        </w:rPr>
        <w:t>mg</w:t>
      </w:r>
      <w:r w:rsidRPr="00D04E4F">
        <w:rPr>
          <w:lang w:val="ru-RU"/>
        </w:rPr>
        <w:t xml:space="preserve"> </w:t>
      </w:r>
      <w:r w:rsidRPr="00D04E4F">
        <w:rPr>
          <w:lang w:eastAsia="bg-BG"/>
        </w:rPr>
        <w:t>лактоза монохидрат (вижте точка 6.1).</w:t>
      </w:r>
    </w:p>
    <w:p w14:paraId="36FCD59C" w14:textId="77777777" w:rsidR="00D04E4F" w:rsidRPr="00D04E4F" w:rsidRDefault="00D04E4F" w:rsidP="00D04E4F">
      <w:pPr>
        <w:rPr>
          <w:sz w:val="24"/>
          <w:szCs w:val="24"/>
        </w:rPr>
      </w:pPr>
    </w:p>
    <w:p w14:paraId="614984C4" w14:textId="14B91A1B" w:rsidR="008A6AF2" w:rsidRDefault="00DD466D" w:rsidP="002C50EE">
      <w:pPr>
        <w:pStyle w:val="Heading1"/>
      </w:pPr>
      <w:r>
        <w:t>3. ЛЕКАРСТВЕНА ФОРМА</w:t>
      </w:r>
    </w:p>
    <w:p w14:paraId="1C2B2A3E" w14:textId="3F005B59" w:rsidR="00D04E4F" w:rsidRDefault="00D04E4F" w:rsidP="00D04E4F"/>
    <w:p w14:paraId="14256233" w14:textId="77777777" w:rsidR="00D04E4F" w:rsidRPr="00D04E4F" w:rsidRDefault="00D04E4F" w:rsidP="00D04E4F">
      <w:pPr>
        <w:rPr>
          <w:sz w:val="24"/>
          <w:szCs w:val="24"/>
        </w:rPr>
      </w:pPr>
      <w:r w:rsidRPr="00D04E4F">
        <w:rPr>
          <w:lang w:eastAsia="bg-BG"/>
        </w:rPr>
        <w:t>Филмирана таблетка.</w:t>
      </w:r>
    </w:p>
    <w:p w14:paraId="7934F1B3" w14:textId="77777777" w:rsidR="00D04E4F" w:rsidRPr="00D04E4F" w:rsidRDefault="00D04E4F" w:rsidP="00D04E4F">
      <w:pPr>
        <w:rPr>
          <w:sz w:val="24"/>
          <w:szCs w:val="24"/>
        </w:rPr>
      </w:pPr>
      <w:r w:rsidRPr="00D04E4F">
        <w:rPr>
          <w:lang w:eastAsia="bg-BG"/>
        </w:rPr>
        <w:t>Бели, кръгли, двойно изпъкнали филмирани таблетки, с надпис "1" от едната страна и "Н" от другата страна.</w:t>
      </w:r>
    </w:p>
    <w:p w14:paraId="0BBD4279" w14:textId="77777777" w:rsidR="00D04E4F" w:rsidRPr="00D04E4F" w:rsidRDefault="00D04E4F" w:rsidP="00D04E4F"/>
    <w:p w14:paraId="490FC2C4" w14:textId="32682B15" w:rsidR="002C50EE" w:rsidRDefault="002C50EE" w:rsidP="002C50EE">
      <w:pPr>
        <w:pStyle w:val="Heading1"/>
      </w:pPr>
      <w:r>
        <w:t>4. КЛИНИЧНИ ДАННИ</w:t>
      </w:r>
    </w:p>
    <w:p w14:paraId="0C8E6903" w14:textId="7F29628D" w:rsidR="008134C8" w:rsidRDefault="002C50EE" w:rsidP="004A448E">
      <w:pPr>
        <w:pStyle w:val="Heading2"/>
      </w:pPr>
      <w:r>
        <w:t>4.1. Терапевтични показания</w:t>
      </w:r>
    </w:p>
    <w:p w14:paraId="71B6A53E" w14:textId="06EE3CA1" w:rsidR="00D04E4F" w:rsidRDefault="00D04E4F" w:rsidP="00D04E4F"/>
    <w:p w14:paraId="4561B2CF"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Лечение на напреднал карцином на гърдата при жени в постменопауза. Не е доказана ефективност при пациентки, отрицателни за естрогенови рецептори, освен ако преди това не са имали положителен клиничен отговор към тамоксифен.</w:t>
      </w:r>
    </w:p>
    <w:p w14:paraId="64CA6B8D" w14:textId="77777777" w:rsidR="00D04E4F" w:rsidRPr="00D04E4F" w:rsidRDefault="00D04E4F" w:rsidP="00D04E4F">
      <w:pPr>
        <w:spacing w:line="240" w:lineRule="auto"/>
        <w:rPr>
          <w:rFonts w:eastAsia="Times New Roman" w:cs="Arial"/>
          <w:color w:val="000000"/>
          <w:lang w:eastAsia="bg-BG"/>
        </w:rPr>
      </w:pPr>
    </w:p>
    <w:p w14:paraId="501580CC" w14:textId="692FAB45"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Адювантно лечение при постменопаузални жени, които са с инвазивен ранен карцином на гърдата и позитивни хормонални рецептори.</w:t>
      </w:r>
    </w:p>
    <w:p w14:paraId="3A1C427E" w14:textId="77777777" w:rsidR="00D04E4F" w:rsidRPr="00D04E4F" w:rsidRDefault="00D04E4F" w:rsidP="00D04E4F">
      <w:pPr>
        <w:spacing w:line="240" w:lineRule="auto"/>
        <w:rPr>
          <w:rFonts w:eastAsia="Times New Roman" w:cs="Arial"/>
          <w:color w:val="000000"/>
          <w:lang w:eastAsia="bg-BG"/>
        </w:rPr>
      </w:pPr>
    </w:p>
    <w:p w14:paraId="63FAE487" w14:textId="2B1E07C1"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Адювантно лечение на ранен карцином на гърдата при постменопаузални жени с позитивни хормонални рецептори, които са получавали 2 до 3 години адювантна терапия с тамоксифен.</w:t>
      </w:r>
    </w:p>
    <w:p w14:paraId="7C989EC3" w14:textId="77777777" w:rsidR="00D04E4F" w:rsidRPr="00D04E4F" w:rsidRDefault="00D04E4F" w:rsidP="00D04E4F"/>
    <w:p w14:paraId="30BE2C7B" w14:textId="59C5A5F3" w:rsidR="008134C8" w:rsidRDefault="002C50EE" w:rsidP="004A448E">
      <w:pPr>
        <w:pStyle w:val="Heading2"/>
      </w:pPr>
      <w:r>
        <w:t>4.2. Дозировка и начин на приложение</w:t>
      </w:r>
    </w:p>
    <w:p w14:paraId="0E7C5257" w14:textId="526F9F22" w:rsidR="00D04E4F" w:rsidRDefault="00D04E4F" w:rsidP="00D04E4F"/>
    <w:p w14:paraId="7019239C" w14:textId="77777777" w:rsidR="00D04E4F" w:rsidRPr="00D04E4F" w:rsidRDefault="00D04E4F" w:rsidP="00D04E4F">
      <w:pPr>
        <w:pStyle w:val="Heading3"/>
        <w:rPr>
          <w:rFonts w:eastAsia="Times New Roman"/>
          <w:u w:val="single"/>
        </w:rPr>
      </w:pPr>
      <w:r w:rsidRPr="00D04E4F">
        <w:rPr>
          <w:rFonts w:eastAsia="Times New Roman"/>
          <w:u w:val="single"/>
          <w:lang w:eastAsia="bg-BG"/>
        </w:rPr>
        <w:t>Дозировка</w:t>
      </w:r>
    </w:p>
    <w:p w14:paraId="5D67888C" w14:textId="77777777" w:rsidR="00D04E4F" w:rsidRPr="00D04E4F" w:rsidRDefault="00D04E4F" w:rsidP="00D04E4F">
      <w:pPr>
        <w:spacing w:line="240" w:lineRule="auto"/>
        <w:rPr>
          <w:rFonts w:eastAsia="Times New Roman" w:cs="Arial"/>
          <w:i/>
          <w:iCs/>
          <w:color w:val="000000"/>
          <w:lang w:eastAsia="bg-BG"/>
        </w:rPr>
      </w:pPr>
    </w:p>
    <w:p w14:paraId="0F780C7D" w14:textId="053BACF9"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Възрастни, включително пациентки в старческа възраст</w:t>
      </w:r>
    </w:p>
    <w:p w14:paraId="3D7E03F4" w14:textId="77777777" w:rsidR="00D04E4F" w:rsidRPr="00D04E4F" w:rsidRDefault="00D04E4F" w:rsidP="00D04E4F">
      <w:pPr>
        <w:spacing w:line="240" w:lineRule="auto"/>
        <w:rPr>
          <w:rFonts w:eastAsia="Times New Roman" w:cs="Arial"/>
          <w:color w:val="000000"/>
          <w:lang w:eastAsia="bg-BG"/>
        </w:rPr>
      </w:pPr>
    </w:p>
    <w:p w14:paraId="0B83D1C8" w14:textId="67EE569F"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Една таблетка от 1 </w:t>
      </w:r>
      <w:r w:rsidRPr="00D04E4F">
        <w:rPr>
          <w:rFonts w:eastAsia="Times New Roman" w:cs="Arial"/>
          <w:color w:val="000000"/>
          <w:lang w:val="en-US"/>
        </w:rPr>
        <w:t>mg</w:t>
      </w:r>
      <w:r w:rsidRPr="00D04E4F">
        <w:rPr>
          <w:rFonts w:eastAsia="Times New Roman" w:cs="Arial"/>
          <w:color w:val="000000"/>
          <w:lang w:val="ru-RU"/>
        </w:rPr>
        <w:t xml:space="preserve"> </w:t>
      </w:r>
      <w:r w:rsidRPr="00D04E4F">
        <w:rPr>
          <w:rFonts w:eastAsia="Times New Roman" w:cs="Arial"/>
          <w:color w:val="000000"/>
          <w:lang w:eastAsia="bg-BG"/>
        </w:rPr>
        <w:t>се приема перорално веднъж дневно.</w:t>
      </w:r>
    </w:p>
    <w:p w14:paraId="5B13AC3D"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lastRenderedPageBreak/>
        <w:t>При постменопаузални жени с позитивни хормонални рецептори, препоръчителната продължителност на адювантното лечение е 5 години.</w:t>
      </w:r>
    </w:p>
    <w:p w14:paraId="5DEDA940" w14:textId="77777777" w:rsidR="00D04E4F" w:rsidRPr="00D04E4F" w:rsidRDefault="00D04E4F" w:rsidP="00D04E4F">
      <w:pPr>
        <w:spacing w:line="240" w:lineRule="auto"/>
        <w:rPr>
          <w:rFonts w:eastAsia="Times New Roman" w:cs="Arial"/>
          <w:i/>
          <w:iCs/>
          <w:color w:val="000000"/>
          <w:lang w:eastAsia="bg-BG"/>
        </w:rPr>
      </w:pPr>
    </w:p>
    <w:p w14:paraId="1CC37E0C" w14:textId="266A7A97"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Пидиатрична популация</w:t>
      </w:r>
    </w:p>
    <w:p w14:paraId="185E085A" w14:textId="77777777" w:rsidR="00D04E4F" w:rsidRPr="00D04E4F" w:rsidRDefault="00D04E4F" w:rsidP="00D04E4F">
      <w:pPr>
        <w:spacing w:line="240" w:lineRule="auto"/>
        <w:rPr>
          <w:rFonts w:eastAsia="Times New Roman" w:cs="Arial"/>
          <w:color w:val="000000"/>
          <w:lang w:eastAsia="bg-BG"/>
        </w:rPr>
      </w:pPr>
    </w:p>
    <w:p w14:paraId="12C75CB1" w14:textId="0182F783"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Приложението на Анастрокон не се препоръчва при деца и юноши,</w:t>
      </w:r>
      <w:r w:rsidRPr="00D04E4F">
        <w:rPr>
          <w:rFonts w:eastAsia="Times New Roman" w:cs="Arial"/>
          <w:color w:val="000000"/>
          <w:lang w:val="ru-RU"/>
        </w:rPr>
        <w:t xml:space="preserve"> </w:t>
      </w:r>
      <w:r w:rsidRPr="00D04E4F">
        <w:rPr>
          <w:rFonts w:eastAsia="Times New Roman" w:cs="Arial"/>
          <w:color w:val="000000"/>
          <w:lang w:eastAsia="bg-BG"/>
        </w:rPr>
        <w:t>поради липса на достатъчно данни за ефикасността и безопасността му. (вж. точки 4.4 и 5.1).</w:t>
      </w:r>
    </w:p>
    <w:p w14:paraId="1F38B8CA" w14:textId="11571530" w:rsidR="00D04E4F" w:rsidRPr="00D04E4F" w:rsidRDefault="00D04E4F" w:rsidP="00D04E4F">
      <w:pPr>
        <w:rPr>
          <w:rFonts w:cs="Arial"/>
        </w:rPr>
      </w:pPr>
    </w:p>
    <w:p w14:paraId="1A569007" w14:textId="77777777"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Специални популации</w:t>
      </w:r>
    </w:p>
    <w:p w14:paraId="19495090" w14:textId="77777777" w:rsidR="00D04E4F" w:rsidRPr="00D04E4F" w:rsidRDefault="00D04E4F" w:rsidP="00D04E4F">
      <w:pPr>
        <w:spacing w:line="240" w:lineRule="auto"/>
        <w:rPr>
          <w:rFonts w:eastAsia="Times New Roman" w:cs="Arial"/>
          <w:i/>
          <w:iCs/>
          <w:color w:val="000000"/>
          <w:u w:val="single"/>
          <w:lang w:eastAsia="bg-BG"/>
        </w:rPr>
      </w:pPr>
    </w:p>
    <w:p w14:paraId="05E01A23" w14:textId="217B7BCE"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u w:val="single"/>
          <w:lang w:eastAsia="bg-BG"/>
        </w:rPr>
        <w:t>Бъбречна недостатъчност</w:t>
      </w:r>
    </w:p>
    <w:p w14:paraId="163B4F37" w14:textId="77777777" w:rsidR="00D04E4F" w:rsidRPr="00D04E4F" w:rsidRDefault="00D04E4F" w:rsidP="00D04E4F">
      <w:pPr>
        <w:spacing w:line="240" w:lineRule="auto"/>
        <w:rPr>
          <w:rFonts w:eastAsia="Times New Roman" w:cs="Arial"/>
          <w:color w:val="000000"/>
          <w:lang w:eastAsia="bg-BG"/>
        </w:rPr>
      </w:pPr>
    </w:p>
    <w:p w14:paraId="01577009" w14:textId="3D2381E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Не се препоръчва промяна на дозата при пациенти с леко до умерено бъбречно увреждане. При пациенти с бъбречна недостъчност приложението на Анастрокон трябва да се извършва с повишено внимание (вж. точки 4.4 и 5.2).</w:t>
      </w:r>
    </w:p>
    <w:p w14:paraId="393A1170" w14:textId="77777777" w:rsidR="00D04E4F" w:rsidRPr="00D04E4F" w:rsidRDefault="00D04E4F" w:rsidP="00D04E4F">
      <w:pPr>
        <w:spacing w:line="240" w:lineRule="auto"/>
        <w:rPr>
          <w:rFonts w:eastAsia="Times New Roman" w:cs="Arial"/>
          <w:i/>
          <w:iCs/>
          <w:color w:val="000000"/>
          <w:u w:val="single"/>
          <w:lang w:eastAsia="bg-BG"/>
        </w:rPr>
      </w:pPr>
    </w:p>
    <w:p w14:paraId="1271A90B" w14:textId="2CA4616B"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u w:val="single"/>
          <w:lang w:eastAsia="bg-BG"/>
        </w:rPr>
        <w:t>Чернодробно недостатъчност</w:t>
      </w:r>
    </w:p>
    <w:p w14:paraId="639097FC" w14:textId="77777777" w:rsidR="00D04E4F" w:rsidRPr="00D04E4F" w:rsidRDefault="00D04E4F" w:rsidP="00D04E4F">
      <w:pPr>
        <w:spacing w:line="240" w:lineRule="auto"/>
        <w:rPr>
          <w:rFonts w:eastAsia="Times New Roman" w:cs="Arial"/>
          <w:color w:val="000000"/>
          <w:lang w:eastAsia="bg-BG"/>
        </w:rPr>
      </w:pPr>
    </w:p>
    <w:p w14:paraId="2D6EBF13" w14:textId="296A06B8"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Не се препоръчва промяна на дозата при пациенти с леко чернодробно увреждане. Препоръчва се повишено внимание при пациенти с умерена до тежка чернодробна недостатъчност (вж. точка 4.4).</w:t>
      </w:r>
    </w:p>
    <w:p w14:paraId="55450490" w14:textId="77777777" w:rsidR="00D04E4F" w:rsidRPr="00D04E4F" w:rsidRDefault="00D04E4F" w:rsidP="00D04E4F">
      <w:pPr>
        <w:spacing w:line="240" w:lineRule="auto"/>
        <w:rPr>
          <w:rFonts w:eastAsia="Times New Roman" w:cs="Arial"/>
          <w:color w:val="000000"/>
          <w:u w:val="single"/>
          <w:lang w:eastAsia="bg-BG"/>
        </w:rPr>
      </w:pPr>
    </w:p>
    <w:p w14:paraId="0CA50419" w14:textId="03BBC36E" w:rsidR="00D04E4F" w:rsidRPr="00D04E4F" w:rsidRDefault="00D04E4F" w:rsidP="00D04E4F">
      <w:pPr>
        <w:pStyle w:val="Heading3"/>
        <w:rPr>
          <w:rFonts w:eastAsia="Times New Roman"/>
          <w:u w:val="single"/>
        </w:rPr>
      </w:pPr>
      <w:r w:rsidRPr="00D04E4F">
        <w:rPr>
          <w:rFonts w:eastAsia="Times New Roman"/>
          <w:u w:val="single"/>
          <w:lang w:eastAsia="bg-BG"/>
        </w:rPr>
        <w:t>Начин на приложение</w:t>
      </w:r>
    </w:p>
    <w:p w14:paraId="7776F38B" w14:textId="77777777" w:rsidR="00D04E4F" w:rsidRPr="00D04E4F" w:rsidRDefault="00D04E4F" w:rsidP="00D04E4F">
      <w:pPr>
        <w:spacing w:line="240" w:lineRule="auto"/>
        <w:rPr>
          <w:rFonts w:eastAsia="Times New Roman" w:cs="Arial"/>
          <w:color w:val="000000"/>
          <w:lang w:eastAsia="bg-BG"/>
        </w:rPr>
      </w:pPr>
    </w:p>
    <w:p w14:paraId="319AFA27" w14:textId="53CCEB9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Анастрокон трябва да се приема перорално.</w:t>
      </w:r>
    </w:p>
    <w:p w14:paraId="54D49CEA" w14:textId="77777777" w:rsidR="00D04E4F" w:rsidRPr="00D04E4F" w:rsidRDefault="00D04E4F" w:rsidP="00D04E4F"/>
    <w:p w14:paraId="28C984E8" w14:textId="1F644476" w:rsidR="008134C8" w:rsidRDefault="002C50EE" w:rsidP="004A448E">
      <w:pPr>
        <w:pStyle w:val="Heading2"/>
      </w:pPr>
      <w:r>
        <w:t>4.3. Противопоказания</w:t>
      </w:r>
    </w:p>
    <w:p w14:paraId="64A32DA5" w14:textId="631AF76B" w:rsidR="00D04E4F" w:rsidRDefault="00D04E4F" w:rsidP="00D04E4F"/>
    <w:p w14:paraId="66E32147"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Анастрокон е противопоказан при:</w:t>
      </w:r>
    </w:p>
    <w:p w14:paraId="155F9EC3" w14:textId="77777777" w:rsidR="00D04E4F" w:rsidRPr="00D04E4F" w:rsidRDefault="00D04E4F" w:rsidP="00D04E4F">
      <w:pPr>
        <w:pStyle w:val="ListParagraph"/>
        <w:numPr>
          <w:ilvl w:val="0"/>
          <w:numId w:val="36"/>
        </w:numPr>
        <w:spacing w:line="240" w:lineRule="auto"/>
        <w:rPr>
          <w:rFonts w:eastAsia="Times New Roman" w:cs="Arial"/>
          <w:color w:val="000000"/>
          <w:lang w:eastAsia="bg-BG"/>
        </w:rPr>
      </w:pPr>
      <w:r w:rsidRPr="00D04E4F">
        <w:rPr>
          <w:rFonts w:eastAsia="Times New Roman" w:cs="Arial"/>
          <w:color w:val="000000"/>
          <w:lang w:eastAsia="bg-BG"/>
        </w:rPr>
        <w:t>пременопаузални жени;</w:t>
      </w:r>
    </w:p>
    <w:p w14:paraId="432DB7E2" w14:textId="77777777" w:rsidR="00D04E4F" w:rsidRPr="00D04E4F" w:rsidRDefault="00D04E4F" w:rsidP="00D04E4F">
      <w:pPr>
        <w:pStyle w:val="ListParagraph"/>
        <w:numPr>
          <w:ilvl w:val="0"/>
          <w:numId w:val="36"/>
        </w:numPr>
        <w:spacing w:line="240" w:lineRule="auto"/>
        <w:rPr>
          <w:rFonts w:eastAsia="Times New Roman" w:cs="Arial"/>
          <w:color w:val="000000"/>
          <w:lang w:eastAsia="bg-BG"/>
        </w:rPr>
      </w:pPr>
      <w:r w:rsidRPr="00D04E4F">
        <w:rPr>
          <w:rFonts w:eastAsia="Times New Roman" w:cs="Arial"/>
          <w:color w:val="000000"/>
          <w:lang w:eastAsia="bg-BG"/>
        </w:rPr>
        <w:t>бременни и кърмачки;</w:t>
      </w:r>
    </w:p>
    <w:p w14:paraId="16BE0523" w14:textId="77777777" w:rsidR="00D04E4F" w:rsidRPr="00D04E4F" w:rsidRDefault="00D04E4F" w:rsidP="00D04E4F">
      <w:pPr>
        <w:pStyle w:val="ListParagraph"/>
        <w:numPr>
          <w:ilvl w:val="0"/>
          <w:numId w:val="36"/>
        </w:numPr>
        <w:spacing w:line="240" w:lineRule="auto"/>
        <w:rPr>
          <w:rFonts w:eastAsia="Times New Roman" w:cs="Arial"/>
          <w:color w:val="000000"/>
          <w:lang w:eastAsia="bg-BG"/>
        </w:rPr>
      </w:pPr>
      <w:r w:rsidRPr="00D04E4F">
        <w:rPr>
          <w:rFonts w:eastAsia="Times New Roman" w:cs="Arial"/>
          <w:color w:val="000000"/>
          <w:lang w:eastAsia="bg-BG"/>
        </w:rPr>
        <w:t xml:space="preserve">пациентки с тежко бъбречно увреждане (креатининов клирънс по-малък от 20 </w:t>
      </w:r>
      <w:r w:rsidRPr="00D04E4F">
        <w:rPr>
          <w:rFonts w:eastAsia="Times New Roman" w:cs="Arial"/>
          <w:color w:val="000000"/>
          <w:lang w:val="en-US"/>
        </w:rPr>
        <w:t>ml</w:t>
      </w:r>
      <w:r w:rsidRPr="00D04E4F">
        <w:rPr>
          <w:rFonts w:eastAsia="Times New Roman" w:cs="Arial"/>
          <w:color w:val="000000"/>
          <w:lang w:val="ru-RU"/>
        </w:rPr>
        <w:t>/</w:t>
      </w:r>
      <w:r w:rsidRPr="00D04E4F">
        <w:rPr>
          <w:rFonts w:eastAsia="Times New Roman" w:cs="Arial"/>
          <w:color w:val="000000"/>
          <w:lang w:val="en-US"/>
        </w:rPr>
        <w:t>min</w:t>
      </w:r>
      <w:r w:rsidRPr="00D04E4F">
        <w:rPr>
          <w:rFonts w:eastAsia="Times New Roman" w:cs="Arial"/>
          <w:color w:val="000000"/>
          <w:lang w:val="ru-RU"/>
        </w:rPr>
        <w:t>);</w:t>
      </w:r>
    </w:p>
    <w:p w14:paraId="215C9D79" w14:textId="77777777" w:rsidR="00D04E4F" w:rsidRPr="00D04E4F" w:rsidRDefault="00D04E4F" w:rsidP="00D04E4F">
      <w:pPr>
        <w:pStyle w:val="ListParagraph"/>
        <w:numPr>
          <w:ilvl w:val="0"/>
          <w:numId w:val="36"/>
        </w:numPr>
        <w:spacing w:line="240" w:lineRule="auto"/>
        <w:rPr>
          <w:rFonts w:eastAsia="Times New Roman" w:cs="Arial"/>
          <w:color w:val="000000"/>
          <w:lang w:eastAsia="bg-BG"/>
        </w:rPr>
      </w:pPr>
      <w:r w:rsidRPr="00D04E4F">
        <w:rPr>
          <w:rFonts w:eastAsia="Times New Roman" w:cs="Arial"/>
          <w:color w:val="000000"/>
          <w:lang w:eastAsia="bg-BG"/>
        </w:rPr>
        <w:t>пациентки с умерено до тежко чернодробно увреждане;</w:t>
      </w:r>
    </w:p>
    <w:p w14:paraId="2E45D9D5" w14:textId="22F16280" w:rsidR="00D04E4F" w:rsidRPr="00D04E4F" w:rsidRDefault="00D04E4F" w:rsidP="00D04E4F">
      <w:pPr>
        <w:pStyle w:val="ListParagraph"/>
        <w:numPr>
          <w:ilvl w:val="0"/>
          <w:numId w:val="36"/>
        </w:numPr>
        <w:spacing w:line="240" w:lineRule="auto"/>
        <w:rPr>
          <w:rFonts w:eastAsia="Times New Roman" w:cs="Arial"/>
          <w:color w:val="000000"/>
          <w:lang w:eastAsia="bg-BG"/>
        </w:rPr>
      </w:pPr>
      <w:r w:rsidRPr="00D04E4F">
        <w:rPr>
          <w:rFonts w:eastAsia="Times New Roman" w:cs="Arial"/>
          <w:color w:val="000000"/>
          <w:lang w:eastAsia="bg-BG"/>
        </w:rPr>
        <w:t>пациентки с анамнеза за свръхчувствителност към анастрозол или някое от помощни вещества отбелязани в точка 6.1.</w:t>
      </w:r>
    </w:p>
    <w:p w14:paraId="1082EF4E" w14:textId="77777777" w:rsidR="00D04E4F" w:rsidRPr="00D04E4F" w:rsidRDefault="00D04E4F" w:rsidP="00D04E4F">
      <w:pPr>
        <w:spacing w:line="240" w:lineRule="auto"/>
        <w:rPr>
          <w:rFonts w:eastAsia="Times New Roman" w:cs="Arial"/>
          <w:color w:val="000000"/>
          <w:lang w:eastAsia="bg-BG"/>
        </w:rPr>
      </w:pPr>
    </w:p>
    <w:p w14:paraId="48C29A71" w14:textId="15163884"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Естроген-съдържащи препарати не трябва да се прилагат едновременно с Анастрокон, защото те ще блокират фармакологичното му действие.</w:t>
      </w:r>
    </w:p>
    <w:p w14:paraId="0608A392" w14:textId="77777777" w:rsidR="00D04E4F" w:rsidRPr="00D04E4F" w:rsidRDefault="00D04E4F" w:rsidP="00D04E4F">
      <w:pPr>
        <w:spacing w:line="240" w:lineRule="auto"/>
        <w:rPr>
          <w:rFonts w:eastAsia="Times New Roman" w:cs="Arial"/>
          <w:color w:val="000000"/>
          <w:lang w:eastAsia="bg-BG"/>
        </w:rPr>
      </w:pPr>
    </w:p>
    <w:p w14:paraId="6CABC7A0" w14:textId="0A23448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Едновременно лечение с тамоксифен (вж. точка 4.5).</w:t>
      </w:r>
    </w:p>
    <w:p w14:paraId="1C92B3F7" w14:textId="77777777" w:rsidR="00D04E4F" w:rsidRPr="00D04E4F" w:rsidRDefault="00D04E4F" w:rsidP="00D04E4F"/>
    <w:p w14:paraId="212F509C" w14:textId="6725021E" w:rsidR="004F498A" w:rsidRDefault="002C50EE" w:rsidP="004A448E">
      <w:pPr>
        <w:pStyle w:val="Heading2"/>
      </w:pPr>
      <w:r>
        <w:t>4.4. Специални предупреждения и предпазни мерки при употреба</w:t>
      </w:r>
    </w:p>
    <w:p w14:paraId="11CF29BE" w14:textId="538126A1" w:rsidR="00D04E4F" w:rsidRDefault="00D04E4F" w:rsidP="00D04E4F"/>
    <w:p w14:paraId="67AFBF03" w14:textId="77777777"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Общи</w:t>
      </w:r>
    </w:p>
    <w:p w14:paraId="3C02E48B" w14:textId="77777777" w:rsidR="00D04E4F" w:rsidRPr="00D04E4F" w:rsidRDefault="00D04E4F" w:rsidP="00D04E4F">
      <w:pPr>
        <w:spacing w:line="240" w:lineRule="auto"/>
        <w:rPr>
          <w:rFonts w:eastAsia="Times New Roman" w:cs="Arial"/>
          <w:color w:val="000000"/>
          <w:lang w:eastAsia="bg-BG"/>
        </w:rPr>
      </w:pPr>
    </w:p>
    <w:p w14:paraId="5C3FB6BF" w14:textId="47A264D4"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Анастрокон не трябва да се прилага при предменопазуални жени. Менопаузата трябва да се потвърди биохимично (лутеинизиращ хормон </w:t>
      </w:r>
      <w:r w:rsidRPr="00D04E4F">
        <w:rPr>
          <w:rFonts w:eastAsia="Times New Roman" w:cs="Arial"/>
          <w:color w:val="000000"/>
          <w:lang w:val="ru-RU"/>
        </w:rPr>
        <w:t>[</w:t>
      </w:r>
      <w:r w:rsidRPr="00D04E4F">
        <w:rPr>
          <w:rFonts w:eastAsia="Times New Roman" w:cs="Arial"/>
          <w:color w:val="000000"/>
          <w:lang w:val="en-US"/>
        </w:rPr>
        <w:t>LH</w:t>
      </w:r>
      <w:r w:rsidRPr="00D04E4F">
        <w:rPr>
          <w:rFonts w:eastAsia="Times New Roman" w:cs="Arial"/>
          <w:color w:val="000000"/>
          <w:lang w:val="ru-RU"/>
        </w:rPr>
        <w:t xml:space="preserve">], </w:t>
      </w:r>
      <w:r w:rsidRPr="00D04E4F">
        <w:rPr>
          <w:rFonts w:eastAsia="Times New Roman" w:cs="Arial"/>
          <w:color w:val="000000"/>
          <w:lang w:eastAsia="bg-BG"/>
        </w:rPr>
        <w:t xml:space="preserve">фоликулостимулиращ хормон </w:t>
      </w:r>
      <w:r w:rsidRPr="00D04E4F">
        <w:rPr>
          <w:rFonts w:eastAsia="Times New Roman" w:cs="Arial"/>
          <w:color w:val="000000"/>
          <w:lang w:val="ru-RU"/>
        </w:rPr>
        <w:t>[</w:t>
      </w:r>
      <w:r w:rsidRPr="00D04E4F">
        <w:rPr>
          <w:rFonts w:eastAsia="Times New Roman" w:cs="Arial"/>
          <w:color w:val="000000"/>
          <w:lang w:val="en-US"/>
        </w:rPr>
        <w:t>FSH</w:t>
      </w:r>
      <w:r w:rsidRPr="00D04E4F">
        <w:rPr>
          <w:rFonts w:eastAsia="Times New Roman" w:cs="Arial"/>
          <w:color w:val="000000"/>
          <w:lang w:val="ru-RU"/>
        </w:rPr>
        <w:t xml:space="preserve">], </w:t>
      </w:r>
      <w:r w:rsidRPr="00D04E4F">
        <w:rPr>
          <w:rFonts w:eastAsia="Times New Roman" w:cs="Arial"/>
          <w:color w:val="000000"/>
          <w:lang w:eastAsia="bg-BG"/>
        </w:rPr>
        <w:t xml:space="preserve">и/или нивата на естрадиол) при всяка пациентка, при която има съмнение относно </w:t>
      </w:r>
      <w:r w:rsidRPr="00D04E4F">
        <w:rPr>
          <w:rFonts w:eastAsia="Times New Roman" w:cs="Arial"/>
          <w:color w:val="000000"/>
          <w:lang w:eastAsia="bg-BG"/>
        </w:rPr>
        <w:lastRenderedPageBreak/>
        <w:t xml:space="preserve">менопаузалния статус. Няма данни подкрепящи употребата на Анастрокон с аналози на </w:t>
      </w:r>
      <w:r w:rsidRPr="00D04E4F">
        <w:rPr>
          <w:rFonts w:eastAsia="Times New Roman" w:cs="Arial"/>
          <w:color w:val="000000"/>
          <w:lang w:val="en-US"/>
        </w:rPr>
        <w:t>LHRH</w:t>
      </w:r>
      <w:r w:rsidRPr="00D04E4F">
        <w:rPr>
          <w:rFonts w:eastAsia="Times New Roman" w:cs="Arial"/>
          <w:color w:val="000000"/>
          <w:lang w:val="ru-RU"/>
        </w:rPr>
        <w:t>.</w:t>
      </w:r>
    </w:p>
    <w:p w14:paraId="534CE8B5" w14:textId="77777777" w:rsidR="00D04E4F" w:rsidRPr="00D04E4F" w:rsidRDefault="00D04E4F" w:rsidP="00D04E4F">
      <w:pPr>
        <w:spacing w:line="240" w:lineRule="auto"/>
        <w:rPr>
          <w:rFonts w:eastAsia="Times New Roman" w:cs="Arial"/>
          <w:color w:val="000000"/>
          <w:lang w:eastAsia="bg-BG"/>
        </w:rPr>
      </w:pPr>
    </w:p>
    <w:p w14:paraId="1352A35E" w14:textId="560685EE"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Едновременното приложение на тамоксифен или естроген-съдържаща терапия и Озолан трябва да се избягва, тъй като това може да отслаби фармакологичното му действие (вж. точки 4.5 и 5.1).</w:t>
      </w:r>
    </w:p>
    <w:p w14:paraId="2D520104" w14:textId="77777777" w:rsidR="00D04E4F" w:rsidRPr="00D04E4F" w:rsidRDefault="00D04E4F" w:rsidP="00D04E4F">
      <w:pPr>
        <w:spacing w:line="240" w:lineRule="auto"/>
        <w:rPr>
          <w:rFonts w:eastAsia="Times New Roman" w:cs="Arial"/>
          <w:i/>
          <w:iCs/>
          <w:color w:val="000000"/>
          <w:lang w:eastAsia="bg-BG"/>
        </w:rPr>
      </w:pPr>
    </w:p>
    <w:p w14:paraId="645208CA" w14:textId="48883B26"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Ефекти върху костната минерална плътност</w:t>
      </w:r>
    </w:p>
    <w:p w14:paraId="48BA5221" w14:textId="77777777" w:rsidR="00D04E4F" w:rsidRPr="00D04E4F" w:rsidRDefault="00D04E4F" w:rsidP="00D04E4F">
      <w:pPr>
        <w:spacing w:line="240" w:lineRule="auto"/>
        <w:rPr>
          <w:rFonts w:eastAsia="Times New Roman" w:cs="Arial"/>
          <w:color w:val="000000"/>
          <w:lang w:eastAsia="bg-BG"/>
        </w:rPr>
      </w:pPr>
    </w:p>
    <w:p w14:paraId="3A281DB3" w14:textId="3DFDB29F"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Тъй като Анастрокон понижава нивата на циркулиращия естроген, това може да предизвика понижаване на костната минерална плътност с последващ повишен риск от</w:t>
      </w:r>
      <w:r w:rsidRPr="00D04E4F">
        <w:rPr>
          <w:rFonts w:eastAsia="Times New Roman" w:cs="Arial"/>
          <w:b/>
          <w:bCs/>
          <w:color w:val="000000"/>
          <w:lang w:eastAsia="bg-BG"/>
        </w:rPr>
        <w:t xml:space="preserve"> </w:t>
      </w:r>
      <w:r w:rsidRPr="00D04E4F">
        <w:rPr>
          <w:rFonts w:eastAsia="Times New Roman" w:cs="Arial"/>
          <w:color w:val="000000"/>
          <w:lang w:eastAsia="bg-BG"/>
        </w:rPr>
        <w:t>фрактури (вж. точка 4.8).</w:t>
      </w:r>
    </w:p>
    <w:p w14:paraId="6EA1D4C4" w14:textId="77777777" w:rsidR="00D04E4F" w:rsidRPr="00D04E4F" w:rsidRDefault="00D04E4F" w:rsidP="00D04E4F">
      <w:pPr>
        <w:rPr>
          <w:rFonts w:eastAsia="Times New Roman" w:cs="Arial"/>
          <w:color w:val="000000"/>
          <w:lang w:eastAsia="bg-BG"/>
        </w:rPr>
      </w:pPr>
    </w:p>
    <w:p w14:paraId="1CB3C8B4" w14:textId="7918C5B4" w:rsidR="00D04E4F" w:rsidRPr="00D04E4F" w:rsidRDefault="00D04E4F" w:rsidP="00D04E4F">
      <w:pPr>
        <w:rPr>
          <w:rFonts w:eastAsia="Times New Roman" w:cs="Arial"/>
          <w:color w:val="000000"/>
          <w:lang w:eastAsia="bg-BG"/>
        </w:rPr>
      </w:pPr>
      <w:r w:rsidRPr="00D04E4F">
        <w:rPr>
          <w:rFonts w:eastAsia="Times New Roman" w:cs="Arial"/>
          <w:color w:val="000000"/>
          <w:lang w:eastAsia="bg-BG"/>
        </w:rPr>
        <w:t>При жени с остеопороза или рискови за остеопороза костната минерална плътност трябва</w:t>
      </w:r>
      <w:r w:rsidRPr="00D04E4F">
        <w:rPr>
          <w:rFonts w:eastAsia="Times New Roman" w:cs="Arial"/>
          <w:b/>
          <w:bCs/>
          <w:color w:val="000000"/>
          <w:lang w:eastAsia="bg-BG"/>
        </w:rPr>
        <w:t xml:space="preserve"> </w:t>
      </w:r>
      <w:r w:rsidRPr="00D04E4F">
        <w:rPr>
          <w:rFonts w:eastAsia="Times New Roman" w:cs="Arial"/>
          <w:color w:val="000000"/>
          <w:lang w:eastAsia="bg-BG"/>
        </w:rPr>
        <w:t>да бъде оценена при започване на лечението и на редовни интервали след това.</w:t>
      </w:r>
    </w:p>
    <w:p w14:paraId="4665875F" w14:textId="40072074" w:rsidR="00D04E4F" w:rsidRPr="00D04E4F" w:rsidRDefault="00D04E4F" w:rsidP="00D04E4F">
      <w:pPr>
        <w:rPr>
          <w:rFonts w:eastAsia="Times New Roman" w:cs="Arial"/>
          <w:color w:val="000000"/>
          <w:lang w:eastAsia="bg-BG"/>
        </w:rPr>
      </w:pPr>
    </w:p>
    <w:p w14:paraId="15A0DA76"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Лечението или профилактиката на остеопорозата трябва да се започнат, когато е необходимо и внимателно да се проследяват. Прилагането на специфично лечение, например бифосфонати, може да спре понататъшната загуба на костна плътност, предизвикана от Анастрокон при постменопаузални жени и трябва да се има предвид (вж. точка 4.8).</w:t>
      </w:r>
    </w:p>
    <w:p w14:paraId="3EBC6F47" w14:textId="77777777" w:rsidR="00D04E4F" w:rsidRPr="00D04E4F" w:rsidRDefault="00D04E4F" w:rsidP="00D04E4F">
      <w:pPr>
        <w:spacing w:line="240" w:lineRule="auto"/>
        <w:rPr>
          <w:rFonts w:eastAsia="Times New Roman" w:cs="Arial"/>
          <w:i/>
          <w:iCs/>
          <w:color w:val="000000"/>
          <w:lang w:eastAsia="bg-BG"/>
        </w:rPr>
      </w:pPr>
    </w:p>
    <w:p w14:paraId="56E9A2BA" w14:textId="06D1EEA2"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Чернодробна недостатъчност</w:t>
      </w:r>
    </w:p>
    <w:p w14:paraId="2188F85C" w14:textId="77777777" w:rsidR="00D04E4F" w:rsidRPr="00D04E4F" w:rsidRDefault="00D04E4F" w:rsidP="00D04E4F">
      <w:pPr>
        <w:spacing w:line="240" w:lineRule="auto"/>
        <w:rPr>
          <w:rFonts w:eastAsia="Times New Roman" w:cs="Arial"/>
          <w:color w:val="000000"/>
          <w:lang w:eastAsia="bg-BG"/>
        </w:rPr>
      </w:pPr>
    </w:p>
    <w:p w14:paraId="5C14ACCF" w14:textId="5E05D9FF"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Анастрокон не е проучван при пациентки с рак на гърдата с умерено или тежко чернодробно увреждане. Експозицията на анастрозол може да се повиши при субекти с чернодробно увреждане (вж. точка 5.2); Анастрокон трябва да се прилага с повишено внимание при пациенти с умерено и тежко чернодробно увреждане (вж. точка 4.2). Лечението трябва да се основава на оценка на съотношението полза-риск за всеки отделен пациент.</w:t>
      </w:r>
    </w:p>
    <w:p w14:paraId="6112081C" w14:textId="77777777" w:rsidR="00D04E4F" w:rsidRPr="00D04E4F" w:rsidRDefault="00D04E4F" w:rsidP="00D04E4F">
      <w:pPr>
        <w:spacing w:line="240" w:lineRule="auto"/>
        <w:rPr>
          <w:rFonts w:eastAsia="Times New Roman" w:cs="Arial"/>
          <w:color w:val="000000"/>
          <w:lang w:eastAsia="bg-BG"/>
        </w:rPr>
      </w:pPr>
    </w:p>
    <w:p w14:paraId="203668FA" w14:textId="1EACAA68"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Няма данни за безопасното приложение на Анастрокон при пациентки с умерено и тежко чернодробно увреждане или тежко разстройство в бъбречната функция (креатининов клирънс под 20 </w:t>
      </w:r>
      <w:r w:rsidRPr="00D04E4F">
        <w:rPr>
          <w:rFonts w:eastAsia="Times New Roman" w:cs="Arial"/>
          <w:color w:val="000000"/>
          <w:lang w:val="en-US"/>
        </w:rPr>
        <w:t>ml</w:t>
      </w:r>
      <w:r w:rsidRPr="00D04E4F">
        <w:rPr>
          <w:rFonts w:eastAsia="Times New Roman" w:cs="Arial"/>
          <w:color w:val="000000"/>
          <w:lang w:val="ru-RU"/>
        </w:rPr>
        <w:t>/</w:t>
      </w:r>
      <w:r w:rsidRPr="00D04E4F">
        <w:rPr>
          <w:rFonts w:eastAsia="Times New Roman" w:cs="Arial"/>
          <w:color w:val="000000"/>
          <w:lang w:val="en-US"/>
        </w:rPr>
        <w:t>min</w:t>
      </w:r>
      <w:r w:rsidRPr="00D04E4F">
        <w:rPr>
          <w:rFonts w:eastAsia="Times New Roman" w:cs="Arial"/>
          <w:color w:val="000000"/>
          <w:lang w:val="ru-RU"/>
        </w:rPr>
        <w:t>).</w:t>
      </w:r>
    </w:p>
    <w:p w14:paraId="77FFBE48" w14:textId="77777777" w:rsidR="00D04E4F" w:rsidRPr="00D04E4F" w:rsidRDefault="00D04E4F" w:rsidP="00D04E4F">
      <w:pPr>
        <w:spacing w:line="240" w:lineRule="auto"/>
        <w:rPr>
          <w:rFonts w:eastAsia="Times New Roman" w:cs="Arial"/>
          <w:i/>
          <w:iCs/>
          <w:color w:val="000000"/>
          <w:lang w:eastAsia="bg-BG"/>
        </w:rPr>
      </w:pPr>
    </w:p>
    <w:p w14:paraId="62660840" w14:textId="0BCDFA15"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Бъбречна недостатъчност</w:t>
      </w:r>
    </w:p>
    <w:p w14:paraId="4573B83C" w14:textId="77777777" w:rsidR="00D04E4F" w:rsidRPr="00D04E4F" w:rsidRDefault="00D04E4F" w:rsidP="00D04E4F">
      <w:pPr>
        <w:spacing w:line="240" w:lineRule="auto"/>
        <w:rPr>
          <w:rFonts w:eastAsia="Times New Roman" w:cs="Arial"/>
          <w:color w:val="000000"/>
          <w:lang w:eastAsia="bg-BG"/>
        </w:rPr>
      </w:pPr>
    </w:p>
    <w:p w14:paraId="7F575963" w14:textId="2933DB60"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Анастрокон не е проучван при пациентки с рак на гърдата с тежко бъбречно увеждане или тежко разстройство в бъбречната функция (креатининов клирънс под 20 </w:t>
      </w:r>
      <w:r w:rsidRPr="00D04E4F">
        <w:rPr>
          <w:rFonts w:eastAsia="Times New Roman" w:cs="Arial"/>
          <w:color w:val="000000"/>
          <w:lang w:val="en-US"/>
        </w:rPr>
        <w:t>ml</w:t>
      </w:r>
      <w:r w:rsidRPr="00D04E4F">
        <w:rPr>
          <w:rFonts w:eastAsia="Times New Roman" w:cs="Arial"/>
          <w:color w:val="000000"/>
          <w:lang w:val="ru-RU"/>
        </w:rPr>
        <w:t>/</w:t>
      </w:r>
      <w:r w:rsidRPr="00D04E4F">
        <w:rPr>
          <w:rFonts w:eastAsia="Times New Roman" w:cs="Arial"/>
          <w:color w:val="000000"/>
          <w:lang w:val="en-US"/>
        </w:rPr>
        <w:t>min</w:t>
      </w:r>
      <w:r w:rsidRPr="00D04E4F">
        <w:rPr>
          <w:rFonts w:eastAsia="Times New Roman" w:cs="Arial"/>
          <w:color w:val="000000"/>
          <w:lang w:val="ru-RU"/>
        </w:rPr>
        <w:t xml:space="preserve">) </w:t>
      </w:r>
      <w:r w:rsidRPr="00D04E4F">
        <w:rPr>
          <w:rFonts w:eastAsia="Times New Roman" w:cs="Arial"/>
          <w:color w:val="000000"/>
          <w:lang w:eastAsia="bg-BG"/>
        </w:rPr>
        <w:t>и трябва да се прилага с особено внимание (вж. точка 4.2).</w:t>
      </w:r>
    </w:p>
    <w:p w14:paraId="6C2B0EFC" w14:textId="77777777" w:rsidR="00D04E4F" w:rsidRPr="00D04E4F" w:rsidRDefault="00D04E4F" w:rsidP="00D04E4F">
      <w:pPr>
        <w:spacing w:line="240" w:lineRule="auto"/>
        <w:rPr>
          <w:rFonts w:eastAsia="Times New Roman" w:cs="Arial"/>
          <w:color w:val="000000"/>
          <w:u w:val="single"/>
          <w:lang w:eastAsia="bg-BG"/>
        </w:rPr>
      </w:pPr>
    </w:p>
    <w:p w14:paraId="550D1882" w14:textId="036F9EC8" w:rsidR="00D04E4F" w:rsidRPr="00D04E4F" w:rsidRDefault="00D04E4F" w:rsidP="00D04E4F">
      <w:pPr>
        <w:spacing w:line="240" w:lineRule="auto"/>
        <w:rPr>
          <w:rFonts w:eastAsia="Times New Roman" w:cs="Arial"/>
          <w:sz w:val="24"/>
          <w:szCs w:val="24"/>
        </w:rPr>
      </w:pPr>
      <w:r w:rsidRPr="00D04E4F">
        <w:rPr>
          <w:rFonts w:eastAsia="Times New Roman" w:cs="Arial"/>
          <w:color w:val="000000"/>
          <w:u w:val="single"/>
          <w:lang w:eastAsia="bg-BG"/>
        </w:rPr>
        <w:t>Педиатрична популация</w:t>
      </w:r>
    </w:p>
    <w:p w14:paraId="29D9842A" w14:textId="77777777" w:rsidR="00D04E4F" w:rsidRPr="00D04E4F" w:rsidRDefault="00D04E4F" w:rsidP="00D04E4F">
      <w:pPr>
        <w:spacing w:line="240" w:lineRule="auto"/>
        <w:rPr>
          <w:rFonts w:eastAsia="Times New Roman" w:cs="Arial"/>
          <w:color w:val="000000"/>
          <w:lang w:eastAsia="bg-BG"/>
        </w:rPr>
      </w:pPr>
    </w:p>
    <w:p w14:paraId="727222A4" w14:textId="4AEAB974"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Анастрокон не се препоръчва за употреба при деца и юноши, тъй като безопасността и ефикасността му не са установени в тази група пациенти (вж. точка 5.1).</w:t>
      </w:r>
    </w:p>
    <w:p w14:paraId="1FA7F19B"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Анастрозол не трябва да се използва при момчета с дефицит на растежен хормон, като добавка към лечението с хормон на растежа. В основното клинично проучване не е демонстрирана ефикасността и не е доказана безопасността на приложението му (вж. точка 5.1). Тъй като анастрозол понижава нивата на естрадиол, Анастрокон не трябва да се използва при момичета с дефецит на растежен хормон като добавка към лечението с </w:t>
      </w:r>
      <w:r w:rsidRPr="00D04E4F">
        <w:rPr>
          <w:rFonts w:eastAsia="Times New Roman" w:cs="Arial"/>
          <w:color w:val="000000"/>
          <w:lang w:eastAsia="bg-BG"/>
        </w:rPr>
        <w:lastRenderedPageBreak/>
        <w:t>хормон на растежа. Дългосрочни данни за безопасността при деца и юноши не са налични.</w:t>
      </w:r>
    </w:p>
    <w:p w14:paraId="32A674F5" w14:textId="77777777" w:rsidR="00D04E4F" w:rsidRPr="00D04E4F" w:rsidRDefault="00D04E4F" w:rsidP="00D04E4F">
      <w:pPr>
        <w:spacing w:line="240" w:lineRule="auto"/>
        <w:rPr>
          <w:rFonts w:eastAsia="Times New Roman" w:cs="Arial"/>
          <w:i/>
          <w:iCs/>
          <w:color w:val="000000"/>
          <w:lang w:eastAsia="bg-BG"/>
        </w:rPr>
      </w:pPr>
    </w:p>
    <w:p w14:paraId="08EC7CE3" w14:textId="18AFFDC0"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Свръхчувствителност към лактоза</w:t>
      </w:r>
    </w:p>
    <w:p w14:paraId="0D05E715" w14:textId="77777777" w:rsidR="00D04E4F" w:rsidRPr="00D04E4F" w:rsidRDefault="00D04E4F" w:rsidP="00D04E4F">
      <w:pPr>
        <w:spacing w:line="240" w:lineRule="auto"/>
        <w:rPr>
          <w:rFonts w:eastAsia="Times New Roman" w:cs="Arial"/>
          <w:color w:val="000000"/>
          <w:lang w:eastAsia="bg-BG"/>
        </w:rPr>
      </w:pPr>
    </w:p>
    <w:p w14:paraId="737FBF11" w14:textId="36E1BC69"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Този продукт съдържа лактоза. Пациенти с редки наследствени проблеми, свързани с непоносимост към галактоза, </w:t>
      </w:r>
      <w:r w:rsidRPr="00D04E4F">
        <w:rPr>
          <w:rFonts w:eastAsia="Times New Roman" w:cs="Arial"/>
          <w:color w:val="000000"/>
          <w:lang w:val="en-US"/>
        </w:rPr>
        <w:t>L</w:t>
      </w:r>
      <w:r w:rsidRPr="00D04E4F">
        <w:rPr>
          <w:rFonts w:eastAsia="Times New Roman" w:cs="Arial"/>
          <w:color w:val="000000"/>
          <w:lang w:eastAsia="bg-BG"/>
        </w:rPr>
        <w:t>арр-лактазна недостатъчност или малабсорбция на глюкоза- галактоза не трябва да приемат този лекарствен продукт.</w:t>
      </w:r>
    </w:p>
    <w:p w14:paraId="6C74CCEB" w14:textId="77777777" w:rsidR="00D04E4F" w:rsidRPr="00D04E4F" w:rsidRDefault="00D04E4F" w:rsidP="00D04E4F"/>
    <w:p w14:paraId="619DED1E" w14:textId="22D0D350"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0476686" w14:textId="0E3500F1" w:rsidR="00D04E4F" w:rsidRDefault="00D04E4F" w:rsidP="00D04E4F"/>
    <w:p w14:paraId="155B1788"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Анастрозол инхибира </w:t>
      </w:r>
      <w:r w:rsidRPr="00D04E4F">
        <w:rPr>
          <w:rFonts w:eastAsia="Times New Roman" w:cs="Arial"/>
          <w:color w:val="000000"/>
          <w:lang w:val="en-US"/>
        </w:rPr>
        <w:t>CYPs</w:t>
      </w:r>
      <w:r w:rsidRPr="00D04E4F">
        <w:rPr>
          <w:rFonts w:eastAsia="Times New Roman" w:cs="Arial"/>
          <w:color w:val="000000"/>
          <w:lang w:val="ru-RU"/>
        </w:rPr>
        <w:t xml:space="preserve"> </w:t>
      </w:r>
      <w:r w:rsidRPr="00D04E4F">
        <w:rPr>
          <w:rFonts w:eastAsia="Times New Roman" w:cs="Arial"/>
          <w:color w:val="000000"/>
          <w:lang w:val="en-US"/>
        </w:rPr>
        <w:t>IA</w:t>
      </w:r>
      <w:r w:rsidRPr="00D04E4F">
        <w:rPr>
          <w:rFonts w:eastAsia="Times New Roman" w:cs="Arial"/>
          <w:color w:val="000000"/>
          <w:lang w:val="ru-RU"/>
        </w:rPr>
        <w:t xml:space="preserve">2, </w:t>
      </w:r>
      <w:r w:rsidRPr="00D04E4F">
        <w:rPr>
          <w:rFonts w:eastAsia="Times New Roman" w:cs="Arial"/>
          <w:color w:val="000000"/>
          <w:lang w:eastAsia="bg-BG"/>
        </w:rPr>
        <w:t xml:space="preserve">2С8/9 и ЗА4 </w:t>
      </w:r>
      <w:r w:rsidRPr="00D04E4F">
        <w:rPr>
          <w:rFonts w:eastAsia="Times New Roman" w:cs="Arial"/>
          <w:i/>
          <w:iCs/>
          <w:color w:val="000000"/>
          <w:lang w:val="en-US"/>
        </w:rPr>
        <w:t>in</w:t>
      </w:r>
      <w:r w:rsidRPr="00D04E4F">
        <w:rPr>
          <w:rFonts w:eastAsia="Times New Roman" w:cs="Arial"/>
          <w:i/>
          <w:iCs/>
          <w:color w:val="000000"/>
          <w:lang w:val="ru-RU"/>
        </w:rPr>
        <w:t xml:space="preserve"> </w:t>
      </w:r>
      <w:r w:rsidRPr="00D04E4F">
        <w:rPr>
          <w:rFonts w:eastAsia="Times New Roman" w:cs="Arial"/>
          <w:i/>
          <w:iCs/>
          <w:color w:val="000000"/>
          <w:lang w:val="en-US"/>
        </w:rPr>
        <w:t>vitro</w:t>
      </w:r>
      <w:r w:rsidRPr="00D04E4F">
        <w:rPr>
          <w:rFonts w:eastAsia="Times New Roman" w:cs="Arial"/>
          <w:i/>
          <w:iCs/>
          <w:color w:val="000000"/>
          <w:lang w:val="ru-RU"/>
        </w:rPr>
        <w:t>.</w:t>
      </w:r>
      <w:r w:rsidRPr="00D04E4F">
        <w:rPr>
          <w:rFonts w:eastAsia="Times New Roman" w:cs="Arial"/>
          <w:color w:val="000000"/>
          <w:lang w:val="ru-RU"/>
        </w:rPr>
        <w:t xml:space="preserve"> </w:t>
      </w:r>
      <w:r w:rsidRPr="00D04E4F">
        <w:rPr>
          <w:rFonts w:eastAsia="Times New Roman" w:cs="Arial"/>
          <w:color w:val="000000"/>
          <w:lang w:eastAsia="bg-BG"/>
        </w:rPr>
        <w:t xml:space="preserve">Клинични проучвания с антипирин и варфарин показват, че анастрозол в доза 1 </w:t>
      </w:r>
      <w:r w:rsidRPr="00D04E4F">
        <w:rPr>
          <w:rFonts w:eastAsia="Times New Roman" w:cs="Arial"/>
          <w:color w:val="000000"/>
          <w:lang w:val="en-US"/>
        </w:rPr>
        <w:t>mg</w:t>
      </w:r>
      <w:r w:rsidRPr="00D04E4F">
        <w:rPr>
          <w:rFonts w:eastAsia="Times New Roman" w:cs="Arial"/>
          <w:color w:val="000000"/>
          <w:lang w:val="ru-RU"/>
        </w:rPr>
        <w:t xml:space="preserve"> </w:t>
      </w:r>
      <w:r w:rsidRPr="00D04E4F">
        <w:rPr>
          <w:rFonts w:eastAsia="Times New Roman" w:cs="Arial"/>
          <w:color w:val="000000"/>
          <w:lang w:eastAsia="bg-BG"/>
        </w:rPr>
        <w:t xml:space="preserve">не потиска значимо метаболизма на антипирин и </w:t>
      </w:r>
      <w:r w:rsidRPr="00D04E4F">
        <w:rPr>
          <w:rFonts w:eastAsia="Times New Roman" w:cs="Arial"/>
          <w:color w:val="000000"/>
          <w:lang w:val="en-US"/>
        </w:rPr>
        <w:t>R</w:t>
      </w:r>
      <w:r w:rsidRPr="00D04E4F">
        <w:rPr>
          <w:rFonts w:eastAsia="Times New Roman" w:cs="Arial"/>
          <w:color w:val="000000"/>
          <w:lang w:val="ru-RU"/>
        </w:rPr>
        <w:t xml:space="preserve">- </w:t>
      </w:r>
      <w:r w:rsidRPr="00D04E4F">
        <w:rPr>
          <w:rFonts w:eastAsia="Times New Roman" w:cs="Arial"/>
          <w:color w:val="000000"/>
          <w:lang w:eastAsia="bg-BG"/>
        </w:rPr>
        <w:t xml:space="preserve">и </w:t>
      </w:r>
      <w:r w:rsidRPr="00D04E4F">
        <w:rPr>
          <w:rFonts w:eastAsia="Times New Roman" w:cs="Arial"/>
          <w:color w:val="000000"/>
          <w:lang w:val="en-US"/>
        </w:rPr>
        <w:t>S</w:t>
      </w:r>
      <w:r w:rsidRPr="00D04E4F">
        <w:rPr>
          <w:rFonts w:eastAsia="Times New Roman" w:cs="Arial"/>
          <w:color w:val="000000"/>
          <w:lang w:eastAsia="bg-BG"/>
        </w:rPr>
        <w:t>-варфарин, което показва, че е малко вероятно едновременното приложение на Анастрокон и други лекарствени продукти да доведе</w:t>
      </w:r>
      <w:r w:rsidRPr="00D04E4F">
        <w:rPr>
          <w:rFonts w:eastAsia="Times New Roman" w:cs="Arial"/>
          <w:color w:val="000000"/>
          <w:lang w:val="ru-RU"/>
        </w:rPr>
        <w:t xml:space="preserve"> </w:t>
      </w:r>
      <w:r w:rsidRPr="00D04E4F">
        <w:rPr>
          <w:rFonts w:eastAsia="Times New Roman" w:cs="Arial"/>
          <w:color w:val="000000"/>
          <w:lang w:eastAsia="bg-BG"/>
        </w:rPr>
        <w:t xml:space="preserve">до клинично значими лекарствени взаимодействвя, медиирани от </w:t>
      </w:r>
      <w:r w:rsidRPr="00D04E4F">
        <w:rPr>
          <w:rFonts w:eastAsia="Times New Roman" w:cs="Arial"/>
          <w:color w:val="000000"/>
          <w:lang w:val="en-US"/>
        </w:rPr>
        <w:t>CYP</w:t>
      </w:r>
      <w:r w:rsidRPr="00D04E4F">
        <w:rPr>
          <w:rFonts w:eastAsia="Times New Roman" w:cs="Arial"/>
          <w:color w:val="000000"/>
          <w:lang w:val="ru-RU"/>
        </w:rPr>
        <w:t xml:space="preserve"> </w:t>
      </w:r>
      <w:r w:rsidRPr="00D04E4F">
        <w:rPr>
          <w:rFonts w:eastAsia="Times New Roman" w:cs="Arial"/>
          <w:color w:val="000000"/>
          <w:lang w:eastAsia="bg-BG"/>
        </w:rPr>
        <w:t>ензимите.</w:t>
      </w:r>
    </w:p>
    <w:p w14:paraId="21952811" w14:textId="77777777" w:rsidR="00D04E4F" w:rsidRPr="00D04E4F" w:rsidRDefault="00D04E4F" w:rsidP="00D04E4F">
      <w:pPr>
        <w:rPr>
          <w:rFonts w:eastAsia="Times New Roman" w:cs="Arial"/>
          <w:color w:val="000000"/>
          <w:lang w:eastAsia="bg-BG"/>
        </w:rPr>
      </w:pPr>
    </w:p>
    <w:p w14:paraId="2271E45C" w14:textId="722EEACA" w:rsidR="00D04E4F" w:rsidRPr="00D04E4F" w:rsidRDefault="00D04E4F" w:rsidP="00D04E4F">
      <w:pPr>
        <w:rPr>
          <w:rFonts w:eastAsia="Times New Roman" w:cs="Arial"/>
          <w:color w:val="000000"/>
          <w:lang w:eastAsia="bg-BG"/>
        </w:rPr>
      </w:pPr>
      <w:r w:rsidRPr="00D04E4F">
        <w:rPr>
          <w:rFonts w:eastAsia="Times New Roman" w:cs="Arial"/>
          <w:color w:val="000000"/>
          <w:lang w:eastAsia="bg-BG"/>
        </w:rPr>
        <w:t xml:space="preserve">Не са идентифицирани ензими, медииращи метаболизма на анастрозол. Циметидин, слаб, неспецифичен инхибитор на </w:t>
      </w:r>
      <w:r w:rsidRPr="00D04E4F">
        <w:rPr>
          <w:rFonts w:eastAsia="Times New Roman" w:cs="Arial"/>
          <w:color w:val="000000"/>
          <w:lang w:val="en-US"/>
        </w:rPr>
        <w:t>CYP</w:t>
      </w:r>
      <w:r w:rsidRPr="00D04E4F">
        <w:rPr>
          <w:rFonts w:eastAsia="Times New Roman" w:cs="Arial"/>
          <w:color w:val="000000"/>
          <w:lang w:val="ru-RU"/>
        </w:rPr>
        <w:t xml:space="preserve"> </w:t>
      </w:r>
      <w:r w:rsidRPr="00D04E4F">
        <w:rPr>
          <w:rFonts w:eastAsia="Times New Roman" w:cs="Arial"/>
          <w:color w:val="000000"/>
          <w:lang w:eastAsia="bg-BG"/>
        </w:rPr>
        <w:t xml:space="preserve">ензимите, не повлиява плазмените концентрации на авастрозол. Ефектът на мощни </w:t>
      </w:r>
      <w:r w:rsidRPr="00D04E4F">
        <w:rPr>
          <w:rFonts w:eastAsia="Times New Roman" w:cs="Arial"/>
          <w:color w:val="000000"/>
          <w:lang w:val="en-US"/>
        </w:rPr>
        <w:t>CYP</w:t>
      </w:r>
      <w:r w:rsidRPr="00D04E4F">
        <w:rPr>
          <w:rFonts w:eastAsia="Times New Roman" w:cs="Arial"/>
          <w:color w:val="000000"/>
          <w:lang w:val="ru-RU"/>
        </w:rPr>
        <w:t xml:space="preserve"> </w:t>
      </w:r>
      <w:r w:rsidRPr="00D04E4F">
        <w:rPr>
          <w:rFonts w:eastAsia="Times New Roman" w:cs="Arial"/>
          <w:color w:val="000000"/>
          <w:lang w:eastAsia="bg-BG"/>
        </w:rPr>
        <w:t>ннхибитори не е известен.</w:t>
      </w:r>
    </w:p>
    <w:p w14:paraId="0CF246B0" w14:textId="458E98CA" w:rsidR="00D04E4F" w:rsidRPr="00D04E4F" w:rsidRDefault="00D04E4F" w:rsidP="00D04E4F">
      <w:pPr>
        <w:rPr>
          <w:rFonts w:eastAsia="Times New Roman" w:cs="Arial"/>
          <w:color w:val="000000"/>
          <w:lang w:eastAsia="bg-BG"/>
        </w:rPr>
      </w:pPr>
    </w:p>
    <w:p w14:paraId="4A3B2A2F"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Прегледът на резултатите за безопасността в базата данни от клинични проучвания не дава доказателства за клинично значимо взаимодействие при пациенти, лекувани с Анастрокон, които са приемали други, обичайно предписвани лекарствени продукти. Няма клинично значими взаимодействия с бифосфонати (вж. точка 5.1).</w:t>
      </w:r>
    </w:p>
    <w:p w14:paraId="791FE273" w14:textId="77777777" w:rsidR="00D04E4F" w:rsidRPr="00D04E4F" w:rsidRDefault="00D04E4F" w:rsidP="00D04E4F">
      <w:pPr>
        <w:spacing w:line="240" w:lineRule="auto"/>
        <w:rPr>
          <w:rFonts w:eastAsia="Times New Roman" w:cs="Arial"/>
          <w:color w:val="000000"/>
          <w:lang w:eastAsia="bg-BG"/>
        </w:rPr>
      </w:pPr>
    </w:p>
    <w:p w14:paraId="5ACE1C0C" w14:textId="3016E36F"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Едновременното приложение на тамоксифен и естроген-съдържаща терапия с Анастрокон трябва да се избягва, тъй като това може да отслаби фармакологичното му действие (вж. точки 4.4 и 5.1).</w:t>
      </w:r>
    </w:p>
    <w:p w14:paraId="0A8868D5" w14:textId="77777777" w:rsidR="00D04E4F" w:rsidRPr="00D04E4F" w:rsidRDefault="00D04E4F" w:rsidP="00D04E4F"/>
    <w:p w14:paraId="394A7584" w14:textId="5946F2F4" w:rsidR="004F498A" w:rsidRDefault="002C50EE" w:rsidP="004A448E">
      <w:pPr>
        <w:pStyle w:val="Heading2"/>
      </w:pPr>
      <w:r>
        <w:t>4.6. Фертилитет, бременност и кърмене</w:t>
      </w:r>
    </w:p>
    <w:p w14:paraId="11E35C46" w14:textId="5A57B6E7" w:rsidR="00D04E4F" w:rsidRDefault="00D04E4F" w:rsidP="00D04E4F"/>
    <w:p w14:paraId="64CB8629" w14:textId="77777777" w:rsidR="00D04E4F" w:rsidRPr="00D04E4F" w:rsidRDefault="00D04E4F" w:rsidP="00D04E4F">
      <w:pPr>
        <w:pStyle w:val="Heading3"/>
        <w:rPr>
          <w:rFonts w:eastAsia="Times New Roman"/>
          <w:u w:val="single"/>
        </w:rPr>
      </w:pPr>
      <w:r w:rsidRPr="00D04E4F">
        <w:rPr>
          <w:rFonts w:eastAsia="Times New Roman"/>
          <w:u w:val="single"/>
          <w:lang w:eastAsia="bg-BG"/>
        </w:rPr>
        <w:t>Бременност</w:t>
      </w:r>
    </w:p>
    <w:p w14:paraId="1C4D3304" w14:textId="77777777" w:rsidR="00D04E4F" w:rsidRDefault="00D04E4F" w:rsidP="00D04E4F">
      <w:pPr>
        <w:rPr>
          <w:lang w:eastAsia="bg-BG"/>
        </w:rPr>
      </w:pPr>
    </w:p>
    <w:p w14:paraId="6EE6AD55" w14:textId="377B9D45" w:rsidR="00D04E4F" w:rsidRPr="00D04E4F" w:rsidRDefault="00D04E4F" w:rsidP="00D04E4F">
      <w:pPr>
        <w:rPr>
          <w:sz w:val="24"/>
          <w:szCs w:val="24"/>
        </w:rPr>
      </w:pPr>
      <w:r w:rsidRPr="00D04E4F">
        <w:rPr>
          <w:lang w:eastAsia="bg-BG"/>
        </w:rPr>
        <w:t>Няма данни за употребата на Анастрокон при бременни жени. Проучванията при животни показват репродуктивна токсичност (вж. точка 5.3). Анастрокон е противопоказан по време на бременност (вж. точка 4.3).</w:t>
      </w:r>
    </w:p>
    <w:p w14:paraId="7882A380" w14:textId="77777777" w:rsidR="00D04E4F" w:rsidRDefault="00D04E4F" w:rsidP="00D04E4F">
      <w:pPr>
        <w:rPr>
          <w:lang w:eastAsia="bg-BG"/>
        </w:rPr>
      </w:pPr>
    </w:p>
    <w:p w14:paraId="229478F0" w14:textId="072D8637" w:rsidR="00D04E4F" w:rsidRPr="00D04E4F" w:rsidRDefault="00D04E4F" w:rsidP="00D04E4F">
      <w:pPr>
        <w:pStyle w:val="Heading3"/>
        <w:rPr>
          <w:rFonts w:eastAsia="Times New Roman"/>
          <w:u w:val="single"/>
        </w:rPr>
      </w:pPr>
      <w:r w:rsidRPr="00D04E4F">
        <w:rPr>
          <w:rFonts w:eastAsia="Times New Roman"/>
          <w:u w:val="single"/>
          <w:lang w:eastAsia="bg-BG"/>
        </w:rPr>
        <w:t>Кърмене</w:t>
      </w:r>
    </w:p>
    <w:p w14:paraId="182DFE25" w14:textId="77777777" w:rsidR="00D04E4F" w:rsidRDefault="00D04E4F" w:rsidP="00D04E4F">
      <w:pPr>
        <w:rPr>
          <w:lang w:eastAsia="bg-BG"/>
        </w:rPr>
      </w:pPr>
    </w:p>
    <w:p w14:paraId="34F047C2" w14:textId="58D5ABD5" w:rsidR="00D04E4F" w:rsidRPr="00D04E4F" w:rsidRDefault="00D04E4F" w:rsidP="00D04E4F">
      <w:pPr>
        <w:rPr>
          <w:sz w:val="24"/>
          <w:szCs w:val="24"/>
        </w:rPr>
      </w:pPr>
      <w:r w:rsidRPr="00D04E4F">
        <w:rPr>
          <w:lang w:eastAsia="bg-BG"/>
        </w:rPr>
        <w:t>Няма данни за употребата на Анастрокон по време на кърмене, Анастрокон е противопоказан по време на кърмене (вж. точка 4.3).</w:t>
      </w:r>
    </w:p>
    <w:p w14:paraId="60466214" w14:textId="77777777" w:rsidR="00D04E4F" w:rsidRDefault="00D04E4F" w:rsidP="00D04E4F">
      <w:pPr>
        <w:rPr>
          <w:lang w:eastAsia="bg-BG"/>
        </w:rPr>
      </w:pPr>
    </w:p>
    <w:p w14:paraId="00FDBCA4" w14:textId="5D56A6B5" w:rsidR="00D04E4F" w:rsidRPr="00D04E4F" w:rsidRDefault="00D04E4F" w:rsidP="00D04E4F">
      <w:pPr>
        <w:pStyle w:val="Heading3"/>
        <w:rPr>
          <w:rFonts w:eastAsia="Times New Roman"/>
          <w:u w:val="single"/>
        </w:rPr>
      </w:pPr>
      <w:r w:rsidRPr="00D04E4F">
        <w:rPr>
          <w:rFonts w:eastAsia="Times New Roman"/>
          <w:u w:val="single"/>
          <w:lang w:eastAsia="bg-BG"/>
        </w:rPr>
        <w:t>Фертилитет</w:t>
      </w:r>
    </w:p>
    <w:p w14:paraId="684276D5" w14:textId="77777777" w:rsidR="00D04E4F" w:rsidRDefault="00D04E4F" w:rsidP="00D04E4F">
      <w:pPr>
        <w:rPr>
          <w:lang w:eastAsia="bg-BG"/>
        </w:rPr>
      </w:pPr>
    </w:p>
    <w:p w14:paraId="213A86EB" w14:textId="46C75631" w:rsidR="00D04E4F" w:rsidRPr="00D04E4F" w:rsidRDefault="00D04E4F" w:rsidP="00D04E4F">
      <w:pPr>
        <w:rPr>
          <w:sz w:val="24"/>
          <w:szCs w:val="24"/>
        </w:rPr>
      </w:pPr>
      <w:r w:rsidRPr="00D04E4F">
        <w:rPr>
          <w:lang w:eastAsia="bg-BG"/>
        </w:rPr>
        <w:lastRenderedPageBreak/>
        <w:t>Ефектите на Анастрокон върху фертилитета при хора не са проучвани, Проучванията при животни са показали репродуктивна токсичност (вж. точка 5.3).</w:t>
      </w:r>
    </w:p>
    <w:p w14:paraId="7210B513" w14:textId="77777777" w:rsidR="00D04E4F" w:rsidRPr="00D04E4F" w:rsidRDefault="00D04E4F" w:rsidP="00D04E4F"/>
    <w:p w14:paraId="064DF1DE" w14:textId="58AAD6DA" w:rsidR="00CF77F7" w:rsidRDefault="002C50EE" w:rsidP="004A448E">
      <w:pPr>
        <w:pStyle w:val="Heading2"/>
      </w:pPr>
      <w:r>
        <w:t>4.7. Ефекти върху способността за шофиране и работа с машини</w:t>
      </w:r>
    </w:p>
    <w:p w14:paraId="2D013E17" w14:textId="23B7CA7B" w:rsidR="00D04E4F" w:rsidRDefault="00D04E4F" w:rsidP="00D04E4F"/>
    <w:p w14:paraId="11A71E5B" w14:textId="77777777" w:rsidR="00D04E4F" w:rsidRPr="00D04E4F" w:rsidRDefault="00D04E4F" w:rsidP="00D04E4F">
      <w:pPr>
        <w:rPr>
          <w:sz w:val="24"/>
          <w:szCs w:val="24"/>
        </w:rPr>
      </w:pPr>
      <w:r w:rsidRPr="00D04E4F">
        <w:rPr>
          <w:lang w:eastAsia="bg-BG"/>
        </w:rPr>
        <w:t>Малко е вероятно Анастрокон да засегне способността за шофиране и работа с машини. При употреба на Анастрокон обаче се съобщава за астения и сомнолентност и докато тези симптоми продължават, трябва да се внимава при шофиране и работа с машини.</w:t>
      </w:r>
    </w:p>
    <w:p w14:paraId="5CDF8728" w14:textId="77777777" w:rsidR="00D04E4F" w:rsidRPr="00D04E4F" w:rsidRDefault="00D04E4F" w:rsidP="00D04E4F"/>
    <w:p w14:paraId="37A3FD9F" w14:textId="53444872" w:rsidR="00CF77F7" w:rsidRDefault="002C50EE" w:rsidP="004A448E">
      <w:pPr>
        <w:pStyle w:val="Heading2"/>
      </w:pPr>
      <w:r>
        <w:t>4.8. Нежелани лекарствени реакции</w:t>
      </w:r>
    </w:p>
    <w:p w14:paraId="7D9C30E0" w14:textId="6C0BFE0E" w:rsidR="00D04E4F" w:rsidRDefault="00D04E4F" w:rsidP="00D04E4F"/>
    <w:p w14:paraId="7EF43739"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Следващата таблица представя нежеланите лекарствени реакции от клинични проучвания, пост-маркетингови проучвания и спонтанни доклади. Ако не е указано друго, честотата е изчислена от броя на нежеланите реакции, докладвани в голямо фаза III проучване, проведено при 9366 постменопаузални жени с операбилен карцином на млечната жлеза, получавали адювантна терапия в продължение на 5 години </w:t>
      </w:r>
      <w:r w:rsidRPr="00D04E4F">
        <w:rPr>
          <w:rFonts w:eastAsia="Times New Roman" w:cs="Arial"/>
          <w:color w:val="000000"/>
          <w:lang w:val="ru-RU"/>
        </w:rPr>
        <w:t>(</w:t>
      </w:r>
      <w:proofErr w:type="spellStart"/>
      <w:r w:rsidRPr="00D04E4F">
        <w:rPr>
          <w:rFonts w:eastAsia="Times New Roman" w:cs="Arial"/>
          <w:color w:val="000000"/>
          <w:lang w:val="en-US"/>
        </w:rPr>
        <w:t>Arimidex</w:t>
      </w:r>
      <w:proofErr w:type="spellEnd"/>
      <w:r w:rsidRPr="00D04E4F">
        <w:rPr>
          <w:rFonts w:eastAsia="Times New Roman" w:cs="Arial"/>
          <w:color w:val="000000"/>
          <w:lang w:val="ru-RU"/>
        </w:rPr>
        <w:t xml:space="preserve">, </w:t>
      </w:r>
      <w:r w:rsidRPr="00D04E4F">
        <w:rPr>
          <w:rFonts w:eastAsia="Times New Roman" w:cs="Arial"/>
          <w:color w:val="000000"/>
          <w:lang w:val="en-US"/>
        </w:rPr>
        <w:t>Tamoxifen</w:t>
      </w:r>
      <w:r w:rsidRPr="00D04E4F">
        <w:rPr>
          <w:rFonts w:eastAsia="Times New Roman" w:cs="Arial"/>
          <w:color w:val="000000"/>
          <w:lang w:val="ru-RU"/>
        </w:rPr>
        <w:t xml:space="preserve">, </w:t>
      </w:r>
      <w:r w:rsidRPr="00D04E4F">
        <w:rPr>
          <w:rFonts w:eastAsia="Times New Roman" w:cs="Arial"/>
          <w:color w:val="000000"/>
          <w:lang w:val="en-US"/>
        </w:rPr>
        <w:t>Alone</w:t>
      </w:r>
      <w:r w:rsidRPr="00D04E4F">
        <w:rPr>
          <w:rFonts w:eastAsia="Times New Roman" w:cs="Arial"/>
          <w:color w:val="000000"/>
          <w:lang w:val="ru-RU"/>
        </w:rPr>
        <w:t xml:space="preserve"> </w:t>
      </w:r>
      <w:r w:rsidRPr="00D04E4F">
        <w:rPr>
          <w:rFonts w:eastAsia="Times New Roman" w:cs="Arial"/>
          <w:color w:val="000000"/>
          <w:lang w:val="en-US"/>
        </w:rPr>
        <w:t>or</w:t>
      </w:r>
      <w:r w:rsidRPr="00D04E4F">
        <w:rPr>
          <w:rFonts w:eastAsia="Times New Roman" w:cs="Arial"/>
          <w:color w:val="000000"/>
          <w:lang w:val="ru-RU"/>
        </w:rPr>
        <w:t xml:space="preserve"> </w:t>
      </w:r>
      <w:r w:rsidRPr="00D04E4F">
        <w:rPr>
          <w:rFonts w:eastAsia="Times New Roman" w:cs="Arial"/>
          <w:color w:val="000000"/>
          <w:lang w:val="en-US"/>
        </w:rPr>
        <w:t>in</w:t>
      </w:r>
      <w:r w:rsidRPr="00D04E4F">
        <w:rPr>
          <w:rFonts w:eastAsia="Times New Roman" w:cs="Arial"/>
          <w:color w:val="000000"/>
          <w:lang w:val="ru-RU"/>
        </w:rPr>
        <w:t xml:space="preserve"> </w:t>
      </w:r>
      <w:r w:rsidRPr="00D04E4F">
        <w:rPr>
          <w:rFonts w:eastAsia="Times New Roman" w:cs="Arial"/>
          <w:color w:val="000000"/>
          <w:lang w:val="en-US"/>
        </w:rPr>
        <w:t>Combination</w:t>
      </w:r>
      <w:r w:rsidRPr="00D04E4F">
        <w:rPr>
          <w:rFonts w:eastAsia="Times New Roman" w:cs="Arial"/>
          <w:color w:val="000000"/>
          <w:lang w:val="ru-RU"/>
        </w:rPr>
        <w:t xml:space="preserve"> [</w:t>
      </w:r>
      <w:r w:rsidRPr="00D04E4F">
        <w:rPr>
          <w:rFonts w:eastAsia="Times New Roman" w:cs="Arial"/>
          <w:color w:val="000000"/>
          <w:lang w:val="en-US"/>
        </w:rPr>
        <w:t>ATAC</w:t>
      </w:r>
      <w:r w:rsidRPr="00D04E4F">
        <w:rPr>
          <w:rFonts w:eastAsia="Times New Roman" w:cs="Arial"/>
          <w:color w:val="000000"/>
          <w:lang w:val="ru-RU"/>
        </w:rPr>
        <w:t xml:space="preserve">] </w:t>
      </w:r>
      <w:r w:rsidRPr="00D04E4F">
        <w:rPr>
          <w:rFonts w:eastAsia="Times New Roman" w:cs="Arial"/>
          <w:color w:val="000000"/>
          <w:lang w:eastAsia="bg-BG"/>
        </w:rPr>
        <w:t>проучване).</w:t>
      </w:r>
    </w:p>
    <w:p w14:paraId="6B024CFA" w14:textId="77777777" w:rsidR="00D04E4F" w:rsidRPr="00D04E4F" w:rsidRDefault="00D04E4F" w:rsidP="00D04E4F">
      <w:pPr>
        <w:spacing w:line="240" w:lineRule="auto"/>
        <w:rPr>
          <w:rFonts w:eastAsia="Times New Roman" w:cs="Arial"/>
          <w:color w:val="000000"/>
          <w:lang w:eastAsia="bg-BG"/>
        </w:rPr>
      </w:pPr>
    </w:p>
    <w:p w14:paraId="79F76F0E" w14:textId="246C54EA"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Нежеланите реакции, представени по-долу са класифицирани по честота и системо- органен клас (СОК). Честотите са дефинирани в съответствие със следната конвенция: много чести (≥1/10), чести ≥1/100 до &lt; 1/10), нечести (≥1/1000 до &lt; 1/100), редки (≥1/10 000 до &lt;1/1000), и много редки (&lt;1/10 000). Най-често докладваните нежелани реакции са главоболие, горещи вълни, гадене, обрив, артралгия, скованост на ставите, артрит и астения.</w:t>
      </w:r>
    </w:p>
    <w:p w14:paraId="231E4285" w14:textId="525006F5" w:rsidR="00D04E4F" w:rsidRPr="00D04E4F" w:rsidRDefault="00D04E4F" w:rsidP="00D04E4F">
      <w:pPr>
        <w:rPr>
          <w:rFonts w:cs="Arial"/>
        </w:rPr>
      </w:pPr>
    </w:p>
    <w:p w14:paraId="6327D3D2" w14:textId="0FED2723" w:rsidR="00D04E4F" w:rsidRDefault="00D04E4F" w:rsidP="00D04E4F">
      <w:pPr>
        <w:rPr>
          <w:rFonts w:cs="Arial"/>
          <w:b/>
          <w:bCs/>
        </w:rPr>
      </w:pPr>
      <w:r w:rsidRPr="00D04E4F">
        <w:rPr>
          <w:rFonts w:cs="Arial"/>
          <w:b/>
          <w:bCs/>
        </w:rPr>
        <w:t>Таблица 1 Нежелани лекарствени реакции по системо-органен клас и честота</w:t>
      </w:r>
    </w:p>
    <w:tbl>
      <w:tblPr>
        <w:tblStyle w:val="TableGrid"/>
        <w:tblW w:w="0" w:type="auto"/>
        <w:tblLook w:val="04A0" w:firstRow="1" w:lastRow="0" w:firstColumn="1" w:lastColumn="0" w:noHBand="0" w:noVBand="1"/>
      </w:tblPr>
      <w:tblGrid>
        <w:gridCol w:w="3070"/>
        <w:gridCol w:w="2932"/>
        <w:gridCol w:w="3348"/>
      </w:tblGrid>
      <w:tr w:rsidR="00D04E4F" w14:paraId="2AE10372" w14:textId="77777777" w:rsidTr="005245BF">
        <w:tc>
          <w:tcPr>
            <w:tcW w:w="9576" w:type="dxa"/>
            <w:gridSpan w:val="3"/>
          </w:tcPr>
          <w:p w14:paraId="4C09B13B" w14:textId="7D01600F" w:rsidR="00D04E4F" w:rsidRPr="00D04E4F" w:rsidRDefault="00D04E4F" w:rsidP="00D04E4F">
            <w:pPr>
              <w:jc w:val="center"/>
              <w:rPr>
                <w:rFonts w:cs="Arial"/>
                <w:b/>
              </w:rPr>
            </w:pPr>
            <w:r w:rsidRPr="00D04E4F">
              <w:rPr>
                <w:b/>
                <w:lang w:eastAsia="bg-BG"/>
              </w:rPr>
              <w:t>Нежелани лекарствени реакции по СОК и честота</w:t>
            </w:r>
          </w:p>
        </w:tc>
      </w:tr>
      <w:tr w:rsidR="00D04E4F" w14:paraId="6D6C1C4E" w14:textId="77777777" w:rsidTr="00D04E4F">
        <w:tc>
          <w:tcPr>
            <w:tcW w:w="3125" w:type="dxa"/>
            <w:vMerge w:val="restart"/>
          </w:tcPr>
          <w:p w14:paraId="154DEC2E" w14:textId="50561F5E" w:rsidR="00D04E4F" w:rsidRDefault="00D04E4F" w:rsidP="00D04E4F">
            <w:pPr>
              <w:rPr>
                <w:rFonts w:cs="Arial"/>
              </w:rPr>
            </w:pPr>
            <w:r>
              <w:t>Нарушения на метаболизма и храненето</w:t>
            </w:r>
          </w:p>
        </w:tc>
        <w:tc>
          <w:tcPr>
            <w:tcW w:w="3103" w:type="dxa"/>
          </w:tcPr>
          <w:p w14:paraId="696A6A4A" w14:textId="12FE3F81" w:rsidR="00D04E4F" w:rsidRDefault="00D04E4F" w:rsidP="00D04E4F">
            <w:pPr>
              <w:rPr>
                <w:rFonts w:cs="Arial"/>
              </w:rPr>
            </w:pPr>
            <w:r>
              <w:t>Чести</w:t>
            </w:r>
          </w:p>
        </w:tc>
        <w:tc>
          <w:tcPr>
            <w:tcW w:w="3348" w:type="dxa"/>
          </w:tcPr>
          <w:p w14:paraId="3ED6EFFC" w14:textId="77777777" w:rsidR="00D04E4F" w:rsidRDefault="00D04E4F" w:rsidP="00D04E4F">
            <w:r>
              <w:t>Анорексия</w:t>
            </w:r>
          </w:p>
          <w:p w14:paraId="327C80F6" w14:textId="56C17242" w:rsidR="00D04E4F" w:rsidRDefault="00D04E4F" w:rsidP="00D04E4F">
            <w:pPr>
              <w:rPr>
                <w:rFonts w:cs="Arial"/>
              </w:rPr>
            </w:pPr>
            <w:r>
              <w:t>Хиперхолестеролемия</w:t>
            </w:r>
          </w:p>
        </w:tc>
      </w:tr>
      <w:tr w:rsidR="00D04E4F" w14:paraId="1BBC1864" w14:textId="77777777" w:rsidTr="00D04E4F">
        <w:tc>
          <w:tcPr>
            <w:tcW w:w="3125" w:type="dxa"/>
            <w:vMerge/>
          </w:tcPr>
          <w:p w14:paraId="6786CC5A" w14:textId="77777777" w:rsidR="00D04E4F" w:rsidRDefault="00D04E4F" w:rsidP="00D04E4F">
            <w:pPr>
              <w:rPr>
                <w:rFonts w:cs="Arial"/>
              </w:rPr>
            </w:pPr>
          </w:p>
        </w:tc>
        <w:tc>
          <w:tcPr>
            <w:tcW w:w="3103" w:type="dxa"/>
          </w:tcPr>
          <w:p w14:paraId="395A87D1" w14:textId="56493467" w:rsidR="00D04E4F" w:rsidRDefault="00D04E4F" w:rsidP="00D04E4F">
            <w:pPr>
              <w:rPr>
                <w:rFonts w:cs="Arial"/>
              </w:rPr>
            </w:pPr>
            <w:r>
              <w:t>Нечести</w:t>
            </w:r>
          </w:p>
        </w:tc>
        <w:tc>
          <w:tcPr>
            <w:tcW w:w="3348" w:type="dxa"/>
          </w:tcPr>
          <w:p w14:paraId="61191EB6" w14:textId="516C38DF" w:rsidR="00D04E4F" w:rsidRDefault="00D04E4F" w:rsidP="00D04E4F">
            <w:pPr>
              <w:rPr>
                <w:rFonts w:cs="Arial"/>
              </w:rPr>
            </w:pPr>
            <w:r>
              <w:t>Хиперкалцемия (с или без увеличение на паратироидния хормон)</w:t>
            </w:r>
          </w:p>
        </w:tc>
      </w:tr>
      <w:tr w:rsidR="00D04E4F" w14:paraId="7AE9B37D" w14:textId="77777777" w:rsidTr="00D04E4F">
        <w:tc>
          <w:tcPr>
            <w:tcW w:w="3125" w:type="dxa"/>
          </w:tcPr>
          <w:p w14:paraId="1A0079DD" w14:textId="3FCE9A9A" w:rsidR="00D04E4F" w:rsidRDefault="00D04E4F" w:rsidP="00D04E4F">
            <w:pPr>
              <w:rPr>
                <w:rFonts w:cs="Arial"/>
              </w:rPr>
            </w:pPr>
            <w:r>
              <w:t>Психични нарушения</w:t>
            </w:r>
          </w:p>
        </w:tc>
        <w:tc>
          <w:tcPr>
            <w:tcW w:w="3103" w:type="dxa"/>
          </w:tcPr>
          <w:p w14:paraId="1F4FDC58" w14:textId="740DECBE" w:rsidR="00D04E4F" w:rsidRDefault="00D04E4F" w:rsidP="00D04E4F">
            <w:pPr>
              <w:rPr>
                <w:rFonts w:cs="Arial"/>
              </w:rPr>
            </w:pPr>
            <w:r>
              <w:t>Много чести</w:t>
            </w:r>
          </w:p>
        </w:tc>
        <w:tc>
          <w:tcPr>
            <w:tcW w:w="3348" w:type="dxa"/>
          </w:tcPr>
          <w:p w14:paraId="55C4D344" w14:textId="55403D51" w:rsidR="00D04E4F" w:rsidRDefault="00D04E4F" w:rsidP="00D04E4F">
            <w:pPr>
              <w:rPr>
                <w:rFonts w:cs="Arial"/>
              </w:rPr>
            </w:pPr>
            <w:r>
              <w:t>Депресия</w:t>
            </w:r>
          </w:p>
        </w:tc>
      </w:tr>
      <w:tr w:rsidR="00D04E4F" w14:paraId="2AC5EDA5" w14:textId="77777777" w:rsidTr="00D04E4F">
        <w:tc>
          <w:tcPr>
            <w:tcW w:w="3125" w:type="dxa"/>
            <w:vMerge w:val="restart"/>
          </w:tcPr>
          <w:p w14:paraId="7297AFCD" w14:textId="1C7D35DA" w:rsidR="00D04E4F" w:rsidRDefault="00D04E4F" w:rsidP="00D04E4F">
            <w:pPr>
              <w:rPr>
                <w:rFonts w:cs="Arial"/>
              </w:rPr>
            </w:pPr>
            <w:r>
              <w:t>Нарушения на нервната система</w:t>
            </w:r>
          </w:p>
        </w:tc>
        <w:tc>
          <w:tcPr>
            <w:tcW w:w="3103" w:type="dxa"/>
          </w:tcPr>
          <w:p w14:paraId="4040532B" w14:textId="0A87B57B" w:rsidR="00D04E4F" w:rsidRDefault="00D04E4F" w:rsidP="00D04E4F">
            <w:pPr>
              <w:rPr>
                <w:rFonts w:cs="Arial"/>
              </w:rPr>
            </w:pPr>
            <w:r>
              <w:t>Много чести</w:t>
            </w:r>
          </w:p>
        </w:tc>
        <w:tc>
          <w:tcPr>
            <w:tcW w:w="3348" w:type="dxa"/>
          </w:tcPr>
          <w:p w14:paraId="7EC370A9" w14:textId="1349D587" w:rsidR="00D04E4F" w:rsidRDefault="00D04E4F" w:rsidP="00D04E4F">
            <w:pPr>
              <w:rPr>
                <w:rFonts w:cs="Arial"/>
              </w:rPr>
            </w:pPr>
            <w:r>
              <w:t>Главоболие</w:t>
            </w:r>
          </w:p>
        </w:tc>
      </w:tr>
      <w:tr w:rsidR="00D04E4F" w14:paraId="3F91EEE6" w14:textId="77777777" w:rsidTr="00D04E4F">
        <w:tc>
          <w:tcPr>
            <w:tcW w:w="3125" w:type="dxa"/>
            <w:vMerge/>
          </w:tcPr>
          <w:p w14:paraId="063A9C4D" w14:textId="77777777" w:rsidR="00D04E4F" w:rsidRDefault="00D04E4F" w:rsidP="00D04E4F">
            <w:pPr>
              <w:rPr>
                <w:rFonts w:cs="Arial"/>
              </w:rPr>
            </w:pPr>
          </w:p>
        </w:tc>
        <w:tc>
          <w:tcPr>
            <w:tcW w:w="3103" w:type="dxa"/>
          </w:tcPr>
          <w:p w14:paraId="118AE2C8" w14:textId="1291451B" w:rsidR="00D04E4F" w:rsidRDefault="00D04E4F" w:rsidP="00D04E4F">
            <w:pPr>
              <w:rPr>
                <w:rFonts w:cs="Arial"/>
              </w:rPr>
            </w:pPr>
            <w:r>
              <w:t>Чести</w:t>
            </w:r>
          </w:p>
        </w:tc>
        <w:tc>
          <w:tcPr>
            <w:tcW w:w="3348" w:type="dxa"/>
          </w:tcPr>
          <w:p w14:paraId="6A14E4F6" w14:textId="77777777" w:rsidR="00D04E4F" w:rsidRDefault="00D04E4F" w:rsidP="00D04E4F">
            <w:r>
              <w:t>Сомнилентност</w:t>
            </w:r>
          </w:p>
          <w:p w14:paraId="182ADDF6" w14:textId="3EA0AE7F" w:rsidR="00D04E4F" w:rsidRDefault="00D04E4F" w:rsidP="00D04E4F">
            <w:pPr>
              <w:rPr>
                <w:rFonts w:cs="Arial"/>
              </w:rPr>
            </w:pPr>
            <w:r>
              <w:t>Синдром на карпалния канал*</w:t>
            </w:r>
          </w:p>
        </w:tc>
      </w:tr>
      <w:tr w:rsidR="00D04E4F" w14:paraId="629976BA" w14:textId="77777777" w:rsidTr="00D04E4F">
        <w:tc>
          <w:tcPr>
            <w:tcW w:w="3125" w:type="dxa"/>
          </w:tcPr>
          <w:p w14:paraId="5C86C0CC" w14:textId="35532504" w:rsidR="00D04E4F" w:rsidRDefault="00D04E4F" w:rsidP="00D04E4F">
            <w:pPr>
              <w:rPr>
                <w:rFonts w:cs="Arial"/>
              </w:rPr>
            </w:pPr>
            <w:r>
              <w:t>Съдови нарушения</w:t>
            </w:r>
          </w:p>
        </w:tc>
        <w:tc>
          <w:tcPr>
            <w:tcW w:w="3103" w:type="dxa"/>
          </w:tcPr>
          <w:p w14:paraId="389F4ABF" w14:textId="51BFCCFD" w:rsidR="00D04E4F" w:rsidRDefault="00D04E4F" w:rsidP="00D04E4F">
            <w:pPr>
              <w:rPr>
                <w:rFonts w:cs="Arial"/>
              </w:rPr>
            </w:pPr>
            <w:r>
              <w:t>Много чести</w:t>
            </w:r>
          </w:p>
        </w:tc>
        <w:tc>
          <w:tcPr>
            <w:tcW w:w="3348" w:type="dxa"/>
          </w:tcPr>
          <w:p w14:paraId="520345CC" w14:textId="4627EB23" w:rsidR="00D04E4F" w:rsidRDefault="00D04E4F" w:rsidP="00D04E4F">
            <w:pPr>
              <w:rPr>
                <w:rFonts w:cs="Arial"/>
              </w:rPr>
            </w:pPr>
            <w:r>
              <w:t>Горещи вълни</w:t>
            </w:r>
          </w:p>
        </w:tc>
      </w:tr>
      <w:tr w:rsidR="00D04E4F" w14:paraId="1AA34276" w14:textId="77777777" w:rsidTr="00D04E4F">
        <w:tc>
          <w:tcPr>
            <w:tcW w:w="3125" w:type="dxa"/>
            <w:vMerge w:val="restart"/>
          </w:tcPr>
          <w:p w14:paraId="346CB2AF" w14:textId="4583C3A1" w:rsidR="00D04E4F" w:rsidRDefault="00D04E4F" w:rsidP="00D04E4F">
            <w:pPr>
              <w:rPr>
                <w:rFonts w:cs="Arial"/>
              </w:rPr>
            </w:pPr>
            <w:r>
              <w:t>Стомашно-чревни нарушения</w:t>
            </w:r>
          </w:p>
        </w:tc>
        <w:tc>
          <w:tcPr>
            <w:tcW w:w="3103" w:type="dxa"/>
          </w:tcPr>
          <w:p w14:paraId="490FB9BE" w14:textId="6AF4DB24" w:rsidR="00D04E4F" w:rsidRDefault="00D04E4F" w:rsidP="00D04E4F">
            <w:pPr>
              <w:rPr>
                <w:rFonts w:cs="Arial"/>
              </w:rPr>
            </w:pPr>
            <w:r>
              <w:t>Много чести</w:t>
            </w:r>
          </w:p>
        </w:tc>
        <w:tc>
          <w:tcPr>
            <w:tcW w:w="3348" w:type="dxa"/>
          </w:tcPr>
          <w:p w14:paraId="7B558383" w14:textId="4E87E43F" w:rsidR="00D04E4F" w:rsidRDefault="00D04E4F" w:rsidP="00D04E4F">
            <w:pPr>
              <w:rPr>
                <w:rFonts w:cs="Arial"/>
              </w:rPr>
            </w:pPr>
            <w:r>
              <w:t>Гадене</w:t>
            </w:r>
          </w:p>
        </w:tc>
      </w:tr>
      <w:tr w:rsidR="00D04E4F" w14:paraId="695BE007" w14:textId="77777777" w:rsidTr="00D04E4F">
        <w:tc>
          <w:tcPr>
            <w:tcW w:w="3125" w:type="dxa"/>
            <w:vMerge/>
          </w:tcPr>
          <w:p w14:paraId="043964BD" w14:textId="77777777" w:rsidR="00D04E4F" w:rsidRDefault="00D04E4F" w:rsidP="00D04E4F">
            <w:pPr>
              <w:rPr>
                <w:rFonts w:cs="Arial"/>
              </w:rPr>
            </w:pPr>
          </w:p>
        </w:tc>
        <w:tc>
          <w:tcPr>
            <w:tcW w:w="3103" w:type="dxa"/>
          </w:tcPr>
          <w:p w14:paraId="28DA5F28" w14:textId="4E4C1B94" w:rsidR="00D04E4F" w:rsidRDefault="00D04E4F" w:rsidP="00D04E4F">
            <w:pPr>
              <w:rPr>
                <w:rFonts w:cs="Arial"/>
              </w:rPr>
            </w:pPr>
            <w:r>
              <w:t>Чести</w:t>
            </w:r>
          </w:p>
        </w:tc>
        <w:tc>
          <w:tcPr>
            <w:tcW w:w="3348" w:type="dxa"/>
          </w:tcPr>
          <w:p w14:paraId="5C8159B8" w14:textId="58CADCAC" w:rsidR="00D04E4F" w:rsidRDefault="00D04E4F" w:rsidP="00D04E4F">
            <w:pPr>
              <w:rPr>
                <w:rFonts w:cs="Arial"/>
              </w:rPr>
            </w:pPr>
            <w:r>
              <w:t>Диария Повръщане</w:t>
            </w:r>
          </w:p>
        </w:tc>
      </w:tr>
      <w:tr w:rsidR="00D04E4F" w14:paraId="00FF9004" w14:textId="77777777" w:rsidTr="00D04E4F">
        <w:tc>
          <w:tcPr>
            <w:tcW w:w="3125" w:type="dxa"/>
            <w:vMerge w:val="restart"/>
          </w:tcPr>
          <w:p w14:paraId="04AE53DF" w14:textId="79809F80" w:rsidR="00D04E4F" w:rsidRDefault="00D04E4F" w:rsidP="00D04E4F">
            <w:pPr>
              <w:rPr>
                <w:rFonts w:cs="Arial"/>
              </w:rPr>
            </w:pPr>
            <w:r>
              <w:t>Хепато-билиарни нарушения</w:t>
            </w:r>
          </w:p>
        </w:tc>
        <w:tc>
          <w:tcPr>
            <w:tcW w:w="3103" w:type="dxa"/>
          </w:tcPr>
          <w:p w14:paraId="2ED457FF" w14:textId="5673FCB7" w:rsidR="00D04E4F" w:rsidRDefault="00D04E4F" w:rsidP="00D04E4F">
            <w:pPr>
              <w:rPr>
                <w:rFonts w:cs="Arial"/>
              </w:rPr>
            </w:pPr>
            <w:r>
              <w:t>Чести</w:t>
            </w:r>
          </w:p>
        </w:tc>
        <w:tc>
          <w:tcPr>
            <w:tcW w:w="3348" w:type="dxa"/>
          </w:tcPr>
          <w:p w14:paraId="23409E24" w14:textId="3AB2E534" w:rsidR="00D04E4F" w:rsidRDefault="00D04E4F" w:rsidP="00D04E4F">
            <w:pPr>
              <w:rPr>
                <w:rFonts w:cs="Arial"/>
              </w:rPr>
            </w:pPr>
            <w:r>
              <w:t>Повишаване на алкалната фосфатаза, аланинаминотрансферазата и аспартатаминотрансферазата</w:t>
            </w:r>
          </w:p>
        </w:tc>
      </w:tr>
      <w:tr w:rsidR="00D04E4F" w14:paraId="2FB193D1" w14:textId="77777777" w:rsidTr="00D04E4F">
        <w:tc>
          <w:tcPr>
            <w:tcW w:w="3125" w:type="dxa"/>
            <w:vMerge/>
          </w:tcPr>
          <w:p w14:paraId="6744A11F" w14:textId="77777777" w:rsidR="00D04E4F" w:rsidRDefault="00D04E4F" w:rsidP="00D04E4F">
            <w:pPr>
              <w:rPr>
                <w:rFonts w:cs="Arial"/>
              </w:rPr>
            </w:pPr>
          </w:p>
        </w:tc>
        <w:tc>
          <w:tcPr>
            <w:tcW w:w="3103" w:type="dxa"/>
          </w:tcPr>
          <w:p w14:paraId="4EE620E4" w14:textId="7C0FC4DE" w:rsidR="00D04E4F" w:rsidRDefault="00D04E4F" w:rsidP="00D04E4F">
            <w:pPr>
              <w:rPr>
                <w:rFonts w:cs="Arial"/>
              </w:rPr>
            </w:pPr>
            <w:r>
              <w:t>Нечести</w:t>
            </w:r>
          </w:p>
        </w:tc>
        <w:tc>
          <w:tcPr>
            <w:tcW w:w="3348" w:type="dxa"/>
          </w:tcPr>
          <w:p w14:paraId="040075B5" w14:textId="77777777" w:rsidR="00D04E4F" w:rsidRDefault="00D04E4F" w:rsidP="00D04E4F">
            <w:r>
              <w:t>Повишаване на гама</w:t>
            </w:r>
            <w:r w:rsidRPr="00D04E4F">
              <w:rPr>
                <w:lang w:val="ru-RU"/>
              </w:rPr>
              <w:t>-</w:t>
            </w:r>
            <w:r>
              <w:rPr>
                <w:lang w:val="en-US"/>
              </w:rPr>
              <w:t>GT</w:t>
            </w:r>
            <w:r w:rsidRPr="00D04E4F">
              <w:rPr>
                <w:lang w:val="ru-RU"/>
              </w:rPr>
              <w:t xml:space="preserve"> </w:t>
            </w:r>
            <w:r>
              <w:t>и бибирубина</w:t>
            </w:r>
          </w:p>
          <w:p w14:paraId="6D88AF14" w14:textId="20B05A60" w:rsidR="00D04E4F" w:rsidRDefault="00D04E4F" w:rsidP="00D04E4F">
            <w:pPr>
              <w:rPr>
                <w:rFonts w:cs="Arial"/>
              </w:rPr>
            </w:pPr>
            <w:r>
              <w:t>Хепатит</w:t>
            </w:r>
          </w:p>
        </w:tc>
      </w:tr>
      <w:tr w:rsidR="00D04E4F" w14:paraId="47D69F83" w14:textId="77777777" w:rsidTr="00D04E4F">
        <w:tc>
          <w:tcPr>
            <w:tcW w:w="3125" w:type="dxa"/>
            <w:vMerge w:val="restart"/>
          </w:tcPr>
          <w:p w14:paraId="4A809503" w14:textId="2887E281" w:rsidR="00D04E4F" w:rsidRDefault="00D04E4F" w:rsidP="00D04E4F">
            <w:pPr>
              <w:rPr>
                <w:rFonts w:cs="Arial"/>
              </w:rPr>
            </w:pPr>
            <w:r>
              <w:lastRenderedPageBreak/>
              <w:t>Нарушения на кожата и подкожната тъкан</w:t>
            </w:r>
          </w:p>
        </w:tc>
        <w:tc>
          <w:tcPr>
            <w:tcW w:w="3103" w:type="dxa"/>
          </w:tcPr>
          <w:p w14:paraId="41E176FF" w14:textId="0009293D" w:rsidR="00D04E4F" w:rsidRDefault="00D04E4F" w:rsidP="00D04E4F">
            <w:pPr>
              <w:rPr>
                <w:rFonts w:cs="Arial"/>
              </w:rPr>
            </w:pPr>
            <w:r>
              <w:t>Много чести</w:t>
            </w:r>
          </w:p>
        </w:tc>
        <w:tc>
          <w:tcPr>
            <w:tcW w:w="3348" w:type="dxa"/>
          </w:tcPr>
          <w:p w14:paraId="019EE57D" w14:textId="7A7FA960" w:rsidR="00D04E4F" w:rsidRDefault="00D04E4F" w:rsidP="00D04E4F">
            <w:pPr>
              <w:rPr>
                <w:rFonts w:cs="Arial"/>
              </w:rPr>
            </w:pPr>
            <w:r>
              <w:t>Обрив</w:t>
            </w:r>
          </w:p>
        </w:tc>
      </w:tr>
      <w:tr w:rsidR="00D04E4F" w14:paraId="1DB24073" w14:textId="77777777" w:rsidTr="00D04E4F">
        <w:tc>
          <w:tcPr>
            <w:tcW w:w="3125" w:type="dxa"/>
            <w:vMerge/>
          </w:tcPr>
          <w:p w14:paraId="0FB239CA" w14:textId="77777777" w:rsidR="00D04E4F" w:rsidRDefault="00D04E4F" w:rsidP="00D04E4F">
            <w:pPr>
              <w:rPr>
                <w:rFonts w:cs="Arial"/>
              </w:rPr>
            </w:pPr>
          </w:p>
        </w:tc>
        <w:tc>
          <w:tcPr>
            <w:tcW w:w="3103" w:type="dxa"/>
          </w:tcPr>
          <w:p w14:paraId="435FA71D" w14:textId="0E91CC21" w:rsidR="00D04E4F" w:rsidRDefault="00D04E4F" w:rsidP="00D04E4F">
            <w:pPr>
              <w:rPr>
                <w:rFonts w:cs="Arial"/>
              </w:rPr>
            </w:pPr>
            <w:r>
              <w:t>Чести</w:t>
            </w:r>
          </w:p>
        </w:tc>
        <w:tc>
          <w:tcPr>
            <w:tcW w:w="3348" w:type="dxa"/>
          </w:tcPr>
          <w:p w14:paraId="479AEE3C" w14:textId="0A50BFAB" w:rsidR="00D04E4F" w:rsidRDefault="00D04E4F" w:rsidP="00D04E4F">
            <w:pPr>
              <w:rPr>
                <w:rFonts w:cs="Arial"/>
              </w:rPr>
            </w:pPr>
            <w:r>
              <w:t>Оредяване на косата (алопеция) Алергична реакция</w:t>
            </w:r>
          </w:p>
        </w:tc>
      </w:tr>
      <w:tr w:rsidR="00D04E4F" w14:paraId="5B6E34D4" w14:textId="77777777" w:rsidTr="00D04E4F">
        <w:tc>
          <w:tcPr>
            <w:tcW w:w="3125" w:type="dxa"/>
            <w:vMerge/>
          </w:tcPr>
          <w:p w14:paraId="5A5F4EA6" w14:textId="77777777" w:rsidR="00D04E4F" w:rsidRDefault="00D04E4F" w:rsidP="00D04E4F">
            <w:pPr>
              <w:rPr>
                <w:rFonts w:cs="Arial"/>
              </w:rPr>
            </w:pPr>
          </w:p>
        </w:tc>
        <w:tc>
          <w:tcPr>
            <w:tcW w:w="3103" w:type="dxa"/>
          </w:tcPr>
          <w:p w14:paraId="15590C1A" w14:textId="56D5C701" w:rsidR="00D04E4F" w:rsidRDefault="00D04E4F" w:rsidP="00D04E4F">
            <w:pPr>
              <w:rPr>
                <w:rFonts w:cs="Arial"/>
              </w:rPr>
            </w:pPr>
            <w:r>
              <w:t>Нечести</w:t>
            </w:r>
          </w:p>
        </w:tc>
        <w:tc>
          <w:tcPr>
            <w:tcW w:w="3348" w:type="dxa"/>
          </w:tcPr>
          <w:p w14:paraId="1431F41A" w14:textId="624060EE" w:rsidR="00D04E4F" w:rsidRDefault="00D04E4F" w:rsidP="00D04E4F">
            <w:pPr>
              <w:rPr>
                <w:rFonts w:cs="Arial"/>
              </w:rPr>
            </w:pPr>
            <w:r>
              <w:t>Уртикария</w:t>
            </w:r>
          </w:p>
        </w:tc>
      </w:tr>
      <w:tr w:rsidR="00D04E4F" w14:paraId="077C2386" w14:textId="77777777" w:rsidTr="00D04E4F">
        <w:tc>
          <w:tcPr>
            <w:tcW w:w="3125" w:type="dxa"/>
            <w:vMerge/>
          </w:tcPr>
          <w:p w14:paraId="2DED8960" w14:textId="77777777" w:rsidR="00D04E4F" w:rsidRDefault="00D04E4F" w:rsidP="00D04E4F">
            <w:pPr>
              <w:rPr>
                <w:rFonts w:cs="Arial"/>
              </w:rPr>
            </w:pPr>
          </w:p>
        </w:tc>
        <w:tc>
          <w:tcPr>
            <w:tcW w:w="3103" w:type="dxa"/>
          </w:tcPr>
          <w:p w14:paraId="0CBBF1FC" w14:textId="5AD3760F" w:rsidR="00D04E4F" w:rsidRDefault="00D04E4F" w:rsidP="00D04E4F">
            <w:pPr>
              <w:rPr>
                <w:rFonts w:cs="Arial"/>
              </w:rPr>
            </w:pPr>
            <w:r>
              <w:t>Редки</w:t>
            </w:r>
          </w:p>
        </w:tc>
        <w:tc>
          <w:tcPr>
            <w:tcW w:w="3348" w:type="dxa"/>
          </w:tcPr>
          <w:p w14:paraId="213EF650" w14:textId="7D64F0FE" w:rsidR="00D04E4F" w:rsidRDefault="00D04E4F" w:rsidP="00D04E4F">
            <w:pPr>
              <w:rPr>
                <w:rFonts w:cs="Arial"/>
              </w:rPr>
            </w:pPr>
            <w:r>
              <w:t xml:space="preserve">Еритема мултиформе Анафилактоидна реакция Кожен васкулит (включително няколко случая на </w:t>
            </w:r>
            <w:r>
              <w:rPr>
                <w:lang w:val="en-US"/>
              </w:rPr>
              <w:t>Henoch</w:t>
            </w:r>
            <w:r w:rsidRPr="00D04E4F">
              <w:rPr>
                <w:lang w:val="ru-RU"/>
              </w:rPr>
              <w:t xml:space="preserve">- </w:t>
            </w:r>
            <w:proofErr w:type="spellStart"/>
            <w:r>
              <w:rPr>
                <w:lang w:val="en-US"/>
              </w:rPr>
              <w:t>Schonlein</w:t>
            </w:r>
            <w:proofErr w:type="spellEnd"/>
            <w:r w:rsidRPr="00D04E4F">
              <w:rPr>
                <w:lang w:val="ru-RU"/>
              </w:rPr>
              <w:t>)**</w:t>
            </w:r>
          </w:p>
        </w:tc>
      </w:tr>
      <w:tr w:rsidR="00D04E4F" w14:paraId="6CA142AE" w14:textId="77777777" w:rsidTr="00D04E4F">
        <w:tc>
          <w:tcPr>
            <w:tcW w:w="3125" w:type="dxa"/>
            <w:vMerge/>
          </w:tcPr>
          <w:p w14:paraId="406B7198" w14:textId="77777777" w:rsidR="00D04E4F" w:rsidRDefault="00D04E4F" w:rsidP="00D04E4F">
            <w:pPr>
              <w:rPr>
                <w:rFonts w:cs="Arial"/>
              </w:rPr>
            </w:pPr>
          </w:p>
        </w:tc>
        <w:tc>
          <w:tcPr>
            <w:tcW w:w="3103" w:type="dxa"/>
          </w:tcPr>
          <w:p w14:paraId="74F1AA9C" w14:textId="247E2E6C" w:rsidR="00D04E4F" w:rsidRDefault="00D04E4F" w:rsidP="00D04E4F">
            <w:pPr>
              <w:rPr>
                <w:rFonts w:cs="Arial"/>
              </w:rPr>
            </w:pPr>
            <w:r>
              <w:t>Много редки</w:t>
            </w:r>
          </w:p>
        </w:tc>
        <w:tc>
          <w:tcPr>
            <w:tcW w:w="3348" w:type="dxa"/>
          </w:tcPr>
          <w:p w14:paraId="762B0D11" w14:textId="17C79950" w:rsidR="00D04E4F" w:rsidRDefault="00D04E4F" w:rsidP="00D04E4F">
            <w:pPr>
              <w:rPr>
                <w:rFonts w:cs="Arial"/>
              </w:rPr>
            </w:pPr>
            <w:r>
              <w:t xml:space="preserve">Синдром на </w:t>
            </w:r>
            <w:r>
              <w:rPr>
                <w:lang w:val="en-US"/>
              </w:rPr>
              <w:t>Stevens</w:t>
            </w:r>
            <w:r w:rsidRPr="00D04E4F">
              <w:rPr>
                <w:lang w:val="ru-RU"/>
              </w:rPr>
              <w:t>-</w:t>
            </w:r>
            <w:r>
              <w:rPr>
                <w:lang w:val="en-US"/>
              </w:rPr>
              <w:t>Johnson</w:t>
            </w:r>
            <w:r w:rsidRPr="00D04E4F">
              <w:rPr>
                <w:lang w:val="ru-RU"/>
              </w:rPr>
              <w:t xml:space="preserve"> </w:t>
            </w:r>
            <w:r>
              <w:t>Ангиодем</w:t>
            </w:r>
          </w:p>
        </w:tc>
      </w:tr>
      <w:tr w:rsidR="00D04E4F" w14:paraId="2A7C762A" w14:textId="77777777" w:rsidTr="00D04E4F">
        <w:tc>
          <w:tcPr>
            <w:tcW w:w="3125" w:type="dxa"/>
            <w:vMerge w:val="restart"/>
          </w:tcPr>
          <w:p w14:paraId="0187F0A5" w14:textId="3592FDDC" w:rsidR="00D04E4F" w:rsidRDefault="00D04E4F" w:rsidP="00D04E4F">
            <w:pPr>
              <w:rPr>
                <w:rFonts w:cs="Arial"/>
              </w:rPr>
            </w:pPr>
            <w:r>
              <w:t>Нарушения на мускулно- скелетната система и съединителната тъкан</w:t>
            </w:r>
          </w:p>
        </w:tc>
        <w:tc>
          <w:tcPr>
            <w:tcW w:w="3103" w:type="dxa"/>
          </w:tcPr>
          <w:p w14:paraId="57279EEA" w14:textId="6321B9C9" w:rsidR="00D04E4F" w:rsidRDefault="00D04E4F" w:rsidP="00D04E4F">
            <w:pPr>
              <w:rPr>
                <w:rFonts w:cs="Arial"/>
              </w:rPr>
            </w:pPr>
            <w:r>
              <w:t>Много чести</w:t>
            </w:r>
          </w:p>
        </w:tc>
        <w:tc>
          <w:tcPr>
            <w:tcW w:w="3348" w:type="dxa"/>
          </w:tcPr>
          <w:p w14:paraId="1FE13E32" w14:textId="77777777" w:rsidR="00D04E4F" w:rsidRDefault="00D04E4F" w:rsidP="00D04E4F">
            <w:r>
              <w:t>Атралгия/Скованост на ставите</w:t>
            </w:r>
          </w:p>
          <w:p w14:paraId="1F1BC667" w14:textId="77777777" w:rsidR="00D04E4F" w:rsidRDefault="00D04E4F" w:rsidP="00D04E4F">
            <w:r>
              <w:t>Артрит</w:t>
            </w:r>
          </w:p>
          <w:p w14:paraId="260860F6" w14:textId="079726C7" w:rsidR="00D04E4F" w:rsidRDefault="00D04E4F" w:rsidP="00D04E4F">
            <w:pPr>
              <w:rPr>
                <w:rFonts w:cs="Arial"/>
              </w:rPr>
            </w:pPr>
            <w:r>
              <w:t>Остеопороза</w:t>
            </w:r>
          </w:p>
        </w:tc>
      </w:tr>
      <w:tr w:rsidR="00D04E4F" w14:paraId="7EEF123D" w14:textId="77777777" w:rsidTr="00D04E4F">
        <w:tc>
          <w:tcPr>
            <w:tcW w:w="3125" w:type="dxa"/>
            <w:vMerge/>
          </w:tcPr>
          <w:p w14:paraId="03CDF6F6" w14:textId="77777777" w:rsidR="00D04E4F" w:rsidRDefault="00D04E4F" w:rsidP="00D04E4F">
            <w:pPr>
              <w:rPr>
                <w:rFonts w:cs="Arial"/>
              </w:rPr>
            </w:pPr>
          </w:p>
        </w:tc>
        <w:tc>
          <w:tcPr>
            <w:tcW w:w="3103" w:type="dxa"/>
          </w:tcPr>
          <w:p w14:paraId="0F87FCB5" w14:textId="4CB74D1A" w:rsidR="00D04E4F" w:rsidRDefault="00D04E4F" w:rsidP="00D04E4F">
            <w:pPr>
              <w:rPr>
                <w:rFonts w:cs="Arial"/>
              </w:rPr>
            </w:pPr>
            <w:r>
              <w:t>Чести</w:t>
            </w:r>
          </w:p>
        </w:tc>
        <w:tc>
          <w:tcPr>
            <w:tcW w:w="3348" w:type="dxa"/>
          </w:tcPr>
          <w:p w14:paraId="6EF66E36" w14:textId="2F15A9C0" w:rsidR="00D04E4F" w:rsidRDefault="00D04E4F" w:rsidP="00D04E4F">
            <w:pPr>
              <w:rPr>
                <w:rFonts w:cs="Arial"/>
              </w:rPr>
            </w:pPr>
            <w:r>
              <w:t>Костна болка Миалгия</w:t>
            </w:r>
          </w:p>
        </w:tc>
      </w:tr>
      <w:tr w:rsidR="00D04E4F" w14:paraId="3F3EC236" w14:textId="77777777" w:rsidTr="00D04E4F">
        <w:tc>
          <w:tcPr>
            <w:tcW w:w="3125" w:type="dxa"/>
            <w:vMerge/>
          </w:tcPr>
          <w:p w14:paraId="349B9B7B" w14:textId="77777777" w:rsidR="00D04E4F" w:rsidRDefault="00D04E4F" w:rsidP="00D04E4F">
            <w:pPr>
              <w:rPr>
                <w:rFonts w:cs="Arial"/>
              </w:rPr>
            </w:pPr>
          </w:p>
        </w:tc>
        <w:tc>
          <w:tcPr>
            <w:tcW w:w="3103" w:type="dxa"/>
          </w:tcPr>
          <w:p w14:paraId="50A8981F" w14:textId="6D1DF347" w:rsidR="00D04E4F" w:rsidRDefault="00D04E4F" w:rsidP="00D04E4F">
            <w:pPr>
              <w:rPr>
                <w:rFonts w:cs="Arial"/>
              </w:rPr>
            </w:pPr>
            <w:r>
              <w:t>Нечести</w:t>
            </w:r>
          </w:p>
        </w:tc>
        <w:tc>
          <w:tcPr>
            <w:tcW w:w="3348" w:type="dxa"/>
          </w:tcPr>
          <w:p w14:paraId="6EE0C050" w14:textId="310AE467" w:rsidR="00D04E4F" w:rsidRDefault="00D04E4F" w:rsidP="00D04E4F">
            <w:pPr>
              <w:rPr>
                <w:rFonts w:cs="Arial"/>
              </w:rPr>
            </w:pPr>
            <w:r>
              <w:t>Щракащ пръст</w:t>
            </w:r>
          </w:p>
        </w:tc>
      </w:tr>
      <w:tr w:rsidR="00D04E4F" w14:paraId="63F705C5" w14:textId="77777777" w:rsidTr="00D04E4F">
        <w:tc>
          <w:tcPr>
            <w:tcW w:w="3125" w:type="dxa"/>
          </w:tcPr>
          <w:p w14:paraId="65AD62EA" w14:textId="09E915C5" w:rsidR="00D04E4F" w:rsidRDefault="00D04E4F" w:rsidP="00D04E4F">
            <w:pPr>
              <w:rPr>
                <w:rFonts w:cs="Arial"/>
              </w:rPr>
            </w:pPr>
            <w:r>
              <w:t>Нарушения на възпроизводителната система и гърдата</w:t>
            </w:r>
          </w:p>
        </w:tc>
        <w:tc>
          <w:tcPr>
            <w:tcW w:w="3103" w:type="dxa"/>
          </w:tcPr>
          <w:p w14:paraId="47B887EB" w14:textId="4DF4CB95" w:rsidR="00D04E4F" w:rsidRDefault="00D04E4F" w:rsidP="00D04E4F">
            <w:pPr>
              <w:rPr>
                <w:rFonts w:cs="Arial"/>
              </w:rPr>
            </w:pPr>
            <w:r>
              <w:t>Чести</w:t>
            </w:r>
          </w:p>
        </w:tc>
        <w:tc>
          <w:tcPr>
            <w:tcW w:w="3348" w:type="dxa"/>
          </w:tcPr>
          <w:p w14:paraId="0D432534" w14:textId="4332E2A1" w:rsidR="00D04E4F" w:rsidRDefault="00D04E4F" w:rsidP="00D04E4F">
            <w:pPr>
              <w:rPr>
                <w:rFonts w:cs="Arial"/>
              </w:rPr>
            </w:pPr>
            <w:r>
              <w:t>Сухота във влагалището Вагинално кървене ***</w:t>
            </w:r>
          </w:p>
        </w:tc>
      </w:tr>
      <w:tr w:rsidR="00D04E4F" w14:paraId="3FD817C5" w14:textId="77777777" w:rsidTr="00D04E4F">
        <w:tc>
          <w:tcPr>
            <w:tcW w:w="3125" w:type="dxa"/>
          </w:tcPr>
          <w:p w14:paraId="16A53428" w14:textId="122D099E" w:rsidR="00D04E4F" w:rsidRDefault="00D04E4F" w:rsidP="00D04E4F">
            <w:pPr>
              <w:rPr>
                <w:rFonts w:cs="Arial"/>
              </w:rPr>
            </w:pPr>
            <w:r>
              <w:t>Общи нарушения и ефекти на мястото на приложение</w:t>
            </w:r>
          </w:p>
        </w:tc>
        <w:tc>
          <w:tcPr>
            <w:tcW w:w="3103" w:type="dxa"/>
          </w:tcPr>
          <w:p w14:paraId="5ACE90FC" w14:textId="64D69EAE" w:rsidR="00D04E4F" w:rsidRDefault="00D04E4F" w:rsidP="00D04E4F">
            <w:pPr>
              <w:rPr>
                <w:rFonts w:cs="Arial"/>
              </w:rPr>
            </w:pPr>
            <w:r>
              <w:t>Много чести</w:t>
            </w:r>
          </w:p>
        </w:tc>
        <w:tc>
          <w:tcPr>
            <w:tcW w:w="3348" w:type="dxa"/>
          </w:tcPr>
          <w:p w14:paraId="419D0510" w14:textId="18926077" w:rsidR="00D04E4F" w:rsidRDefault="00D04E4F" w:rsidP="00D04E4F">
            <w:pPr>
              <w:rPr>
                <w:rFonts w:cs="Arial"/>
              </w:rPr>
            </w:pPr>
            <w:r>
              <w:t>Астения</w:t>
            </w:r>
          </w:p>
        </w:tc>
      </w:tr>
    </w:tbl>
    <w:p w14:paraId="1AA8709A" w14:textId="77777777" w:rsidR="00D04E4F" w:rsidRDefault="00D04E4F" w:rsidP="00D04E4F">
      <w:pPr>
        <w:spacing w:line="240" w:lineRule="auto"/>
        <w:rPr>
          <w:rFonts w:eastAsia="Times New Roman" w:cs="Arial"/>
          <w:color w:val="000000"/>
          <w:lang w:eastAsia="bg-BG"/>
        </w:rPr>
      </w:pPr>
    </w:p>
    <w:p w14:paraId="5A93A3A3" w14:textId="7506A302" w:rsidR="00D04E4F" w:rsidRPr="00D04E4F" w:rsidRDefault="00D04E4F" w:rsidP="00D04E4F">
      <w:pPr>
        <w:spacing w:line="240" w:lineRule="auto"/>
        <w:rPr>
          <w:rFonts w:eastAsia="Times New Roman" w:cs="Arial"/>
          <w:color w:val="000000"/>
          <w:lang w:eastAsia="bg-BG"/>
        </w:rPr>
      </w:pPr>
      <w:r w:rsidRPr="00D04E4F">
        <w:rPr>
          <w:rFonts w:eastAsia="Times New Roman" w:cs="Arial"/>
          <w:color w:val="000000"/>
          <w:lang w:eastAsia="bg-BG"/>
        </w:rPr>
        <w:t xml:space="preserve">*Съобщения за Синдром на карпалния канал са съобщавани при по-голям брой пациенти в клинични проучвания, получаващи терапия с анастрозол, отколкото при тези, получаващи тамоксифен. Въпреки това, повечето от тези събития възникват при пациенти с идентифицируеми рискови фактори за възникване на това </w:t>
      </w:r>
      <w:r w:rsidRPr="00D04E4F">
        <w:rPr>
          <w:rFonts w:eastAsia="Times New Roman" w:cs="Arial"/>
          <w:i/>
          <w:iCs/>
          <w:color w:val="000000"/>
          <w:lang w:eastAsia="bg-BG"/>
        </w:rPr>
        <w:t>състояние.</w:t>
      </w:r>
    </w:p>
    <w:p w14:paraId="71EC65B4" w14:textId="77777777" w:rsidR="00D04E4F" w:rsidRPr="00D04E4F" w:rsidRDefault="00D04E4F" w:rsidP="00D04E4F">
      <w:pPr>
        <w:rPr>
          <w:rFonts w:eastAsia="Times New Roman" w:cs="Arial"/>
          <w:color w:val="000000"/>
          <w:lang w:eastAsia="bg-BG"/>
        </w:rPr>
      </w:pPr>
    </w:p>
    <w:p w14:paraId="6B2BEDFF" w14:textId="77777777" w:rsidR="00D04E4F" w:rsidRPr="00D04E4F" w:rsidRDefault="00D04E4F" w:rsidP="00D04E4F">
      <w:pPr>
        <w:rPr>
          <w:rFonts w:eastAsia="Times New Roman" w:cs="Arial"/>
          <w:sz w:val="24"/>
          <w:szCs w:val="24"/>
        </w:rPr>
      </w:pPr>
      <w:r w:rsidRPr="00D04E4F">
        <w:rPr>
          <w:rFonts w:eastAsia="Times New Roman" w:cs="Arial"/>
          <w:color w:val="000000"/>
          <w:lang w:eastAsia="bg-BG"/>
        </w:rPr>
        <w:t xml:space="preserve">** Тъй като кожен васкулит и пурпура на </w:t>
      </w:r>
      <w:r w:rsidRPr="00D04E4F">
        <w:rPr>
          <w:rFonts w:eastAsia="Times New Roman" w:cs="Arial"/>
          <w:color w:val="000000"/>
          <w:lang w:val="en-US"/>
        </w:rPr>
        <w:t>Henoch</w:t>
      </w:r>
      <w:r w:rsidRPr="00D04E4F">
        <w:rPr>
          <w:rFonts w:eastAsia="Times New Roman" w:cs="Arial"/>
          <w:color w:val="000000"/>
          <w:lang w:val="ru-RU"/>
        </w:rPr>
        <w:t>-</w:t>
      </w:r>
      <w:proofErr w:type="spellStart"/>
      <w:r w:rsidRPr="00D04E4F">
        <w:rPr>
          <w:rFonts w:eastAsia="Times New Roman" w:cs="Arial"/>
          <w:color w:val="000000"/>
          <w:lang w:val="en-US"/>
        </w:rPr>
        <w:t>Schonlein</w:t>
      </w:r>
      <w:proofErr w:type="spellEnd"/>
      <w:r w:rsidRPr="00D04E4F">
        <w:rPr>
          <w:rFonts w:eastAsia="Times New Roman" w:cs="Arial"/>
          <w:color w:val="000000"/>
          <w:lang w:val="ru-RU"/>
        </w:rPr>
        <w:t xml:space="preserve"> </w:t>
      </w:r>
      <w:r w:rsidRPr="00D04E4F">
        <w:rPr>
          <w:rFonts w:eastAsia="Times New Roman" w:cs="Arial"/>
          <w:color w:val="000000"/>
          <w:lang w:eastAsia="bg-BG"/>
        </w:rPr>
        <w:t>не са наблюдавани при проучванетоАТАС, тези нежелани реакции могат да бъдат отнесени към категория "редки” (≥ 0,01 % и &lt; 0,1 %) въз основа на най-голямата приблизително оценена стойност.</w:t>
      </w:r>
    </w:p>
    <w:p w14:paraId="70F2D83E" w14:textId="77777777" w:rsidR="00D04E4F" w:rsidRPr="00D04E4F" w:rsidRDefault="00D04E4F" w:rsidP="00D04E4F">
      <w:pPr>
        <w:spacing w:line="240" w:lineRule="auto"/>
        <w:rPr>
          <w:rFonts w:eastAsia="Times New Roman" w:cs="Arial"/>
          <w:color w:val="000000"/>
          <w:lang w:eastAsia="bg-BG"/>
        </w:rPr>
      </w:pPr>
    </w:p>
    <w:p w14:paraId="0F563A7D" w14:textId="55386E78" w:rsidR="00D04E4F" w:rsidRPr="00D04E4F" w:rsidRDefault="00D04E4F" w:rsidP="00D04E4F">
      <w:pPr>
        <w:spacing w:line="240" w:lineRule="auto"/>
        <w:rPr>
          <w:rFonts w:eastAsia="Times New Roman" w:cs="Arial"/>
          <w:color w:val="000000"/>
          <w:lang w:eastAsia="bg-BG"/>
        </w:rPr>
      </w:pPr>
      <w:r w:rsidRPr="00D04E4F">
        <w:rPr>
          <w:rFonts w:eastAsia="Times New Roman" w:cs="Arial"/>
          <w:color w:val="000000"/>
          <w:lang w:eastAsia="bg-BG"/>
        </w:rPr>
        <w:t>*** Вагиналното кървене е било наблюдавано често, предимно при пациентки с напреднал карцином на гърдата по време на първите няколко седмици след преминаване от хормонална терапия към лечение с анастрозол. Ако кървенето персистира, трябва да се помисли за допълнителна оценка на състоянието.</w:t>
      </w:r>
    </w:p>
    <w:p w14:paraId="6080F567" w14:textId="77777777" w:rsidR="00D04E4F" w:rsidRPr="00D04E4F" w:rsidRDefault="00D04E4F" w:rsidP="00D04E4F">
      <w:pPr>
        <w:spacing w:line="240" w:lineRule="auto"/>
        <w:rPr>
          <w:rFonts w:eastAsia="Times New Roman" w:cs="Arial"/>
          <w:color w:val="000000"/>
          <w:lang w:eastAsia="bg-BG"/>
        </w:rPr>
      </w:pPr>
    </w:p>
    <w:p w14:paraId="7A0E81C8" w14:textId="2F5EBCE2"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Следващата таблица представя честотата на предварително определени нежелани събития в проучването АТАС след медиана на периода на проследяване от 68 месеца, независимо от причинно-следствената връзка, наблюдавани при пациенти получаващи проучваното лечение и до 14 дни след прекратяване на проучваната терапия.</w:t>
      </w:r>
    </w:p>
    <w:p w14:paraId="6F7C534E" w14:textId="77777777" w:rsidR="00D04E4F" w:rsidRPr="00D04E4F" w:rsidRDefault="00D04E4F" w:rsidP="00D04E4F">
      <w:pPr>
        <w:spacing w:line="240" w:lineRule="auto"/>
        <w:rPr>
          <w:rFonts w:eastAsia="Times New Roman" w:cs="Arial"/>
          <w:b/>
          <w:bCs/>
          <w:color w:val="000000"/>
          <w:lang w:eastAsia="bg-BG"/>
        </w:rPr>
      </w:pPr>
      <w:bookmarkStart w:id="1" w:name="bookmark0"/>
    </w:p>
    <w:p w14:paraId="1995D496" w14:textId="4E535F50" w:rsidR="00D04E4F" w:rsidRPr="00D04E4F" w:rsidRDefault="00D04E4F" w:rsidP="00D04E4F">
      <w:pPr>
        <w:spacing w:line="240" w:lineRule="auto"/>
        <w:rPr>
          <w:rFonts w:eastAsia="Times New Roman" w:cs="Arial"/>
          <w:sz w:val="24"/>
          <w:szCs w:val="24"/>
        </w:rPr>
      </w:pPr>
      <w:r w:rsidRPr="00D04E4F">
        <w:rPr>
          <w:rFonts w:eastAsia="Times New Roman" w:cs="Arial"/>
          <w:b/>
          <w:bCs/>
          <w:color w:val="000000"/>
          <w:lang w:eastAsia="bg-BG"/>
        </w:rPr>
        <w:t>Таблица: 2 Предварително определени събития в АТАС проучването</w:t>
      </w:r>
      <w:bookmarkEnd w:id="1"/>
    </w:p>
    <w:p w14:paraId="2D639ACD" w14:textId="77777777" w:rsidR="00D04E4F" w:rsidRPr="00D04E4F" w:rsidRDefault="00D04E4F" w:rsidP="00D04E4F">
      <w:pPr>
        <w:rPr>
          <w:rFonts w:cs="Arial"/>
        </w:rPr>
      </w:pPr>
      <w:r>
        <w:rPr>
          <w:rFonts w:cs="Arial"/>
        </w:rPr>
        <w:t xml:space="preserve"> </w:t>
      </w:r>
    </w:p>
    <w:tbl>
      <w:tblPr>
        <w:tblStyle w:val="TableGrid"/>
        <w:tblW w:w="0" w:type="auto"/>
        <w:tblLook w:val="04A0" w:firstRow="1" w:lastRow="0" w:firstColumn="1" w:lastColumn="0" w:noHBand="0" w:noVBand="1"/>
      </w:tblPr>
      <w:tblGrid>
        <w:gridCol w:w="3140"/>
        <w:gridCol w:w="3108"/>
        <w:gridCol w:w="3102"/>
      </w:tblGrid>
      <w:tr w:rsidR="00D04E4F" w14:paraId="3B62F581" w14:textId="77777777" w:rsidTr="00D04E4F">
        <w:tc>
          <w:tcPr>
            <w:tcW w:w="3192" w:type="dxa"/>
          </w:tcPr>
          <w:p w14:paraId="69D16F0A" w14:textId="4277A60E" w:rsidR="00D04E4F" w:rsidRPr="00D04E4F" w:rsidRDefault="00D04E4F" w:rsidP="00D04E4F">
            <w:pPr>
              <w:rPr>
                <w:rFonts w:cs="Arial"/>
              </w:rPr>
            </w:pPr>
            <w:r w:rsidRPr="00D04E4F">
              <w:rPr>
                <w:rFonts w:cs="Arial"/>
                <w:b/>
                <w:bCs/>
              </w:rPr>
              <w:t>Нежелани събития</w:t>
            </w:r>
          </w:p>
        </w:tc>
        <w:tc>
          <w:tcPr>
            <w:tcW w:w="3192" w:type="dxa"/>
          </w:tcPr>
          <w:p w14:paraId="229DCB92" w14:textId="032A4FEA" w:rsidR="00D04E4F" w:rsidRPr="00D04E4F" w:rsidRDefault="00D04E4F" w:rsidP="00D04E4F">
            <w:pPr>
              <w:rPr>
                <w:rFonts w:cs="Arial"/>
              </w:rPr>
            </w:pPr>
            <w:proofErr w:type="spellStart"/>
            <w:r w:rsidRPr="00D04E4F">
              <w:rPr>
                <w:rFonts w:cs="Arial"/>
                <w:b/>
                <w:bCs/>
                <w:lang w:val="en-US"/>
              </w:rPr>
              <w:t>Anastrozole</w:t>
            </w:r>
            <w:proofErr w:type="spellEnd"/>
            <w:r w:rsidRPr="00D04E4F">
              <w:rPr>
                <w:rFonts w:cs="Arial"/>
                <w:b/>
                <w:bCs/>
                <w:lang w:val="en-US"/>
              </w:rPr>
              <w:t xml:space="preserve"> (N=</w:t>
            </w:r>
            <w:r w:rsidRPr="00D04E4F">
              <w:rPr>
                <w:rFonts w:cs="Arial"/>
                <w:b/>
                <w:bCs/>
              </w:rPr>
              <w:t>3,092)</w:t>
            </w:r>
          </w:p>
        </w:tc>
        <w:tc>
          <w:tcPr>
            <w:tcW w:w="3192" w:type="dxa"/>
          </w:tcPr>
          <w:p w14:paraId="1A9759F6" w14:textId="09487BE8" w:rsidR="00D04E4F" w:rsidRPr="00D04E4F" w:rsidRDefault="00D04E4F" w:rsidP="00D04E4F">
            <w:pPr>
              <w:rPr>
                <w:rFonts w:cs="Arial"/>
              </w:rPr>
            </w:pPr>
            <w:r w:rsidRPr="00D04E4F">
              <w:rPr>
                <w:rFonts w:cs="Arial"/>
                <w:b/>
                <w:bCs/>
                <w:lang w:val="en-US"/>
              </w:rPr>
              <w:t>Tamoxifen (N=3,094)</w:t>
            </w:r>
          </w:p>
        </w:tc>
      </w:tr>
      <w:tr w:rsidR="00D04E4F" w14:paraId="36DBB02A" w14:textId="77777777" w:rsidTr="00D04E4F">
        <w:tc>
          <w:tcPr>
            <w:tcW w:w="3192" w:type="dxa"/>
          </w:tcPr>
          <w:p w14:paraId="5E71261C" w14:textId="3CC63A17" w:rsidR="00D04E4F" w:rsidRPr="00D04E4F" w:rsidRDefault="00D04E4F" w:rsidP="00D04E4F">
            <w:pPr>
              <w:rPr>
                <w:rFonts w:cs="Arial"/>
              </w:rPr>
            </w:pPr>
            <w:r w:rsidRPr="00D04E4F">
              <w:rPr>
                <w:rFonts w:cs="Arial"/>
              </w:rPr>
              <w:t>Горещи вълни</w:t>
            </w:r>
          </w:p>
        </w:tc>
        <w:tc>
          <w:tcPr>
            <w:tcW w:w="3192" w:type="dxa"/>
          </w:tcPr>
          <w:p w14:paraId="35CFEE9E" w14:textId="1BAF67C7" w:rsidR="00D04E4F" w:rsidRPr="00D04E4F" w:rsidRDefault="00D04E4F" w:rsidP="00D04E4F">
            <w:pPr>
              <w:rPr>
                <w:rFonts w:cs="Arial"/>
              </w:rPr>
            </w:pPr>
            <w:r w:rsidRPr="00D04E4F">
              <w:rPr>
                <w:rFonts w:cs="Arial"/>
              </w:rPr>
              <w:t>1,104 (35,7%)</w:t>
            </w:r>
          </w:p>
        </w:tc>
        <w:tc>
          <w:tcPr>
            <w:tcW w:w="3192" w:type="dxa"/>
          </w:tcPr>
          <w:p w14:paraId="0501F333" w14:textId="332D0945" w:rsidR="00D04E4F" w:rsidRPr="00D04E4F" w:rsidRDefault="00D04E4F" w:rsidP="00D04E4F">
            <w:pPr>
              <w:rPr>
                <w:rFonts w:cs="Arial"/>
              </w:rPr>
            </w:pPr>
            <w:r w:rsidRPr="00D04E4F">
              <w:rPr>
                <w:rFonts w:cs="Arial"/>
              </w:rPr>
              <w:t>1,264 (40,9%)</w:t>
            </w:r>
          </w:p>
        </w:tc>
      </w:tr>
      <w:tr w:rsidR="00D04E4F" w14:paraId="2D1B2D04" w14:textId="77777777" w:rsidTr="00D04E4F">
        <w:tc>
          <w:tcPr>
            <w:tcW w:w="3192" w:type="dxa"/>
          </w:tcPr>
          <w:p w14:paraId="2501FD6C" w14:textId="61C97CF2" w:rsidR="00D04E4F" w:rsidRPr="00D04E4F" w:rsidRDefault="00D04E4F" w:rsidP="00D04E4F">
            <w:pPr>
              <w:rPr>
                <w:rFonts w:cs="Arial"/>
              </w:rPr>
            </w:pPr>
            <w:r w:rsidRPr="00D04E4F">
              <w:rPr>
                <w:rFonts w:cs="Arial"/>
              </w:rPr>
              <w:t>Болки в ставите/скованост</w:t>
            </w:r>
          </w:p>
        </w:tc>
        <w:tc>
          <w:tcPr>
            <w:tcW w:w="3192" w:type="dxa"/>
          </w:tcPr>
          <w:p w14:paraId="5863DA9F" w14:textId="09CB4ACD" w:rsidR="00D04E4F" w:rsidRPr="00D04E4F" w:rsidRDefault="00D04E4F" w:rsidP="00D04E4F">
            <w:pPr>
              <w:rPr>
                <w:rFonts w:cs="Arial"/>
              </w:rPr>
            </w:pPr>
            <w:r w:rsidRPr="00D04E4F">
              <w:rPr>
                <w:rFonts w:cs="Arial"/>
              </w:rPr>
              <w:t>1,100 (35,6%)</w:t>
            </w:r>
          </w:p>
        </w:tc>
        <w:tc>
          <w:tcPr>
            <w:tcW w:w="3192" w:type="dxa"/>
          </w:tcPr>
          <w:p w14:paraId="09C6DD0F" w14:textId="570149C0" w:rsidR="00D04E4F" w:rsidRPr="00D04E4F" w:rsidRDefault="00D04E4F" w:rsidP="00D04E4F">
            <w:pPr>
              <w:rPr>
                <w:rFonts w:cs="Arial"/>
              </w:rPr>
            </w:pPr>
            <w:r w:rsidRPr="00D04E4F">
              <w:rPr>
                <w:rFonts w:cs="Arial"/>
              </w:rPr>
              <w:t>911 (29,4%)</w:t>
            </w:r>
          </w:p>
        </w:tc>
      </w:tr>
      <w:tr w:rsidR="00D04E4F" w14:paraId="6DC52BD4" w14:textId="77777777" w:rsidTr="00D04E4F">
        <w:tc>
          <w:tcPr>
            <w:tcW w:w="3192" w:type="dxa"/>
          </w:tcPr>
          <w:p w14:paraId="069ABE82" w14:textId="67773C30" w:rsidR="00D04E4F" w:rsidRPr="00D04E4F" w:rsidRDefault="00D04E4F" w:rsidP="00D04E4F">
            <w:pPr>
              <w:rPr>
                <w:rFonts w:cs="Arial"/>
              </w:rPr>
            </w:pPr>
            <w:r w:rsidRPr="00D04E4F">
              <w:rPr>
                <w:rFonts w:cs="Arial"/>
              </w:rPr>
              <w:lastRenderedPageBreak/>
              <w:t>Промени в настроението</w:t>
            </w:r>
          </w:p>
        </w:tc>
        <w:tc>
          <w:tcPr>
            <w:tcW w:w="3192" w:type="dxa"/>
          </w:tcPr>
          <w:p w14:paraId="798B42B6" w14:textId="644CFDCA" w:rsidR="00D04E4F" w:rsidRPr="00D04E4F" w:rsidRDefault="00D04E4F" w:rsidP="00D04E4F">
            <w:pPr>
              <w:rPr>
                <w:rFonts w:cs="Arial"/>
              </w:rPr>
            </w:pPr>
            <w:r w:rsidRPr="00D04E4F">
              <w:rPr>
                <w:rFonts w:cs="Arial"/>
              </w:rPr>
              <w:t>597(19,3%)</w:t>
            </w:r>
          </w:p>
        </w:tc>
        <w:tc>
          <w:tcPr>
            <w:tcW w:w="3192" w:type="dxa"/>
          </w:tcPr>
          <w:p w14:paraId="6E8B36E0" w14:textId="78B10DFD" w:rsidR="00D04E4F" w:rsidRPr="00D04E4F" w:rsidRDefault="00D04E4F" w:rsidP="00D04E4F">
            <w:pPr>
              <w:rPr>
                <w:rFonts w:cs="Arial"/>
              </w:rPr>
            </w:pPr>
            <w:r w:rsidRPr="00D04E4F">
              <w:rPr>
                <w:rFonts w:cs="Arial"/>
              </w:rPr>
              <w:t>554(17,9%)</w:t>
            </w:r>
          </w:p>
        </w:tc>
      </w:tr>
      <w:tr w:rsidR="00D04E4F" w14:paraId="571D5C2B" w14:textId="77777777" w:rsidTr="00D04E4F">
        <w:tc>
          <w:tcPr>
            <w:tcW w:w="3192" w:type="dxa"/>
          </w:tcPr>
          <w:p w14:paraId="402F58FB" w14:textId="3B729A6C" w:rsidR="00D04E4F" w:rsidRPr="00D04E4F" w:rsidRDefault="00D04E4F" w:rsidP="00D04E4F">
            <w:pPr>
              <w:rPr>
                <w:rFonts w:cs="Arial"/>
              </w:rPr>
            </w:pPr>
            <w:r w:rsidRPr="00D04E4F">
              <w:rPr>
                <w:rFonts w:cs="Arial"/>
              </w:rPr>
              <w:t>Умора/астения</w:t>
            </w:r>
          </w:p>
        </w:tc>
        <w:tc>
          <w:tcPr>
            <w:tcW w:w="3192" w:type="dxa"/>
          </w:tcPr>
          <w:p w14:paraId="73755D7D" w14:textId="369AF049" w:rsidR="00D04E4F" w:rsidRPr="00D04E4F" w:rsidRDefault="00D04E4F" w:rsidP="00D04E4F">
            <w:pPr>
              <w:rPr>
                <w:rFonts w:cs="Arial"/>
              </w:rPr>
            </w:pPr>
            <w:r w:rsidRPr="00D04E4F">
              <w:rPr>
                <w:rFonts w:cs="Arial"/>
              </w:rPr>
              <w:t>575 (18,6%)</w:t>
            </w:r>
          </w:p>
        </w:tc>
        <w:tc>
          <w:tcPr>
            <w:tcW w:w="3192" w:type="dxa"/>
          </w:tcPr>
          <w:p w14:paraId="7890691C" w14:textId="7100EC32" w:rsidR="00D04E4F" w:rsidRPr="00D04E4F" w:rsidRDefault="00D04E4F" w:rsidP="00D04E4F">
            <w:pPr>
              <w:rPr>
                <w:rFonts w:cs="Arial"/>
              </w:rPr>
            </w:pPr>
            <w:r w:rsidRPr="00D04E4F">
              <w:rPr>
                <w:rFonts w:cs="Arial"/>
              </w:rPr>
              <w:t>544(17,6%)</w:t>
            </w:r>
          </w:p>
        </w:tc>
      </w:tr>
      <w:tr w:rsidR="00D04E4F" w14:paraId="54F26BE4" w14:textId="77777777" w:rsidTr="00D04E4F">
        <w:tc>
          <w:tcPr>
            <w:tcW w:w="3192" w:type="dxa"/>
          </w:tcPr>
          <w:p w14:paraId="1C65C759" w14:textId="4B722589" w:rsidR="00D04E4F" w:rsidRPr="00D04E4F" w:rsidRDefault="00D04E4F" w:rsidP="00D04E4F">
            <w:pPr>
              <w:rPr>
                <w:rFonts w:cs="Arial"/>
              </w:rPr>
            </w:pPr>
            <w:r w:rsidRPr="00D04E4F">
              <w:rPr>
                <w:rFonts w:cs="Arial"/>
              </w:rPr>
              <w:t>Гадене и повръщане</w:t>
            </w:r>
          </w:p>
        </w:tc>
        <w:tc>
          <w:tcPr>
            <w:tcW w:w="3192" w:type="dxa"/>
          </w:tcPr>
          <w:p w14:paraId="079D6020" w14:textId="7516DDD8" w:rsidR="00D04E4F" w:rsidRPr="00D04E4F" w:rsidRDefault="00D04E4F" w:rsidP="00D04E4F">
            <w:pPr>
              <w:rPr>
                <w:rFonts w:cs="Arial"/>
              </w:rPr>
            </w:pPr>
            <w:r w:rsidRPr="00D04E4F">
              <w:rPr>
                <w:rFonts w:cs="Arial"/>
              </w:rPr>
              <w:t>393 (12,7%)</w:t>
            </w:r>
          </w:p>
        </w:tc>
        <w:tc>
          <w:tcPr>
            <w:tcW w:w="3192" w:type="dxa"/>
          </w:tcPr>
          <w:p w14:paraId="3B7D6758" w14:textId="0949A8F3" w:rsidR="00D04E4F" w:rsidRPr="00D04E4F" w:rsidRDefault="00D04E4F" w:rsidP="00D04E4F">
            <w:pPr>
              <w:rPr>
                <w:rFonts w:cs="Arial"/>
              </w:rPr>
            </w:pPr>
            <w:r w:rsidRPr="00D04E4F">
              <w:rPr>
                <w:rFonts w:cs="Arial"/>
              </w:rPr>
              <w:t>384(12,4%)</w:t>
            </w:r>
          </w:p>
        </w:tc>
      </w:tr>
      <w:tr w:rsidR="00D04E4F" w14:paraId="5BE69799" w14:textId="77777777" w:rsidTr="00D04E4F">
        <w:tc>
          <w:tcPr>
            <w:tcW w:w="3192" w:type="dxa"/>
          </w:tcPr>
          <w:p w14:paraId="7321EA42" w14:textId="69E320F5" w:rsidR="00D04E4F" w:rsidRPr="00D04E4F" w:rsidRDefault="00D04E4F" w:rsidP="00D04E4F">
            <w:pPr>
              <w:rPr>
                <w:rFonts w:cs="Arial"/>
              </w:rPr>
            </w:pPr>
            <w:r w:rsidRPr="00D04E4F">
              <w:rPr>
                <w:rFonts w:cs="Arial"/>
              </w:rPr>
              <w:t>Фрактури</w:t>
            </w:r>
          </w:p>
        </w:tc>
        <w:tc>
          <w:tcPr>
            <w:tcW w:w="3192" w:type="dxa"/>
          </w:tcPr>
          <w:p w14:paraId="7724DD69" w14:textId="49743710" w:rsidR="00D04E4F" w:rsidRPr="00D04E4F" w:rsidRDefault="00D04E4F" w:rsidP="00D04E4F">
            <w:pPr>
              <w:rPr>
                <w:rFonts w:cs="Arial"/>
              </w:rPr>
            </w:pPr>
            <w:r w:rsidRPr="00D04E4F">
              <w:rPr>
                <w:rFonts w:cs="Arial"/>
              </w:rPr>
              <w:t>315(10,2%)</w:t>
            </w:r>
          </w:p>
        </w:tc>
        <w:tc>
          <w:tcPr>
            <w:tcW w:w="3192" w:type="dxa"/>
          </w:tcPr>
          <w:p w14:paraId="5C4EF3AA" w14:textId="0A713569" w:rsidR="00D04E4F" w:rsidRPr="00D04E4F" w:rsidRDefault="00D04E4F" w:rsidP="00D04E4F">
            <w:pPr>
              <w:rPr>
                <w:rFonts w:cs="Arial"/>
              </w:rPr>
            </w:pPr>
            <w:r w:rsidRPr="00D04E4F">
              <w:rPr>
                <w:rFonts w:cs="Arial"/>
              </w:rPr>
              <w:t>209 (6,8%)</w:t>
            </w:r>
          </w:p>
        </w:tc>
      </w:tr>
      <w:tr w:rsidR="00D04E4F" w14:paraId="5E4A6DD9" w14:textId="77777777" w:rsidTr="00D04E4F">
        <w:tc>
          <w:tcPr>
            <w:tcW w:w="3192" w:type="dxa"/>
          </w:tcPr>
          <w:p w14:paraId="3852B66D" w14:textId="341AB365" w:rsidR="00D04E4F" w:rsidRPr="00D04E4F" w:rsidRDefault="00D04E4F" w:rsidP="00D04E4F">
            <w:pPr>
              <w:rPr>
                <w:rFonts w:cs="Arial"/>
              </w:rPr>
            </w:pPr>
            <w:r w:rsidRPr="00D04E4F">
              <w:rPr>
                <w:rFonts w:cs="Arial"/>
              </w:rPr>
              <w:t xml:space="preserve">Фрактури на гръбначнвия стълб, бедрената кост или китката/фрактура на </w:t>
            </w:r>
            <w:proofErr w:type="spellStart"/>
            <w:r w:rsidRPr="00D04E4F">
              <w:rPr>
                <w:rFonts w:cs="Arial"/>
                <w:lang w:val="en-US"/>
              </w:rPr>
              <w:t>Colles</w:t>
            </w:r>
            <w:proofErr w:type="spellEnd"/>
          </w:p>
        </w:tc>
        <w:tc>
          <w:tcPr>
            <w:tcW w:w="3192" w:type="dxa"/>
          </w:tcPr>
          <w:p w14:paraId="582D5860" w14:textId="7F60F0A5" w:rsidR="00D04E4F" w:rsidRPr="00D04E4F" w:rsidRDefault="00D04E4F" w:rsidP="00D04E4F">
            <w:pPr>
              <w:rPr>
                <w:rFonts w:cs="Arial"/>
              </w:rPr>
            </w:pPr>
            <w:r w:rsidRPr="00D04E4F">
              <w:rPr>
                <w:rFonts w:cs="Arial"/>
              </w:rPr>
              <w:t>133 (4,3%)</w:t>
            </w:r>
          </w:p>
        </w:tc>
        <w:tc>
          <w:tcPr>
            <w:tcW w:w="3192" w:type="dxa"/>
          </w:tcPr>
          <w:p w14:paraId="5EA4407A" w14:textId="44FCEAAB" w:rsidR="00D04E4F" w:rsidRPr="00D04E4F" w:rsidRDefault="00D04E4F" w:rsidP="00D04E4F">
            <w:pPr>
              <w:rPr>
                <w:rFonts w:cs="Arial"/>
              </w:rPr>
            </w:pPr>
            <w:r w:rsidRPr="00D04E4F">
              <w:rPr>
                <w:rFonts w:cs="Arial"/>
              </w:rPr>
              <w:t>91 (2,9%)</w:t>
            </w:r>
          </w:p>
        </w:tc>
      </w:tr>
      <w:tr w:rsidR="00D04E4F" w14:paraId="44302EBC" w14:textId="77777777" w:rsidTr="00D04E4F">
        <w:tc>
          <w:tcPr>
            <w:tcW w:w="3192" w:type="dxa"/>
          </w:tcPr>
          <w:p w14:paraId="6864FC64" w14:textId="35C37E5C" w:rsidR="00D04E4F" w:rsidRPr="00D04E4F" w:rsidRDefault="00D04E4F" w:rsidP="00D04E4F">
            <w:pPr>
              <w:rPr>
                <w:rFonts w:cs="Arial"/>
              </w:rPr>
            </w:pPr>
            <w:r w:rsidRPr="00D04E4F">
              <w:rPr>
                <w:rFonts w:cs="Arial"/>
              </w:rPr>
              <w:t xml:space="preserve">Китката//фрактура на </w:t>
            </w:r>
            <w:proofErr w:type="spellStart"/>
            <w:r w:rsidRPr="00D04E4F">
              <w:rPr>
                <w:rFonts w:cs="Arial"/>
                <w:lang w:val="en-US"/>
              </w:rPr>
              <w:t>Colles</w:t>
            </w:r>
            <w:proofErr w:type="spellEnd"/>
          </w:p>
        </w:tc>
        <w:tc>
          <w:tcPr>
            <w:tcW w:w="3192" w:type="dxa"/>
          </w:tcPr>
          <w:p w14:paraId="05336B03" w14:textId="27D359E7" w:rsidR="00D04E4F" w:rsidRPr="00D04E4F" w:rsidRDefault="00D04E4F" w:rsidP="00D04E4F">
            <w:pPr>
              <w:rPr>
                <w:rFonts w:cs="Arial"/>
              </w:rPr>
            </w:pPr>
            <w:r w:rsidRPr="00D04E4F">
              <w:rPr>
                <w:rFonts w:cs="Arial"/>
              </w:rPr>
              <w:t>67 (2,2%)</w:t>
            </w:r>
          </w:p>
        </w:tc>
        <w:tc>
          <w:tcPr>
            <w:tcW w:w="3192" w:type="dxa"/>
          </w:tcPr>
          <w:p w14:paraId="209D0E09" w14:textId="722CBB85" w:rsidR="00D04E4F" w:rsidRPr="00D04E4F" w:rsidRDefault="00D04E4F" w:rsidP="00D04E4F">
            <w:pPr>
              <w:rPr>
                <w:rFonts w:cs="Arial"/>
              </w:rPr>
            </w:pPr>
            <w:r w:rsidRPr="00D04E4F">
              <w:rPr>
                <w:rFonts w:cs="Arial"/>
              </w:rPr>
              <w:t>50(1,6%)</w:t>
            </w:r>
          </w:p>
        </w:tc>
      </w:tr>
      <w:tr w:rsidR="00D04E4F" w14:paraId="6D8220AB" w14:textId="77777777" w:rsidTr="00D04E4F">
        <w:tc>
          <w:tcPr>
            <w:tcW w:w="3192" w:type="dxa"/>
          </w:tcPr>
          <w:p w14:paraId="077DB65F" w14:textId="3922DDE5" w:rsidR="00D04E4F" w:rsidRPr="00D04E4F" w:rsidRDefault="00D04E4F" w:rsidP="00D04E4F">
            <w:pPr>
              <w:rPr>
                <w:rFonts w:cs="Arial"/>
              </w:rPr>
            </w:pPr>
            <w:r w:rsidRPr="00D04E4F">
              <w:rPr>
                <w:rFonts w:cs="Arial"/>
              </w:rPr>
              <w:t>Фрактури на гръбначния стълб</w:t>
            </w:r>
          </w:p>
        </w:tc>
        <w:tc>
          <w:tcPr>
            <w:tcW w:w="3192" w:type="dxa"/>
          </w:tcPr>
          <w:p w14:paraId="7CCA0657" w14:textId="09A76858" w:rsidR="00D04E4F" w:rsidRPr="00D04E4F" w:rsidRDefault="00D04E4F" w:rsidP="00D04E4F">
            <w:pPr>
              <w:rPr>
                <w:rFonts w:cs="Arial"/>
              </w:rPr>
            </w:pPr>
            <w:r w:rsidRPr="00D04E4F">
              <w:rPr>
                <w:rFonts w:cs="Arial"/>
              </w:rPr>
              <w:t>43 (1,4%)</w:t>
            </w:r>
          </w:p>
        </w:tc>
        <w:tc>
          <w:tcPr>
            <w:tcW w:w="3192" w:type="dxa"/>
          </w:tcPr>
          <w:p w14:paraId="6D6241C5" w14:textId="765ABCC0" w:rsidR="00D04E4F" w:rsidRPr="00D04E4F" w:rsidRDefault="00D04E4F" w:rsidP="00D04E4F">
            <w:pPr>
              <w:rPr>
                <w:rFonts w:cs="Arial"/>
              </w:rPr>
            </w:pPr>
            <w:r w:rsidRPr="00D04E4F">
              <w:rPr>
                <w:rFonts w:cs="Arial"/>
              </w:rPr>
              <w:t>22 (0,7%)</w:t>
            </w:r>
          </w:p>
        </w:tc>
      </w:tr>
      <w:tr w:rsidR="00D04E4F" w14:paraId="4EAB204A" w14:textId="77777777" w:rsidTr="00D04E4F">
        <w:tc>
          <w:tcPr>
            <w:tcW w:w="3192" w:type="dxa"/>
          </w:tcPr>
          <w:p w14:paraId="342C34EF" w14:textId="12080837" w:rsidR="00D04E4F" w:rsidRPr="00D04E4F" w:rsidRDefault="00D04E4F" w:rsidP="00D04E4F">
            <w:pPr>
              <w:rPr>
                <w:rFonts w:cs="Arial"/>
              </w:rPr>
            </w:pPr>
            <w:r w:rsidRPr="00D04E4F">
              <w:rPr>
                <w:rFonts w:cs="Arial"/>
              </w:rPr>
              <w:t>Фрактури на бедрената кост</w:t>
            </w:r>
          </w:p>
        </w:tc>
        <w:tc>
          <w:tcPr>
            <w:tcW w:w="3192" w:type="dxa"/>
          </w:tcPr>
          <w:p w14:paraId="1EF7958F" w14:textId="592FE033" w:rsidR="00D04E4F" w:rsidRPr="00D04E4F" w:rsidRDefault="00D04E4F" w:rsidP="00D04E4F">
            <w:pPr>
              <w:rPr>
                <w:rFonts w:cs="Arial"/>
              </w:rPr>
            </w:pPr>
            <w:r w:rsidRPr="00D04E4F">
              <w:rPr>
                <w:rFonts w:cs="Arial"/>
              </w:rPr>
              <w:t>28 (0,9%)</w:t>
            </w:r>
          </w:p>
        </w:tc>
        <w:tc>
          <w:tcPr>
            <w:tcW w:w="3192" w:type="dxa"/>
          </w:tcPr>
          <w:p w14:paraId="1B315589" w14:textId="1CB8E38A" w:rsidR="00D04E4F" w:rsidRPr="00D04E4F" w:rsidRDefault="00D04E4F" w:rsidP="00D04E4F">
            <w:pPr>
              <w:rPr>
                <w:rFonts w:cs="Arial"/>
              </w:rPr>
            </w:pPr>
            <w:r w:rsidRPr="00D04E4F">
              <w:rPr>
                <w:rFonts w:cs="Arial"/>
              </w:rPr>
              <w:t>26 (0,8%)</w:t>
            </w:r>
          </w:p>
        </w:tc>
      </w:tr>
      <w:tr w:rsidR="00D04E4F" w14:paraId="27B12535" w14:textId="77777777" w:rsidTr="00D04E4F">
        <w:tc>
          <w:tcPr>
            <w:tcW w:w="3192" w:type="dxa"/>
          </w:tcPr>
          <w:p w14:paraId="1602A794" w14:textId="7BFDE4E5" w:rsidR="00D04E4F" w:rsidRPr="00D04E4F" w:rsidRDefault="00D04E4F" w:rsidP="00D04E4F">
            <w:pPr>
              <w:rPr>
                <w:rFonts w:cs="Arial"/>
              </w:rPr>
            </w:pPr>
            <w:r w:rsidRPr="00D04E4F">
              <w:rPr>
                <w:rFonts w:cs="Arial"/>
              </w:rPr>
              <w:t>Катаракта</w:t>
            </w:r>
          </w:p>
        </w:tc>
        <w:tc>
          <w:tcPr>
            <w:tcW w:w="3192" w:type="dxa"/>
          </w:tcPr>
          <w:p w14:paraId="7EE3936E" w14:textId="56431522" w:rsidR="00D04E4F" w:rsidRPr="00D04E4F" w:rsidRDefault="00D04E4F" w:rsidP="00D04E4F">
            <w:pPr>
              <w:rPr>
                <w:rFonts w:cs="Arial"/>
              </w:rPr>
            </w:pPr>
            <w:r w:rsidRPr="00D04E4F">
              <w:rPr>
                <w:rFonts w:cs="Arial"/>
              </w:rPr>
              <w:t>182 (5,9%)</w:t>
            </w:r>
          </w:p>
        </w:tc>
        <w:tc>
          <w:tcPr>
            <w:tcW w:w="3192" w:type="dxa"/>
          </w:tcPr>
          <w:p w14:paraId="7B9BEBC7" w14:textId="668EA193" w:rsidR="00D04E4F" w:rsidRPr="00D04E4F" w:rsidRDefault="00D04E4F" w:rsidP="00D04E4F">
            <w:pPr>
              <w:rPr>
                <w:rFonts w:cs="Arial"/>
              </w:rPr>
            </w:pPr>
            <w:r w:rsidRPr="00D04E4F">
              <w:rPr>
                <w:rFonts w:cs="Arial"/>
              </w:rPr>
              <w:t>213 (6,9%)</w:t>
            </w:r>
          </w:p>
        </w:tc>
      </w:tr>
      <w:tr w:rsidR="00D04E4F" w14:paraId="6E8A2811" w14:textId="77777777" w:rsidTr="00D04E4F">
        <w:tc>
          <w:tcPr>
            <w:tcW w:w="3192" w:type="dxa"/>
          </w:tcPr>
          <w:p w14:paraId="51ED3C18" w14:textId="08D977A5" w:rsidR="00D04E4F" w:rsidRPr="00D04E4F" w:rsidRDefault="00D04E4F" w:rsidP="00D04E4F">
            <w:pPr>
              <w:rPr>
                <w:rFonts w:cs="Arial"/>
              </w:rPr>
            </w:pPr>
            <w:r w:rsidRPr="00D04E4F">
              <w:rPr>
                <w:rFonts w:cs="Arial"/>
              </w:rPr>
              <w:t>Вагинално кървене</w:t>
            </w:r>
          </w:p>
        </w:tc>
        <w:tc>
          <w:tcPr>
            <w:tcW w:w="3192" w:type="dxa"/>
          </w:tcPr>
          <w:p w14:paraId="15273665" w14:textId="19CFB65B" w:rsidR="00D04E4F" w:rsidRPr="00D04E4F" w:rsidRDefault="00D04E4F" w:rsidP="00D04E4F">
            <w:pPr>
              <w:rPr>
                <w:rFonts w:cs="Arial"/>
              </w:rPr>
            </w:pPr>
            <w:r w:rsidRPr="00D04E4F">
              <w:rPr>
                <w:rFonts w:cs="Arial"/>
              </w:rPr>
              <w:t>167 (5,4%)</w:t>
            </w:r>
          </w:p>
        </w:tc>
        <w:tc>
          <w:tcPr>
            <w:tcW w:w="3192" w:type="dxa"/>
          </w:tcPr>
          <w:p w14:paraId="1C5E73B8" w14:textId="50938A7D" w:rsidR="00D04E4F" w:rsidRPr="00D04E4F" w:rsidRDefault="00D04E4F" w:rsidP="00D04E4F">
            <w:pPr>
              <w:rPr>
                <w:rFonts w:cs="Arial"/>
              </w:rPr>
            </w:pPr>
            <w:r w:rsidRPr="00D04E4F">
              <w:rPr>
                <w:rFonts w:cs="Arial"/>
              </w:rPr>
              <w:t>317(10,2%)</w:t>
            </w:r>
          </w:p>
        </w:tc>
      </w:tr>
      <w:tr w:rsidR="00D04E4F" w14:paraId="1A37ED45" w14:textId="77777777" w:rsidTr="00D04E4F">
        <w:tc>
          <w:tcPr>
            <w:tcW w:w="3192" w:type="dxa"/>
          </w:tcPr>
          <w:p w14:paraId="4530064B" w14:textId="4734B78C" w:rsidR="00D04E4F" w:rsidRPr="00D04E4F" w:rsidRDefault="00D04E4F" w:rsidP="00D04E4F">
            <w:pPr>
              <w:rPr>
                <w:rFonts w:cs="Arial"/>
              </w:rPr>
            </w:pPr>
            <w:r w:rsidRPr="00D04E4F">
              <w:rPr>
                <w:rFonts w:cs="Arial"/>
              </w:rPr>
              <w:t>Исхемична болест на сърцето</w:t>
            </w:r>
          </w:p>
        </w:tc>
        <w:tc>
          <w:tcPr>
            <w:tcW w:w="3192" w:type="dxa"/>
          </w:tcPr>
          <w:p w14:paraId="5E6E374C" w14:textId="4C726367" w:rsidR="00D04E4F" w:rsidRPr="00D04E4F" w:rsidRDefault="00D04E4F" w:rsidP="00D04E4F">
            <w:pPr>
              <w:rPr>
                <w:rFonts w:cs="Arial"/>
              </w:rPr>
            </w:pPr>
            <w:r w:rsidRPr="00D04E4F">
              <w:rPr>
                <w:rFonts w:cs="Arial"/>
              </w:rPr>
              <w:t>127 (4,1%)</w:t>
            </w:r>
          </w:p>
        </w:tc>
        <w:tc>
          <w:tcPr>
            <w:tcW w:w="3192" w:type="dxa"/>
          </w:tcPr>
          <w:p w14:paraId="454C4676" w14:textId="5B5C55AF" w:rsidR="00D04E4F" w:rsidRPr="00D04E4F" w:rsidRDefault="00D04E4F" w:rsidP="00D04E4F">
            <w:pPr>
              <w:rPr>
                <w:rFonts w:cs="Arial"/>
              </w:rPr>
            </w:pPr>
            <w:r w:rsidRPr="00D04E4F">
              <w:rPr>
                <w:rFonts w:cs="Arial"/>
              </w:rPr>
              <w:t>104 (3,4%)</w:t>
            </w:r>
          </w:p>
        </w:tc>
      </w:tr>
      <w:tr w:rsidR="00D04E4F" w14:paraId="72406AD8" w14:textId="77777777" w:rsidTr="00D04E4F">
        <w:tc>
          <w:tcPr>
            <w:tcW w:w="3192" w:type="dxa"/>
          </w:tcPr>
          <w:p w14:paraId="6E961FB8" w14:textId="005010AA" w:rsidR="00D04E4F" w:rsidRPr="00D04E4F" w:rsidRDefault="00D04E4F" w:rsidP="00D04E4F">
            <w:pPr>
              <w:rPr>
                <w:rFonts w:cs="Arial"/>
              </w:rPr>
            </w:pPr>
            <w:r w:rsidRPr="00D04E4F">
              <w:rPr>
                <w:rFonts w:cs="Arial"/>
              </w:rPr>
              <w:t>Ангина пекторис</w:t>
            </w:r>
          </w:p>
        </w:tc>
        <w:tc>
          <w:tcPr>
            <w:tcW w:w="3192" w:type="dxa"/>
          </w:tcPr>
          <w:p w14:paraId="104BC3C4" w14:textId="1A9C076D" w:rsidR="00D04E4F" w:rsidRPr="00D04E4F" w:rsidRDefault="00D04E4F" w:rsidP="00D04E4F">
            <w:pPr>
              <w:rPr>
                <w:rFonts w:cs="Arial"/>
              </w:rPr>
            </w:pPr>
            <w:r w:rsidRPr="00D04E4F">
              <w:rPr>
                <w:rFonts w:cs="Arial"/>
              </w:rPr>
              <w:t>71 (2,3%)</w:t>
            </w:r>
          </w:p>
        </w:tc>
        <w:tc>
          <w:tcPr>
            <w:tcW w:w="3192" w:type="dxa"/>
          </w:tcPr>
          <w:p w14:paraId="45A1FBA9" w14:textId="6ED5A6E1" w:rsidR="00D04E4F" w:rsidRPr="00D04E4F" w:rsidRDefault="00D04E4F" w:rsidP="00D04E4F">
            <w:pPr>
              <w:rPr>
                <w:rFonts w:cs="Arial"/>
              </w:rPr>
            </w:pPr>
            <w:r w:rsidRPr="00D04E4F">
              <w:rPr>
                <w:rFonts w:cs="Arial"/>
              </w:rPr>
              <w:t>51 (1,6%)</w:t>
            </w:r>
          </w:p>
        </w:tc>
      </w:tr>
      <w:tr w:rsidR="00D04E4F" w14:paraId="0C463688" w14:textId="77777777" w:rsidTr="00D04E4F">
        <w:tc>
          <w:tcPr>
            <w:tcW w:w="3192" w:type="dxa"/>
          </w:tcPr>
          <w:p w14:paraId="2C4FC240" w14:textId="156FFC7C" w:rsidR="00D04E4F" w:rsidRPr="00D04E4F" w:rsidRDefault="00D04E4F" w:rsidP="00D04E4F">
            <w:pPr>
              <w:rPr>
                <w:rFonts w:cs="Arial"/>
              </w:rPr>
            </w:pPr>
            <w:r w:rsidRPr="00D04E4F">
              <w:rPr>
                <w:rFonts w:cs="Arial"/>
              </w:rPr>
              <w:t>Миокарден инфаркт</w:t>
            </w:r>
          </w:p>
        </w:tc>
        <w:tc>
          <w:tcPr>
            <w:tcW w:w="3192" w:type="dxa"/>
          </w:tcPr>
          <w:p w14:paraId="0ADBECBE" w14:textId="0435D893" w:rsidR="00D04E4F" w:rsidRPr="00D04E4F" w:rsidRDefault="00D04E4F" w:rsidP="00D04E4F">
            <w:pPr>
              <w:rPr>
                <w:rFonts w:cs="Arial"/>
              </w:rPr>
            </w:pPr>
            <w:r w:rsidRPr="00D04E4F">
              <w:rPr>
                <w:rFonts w:cs="Arial"/>
              </w:rPr>
              <w:t>37 (1,2%)</w:t>
            </w:r>
          </w:p>
        </w:tc>
        <w:tc>
          <w:tcPr>
            <w:tcW w:w="3192" w:type="dxa"/>
          </w:tcPr>
          <w:p w14:paraId="3215E02F" w14:textId="20C2235F" w:rsidR="00D04E4F" w:rsidRPr="00D04E4F" w:rsidRDefault="00D04E4F" w:rsidP="00D04E4F">
            <w:pPr>
              <w:rPr>
                <w:rFonts w:cs="Arial"/>
              </w:rPr>
            </w:pPr>
            <w:r w:rsidRPr="00D04E4F">
              <w:rPr>
                <w:rFonts w:cs="Arial"/>
              </w:rPr>
              <w:t>34(1,1%)</w:t>
            </w:r>
          </w:p>
        </w:tc>
      </w:tr>
      <w:tr w:rsidR="00D04E4F" w14:paraId="750E10C2" w14:textId="77777777" w:rsidTr="00D04E4F">
        <w:tc>
          <w:tcPr>
            <w:tcW w:w="3192" w:type="dxa"/>
          </w:tcPr>
          <w:p w14:paraId="7CA6AF82" w14:textId="52D3AE2E" w:rsidR="00D04E4F" w:rsidRPr="00D04E4F" w:rsidRDefault="00D04E4F" w:rsidP="00D04E4F">
            <w:pPr>
              <w:rPr>
                <w:rFonts w:cs="Arial"/>
              </w:rPr>
            </w:pPr>
            <w:r w:rsidRPr="00D04E4F">
              <w:rPr>
                <w:rFonts w:cs="Arial"/>
              </w:rPr>
              <w:t>Коронарно артериално увреждане</w:t>
            </w:r>
          </w:p>
        </w:tc>
        <w:tc>
          <w:tcPr>
            <w:tcW w:w="3192" w:type="dxa"/>
          </w:tcPr>
          <w:p w14:paraId="21A7FF98" w14:textId="1DCDFD2B" w:rsidR="00D04E4F" w:rsidRPr="00D04E4F" w:rsidRDefault="00D04E4F" w:rsidP="00D04E4F">
            <w:pPr>
              <w:rPr>
                <w:rFonts w:cs="Arial"/>
              </w:rPr>
            </w:pPr>
            <w:r w:rsidRPr="00D04E4F">
              <w:rPr>
                <w:rFonts w:cs="Arial"/>
              </w:rPr>
              <w:t>25 (0,8%)</w:t>
            </w:r>
          </w:p>
        </w:tc>
        <w:tc>
          <w:tcPr>
            <w:tcW w:w="3192" w:type="dxa"/>
          </w:tcPr>
          <w:p w14:paraId="45053D50" w14:textId="02762807" w:rsidR="00D04E4F" w:rsidRPr="00D04E4F" w:rsidRDefault="00D04E4F" w:rsidP="00D04E4F">
            <w:pPr>
              <w:rPr>
                <w:rFonts w:cs="Arial"/>
              </w:rPr>
            </w:pPr>
            <w:r w:rsidRPr="00D04E4F">
              <w:rPr>
                <w:rFonts w:cs="Arial"/>
              </w:rPr>
              <w:t>23 (0,7%)</w:t>
            </w:r>
          </w:p>
        </w:tc>
      </w:tr>
      <w:tr w:rsidR="00D04E4F" w14:paraId="2CBBDF5B" w14:textId="77777777" w:rsidTr="00D04E4F">
        <w:tc>
          <w:tcPr>
            <w:tcW w:w="3192" w:type="dxa"/>
          </w:tcPr>
          <w:p w14:paraId="37A5D57E" w14:textId="09EA3A03" w:rsidR="00D04E4F" w:rsidRPr="00D04E4F" w:rsidRDefault="00D04E4F" w:rsidP="00D04E4F">
            <w:pPr>
              <w:rPr>
                <w:rFonts w:cs="Arial"/>
              </w:rPr>
            </w:pPr>
            <w:r w:rsidRPr="00D04E4F">
              <w:rPr>
                <w:rFonts w:cs="Arial"/>
              </w:rPr>
              <w:t>Исхемия на миокарда</w:t>
            </w:r>
          </w:p>
        </w:tc>
        <w:tc>
          <w:tcPr>
            <w:tcW w:w="3192" w:type="dxa"/>
          </w:tcPr>
          <w:p w14:paraId="6FFC15B7" w14:textId="79C031AC" w:rsidR="00D04E4F" w:rsidRPr="00D04E4F" w:rsidRDefault="00D04E4F" w:rsidP="00D04E4F">
            <w:pPr>
              <w:rPr>
                <w:rFonts w:cs="Arial"/>
              </w:rPr>
            </w:pPr>
            <w:r w:rsidRPr="00D04E4F">
              <w:rPr>
                <w:rFonts w:cs="Arial"/>
              </w:rPr>
              <w:t>22 (0,7%)</w:t>
            </w:r>
          </w:p>
        </w:tc>
        <w:tc>
          <w:tcPr>
            <w:tcW w:w="3192" w:type="dxa"/>
          </w:tcPr>
          <w:p w14:paraId="34DA109B" w14:textId="5D3E873D" w:rsidR="00D04E4F" w:rsidRPr="00D04E4F" w:rsidRDefault="00D04E4F" w:rsidP="00D04E4F">
            <w:pPr>
              <w:rPr>
                <w:rFonts w:cs="Arial"/>
              </w:rPr>
            </w:pPr>
            <w:r w:rsidRPr="00D04E4F">
              <w:rPr>
                <w:rFonts w:cs="Arial"/>
              </w:rPr>
              <w:t>14 (0,5%)</w:t>
            </w:r>
          </w:p>
        </w:tc>
      </w:tr>
      <w:tr w:rsidR="00D04E4F" w14:paraId="3E0F041B" w14:textId="77777777" w:rsidTr="00D04E4F">
        <w:tc>
          <w:tcPr>
            <w:tcW w:w="3192" w:type="dxa"/>
          </w:tcPr>
          <w:p w14:paraId="3E745FC1" w14:textId="42D71224" w:rsidR="00D04E4F" w:rsidRPr="00D04E4F" w:rsidRDefault="00D04E4F" w:rsidP="00D04E4F">
            <w:pPr>
              <w:rPr>
                <w:rFonts w:cs="Arial"/>
              </w:rPr>
            </w:pPr>
            <w:r w:rsidRPr="00D04E4F">
              <w:rPr>
                <w:rFonts w:cs="Arial"/>
              </w:rPr>
              <w:t>Вагинална секреция</w:t>
            </w:r>
          </w:p>
        </w:tc>
        <w:tc>
          <w:tcPr>
            <w:tcW w:w="3192" w:type="dxa"/>
          </w:tcPr>
          <w:p w14:paraId="118A43B6" w14:textId="4FDFC6E5" w:rsidR="00D04E4F" w:rsidRPr="00D04E4F" w:rsidRDefault="00D04E4F" w:rsidP="00D04E4F">
            <w:pPr>
              <w:rPr>
                <w:rFonts w:cs="Arial"/>
              </w:rPr>
            </w:pPr>
            <w:r w:rsidRPr="00D04E4F">
              <w:rPr>
                <w:rFonts w:cs="Arial"/>
              </w:rPr>
              <w:t>109 (3,5%)</w:t>
            </w:r>
          </w:p>
        </w:tc>
        <w:tc>
          <w:tcPr>
            <w:tcW w:w="3192" w:type="dxa"/>
          </w:tcPr>
          <w:p w14:paraId="0054535F" w14:textId="56DE1489" w:rsidR="00D04E4F" w:rsidRPr="00D04E4F" w:rsidRDefault="00D04E4F" w:rsidP="00D04E4F">
            <w:pPr>
              <w:rPr>
                <w:rFonts w:cs="Arial"/>
              </w:rPr>
            </w:pPr>
            <w:r w:rsidRPr="00D04E4F">
              <w:rPr>
                <w:rFonts w:cs="Arial"/>
              </w:rPr>
              <w:t>408(13,2%)</w:t>
            </w:r>
          </w:p>
        </w:tc>
      </w:tr>
      <w:tr w:rsidR="00D04E4F" w14:paraId="21814845" w14:textId="77777777" w:rsidTr="00D04E4F">
        <w:tc>
          <w:tcPr>
            <w:tcW w:w="3192" w:type="dxa"/>
          </w:tcPr>
          <w:p w14:paraId="611D5A2C" w14:textId="20C6A157" w:rsidR="00D04E4F" w:rsidRPr="00D04E4F" w:rsidRDefault="00D04E4F" w:rsidP="00D04E4F">
            <w:pPr>
              <w:rPr>
                <w:rFonts w:cs="Arial"/>
              </w:rPr>
            </w:pPr>
            <w:r w:rsidRPr="00D04E4F">
              <w:rPr>
                <w:rFonts w:cs="Arial"/>
              </w:rPr>
              <w:t>Венозно тромбоемболично събитие</w:t>
            </w:r>
          </w:p>
        </w:tc>
        <w:tc>
          <w:tcPr>
            <w:tcW w:w="3192" w:type="dxa"/>
          </w:tcPr>
          <w:p w14:paraId="3E193475" w14:textId="7F284AB6" w:rsidR="00D04E4F" w:rsidRPr="00D04E4F" w:rsidRDefault="00D04E4F" w:rsidP="00D04E4F">
            <w:pPr>
              <w:rPr>
                <w:rFonts w:cs="Arial"/>
              </w:rPr>
            </w:pPr>
            <w:r w:rsidRPr="00D04E4F">
              <w:rPr>
                <w:rFonts w:cs="Arial"/>
              </w:rPr>
              <w:t>87 (2,8%)</w:t>
            </w:r>
          </w:p>
        </w:tc>
        <w:tc>
          <w:tcPr>
            <w:tcW w:w="3192" w:type="dxa"/>
          </w:tcPr>
          <w:p w14:paraId="67FE4A9D" w14:textId="47C72C97" w:rsidR="00D04E4F" w:rsidRPr="00D04E4F" w:rsidRDefault="00D04E4F" w:rsidP="00D04E4F">
            <w:pPr>
              <w:rPr>
                <w:rFonts w:cs="Arial"/>
              </w:rPr>
            </w:pPr>
            <w:r w:rsidRPr="00D04E4F">
              <w:rPr>
                <w:rFonts w:cs="Arial"/>
              </w:rPr>
              <w:t>140 (4,5%)</w:t>
            </w:r>
          </w:p>
        </w:tc>
      </w:tr>
      <w:tr w:rsidR="00D04E4F" w14:paraId="26037A03" w14:textId="77777777" w:rsidTr="00D04E4F">
        <w:tc>
          <w:tcPr>
            <w:tcW w:w="3192" w:type="dxa"/>
          </w:tcPr>
          <w:p w14:paraId="77BE53BB" w14:textId="3F067C17" w:rsidR="00D04E4F" w:rsidRPr="00D04E4F" w:rsidRDefault="00D04E4F" w:rsidP="00D04E4F">
            <w:pPr>
              <w:rPr>
                <w:rFonts w:cs="Arial"/>
              </w:rPr>
            </w:pPr>
            <w:r w:rsidRPr="00D04E4F">
              <w:rPr>
                <w:rFonts w:cs="Arial"/>
              </w:rPr>
              <w:t>Дълбоки венозни тромбоемболични сибития, вкл. БЕ (белодробна емболия)</w:t>
            </w:r>
          </w:p>
        </w:tc>
        <w:tc>
          <w:tcPr>
            <w:tcW w:w="3192" w:type="dxa"/>
          </w:tcPr>
          <w:p w14:paraId="5B9F36E0" w14:textId="76D35305" w:rsidR="00D04E4F" w:rsidRPr="00D04E4F" w:rsidRDefault="00D04E4F" w:rsidP="00D04E4F">
            <w:pPr>
              <w:rPr>
                <w:rFonts w:cs="Arial"/>
              </w:rPr>
            </w:pPr>
            <w:r w:rsidRPr="00D04E4F">
              <w:rPr>
                <w:rFonts w:cs="Arial"/>
              </w:rPr>
              <w:t>48(1,6%)</w:t>
            </w:r>
          </w:p>
        </w:tc>
        <w:tc>
          <w:tcPr>
            <w:tcW w:w="3192" w:type="dxa"/>
          </w:tcPr>
          <w:p w14:paraId="060918A7" w14:textId="2424F0C3" w:rsidR="00D04E4F" w:rsidRPr="00D04E4F" w:rsidRDefault="00D04E4F" w:rsidP="00D04E4F">
            <w:pPr>
              <w:rPr>
                <w:rFonts w:cs="Arial"/>
              </w:rPr>
            </w:pPr>
            <w:r w:rsidRPr="00D04E4F">
              <w:rPr>
                <w:rFonts w:cs="Arial"/>
              </w:rPr>
              <w:t>74 (2,4%)</w:t>
            </w:r>
          </w:p>
        </w:tc>
      </w:tr>
      <w:tr w:rsidR="00D04E4F" w14:paraId="132F7765" w14:textId="77777777" w:rsidTr="00D04E4F">
        <w:tc>
          <w:tcPr>
            <w:tcW w:w="3192" w:type="dxa"/>
          </w:tcPr>
          <w:p w14:paraId="6E6C9988" w14:textId="38352BC0" w:rsidR="00D04E4F" w:rsidRPr="00D04E4F" w:rsidRDefault="00D04E4F" w:rsidP="00D04E4F">
            <w:pPr>
              <w:rPr>
                <w:rFonts w:cs="Arial"/>
              </w:rPr>
            </w:pPr>
            <w:r w:rsidRPr="00D04E4F">
              <w:rPr>
                <w:rFonts w:cs="Arial"/>
              </w:rPr>
              <w:t>Исхемични мозъчни-съдови събития</w:t>
            </w:r>
          </w:p>
        </w:tc>
        <w:tc>
          <w:tcPr>
            <w:tcW w:w="3192" w:type="dxa"/>
          </w:tcPr>
          <w:p w14:paraId="574AEB71" w14:textId="6ADC4674" w:rsidR="00D04E4F" w:rsidRPr="00D04E4F" w:rsidRDefault="00D04E4F" w:rsidP="00D04E4F">
            <w:pPr>
              <w:rPr>
                <w:rFonts w:cs="Arial"/>
              </w:rPr>
            </w:pPr>
            <w:r w:rsidRPr="00D04E4F">
              <w:rPr>
                <w:rFonts w:cs="Arial"/>
              </w:rPr>
              <w:t>62 (2,0%)</w:t>
            </w:r>
          </w:p>
        </w:tc>
        <w:tc>
          <w:tcPr>
            <w:tcW w:w="3192" w:type="dxa"/>
          </w:tcPr>
          <w:p w14:paraId="703743C3" w14:textId="1F87CAF3" w:rsidR="00D04E4F" w:rsidRPr="00D04E4F" w:rsidRDefault="00D04E4F" w:rsidP="00D04E4F">
            <w:pPr>
              <w:rPr>
                <w:rFonts w:cs="Arial"/>
              </w:rPr>
            </w:pPr>
            <w:r w:rsidRPr="00D04E4F">
              <w:rPr>
                <w:rFonts w:cs="Arial"/>
              </w:rPr>
              <w:t>88 (2,8%)</w:t>
            </w:r>
          </w:p>
        </w:tc>
      </w:tr>
      <w:tr w:rsidR="00D04E4F" w14:paraId="7DE12CC1" w14:textId="77777777" w:rsidTr="00D04E4F">
        <w:tc>
          <w:tcPr>
            <w:tcW w:w="3192" w:type="dxa"/>
          </w:tcPr>
          <w:p w14:paraId="1F04125E" w14:textId="37819B07" w:rsidR="00D04E4F" w:rsidRPr="00D04E4F" w:rsidRDefault="00D04E4F" w:rsidP="00D04E4F">
            <w:pPr>
              <w:rPr>
                <w:rFonts w:cs="Arial"/>
              </w:rPr>
            </w:pPr>
            <w:r w:rsidRPr="00D04E4F">
              <w:rPr>
                <w:rFonts w:cs="Arial"/>
              </w:rPr>
              <w:t>Ендометриален карцином</w:t>
            </w:r>
          </w:p>
        </w:tc>
        <w:tc>
          <w:tcPr>
            <w:tcW w:w="3192" w:type="dxa"/>
          </w:tcPr>
          <w:p w14:paraId="7A416E38" w14:textId="022531B7" w:rsidR="00D04E4F" w:rsidRPr="00D04E4F" w:rsidRDefault="00D04E4F" w:rsidP="00D04E4F">
            <w:pPr>
              <w:rPr>
                <w:rFonts w:cs="Arial"/>
              </w:rPr>
            </w:pPr>
            <w:r w:rsidRPr="00D04E4F">
              <w:rPr>
                <w:rFonts w:cs="Arial"/>
              </w:rPr>
              <w:t>4 (0,2%)</w:t>
            </w:r>
          </w:p>
        </w:tc>
        <w:tc>
          <w:tcPr>
            <w:tcW w:w="3192" w:type="dxa"/>
          </w:tcPr>
          <w:p w14:paraId="3B2E64E3" w14:textId="67F0E89C" w:rsidR="00D04E4F" w:rsidRPr="00D04E4F" w:rsidRDefault="00D04E4F" w:rsidP="00D04E4F">
            <w:pPr>
              <w:rPr>
                <w:rFonts w:cs="Arial"/>
              </w:rPr>
            </w:pPr>
            <w:r w:rsidRPr="00D04E4F">
              <w:rPr>
                <w:rFonts w:cs="Arial"/>
              </w:rPr>
              <w:t>13 (0,6%)</w:t>
            </w:r>
          </w:p>
        </w:tc>
      </w:tr>
    </w:tbl>
    <w:p w14:paraId="18031F4B" w14:textId="564A457F" w:rsidR="00D04E4F" w:rsidRDefault="00D04E4F" w:rsidP="00D04E4F">
      <w:pPr>
        <w:rPr>
          <w:rFonts w:cs="Arial"/>
        </w:rPr>
      </w:pPr>
    </w:p>
    <w:p w14:paraId="43CE4F81"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Честота на фрактурите от 22 на 1000 пациенти/годншно и 15 на 1000 пациенти/годишно е наблюдавана в групите, съответно на анастрозол и тамоксифен, след проследяване средно 68 месеца. Наблюдаваната честота на фрактурите за анастрозол е подобна на честотата, наблюдавана във възрастовата група на постменопаузалната по</w:t>
      </w:r>
      <w:r w:rsidRPr="00D04E4F">
        <w:rPr>
          <w:rFonts w:eastAsia="Times New Roman" w:cs="Arial"/>
          <w:color w:val="000000"/>
          <w:u w:val="single"/>
          <w:lang w:eastAsia="bg-BG"/>
        </w:rPr>
        <w:t>пулаци</w:t>
      </w:r>
      <w:r w:rsidRPr="00D04E4F">
        <w:rPr>
          <w:rFonts w:eastAsia="Times New Roman" w:cs="Arial"/>
          <w:color w:val="000000"/>
          <w:lang w:eastAsia="bg-BG"/>
        </w:rPr>
        <w:t>я. Честотата на остеопороза е 10,5% при пациенти, лекувани с анастрозол и 7,3% при пациенти лекувани с тамоксифен.</w:t>
      </w:r>
    </w:p>
    <w:p w14:paraId="5CCCD7A9" w14:textId="77777777" w:rsidR="00D04E4F" w:rsidRPr="00D04E4F" w:rsidRDefault="00D04E4F" w:rsidP="00D04E4F">
      <w:pPr>
        <w:spacing w:line="240" w:lineRule="auto"/>
        <w:rPr>
          <w:rFonts w:eastAsia="Times New Roman" w:cs="Arial"/>
          <w:sz w:val="24"/>
          <w:szCs w:val="24"/>
        </w:rPr>
      </w:pPr>
    </w:p>
    <w:p w14:paraId="7A58F97E" w14:textId="25C439DB" w:rsidR="00D04E4F" w:rsidRPr="00D04E4F" w:rsidRDefault="00D04E4F" w:rsidP="00D04E4F">
      <w:pPr>
        <w:rPr>
          <w:rFonts w:eastAsia="Times New Roman" w:cs="Arial"/>
          <w:color w:val="000000"/>
          <w:lang w:eastAsia="bg-BG"/>
        </w:rPr>
      </w:pPr>
      <w:r w:rsidRPr="00D04E4F">
        <w:rPr>
          <w:rFonts w:eastAsia="Times New Roman" w:cs="Arial"/>
          <w:color w:val="000000"/>
          <w:lang w:eastAsia="bg-BG"/>
        </w:rPr>
        <w:t>Не е определено дали честотите на фрактури и оетеопороза, наблюдавани в АТАС при пациенти на терапия с анастрозол отразяват протективен ефект на темоксифен</w:t>
      </w:r>
      <w:r w:rsidRPr="00D04E4F">
        <w:rPr>
          <w:rFonts w:eastAsia="Times New Roman" w:cs="Arial"/>
          <w:smallCaps/>
          <w:color w:val="000000"/>
          <w:sz w:val="32"/>
          <w:szCs w:val="32"/>
          <w:lang w:eastAsia="bg-BG"/>
        </w:rPr>
        <w:t xml:space="preserve"> </w:t>
      </w:r>
      <w:r w:rsidRPr="00D04E4F">
        <w:rPr>
          <w:rFonts w:eastAsia="Times New Roman" w:cs="Arial"/>
          <w:color w:val="000000"/>
          <w:lang w:eastAsia="bg-BG"/>
        </w:rPr>
        <w:t>специфичен ефект на анастрозол, или и двете.</w:t>
      </w:r>
    </w:p>
    <w:p w14:paraId="73EC48F1" w14:textId="4AB74335" w:rsidR="00D04E4F" w:rsidRPr="00D04E4F" w:rsidRDefault="00D04E4F" w:rsidP="00D04E4F">
      <w:pPr>
        <w:rPr>
          <w:rFonts w:eastAsia="Times New Roman" w:cs="Arial"/>
          <w:color w:val="000000"/>
          <w:lang w:eastAsia="bg-BG"/>
        </w:rPr>
      </w:pPr>
    </w:p>
    <w:p w14:paraId="25E05FE6"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u w:val="single"/>
          <w:lang w:eastAsia="bg-BG"/>
        </w:rPr>
        <w:t>Съобщаване на подозирани нежелани реакции</w:t>
      </w:r>
    </w:p>
    <w:p w14:paraId="2BCBB4DA"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w:t>
      </w:r>
      <w:r w:rsidRPr="00D04E4F">
        <w:rPr>
          <w:rFonts w:eastAsia="Times New Roman" w:cs="Arial"/>
          <w:color w:val="000000"/>
          <w:lang w:eastAsia="bg-BG"/>
        </w:rPr>
        <w:lastRenderedPageBreak/>
        <w:t>изисква да съобщават всяка подозирана нежелана реакция чрез: Изпълнителна агенция по лекарствата ул. „Дамян Груев” № 8</w:t>
      </w:r>
    </w:p>
    <w:p w14:paraId="40E5CECF"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1303 София</w:t>
      </w:r>
    </w:p>
    <w:p w14:paraId="4B3BBD34"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тел.:+359 2 8903417</w:t>
      </w:r>
    </w:p>
    <w:p w14:paraId="4DD66435" w14:textId="77777777" w:rsidR="00D04E4F" w:rsidRPr="00D04E4F" w:rsidRDefault="00D04E4F" w:rsidP="00D04E4F">
      <w:pPr>
        <w:spacing w:line="240" w:lineRule="auto"/>
        <w:rPr>
          <w:rFonts w:ascii="Times New Roman" w:eastAsia="Times New Roman" w:hAnsi="Times New Roman" w:cs="Times New Roman"/>
          <w:sz w:val="24"/>
          <w:szCs w:val="24"/>
        </w:rPr>
      </w:pPr>
      <w:r w:rsidRPr="00D04E4F">
        <w:rPr>
          <w:rFonts w:eastAsia="Times New Roman" w:cs="Arial"/>
          <w:color w:val="000000"/>
          <w:lang w:eastAsia="bg-BG"/>
        </w:rPr>
        <w:t xml:space="preserve">уебсайт: </w:t>
      </w:r>
      <w:hyperlink r:id="rId5" w:history="1">
        <w:r w:rsidRPr="00D04E4F">
          <w:rPr>
            <w:rFonts w:ascii="Times New Roman" w:eastAsia="Times New Roman" w:hAnsi="Times New Roman" w:cs="Times New Roman"/>
            <w:color w:val="000000"/>
            <w:u w:val="single"/>
            <w:lang w:val="en-US"/>
          </w:rPr>
          <w:t>www.bda.bg</w:t>
        </w:r>
      </w:hyperlink>
    </w:p>
    <w:p w14:paraId="739A1341" w14:textId="77777777" w:rsidR="00D04E4F" w:rsidRPr="00D04E4F" w:rsidRDefault="00D04E4F" w:rsidP="00D04E4F">
      <w:pPr>
        <w:rPr>
          <w:rFonts w:cs="Arial"/>
        </w:rPr>
      </w:pPr>
    </w:p>
    <w:p w14:paraId="0A023CE0" w14:textId="13A651B8" w:rsidR="00CF77F7" w:rsidRDefault="002C50EE" w:rsidP="004A448E">
      <w:pPr>
        <w:pStyle w:val="Heading2"/>
      </w:pPr>
      <w:r>
        <w:t>4.9. Предозиране</w:t>
      </w:r>
    </w:p>
    <w:p w14:paraId="6E99CA52" w14:textId="1CF39AC3" w:rsidR="00D04E4F" w:rsidRDefault="00D04E4F" w:rsidP="00D04E4F"/>
    <w:p w14:paraId="57A39F37"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Клиничният опит със случайно предозиране е ограничен. При изследванията върху животни анастрозолът е показал ниска остра токсичност. Клиничните изпитвания са се провеждали с различни дози до 60 </w:t>
      </w:r>
      <w:r w:rsidRPr="00D04E4F">
        <w:rPr>
          <w:rFonts w:eastAsia="Times New Roman" w:cs="Arial"/>
          <w:color w:val="000000"/>
          <w:lang w:val="en-US"/>
        </w:rPr>
        <w:t>mg</w:t>
      </w:r>
      <w:r w:rsidRPr="00D04E4F">
        <w:rPr>
          <w:rFonts w:eastAsia="Times New Roman" w:cs="Arial"/>
          <w:color w:val="000000"/>
          <w:lang w:val="ru-RU"/>
        </w:rPr>
        <w:t xml:space="preserve"> </w:t>
      </w:r>
      <w:r w:rsidRPr="00D04E4F">
        <w:rPr>
          <w:rFonts w:eastAsia="Times New Roman" w:cs="Arial"/>
          <w:color w:val="000000"/>
          <w:lang w:eastAsia="bg-BG"/>
        </w:rPr>
        <w:t xml:space="preserve">единична доза, прилагана на здрави доброволци - мъже и до 10 </w:t>
      </w:r>
      <w:r w:rsidRPr="00D04E4F">
        <w:rPr>
          <w:rFonts w:eastAsia="Times New Roman" w:cs="Arial"/>
          <w:color w:val="000000"/>
          <w:lang w:val="en-US"/>
        </w:rPr>
        <w:t>mg</w:t>
      </w:r>
      <w:r w:rsidRPr="00D04E4F">
        <w:rPr>
          <w:rFonts w:eastAsia="Times New Roman" w:cs="Arial"/>
          <w:color w:val="000000"/>
          <w:lang w:val="ru-RU"/>
        </w:rPr>
        <w:t xml:space="preserve"> </w:t>
      </w:r>
      <w:r w:rsidRPr="00D04E4F">
        <w:rPr>
          <w:rFonts w:eastAsia="Times New Roman" w:cs="Arial"/>
          <w:color w:val="000000"/>
          <w:lang w:eastAsia="bg-BG"/>
        </w:rPr>
        <w:t>дневно, прилагани на жени в менопауза с напреднал карцином на гърдата; тези дозировки са се понасяли добре. Не е установена единична доза анастрозол, която да предизвиква животозастрашаващи симптоми. Няма специфичен антидот при предозиране и лечението трябва да бъде симптоматично.</w:t>
      </w:r>
    </w:p>
    <w:p w14:paraId="6FCC877D" w14:textId="77777777" w:rsidR="00D04E4F" w:rsidRPr="00D04E4F" w:rsidRDefault="00D04E4F" w:rsidP="00D04E4F">
      <w:pPr>
        <w:spacing w:line="240" w:lineRule="auto"/>
        <w:rPr>
          <w:rFonts w:eastAsia="Times New Roman" w:cs="Arial"/>
          <w:color w:val="000000"/>
          <w:lang w:eastAsia="bg-BG"/>
        </w:rPr>
      </w:pPr>
    </w:p>
    <w:p w14:paraId="3B1FDDBE" w14:textId="508A96EB"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При лечение на предозирането трябва да се има предвид възможността за приемане на множество лекарствени продукти. Ако пациентката е в съзнание, може да се предизвика повръщане. Диализата може да бъде от полза, защото анастрозол не се свързва във висока степен с плазмените протеини. Показани са общо поддържащи мерки, включително често проследяване на виталните показатели и внимателно наблюдение на пациентката.</w:t>
      </w:r>
    </w:p>
    <w:p w14:paraId="4884DEC4" w14:textId="77777777" w:rsidR="00D04E4F" w:rsidRPr="00D04E4F" w:rsidRDefault="00D04E4F" w:rsidP="00D04E4F"/>
    <w:p w14:paraId="02081B24" w14:textId="1F46E296" w:rsidR="00395555" w:rsidRPr="00395555" w:rsidRDefault="002C50EE" w:rsidP="008A6AF2">
      <w:pPr>
        <w:pStyle w:val="Heading1"/>
      </w:pPr>
      <w:r>
        <w:t>5. ФАРМАКОЛОГИЧНИ СВОЙСТВА</w:t>
      </w:r>
    </w:p>
    <w:p w14:paraId="32B6DE66" w14:textId="12DED2A5" w:rsidR="00CF77F7" w:rsidRDefault="002C50EE" w:rsidP="004A448E">
      <w:pPr>
        <w:pStyle w:val="Heading2"/>
      </w:pPr>
      <w:r>
        <w:t>5.1. Фармакодинамични свойства</w:t>
      </w:r>
    </w:p>
    <w:p w14:paraId="0943B6AC" w14:textId="05C396D7" w:rsidR="00D04E4F" w:rsidRDefault="00D04E4F" w:rsidP="00D04E4F"/>
    <w:p w14:paraId="20729CF3"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Фармакокинетична група: Хормонални антагонисти и сродни средства, ароматазен инхибитор АТС код: </w:t>
      </w:r>
      <w:r w:rsidRPr="00D04E4F">
        <w:rPr>
          <w:rFonts w:eastAsia="Times New Roman" w:cs="Arial"/>
          <w:color w:val="000000"/>
          <w:lang w:val="en-US"/>
        </w:rPr>
        <w:t>L</w:t>
      </w:r>
      <w:r w:rsidRPr="00D04E4F">
        <w:rPr>
          <w:rFonts w:eastAsia="Times New Roman" w:cs="Arial"/>
          <w:color w:val="000000"/>
          <w:lang w:val="ru-RU"/>
        </w:rPr>
        <w:t>02</w:t>
      </w:r>
      <w:r w:rsidRPr="00D04E4F">
        <w:rPr>
          <w:rFonts w:eastAsia="Times New Roman" w:cs="Arial"/>
          <w:color w:val="000000"/>
          <w:lang w:val="en-US"/>
        </w:rPr>
        <w:t>BG</w:t>
      </w:r>
      <w:r w:rsidRPr="00D04E4F">
        <w:rPr>
          <w:rFonts w:eastAsia="Times New Roman" w:cs="Arial"/>
          <w:color w:val="000000"/>
          <w:lang w:val="ru-RU"/>
        </w:rPr>
        <w:t>03</w:t>
      </w:r>
    </w:p>
    <w:p w14:paraId="649CDBE4" w14:textId="77777777" w:rsidR="00D04E4F" w:rsidRPr="00D04E4F" w:rsidRDefault="00D04E4F" w:rsidP="00D04E4F">
      <w:pPr>
        <w:spacing w:line="240" w:lineRule="auto"/>
        <w:rPr>
          <w:rFonts w:eastAsia="Times New Roman" w:cs="Arial"/>
          <w:color w:val="000000"/>
          <w:lang w:eastAsia="bg-BG"/>
        </w:rPr>
      </w:pPr>
    </w:p>
    <w:p w14:paraId="67FBD477" w14:textId="4C1BE13E"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Анастрозол е мощен и високо селективен нестероиден инхибитор на ароматазата. При жени след менопауза естрадиолът се произвежда предимно чрез превръщане на андростендиона в естрон с помощта на ензимния комплекс ароматаза в периферните тъкани. След това естронът се превръща в естрадиол. Доказано е, че намаляването на нивата на циркулиращия естрадиол оказва благоприятно въздействие при жени с карцином на гърдата. При жени след менопауза дневна доза от 1 </w:t>
      </w:r>
      <w:r w:rsidRPr="00D04E4F">
        <w:rPr>
          <w:rFonts w:eastAsia="Times New Roman" w:cs="Arial"/>
          <w:color w:val="000000"/>
          <w:lang w:val="en-US"/>
        </w:rPr>
        <w:t>mg</w:t>
      </w:r>
      <w:r w:rsidRPr="00D04E4F">
        <w:rPr>
          <w:rFonts w:eastAsia="Times New Roman" w:cs="Arial"/>
          <w:color w:val="000000"/>
          <w:lang w:val="ru-RU"/>
        </w:rPr>
        <w:t xml:space="preserve"> </w:t>
      </w:r>
      <w:r w:rsidRPr="00D04E4F">
        <w:rPr>
          <w:rFonts w:eastAsia="Times New Roman" w:cs="Arial"/>
          <w:color w:val="000000"/>
          <w:lang w:eastAsia="bg-BG"/>
        </w:rPr>
        <w:t>анастрозол води до потискане на естрадиола над 80%, което е доказано чрез високо чувствителна проба.</w:t>
      </w:r>
    </w:p>
    <w:p w14:paraId="4532E22E" w14:textId="77777777" w:rsidR="00D04E4F" w:rsidRPr="00D04E4F" w:rsidRDefault="00D04E4F" w:rsidP="00D04E4F">
      <w:pPr>
        <w:spacing w:line="240" w:lineRule="auto"/>
        <w:rPr>
          <w:rFonts w:eastAsia="Times New Roman" w:cs="Arial"/>
          <w:color w:val="000000"/>
          <w:lang w:eastAsia="bg-BG"/>
        </w:rPr>
      </w:pPr>
    </w:p>
    <w:p w14:paraId="4312D04B" w14:textId="1CECD84E"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Анастрозол не притежава прогестагенно, андрогенно или естрогенно действие.</w:t>
      </w:r>
    </w:p>
    <w:p w14:paraId="3788FA08" w14:textId="77777777" w:rsidR="00D04E4F" w:rsidRPr="00D04E4F" w:rsidRDefault="00D04E4F" w:rsidP="00D04E4F">
      <w:pPr>
        <w:spacing w:line="240" w:lineRule="auto"/>
        <w:rPr>
          <w:rFonts w:eastAsia="Times New Roman" w:cs="Arial"/>
          <w:color w:val="000000"/>
          <w:lang w:eastAsia="bg-BG"/>
        </w:rPr>
      </w:pPr>
    </w:p>
    <w:p w14:paraId="43CD98C6" w14:textId="416AC15E"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До 10 </w:t>
      </w:r>
      <w:r w:rsidRPr="00D04E4F">
        <w:rPr>
          <w:rFonts w:eastAsia="Times New Roman" w:cs="Arial"/>
          <w:color w:val="000000"/>
          <w:lang w:val="en-US"/>
        </w:rPr>
        <w:t>mg</w:t>
      </w:r>
      <w:r w:rsidRPr="00D04E4F">
        <w:rPr>
          <w:rFonts w:eastAsia="Times New Roman" w:cs="Arial"/>
          <w:color w:val="000000"/>
          <w:lang w:val="ru-RU"/>
        </w:rPr>
        <w:t xml:space="preserve"> </w:t>
      </w:r>
      <w:r w:rsidRPr="00D04E4F">
        <w:rPr>
          <w:rFonts w:eastAsia="Times New Roman" w:cs="Arial"/>
          <w:color w:val="000000"/>
          <w:lang w:eastAsia="bg-BG"/>
        </w:rPr>
        <w:t>дневна доза анастрозол не е повлияла секрецията на кортизола или алдостерона, измерена преди и след обичайното стимулиране на АКТХ. Поради това не е необходимо добавяне на кортикостероиди.</w:t>
      </w:r>
    </w:p>
    <w:p w14:paraId="3B7E6BFB" w14:textId="77777777" w:rsidR="00D04E4F" w:rsidRPr="00D04E4F" w:rsidRDefault="00D04E4F" w:rsidP="00D04E4F"/>
    <w:p w14:paraId="35F84B81" w14:textId="5D25CFEE" w:rsidR="00CF77F7" w:rsidRDefault="002C50EE" w:rsidP="004A448E">
      <w:pPr>
        <w:pStyle w:val="Heading2"/>
      </w:pPr>
      <w:r>
        <w:t>5.2. Фармакокинетични свойства</w:t>
      </w:r>
    </w:p>
    <w:p w14:paraId="0EA6CF0E" w14:textId="30620DA6" w:rsidR="00D04E4F" w:rsidRDefault="00D04E4F" w:rsidP="00D04E4F"/>
    <w:p w14:paraId="23C667DE" w14:textId="77777777" w:rsidR="00D04E4F" w:rsidRPr="00D04E4F" w:rsidRDefault="00D04E4F" w:rsidP="00D04E4F">
      <w:pPr>
        <w:pStyle w:val="Heading3"/>
        <w:rPr>
          <w:rFonts w:eastAsia="Times New Roman"/>
          <w:u w:val="single"/>
        </w:rPr>
      </w:pPr>
      <w:r w:rsidRPr="00D04E4F">
        <w:rPr>
          <w:rFonts w:eastAsia="Times New Roman"/>
          <w:u w:val="single"/>
          <w:lang w:eastAsia="bg-BG"/>
        </w:rPr>
        <w:t>Абсорбция</w:t>
      </w:r>
    </w:p>
    <w:p w14:paraId="30548CA0" w14:textId="77777777" w:rsidR="00D04E4F" w:rsidRPr="00D04E4F" w:rsidRDefault="00D04E4F" w:rsidP="00D04E4F">
      <w:pPr>
        <w:rPr>
          <w:rFonts w:eastAsia="Times New Roman" w:cs="Arial"/>
          <w:color w:val="000000"/>
          <w:lang w:eastAsia="bg-BG"/>
        </w:rPr>
      </w:pPr>
    </w:p>
    <w:p w14:paraId="738719B1" w14:textId="77777777" w:rsidR="00D04E4F" w:rsidRPr="00D04E4F" w:rsidRDefault="00D04E4F" w:rsidP="00D04E4F">
      <w:pPr>
        <w:rPr>
          <w:rFonts w:eastAsia="Times New Roman" w:cs="Arial"/>
          <w:sz w:val="24"/>
          <w:szCs w:val="24"/>
        </w:rPr>
      </w:pPr>
      <w:r w:rsidRPr="00D04E4F">
        <w:rPr>
          <w:rFonts w:eastAsia="Times New Roman" w:cs="Arial"/>
          <w:color w:val="000000"/>
          <w:lang w:eastAsia="bg-BG"/>
        </w:rPr>
        <w:lastRenderedPageBreak/>
        <w:t>Абсорбцията на анастрозол е бърза и максималните серумни концентрации се достигат до 2 часа след приемането (на гладно). Анастрозол се елиминира бавно с време на полуживот от 40 до 50 часа. Храната слабо намалява скоростта, но не и степента на резорбция. Не се очаква слабото намаление на скоростта на резорбцията да доведе до клинически значим ефект върху равновесните концентрации при приемане на Анастрокон таблетки веднъж дневно. Приблизително 90 до 95% от плазмените равновесни концентрации на анастрозол се достигат след 7 дни. Няма данни за зависимост на фармакокинетичните параметри на анастрозол от времето или дозата.</w:t>
      </w:r>
    </w:p>
    <w:p w14:paraId="59FEDEB6" w14:textId="77777777" w:rsidR="00D04E4F" w:rsidRPr="00D04E4F" w:rsidRDefault="00D04E4F" w:rsidP="00D04E4F">
      <w:pPr>
        <w:spacing w:line="240" w:lineRule="auto"/>
        <w:rPr>
          <w:rFonts w:eastAsia="Times New Roman" w:cs="Arial"/>
          <w:color w:val="000000"/>
          <w:lang w:eastAsia="bg-BG"/>
        </w:rPr>
      </w:pPr>
    </w:p>
    <w:p w14:paraId="20F19FED" w14:textId="1EEBE00C"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Фармакокинетиката на анастрозол не зависи от възрастта на жените в менопауза.</w:t>
      </w:r>
    </w:p>
    <w:p w14:paraId="62BD1589" w14:textId="77777777" w:rsidR="00D04E4F" w:rsidRPr="00D04E4F" w:rsidRDefault="00D04E4F" w:rsidP="00D04E4F">
      <w:pPr>
        <w:spacing w:line="240" w:lineRule="auto"/>
        <w:rPr>
          <w:rFonts w:eastAsia="Times New Roman" w:cs="Arial"/>
          <w:color w:val="000000"/>
          <w:lang w:eastAsia="bg-BG"/>
        </w:rPr>
      </w:pPr>
    </w:p>
    <w:p w14:paraId="70910E0D" w14:textId="21B2C85B"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При момчета с пубертетна гинекомастия анастрозол се абсорбира бързо, разпределя се широко и се елиминира бавно с полуживот от приблизително 2 дни. Фармакокинетичните параметри при момчета са сравними с тези при постменопаузални жени. Клирънсът на анастрозол е бил по-нисък при момичета, отколкото при момчета и експозицията е по-висока. Анастрозол при момичета се разпределя широко и се елиминира бавно с оценен полуживот от приблизително 0,8 дни.</w:t>
      </w:r>
    </w:p>
    <w:p w14:paraId="37CB87E0" w14:textId="77777777" w:rsidR="00D04E4F" w:rsidRPr="00D04E4F" w:rsidRDefault="00D04E4F" w:rsidP="00D04E4F">
      <w:pPr>
        <w:spacing w:line="240" w:lineRule="auto"/>
        <w:rPr>
          <w:rFonts w:eastAsia="Times New Roman" w:cs="Arial"/>
          <w:color w:val="000000"/>
          <w:u w:val="single"/>
          <w:lang w:eastAsia="bg-BG"/>
        </w:rPr>
      </w:pPr>
    </w:p>
    <w:p w14:paraId="07D50974" w14:textId="0AF017BE" w:rsidR="00D04E4F" w:rsidRPr="00D04E4F" w:rsidRDefault="00D04E4F" w:rsidP="00D04E4F">
      <w:pPr>
        <w:pStyle w:val="Heading3"/>
        <w:rPr>
          <w:rFonts w:eastAsia="Times New Roman"/>
          <w:u w:val="single"/>
        </w:rPr>
      </w:pPr>
      <w:r w:rsidRPr="00D04E4F">
        <w:rPr>
          <w:rFonts w:eastAsia="Times New Roman"/>
          <w:u w:val="single"/>
          <w:lang w:eastAsia="bg-BG"/>
        </w:rPr>
        <w:t>Разпределение</w:t>
      </w:r>
    </w:p>
    <w:p w14:paraId="278B81D4" w14:textId="77777777" w:rsidR="00D04E4F" w:rsidRPr="00D04E4F" w:rsidRDefault="00D04E4F" w:rsidP="00D04E4F">
      <w:pPr>
        <w:spacing w:line="240" w:lineRule="auto"/>
        <w:rPr>
          <w:rFonts w:eastAsia="Times New Roman" w:cs="Arial"/>
          <w:color w:val="000000"/>
          <w:lang w:eastAsia="bg-BG"/>
        </w:rPr>
      </w:pPr>
    </w:p>
    <w:p w14:paraId="12D85D04" w14:textId="16286A8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Анастрозол се свързва с плазмените протеини само в 40%.</w:t>
      </w:r>
    </w:p>
    <w:p w14:paraId="6226A30B" w14:textId="77777777" w:rsidR="00D04E4F" w:rsidRPr="00D04E4F" w:rsidRDefault="00D04E4F" w:rsidP="00D04E4F">
      <w:pPr>
        <w:spacing w:line="240" w:lineRule="auto"/>
        <w:rPr>
          <w:rFonts w:eastAsia="Times New Roman" w:cs="Arial"/>
          <w:color w:val="000000"/>
          <w:u w:val="single"/>
          <w:lang w:eastAsia="bg-BG"/>
        </w:rPr>
      </w:pPr>
    </w:p>
    <w:p w14:paraId="11752CEF" w14:textId="2E00721E" w:rsidR="00D04E4F" w:rsidRPr="00D04E4F" w:rsidRDefault="00D04E4F" w:rsidP="00D04E4F">
      <w:pPr>
        <w:pStyle w:val="Heading3"/>
        <w:rPr>
          <w:rFonts w:eastAsia="Times New Roman"/>
          <w:u w:val="single"/>
        </w:rPr>
      </w:pPr>
      <w:r w:rsidRPr="00D04E4F">
        <w:rPr>
          <w:rFonts w:eastAsia="Times New Roman"/>
          <w:u w:val="single"/>
          <w:lang w:eastAsia="bg-BG"/>
        </w:rPr>
        <w:t>Елиминиране</w:t>
      </w:r>
    </w:p>
    <w:p w14:paraId="49B30485" w14:textId="77777777" w:rsidR="00D04E4F" w:rsidRPr="00D04E4F" w:rsidRDefault="00D04E4F" w:rsidP="00D04E4F">
      <w:pPr>
        <w:spacing w:line="240" w:lineRule="auto"/>
        <w:rPr>
          <w:rFonts w:eastAsia="Times New Roman" w:cs="Arial"/>
          <w:color w:val="000000"/>
          <w:lang w:eastAsia="bg-BG"/>
        </w:rPr>
      </w:pPr>
    </w:p>
    <w:p w14:paraId="5749956E" w14:textId="7F49B509"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Анастрозол се отделя бавно с плазмен елиминационен полуживот 40-50 часа.</w:t>
      </w:r>
    </w:p>
    <w:p w14:paraId="54B538A7" w14:textId="77777777" w:rsidR="00D04E4F" w:rsidRPr="00D04E4F" w:rsidRDefault="00D04E4F" w:rsidP="00D04E4F">
      <w:pPr>
        <w:spacing w:line="240" w:lineRule="auto"/>
        <w:rPr>
          <w:rFonts w:eastAsia="Times New Roman" w:cs="Arial"/>
          <w:color w:val="000000"/>
          <w:lang w:eastAsia="bg-BG"/>
        </w:rPr>
      </w:pPr>
    </w:p>
    <w:p w14:paraId="3CF6772D" w14:textId="73C12BAB"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Анастрозол се метаболизира много добре при жени в менопауза, като по-малко от 10% се екскретират в урината в непроменен вид до 72 часа след приемането. Метаболизмът на анастрозол се извършва чрез </w:t>
      </w:r>
      <w:r w:rsidRPr="00D04E4F">
        <w:rPr>
          <w:rFonts w:eastAsia="Times New Roman" w:cs="Arial"/>
          <w:color w:val="000000"/>
          <w:lang w:val="en-US"/>
        </w:rPr>
        <w:t>N</w:t>
      </w:r>
      <w:r w:rsidRPr="00D04E4F">
        <w:rPr>
          <w:rFonts w:eastAsia="Times New Roman" w:cs="Arial"/>
          <w:color w:val="000000"/>
          <w:lang w:eastAsia="bg-BG"/>
        </w:rPr>
        <w:t>-деалкилиране, хидроксилиране и глюкуронидизация. Метаболитите се екскретират предимно чрез урината. Триазолът, основният метаболит в плазмата и урината, не инхибира ароматазата.</w:t>
      </w:r>
    </w:p>
    <w:p w14:paraId="5646C77F"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Видимият орален клирънс на анастрозол при доброволци със стабилна чернодробна цироза или бъбречно увреждане е бил в границите, наблюдавани при здрави доброволци.</w:t>
      </w:r>
    </w:p>
    <w:p w14:paraId="2F5B7B84" w14:textId="77777777" w:rsidR="00D04E4F" w:rsidRPr="00D04E4F" w:rsidRDefault="00D04E4F" w:rsidP="00D04E4F">
      <w:pPr>
        <w:spacing w:line="240" w:lineRule="auto"/>
        <w:rPr>
          <w:rFonts w:eastAsia="Times New Roman" w:cs="Arial"/>
          <w:i/>
          <w:iCs/>
          <w:color w:val="000000"/>
          <w:lang w:eastAsia="bg-BG"/>
        </w:rPr>
      </w:pPr>
    </w:p>
    <w:p w14:paraId="74603E48" w14:textId="474B507C"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Бъбречна и чернодробна недостатъчност</w:t>
      </w:r>
    </w:p>
    <w:p w14:paraId="49552706" w14:textId="77777777" w:rsidR="00D04E4F" w:rsidRPr="00D04E4F" w:rsidRDefault="00D04E4F" w:rsidP="00D04E4F">
      <w:pPr>
        <w:spacing w:line="240" w:lineRule="auto"/>
        <w:rPr>
          <w:rFonts w:eastAsia="Times New Roman" w:cs="Arial"/>
          <w:color w:val="000000"/>
          <w:lang w:eastAsia="bg-BG"/>
        </w:rPr>
      </w:pPr>
    </w:p>
    <w:p w14:paraId="2B42469F" w14:textId="639E41F4"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Привидният клирънс </w:t>
      </w:r>
      <w:r w:rsidRPr="00D04E4F">
        <w:rPr>
          <w:rFonts w:eastAsia="Times New Roman" w:cs="Arial"/>
          <w:color w:val="000000"/>
          <w:lang w:val="ru-RU"/>
        </w:rPr>
        <w:t>(</w:t>
      </w:r>
      <w:r w:rsidRPr="00D04E4F">
        <w:rPr>
          <w:rFonts w:eastAsia="Times New Roman" w:cs="Arial"/>
          <w:color w:val="000000"/>
          <w:lang w:val="en-US"/>
        </w:rPr>
        <w:t>CL</w:t>
      </w:r>
      <w:r w:rsidRPr="00D04E4F">
        <w:rPr>
          <w:rFonts w:eastAsia="Times New Roman" w:cs="Arial"/>
          <w:color w:val="000000"/>
          <w:lang w:val="ru-RU"/>
        </w:rPr>
        <w:t>/</w:t>
      </w:r>
      <w:r w:rsidRPr="00D04E4F">
        <w:rPr>
          <w:rFonts w:eastAsia="Times New Roman" w:cs="Arial"/>
          <w:color w:val="000000"/>
          <w:lang w:val="en-US"/>
        </w:rPr>
        <w:t>F</w:t>
      </w:r>
      <w:r w:rsidRPr="00D04E4F">
        <w:rPr>
          <w:rFonts w:eastAsia="Times New Roman" w:cs="Arial"/>
          <w:color w:val="000000"/>
          <w:lang w:val="ru-RU"/>
        </w:rPr>
        <w:t xml:space="preserve">) </w:t>
      </w:r>
      <w:r w:rsidRPr="00D04E4F">
        <w:rPr>
          <w:rFonts w:eastAsia="Times New Roman" w:cs="Arial"/>
          <w:color w:val="000000"/>
          <w:lang w:eastAsia="bg-BG"/>
        </w:rPr>
        <w:t>на анастрозол след перорално приложение е приблизително 30% по-нисък при доброволци със стабилна чернодробна цироза в сравнение със съответстващите им контроли (Проучване 1</w:t>
      </w:r>
      <w:r w:rsidRPr="00D04E4F">
        <w:rPr>
          <w:rFonts w:eastAsia="Times New Roman" w:cs="Arial"/>
          <w:color w:val="000000"/>
          <w:lang w:val="ru-RU"/>
        </w:rPr>
        <w:t>033</w:t>
      </w:r>
      <w:r w:rsidRPr="00D04E4F">
        <w:rPr>
          <w:rFonts w:eastAsia="Times New Roman" w:cs="Arial"/>
          <w:color w:val="000000"/>
          <w:lang w:val="en-US"/>
        </w:rPr>
        <w:t>IL</w:t>
      </w:r>
      <w:r w:rsidRPr="00D04E4F">
        <w:rPr>
          <w:rFonts w:eastAsia="Times New Roman" w:cs="Arial"/>
          <w:color w:val="000000"/>
          <w:lang w:val="ru-RU"/>
        </w:rPr>
        <w:t>/00</w:t>
      </w:r>
      <w:r w:rsidRPr="00D04E4F">
        <w:rPr>
          <w:rFonts w:eastAsia="Times New Roman" w:cs="Arial"/>
          <w:color w:val="000000"/>
          <w:lang w:eastAsia="bg-BG"/>
        </w:rPr>
        <w:t>14). Все пак плазмените концентрации на анастрозол при доброволците с чернодробна цироза са в диапазона от концентрации, наблюдавани при нормални лица в други проучвания. Плазмените концентрации на анастрозол, наблюдавани по време на дългосрочни изпитвания за ефикасност при пациенти с чернодробно увреждане, са в диапазона от плазмени концентрации на анастрозол, наблюдавани при пациенти без чернодробно увреждане.</w:t>
      </w:r>
    </w:p>
    <w:p w14:paraId="05AE5F6C" w14:textId="77777777" w:rsidR="00D04E4F" w:rsidRPr="00D04E4F" w:rsidRDefault="00D04E4F" w:rsidP="00D04E4F">
      <w:pPr>
        <w:spacing w:line="240" w:lineRule="auto"/>
        <w:rPr>
          <w:rFonts w:eastAsia="Times New Roman" w:cs="Arial"/>
          <w:color w:val="000000"/>
          <w:lang w:eastAsia="bg-BG"/>
        </w:rPr>
      </w:pPr>
    </w:p>
    <w:p w14:paraId="289BFBFC" w14:textId="62C6F4E8"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Привидният клирънс </w:t>
      </w:r>
      <w:r w:rsidRPr="00D04E4F">
        <w:rPr>
          <w:rFonts w:eastAsia="Times New Roman" w:cs="Arial"/>
          <w:color w:val="000000"/>
          <w:lang w:val="ru-RU"/>
        </w:rPr>
        <w:t>(</w:t>
      </w:r>
      <w:r w:rsidRPr="00D04E4F">
        <w:rPr>
          <w:rFonts w:eastAsia="Times New Roman" w:cs="Arial"/>
          <w:color w:val="000000"/>
          <w:lang w:val="en-US"/>
        </w:rPr>
        <w:t>CL</w:t>
      </w:r>
      <w:r w:rsidRPr="00D04E4F">
        <w:rPr>
          <w:rFonts w:eastAsia="Times New Roman" w:cs="Arial"/>
          <w:color w:val="000000"/>
          <w:lang w:val="ru-RU"/>
        </w:rPr>
        <w:t>/</w:t>
      </w:r>
      <w:r w:rsidRPr="00D04E4F">
        <w:rPr>
          <w:rFonts w:eastAsia="Times New Roman" w:cs="Arial"/>
          <w:color w:val="000000"/>
          <w:lang w:val="en-US"/>
        </w:rPr>
        <w:t>F</w:t>
      </w:r>
      <w:r w:rsidRPr="00D04E4F">
        <w:rPr>
          <w:rFonts w:eastAsia="Times New Roman" w:cs="Arial"/>
          <w:color w:val="000000"/>
          <w:lang w:val="ru-RU"/>
        </w:rPr>
        <w:t xml:space="preserve">) </w:t>
      </w:r>
      <w:r w:rsidRPr="00D04E4F">
        <w:rPr>
          <w:rFonts w:eastAsia="Times New Roman" w:cs="Arial"/>
          <w:color w:val="000000"/>
          <w:lang w:eastAsia="bg-BG"/>
        </w:rPr>
        <w:t xml:space="preserve">на анастрозол след перорално приложение не е променен при доброволци с тежко бъбречно увреждане </w:t>
      </w:r>
      <w:r w:rsidRPr="00D04E4F">
        <w:rPr>
          <w:rFonts w:eastAsia="Times New Roman" w:cs="Arial"/>
          <w:color w:val="000000"/>
          <w:lang w:val="ru-RU"/>
        </w:rPr>
        <w:t>(</w:t>
      </w:r>
      <w:r w:rsidRPr="00D04E4F">
        <w:rPr>
          <w:rFonts w:eastAsia="Times New Roman" w:cs="Arial"/>
          <w:color w:val="000000"/>
          <w:lang w:val="en-US"/>
        </w:rPr>
        <w:t>GFR</w:t>
      </w:r>
      <w:r w:rsidRPr="00D04E4F">
        <w:rPr>
          <w:rFonts w:eastAsia="Times New Roman" w:cs="Arial"/>
          <w:color w:val="000000"/>
          <w:lang w:val="ru-RU"/>
        </w:rPr>
        <w:t xml:space="preserve"> </w:t>
      </w:r>
      <w:r w:rsidRPr="00D04E4F">
        <w:rPr>
          <w:rFonts w:eastAsia="Times New Roman" w:cs="Arial"/>
          <w:color w:val="000000"/>
          <w:lang w:eastAsia="bg-BG"/>
        </w:rPr>
        <w:t xml:space="preserve">&lt; 30 </w:t>
      </w:r>
      <w:r w:rsidRPr="00D04E4F">
        <w:rPr>
          <w:rFonts w:eastAsia="Times New Roman" w:cs="Arial"/>
          <w:color w:val="000000"/>
          <w:lang w:val="en-US"/>
        </w:rPr>
        <w:t>ml</w:t>
      </w:r>
      <w:r w:rsidRPr="00D04E4F">
        <w:rPr>
          <w:rFonts w:eastAsia="Times New Roman" w:cs="Arial"/>
          <w:color w:val="000000"/>
          <w:lang w:val="ru-RU"/>
        </w:rPr>
        <w:t>/</w:t>
      </w:r>
      <w:r w:rsidRPr="00D04E4F">
        <w:rPr>
          <w:rFonts w:eastAsia="Times New Roman" w:cs="Arial"/>
          <w:color w:val="000000"/>
          <w:lang w:val="en-US"/>
        </w:rPr>
        <w:t>min</w:t>
      </w:r>
      <w:r w:rsidRPr="00D04E4F">
        <w:rPr>
          <w:rFonts w:eastAsia="Times New Roman" w:cs="Arial"/>
          <w:color w:val="000000"/>
          <w:lang w:val="ru-RU"/>
        </w:rPr>
        <w:t xml:space="preserve">) </w:t>
      </w:r>
      <w:r w:rsidRPr="00D04E4F">
        <w:rPr>
          <w:rFonts w:eastAsia="Times New Roman" w:cs="Arial"/>
          <w:color w:val="000000"/>
          <w:lang w:eastAsia="bg-BG"/>
        </w:rPr>
        <w:t xml:space="preserve">в Проучване </w:t>
      </w:r>
      <w:r w:rsidRPr="00D04E4F">
        <w:rPr>
          <w:rFonts w:eastAsia="Times New Roman" w:cs="Arial"/>
          <w:color w:val="000000"/>
          <w:lang w:val="ru-RU"/>
        </w:rPr>
        <w:t>1033</w:t>
      </w:r>
      <w:r w:rsidRPr="00D04E4F">
        <w:rPr>
          <w:rFonts w:eastAsia="Times New Roman" w:cs="Arial"/>
          <w:color w:val="000000"/>
          <w:lang w:val="en-US"/>
        </w:rPr>
        <w:t>IL</w:t>
      </w:r>
      <w:r w:rsidRPr="00D04E4F">
        <w:rPr>
          <w:rFonts w:eastAsia="Times New Roman" w:cs="Arial"/>
          <w:color w:val="000000"/>
          <w:lang w:val="ru-RU"/>
        </w:rPr>
        <w:t xml:space="preserve">/0018, </w:t>
      </w:r>
      <w:r w:rsidRPr="00D04E4F">
        <w:rPr>
          <w:rFonts w:eastAsia="Times New Roman" w:cs="Arial"/>
          <w:color w:val="000000"/>
          <w:lang w:eastAsia="bg-BG"/>
        </w:rPr>
        <w:t xml:space="preserve">което е в съответствие с факта, че анастрозол се елиминира главно чрез метаболизъм. Плазмените концентрации на анастрозол, наблюдавани по време на дългосрочни </w:t>
      </w:r>
      <w:r w:rsidRPr="00D04E4F">
        <w:rPr>
          <w:rFonts w:eastAsia="Times New Roman" w:cs="Arial"/>
          <w:color w:val="000000"/>
          <w:lang w:eastAsia="bg-BG"/>
        </w:rPr>
        <w:lastRenderedPageBreak/>
        <w:t>проучвания за ефикасност при пациенти с бъбречно увреждане, са в диапазона от плазмени концентрации на анастрозол, набюдавани при пациента без бъбречно увреждане, анастрозол трябва да се прилага с повишено внимание при пациенти с тежко бъбречна увреждане (виж точки 4.2 и 4.4).</w:t>
      </w:r>
    </w:p>
    <w:p w14:paraId="50241576" w14:textId="77777777" w:rsidR="00D04E4F" w:rsidRPr="00D04E4F" w:rsidRDefault="00D04E4F" w:rsidP="00D04E4F">
      <w:pPr>
        <w:spacing w:line="240" w:lineRule="auto"/>
        <w:rPr>
          <w:rFonts w:eastAsia="Times New Roman" w:cs="Arial"/>
          <w:i/>
          <w:iCs/>
          <w:color w:val="000000"/>
          <w:lang w:eastAsia="bg-BG"/>
        </w:rPr>
      </w:pPr>
    </w:p>
    <w:p w14:paraId="031EAB32" w14:textId="0D8F5E5F"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Педиатрична популация</w:t>
      </w:r>
    </w:p>
    <w:p w14:paraId="3B3BB449" w14:textId="77777777" w:rsidR="00D04E4F" w:rsidRPr="00D04E4F" w:rsidRDefault="00D04E4F" w:rsidP="00D04E4F">
      <w:pPr>
        <w:rPr>
          <w:rFonts w:eastAsia="Times New Roman" w:cs="Arial"/>
          <w:color w:val="000000"/>
          <w:lang w:eastAsia="bg-BG"/>
        </w:rPr>
      </w:pPr>
    </w:p>
    <w:p w14:paraId="0214C10C" w14:textId="77777777" w:rsidR="00D04E4F" w:rsidRPr="00D04E4F" w:rsidRDefault="00D04E4F" w:rsidP="00D04E4F">
      <w:pPr>
        <w:rPr>
          <w:rFonts w:eastAsia="Times New Roman" w:cs="Arial"/>
          <w:sz w:val="24"/>
          <w:szCs w:val="24"/>
        </w:rPr>
      </w:pPr>
      <w:r w:rsidRPr="00D04E4F">
        <w:rPr>
          <w:rFonts w:eastAsia="Times New Roman" w:cs="Arial"/>
          <w:color w:val="000000"/>
          <w:lang w:eastAsia="bg-BG"/>
        </w:rPr>
        <w:t>При момчета с гинекомастия (10-17 години) през пубертета анастрозол се резорбира бързо, разпределя се широко и се елиминира бавно с полуживот приблизително 2 дни. При момичета (3-10 години) клирънсът на анастрозол е по-нисък, отколкото при по- големите момчета, а експозицията му е по-висока. При момичета анастрозол се разпределя широко и се елиминира бавно.</w:t>
      </w:r>
    </w:p>
    <w:p w14:paraId="3CB270AC" w14:textId="7C80201E" w:rsidR="00D04E4F" w:rsidRPr="00D04E4F" w:rsidRDefault="00D04E4F" w:rsidP="00D04E4F"/>
    <w:p w14:paraId="648E39DA" w14:textId="713E9112" w:rsidR="00CF77F7" w:rsidRDefault="002C50EE" w:rsidP="004A448E">
      <w:pPr>
        <w:pStyle w:val="Heading2"/>
      </w:pPr>
      <w:r>
        <w:t>5.3. Предклинични данни за безопасност</w:t>
      </w:r>
    </w:p>
    <w:p w14:paraId="085043B9" w14:textId="0A42D512" w:rsidR="00D04E4F" w:rsidRDefault="00D04E4F" w:rsidP="00D04E4F"/>
    <w:p w14:paraId="57279F67"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Неклиничните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прилагане, генотоксичност, карциногенен потенциал и репродуктивна токсичност.</w:t>
      </w:r>
    </w:p>
    <w:p w14:paraId="27CD6402" w14:textId="77777777" w:rsidR="00D04E4F" w:rsidRPr="00D04E4F" w:rsidRDefault="00D04E4F" w:rsidP="00D04E4F">
      <w:pPr>
        <w:spacing w:line="240" w:lineRule="auto"/>
        <w:rPr>
          <w:rFonts w:eastAsia="Times New Roman" w:cs="Arial"/>
          <w:i/>
          <w:iCs/>
          <w:color w:val="000000"/>
          <w:lang w:eastAsia="bg-BG"/>
        </w:rPr>
      </w:pPr>
    </w:p>
    <w:p w14:paraId="261B2476" w14:textId="114F3C6A"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Остра токсичност</w:t>
      </w:r>
    </w:p>
    <w:p w14:paraId="5FDEB2C8" w14:textId="77777777" w:rsidR="00D04E4F" w:rsidRPr="00D04E4F" w:rsidRDefault="00D04E4F" w:rsidP="00D04E4F">
      <w:pPr>
        <w:spacing w:line="240" w:lineRule="auto"/>
        <w:rPr>
          <w:rFonts w:eastAsia="Times New Roman" w:cs="Arial"/>
          <w:color w:val="000000"/>
          <w:lang w:eastAsia="bg-BG"/>
        </w:rPr>
      </w:pPr>
    </w:p>
    <w:p w14:paraId="7A5287DF" w14:textId="0D826EBB"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В проучвания при животни токсичност се наблюдава само при високи дози. В проучвания за остра токсичност при гризачи средната летална доза анастрозол надвишава 100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 xml:space="preserve">/дневно при перорално приложение и 50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 xml:space="preserve">/дневно при интраперитонеално приложение. В проучване за остра токсичност при перорално приложение при кучета средната летална доза надвишава 45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/дневно.</w:t>
      </w:r>
    </w:p>
    <w:p w14:paraId="51E46865" w14:textId="77777777" w:rsidR="00D04E4F" w:rsidRPr="00D04E4F" w:rsidRDefault="00D04E4F" w:rsidP="00D04E4F">
      <w:pPr>
        <w:spacing w:line="240" w:lineRule="auto"/>
        <w:rPr>
          <w:rFonts w:eastAsia="Times New Roman" w:cs="Arial"/>
          <w:i/>
          <w:iCs/>
          <w:color w:val="000000"/>
          <w:lang w:eastAsia="bg-BG"/>
        </w:rPr>
      </w:pPr>
    </w:p>
    <w:p w14:paraId="4B338161" w14:textId="7D7D7AFE"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Хронична токсичност</w:t>
      </w:r>
    </w:p>
    <w:p w14:paraId="21A05DC5" w14:textId="77777777" w:rsidR="00D04E4F" w:rsidRPr="00D04E4F" w:rsidRDefault="00D04E4F" w:rsidP="00D04E4F">
      <w:pPr>
        <w:spacing w:line="240" w:lineRule="auto"/>
        <w:rPr>
          <w:rFonts w:eastAsia="Times New Roman" w:cs="Arial"/>
          <w:color w:val="000000"/>
          <w:lang w:eastAsia="bg-BG"/>
        </w:rPr>
      </w:pPr>
    </w:p>
    <w:p w14:paraId="11F73A63" w14:textId="4285C9ED"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В проучвания при животни нежелани реакции се наблюдават само при високи дози. Проучвания за токсичност при многократно прилагане са провеждани при плъхове и кучета. В проучванията за токсичност на анастрозол не са установени концентрации, при които да не се проявява ефект, но ефектите, наблюдавани при приложение на ниски (1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 xml:space="preserve">/дневно) и умерено високи дози (куче - 3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 xml:space="preserve">/дневно; плъх - 5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/дневно) са свързани или с фармакологичните, или с ензимно индукторните свойства на анастрозол и не се придружават от развитие на значима токсичност или дегенеративни промени.</w:t>
      </w:r>
    </w:p>
    <w:p w14:paraId="6DE2E0DA" w14:textId="77777777" w:rsidR="00D04E4F" w:rsidRPr="00D04E4F" w:rsidRDefault="00D04E4F" w:rsidP="00D04E4F">
      <w:pPr>
        <w:spacing w:line="240" w:lineRule="auto"/>
        <w:rPr>
          <w:rFonts w:eastAsia="Times New Roman" w:cs="Arial"/>
          <w:i/>
          <w:iCs/>
          <w:color w:val="000000"/>
          <w:lang w:eastAsia="bg-BG"/>
        </w:rPr>
      </w:pPr>
    </w:p>
    <w:p w14:paraId="54879AC4" w14:textId="203A0BC9"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Мутагенен потенциал</w:t>
      </w:r>
    </w:p>
    <w:p w14:paraId="28B99840" w14:textId="77777777" w:rsidR="00D04E4F" w:rsidRPr="00D04E4F" w:rsidRDefault="00D04E4F" w:rsidP="00D04E4F">
      <w:pPr>
        <w:spacing w:line="240" w:lineRule="auto"/>
        <w:rPr>
          <w:rFonts w:eastAsia="Times New Roman" w:cs="Arial"/>
          <w:color w:val="000000"/>
          <w:lang w:eastAsia="bg-BG"/>
        </w:rPr>
      </w:pPr>
    </w:p>
    <w:p w14:paraId="2D3E50EB" w14:textId="77777777" w:rsidR="00D04E4F" w:rsidRPr="00D04E4F" w:rsidRDefault="00D04E4F" w:rsidP="00D04E4F">
      <w:pPr>
        <w:spacing w:line="240" w:lineRule="auto"/>
        <w:rPr>
          <w:rFonts w:eastAsia="Times New Roman" w:cs="Arial"/>
          <w:color w:val="000000"/>
          <w:lang w:eastAsia="bg-BG"/>
        </w:rPr>
      </w:pPr>
      <w:r w:rsidRPr="00D04E4F">
        <w:rPr>
          <w:rFonts w:eastAsia="Times New Roman" w:cs="Arial"/>
          <w:color w:val="000000"/>
          <w:lang w:eastAsia="bg-BG"/>
        </w:rPr>
        <w:t xml:space="preserve">Проучванията за генетична токсичност на анастрозол показват, че той няма мутагенен или </w:t>
      </w:r>
    </w:p>
    <w:p w14:paraId="714930E2" w14:textId="7312A484"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кластогенен потенциал.</w:t>
      </w:r>
    </w:p>
    <w:p w14:paraId="526D448D" w14:textId="77777777" w:rsidR="00D04E4F" w:rsidRPr="00D04E4F" w:rsidRDefault="00D04E4F" w:rsidP="00D04E4F">
      <w:pPr>
        <w:spacing w:line="240" w:lineRule="auto"/>
        <w:rPr>
          <w:rFonts w:eastAsia="Times New Roman" w:cs="Arial"/>
          <w:i/>
          <w:iCs/>
          <w:color w:val="000000"/>
          <w:lang w:eastAsia="bg-BG"/>
        </w:rPr>
      </w:pPr>
    </w:p>
    <w:p w14:paraId="1FE54C95" w14:textId="4AB30FAD"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Репродуктивна токсичност</w:t>
      </w:r>
    </w:p>
    <w:p w14:paraId="215FC236" w14:textId="77777777" w:rsidR="00D04E4F" w:rsidRPr="00D04E4F" w:rsidRDefault="00D04E4F" w:rsidP="00D04E4F">
      <w:pPr>
        <w:spacing w:line="240" w:lineRule="auto"/>
        <w:rPr>
          <w:rFonts w:eastAsia="Times New Roman" w:cs="Arial"/>
          <w:color w:val="000000"/>
          <w:lang w:eastAsia="bg-BG"/>
        </w:rPr>
      </w:pPr>
    </w:p>
    <w:p w14:paraId="3AB7BAFC" w14:textId="44EBB3DB"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В проучване за ефект върху фертилитета на наскоро отбити мъжки плъхове перорално, с водата за пиене е даван анастрозол в доза 50 или 400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I</w:t>
      </w:r>
      <w:r w:rsidRPr="00D04E4F">
        <w:rPr>
          <w:rFonts w:eastAsia="Times New Roman" w:cs="Arial"/>
          <w:color w:val="000000"/>
          <w:lang w:val="ru-RU"/>
        </w:rPr>
        <w:t xml:space="preserve"> </w:t>
      </w:r>
      <w:r w:rsidRPr="00D04E4F">
        <w:rPr>
          <w:rFonts w:eastAsia="Times New Roman" w:cs="Arial"/>
          <w:color w:val="000000"/>
          <w:lang w:eastAsia="bg-BG"/>
        </w:rPr>
        <w:t xml:space="preserve">в продължение на 10 седмици. Измерените средни плазмени концентрации са съответно 44,4 (±14,7) </w:t>
      </w:r>
      <w:r w:rsidRPr="00D04E4F">
        <w:rPr>
          <w:rFonts w:eastAsia="Times New Roman" w:cs="Arial"/>
          <w:color w:val="000000"/>
          <w:lang w:val="en-US"/>
        </w:rPr>
        <w:t>ng</w:t>
      </w:r>
      <w:r w:rsidRPr="00D04E4F">
        <w:rPr>
          <w:rFonts w:eastAsia="Times New Roman" w:cs="Arial"/>
          <w:color w:val="000000"/>
          <w:lang w:val="ru-RU"/>
        </w:rPr>
        <w:t>/</w:t>
      </w:r>
      <w:r w:rsidRPr="00D04E4F">
        <w:rPr>
          <w:rFonts w:eastAsia="Times New Roman" w:cs="Arial"/>
          <w:color w:val="000000"/>
          <w:lang w:val="en-US"/>
        </w:rPr>
        <w:t>ml</w:t>
      </w:r>
      <w:r w:rsidRPr="00D04E4F">
        <w:rPr>
          <w:rFonts w:eastAsia="Times New Roman" w:cs="Arial"/>
          <w:color w:val="000000"/>
          <w:lang w:val="ru-RU"/>
        </w:rPr>
        <w:t xml:space="preserve"> </w:t>
      </w:r>
      <w:r w:rsidRPr="00D04E4F">
        <w:rPr>
          <w:rFonts w:eastAsia="Times New Roman" w:cs="Arial"/>
          <w:color w:val="000000"/>
          <w:lang w:eastAsia="bg-BG"/>
        </w:rPr>
        <w:t xml:space="preserve">и 165 (±90) </w:t>
      </w:r>
      <w:r w:rsidRPr="00D04E4F">
        <w:rPr>
          <w:rFonts w:eastAsia="Times New Roman" w:cs="Arial"/>
          <w:color w:val="000000"/>
          <w:lang w:val="en-US"/>
        </w:rPr>
        <w:t>ng</w:t>
      </w:r>
      <w:r w:rsidRPr="00D04E4F">
        <w:rPr>
          <w:rFonts w:eastAsia="Times New Roman" w:cs="Arial"/>
          <w:color w:val="000000"/>
          <w:lang w:val="ru-RU"/>
        </w:rPr>
        <w:t>/</w:t>
      </w:r>
      <w:r w:rsidRPr="00D04E4F">
        <w:rPr>
          <w:rFonts w:eastAsia="Times New Roman" w:cs="Arial"/>
          <w:color w:val="000000"/>
          <w:lang w:val="en-US"/>
        </w:rPr>
        <w:t>ml</w:t>
      </w:r>
      <w:r w:rsidRPr="00D04E4F">
        <w:rPr>
          <w:rFonts w:eastAsia="Times New Roman" w:cs="Arial"/>
          <w:color w:val="000000"/>
          <w:lang w:val="ru-RU"/>
        </w:rPr>
        <w:t xml:space="preserve">. </w:t>
      </w:r>
      <w:r w:rsidRPr="00D04E4F">
        <w:rPr>
          <w:rFonts w:eastAsia="Times New Roman" w:cs="Arial"/>
          <w:color w:val="000000"/>
          <w:lang w:eastAsia="bg-BG"/>
        </w:rPr>
        <w:t xml:space="preserve">Показателите за чифтосване са засегнати в негативна посока и в двете групи, но понижен фертилитет е установен само в групата, получавала анастрозол в доза </w:t>
      </w:r>
      <w:r w:rsidRPr="00D04E4F">
        <w:rPr>
          <w:rFonts w:eastAsia="Times New Roman" w:cs="Arial"/>
          <w:color w:val="000000"/>
          <w:lang w:eastAsia="bg-BG"/>
        </w:rPr>
        <w:lastRenderedPageBreak/>
        <w:t xml:space="preserve">400 </w:t>
      </w:r>
      <w:r w:rsidRPr="00D04E4F">
        <w:rPr>
          <w:rFonts w:eastAsia="Times New Roman" w:cs="Arial"/>
          <w:color w:val="000000"/>
          <w:lang w:val="en-US"/>
        </w:rPr>
        <w:t>mg</w:t>
      </w:r>
      <w:r w:rsidRPr="00D04E4F">
        <w:rPr>
          <w:rFonts w:eastAsia="Times New Roman" w:cs="Arial"/>
          <w:color w:val="000000"/>
          <w:lang w:val="ru-RU"/>
        </w:rPr>
        <w:t>/1</w:t>
      </w:r>
      <w:r w:rsidRPr="00D04E4F">
        <w:rPr>
          <w:rFonts w:eastAsia="Times New Roman" w:cs="Arial"/>
          <w:color w:val="000000"/>
          <w:lang w:eastAsia="bg-BG"/>
        </w:rPr>
        <w:t>. Понижаването на фертилитета е преходно - след 9-седмичен период на възстановяване без прием на лекарствения продукт всички показатели за чифтосване и фертилитет са сходни с тези в контролната група.</w:t>
      </w:r>
    </w:p>
    <w:p w14:paraId="2CD033E4" w14:textId="77777777" w:rsidR="00D04E4F" w:rsidRPr="00D04E4F" w:rsidRDefault="00D04E4F" w:rsidP="00D04E4F">
      <w:pPr>
        <w:spacing w:line="240" w:lineRule="auto"/>
        <w:rPr>
          <w:rFonts w:eastAsia="Times New Roman" w:cs="Arial"/>
          <w:color w:val="000000"/>
          <w:lang w:eastAsia="bg-BG"/>
        </w:rPr>
      </w:pPr>
    </w:p>
    <w:p w14:paraId="358D1AA2" w14:textId="71AA4970"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Пероралното приложение на анастрозол на женски плъхове води до висока честота на развитие на безплодие при доза 1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 xml:space="preserve">/дневно и повишена предимплантационна загуба на плода при доза 0,02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/дневно. Тези ефекти се развиват в дози, съпоставими с клиничната. Не може да се изключи ефект при хора. Тези ефекти са свързани с фармакологичното действие на съединението и са напълно обратими след 5-седмичен период без прием на лекарствения продукт.</w:t>
      </w:r>
    </w:p>
    <w:p w14:paraId="668D80D4" w14:textId="77777777" w:rsidR="00D04E4F" w:rsidRPr="00D04E4F" w:rsidRDefault="00D04E4F" w:rsidP="00D04E4F">
      <w:pPr>
        <w:spacing w:line="240" w:lineRule="auto"/>
        <w:rPr>
          <w:rFonts w:eastAsia="Times New Roman" w:cs="Arial"/>
          <w:color w:val="000000"/>
          <w:lang w:eastAsia="bg-BG"/>
        </w:rPr>
      </w:pPr>
    </w:p>
    <w:p w14:paraId="01437E77" w14:textId="5D942AB1" w:rsidR="00D04E4F" w:rsidRPr="00D04E4F" w:rsidRDefault="00D04E4F" w:rsidP="00D04E4F">
      <w:pPr>
        <w:spacing w:line="240" w:lineRule="auto"/>
        <w:rPr>
          <w:rFonts w:eastAsia="Times New Roman" w:cs="Arial"/>
          <w:color w:val="000000"/>
          <w:lang w:eastAsia="bg-BG"/>
        </w:rPr>
      </w:pPr>
      <w:r w:rsidRPr="00D04E4F">
        <w:rPr>
          <w:rFonts w:eastAsia="Times New Roman" w:cs="Arial"/>
          <w:color w:val="000000"/>
          <w:lang w:eastAsia="bg-BG"/>
        </w:rPr>
        <w:t xml:space="preserve">Пероралното приложение на анастрозол при бременни плъхове и зайци съответно в дози до 1,0 и 0,2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/дневно няма тератогенен ефект. Наблюдаваните ефекти (хипертрофия на плацентата при плъхове и загуба на плода при зайци) са свързани с фармакологичните ефекти на веществото.</w:t>
      </w:r>
    </w:p>
    <w:p w14:paraId="1836B4CD" w14:textId="05C2D08D" w:rsidR="00D04E4F" w:rsidRPr="00D04E4F" w:rsidRDefault="00D04E4F" w:rsidP="00D04E4F">
      <w:pPr>
        <w:spacing w:line="240" w:lineRule="auto"/>
        <w:rPr>
          <w:rFonts w:eastAsia="Times New Roman" w:cs="Arial"/>
          <w:color w:val="000000"/>
          <w:lang w:eastAsia="bg-BG"/>
        </w:rPr>
      </w:pPr>
    </w:p>
    <w:p w14:paraId="6BC6F9F3" w14:textId="77777777"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 xml:space="preserve">Преживяемостта на плъхове, на чиито майки е даван анастрозол в доза 0,02 </w:t>
      </w:r>
      <w:r w:rsidRPr="00D04E4F">
        <w:rPr>
          <w:rFonts w:eastAsia="Times New Roman" w:cs="Arial"/>
          <w:color w:val="000000"/>
          <w:lang w:val="en-US"/>
        </w:rPr>
        <w:t>mg</w:t>
      </w:r>
      <w:r w:rsidRPr="00D04E4F">
        <w:rPr>
          <w:rFonts w:eastAsia="Times New Roman" w:cs="Arial"/>
          <w:color w:val="000000"/>
          <w:lang w:val="ru-RU"/>
        </w:rPr>
        <w:t>/</w:t>
      </w:r>
      <w:r w:rsidRPr="00D04E4F">
        <w:rPr>
          <w:rFonts w:eastAsia="Times New Roman" w:cs="Arial"/>
          <w:color w:val="000000"/>
          <w:lang w:val="en-US"/>
        </w:rPr>
        <w:t>kg</w:t>
      </w:r>
      <w:r w:rsidRPr="00D04E4F">
        <w:rPr>
          <w:rFonts w:eastAsia="Times New Roman" w:cs="Arial"/>
          <w:color w:val="000000"/>
          <w:lang w:eastAsia="bg-BG"/>
        </w:rPr>
        <w:t>/дневно или по-висока (от 17-ия ден на бременността до 22-ия ден след раждането), е нарушена. Тези ефекти са свързани с фармакологичните ефекти на препарата върху родовата дейност. Не са наблюдавани нежелани ефекти върху поведението или възпроизводството на първото поколение, които биха могли да се отдадат на приложението на анастрозол при майката.</w:t>
      </w:r>
    </w:p>
    <w:p w14:paraId="35550DD8" w14:textId="77777777" w:rsidR="00D04E4F" w:rsidRPr="00D04E4F" w:rsidRDefault="00D04E4F" w:rsidP="00D04E4F">
      <w:pPr>
        <w:spacing w:line="240" w:lineRule="auto"/>
        <w:rPr>
          <w:rFonts w:eastAsia="Times New Roman" w:cs="Arial"/>
          <w:i/>
          <w:iCs/>
          <w:color w:val="000000"/>
          <w:lang w:eastAsia="bg-BG"/>
        </w:rPr>
      </w:pPr>
    </w:p>
    <w:p w14:paraId="4B6FC302" w14:textId="1BEB84DF" w:rsidR="00D04E4F" w:rsidRPr="00D04E4F" w:rsidRDefault="00D04E4F" w:rsidP="00D04E4F">
      <w:pPr>
        <w:spacing w:line="240" w:lineRule="auto"/>
        <w:rPr>
          <w:rFonts w:eastAsia="Times New Roman" w:cs="Arial"/>
          <w:sz w:val="24"/>
          <w:szCs w:val="24"/>
        </w:rPr>
      </w:pPr>
      <w:r w:rsidRPr="00D04E4F">
        <w:rPr>
          <w:rFonts w:eastAsia="Times New Roman" w:cs="Arial"/>
          <w:i/>
          <w:iCs/>
          <w:color w:val="000000"/>
          <w:lang w:eastAsia="bg-BG"/>
        </w:rPr>
        <w:t>Канцерогенен потенциал</w:t>
      </w:r>
    </w:p>
    <w:p w14:paraId="0B7BB4CD" w14:textId="77777777" w:rsidR="00D04E4F" w:rsidRPr="00D04E4F" w:rsidRDefault="00D04E4F" w:rsidP="00D04E4F">
      <w:pPr>
        <w:spacing w:line="240" w:lineRule="auto"/>
        <w:rPr>
          <w:rFonts w:eastAsia="Times New Roman" w:cs="Arial"/>
          <w:color w:val="000000"/>
          <w:lang w:eastAsia="bg-BG"/>
        </w:rPr>
      </w:pPr>
    </w:p>
    <w:p w14:paraId="1998F494" w14:textId="1B00DF1A" w:rsidR="00D04E4F" w:rsidRPr="00D04E4F" w:rsidRDefault="00D04E4F" w:rsidP="00D04E4F">
      <w:pPr>
        <w:spacing w:line="240" w:lineRule="auto"/>
        <w:rPr>
          <w:rFonts w:eastAsia="Times New Roman" w:cs="Arial"/>
          <w:sz w:val="24"/>
          <w:szCs w:val="24"/>
        </w:rPr>
      </w:pPr>
      <w:r w:rsidRPr="00D04E4F">
        <w:rPr>
          <w:rFonts w:eastAsia="Times New Roman" w:cs="Arial"/>
          <w:color w:val="000000"/>
          <w:lang w:eastAsia="bg-BG"/>
        </w:rPr>
        <w:t>Двугодишно проучване за онкогенен потенциал при мишки показа индуциране на развитието на доброкачествени тумори на яйчника и промени в честотата на развитие на лимфоретикуларни неоплазии. Смята се, че това са специфични за мишки ефекти от инхибирането на ароматазата и нямат клинично значение за лечението на хора с анастрозол.</w:t>
      </w:r>
    </w:p>
    <w:p w14:paraId="1DC76DEB" w14:textId="77777777" w:rsidR="00D04E4F" w:rsidRPr="00D04E4F" w:rsidRDefault="00D04E4F" w:rsidP="00D04E4F">
      <w:pPr>
        <w:spacing w:line="240" w:lineRule="auto"/>
        <w:rPr>
          <w:rFonts w:ascii="Times New Roman" w:eastAsia="Times New Roman" w:hAnsi="Times New Roman" w:cs="Times New Roman"/>
          <w:sz w:val="24"/>
          <w:szCs w:val="24"/>
        </w:rPr>
      </w:pPr>
    </w:p>
    <w:p w14:paraId="40F4C43E" w14:textId="77777777" w:rsidR="00D04E4F" w:rsidRPr="00D04E4F" w:rsidRDefault="00D04E4F" w:rsidP="00D04E4F"/>
    <w:p w14:paraId="6A7820AB" w14:textId="7BE3AA86" w:rsidR="008A6AF2" w:rsidRDefault="002C50EE" w:rsidP="00395555">
      <w:pPr>
        <w:pStyle w:val="Heading1"/>
      </w:pPr>
      <w:r>
        <w:t>7. ПРИТЕЖАТЕЛ НА РАЗРЕШЕНИЕТО ЗА УПОТРЕБА</w:t>
      </w:r>
    </w:p>
    <w:p w14:paraId="6811DCE0" w14:textId="10536381" w:rsidR="00D04E4F" w:rsidRDefault="00D04E4F" w:rsidP="00D04E4F"/>
    <w:p w14:paraId="35C283EF" w14:textId="77777777" w:rsidR="00D04E4F" w:rsidRPr="00D04E4F" w:rsidRDefault="00D04E4F" w:rsidP="00D04E4F">
      <w:pPr>
        <w:rPr>
          <w:sz w:val="24"/>
          <w:szCs w:val="24"/>
        </w:rPr>
      </w:pPr>
      <w:r w:rsidRPr="00D04E4F">
        <w:rPr>
          <w:lang w:eastAsia="bg-BG"/>
        </w:rPr>
        <w:t>ФАРМАКОНС АД</w:t>
      </w:r>
    </w:p>
    <w:p w14:paraId="024C4650" w14:textId="77777777" w:rsidR="00D04E4F" w:rsidRPr="00D04E4F" w:rsidRDefault="00D04E4F" w:rsidP="00D04E4F">
      <w:pPr>
        <w:rPr>
          <w:sz w:val="24"/>
          <w:szCs w:val="24"/>
        </w:rPr>
      </w:pPr>
      <w:r w:rsidRPr="00D04E4F">
        <w:rPr>
          <w:lang w:eastAsia="bg-BG"/>
        </w:rPr>
        <w:t>бул. „Пейо К. Яворов” № 44 ет.1</w:t>
      </w:r>
    </w:p>
    <w:p w14:paraId="43322069" w14:textId="77777777" w:rsidR="00D04E4F" w:rsidRPr="00D04E4F" w:rsidRDefault="00D04E4F" w:rsidP="00D04E4F">
      <w:pPr>
        <w:rPr>
          <w:sz w:val="24"/>
          <w:szCs w:val="24"/>
        </w:rPr>
      </w:pPr>
      <w:r w:rsidRPr="00D04E4F">
        <w:rPr>
          <w:lang w:eastAsia="bg-BG"/>
        </w:rPr>
        <w:t>София 1164</w:t>
      </w:r>
    </w:p>
    <w:p w14:paraId="6A1D1571" w14:textId="75124292" w:rsidR="00D04E4F" w:rsidRPr="00D04E4F" w:rsidRDefault="00D04E4F" w:rsidP="00D04E4F">
      <w:r w:rsidRPr="00D04E4F">
        <w:rPr>
          <w:lang w:eastAsia="bg-BG"/>
        </w:rPr>
        <w:t>България</w:t>
      </w:r>
    </w:p>
    <w:p w14:paraId="7BA1BA64" w14:textId="5890D77E" w:rsidR="00CF77F7" w:rsidRDefault="002C50EE" w:rsidP="004A448E">
      <w:pPr>
        <w:pStyle w:val="Heading1"/>
      </w:pPr>
      <w:r>
        <w:t>8. НОМЕР НА РАЗРЕШЕНИЕТО ЗА УПОТРЕБА</w:t>
      </w:r>
    </w:p>
    <w:p w14:paraId="47A7F1BD" w14:textId="10F1A7E5" w:rsidR="00D04E4F" w:rsidRDefault="00D04E4F" w:rsidP="00D04E4F"/>
    <w:p w14:paraId="21C2B391" w14:textId="46D054F1" w:rsidR="00D04E4F" w:rsidRPr="00D04E4F" w:rsidRDefault="00D04E4F" w:rsidP="00D04E4F">
      <w:proofErr w:type="spellStart"/>
      <w:r>
        <w:rPr>
          <w:lang w:val="en-US"/>
        </w:rPr>
        <w:t>Peг</w:t>
      </w:r>
      <w:proofErr w:type="spellEnd"/>
      <w:r w:rsidRPr="00D04E4F">
        <w:rPr>
          <w:lang w:val="ru-RU"/>
        </w:rPr>
        <w:t xml:space="preserve">. </w:t>
      </w:r>
      <w:r>
        <w:t>№ 20160279</w:t>
      </w:r>
    </w:p>
    <w:p w14:paraId="2CCB5832" w14:textId="41576C68" w:rsidR="007C605B" w:rsidRDefault="002C50EE" w:rsidP="007C605B">
      <w:pPr>
        <w:pStyle w:val="Heading1"/>
      </w:pPr>
      <w:r>
        <w:t>9. ДАТА НА ПЪРВО РАЗРЕШАВАНЕ/ПОДНОВЯВАНЕ НА РАЗРЕШЕНИЕТО ЗА УПОТРЕБА</w:t>
      </w:r>
    </w:p>
    <w:p w14:paraId="51E696DD" w14:textId="16368842" w:rsidR="00D04E4F" w:rsidRDefault="00D04E4F" w:rsidP="00D04E4F"/>
    <w:p w14:paraId="0707ADCD" w14:textId="77777777" w:rsidR="00D04E4F" w:rsidRPr="00D04E4F" w:rsidRDefault="00D04E4F" w:rsidP="00D04E4F">
      <w:pPr>
        <w:rPr>
          <w:sz w:val="24"/>
          <w:szCs w:val="24"/>
        </w:rPr>
      </w:pPr>
      <w:r w:rsidRPr="00D04E4F">
        <w:rPr>
          <w:lang w:eastAsia="bg-BG"/>
        </w:rPr>
        <w:t>Дата на първо разрешаване: 31/08/2016</w:t>
      </w:r>
    </w:p>
    <w:p w14:paraId="45161C00" w14:textId="4CA34134" w:rsidR="00D04E4F" w:rsidRPr="00D04E4F" w:rsidRDefault="00D04E4F" w:rsidP="00D04E4F">
      <w:r w:rsidRPr="00D04E4F">
        <w:rPr>
          <w:lang w:eastAsia="bg-BG"/>
        </w:rPr>
        <w:lastRenderedPageBreak/>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6FD9EA2A" w14:textId="77777777" w:rsidR="00D04E4F" w:rsidRDefault="00D04E4F" w:rsidP="00D04E4F">
      <w:pPr>
        <w:rPr>
          <w:lang w:eastAsia="bg-BG"/>
        </w:rPr>
      </w:pPr>
    </w:p>
    <w:p w14:paraId="43FB38A2" w14:textId="425FCA1F" w:rsidR="007C605B" w:rsidRPr="00D04E4F" w:rsidRDefault="00D04E4F" w:rsidP="00D04E4F">
      <w:pPr>
        <w:rPr>
          <w:sz w:val="24"/>
          <w:szCs w:val="24"/>
        </w:rPr>
      </w:pPr>
      <w:bookmarkStart w:id="2" w:name="_GoBack"/>
      <w:bookmarkEnd w:id="2"/>
      <w:r w:rsidRPr="00D04E4F">
        <w:rPr>
          <w:lang w:eastAsia="bg-BG"/>
        </w:rPr>
        <w:t>07/2021</w:t>
      </w:r>
    </w:p>
    <w:sectPr w:rsidR="007C605B" w:rsidRPr="00D0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47754AC"/>
    <w:multiLevelType w:val="hybridMultilevel"/>
    <w:tmpl w:val="223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5612FB8"/>
    <w:multiLevelType w:val="hybridMultilevel"/>
    <w:tmpl w:val="E7E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04E4F"/>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3424</Words>
  <Characters>19523</Characters>
  <Application>Microsoft Office Word</Application>
  <DocSecurity>0</DocSecurity>
  <Lines>162</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2022-06-16T10:48:00Z</dcterms:created>
  <dcterms:modified xsi:type="dcterms:W3CDTF">2022-06-16T10:48:00Z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