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6EA1272D" w:rsidR="00C40420" w:rsidRDefault="00DD466D" w:rsidP="004A448E">
      <w:pPr>
        <w:pStyle w:val="Heading1"/>
      </w:pPr>
      <w:r>
        <w:t>1.ИМЕ НА ЛЕКАРСТВЕНИЯ ПРОДУКТ</w:t>
      </w:r>
    </w:p>
    <w:p w14:paraId="3768D40C" w14:textId="4B9B9D03" w:rsidR="007122AD" w:rsidRDefault="007122AD" w:rsidP="007122AD"/>
    <w:p w14:paraId="73DE5EBB" w14:textId="77777777" w:rsidR="007122AD" w:rsidRDefault="007122AD" w:rsidP="007122AD">
      <w:pPr>
        <w:rPr>
          <w:lang w:eastAsia="bg-BG"/>
        </w:rPr>
      </w:pPr>
      <w:r w:rsidRPr="007122AD">
        <w:rPr>
          <w:lang w:eastAsia="bg-BG"/>
        </w:rPr>
        <w:t xml:space="preserve">Анастрогратис 1 </w:t>
      </w:r>
      <w:r w:rsidRPr="007122AD">
        <w:rPr>
          <w:lang w:val="en-US"/>
        </w:rPr>
        <w:t>mg</w:t>
      </w:r>
      <w:r w:rsidRPr="007122AD">
        <w:t xml:space="preserve"> </w:t>
      </w:r>
      <w:r w:rsidRPr="007122AD">
        <w:rPr>
          <w:lang w:eastAsia="bg-BG"/>
        </w:rPr>
        <w:t xml:space="preserve">филмирани таблетки </w:t>
      </w:r>
    </w:p>
    <w:p w14:paraId="7C10B3D6" w14:textId="27D00F0E" w:rsidR="007122AD" w:rsidRPr="007122AD" w:rsidRDefault="007122AD" w:rsidP="007122AD">
      <w:proofErr w:type="spellStart"/>
      <w:r w:rsidRPr="007122AD">
        <w:rPr>
          <w:lang w:val="en-US"/>
        </w:rPr>
        <w:t>Anastrogratis</w:t>
      </w:r>
      <w:proofErr w:type="spellEnd"/>
      <w:r w:rsidRPr="007122AD">
        <w:t xml:space="preserve"> </w:t>
      </w:r>
      <w:r w:rsidRPr="007122AD">
        <w:rPr>
          <w:lang w:eastAsia="bg-BG"/>
        </w:rPr>
        <w:t xml:space="preserve">1 </w:t>
      </w:r>
      <w:r w:rsidRPr="007122AD">
        <w:rPr>
          <w:lang w:val="en-US"/>
        </w:rPr>
        <w:t>mg</w:t>
      </w:r>
      <w:r w:rsidRPr="007122AD">
        <w:t xml:space="preserve"> </w:t>
      </w:r>
      <w:r w:rsidRPr="007122AD">
        <w:rPr>
          <w:lang w:val="en-US"/>
        </w:rPr>
        <w:t>film</w:t>
      </w:r>
      <w:r w:rsidRPr="007122AD">
        <w:t>-</w:t>
      </w:r>
      <w:r w:rsidRPr="007122AD">
        <w:rPr>
          <w:lang w:val="en-US"/>
        </w:rPr>
        <w:t>coated</w:t>
      </w:r>
      <w:r w:rsidRPr="007122AD">
        <w:t xml:space="preserve"> </w:t>
      </w:r>
      <w:r w:rsidRPr="007122AD">
        <w:rPr>
          <w:lang w:val="en-US"/>
        </w:rPr>
        <w:t>tablets</w:t>
      </w:r>
    </w:p>
    <w:p w14:paraId="2BE34EF6" w14:textId="77777777" w:rsidR="007122AD" w:rsidRPr="007122AD" w:rsidRDefault="007122AD" w:rsidP="007122AD"/>
    <w:p w14:paraId="6920A680" w14:textId="34E51330" w:rsidR="00C40420" w:rsidRDefault="00DD466D" w:rsidP="004A448E">
      <w:pPr>
        <w:pStyle w:val="Heading1"/>
      </w:pPr>
      <w:r>
        <w:t>2. КАЧЕСТВЕН И КОЛИЧЕСТВЕН СЪСТАВ</w:t>
      </w:r>
    </w:p>
    <w:p w14:paraId="531DD79A" w14:textId="3AE50D81" w:rsidR="007122AD" w:rsidRDefault="007122AD" w:rsidP="007122AD"/>
    <w:p w14:paraId="57D07CD4" w14:textId="77777777" w:rsidR="007122AD" w:rsidRPr="007122AD" w:rsidRDefault="007122AD" w:rsidP="007122AD">
      <w:pPr>
        <w:spacing w:line="240" w:lineRule="auto"/>
        <w:rPr>
          <w:rFonts w:eastAsia="Times New Roman" w:cs="Arial"/>
          <w:szCs w:val="24"/>
        </w:rPr>
      </w:pPr>
      <w:r w:rsidRPr="007122AD">
        <w:rPr>
          <w:rFonts w:eastAsia="Times New Roman" w:cs="Arial"/>
          <w:color w:val="000000"/>
          <w:szCs w:val="24"/>
          <w:lang w:eastAsia="bg-BG"/>
        </w:rPr>
        <w:t xml:space="preserve">Всяка филмирана таблетка съдържа 1 </w:t>
      </w:r>
      <w:r w:rsidRPr="007122AD">
        <w:rPr>
          <w:rFonts w:eastAsia="Times New Roman" w:cs="Arial"/>
          <w:color w:val="000000"/>
          <w:szCs w:val="24"/>
          <w:lang w:val="en-US"/>
        </w:rPr>
        <w:t>mg</w:t>
      </w:r>
      <w:r w:rsidRPr="007122AD">
        <w:rPr>
          <w:rFonts w:eastAsia="Times New Roman" w:cs="Arial"/>
          <w:color w:val="000000"/>
          <w:szCs w:val="24"/>
        </w:rPr>
        <w:t xml:space="preserve"> </w:t>
      </w:r>
      <w:r w:rsidRPr="007122AD">
        <w:rPr>
          <w:rFonts w:eastAsia="Times New Roman" w:cs="Arial"/>
          <w:color w:val="000000"/>
          <w:szCs w:val="24"/>
          <w:lang w:eastAsia="bg-BG"/>
        </w:rPr>
        <w:t xml:space="preserve">анастрозол </w:t>
      </w:r>
      <w:r w:rsidRPr="007122AD">
        <w:rPr>
          <w:rFonts w:eastAsia="Times New Roman" w:cs="Arial"/>
          <w:i/>
          <w:iCs/>
          <w:color w:val="000000"/>
          <w:szCs w:val="24"/>
        </w:rPr>
        <w:t>(</w:t>
      </w:r>
      <w:proofErr w:type="spellStart"/>
      <w:r w:rsidRPr="007122AD">
        <w:rPr>
          <w:rFonts w:eastAsia="Times New Roman" w:cs="Arial"/>
          <w:i/>
          <w:iCs/>
          <w:color w:val="000000"/>
          <w:szCs w:val="24"/>
          <w:lang w:val="en-US"/>
        </w:rPr>
        <w:t>anastrozole</w:t>
      </w:r>
      <w:proofErr w:type="spellEnd"/>
      <w:r w:rsidRPr="007122AD">
        <w:rPr>
          <w:rFonts w:eastAsia="Times New Roman" w:cs="Arial"/>
          <w:i/>
          <w:iCs/>
          <w:color w:val="000000"/>
          <w:szCs w:val="24"/>
        </w:rPr>
        <w:t>).</w:t>
      </w:r>
    </w:p>
    <w:p w14:paraId="17529A5C" w14:textId="77777777" w:rsidR="007122AD" w:rsidRPr="007122AD" w:rsidRDefault="007122AD" w:rsidP="007122AD">
      <w:pPr>
        <w:spacing w:line="240" w:lineRule="auto"/>
        <w:rPr>
          <w:rFonts w:eastAsia="Times New Roman" w:cs="Arial"/>
          <w:color w:val="000000"/>
          <w:szCs w:val="24"/>
          <w:u w:val="single"/>
          <w:lang w:eastAsia="bg-BG"/>
        </w:rPr>
      </w:pPr>
    </w:p>
    <w:p w14:paraId="7451BCD6" w14:textId="177FA7BC" w:rsidR="007122AD" w:rsidRPr="007122AD" w:rsidRDefault="007122AD" w:rsidP="007122AD">
      <w:pPr>
        <w:spacing w:line="240" w:lineRule="auto"/>
        <w:rPr>
          <w:rFonts w:eastAsia="Times New Roman" w:cs="Arial"/>
          <w:szCs w:val="24"/>
        </w:rPr>
      </w:pPr>
      <w:r w:rsidRPr="007122AD">
        <w:rPr>
          <w:rFonts w:eastAsia="Times New Roman" w:cs="Arial"/>
          <w:color w:val="000000"/>
          <w:szCs w:val="24"/>
          <w:u w:val="single"/>
          <w:lang w:eastAsia="bg-BG"/>
        </w:rPr>
        <w:t>Помощно вещество с известно действие</w:t>
      </w:r>
    </w:p>
    <w:p w14:paraId="0043F08C" w14:textId="7EC64630" w:rsidR="007122AD" w:rsidRPr="007122AD" w:rsidRDefault="007122AD" w:rsidP="007122AD">
      <w:pPr>
        <w:rPr>
          <w:rFonts w:cs="Arial"/>
          <w:sz w:val="20"/>
        </w:rPr>
      </w:pPr>
      <w:r w:rsidRPr="007122AD">
        <w:rPr>
          <w:rFonts w:eastAsia="Times New Roman" w:cs="Arial"/>
          <w:color w:val="000000"/>
          <w:szCs w:val="24"/>
          <w:lang w:eastAsia="bg-BG"/>
        </w:rPr>
        <w:t xml:space="preserve">Всяка филмирана таблетка съдържа 93 </w:t>
      </w:r>
      <w:r w:rsidRPr="007122AD">
        <w:rPr>
          <w:rFonts w:eastAsia="Times New Roman" w:cs="Arial"/>
          <w:color w:val="000000"/>
          <w:szCs w:val="24"/>
          <w:lang w:val="en-US"/>
        </w:rPr>
        <w:t>mg</w:t>
      </w:r>
      <w:r w:rsidRPr="007122AD">
        <w:rPr>
          <w:rFonts w:eastAsia="Times New Roman" w:cs="Arial"/>
          <w:color w:val="000000"/>
          <w:szCs w:val="24"/>
          <w:lang w:val="ru-RU"/>
        </w:rPr>
        <w:t xml:space="preserve"> </w:t>
      </w:r>
      <w:r w:rsidRPr="007122AD">
        <w:rPr>
          <w:rFonts w:eastAsia="Times New Roman" w:cs="Arial"/>
          <w:color w:val="000000"/>
          <w:szCs w:val="24"/>
          <w:lang w:eastAsia="bg-BG"/>
        </w:rPr>
        <w:t>лактоза монохидрат (вж. точка 4.4).</w:t>
      </w:r>
    </w:p>
    <w:p w14:paraId="614984C4" w14:textId="1E67CBA5" w:rsidR="008A6AF2" w:rsidRDefault="00DD466D" w:rsidP="002C50EE">
      <w:pPr>
        <w:pStyle w:val="Heading1"/>
      </w:pPr>
      <w:r>
        <w:t>3. ЛЕКАРСТВЕНА ФОРМА</w:t>
      </w:r>
    </w:p>
    <w:p w14:paraId="0EFC411A" w14:textId="7E5A32D8" w:rsidR="007122AD" w:rsidRDefault="007122AD" w:rsidP="007122AD"/>
    <w:p w14:paraId="78EBEF12" w14:textId="77777777" w:rsidR="007122AD" w:rsidRPr="007122AD" w:rsidRDefault="007122AD" w:rsidP="007122AD">
      <w:r w:rsidRPr="007122AD">
        <w:rPr>
          <w:lang w:eastAsia="bg-BG"/>
        </w:rPr>
        <w:t>Филмирана таблетка</w:t>
      </w:r>
    </w:p>
    <w:p w14:paraId="655D95B5" w14:textId="0E3F837F" w:rsidR="007122AD" w:rsidRPr="007122AD" w:rsidRDefault="007122AD" w:rsidP="007122AD">
      <w:r w:rsidRPr="007122AD">
        <w:rPr>
          <w:lang w:eastAsia="bg-BG"/>
        </w:rPr>
        <w:t>Бели до почти бели, кръгли, двойно изпъкнали таблетки.</w:t>
      </w:r>
    </w:p>
    <w:p w14:paraId="490FC2C4" w14:textId="32682B15" w:rsidR="002C50EE" w:rsidRDefault="002C50EE" w:rsidP="002C50EE">
      <w:pPr>
        <w:pStyle w:val="Heading1"/>
      </w:pPr>
      <w:r>
        <w:t>4. КЛИНИЧНИ ДАННИ</w:t>
      </w:r>
    </w:p>
    <w:p w14:paraId="0C8E6903" w14:textId="35A45FA7" w:rsidR="008134C8" w:rsidRDefault="002C50EE" w:rsidP="004A448E">
      <w:pPr>
        <w:pStyle w:val="Heading2"/>
      </w:pPr>
      <w:r>
        <w:t>4.1. Терапевтични показания</w:t>
      </w:r>
    </w:p>
    <w:p w14:paraId="7DF64C33" w14:textId="6CD64C1E" w:rsidR="007122AD" w:rsidRDefault="007122AD" w:rsidP="007122AD"/>
    <w:p w14:paraId="273DB83B" w14:textId="77777777" w:rsidR="007122AD" w:rsidRPr="007122AD" w:rsidRDefault="007122AD" w:rsidP="007122AD">
      <w:pPr>
        <w:spacing w:line="240" w:lineRule="auto"/>
        <w:rPr>
          <w:rFonts w:eastAsia="Times New Roman" w:cs="Arial"/>
          <w:szCs w:val="24"/>
        </w:rPr>
      </w:pPr>
      <w:r w:rsidRPr="007122AD">
        <w:rPr>
          <w:rFonts w:eastAsia="Times New Roman" w:cs="Arial"/>
          <w:color w:val="000000"/>
          <w:szCs w:val="24"/>
          <w:lang w:eastAsia="bg-BG"/>
        </w:rPr>
        <w:t>Анастрогратис е показан при възрастни за лечение на:</w:t>
      </w:r>
    </w:p>
    <w:p w14:paraId="18F8F841" w14:textId="77777777" w:rsidR="007122AD" w:rsidRPr="007122AD" w:rsidRDefault="007122AD" w:rsidP="007122AD">
      <w:pPr>
        <w:pStyle w:val="ListParagraph"/>
        <w:numPr>
          <w:ilvl w:val="0"/>
          <w:numId w:val="35"/>
        </w:numPr>
        <w:spacing w:line="240" w:lineRule="auto"/>
        <w:rPr>
          <w:rFonts w:eastAsia="Times New Roman" w:cs="Arial"/>
          <w:color w:val="000000"/>
          <w:szCs w:val="24"/>
          <w:lang w:eastAsia="bg-BG"/>
        </w:rPr>
      </w:pPr>
      <w:r w:rsidRPr="007122AD">
        <w:rPr>
          <w:rFonts w:eastAsia="Times New Roman" w:cs="Arial"/>
          <w:color w:val="000000"/>
          <w:szCs w:val="24"/>
          <w:lang w:eastAsia="bg-BG"/>
        </w:rPr>
        <w:t>Напреднал карцином на гърдата при жени в постменопауза. Не е доказана ефективност при пациентки, отрицателни за естрогенови рецептори, освен ако преди това не са имали положителен клиничен отговор към тамоксифен.</w:t>
      </w:r>
    </w:p>
    <w:p w14:paraId="398142B1" w14:textId="77777777" w:rsidR="007122AD" w:rsidRPr="007122AD" w:rsidRDefault="007122AD" w:rsidP="007122AD">
      <w:pPr>
        <w:pStyle w:val="ListParagraph"/>
        <w:numPr>
          <w:ilvl w:val="0"/>
          <w:numId w:val="35"/>
        </w:numPr>
        <w:spacing w:line="240" w:lineRule="auto"/>
        <w:rPr>
          <w:rFonts w:eastAsia="Times New Roman" w:cs="Arial"/>
          <w:color w:val="000000"/>
          <w:szCs w:val="24"/>
          <w:lang w:eastAsia="bg-BG"/>
        </w:rPr>
      </w:pPr>
      <w:r w:rsidRPr="007122AD">
        <w:rPr>
          <w:rFonts w:eastAsia="Times New Roman" w:cs="Arial"/>
          <w:color w:val="000000"/>
          <w:szCs w:val="24"/>
          <w:lang w:eastAsia="bg-BG"/>
        </w:rPr>
        <w:t>Адювантно лечение при постменопаузални жени, които са с инвазивен ранен карцином на гърдата и позитивни хормонални рецептори.</w:t>
      </w:r>
    </w:p>
    <w:p w14:paraId="0C904FAD" w14:textId="7EF28911" w:rsidR="007122AD" w:rsidRPr="007122AD" w:rsidRDefault="007122AD" w:rsidP="007122AD">
      <w:pPr>
        <w:pStyle w:val="ListParagraph"/>
        <w:numPr>
          <w:ilvl w:val="0"/>
          <w:numId w:val="35"/>
        </w:numPr>
        <w:spacing w:line="240" w:lineRule="auto"/>
        <w:rPr>
          <w:rFonts w:eastAsia="Times New Roman" w:cs="Arial"/>
          <w:color w:val="000000"/>
          <w:szCs w:val="24"/>
          <w:lang w:eastAsia="bg-BG"/>
        </w:rPr>
      </w:pPr>
      <w:r w:rsidRPr="007122AD">
        <w:rPr>
          <w:rFonts w:eastAsia="Times New Roman" w:cs="Arial"/>
          <w:color w:val="000000"/>
          <w:szCs w:val="24"/>
          <w:lang w:eastAsia="bg-BG"/>
        </w:rPr>
        <w:t>Адювантно лечение на ранен карцином на гърдата при постменопаузални жени с позитивни хормонални рецептори, които са получавали 2 до 3 години адювантна терапия с тамоксифен.</w:t>
      </w:r>
    </w:p>
    <w:p w14:paraId="74330405" w14:textId="77777777" w:rsidR="007122AD" w:rsidRPr="007122AD" w:rsidRDefault="007122AD" w:rsidP="007122AD"/>
    <w:p w14:paraId="30BE2C7B" w14:textId="1B1B2584" w:rsidR="008134C8" w:rsidRDefault="002C50EE" w:rsidP="004A448E">
      <w:pPr>
        <w:pStyle w:val="Heading2"/>
      </w:pPr>
      <w:r>
        <w:t>4.2. Дозировка и начин на приложение</w:t>
      </w:r>
    </w:p>
    <w:p w14:paraId="7B7AEF6C" w14:textId="36400476" w:rsidR="007122AD" w:rsidRDefault="007122AD" w:rsidP="007122AD"/>
    <w:p w14:paraId="399C7624" w14:textId="77777777" w:rsidR="007122AD" w:rsidRPr="007122AD" w:rsidRDefault="007122AD" w:rsidP="007122AD">
      <w:pPr>
        <w:pStyle w:val="Heading3"/>
        <w:rPr>
          <w:rFonts w:eastAsia="Times New Roman"/>
          <w:u w:val="single"/>
        </w:rPr>
      </w:pPr>
      <w:r w:rsidRPr="007122AD">
        <w:rPr>
          <w:rFonts w:eastAsia="Times New Roman"/>
          <w:u w:val="single"/>
          <w:lang w:eastAsia="bg-BG"/>
        </w:rPr>
        <w:t>Дозировка</w:t>
      </w:r>
    </w:p>
    <w:p w14:paraId="1B0B4422" w14:textId="77777777" w:rsidR="007122AD" w:rsidRPr="007122AD" w:rsidRDefault="007122AD" w:rsidP="007122AD">
      <w:pPr>
        <w:spacing w:line="240" w:lineRule="auto"/>
        <w:rPr>
          <w:rFonts w:eastAsia="Times New Roman" w:cs="Arial"/>
          <w:color w:val="000000"/>
          <w:szCs w:val="24"/>
          <w:lang w:eastAsia="bg-BG"/>
        </w:rPr>
      </w:pPr>
    </w:p>
    <w:p w14:paraId="426D259C" w14:textId="62C42D50" w:rsidR="007122AD" w:rsidRPr="007122AD" w:rsidRDefault="007122AD" w:rsidP="007122AD">
      <w:pPr>
        <w:spacing w:line="240" w:lineRule="auto"/>
        <w:rPr>
          <w:rFonts w:eastAsia="Times New Roman" w:cs="Arial"/>
          <w:szCs w:val="24"/>
        </w:rPr>
      </w:pPr>
      <w:r w:rsidRPr="007122AD">
        <w:rPr>
          <w:rFonts w:eastAsia="Times New Roman" w:cs="Arial"/>
          <w:color w:val="000000"/>
          <w:szCs w:val="24"/>
          <w:lang w:eastAsia="bg-BG"/>
        </w:rPr>
        <w:t xml:space="preserve">Възрастни, включително пациентки в старческа възраст: една таблетка от 1 </w:t>
      </w:r>
      <w:r w:rsidRPr="007122AD">
        <w:rPr>
          <w:rFonts w:eastAsia="Times New Roman" w:cs="Arial"/>
          <w:color w:val="000000"/>
          <w:szCs w:val="24"/>
          <w:lang w:val="en-US"/>
        </w:rPr>
        <w:t>mg</w:t>
      </w:r>
      <w:r w:rsidRPr="007122AD">
        <w:rPr>
          <w:rFonts w:eastAsia="Times New Roman" w:cs="Arial"/>
          <w:color w:val="000000"/>
          <w:szCs w:val="24"/>
          <w:lang w:val="ru-RU"/>
        </w:rPr>
        <w:t xml:space="preserve"> </w:t>
      </w:r>
      <w:r w:rsidRPr="007122AD">
        <w:rPr>
          <w:rFonts w:eastAsia="Times New Roman" w:cs="Arial"/>
          <w:color w:val="000000"/>
          <w:szCs w:val="24"/>
          <w:lang w:eastAsia="bg-BG"/>
        </w:rPr>
        <w:t>се приема перорално веднъж дневно.</w:t>
      </w:r>
    </w:p>
    <w:p w14:paraId="7048A60A" w14:textId="77777777" w:rsidR="007122AD" w:rsidRPr="007122AD" w:rsidRDefault="007122AD" w:rsidP="007122AD">
      <w:pPr>
        <w:spacing w:line="240" w:lineRule="auto"/>
        <w:rPr>
          <w:rFonts w:eastAsia="Times New Roman" w:cs="Arial"/>
          <w:szCs w:val="24"/>
        </w:rPr>
      </w:pPr>
      <w:r w:rsidRPr="007122AD">
        <w:rPr>
          <w:rFonts w:eastAsia="Times New Roman" w:cs="Arial"/>
          <w:color w:val="000000"/>
          <w:szCs w:val="24"/>
          <w:lang w:eastAsia="bg-BG"/>
        </w:rPr>
        <w:t>При постменопаузални жени с позитивни хормонални рецептори, препоръчителната продължителност на адювантното лечение е 5 години.</w:t>
      </w:r>
    </w:p>
    <w:p w14:paraId="629762B9" w14:textId="77777777" w:rsidR="007122AD" w:rsidRPr="007122AD" w:rsidRDefault="007122AD" w:rsidP="007122AD">
      <w:pPr>
        <w:spacing w:line="240" w:lineRule="auto"/>
        <w:rPr>
          <w:rFonts w:eastAsia="Times New Roman" w:cs="Arial"/>
          <w:i/>
          <w:iCs/>
          <w:color w:val="000000"/>
          <w:szCs w:val="24"/>
          <w:u w:val="single"/>
          <w:lang w:eastAsia="bg-BG"/>
        </w:rPr>
      </w:pPr>
    </w:p>
    <w:p w14:paraId="2E16BBB4" w14:textId="2FC1829A" w:rsidR="007122AD" w:rsidRPr="007122AD" w:rsidRDefault="007122AD" w:rsidP="007122AD">
      <w:pPr>
        <w:spacing w:line="240" w:lineRule="auto"/>
        <w:rPr>
          <w:rFonts w:eastAsia="Times New Roman" w:cs="Arial"/>
          <w:szCs w:val="24"/>
        </w:rPr>
      </w:pPr>
      <w:r w:rsidRPr="007122AD">
        <w:rPr>
          <w:rFonts w:eastAsia="Times New Roman" w:cs="Arial"/>
          <w:i/>
          <w:iCs/>
          <w:color w:val="000000"/>
          <w:szCs w:val="24"/>
          <w:u w:val="single"/>
          <w:lang w:eastAsia="bg-BG"/>
        </w:rPr>
        <w:t>Специални популации</w:t>
      </w:r>
    </w:p>
    <w:p w14:paraId="22ABC598" w14:textId="77777777" w:rsidR="007122AD" w:rsidRPr="007122AD" w:rsidRDefault="007122AD" w:rsidP="007122AD">
      <w:pPr>
        <w:spacing w:line="240" w:lineRule="auto"/>
        <w:rPr>
          <w:rFonts w:eastAsia="Times New Roman" w:cs="Arial"/>
          <w:i/>
          <w:iCs/>
          <w:color w:val="000000"/>
          <w:szCs w:val="24"/>
          <w:lang w:eastAsia="bg-BG"/>
        </w:rPr>
      </w:pPr>
    </w:p>
    <w:p w14:paraId="392BBBC9" w14:textId="2DBC0F82" w:rsidR="007122AD" w:rsidRPr="007122AD" w:rsidRDefault="007122AD" w:rsidP="007122AD">
      <w:pPr>
        <w:spacing w:line="240" w:lineRule="auto"/>
        <w:rPr>
          <w:rFonts w:eastAsia="Times New Roman" w:cs="Arial"/>
          <w:szCs w:val="24"/>
        </w:rPr>
      </w:pPr>
      <w:r w:rsidRPr="007122AD">
        <w:rPr>
          <w:rFonts w:eastAsia="Times New Roman" w:cs="Arial"/>
          <w:i/>
          <w:iCs/>
          <w:color w:val="000000"/>
          <w:szCs w:val="24"/>
          <w:lang w:eastAsia="bg-BG"/>
        </w:rPr>
        <w:t>Педиатрична популация</w:t>
      </w:r>
    </w:p>
    <w:p w14:paraId="5DCFEE3A" w14:textId="77777777" w:rsidR="007122AD" w:rsidRPr="007122AD" w:rsidRDefault="007122AD" w:rsidP="007122AD">
      <w:pPr>
        <w:spacing w:line="240" w:lineRule="auto"/>
        <w:rPr>
          <w:rFonts w:eastAsia="Times New Roman" w:cs="Arial"/>
          <w:szCs w:val="24"/>
        </w:rPr>
      </w:pPr>
      <w:r w:rsidRPr="007122AD">
        <w:rPr>
          <w:rFonts w:eastAsia="Times New Roman" w:cs="Arial"/>
          <w:color w:val="000000"/>
          <w:szCs w:val="24"/>
          <w:lang w:eastAsia="bg-BG"/>
        </w:rPr>
        <w:lastRenderedPageBreak/>
        <w:t>Приложението на Анастрогратис не се препоръчва при деца и юноши поради липса на достатъчно данни за ефикасността и безопасността му. (вж. Раздек 4.4 и</w:t>
      </w:r>
    </w:p>
    <w:p w14:paraId="50F7F104" w14:textId="32C82A1E" w:rsidR="007122AD" w:rsidRPr="007122AD" w:rsidRDefault="007122AD" w:rsidP="007122AD">
      <w:pPr>
        <w:rPr>
          <w:rFonts w:eastAsia="Times New Roman" w:cs="Arial"/>
          <w:color w:val="000000"/>
          <w:szCs w:val="24"/>
          <w:lang w:eastAsia="bg-BG"/>
        </w:rPr>
      </w:pPr>
      <w:r w:rsidRPr="007122AD">
        <w:rPr>
          <w:rFonts w:eastAsia="Times New Roman" w:cs="Arial"/>
          <w:color w:val="000000"/>
          <w:szCs w:val="24"/>
          <w:lang w:eastAsia="bg-BG"/>
        </w:rPr>
        <w:t>5.1).</w:t>
      </w:r>
    </w:p>
    <w:p w14:paraId="440488D4" w14:textId="7D02153D" w:rsidR="007122AD" w:rsidRPr="007122AD" w:rsidRDefault="007122AD" w:rsidP="007122AD">
      <w:pPr>
        <w:rPr>
          <w:rFonts w:eastAsia="Times New Roman" w:cs="Arial"/>
          <w:color w:val="000000"/>
          <w:szCs w:val="24"/>
          <w:lang w:eastAsia="bg-BG"/>
        </w:rPr>
      </w:pPr>
    </w:p>
    <w:p w14:paraId="4943554A" w14:textId="77777777" w:rsidR="007122AD" w:rsidRPr="007122AD" w:rsidRDefault="007122AD" w:rsidP="007122AD">
      <w:pPr>
        <w:spacing w:line="240" w:lineRule="auto"/>
        <w:rPr>
          <w:rFonts w:eastAsia="Times New Roman" w:cs="Arial"/>
          <w:szCs w:val="24"/>
        </w:rPr>
      </w:pPr>
      <w:r w:rsidRPr="007122AD">
        <w:rPr>
          <w:rFonts w:eastAsia="Times New Roman" w:cs="Arial"/>
          <w:i/>
          <w:iCs/>
          <w:color w:val="000000"/>
          <w:szCs w:val="24"/>
          <w:lang w:eastAsia="bg-BG"/>
        </w:rPr>
        <w:t>Бъбречна недостатъчност</w:t>
      </w:r>
    </w:p>
    <w:p w14:paraId="728F2829" w14:textId="77777777" w:rsidR="007122AD" w:rsidRPr="007122AD" w:rsidRDefault="007122AD" w:rsidP="007122AD">
      <w:pPr>
        <w:spacing w:line="240" w:lineRule="auto"/>
        <w:rPr>
          <w:rFonts w:eastAsia="Times New Roman" w:cs="Arial"/>
          <w:color w:val="000000"/>
          <w:szCs w:val="24"/>
          <w:lang w:eastAsia="bg-BG"/>
        </w:rPr>
      </w:pPr>
      <w:r w:rsidRPr="007122AD">
        <w:rPr>
          <w:rFonts w:eastAsia="Times New Roman" w:cs="Arial"/>
          <w:color w:val="000000"/>
          <w:szCs w:val="24"/>
          <w:lang w:eastAsia="bg-BG"/>
        </w:rPr>
        <w:t xml:space="preserve">Не се препоръчва промяна на дозата при пациенти с леко до умерено бъбречно увреждане. При пациенти с бъбречна недостъчност приложението на Анастрогратис трябва да се </w:t>
      </w:r>
    </w:p>
    <w:p w14:paraId="372BDBD7" w14:textId="519C41A5" w:rsidR="007122AD" w:rsidRPr="007122AD" w:rsidRDefault="007122AD" w:rsidP="007122AD">
      <w:pPr>
        <w:spacing w:line="240" w:lineRule="auto"/>
        <w:rPr>
          <w:rFonts w:eastAsia="Times New Roman" w:cs="Arial"/>
          <w:szCs w:val="24"/>
        </w:rPr>
      </w:pPr>
      <w:r w:rsidRPr="007122AD">
        <w:rPr>
          <w:rFonts w:eastAsia="Times New Roman" w:cs="Arial"/>
          <w:color w:val="000000"/>
          <w:szCs w:val="24"/>
          <w:lang w:eastAsia="bg-BG"/>
        </w:rPr>
        <w:t>извършва с повишено внимание (вж. точки 4.4 и 5.2).</w:t>
      </w:r>
    </w:p>
    <w:p w14:paraId="42DBF08E" w14:textId="77777777" w:rsidR="007122AD" w:rsidRPr="007122AD" w:rsidRDefault="007122AD" w:rsidP="007122AD">
      <w:pPr>
        <w:spacing w:line="240" w:lineRule="auto"/>
        <w:rPr>
          <w:rFonts w:eastAsia="Times New Roman" w:cs="Arial"/>
          <w:i/>
          <w:iCs/>
          <w:color w:val="000000"/>
          <w:szCs w:val="24"/>
          <w:lang w:eastAsia="bg-BG"/>
        </w:rPr>
      </w:pPr>
    </w:p>
    <w:p w14:paraId="289D866C" w14:textId="7904A933" w:rsidR="007122AD" w:rsidRPr="007122AD" w:rsidRDefault="007122AD" w:rsidP="007122AD">
      <w:pPr>
        <w:spacing w:line="240" w:lineRule="auto"/>
        <w:rPr>
          <w:rFonts w:eastAsia="Times New Roman" w:cs="Arial"/>
          <w:szCs w:val="24"/>
        </w:rPr>
      </w:pPr>
      <w:r w:rsidRPr="007122AD">
        <w:rPr>
          <w:rFonts w:eastAsia="Times New Roman" w:cs="Arial"/>
          <w:i/>
          <w:iCs/>
          <w:color w:val="000000"/>
          <w:szCs w:val="24"/>
          <w:lang w:eastAsia="bg-BG"/>
        </w:rPr>
        <w:t>Чернодробна недостатъчност</w:t>
      </w:r>
    </w:p>
    <w:p w14:paraId="3E3AA35E" w14:textId="77777777" w:rsidR="007122AD" w:rsidRPr="007122AD" w:rsidRDefault="007122AD" w:rsidP="007122AD">
      <w:pPr>
        <w:spacing w:line="240" w:lineRule="auto"/>
        <w:rPr>
          <w:rFonts w:eastAsia="Times New Roman" w:cs="Arial"/>
          <w:szCs w:val="24"/>
        </w:rPr>
      </w:pPr>
      <w:r w:rsidRPr="007122AD">
        <w:rPr>
          <w:rFonts w:eastAsia="Times New Roman" w:cs="Arial"/>
          <w:color w:val="000000"/>
          <w:szCs w:val="24"/>
          <w:lang w:eastAsia="bg-BG"/>
        </w:rPr>
        <w:t>Не се препоръчва промяна на дозата при пациенти с леко чернодробно увреждане. Препоръчва се повишено внимание при пациенти с умерена до тежка чернодробна недостатъчност (вж. точка 4.4).</w:t>
      </w:r>
    </w:p>
    <w:p w14:paraId="74E4244E" w14:textId="77777777" w:rsidR="007122AD" w:rsidRPr="007122AD" w:rsidRDefault="007122AD" w:rsidP="007122AD">
      <w:pPr>
        <w:spacing w:line="240" w:lineRule="auto"/>
        <w:rPr>
          <w:rFonts w:eastAsia="Times New Roman" w:cs="Arial"/>
          <w:color w:val="000000"/>
          <w:szCs w:val="24"/>
          <w:u w:val="single"/>
          <w:lang w:eastAsia="bg-BG"/>
        </w:rPr>
      </w:pPr>
    </w:p>
    <w:p w14:paraId="6A9A2796" w14:textId="0AA84823" w:rsidR="007122AD" w:rsidRPr="007122AD" w:rsidRDefault="007122AD" w:rsidP="007122AD">
      <w:pPr>
        <w:pStyle w:val="Heading3"/>
        <w:rPr>
          <w:rFonts w:eastAsia="Times New Roman"/>
          <w:u w:val="single"/>
        </w:rPr>
      </w:pPr>
      <w:r w:rsidRPr="007122AD">
        <w:rPr>
          <w:rFonts w:eastAsia="Times New Roman"/>
          <w:u w:val="single"/>
          <w:lang w:eastAsia="bg-BG"/>
        </w:rPr>
        <w:t>Начин на приложение</w:t>
      </w:r>
    </w:p>
    <w:p w14:paraId="36ED888C" w14:textId="77777777" w:rsidR="007122AD" w:rsidRPr="007122AD" w:rsidRDefault="007122AD" w:rsidP="007122AD">
      <w:pPr>
        <w:spacing w:line="240" w:lineRule="auto"/>
        <w:rPr>
          <w:rFonts w:eastAsia="Times New Roman" w:cs="Arial"/>
          <w:szCs w:val="24"/>
        </w:rPr>
      </w:pPr>
      <w:r w:rsidRPr="007122AD">
        <w:rPr>
          <w:rFonts w:eastAsia="Times New Roman" w:cs="Arial"/>
          <w:color w:val="000000"/>
          <w:szCs w:val="24"/>
          <w:lang w:eastAsia="bg-BG"/>
        </w:rPr>
        <w:t>Анастрогратис трябва да се приема перорално.</w:t>
      </w:r>
    </w:p>
    <w:p w14:paraId="53F5B866" w14:textId="77777777" w:rsidR="007122AD" w:rsidRPr="007122AD" w:rsidRDefault="007122AD" w:rsidP="007122AD"/>
    <w:p w14:paraId="28C984E8" w14:textId="0E1F86C1" w:rsidR="008134C8" w:rsidRDefault="002C50EE" w:rsidP="004A448E">
      <w:pPr>
        <w:pStyle w:val="Heading2"/>
      </w:pPr>
      <w:r>
        <w:t>4.3. Противопоказания</w:t>
      </w:r>
    </w:p>
    <w:p w14:paraId="6A814BA3" w14:textId="7D3FAEE3" w:rsidR="007122AD" w:rsidRDefault="007122AD" w:rsidP="007122AD"/>
    <w:p w14:paraId="7DB0BBE1" w14:textId="77777777" w:rsidR="007122AD" w:rsidRPr="007122AD" w:rsidRDefault="007122AD" w:rsidP="007122AD">
      <w:r w:rsidRPr="007122AD">
        <w:rPr>
          <w:lang w:eastAsia="bg-BG"/>
        </w:rPr>
        <w:t>Анастрогратис е противопоказан при:</w:t>
      </w:r>
    </w:p>
    <w:p w14:paraId="147F149A" w14:textId="77777777" w:rsidR="007122AD" w:rsidRDefault="007122AD" w:rsidP="007122AD">
      <w:pPr>
        <w:pStyle w:val="ListParagraph"/>
        <w:numPr>
          <w:ilvl w:val="0"/>
          <w:numId w:val="36"/>
        </w:numPr>
      </w:pPr>
      <w:r w:rsidRPr="007122AD">
        <w:rPr>
          <w:lang w:eastAsia="bg-BG"/>
        </w:rPr>
        <w:t>бременни и кърмачки;</w:t>
      </w:r>
    </w:p>
    <w:p w14:paraId="15DDE310" w14:textId="20BD2D49" w:rsidR="007122AD" w:rsidRPr="007122AD" w:rsidRDefault="007122AD" w:rsidP="007122AD">
      <w:pPr>
        <w:pStyle w:val="ListParagraph"/>
        <w:numPr>
          <w:ilvl w:val="0"/>
          <w:numId w:val="36"/>
        </w:numPr>
      </w:pPr>
      <w:r w:rsidRPr="007122AD">
        <w:rPr>
          <w:lang w:eastAsia="bg-BG"/>
        </w:rPr>
        <w:t>пациентки с анамнеза за свръхчувствителност към анастрозол или някое от другите помощни вещества отбелязани в точка 6.1.</w:t>
      </w:r>
    </w:p>
    <w:p w14:paraId="0F253247" w14:textId="77777777" w:rsidR="007122AD" w:rsidRPr="007122AD" w:rsidRDefault="007122AD" w:rsidP="007122AD"/>
    <w:p w14:paraId="212F509C" w14:textId="6A460B92" w:rsidR="004F498A" w:rsidRDefault="002C50EE" w:rsidP="004A448E">
      <w:pPr>
        <w:pStyle w:val="Heading2"/>
      </w:pPr>
      <w:r>
        <w:t>4.4. Специални предупреждения и предпазни мерки при употреба</w:t>
      </w:r>
    </w:p>
    <w:p w14:paraId="1C36BFA6" w14:textId="7B631473" w:rsidR="007122AD" w:rsidRDefault="007122AD" w:rsidP="007122AD"/>
    <w:p w14:paraId="12D9DC64" w14:textId="77777777" w:rsidR="007122AD" w:rsidRPr="007122AD" w:rsidRDefault="007122AD" w:rsidP="007122AD">
      <w:pPr>
        <w:spacing w:line="240" w:lineRule="auto"/>
        <w:rPr>
          <w:rFonts w:eastAsia="Times New Roman" w:cs="Arial"/>
          <w:szCs w:val="24"/>
        </w:rPr>
      </w:pPr>
      <w:r w:rsidRPr="007122AD">
        <w:rPr>
          <w:rFonts w:eastAsia="Times New Roman" w:cs="Arial"/>
          <w:color w:val="000000"/>
          <w:szCs w:val="24"/>
          <w:u w:val="single"/>
          <w:lang w:eastAsia="bg-BG"/>
        </w:rPr>
        <w:t>Общи</w:t>
      </w:r>
    </w:p>
    <w:p w14:paraId="398741C4" w14:textId="77777777" w:rsidR="007122AD" w:rsidRPr="007122AD" w:rsidRDefault="007122AD" w:rsidP="007122AD">
      <w:pPr>
        <w:spacing w:line="240" w:lineRule="auto"/>
        <w:rPr>
          <w:rFonts w:eastAsia="Times New Roman" w:cs="Arial"/>
          <w:color w:val="000000"/>
          <w:szCs w:val="24"/>
          <w:lang w:eastAsia="bg-BG"/>
        </w:rPr>
      </w:pPr>
    </w:p>
    <w:p w14:paraId="4AE89C54" w14:textId="72B8E071" w:rsidR="007122AD" w:rsidRPr="007122AD" w:rsidRDefault="007122AD" w:rsidP="007122AD">
      <w:pPr>
        <w:spacing w:line="240" w:lineRule="auto"/>
        <w:rPr>
          <w:rFonts w:eastAsia="Times New Roman" w:cs="Arial"/>
          <w:szCs w:val="24"/>
        </w:rPr>
      </w:pPr>
      <w:r w:rsidRPr="007122AD">
        <w:rPr>
          <w:rFonts w:eastAsia="Times New Roman" w:cs="Arial"/>
          <w:color w:val="000000"/>
          <w:szCs w:val="24"/>
          <w:lang w:eastAsia="bg-BG"/>
        </w:rPr>
        <w:t xml:space="preserve">Анастрогратис не трябва да се прилага при предменопазуални жени. Менопаузата трябва да се потвърди биохимично (лутеинизиращ хормон </w:t>
      </w:r>
      <w:r w:rsidRPr="007122AD">
        <w:rPr>
          <w:rFonts w:eastAsia="Times New Roman" w:cs="Arial"/>
          <w:color w:val="000000"/>
          <w:szCs w:val="24"/>
          <w:lang w:val="ru-RU"/>
        </w:rPr>
        <w:t>[</w:t>
      </w:r>
      <w:r w:rsidRPr="007122AD">
        <w:rPr>
          <w:rFonts w:eastAsia="Times New Roman" w:cs="Arial"/>
          <w:color w:val="000000"/>
          <w:szCs w:val="24"/>
          <w:lang w:val="en-US"/>
        </w:rPr>
        <w:t>LH</w:t>
      </w:r>
      <w:r w:rsidRPr="007122AD">
        <w:rPr>
          <w:rFonts w:eastAsia="Times New Roman" w:cs="Arial"/>
          <w:color w:val="000000"/>
          <w:szCs w:val="24"/>
          <w:lang w:val="ru-RU"/>
        </w:rPr>
        <w:t xml:space="preserve">], </w:t>
      </w:r>
      <w:r w:rsidRPr="007122AD">
        <w:rPr>
          <w:rFonts w:eastAsia="Times New Roman" w:cs="Arial"/>
          <w:color w:val="000000"/>
          <w:szCs w:val="24"/>
          <w:lang w:eastAsia="bg-BG"/>
        </w:rPr>
        <w:t xml:space="preserve">фоликулостимулиращ хормон </w:t>
      </w:r>
      <w:r w:rsidRPr="007122AD">
        <w:rPr>
          <w:rFonts w:eastAsia="Times New Roman" w:cs="Arial"/>
          <w:color w:val="000000"/>
          <w:szCs w:val="24"/>
          <w:lang w:val="ru-RU"/>
        </w:rPr>
        <w:t>[</w:t>
      </w:r>
      <w:r w:rsidRPr="007122AD">
        <w:rPr>
          <w:rFonts w:eastAsia="Times New Roman" w:cs="Arial"/>
          <w:color w:val="000000"/>
          <w:szCs w:val="24"/>
          <w:lang w:val="en-US"/>
        </w:rPr>
        <w:t>FSH</w:t>
      </w:r>
      <w:r w:rsidRPr="007122AD">
        <w:rPr>
          <w:rFonts w:eastAsia="Times New Roman" w:cs="Arial"/>
          <w:color w:val="000000"/>
          <w:szCs w:val="24"/>
          <w:lang w:val="ru-RU"/>
        </w:rPr>
        <w:t xml:space="preserve">], </w:t>
      </w:r>
      <w:r w:rsidRPr="007122AD">
        <w:rPr>
          <w:rFonts w:eastAsia="Times New Roman" w:cs="Arial"/>
          <w:color w:val="000000"/>
          <w:szCs w:val="24"/>
          <w:lang w:eastAsia="bg-BG"/>
        </w:rPr>
        <w:t xml:space="preserve">и/или нивата на естрадиол) при всяка пациентка, при която има съмнение относно менопаузалния статус. Няма данни подкрепящи употребата на Анастрогратис с аналози на </w:t>
      </w:r>
      <w:r w:rsidRPr="007122AD">
        <w:rPr>
          <w:rFonts w:eastAsia="Times New Roman" w:cs="Arial"/>
          <w:color w:val="000000"/>
          <w:szCs w:val="24"/>
          <w:lang w:val="en-US"/>
        </w:rPr>
        <w:t>LHRH</w:t>
      </w:r>
      <w:r w:rsidRPr="007122AD">
        <w:rPr>
          <w:rFonts w:eastAsia="Times New Roman" w:cs="Arial"/>
          <w:color w:val="000000"/>
          <w:szCs w:val="24"/>
          <w:lang w:val="ru-RU"/>
        </w:rPr>
        <w:t>.</w:t>
      </w:r>
    </w:p>
    <w:p w14:paraId="43942F76" w14:textId="77777777" w:rsidR="007122AD" w:rsidRPr="007122AD" w:rsidRDefault="007122AD" w:rsidP="007122AD">
      <w:pPr>
        <w:spacing w:line="240" w:lineRule="auto"/>
        <w:rPr>
          <w:rFonts w:eastAsia="Times New Roman" w:cs="Arial"/>
          <w:color w:val="000000"/>
          <w:szCs w:val="24"/>
          <w:lang w:eastAsia="bg-BG"/>
        </w:rPr>
      </w:pPr>
    </w:p>
    <w:p w14:paraId="58C21E9A" w14:textId="14F2D9A4" w:rsidR="007122AD" w:rsidRPr="007122AD" w:rsidRDefault="007122AD" w:rsidP="007122AD">
      <w:pPr>
        <w:spacing w:line="240" w:lineRule="auto"/>
        <w:rPr>
          <w:rFonts w:eastAsia="Times New Roman" w:cs="Arial"/>
          <w:szCs w:val="24"/>
        </w:rPr>
      </w:pPr>
      <w:r w:rsidRPr="007122AD">
        <w:rPr>
          <w:rFonts w:eastAsia="Times New Roman" w:cs="Arial"/>
          <w:color w:val="000000"/>
          <w:szCs w:val="24"/>
          <w:lang w:eastAsia="bg-BG"/>
        </w:rPr>
        <w:t>Едновременното приложение на тамоксифен или естроген-съдържаща терапия и Анастрогратис трябва да се избягва, тъй като това може да отслаби фармакологичното му действие (вж. точка 4.5 и 5.1)</w:t>
      </w:r>
    </w:p>
    <w:p w14:paraId="5D5F4D6F" w14:textId="77777777" w:rsidR="007122AD" w:rsidRPr="007122AD" w:rsidRDefault="007122AD" w:rsidP="007122AD">
      <w:pPr>
        <w:spacing w:line="240" w:lineRule="auto"/>
        <w:rPr>
          <w:rFonts w:eastAsia="Times New Roman" w:cs="Arial"/>
          <w:color w:val="000000"/>
          <w:szCs w:val="24"/>
          <w:u w:val="single"/>
          <w:lang w:eastAsia="bg-BG"/>
        </w:rPr>
      </w:pPr>
    </w:p>
    <w:p w14:paraId="2A1CDCDA" w14:textId="110DE6E3" w:rsidR="007122AD" w:rsidRPr="007122AD" w:rsidRDefault="007122AD" w:rsidP="007122AD">
      <w:pPr>
        <w:spacing w:line="240" w:lineRule="auto"/>
        <w:rPr>
          <w:rFonts w:eastAsia="Times New Roman" w:cs="Arial"/>
          <w:color w:val="000000"/>
          <w:szCs w:val="24"/>
          <w:u w:val="single"/>
          <w:lang w:eastAsia="bg-BG"/>
        </w:rPr>
      </w:pPr>
      <w:r w:rsidRPr="007122AD">
        <w:rPr>
          <w:rFonts w:eastAsia="Times New Roman" w:cs="Arial"/>
          <w:color w:val="000000"/>
          <w:szCs w:val="24"/>
          <w:u w:val="single"/>
          <w:lang w:eastAsia="bg-BG"/>
        </w:rPr>
        <w:t>Ефекти върху костната минерална плътност</w:t>
      </w:r>
    </w:p>
    <w:p w14:paraId="7395C129" w14:textId="77777777" w:rsidR="007122AD" w:rsidRPr="007122AD" w:rsidRDefault="007122AD" w:rsidP="007122AD">
      <w:pPr>
        <w:spacing w:line="240" w:lineRule="auto"/>
        <w:rPr>
          <w:rFonts w:eastAsia="Times New Roman" w:cs="Arial"/>
          <w:color w:val="000000"/>
          <w:szCs w:val="24"/>
          <w:lang w:eastAsia="bg-BG"/>
        </w:rPr>
      </w:pPr>
    </w:p>
    <w:p w14:paraId="3051680B" w14:textId="2C2A734B" w:rsidR="007122AD" w:rsidRPr="007122AD" w:rsidRDefault="007122AD" w:rsidP="007122AD">
      <w:pPr>
        <w:spacing w:line="240" w:lineRule="auto"/>
        <w:rPr>
          <w:rFonts w:eastAsia="Times New Roman" w:cs="Arial"/>
          <w:szCs w:val="24"/>
        </w:rPr>
      </w:pPr>
      <w:r w:rsidRPr="007122AD">
        <w:rPr>
          <w:rFonts w:eastAsia="Times New Roman" w:cs="Arial"/>
          <w:color w:val="000000"/>
          <w:szCs w:val="24"/>
          <w:lang w:eastAsia="bg-BG"/>
        </w:rPr>
        <w:t>Тъй като Анастрогратис понижава нивата на циркулиращия естроген, това може да предизвика понижаване на костната минерална плътност с последващ повишен риск от фрактури (вж. точка 4.8).</w:t>
      </w:r>
    </w:p>
    <w:p w14:paraId="15B4805B" w14:textId="77777777" w:rsidR="007122AD" w:rsidRPr="007122AD" w:rsidRDefault="007122AD" w:rsidP="007122AD">
      <w:pPr>
        <w:spacing w:line="240" w:lineRule="auto"/>
        <w:rPr>
          <w:rFonts w:eastAsia="Times New Roman" w:cs="Arial"/>
          <w:color w:val="000000"/>
          <w:szCs w:val="24"/>
          <w:lang w:eastAsia="bg-BG"/>
        </w:rPr>
      </w:pPr>
    </w:p>
    <w:p w14:paraId="3E114776" w14:textId="53203595" w:rsidR="007122AD" w:rsidRPr="007122AD" w:rsidRDefault="007122AD" w:rsidP="007122AD">
      <w:pPr>
        <w:spacing w:line="240" w:lineRule="auto"/>
        <w:rPr>
          <w:rFonts w:eastAsia="Times New Roman" w:cs="Arial"/>
          <w:szCs w:val="24"/>
        </w:rPr>
      </w:pPr>
      <w:r w:rsidRPr="007122AD">
        <w:rPr>
          <w:rFonts w:eastAsia="Times New Roman" w:cs="Arial"/>
          <w:color w:val="000000"/>
          <w:szCs w:val="24"/>
          <w:lang w:eastAsia="bg-BG"/>
        </w:rPr>
        <w:t xml:space="preserve">При жени с остеопороза или рискови за остеопороза костната минерална плътност трябва да бъде оценена при започване на лечението и на редовни интервали след това. Лечението или профилактиката на остеопорозата трябва да се започнат, когато е </w:t>
      </w:r>
      <w:r w:rsidRPr="007122AD">
        <w:rPr>
          <w:rFonts w:eastAsia="Times New Roman" w:cs="Arial"/>
          <w:color w:val="000000"/>
          <w:szCs w:val="24"/>
          <w:lang w:eastAsia="bg-BG"/>
        </w:rPr>
        <w:lastRenderedPageBreak/>
        <w:t>необходимо и внимателно да се проследяват. Прилагането на специфично лечение, например бифосфонати, може да спре загубата на костна</w:t>
      </w:r>
    </w:p>
    <w:p w14:paraId="2314751E" w14:textId="48ACD3C3" w:rsidR="007122AD" w:rsidRPr="007122AD" w:rsidRDefault="007122AD" w:rsidP="007122AD">
      <w:pPr>
        <w:rPr>
          <w:rFonts w:eastAsia="Times New Roman" w:cs="Arial"/>
          <w:color w:val="000000"/>
          <w:szCs w:val="24"/>
          <w:lang w:eastAsia="bg-BG"/>
        </w:rPr>
      </w:pPr>
      <w:r w:rsidRPr="007122AD">
        <w:rPr>
          <w:rFonts w:eastAsia="Times New Roman" w:cs="Arial"/>
          <w:color w:val="000000"/>
          <w:szCs w:val="24"/>
          <w:lang w:eastAsia="bg-BG"/>
        </w:rPr>
        <w:t>плътност, предизвикана от Анастрогратис при постменопаузални жени и трябва да се има предвид (вж. точка 4.8).</w:t>
      </w:r>
    </w:p>
    <w:p w14:paraId="2944BC3A" w14:textId="4CF5D57C" w:rsidR="007122AD" w:rsidRPr="007122AD" w:rsidRDefault="007122AD" w:rsidP="007122AD">
      <w:pPr>
        <w:rPr>
          <w:rFonts w:eastAsia="Times New Roman" w:cs="Arial"/>
          <w:color w:val="000000"/>
          <w:szCs w:val="24"/>
          <w:lang w:eastAsia="bg-BG"/>
        </w:rPr>
      </w:pPr>
    </w:p>
    <w:p w14:paraId="4F94213F" w14:textId="77777777" w:rsidR="007122AD" w:rsidRPr="007122AD" w:rsidRDefault="007122AD" w:rsidP="007122AD">
      <w:pPr>
        <w:spacing w:line="240" w:lineRule="auto"/>
        <w:rPr>
          <w:rFonts w:eastAsia="Times New Roman" w:cs="Arial"/>
          <w:szCs w:val="24"/>
        </w:rPr>
      </w:pPr>
      <w:r w:rsidRPr="007122AD">
        <w:rPr>
          <w:rFonts w:eastAsia="Times New Roman" w:cs="Arial"/>
          <w:color w:val="000000"/>
          <w:szCs w:val="24"/>
          <w:u w:val="single"/>
          <w:lang w:eastAsia="bg-BG"/>
        </w:rPr>
        <w:t>Чернодробна недостатъчност</w:t>
      </w:r>
    </w:p>
    <w:p w14:paraId="164BC94B" w14:textId="77777777" w:rsidR="007122AD" w:rsidRPr="007122AD" w:rsidRDefault="007122AD" w:rsidP="007122AD">
      <w:pPr>
        <w:spacing w:line="240" w:lineRule="auto"/>
        <w:rPr>
          <w:rFonts w:eastAsia="Times New Roman" w:cs="Arial"/>
          <w:color w:val="000000"/>
          <w:szCs w:val="24"/>
          <w:lang w:eastAsia="bg-BG"/>
        </w:rPr>
      </w:pPr>
    </w:p>
    <w:p w14:paraId="00CC5F42" w14:textId="31F16F68" w:rsidR="007122AD" w:rsidRPr="007122AD" w:rsidRDefault="007122AD" w:rsidP="007122AD">
      <w:pPr>
        <w:spacing w:line="240" w:lineRule="auto"/>
        <w:rPr>
          <w:rFonts w:eastAsia="Times New Roman" w:cs="Arial"/>
          <w:szCs w:val="24"/>
        </w:rPr>
      </w:pPr>
      <w:r w:rsidRPr="007122AD">
        <w:rPr>
          <w:rFonts w:eastAsia="Times New Roman" w:cs="Arial"/>
          <w:color w:val="000000"/>
          <w:szCs w:val="24"/>
          <w:lang w:eastAsia="bg-BG"/>
        </w:rPr>
        <w:t>Анастрогратис не е проучван при пациентки с рак на гърдата с умерено или тежко чернодробно увреждане. Експозицията на анастрозол може да се повиши при субекти с чернодробно увреждане (вж. точка 5.2). Анастрогратис трябва да се прилага с повишено внимание прн пациенти с умерено и тежко чернодробно увреждане (вж. точка 4.2). Лечението трябва да се основава на оценка на съотношението полза-риск за всеки отделен пациент.</w:t>
      </w:r>
    </w:p>
    <w:p w14:paraId="6C1B8EFB" w14:textId="77777777" w:rsidR="007122AD" w:rsidRPr="007122AD" w:rsidRDefault="007122AD" w:rsidP="007122AD">
      <w:pPr>
        <w:spacing w:line="240" w:lineRule="auto"/>
        <w:rPr>
          <w:rFonts w:eastAsia="Times New Roman" w:cs="Arial"/>
          <w:color w:val="000000"/>
          <w:szCs w:val="24"/>
          <w:lang w:eastAsia="bg-BG"/>
        </w:rPr>
      </w:pPr>
    </w:p>
    <w:p w14:paraId="3B6F13A2" w14:textId="7475F3EC" w:rsidR="007122AD" w:rsidRPr="007122AD" w:rsidRDefault="007122AD" w:rsidP="007122AD">
      <w:pPr>
        <w:spacing w:line="240" w:lineRule="auto"/>
        <w:rPr>
          <w:rFonts w:eastAsia="Times New Roman" w:cs="Arial"/>
          <w:szCs w:val="24"/>
        </w:rPr>
      </w:pPr>
      <w:r w:rsidRPr="007122AD">
        <w:rPr>
          <w:rFonts w:eastAsia="Times New Roman" w:cs="Arial"/>
          <w:color w:val="000000"/>
          <w:szCs w:val="24"/>
          <w:lang w:eastAsia="bg-BG"/>
        </w:rPr>
        <w:t xml:space="preserve">Няма данни за безопасното приложение на Анастрогратис при пациентки с умерено и тежко чернодробно увреждане или тежко увреждане на бъбречната функция (креатининов клирънс под 20 </w:t>
      </w:r>
      <w:r w:rsidRPr="007122AD">
        <w:rPr>
          <w:rFonts w:eastAsia="Times New Roman" w:cs="Arial"/>
          <w:color w:val="000000"/>
          <w:szCs w:val="24"/>
          <w:lang w:val="en-US"/>
        </w:rPr>
        <w:t>ml</w:t>
      </w:r>
      <w:r w:rsidRPr="007122AD">
        <w:rPr>
          <w:rFonts w:eastAsia="Times New Roman" w:cs="Arial"/>
          <w:color w:val="000000"/>
          <w:szCs w:val="24"/>
          <w:lang w:val="ru-RU"/>
        </w:rPr>
        <w:t>/</w:t>
      </w:r>
      <w:r w:rsidRPr="007122AD">
        <w:rPr>
          <w:rFonts w:eastAsia="Times New Roman" w:cs="Arial"/>
          <w:color w:val="000000"/>
          <w:szCs w:val="24"/>
          <w:lang w:val="en-US"/>
        </w:rPr>
        <w:t>min</w:t>
      </w:r>
      <w:r w:rsidRPr="007122AD">
        <w:rPr>
          <w:rFonts w:eastAsia="Times New Roman" w:cs="Arial"/>
          <w:color w:val="000000"/>
          <w:szCs w:val="24"/>
          <w:lang w:val="ru-RU"/>
        </w:rPr>
        <w:t>).</w:t>
      </w:r>
    </w:p>
    <w:p w14:paraId="28CCCB2A" w14:textId="77777777" w:rsidR="007122AD" w:rsidRPr="007122AD" w:rsidRDefault="007122AD" w:rsidP="007122AD">
      <w:pPr>
        <w:spacing w:line="240" w:lineRule="auto"/>
        <w:rPr>
          <w:rFonts w:eastAsia="Times New Roman" w:cs="Arial"/>
          <w:color w:val="000000"/>
          <w:szCs w:val="24"/>
          <w:u w:val="single"/>
          <w:lang w:eastAsia="bg-BG"/>
        </w:rPr>
      </w:pPr>
    </w:p>
    <w:p w14:paraId="2F511195" w14:textId="784922E6" w:rsidR="007122AD" w:rsidRPr="007122AD" w:rsidRDefault="007122AD" w:rsidP="007122AD">
      <w:pPr>
        <w:spacing w:line="240" w:lineRule="auto"/>
        <w:rPr>
          <w:rFonts w:eastAsia="Times New Roman" w:cs="Arial"/>
          <w:szCs w:val="24"/>
        </w:rPr>
      </w:pPr>
      <w:r w:rsidRPr="007122AD">
        <w:rPr>
          <w:rFonts w:eastAsia="Times New Roman" w:cs="Arial"/>
          <w:color w:val="000000"/>
          <w:szCs w:val="24"/>
          <w:u w:val="single"/>
          <w:lang w:eastAsia="bg-BG"/>
        </w:rPr>
        <w:t>Бъбречна недостатъчност</w:t>
      </w:r>
    </w:p>
    <w:p w14:paraId="770DF1AF" w14:textId="77777777" w:rsidR="007122AD" w:rsidRPr="007122AD" w:rsidRDefault="007122AD" w:rsidP="007122AD">
      <w:pPr>
        <w:spacing w:line="240" w:lineRule="auto"/>
        <w:rPr>
          <w:rFonts w:eastAsia="Times New Roman" w:cs="Arial"/>
          <w:color w:val="000000"/>
          <w:szCs w:val="24"/>
          <w:lang w:eastAsia="bg-BG"/>
        </w:rPr>
      </w:pPr>
    </w:p>
    <w:p w14:paraId="541C5D5D" w14:textId="539ADC9A" w:rsidR="007122AD" w:rsidRPr="007122AD" w:rsidRDefault="007122AD" w:rsidP="007122AD">
      <w:pPr>
        <w:spacing w:line="240" w:lineRule="auto"/>
        <w:rPr>
          <w:rFonts w:eastAsia="Times New Roman" w:cs="Arial"/>
          <w:szCs w:val="24"/>
        </w:rPr>
      </w:pPr>
      <w:r w:rsidRPr="007122AD">
        <w:rPr>
          <w:rFonts w:eastAsia="Times New Roman" w:cs="Arial"/>
          <w:color w:val="000000"/>
          <w:szCs w:val="24"/>
          <w:lang w:eastAsia="bg-BG"/>
        </w:rPr>
        <w:t xml:space="preserve">Анастрогратис не е проучван при пациентки с рак на гърдата с тежко бъбречно увеждане или тежко увреждане на бъбречната функция (креатининов клирънс под 20 </w:t>
      </w:r>
      <w:r w:rsidRPr="007122AD">
        <w:rPr>
          <w:rFonts w:eastAsia="Times New Roman" w:cs="Arial"/>
          <w:color w:val="000000"/>
          <w:szCs w:val="24"/>
          <w:lang w:val="en-US"/>
        </w:rPr>
        <w:t>ml</w:t>
      </w:r>
      <w:r w:rsidRPr="007122AD">
        <w:rPr>
          <w:rFonts w:eastAsia="Times New Roman" w:cs="Arial"/>
          <w:color w:val="000000"/>
          <w:szCs w:val="24"/>
          <w:lang w:val="ru-RU"/>
        </w:rPr>
        <w:t>/</w:t>
      </w:r>
      <w:r w:rsidRPr="007122AD">
        <w:rPr>
          <w:rFonts w:eastAsia="Times New Roman" w:cs="Arial"/>
          <w:color w:val="000000"/>
          <w:szCs w:val="24"/>
          <w:lang w:val="en-US"/>
        </w:rPr>
        <w:t>min</w:t>
      </w:r>
      <w:r w:rsidRPr="007122AD">
        <w:rPr>
          <w:rFonts w:eastAsia="Times New Roman" w:cs="Arial"/>
          <w:color w:val="000000"/>
          <w:szCs w:val="24"/>
          <w:lang w:val="ru-RU"/>
        </w:rPr>
        <w:t xml:space="preserve">) </w:t>
      </w:r>
      <w:r w:rsidRPr="007122AD">
        <w:rPr>
          <w:rFonts w:eastAsia="Times New Roman" w:cs="Arial"/>
          <w:color w:val="000000"/>
          <w:szCs w:val="24"/>
          <w:lang w:eastAsia="bg-BG"/>
        </w:rPr>
        <w:t>и трябва да се прилага с особено внимание (вж. точка 4.2).</w:t>
      </w:r>
    </w:p>
    <w:p w14:paraId="5D32E3E3" w14:textId="77777777" w:rsidR="007122AD" w:rsidRPr="007122AD" w:rsidRDefault="007122AD" w:rsidP="007122AD">
      <w:pPr>
        <w:spacing w:line="240" w:lineRule="auto"/>
        <w:rPr>
          <w:rFonts w:eastAsia="Times New Roman" w:cs="Arial"/>
          <w:color w:val="000000"/>
          <w:szCs w:val="24"/>
          <w:u w:val="single"/>
          <w:lang w:eastAsia="bg-BG"/>
        </w:rPr>
      </w:pPr>
    </w:p>
    <w:p w14:paraId="5F36A9A0" w14:textId="6CFDBC6F" w:rsidR="007122AD" w:rsidRPr="007122AD" w:rsidRDefault="007122AD" w:rsidP="007122AD">
      <w:pPr>
        <w:spacing w:line="240" w:lineRule="auto"/>
        <w:rPr>
          <w:rFonts w:eastAsia="Times New Roman" w:cs="Arial"/>
          <w:szCs w:val="24"/>
        </w:rPr>
      </w:pPr>
      <w:r w:rsidRPr="007122AD">
        <w:rPr>
          <w:rFonts w:eastAsia="Times New Roman" w:cs="Arial"/>
          <w:color w:val="000000"/>
          <w:szCs w:val="24"/>
          <w:u w:val="single"/>
          <w:lang w:eastAsia="bg-BG"/>
        </w:rPr>
        <w:t>Педиатрична популация</w:t>
      </w:r>
    </w:p>
    <w:p w14:paraId="0B98A345" w14:textId="77777777" w:rsidR="007122AD" w:rsidRPr="007122AD" w:rsidRDefault="007122AD" w:rsidP="007122AD">
      <w:pPr>
        <w:spacing w:line="240" w:lineRule="auto"/>
        <w:rPr>
          <w:rFonts w:eastAsia="Times New Roman" w:cs="Arial"/>
          <w:color w:val="000000"/>
          <w:szCs w:val="24"/>
          <w:lang w:eastAsia="bg-BG"/>
        </w:rPr>
      </w:pPr>
    </w:p>
    <w:p w14:paraId="4F164E18" w14:textId="045D5528" w:rsidR="007122AD" w:rsidRPr="007122AD" w:rsidRDefault="007122AD" w:rsidP="007122AD">
      <w:pPr>
        <w:spacing w:line="240" w:lineRule="auto"/>
        <w:rPr>
          <w:rFonts w:eastAsia="Times New Roman" w:cs="Arial"/>
          <w:szCs w:val="24"/>
        </w:rPr>
      </w:pPr>
      <w:r w:rsidRPr="007122AD">
        <w:rPr>
          <w:rFonts w:eastAsia="Times New Roman" w:cs="Arial"/>
          <w:color w:val="000000"/>
          <w:szCs w:val="24"/>
          <w:lang w:eastAsia="bg-BG"/>
        </w:rPr>
        <w:t>Анастрогратис не се препоръчва за употреба при деца и юноши, тъй като безопасността и ефикасността му не са установени в тази група пациенти (вж. точка 5.1).</w:t>
      </w:r>
    </w:p>
    <w:p w14:paraId="25BEC8EF" w14:textId="77777777" w:rsidR="007122AD" w:rsidRPr="007122AD" w:rsidRDefault="007122AD" w:rsidP="007122AD">
      <w:pPr>
        <w:spacing w:line="240" w:lineRule="auto"/>
        <w:rPr>
          <w:rFonts w:eastAsia="Times New Roman" w:cs="Arial"/>
          <w:szCs w:val="24"/>
        </w:rPr>
      </w:pPr>
      <w:r w:rsidRPr="007122AD">
        <w:rPr>
          <w:rFonts w:eastAsia="Times New Roman" w:cs="Arial"/>
          <w:color w:val="000000"/>
          <w:szCs w:val="24"/>
          <w:lang w:eastAsia="bg-BG"/>
        </w:rPr>
        <w:t>Анастрозол не трябва да се използва при момчета с дефицит на растежен хормон, като добавка към лечението с хормон на растежа. В основното клинично проучване не е демонстрирана ефикасността и не е доказана безопасността на приложението му (вж. точка 5.1). Тъй като анастрозол понижава нивата на естрадиол, Анастрогратис не трябва да се използва при момичета с дефецит на растежен хормон като добавка към лечението с хормон на растежа. Дългосрочни данни за безопасността при деца и юноши не са налични.</w:t>
      </w:r>
    </w:p>
    <w:p w14:paraId="475635B8" w14:textId="77777777" w:rsidR="007122AD" w:rsidRPr="007122AD" w:rsidRDefault="007122AD" w:rsidP="007122AD">
      <w:pPr>
        <w:spacing w:line="240" w:lineRule="auto"/>
        <w:rPr>
          <w:rFonts w:eastAsia="Times New Roman" w:cs="Arial"/>
          <w:color w:val="000000"/>
          <w:szCs w:val="24"/>
          <w:u w:val="single"/>
          <w:lang w:eastAsia="bg-BG"/>
        </w:rPr>
      </w:pPr>
    </w:p>
    <w:p w14:paraId="232F46FA" w14:textId="79BC4955" w:rsidR="007122AD" w:rsidRPr="007122AD" w:rsidRDefault="007122AD" w:rsidP="007122AD">
      <w:pPr>
        <w:spacing w:line="240" w:lineRule="auto"/>
        <w:rPr>
          <w:rFonts w:eastAsia="Times New Roman" w:cs="Arial"/>
          <w:szCs w:val="24"/>
        </w:rPr>
      </w:pPr>
      <w:r w:rsidRPr="007122AD">
        <w:rPr>
          <w:rFonts w:eastAsia="Times New Roman" w:cs="Arial"/>
          <w:color w:val="000000"/>
          <w:szCs w:val="24"/>
          <w:u w:val="single"/>
          <w:lang w:eastAsia="bg-BG"/>
        </w:rPr>
        <w:t>Свръхчувствителност към лактоза</w:t>
      </w:r>
    </w:p>
    <w:p w14:paraId="2AA67025" w14:textId="77777777" w:rsidR="007122AD" w:rsidRPr="007122AD" w:rsidRDefault="007122AD" w:rsidP="007122AD">
      <w:pPr>
        <w:spacing w:line="240" w:lineRule="auto"/>
        <w:rPr>
          <w:rFonts w:eastAsia="Times New Roman" w:cs="Arial"/>
          <w:color w:val="000000"/>
          <w:szCs w:val="24"/>
          <w:lang w:eastAsia="bg-BG"/>
        </w:rPr>
      </w:pPr>
    </w:p>
    <w:p w14:paraId="67C2A99A" w14:textId="5157A6CA" w:rsidR="007122AD" w:rsidRPr="007122AD" w:rsidRDefault="007122AD" w:rsidP="007122AD">
      <w:pPr>
        <w:spacing w:line="240" w:lineRule="auto"/>
        <w:rPr>
          <w:rFonts w:eastAsia="Times New Roman" w:cs="Arial"/>
          <w:szCs w:val="24"/>
        </w:rPr>
      </w:pPr>
      <w:r w:rsidRPr="007122AD">
        <w:rPr>
          <w:rFonts w:eastAsia="Times New Roman" w:cs="Arial"/>
          <w:color w:val="000000"/>
          <w:szCs w:val="24"/>
          <w:lang w:eastAsia="bg-BG"/>
        </w:rPr>
        <w:t xml:space="preserve">Този продукт съдържа лактоза. Пациенти с редки наследствени проблеми, свързани с непоносимост към галактоза, </w:t>
      </w:r>
      <w:r w:rsidRPr="007122AD">
        <w:rPr>
          <w:rFonts w:eastAsia="Times New Roman" w:cs="Arial"/>
          <w:color w:val="000000"/>
          <w:szCs w:val="24"/>
          <w:lang w:val="en-US"/>
        </w:rPr>
        <w:t>L</w:t>
      </w:r>
      <w:r w:rsidRPr="007122AD">
        <w:rPr>
          <w:rFonts w:eastAsia="Times New Roman" w:cs="Arial"/>
          <w:color w:val="000000"/>
          <w:szCs w:val="24"/>
          <w:lang w:eastAsia="bg-BG"/>
        </w:rPr>
        <w:t>арр-лактазна недостатъчност или малабсорбция на глюкоза-галактоза не трябва да приемат този лекарствен продукт.</w:t>
      </w:r>
    </w:p>
    <w:p w14:paraId="0E0BDCC7" w14:textId="77777777" w:rsidR="007122AD" w:rsidRPr="007122AD" w:rsidRDefault="007122AD" w:rsidP="007122AD"/>
    <w:p w14:paraId="619DED1E" w14:textId="635D1D9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064638A1" w14:textId="4EF72020" w:rsidR="007122AD" w:rsidRDefault="007122AD" w:rsidP="007122AD"/>
    <w:p w14:paraId="44DB5AB1" w14:textId="77777777" w:rsidR="007122AD" w:rsidRPr="007122AD" w:rsidRDefault="007122AD" w:rsidP="007122AD">
      <w:pPr>
        <w:spacing w:line="240" w:lineRule="auto"/>
        <w:rPr>
          <w:rFonts w:eastAsia="Times New Roman" w:cs="Arial"/>
          <w:szCs w:val="24"/>
        </w:rPr>
      </w:pPr>
      <w:r w:rsidRPr="007122AD">
        <w:rPr>
          <w:rFonts w:eastAsia="Times New Roman" w:cs="Arial"/>
          <w:color w:val="000000"/>
          <w:szCs w:val="24"/>
          <w:lang w:eastAsia="bg-BG"/>
        </w:rPr>
        <w:t xml:space="preserve">Анастрозол инхибира </w:t>
      </w:r>
      <w:r w:rsidRPr="007122AD">
        <w:rPr>
          <w:rFonts w:eastAsia="Times New Roman" w:cs="Arial"/>
          <w:color w:val="000000"/>
          <w:szCs w:val="24"/>
          <w:lang w:val="en-US"/>
        </w:rPr>
        <w:t>CYP</w:t>
      </w:r>
      <w:r w:rsidRPr="007122AD">
        <w:rPr>
          <w:rFonts w:eastAsia="Times New Roman" w:cs="Arial"/>
          <w:color w:val="000000"/>
          <w:szCs w:val="24"/>
          <w:lang w:val="ru-RU"/>
        </w:rPr>
        <w:t xml:space="preserve"> </w:t>
      </w:r>
      <w:r w:rsidRPr="007122AD">
        <w:rPr>
          <w:rFonts w:eastAsia="Times New Roman" w:cs="Arial"/>
          <w:color w:val="000000"/>
          <w:szCs w:val="24"/>
          <w:lang w:eastAsia="bg-BG"/>
        </w:rPr>
        <w:t xml:space="preserve">1А2, 2С8/9 и ЗА4 </w:t>
      </w:r>
      <w:r w:rsidRPr="007122AD">
        <w:rPr>
          <w:rFonts w:eastAsia="Times New Roman" w:cs="Arial"/>
          <w:i/>
          <w:iCs/>
          <w:color w:val="000000"/>
          <w:szCs w:val="24"/>
          <w:lang w:val="en-US"/>
        </w:rPr>
        <w:t>in</w:t>
      </w:r>
      <w:r w:rsidRPr="007122AD">
        <w:rPr>
          <w:rFonts w:eastAsia="Times New Roman" w:cs="Arial"/>
          <w:i/>
          <w:iCs/>
          <w:color w:val="000000"/>
          <w:szCs w:val="24"/>
          <w:lang w:val="ru-RU"/>
        </w:rPr>
        <w:t xml:space="preserve"> </w:t>
      </w:r>
      <w:r w:rsidRPr="007122AD">
        <w:rPr>
          <w:rFonts w:eastAsia="Times New Roman" w:cs="Arial"/>
          <w:i/>
          <w:iCs/>
          <w:color w:val="000000"/>
          <w:szCs w:val="24"/>
          <w:lang w:val="en-US"/>
        </w:rPr>
        <w:t>vitro</w:t>
      </w:r>
      <w:r w:rsidRPr="007122AD">
        <w:rPr>
          <w:rFonts w:eastAsia="Times New Roman" w:cs="Arial"/>
          <w:i/>
          <w:iCs/>
          <w:color w:val="000000"/>
          <w:szCs w:val="24"/>
          <w:lang w:val="ru-RU"/>
        </w:rPr>
        <w:t>.</w:t>
      </w:r>
      <w:r w:rsidRPr="007122AD">
        <w:rPr>
          <w:rFonts w:eastAsia="Times New Roman" w:cs="Arial"/>
          <w:color w:val="000000"/>
          <w:szCs w:val="24"/>
          <w:lang w:val="ru-RU"/>
        </w:rPr>
        <w:t xml:space="preserve"> </w:t>
      </w:r>
      <w:r w:rsidRPr="007122AD">
        <w:rPr>
          <w:rFonts w:eastAsia="Times New Roman" w:cs="Arial"/>
          <w:color w:val="000000"/>
          <w:szCs w:val="24"/>
          <w:lang w:eastAsia="bg-BG"/>
        </w:rPr>
        <w:t xml:space="preserve">Клинични проучвания с антипирин и варфарин показват, че анастрозол в доза 1 </w:t>
      </w:r>
      <w:r w:rsidRPr="007122AD">
        <w:rPr>
          <w:rFonts w:eastAsia="Times New Roman" w:cs="Arial"/>
          <w:color w:val="000000"/>
          <w:szCs w:val="24"/>
          <w:lang w:val="en-US"/>
        </w:rPr>
        <w:t>mg</w:t>
      </w:r>
      <w:r w:rsidRPr="007122AD">
        <w:rPr>
          <w:rFonts w:eastAsia="Times New Roman" w:cs="Arial"/>
          <w:color w:val="000000"/>
          <w:szCs w:val="24"/>
          <w:lang w:val="ru-RU"/>
        </w:rPr>
        <w:t xml:space="preserve"> </w:t>
      </w:r>
      <w:r w:rsidRPr="007122AD">
        <w:rPr>
          <w:rFonts w:eastAsia="Times New Roman" w:cs="Arial"/>
          <w:color w:val="000000"/>
          <w:szCs w:val="24"/>
          <w:lang w:eastAsia="bg-BG"/>
        </w:rPr>
        <w:t xml:space="preserve">не потиска значимо метаболизма на антипирин и </w:t>
      </w:r>
      <w:r w:rsidRPr="007122AD">
        <w:rPr>
          <w:rFonts w:eastAsia="Times New Roman" w:cs="Arial"/>
          <w:color w:val="000000"/>
          <w:szCs w:val="24"/>
          <w:lang w:val="en-US"/>
        </w:rPr>
        <w:t>R</w:t>
      </w:r>
      <w:r w:rsidRPr="007122AD">
        <w:rPr>
          <w:rFonts w:eastAsia="Times New Roman" w:cs="Arial"/>
          <w:color w:val="000000"/>
          <w:szCs w:val="24"/>
          <w:lang w:val="ru-RU"/>
        </w:rPr>
        <w:t xml:space="preserve">- </w:t>
      </w:r>
      <w:r w:rsidRPr="007122AD">
        <w:rPr>
          <w:rFonts w:eastAsia="Times New Roman" w:cs="Arial"/>
          <w:color w:val="000000"/>
          <w:szCs w:val="24"/>
          <w:lang w:eastAsia="bg-BG"/>
        </w:rPr>
        <w:t xml:space="preserve">и </w:t>
      </w:r>
      <w:r w:rsidRPr="007122AD">
        <w:rPr>
          <w:rFonts w:eastAsia="Times New Roman" w:cs="Arial"/>
          <w:color w:val="000000"/>
          <w:szCs w:val="24"/>
          <w:lang w:val="en-US"/>
        </w:rPr>
        <w:t>S</w:t>
      </w:r>
      <w:r w:rsidRPr="007122AD">
        <w:rPr>
          <w:rFonts w:eastAsia="Times New Roman" w:cs="Arial"/>
          <w:color w:val="000000"/>
          <w:szCs w:val="24"/>
          <w:lang w:eastAsia="bg-BG"/>
        </w:rPr>
        <w:t xml:space="preserve">-варфарин, което показва, че е малко вероятно едновременното приложение на Анастрогратис и други лекарствени продукти да доведе до клинично значими лекарствени взаимодействия, медиирани от </w:t>
      </w:r>
      <w:r w:rsidRPr="007122AD">
        <w:rPr>
          <w:rFonts w:eastAsia="Times New Roman" w:cs="Arial"/>
          <w:color w:val="000000"/>
          <w:szCs w:val="24"/>
          <w:lang w:val="en-US"/>
        </w:rPr>
        <w:t>CYP</w:t>
      </w:r>
      <w:r w:rsidRPr="007122AD">
        <w:rPr>
          <w:rFonts w:eastAsia="Times New Roman" w:cs="Arial"/>
          <w:color w:val="000000"/>
          <w:szCs w:val="24"/>
          <w:lang w:eastAsia="bg-BG"/>
        </w:rPr>
        <w:t xml:space="preserve"> ензимите.</w:t>
      </w:r>
    </w:p>
    <w:p w14:paraId="30638434" w14:textId="77777777" w:rsidR="007122AD" w:rsidRPr="007122AD" w:rsidRDefault="007122AD" w:rsidP="007122AD">
      <w:pPr>
        <w:spacing w:line="240" w:lineRule="auto"/>
        <w:rPr>
          <w:rFonts w:eastAsia="Times New Roman" w:cs="Arial"/>
          <w:color w:val="000000"/>
          <w:szCs w:val="24"/>
          <w:lang w:eastAsia="bg-BG"/>
        </w:rPr>
      </w:pPr>
    </w:p>
    <w:p w14:paraId="2E332313" w14:textId="6757DA6D" w:rsidR="007122AD" w:rsidRPr="007122AD" w:rsidRDefault="007122AD" w:rsidP="007122AD">
      <w:pPr>
        <w:spacing w:line="240" w:lineRule="auto"/>
        <w:rPr>
          <w:rFonts w:eastAsia="Times New Roman" w:cs="Arial"/>
          <w:szCs w:val="24"/>
        </w:rPr>
      </w:pPr>
      <w:r w:rsidRPr="007122AD">
        <w:rPr>
          <w:rFonts w:eastAsia="Times New Roman" w:cs="Arial"/>
          <w:color w:val="000000"/>
          <w:szCs w:val="24"/>
          <w:lang w:eastAsia="bg-BG"/>
        </w:rPr>
        <w:t>Не са идентифицирани ензими, медииращи метаболизма</w:t>
      </w:r>
      <w:r w:rsidRPr="007122AD">
        <w:rPr>
          <w:rFonts w:eastAsia="Times New Roman" w:cs="Arial"/>
          <w:color w:val="000000"/>
          <w:szCs w:val="24"/>
          <w:lang w:val="ru-RU"/>
        </w:rPr>
        <w:t xml:space="preserve"> </w:t>
      </w:r>
      <w:r w:rsidRPr="007122AD">
        <w:rPr>
          <w:rFonts w:eastAsia="Times New Roman" w:cs="Arial"/>
          <w:color w:val="000000"/>
          <w:szCs w:val="24"/>
          <w:lang w:eastAsia="bg-BG"/>
        </w:rPr>
        <w:t>на анастрозол</w:t>
      </w:r>
    </w:p>
    <w:p w14:paraId="799848D5" w14:textId="74D39B59" w:rsidR="007122AD" w:rsidRPr="007122AD" w:rsidRDefault="007122AD" w:rsidP="007122AD">
      <w:pPr>
        <w:rPr>
          <w:rFonts w:eastAsia="Times New Roman" w:cs="Arial"/>
          <w:color w:val="000000"/>
          <w:szCs w:val="24"/>
          <w:lang w:eastAsia="bg-BG"/>
        </w:rPr>
      </w:pPr>
      <w:r w:rsidRPr="007122AD">
        <w:rPr>
          <w:rFonts w:eastAsia="Times New Roman" w:cs="Arial"/>
          <w:color w:val="000000"/>
          <w:szCs w:val="24"/>
          <w:lang w:eastAsia="bg-BG"/>
        </w:rPr>
        <w:t xml:space="preserve">Циметидин, слаб, неспецифичен инхибитор на </w:t>
      </w:r>
      <w:r w:rsidRPr="007122AD">
        <w:rPr>
          <w:rFonts w:eastAsia="Times New Roman" w:cs="Arial"/>
          <w:color w:val="000000"/>
          <w:szCs w:val="24"/>
          <w:lang w:val="en-US"/>
        </w:rPr>
        <w:t>CYP</w:t>
      </w:r>
      <w:r w:rsidRPr="007122AD">
        <w:rPr>
          <w:rFonts w:eastAsia="Times New Roman" w:cs="Arial"/>
          <w:color w:val="000000"/>
          <w:szCs w:val="24"/>
          <w:lang w:val="ru-RU"/>
        </w:rPr>
        <w:t xml:space="preserve"> </w:t>
      </w:r>
      <w:r w:rsidRPr="007122AD">
        <w:rPr>
          <w:rFonts w:eastAsia="Times New Roman" w:cs="Arial"/>
          <w:color w:val="000000"/>
          <w:szCs w:val="24"/>
          <w:lang w:eastAsia="bg-BG"/>
        </w:rPr>
        <w:t xml:space="preserve">ензимите ме повлиява плазмените концентрации на анастрозол. Ефектът на мощни </w:t>
      </w:r>
      <w:r w:rsidRPr="007122AD">
        <w:rPr>
          <w:rFonts w:eastAsia="Times New Roman" w:cs="Arial"/>
          <w:color w:val="000000"/>
          <w:szCs w:val="24"/>
          <w:lang w:val="en-US"/>
        </w:rPr>
        <w:t>CYR</w:t>
      </w:r>
      <w:r w:rsidRPr="007122AD">
        <w:rPr>
          <w:rFonts w:eastAsia="Times New Roman" w:cs="Arial"/>
          <w:color w:val="000000"/>
          <w:szCs w:val="24"/>
          <w:lang w:val="ru-RU"/>
        </w:rPr>
        <w:t xml:space="preserve"> </w:t>
      </w:r>
      <w:r w:rsidRPr="007122AD">
        <w:rPr>
          <w:rFonts w:eastAsia="Times New Roman" w:cs="Arial"/>
          <w:color w:val="000000"/>
          <w:szCs w:val="24"/>
          <w:lang w:eastAsia="bg-BG"/>
        </w:rPr>
        <w:t>инхибитори не е известен.</w:t>
      </w:r>
    </w:p>
    <w:p w14:paraId="74FBAB13" w14:textId="75DF00F1" w:rsidR="007122AD" w:rsidRPr="007122AD" w:rsidRDefault="007122AD" w:rsidP="007122AD">
      <w:pPr>
        <w:rPr>
          <w:rFonts w:eastAsia="Times New Roman" w:cs="Arial"/>
          <w:color w:val="000000"/>
          <w:szCs w:val="24"/>
          <w:lang w:eastAsia="bg-BG"/>
        </w:rPr>
      </w:pPr>
    </w:p>
    <w:p w14:paraId="7DFB16CE" w14:textId="77777777" w:rsidR="007122AD" w:rsidRPr="007122AD" w:rsidRDefault="007122AD" w:rsidP="007122AD">
      <w:pPr>
        <w:spacing w:line="240" w:lineRule="auto"/>
        <w:rPr>
          <w:rFonts w:eastAsia="Times New Roman" w:cs="Arial"/>
          <w:szCs w:val="24"/>
        </w:rPr>
      </w:pPr>
      <w:r w:rsidRPr="007122AD">
        <w:rPr>
          <w:rFonts w:eastAsia="Times New Roman" w:cs="Arial"/>
          <w:color w:val="000000"/>
          <w:szCs w:val="24"/>
          <w:lang w:eastAsia="bg-BG"/>
        </w:rPr>
        <w:t>Прегледът на резултатите за безопасността в базата данни от клинични проучвания не дава доказателства за клинично значимо взаимодействие при пациенти, лекувани с Анастрогратис, които са приемали други, обичайно предписвани лекарствени продукти. Няма клинично значими взаимодействия с бифосфонати (вж. точка 5.1).</w:t>
      </w:r>
    </w:p>
    <w:p w14:paraId="14096B33" w14:textId="77777777" w:rsidR="007122AD" w:rsidRPr="007122AD" w:rsidRDefault="007122AD" w:rsidP="007122AD">
      <w:pPr>
        <w:spacing w:line="240" w:lineRule="auto"/>
        <w:rPr>
          <w:rFonts w:eastAsia="Times New Roman" w:cs="Arial"/>
          <w:color w:val="000000"/>
          <w:szCs w:val="24"/>
          <w:lang w:eastAsia="bg-BG"/>
        </w:rPr>
      </w:pPr>
    </w:p>
    <w:p w14:paraId="24A6D65F" w14:textId="2F7AC5F7" w:rsidR="007122AD" w:rsidRPr="007122AD" w:rsidRDefault="007122AD" w:rsidP="007122AD">
      <w:pPr>
        <w:spacing w:line="240" w:lineRule="auto"/>
        <w:rPr>
          <w:rFonts w:eastAsia="Times New Roman" w:cs="Arial"/>
          <w:szCs w:val="24"/>
        </w:rPr>
      </w:pPr>
      <w:r w:rsidRPr="007122AD">
        <w:rPr>
          <w:rFonts w:eastAsia="Times New Roman" w:cs="Arial"/>
          <w:color w:val="000000"/>
          <w:szCs w:val="24"/>
          <w:lang w:eastAsia="bg-BG"/>
        </w:rPr>
        <w:t>Едновременното приложение на тамоксифен и естроген-съдържаща терапия с Анастрогратис трябва да се избягва, тъй като това може да отслаби фармакологичното му действие (вж. точки 4.4 и 5.1).</w:t>
      </w:r>
    </w:p>
    <w:p w14:paraId="0734264C" w14:textId="77777777" w:rsidR="007122AD" w:rsidRPr="007122AD" w:rsidRDefault="007122AD" w:rsidP="007122AD"/>
    <w:p w14:paraId="394A7584" w14:textId="568FA753" w:rsidR="004F498A" w:rsidRDefault="002C50EE" w:rsidP="004A448E">
      <w:pPr>
        <w:pStyle w:val="Heading2"/>
      </w:pPr>
      <w:r>
        <w:t>4.6. Фертилитет, бременност и кърмене</w:t>
      </w:r>
    </w:p>
    <w:p w14:paraId="6012F750" w14:textId="52A6A1EF" w:rsidR="007122AD" w:rsidRDefault="007122AD" w:rsidP="007122AD"/>
    <w:p w14:paraId="5ADD6DB9" w14:textId="77777777" w:rsidR="007122AD" w:rsidRPr="007122AD" w:rsidRDefault="007122AD" w:rsidP="007122AD">
      <w:pPr>
        <w:pStyle w:val="Heading3"/>
        <w:rPr>
          <w:u w:val="single"/>
        </w:rPr>
      </w:pPr>
      <w:r w:rsidRPr="007122AD">
        <w:rPr>
          <w:u w:val="single"/>
        </w:rPr>
        <w:t>Бременност</w:t>
      </w:r>
    </w:p>
    <w:p w14:paraId="20918B2D" w14:textId="77777777" w:rsidR="007122AD" w:rsidRPr="007122AD" w:rsidRDefault="007122AD" w:rsidP="007122AD">
      <w:pPr>
        <w:rPr>
          <w:lang w:eastAsia="bg-BG"/>
        </w:rPr>
      </w:pPr>
    </w:p>
    <w:p w14:paraId="7BC72D17" w14:textId="0DF8E5B8" w:rsidR="007122AD" w:rsidRPr="007122AD" w:rsidRDefault="007122AD" w:rsidP="007122AD">
      <w:r w:rsidRPr="007122AD">
        <w:rPr>
          <w:lang w:eastAsia="bg-BG"/>
        </w:rPr>
        <w:t>Няма данни за употребата на Анастрогратис при бременни жени. Проучванията при животни показват репродуктивна токсичност (вж. точка 5.3). Анастрогратис е противопоказан по време на бременност (вж. точка 4.3).</w:t>
      </w:r>
    </w:p>
    <w:p w14:paraId="436E9794" w14:textId="77777777" w:rsidR="007122AD" w:rsidRPr="007122AD" w:rsidRDefault="007122AD" w:rsidP="007122AD">
      <w:pPr>
        <w:rPr>
          <w:lang w:eastAsia="bg-BG"/>
        </w:rPr>
      </w:pPr>
    </w:p>
    <w:p w14:paraId="2319D839" w14:textId="2AD834CE" w:rsidR="007122AD" w:rsidRPr="007122AD" w:rsidRDefault="007122AD" w:rsidP="007122AD">
      <w:pPr>
        <w:pStyle w:val="Heading3"/>
        <w:rPr>
          <w:u w:val="single"/>
        </w:rPr>
      </w:pPr>
      <w:r w:rsidRPr="007122AD">
        <w:rPr>
          <w:u w:val="single"/>
        </w:rPr>
        <w:t>Кърмене</w:t>
      </w:r>
    </w:p>
    <w:p w14:paraId="314DBA82" w14:textId="77777777" w:rsidR="007122AD" w:rsidRPr="007122AD" w:rsidRDefault="007122AD" w:rsidP="007122AD">
      <w:pPr>
        <w:rPr>
          <w:lang w:eastAsia="bg-BG"/>
        </w:rPr>
      </w:pPr>
    </w:p>
    <w:p w14:paraId="3188C8C4" w14:textId="353E479A" w:rsidR="007122AD" w:rsidRPr="007122AD" w:rsidRDefault="007122AD" w:rsidP="007122AD">
      <w:r w:rsidRPr="007122AD">
        <w:rPr>
          <w:lang w:eastAsia="bg-BG"/>
        </w:rPr>
        <w:t>Няма данни за употребата на Анастрогратис по време на кърмене. Анастрогратис е противопоказан по време на кърмене (вж. точка 4.3).</w:t>
      </w:r>
    </w:p>
    <w:p w14:paraId="6CB82923" w14:textId="77777777" w:rsidR="007122AD" w:rsidRPr="007122AD" w:rsidRDefault="007122AD" w:rsidP="007122AD">
      <w:pPr>
        <w:rPr>
          <w:lang w:eastAsia="bg-BG"/>
        </w:rPr>
      </w:pPr>
    </w:p>
    <w:p w14:paraId="678ADAAC" w14:textId="04B9F351" w:rsidR="007122AD" w:rsidRPr="007122AD" w:rsidRDefault="007122AD" w:rsidP="007122AD">
      <w:pPr>
        <w:pStyle w:val="Heading3"/>
        <w:rPr>
          <w:u w:val="single"/>
        </w:rPr>
      </w:pPr>
      <w:r w:rsidRPr="007122AD">
        <w:rPr>
          <w:u w:val="single"/>
        </w:rPr>
        <w:t>Фертилитет</w:t>
      </w:r>
    </w:p>
    <w:p w14:paraId="10129DD9" w14:textId="77777777" w:rsidR="007122AD" w:rsidRPr="007122AD" w:rsidRDefault="007122AD" w:rsidP="007122AD">
      <w:pPr>
        <w:rPr>
          <w:lang w:eastAsia="bg-BG"/>
        </w:rPr>
      </w:pPr>
    </w:p>
    <w:p w14:paraId="54F3DFA9" w14:textId="700F2530" w:rsidR="007122AD" w:rsidRPr="007122AD" w:rsidRDefault="007122AD" w:rsidP="007122AD">
      <w:r w:rsidRPr="007122AD">
        <w:rPr>
          <w:lang w:eastAsia="bg-BG"/>
        </w:rPr>
        <w:t>Ефектите на Анастрогратис върху фертилитета при хора не са проучвани, Проучванията при животни са показали репродуктивна токсичност (вж. точка 5.3)</w:t>
      </w:r>
    </w:p>
    <w:p w14:paraId="5D9F40EA" w14:textId="77777777" w:rsidR="007122AD" w:rsidRPr="007122AD" w:rsidRDefault="007122AD" w:rsidP="007122AD"/>
    <w:p w14:paraId="064DF1DE" w14:textId="0A951431" w:rsidR="00CF77F7" w:rsidRDefault="002C50EE" w:rsidP="004A448E">
      <w:pPr>
        <w:pStyle w:val="Heading2"/>
      </w:pPr>
      <w:r>
        <w:t>4.7. Ефекти върху способността за шофиране и работа с машини</w:t>
      </w:r>
    </w:p>
    <w:p w14:paraId="14346349" w14:textId="38D1A5F0" w:rsidR="007122AD" w:rsidRDefault="007122AD" w:rsidP="007122AD"/>
    <w:p w14:paraId="170B193B" w14:textId="77777777" w:rsidR="007122AD" w:rsidRPr="007122AD" w:rsidRDefault="007122AD" w:rsidP="007122AD">
      <w:r w:rsidRPr="007122AD">
        <w:rPr>
          <w:lang w:eastAsia="bg-BG"/>
        </w:rPr>
        <w:t>Анастрогратис не повлиява или повлиява пренебрежимо способността за шофиране и работа с машини. Все пак има съобщения за астения и сомнолентност при прилагане на Анастрогратис и при шофиране или работа с машини трябва да се подхожда с повишено внимание, докато тези симптоми продължават.</w:t>
      </w:r>
    </w:p>
    <w:p w14:paraId="5DD7A76D" w14:textId="77777777" w:rsidR="007122AD" w:rsidRPr="007122AD" w:rsidRDefault="007122AD" w:rsidP="007122AD"/>
    <w:p w14:paraId="37A3FD9F" w14:textId="1FD3BB7C" w:rsidR="00CF77F7" w:rsidRDefault="002C50EE" w:rsidP="004A448E">
      <w:pPr>
        <w:pStyle w:val="Heading2"/>
      </w:pPr>
      <w:r>
        <w:t>4.8. Нежелани лекарствени реакции</w:t>
      </w:r>
    </w:p>
    <w:p w14:paraId="18CC4FBA" w14:textId="711B5794" w:rsidR="007122AD" w:rsidRDefault="007122AD" w:rsidP="007122AD"/>
    <w:p w14:paraId="59F4A771" w14:textId="77777777" w:rsidR="007122AD" w:rsidRPr="007122AD" w:rsidRDefault="007122AD" w:rsidP="007122AD">
      <w:pPr>
        <w:spacing w:line="240" w:lineRule="auto"/>
        <w:rPr>
          <w:rFonts w:eastAsia="Times New Roman" w:cs="Arial"/>
          <w:szCs w:val="24"/>
        </w:rPr>
      </w:pPr>
      <w:r w:rsidRPr="007122AD">
        <w:rPr>
          <w:rFonts w:eastAsia="Times New Roman" w:cs="Arial"/>
          <w:color w:val="000000"/>
          <w:szCs w:val="24"/>
          <w:lang w:eastAsia="bg-BG"/>
        </w:rPr>
        <w:t xml:space="preserve">Следващата таблица представя нежеланите лекарствени реакции от клинични проучвания, пост-маркетингови проучвания и спонтанни доклади. Ако не е указано друго, честотата е изчислена от броя на нежеланите реакции, докладвани в голямо фаза III проучване, проведено при 9366 постменопаузални жени с операбилен карцином на млечната жлеза, получавали адювантна терапия в продължение на 5 години </w:t>
      </w:r>
      <w:r w:rsidRPr="007122AD">
        <w:rPr>
          <w:rFonts w:eastAsia="Times New Roman" w:cs="Arial"/>
          <w:color w:val="000000"/>
          <w:szCs w:val="24"/>
          <w:lang w:val="ru-RU"/>
        </w:rPr>
        <w:t>(</w:t>
      </w:r>
      <w:proofErr w:type="spellStart"/>
      <w:r w:rsidRPr="007122AD">
        <w:rPr>
          <w:rFonts w:eastAsia="Times New Roman" w:cs="Arial"/>
          <w:color w:val="000000"/>
          <w:szCs w:val="24"/>
          <w:lang w:val="en-US"/>
        </w:rPr>
        <w:t>Arimidex</w:t>
      </w:r>
      <w:proofErr w:type="spellEnd"/>
      <w:r w:rsidRPr="007122AD">
        <w:rPr>
          <w:rFonts w:eastAsia="Times New Roman" w:cs="Arial"/>
          <w:color w:val="000000"/>
          <w:szCs w:val="24"/>
          <w:lang w:val="ru-RU"/>
        </w:rPr>
        <w:t xml:space="preserve">, </w:t>
      </w:r>
      <w:r w:rsidRPr="007122AD">
        <w:rPr>
          <w:rFonts w:eastAsia="Times New Roman" w:cs="Arial"/>
          <w:color w:val="000000"/>
          <w:szCs w:val="24"/>
          <w:lang w:val="en-US"/>
        </w:rPr>
        <w:t>Tamoxifen</w:t>
      </w:r>
      <w:r w:rsidRPr="007122AD">
        <w:rPr>
          <w:rFonts w:eastAsia="Times New Roman" w:cs="Arial"/>
          <w:color w:val="000000"/>
          <w:szCs w:val="24"/>
          <w:lang w:val="ru-RU"/>
        </w:rPr>
        <w:t xml:space="preserve">, </w:t>
      </w:r>
      <w:r w:rsidRPr="007122AD">
        <w:rPr>
          <w:rFonts w:eastAsia="Times New Roman" w:cs="Arial"/>
          <w:color w:val="000000"/>
          <w:szCs w:val="24"/>
          <w:lang w:val="en-US"/>
        </w:rPr>
        <w:t>Alone</w:t>
      </w:r>
      <w:r w:rsidRPr="007122AD">
        <w:rPr>
          <w:rFonts w:eastAsia="Times New Roman" w:cs="Arial"/>
          <w:color w:val="000000"/>
          <w:szCs w:val="24"/>
          <w:lang w:val="ru-RU"/>
        </w:rPr>
        <w:t xml:space="preserve"> </w:t>
      </w:r>
      <w:r w:rsidRPr="007122AD">
        <w:rPr>
          <w:rFonts w:eastAsia="Times New Roman" w:cs="Arial"/>
          <w:color w:val="000000"/>
          <w:szCs w:val="24"/>
          <w:lang w:val="en-US"/>
        </w:rPr>
        <w:t>or</w:t>
      </w:r>
      <w:r w:rsidRPr="007122AD">
        <w:rPr>
          <w:rFonts w:eastAsia="Times New Roman" w:cs="Arial"/>
          <w:color w:val="000000"/>
          <w:szCs w:val="24"/>
          <w:lang w:val="ru-RU"/>
        </w:rPr>
        <w:t xml:space="preserve"> </w:t>
      </w:r>
      <w:r w:rsidRPr="007122AD">
        <w:rPr>
          <w:rFonts w:eastAsia="Times New Roman" w:cs="Arial"/>
          <w:color w:val="000000"/>
          <w:szCs w:val="24"/>
          <w:lang w:val="en-US"/>
        </w:rPr>
        <w:t>in</w:t>
      </w:r>
      <w:r w:rsidRPr="007122AD">
        <w:rPr>
          <w:rFonts w:eastAsia="Times New Roman" w:cs="Arial"/>
          <w:color w:val="000000"/>
          <w:szCs w:val="24"/>
          <w:lang w:val="ru-RU"/>
        </w:rPr>
        <w:t xml:space="preserve"> </w:t>
      </w:r>
      <w:r w:rsidRPr="007122AD">
        <w:rPr>
          <w:rFonts w:eastAsia="Times New Roman" w:cs="Arial"/>
          <w:color w:val="000000"/>
          <w:szCs w:val="24"/>
          <w:lang w:val="en-US"/>
        </w:rPr>
        <w:t>Combination</w:t>
      </w:r>
      <w:r w:rsidRPr="007122AD">
        <w:rPr>
          <w:rFonts w:eastAsia="Times New Roman" w:cs="Arial"/>
          <w:color w:val="000000"/>
          <w:szCs w:val="24"/>
          <w:lang w:val="ru-RU"/>
        </w:rPr>
        <w:t xml:space="preserve"> [</w:t>
      </w:r>
      <w:r w:rsidRPr="007122AD">
        <w:rPr>
          <w:rFonts w:eastAsia="Times New Roman" w:cs="Arial"/>
          <w:color w:val="000000"/>
          <w:szCs w:val="24"/>
          <w:lang w:val="en-US"/>
        </w:rPr>
        <w:t>ATAC</w:t>
      </w:r>
      <w:r w:rsidRPr="007122AD">
        <w:rPr>
          <w:rFonts w:eastAsia="Times New Roman" w:cs="Arial"/>
          <w:color w:val="000000"/>
          <w:szCs w:val="24"/>
          <w:lang w:val="ru-RU"/>
        </w:rPr>
        <w:t xml:space="preserve">] </w:t>
      </w:r>
      <w:r w:rsidRPr="007122AD">
        <w:rPr>
          <w:rFonts w:eastAsia="Times New Roman" w:cs="Arial"/>
          <w:color w:val="000000"/>
          <w:szCs w:val="24"/>
          <w:lang w:eastAsia="bg-BG"/>
        </w:rPr>
        <w:t>проучване).</w:t>
      </w:r>
    </w:p>
    <w:p w14:paraId="7C858791" w14:textId="77777777" w:rsidR="007122AD" w:rsidRPr="007122AD" w:rsidRDefault="007122AD" w:rsidP="007122AD">
      <w:pPr>
        <w:rPr>
          <w:rFonts w:eastAsia="Times New Roman" w:cs="Arial"/>
          <w:color w:val="000000"/>
          <w:szCs w:val="24"/>
          <w:lang w:eastAsia="bg-BG"/>
        </w:rPr>
      </w:pPr>
    </w:p>
    <w:p w14:paraId="40FBADC5" w14:textId="29AEB698" w:rsidR="007122AD" w:rsidRPr="007122AD" w:rsidRDefault="007122AD" w:rsidP="007122AD">
      <w:pPr>
        <w:rPr>
          <w:rFonts w:eastAsia="Times New Roman" w:cs="Arial"/>
          <w:color w:val="000000"/>
          <w:szCs w:val="24"/>
          <w:lang w:eastAsia="bg-BG"/>
        </w:rPr>
      </w:pPr>
      <w:r w:rsidRPr="007122AD">
        <w:rPr>
          <w:rFonts w:eastAsia="Times New Roman" w:cs="Arial"/>
          <w:color w:val="000000"/>
          <w:szCs w:val="24"/>
          <w:lang w:eastAsia="bg-BG"/>
        </w:rPr>
        <w:t>Нежеланите реакции, представени по-долу са класифицирани по честота и</w:t>
      </w:r>
      <w:r w:rsidRPr="007122AD">
        <w:rPr>
          <w:rFonts w:eastAsia="Times New Roman" w:cs="Arial"/>
          <w:i/>
          <w:iCs/>
          <w:color w:val="000000"/>
          <w:szCs w:val="24"/>
          <w:lang w:eastAsia="bg-BG"/>
        </w:rPr>
        <w:t xml:space="preserve"> </w:t>
      </w:r>
      <w:r w:rsidRPr="007122AD">
        <w:rPr>
          <w:rFonts w:eastAsia="Times New Roman" w:cs="Arial"/>
          <w:color w:val="000000"/>
          <w:szCs w:val="24"/>
          <w:lang w:eastAsia="bg-BG"/>
        </w:rPr>
        <w:t>системо-органен клас (СОК). Честотите са дефинирани в съответсвие със следната конвенция: много чести (≥1/10), чести ≥1/100 до &lt;1/10), нечести (≥1/1 000 до &lt; 1/100), редки (≥1/10 000 до &lt;1/1 000) и много редки (&lt;1/10 000), Най- често докладваните нежелани реакции са главоболие, горещи вълни, гадене обрив, артралгия, скованост на ставите, артрит и астения.</w:t>
      </w:r>
    </w:p>
    <w:p w14:paraId="2E9FB4DE" w14:textId="3FEA85B6" w:rsidR="007122AD" w:rsidRPr="007122AD" w:rsidRDefault="007122AD" w:rsidP="007122AD">
      <w:pPr>
        <w:rPr>
          <w:rFonts w:eastAsia="Times New Roman" w:cs="Arial"/>
          <w:color w:val="000000"/>
          <w:szCs w:val="24"/>
          <w:lang w:eastAsia="bg-BG"/>
        </w:rPr>
      </w:pPr>
    </w:p>
    <w:p w14:paraId="1484FA2E" w14:textId="77777777" w:rsidR="007122AD" w:rsidRPr="007122AD" w:rsidRDefault="007122AD" w:rsidP="007122AD">
      <w:pPr>
        <w:spacing w:line="240" w:lineRule="auto"/>
        <w:rPr>
          <w:rFonts w:eastAsia="Times New Roman" w:cs="Arial"/>
          <w:szCs w:val="24"/>
        </w:rPr>
      </w:pPr>
      <w:r w:rsidRPr="007122AD">
        <w:rPr>
          <w:rFonts w:eastAsia="Times New Roman" w:cs="Arial"/>
          <w:b/>
          <w:bCs/>
          <w:color w:val="000000"/>
          <w:szCs w:val="24"/>
          <w:lang w:eastAsia="bg-BG"/>
        </w:rPr>
        <w:t>Таблица 1 Нежелани лекарствени реакции по системо-органен клас и честота</w:t>
      </w:r>
    </w:p>
    <w:tbl>
      <w:tblPr>
        <w:tblStyle w:val="TableGrid"/>
        <w:tblW w:w="0" w:type="auto"/>
        <w:tblLook w:val="04A0" w:firstRow="1" w:lastRow="0" w:firstColumn="1" w:lastColumn="0" w:noHBand="0" w:noVBand="1"/>
      </w:tblPr>
      <w:tblGrid>
        <w:gridCol w:w="3055"/>
        <w:gridCol w:w="2947"/>
        <w:gridCol w:w="3348"/>
      </w:tblGrid>
      <w:tr w:rsidR="007122AD" w14:paraId="632366EB" w14:textId="77777777" w:rsidTr="00653CF0">
        <w:tc>
          <w:tcPr>
            <w:tcW w:w="9576" w:type="dxa"/>
            <w:gridSpan w:val="3"/>
          </w:tcPr>
          <w:p w14:paraId="2234EAE0" w14:textId="383B273D" w:rsidR="007122AD" w:rsidRPr="007122AD" w:rsidRDefault="007122AD" w:rsidP="007122AD">
            <w:pPr>
              <w:jc w:val="center"/>
              <w:rPr>
                <w:b/>
              </w:rPr>
            </w:pPr>
            <w:r w:rsidRPr="007122AD">
              <w:rPr>
                <w:b/>
                <w:lang w:eastAsia="bg-BG"/>
              </w:rPr>
              <w:t>Нежелани лекарствени реакции по СОК и честота</w:t>
            </w:r>
          </w:p>
        </w:tc>
      </w:tr>
      <w:tr w:rsidR="007122AD" w14:paraId="0ECAEE9C" w14:textId="77777777" w:rsidTr="007122AD">
        <w:tc>
          <w:tcPr>
            <w:tcW w:w="3136" w:type="dxa"/>
            <w:vMerge w:val="restart"/>
          </w:tcPr>
          <w:p w14:paraId="60303384" w14:textId="2EEDF7D2" w:rsidR="007122AD" w:rsidRPr="007122AD" w:rsidRDefault="007122AD" w:rsidP="007122AD">
            <w:r w:rsidRPr="007122AD">
              <w:rPr>
                <w:szCs w:val="20"/>
              </w:rPr>
              <w:t>Нарушения на метаболизма и храненето</w:t>
            </w:r>
          </w:p>
        </w:tc>
        <w:tc>
          <w:tcPr>
            <w:tcW w:w="3092" w:type="dxa"/>
          </w:tcPr>
          <w:p w14:paraId="3435293E" w14:textId="7A48F107" w:rsidR="007122AD" w:rsidRPr="007122AD" w:rsidRDefault="007122AD" w:rsidP="007122AD">
            <w:r w:rsidRPr="007122AD">
              <w:rPr>
                <w:szCs w:val="20"/>
              </w:rPr>
              <w:t>Чести</w:t>
            </w:r>
          </w:p>
        </w:tc>
        <w:tc>
          <w:tcPr>
            <w:tcW w:w="3348" w:type="dxa"/>
          </w:tcPr>
          <w:p w14:paraId="5B538D28" w14:textId="77777777" w:rsidR="007122AD" w:rsidRPr="007122AD" w:rsidRDefault="007122AD" w:rsidP="007122AD">
            <w:r w:rsidRPr="007122AD">
              <w:rPr>
                <w:szCs w:val="20"/>
              </w:rPr>
              <w:t>Анорексия</w:t>
            </w:r>
          </w:p>
          <w:p w14:paraId="767C04A4" w14:textId="2F5B1BDD" w:rsidR="007122AD" w:rsidRPr="007122AD" w:rsidRDefault="007122AD" w:rsidP="007122AD">
            <w:r w:rsidRPr="007122AD">
              <w:rPr>
                <w:szCs w:val="20"/>
              </w:rPr>
              <w:t>Xиперхолестеролемия</w:t>
            </w:r>
          </w:p>
        </w:tc>
      </w:tr>
      <w:tr w:rsidR="007122AD" w14:paraId="5168C533" w14:textId="77777777" w:rsidTr="007122AD">
        <w:tc>
          <w:tcPr>
            <w:tcW w:w="3136" w:type="dxa"/>
            <w:vMerge/>
          </w:tcPr>
          <w:p w14:paraId="1A3080DC" w14:textId="77777777" w:rsidR="007122AD" w:rsidRPr="007122AD" w:rsidRDefault="007122AD" w:rsidP="007122AD"/>
        </w:tc>
        <w:tc>
          <w:tcPr>
            <w:tcW w:w="3092" w:type="dxa"/>
          </w:tcPr>
          <w:p w14:paraId="51CC3583" w14:textId="5548A914" w:rsidR="007122AD" w:rsidRPr="007122AD" w:rsidRDefault="007122AD" w:rsidP="007122AD">
            <w:r w:rsidRPr="007122AD">
              <w:rPr>
                <w:szCs w:val="20"/>
              </w:rPr>
              <w:t>Нечести</w:t>
            </w:r>
          </w:p>
        </w:tc>
        <w:tc>
          <w:tcPr>
            <w:tcW w:w="3348" w:type="dxa"/>
          </w:tcPr>
          <w:p w14:paraId="222DC845" w14:textId="5F8B3C28" w:rsidR="007122AD" w:rsidRPr="007122AD" w:rsidRDefault="007122AD" w:rsidP="007122AD">
            <w:r w:rsidRPr="007122AD">
              <w:rPr>
                <w:szCs w:val="20"/>
              </w:rPr>
              <w:t>Хиперкалцемия (с или без увеличение на паратироидния хормон)</w:t>
            </w:r>
          </w:p>
        </w:tc>
      </w:tr>
      <w:tr w:rsidR="007122AD" w14:paraId="47F57A0F" w14:textId="77777777" w:rsidTr="007122AD">
        <w:tc>
          <w:tcPr>
            <w:tcW w:w="3136" w:type="dxa"/>
            <w:vMerge w:val="restart"/>
          </w:tcPr>
          <w:p w14:paraId="3B620FF7" w14:textId="7B8FA6D7" w:rsidR="007122AD" w:rsidRPr="007122AD" w:rsidRDefault="007122AD" w:rsidP="007122AD">
            <w:r w:rsidRPr="007122AD">
              <w:rPr>
                <w:szCs w:val="20"/>
              </w:rPr>
              <w:t>Нарушения на нервната система</w:t>
            </w:r>
          </w:p>
        </w:tc>
        <w:tc>
          <w:tcPr>
            <w:tcW w:w="3092" w:type="dxa"/>
          </w:tcPr>
          <w:p w14:paraId="3C0B59C9" w14:textId="51007DEA" w:rsidR="007122AD" w:rsidRPr="007122AD" w:rsidRDefault="007122AD" w:rsidP="007122AD">
            <w:r w:rsidRPr="007122AD">
              <w:rPr>
                <w:szCs w:val="20"/>
              </w:rPr>
              <w:t>Много чести</w:t>
            </w:r>
          </w:p>
        </w:tc>
        <w:tc>
          <w:tcPr>
            <w:tcW w:w="3348" w:type="dxa"/>
          </w:tcPr>
          <w:p w14:paraId="1A8052CE" w14:textId="1AEB64EF" w:rsidR="007122AD" w:rsidRPr="007122AD" w:rsidRDefault="007122AD" w:rsidP="007122AD">
            <w:r w:rsidRPr="007122AD">
              <w:rPr>
                <w:szCs w:val="20"/>
              </w:rPr>
              <w:t>Главоболие</w:t>
            </w:r>
          </w:p>
        </w:tc>
      </w:tr>
      <w:tr w:rsidR="007122AD" w14:paraId="1136D994" w14:textId="77777777" w:rsidTr="007122AD">
        <w:tc>
          <w:tcPr>
            <w:tcW w:w="3136" w:type="dxa"/>
            <w:vMerge/>
          </w:tcPr>
          <w:p w14:paraId="2F586765" w14:textId="77777777" w:rsidR="007122AD" w:rsidRPr="007122AD" w:rsidRDefault="007122AD" w:rsidP="007122AD"/>
        </w:tc>
        <w:tc>
          <w:tcPr>
            <w:tcW w:w="3092" w:type="dxa"/>
          </w:tcPr>
          <w:p w14:paraId="6D834E47" w14:textId="538BE004" w:rsidR="007122AD" w:rsidRPr="007122AD" w:rsidRDefault="007122AD" w:rsidP="007122AD">
            <w:r w:rsidRPr="007122AD">
              <w:rPr>
                <w:szCs w:val="20"/>
              </w:rPr>
              <w:t>Чести</w:t>
            </w:r>
          </w:p>
        </w:tc>
        <w:tc>
          <w:tcPr>
            <w:tcW w:w="3348" w:type="dxa"/>
          </w:tcPr>
          <w:p w14:paraId="381DE653" w14:textId="77777777" w:rsidR="007122AD" w:rsidRPr="007122AD" w:rsidRDefault="007122AD" w:rsidP="007122AD">
            <w:r w:rsidRPr="007122AD">
              <w:rPr>
                <w:szCs w:val="20"/>
              </w:rPr>
              <w:t>Сомнолентност</w:t>
            </w:r>
          </w:p>
          <w:p w14:paraId="615EE9A9" w14:textId="6E19D511" w:rsidR="007122AD" w:rsidRPr="007122AD" w:rsidRDefault="007122AD" w:rsidP="007122AD">
            <w:r w:rsidRPr="007122AD">
              <w:rPr>
                <w:szCs w:val="20"/>
              </w:rPr>
              <w:t>Синдром на карпалния канал* Сензорни нарушения (включително парестезия, загуба на вкуса и дисгеусия (нарушение на вкус).</w:t>
            </w:r>
          </w:p>
        </w:tc>
      </w:tr>
      <w:tr w:rsidR="007122AD" w14:paraId="4BBE9636" w14:textId="77777777" w:rsidTr="007122AD">
        <w:tc>
          <w:tcPr>
            <w:tcW w:w="3136" w:type="dxa"/>
          </w:tcPr>
          <w:p w14:paraId="0045CCCD" w14:textId="700FE1FD" w:rsidR="007122AD" w:rsidRPr="007122AD" w:rsidRDefault="007122AD" w:rsidP="007122AD">
            <w:r w:rsidRPr="007122AD">
              <w:rPr>
                <w:szCs w:val="20"/>
              </w:rPr>
              <w:t>Съдови нарушения</w:t>
            </w:r>
          </w:p>
        </w:tc>
        <w:tc>
          <w:tcPr>
            <w:tcW w:w="3092" w:type="dxa"/>
          </w:tcPr>
          <w:p w14:paraId="10CE7345" w14:textId="2C5D87A5" w:rsidR="007122AD" w:rsidRPr="007122AD" w:rsidRDefault="007122AD" w:rsidP="007122AD">
            <w:r w:rsidRPr="007122AD">
              <w:rPr>
                <w:szCs w:val="20"/>
              </w:rPr>
              <w:t>Много чести</w:t>
            </w:r>
          </w:p>
        </w:tc>
        <w:tc>
          <w:tcPr>
            <w:tcW w:w="3348" w:type="dxa"/>
          </w:tcPr>
          <w:p w14:paraId="5B28EAA5" w14:textId="1B298B9A" w:rsidR="007122AD" w:rsidRPr="007122AD" w:rsidRDefault="007122AD" w:rsidP="007122AD">
            <w:r w:rsidRPr="007122AD">
              <w:rPr>
                <w:szCs w:val="20"/>
              </w:rPr>
              <w:t>Горещи вълни</w:t>
            </w:r>
          </w:p>
        </w:tc>
      </w:tr>
      <w:tr w:rsidR="007122AD" w14:paraId="091FF968" w14:textId="77777777" w:rsidTr="007122AD">
        <w:tc>
          <w:tcPr>
            <w:tcW w:w="3136" w:type="dxa"/>
            <w:vMerge w:val="restart"/>
          </w:tcPr>
          <w:p w14:paraId="6995729A" w14:textId="23DD5170" w:rsidR="007122AD" w:rsidRPr="007122AD" w:rsidRDefault="007122AD" w:rsidP="007122AD">
            <w:r w:rsidRPr="007122AD">
              <w:rPr>
                <w:szCs w:val="20"/>
              </w:rPr>
              <w:t>Стомашно-чревни нарушения</w:t>
            </w:r>
          </w:p>
        </w:tc>
        <w:tc>
          <w:tcPr>
            <w:tcW w:w="3092" w:type="dxa"/>
          </w:tcPr>
          <w:p w14:paraId="255A67BF" w14:textId="7C89FBE4" w:rsidR="007122AD" w:rsidRPr="007122AD" w:rsidRDefault="007122AD" w:rsidP="007122AD">
            <w:r w:rsidRPr="007122AD">
              <w:rPr>
                <w:szCs w:val="20"/>
              </w:rPr>
              <w:t>Много чести</w:t>
            </w:r>
          </w:p>
        </w:tc>
        <w:tc>
          <w:tcPr>
            <w:tcW w:w="3348" w:type="dxa"/>
          </w:tcPr>
          <w:p w14:paraId="184AD026" w14:textId="54916199" w:rsidR="007122AD" w:rsidRPr="007122AD" w:rsidRDefault="007122AD" w:rsidP="007122AD">
            <w:r w:rsidRPr="007122AD">
              <w:rPr>
                <w:szCs w:val="20"/>
              </w:rPr>
              <w:t>Гадене</w:t>
            </w:r>
          </w:p>
        </w:tc>
      </w:tr>
      <w:tr w:rsidR="007122AD" w14:paraId="68A9CBC6" w14:textId="77777777" w:rsidTr="007122AD">
        <w:tc>
          <w:tcPr>
            <w:tcW w:w="3136" w:type="dxa"/>
            <w:vMerge/>
          </w:tcPr>
          <w:p w14:paraId="2AAFB5B7" w14:textId="77777777" w:rsidR="007122AD" w:rsidRPr="007122AD" w:rsidRDefault="007122AD" w:rsidP="007122AD"/>
        </w:tc>
        <w:tc>
          <w:tcPr>
            <w:tcW w:w="3092" w:type="dxa"/>
          </w:tcPr>
          <w:p w14:paraId="31DB0A65" w14:textId="685A0984" w:rsidR="007122AD" w:rsidRPr="007122AD" w:rsidRDefault="007122AD" w:rsidP="007122AD">
            <w:r w:rsidRPr="007122AD">
              <w:rPr>
                <w:szCs w:val="20"/>
              </w:rPr>
              <w:t>Чести</w:t>
            </w:r>
          </w:p>
        </w:tc>
        <w:tc>
          <w:tcPr>
            <w:tcW w:w="3348" w:type="dxa"/>
          </w:tcPr>
          <w:p w14:paraId="3B2A8129" w14:textId="612BEC1C" w:rsidR="007122AD" w:rsidRPr="007122AD" w:rsidRDefault="007122AD" w:rsidP="007122AD">
            <w:r w:rsidRPr="007122AD">
              <w:rPr>
                <w:szCs w:val="20"/>
              </w:rPr>
              <w:t>Диария Повръщане</w:t>
            </w:r>
          </w:p>
        </w:tc>
      </w:tr>
      <w:tr w:rsidR="007122AD" w14:paraId="5C162596" w14:textId="77777777" w:rsidTr="007122AD">
        <w:tc>
          <w:tcPr>
            <w:tcW w:w="3136" w:type="dxa"/>
            <w:vMerge w:val="restart"/>
          </w:tcPr>
          <w:p w14:paraId="54FB4884" w14:textId="6B7F8853" w:rsidR="007122AD" w:rsidRPr="007122AD" w:rsidRDefault="007122AD" w:rsidP="007122AD">
            <w:r w:rsidRPr="007122AD">
              <w:rPr>
                <w:szCs w:val="20"/>
              </w:rPr>
              <w:t>Хепатобилиарни нарушения</w:t>
            </w:r>
          </w:p>
        </w:tc>
        <w:tc>
          <w:tcPr>
            <w:tcW w:w="3092" w:type="dxa"/>
          </w:tcPr>
          <w:p w14:paraId="4719C4C6" w14:textId="169DCEEB" w:rsidR="007122AD" w:rsidRPr="007122AD" w:rsidRDefault="007122AD" w:rsidP="007122AD">
            <w:r w:rsidRPr="007122AD">
              <w:rPr>
                <w:szCs w:val="20"/>
              </w:rPr>
              <w:t>Чести</w:t>
            </w:r>
          </w:p>
        </w:tc>
        <w:tc>
          <w:tcPr>
            <w:tcW w:w="3348" w:type="dxa"/>
          </w:tcPr>
          <w:p w14:paraId="429EAB15" w14:textId="3F17BD1A" w:rsidR="007122AD" w:rsidRPr="007122AD" w:rsidRDefault="007122AD" w:rsidP="007122AD">
            <w:r w:rsidRPr="007122AD">
              <w:rPr>
                <w:szCs w:val="20"/>
              </w:rPr>
              <w:t>Повишаване на алкалната фосфатаза, аланинаминотрансферазата и аспартатаминотрансферазата</w:t>
            </w:r>
          </w:p>
        </w:tc>
      </w:tr>
      <w:tr w:rsidR="007122AD" w14:paraId="755562CB" w14:textId="77777777" w:rsidTr="007122AD">
        <w:tc>
          <w:tcPr>
            <w:tcW w:w="3136" w:type="dxa"/>
            <w:vMerge/>
          </w:tcPr>
          <w:p w14:paraId="58ACC6FA" w14:textId="77777777" w:rsidR="007122AD" w:rsidRPr="007122AD" w:rsidRDefault="007122AD" w:rsidP="007122AD"/>
        </w:tc>
        <w:tc>
          <w:tcPr>
            <w:tcW w:w="3092" w:type="dxa"/>
          </w:tcPr>
          <w:p w14:paraId="775A5CB4" w14:textId="0CBE5CF9" w:rsidR="007122AD" w:rsidRPr="007122AD" w:rsidRDefault="007122AD" w:rsidP="007122AD">
            <w:r w:rsidRPr="007122AD">
              <w:rPr>
                <w:szCs w:val="20"/>
              </w:rPr>
              <w:t>Нечести</w:t>
            </w:r>
          </w:p>
        </w:tc>
        <w:tc>
          <w:tcPr>
            <w:tcW w:w="3348" w:type="dxa"/>
          </w:tcPr>
          <w:p w14:paraId="60A35734" w14:textId="7E017DB7" w:rsidR="007122AD" w:rsidRPr="007122AD" w:rsidRDefault="007122AD" w:rsidP="007122AD">
            <w:r w:rsidRPr="007122AD">
              <w:rPr>
                <w:szCs w:val="20"/>
              </w:rPr>
              <w:t>Повишаване на гама</w:t>
            </w:r>
            <w:r w:rsidRPr="007122AD">
              <w:rPr>
                <w:szCs w:val="20"/>
                <w:lang w:val="ru-RU"/>
              </w:rPr>
              <w:t>-</w:t>
            </w:r>
            <w:r w:rsidRPr="007122AD">
              <w:rPr>
                <w:szCs w:val="20"/>
                <w:lang w:val="en-US"/>
              </w:rPr>
              <w:t>GT</w:t>
            </w:r>
            <w:r w:rsidRPr="007122AD">
              <w:rPr>
                <w:szCs w:val="20"/>
                <w:lang w:val="ru-RU"/>
              </w:rPr>
              <w:t xml:space="preserve"> </w:t>
            </w:r>
            <w:r w:rsidRPr="007122AD">
              <w:rPr>
                <w:szCs w:val="20"/>
              </w:rPr>
              <w:t>и билирубина Хепатит</w:t>
            </w:r>
          </w:p>
        </w:tc>
      </w:tr>
      <w:tr w:rsidR="007122AD" w14:paraId="0F081FD7" w14:textId="77777777" w:rsidTr="007122AD">
        <w:tc>
          <w:tcPr>
            <w:tcW w:w="3136" w:type="dxa"/>
            <w:vMerge w:val="restart"/>
          </w:tcPr>
          <w:p w14:paraId="67BBFE14" w14:textId="1A40DDB4" w:rsidR="007122AD" w:rsidRPr="007122AD" w:rsidRDefault="007122AD" w:rsidP="007122AD">
            <w:r w:rsidRPr="007122AD">
              <w:rPr>
                <w:szCs w:val="20"/>
              </w:rPr>
              <w:t>Нарушения на кожата и подкожната тъкан</w:t>
            </w:r>
          </w:p>
        </w:tc>
        <w:tc>
          <w:tcPr>
            <w:tcW w:w="3092" w:type="dxa"/>
          </w:tcPr>
          <w:p w14:paraId="320F3AAE" w14:textId="4585FE8F" w:rsidR="007122AD" w:rsidRPr="007122AD" w:rsidRDefault="007122AD" w:rsidP="007122AD">
            <w:r w:rsidRPr="007122AD">
              <w:rPr>
                <w:szCs w:val="20"/>
              </w:rPr>
              <w:t>Много чести</w:t>
            </w:r>
          </w:p>
        </w:tc>
        <w:tc>
          <w:tcPr>
            <w:tcW w:w="3348" w:type="dxa"/>
          </w:tcPr>
          <w:p w14:paraId="0D4AF0E4" w14:textId="40838852" w:rsidR="007122AD" w:rsidRPr="007122AD" w:rsidRDefault="007122AD" w:rsidP="007122AD">
            <w:r w:rsidRPr="007122AD">
              <w:rPr>
                <w:szCs w:val="20"/>
              </w:rPr>
              <w:t>Обрив</w:t>
            </w:r>
          </w:p>
        </w:tc>
      </w:tr>
      <w:tr w:rsidR="007122AD" w14:paraId="736E3AB8" w14:textId="77777777" w:rsidTr="007122AD">
        <w:tc>
          <w:tcPr>
            <w:tcW w:w="3136" w:type="dxa"/>
            <w:vMerge/>
          </w:tcPr>
          <w:p w14:paraId="45BA39BF" w14:textId="77777777" w:rsidR="007122AD" w:rsidRPr="007122AD" w:rsidRDefault="007122AD" w:rsidP="007122AD"/>
        </w:tc>
        <w:tc>
          <w:tcPr>
            <w:tcW w:w="3092" w:type="dxa"/>
          </w:tcPr>
          <w:p w14:paraId="14462889" w14:textId="11117980" w:rsidR="007122AD" w:rsidRPr="007122AD" w:rsidRDefault="007122AD" w:rsidP="007122AD">
            <w:r w:rsidRPr="007122AD">
              <w:rPr>
                <w:szCs w:val="20"/>
              </w:rPr>
              <w:t>Чести</w:t>
            </w:r>
          </w:p>
        </w:tc>
        <w:tc>
          <w:tcPr>
            <w:tcW w:w="3348" w:type="dxa"/>
          </w:tcPr>
          <w:p w14:paraId="666ED074" w14:textId="77777777" w:rsidR="007122AD" w:rsidRPr="007122AD" w:rsidRDefault="007122AD" w:rsidP="007122AD">
            <w:r w:rsidRPr="007122AD">
              <w:rPr>
                <w:szCs w:val="20"/>
              </w:rPr>
              <w:t>Косопад (алопеция)</w:t>
            </w:r>
          </w:p>
          <w:p w14:paraId="628DC292" w14:textId="443FF1BE" w:rsidR="007122AD" w:rsidRPr="007122AD" w:rsidRDefault="007122AD" w:rsidP="007122AD">
            <w:r w:rsidRPr="007122AD">
              <w:rPr>
                <w:szCs w:val="20"/>
              </w:rPr>
              <w:t>Алергична реакция</w:t>
            </w:r>
          </w:p>
        </w:tc>
      </w:tr>
      <w:tr w:rsidR="007122AD" w14:paraId="5E35A02B" w14:textId="77777777" w:rsidTr="007122AD">
        <w:tc>
          <w:tcPr>
            <w:tcW w:w="3136" w:type="dxa"/>
            <w:vMerge/>
          </w:tcPr>
          <w:p w14:paraId="66CFA352" w14:textId="77777777" w:rsidR="007122AD" w:rsidRPr="007122AD" w:rsidRDefault="007122AD" w:rsidP="007122AD"/>
        </w:tc>
        <w:tc>
          <w:tcPr>
            <w:tcW w:w="3092" w:type="dxa"/>
          </w:tcPr>
          <w:p w14:paraId="46B97201" w14:textId="6429ECAC" w:rsidR="007122AD" w:rsidRPr="007122AD" w:rsidRDefault="007122AD" w:rsidP="007122AD">
            <w:r w:rsidRPr="007122AD">
              <w:rPr>
                <w:szCs w:val="20"/>
              </w:rPr>
              <w:t>Нечести</w:t>
            </w:r>
          </w:p>
        </w:tc>
        <w:tc>
          <w:tcPr>
            <w:tcW w:w="3348" w:type="dxa"/>
          </w:tcPr>
          <w:p w14:paraId="53577BCF" w14:textId="37697CD8" w:rsidR="007122AD" w:rsidRPr="007122AD" w:rsidRDefault="007122AD" w:rsidP="007122AD">
            <w:r w:rsidRPr="007122AD">
              <w:rPr>
                <w:szCs w:val="20"/>
              </w:rPr>
              <w:t>Уртикария</w:t>
            </w:r>
          </w:p>
        </w:tc>
      </w:tr>
      <w:tr w:rsidR="007122AD" w14:paraId="107EE229" w14:textId="77777777" w:rsidTr="007122AD">
        <w:tc>
          <w:tcPr>
            <w:tcW w:w="3136" w:type="dxa"/>
            <w:vMerge/>
          </w:tcPr>
          <w:p w14:paraId="4A4E8802" w14:textId="77777777" w:rsidR="007122AD" w:rsidRPr="007122AD" w:rsidRDefault="007122AD" w:rsidP="007122AD"/>
        </w:tc>
        <w:tc>
          <w:tcPr>
            <w:tcW w:w="3092" w:type="dxa"/>
          </w:tcPr>
          <w:p w14:paraId="41C48E44" w14:textId="64E735B2" w:rsidR="007122AD" w:rsidRPr="007122AD" w:rsidRDefault="007122AD" w:rsidP="007122AD">
            <w:r w:rsidRPr="007122AD">
              <w:rPr>
                <w:szCs w:val="20"/>
              </w:rPr>
              <w:t>Редки</w:t>
            </w:r>
          </w:p>
        </w:tc>
        <w:tc>
          <w:tcPr>
            <w:tcW w:w="3348" w:type="dxa"/>
          </w:tcPr>
          <w:p w14:paraId="1503D598" w14:textId="77777777" w:rsidR="007122AD" w:rsidRPr="007122AD" w:rsidRDefault="007122AD" w:rsidP="007122AD">
            <w:r w:rsidRPr="007122AD">
              <w:rPr>
                <w:szCs w:val="20"/>
              </w:rPr>
              <w:t>Еритема мултиформе Анафилактоидна реакция Кожен васкулит (включително няколко съобщения за пурпура на</w:t>
            </w:r>
          </w:p>
          <w:p w14:paraId="2C92A2DE" w14:textId="4F25D939" w:rsidR="007122AD" w:rsidRPr="007122AD" w:rsidRDefault="007122AD" w:rsidP="007122AD">
            <w:r w:rsidRPr="007122AD">
              <w:rPr>
                <w:szCs w:val="20"/>
                <w:lang w:val="en-US"/>
              </w:rPr>
              <w:t>Henoch-</w:t>
            </w:r>
            <w:proofErr w:type="spellStart"/>
            <w:r w:rsidRPr="007122AD">
              <w:rPr>
                <w:szCs w:val="20"/>
                <w:lang w:val="en-US"/>
              </w:rPr>
              <w:t>Schon</w:t>
            </w:r>
            <w:proofErr w:type="spellEnd"/>
            <w:r w:rsidRPr="007122AD">
              <w:rPr>
                <w:szCs w:val="20"/>
                <w:lang w:val="en-US"/>
              </w:rPr>
              <w:t xml:space="preserve"> </w:t>
            </w:r>
            <w:proofErr w:type="spellStart"/>
            <w:r w:rsidRPr="007122AD">
              <w:rPr>
                <w:szCs w:val="20"/>
                <w:lang w:val="en-US"/>
              </w:rPr>
              <w:t>lein</w:t>
            </w:r>
            <w:proofErr w:type="spellEnd"/>
            <w:r w:rsidRPr="007122AD">
              <w:rPr>
                <w:szCs w:val="20"/>
                <w:lang w:val="en-US"/>
              </w:rPr>
              <w:t xml:space="preserve"> </w:t>
            </w:r>
            <w:r w:rsidRPr="007122AD">
              <w:rPr>
                <w:szCs w:val="20"/>
              </w:rPr>
              <w:t>)**</w:t>
            </w:r>
          </w:p>
        </w:tc>
      </w:tr>
      <w:tr w:rsidR="007122AD" w14:paraId="7CDFA3BB" w14:textId="77777777" w:rsidTr="007122AD">
        <w:tc>
          <w:tcPr>
            <w:tcW w:w="3136" w:type="dxa"/>
            <w:vMerge/>
          </w:tcPr>
          <w:p w14:paraId="6EB70B9E" w14:textId="77777777" w:rsidR="007122AD" w:rsidRPr="007122AD" w:rsidRDefault="007122AD" w:rsidP="007122AD"/>
        </w:tc>
        <w:tc>
          <w:tcPr>
            <w:tcW w:w="3092" w:type="dxa"/>
          </w:tcPr>
          <w:p w14:paraId="7F45AC99" w14:textId="7A0B319A" w:rsidR="007122AD" w:rsidRPr="007122AD" w:rsidRDefault="007122AD" w:rsidP="007122AD">
            <w:r w:rsidRPr="007122AD">
              <w:rPr>
                <w:szCs w:val="20"/>
              </w:rPr>
              <w:t>Много редки</w:t>
            </w:r>
          </w:p>
        </w:tc>
        <w:tc>
          <w:tcPr>
            <w:tcW w:w="3348" w:type="dxa"/>
          </w:tcPr>
          <w:p w14:paraId="2EFB61B2" w14:textId="1A7ACF3E" w:rsidR="007122AD" w:rsidRPr="007122AD" w:rsidRDefault="007122AD" w:rsidP="007122AD">
            <w:r w:rsidRPr="007122AD">
              <w:rPr>
                <w:szCs w:val="20"/>
              </w:rPr>
              <w:t xml:space="preserve">Синдром на </w:t>
            </w:r>
            <w:r w:rsidRPr="007122AD">
              <w:rPr>
                <w:szCs w:val="20"/>
                <w:lang w:val="en-US"/>
              </w:rPr>
              <w:t>Stevens</w:t>
            </w:r>
            <w:r w:rsidRPr="007122AD">
              <w:rPr>
                <w:szCs w:val="20"/>
                <w:lang w:val="ru-RU"/>
              </w:rPr>
              <w:t>-</w:t>
            </w:r>
            <w:r w:rsidRPr="007122AD">
              <w:rPr>
                <w:szCs w:val="20"/>
                <w:lang w:val="en-US"/>
              </w:rPr>
              <w:t>Johnson</w:t>
            </w:r>
            <w:r w:rsidRPr="007122AD">
              <w:rPr>
                <w:szCs w:val="20"/>
                <w:lang w:val="ru-RU"/>
              </w:rPr>
              <w:t xml:space="preserve"> </w:t>
            </w:r>
            <w:r w:rsidRPr="007122AD">
              <w:rPr>
                <w:szCs w:val="20"/>
              </w:rPr>
              <w:t>Ангиодем</w:t>
            </w:r>
          </w:p>
        </w:tc>
      </w:tr>
      <w:tr w:rsidR="007122AD" w14:paraId="4573F157" w14:textId="77777777" w:rsidTr="007122AD">
        <w:tc>
          <w:tcPr>
            <w:tcW w:w="3136" w:type="dxa"/>
            <w:vMerge w:val="restart"/>
          </w:tcPr>
          <w:p w14:paraId="2A99345F" w14:textId="746D3F62" w:rsidR="007122AD" w:rsidRPr="007122AD" w:rsidRDefault="007122AD" w:rsidP="007122AD">
            <w:r w:rsidRPr="007122AD">
              <w:rPr>
                <w:szCs w:val="20"/>
              </w:rPr>
              <w:t>Нарушения на мускулно- скелетната система и съединителната тъкан</w:t>
            </w:r>
          </w:p>
        </w:tc>
        <w:tc>
          <w:tcPr>
            <w:tcW w:w="3092" w:type="dxa"/>
          </w:tcPr>
          <w:p w14:paraId="527AE8AB" w14:textId="1E2585D8" w:rsidR="007122AD" w:rsidRPr="007122AD" w:rsidRDefault="007122AD" w:rsidP="007122AD">
            <w:r w:rsidRPr="007122AD">
              <w:rPr>
                <w:szCs w:val="20"/>
              </w:rPr>
              <w:t>Много чести</w:t>
            </w:r>
          </w:p>
        </w:tc>
        <w:tc>
          <w:tcPr>
            <w:tcW w:w="3348" w:type="dxa"/>
          </w:tcPr>
          <w:p w14:paraId="208C7109" w14:textId="77777777" w:rsidR="007122AD" w:rsidRPr="007122AD" w:rsidRDefault="007122AD" w:rsidP="007122AD">
            <w:r w:rsidRPr="007122AD">
              <w:rPr>
                <w:szCs w:val="20"/>
              </w:rPr>
              <w:t>Артралгия/Скованост на ставите</w:t>
            </w:r>
          </w:p>
          <w:p w14:paraId="46D91746" w14:textId="77777777" w:rsidR="007122AD" w:rsidRPr="007122AD" w:rsidRDefault="007122AD" w:rsidP="007122AD">
            <w:r w:rsidRPr="007122AD">
              <w:rPr>
                <w:szCs w:val="20"/>
              </w:rPr>
              <w:t>Артрит</w:t>
            </w:r>
          </w:p>
          <w:p w14:paraId="503CBEE3" w14:textId="115EAA54" w:rsidR="007122AD" w:rsidRPr="007122AD" w:rsidRDefault="007122AD" w:rsidP="007122AD">
            <w:r w:rsidRPr="007122AD">
              <w:rPr>
                <w:szCs w:val="20"/>
              </w:rPr>
              <w:lastRenderedPageBreak/>
              <w:t>Остеопороза</w:t>
            </w:r>
          </w:p>
        </w:tc>
      </w:tr>
      <w:tr w:rsidR="007122AD" w14:paraId="76DF7694" w14:textId="77777777" w:rsidTr="007122AD">
        <w:tc>
          <w:tcPr>
            <w:tcW w:w="3136" w:type="dxa"/>
            <w:vMerge/>
          </w:tcPr>
          <w:p w14:paraId="0BFE7F82" w14:textId="77777777" w:rsidR="007122AD" w:rsidRPr="007122AD" w:rsidRDefault="007122AD" w:rsidP="007122AD"/>
        </w:tc>
        <w:tc>
          <w:tcPr>
            <w:tcW w:w="3092" w:type="dxa"/>
          </w:tcPr>
          <w:p w14:paraId="3D6E5D18" w14:textId="77B92072" w:rsidR="007122AD" w:rsidRPr="007122AD" w:rsidRDefault="007122AD" w:rsidP="007122AD">
            <w:r w:rsidRPr="007122AD">
              <w:rPr>
                <w:szCs w:val="20"/>
              </w:rPr>
              <w:t>Чести</w:t>
            </w:r>
          </w:p>
        </w:tc>
        <w:tc>
          <w:tcPr>
            <w:tcW w:w="3348" w:type="dxa"/>
          </w:tcPr>
          <w:p w14:paraId="4DF62468" w14:textId="141E9DA4" w:rsidR="007122AD" w:rsidRPr="007122AD" w:rsidRDefault="007122AD" w:rsidP="007122AD">
            <w:r w:rsidRPr="007122AD">
              <w:rPr>
                <w:szCs w:val="20"/>
              </w:rPr>
              <w:t>Костна болка Миалгия</w:t>
            </w:r>
          </w:p>
        </w:tc>
      </w:tr>
      <w:tr w:rsidR="007122AD" w14:paraId="44D43A2C" w14:textId="77777777" w:rsidTr="007122AD">
        <w:tc>
          <w:tcPr>
            <w:tcW w:w="3136" w:type="dxa"/>
            <w:vMerge/>
          </w:tcPr>
          <w:p w14:paraId="75D512EF" w14:textId="77777777" w:rsidR="007122AD" w:rsidRPr="007122AD" w:rsidRDefault="007122AD" w:rsidP="007122AD"/>
        </w:tc>
        <w:tc>
          <w:tcPr>
            <w:tcW w:w="3092" w:type="dxa"/>
          </w:tcPr>
          <w:p w14:paraId="0A444EBE" w14:textId="75926987" w:rsidR="007122AD" w:rsidRPr="007122AD" w:rsidRDefault="007122AD" w:rsidP="007122AD">
            <w:r w:rsidRPr="007122AD">
              <w:rPr>
                <w:szCs w:val="20"/>
              </w:rPr>
              <w:t>Нечести</w:t>
            </w:r>
          </w:p>
        </w:tc>
        <w:tc>
          <w:tcPr>
            <w:tcW w:w="3348" w:type="dxa"/>
          </w:tcPr>
          <w:p w14:paraId="798D827F" w14:textId="0CE74ECA" w:rsidR="007122AD" w:rsidRPr="007122AD" w:rsidRDefault="007122AD" w:rsidP="007122AD">
            <w:r w:rsidRPr="007122AD">
              <w:rPr>
                <w:szCs w:val="20"/>
              </w:rPr>
              <w:t>Щракащ пръст</w:t>
            </w:r>
          </w:p>
        </w:tc>
      </w:tr>
      <w:tr w:rsidR="007122AD" w14:paraId="0ACC65EA" w14:textId="77777777" w:rsidTr="007122AD">
        <w:tc>
          <w:tcPr>
            <w:tcW w:w="3136" w:type="dxa"/>
          </w:tcPr>
          <w:p w14:paraId="1CC88387" w14:textId="20C660D8" w:rsidR="007122AD" w:rsidRPr="007122AD" w:rsidRDefault="007122AD" w:rsidP="007122AD">
            <w:r w:rsidRPr="007122AD">
              <w:rPr>
                <w:szCs w:val="20"/>
              </w:rPr>
              <w:t>Нарушения на възпроизводител ната система и гърдата</w:t>
            </w:r>
          </w:p>
        </w:tc>
        <w:tc>
          <w:tcPr>
            <w:tcW w:w="3092" w:type="dxa"/>
          </w:tcPr>
          <w:p w14:paraId="536A87D7" w14:textId="757E008D" w:rsidR="007122AD" w:rsidRPr="007122AD" w:rsidRDefault="007122AD" w:rsidP="007122AD">
            <w:r w:rsidRPr="007122AD">
              <w:rPr>
                <w:szCs w:val="20"/>
              </w:rPr>
              <w:t>Чести</w:t>
            </w:r>
          </w:p>
        </w:tc>
        <w:tc>
          <w:tcPr>
            <w:tcW w:w="3348" w:type="dxa"/>
          </w:tcPr>
          <w:p w14:paraId="38EA2CFB" w14:textId="7DE8295D" w:rsidR="007122AD" w:rsidRPr="007122AD" w:rsidRDefault="007122AD" w:rsidP="007122AD">
            <w:r w:rsidRPr="007122AD">
              <w:rPr>
                <w:szCs w:val="20"/>
              </w:rPr>
              <w:t>Сухота във влагалището Вагинално кървене***</w:t>
            </w:r>
          </w:p>
        </w:tc>
      </w:tr>
      <w:tr w:rsidR="007122AD" w14:paraId="1F526706" w14:textId="77777777" w:rsidTr="007122AD">
        <w:tc>
          <w:tcPr>
            <w:tcW w:w="3136" w:type="dxa"/>
          </w:tcPr>
          <w:p w14:paraId="5E6E757B" w14:textId="4E87D6A3" w:rsidR="007122AD" w:rsidRPr="007122AD" w:rsidRDefault="007122AD" w:rsidP="007122AD">
            <w:r w:rsidRPr="007122AD">
              <w:rPr>
                <w:szCs w:val="20"/>
              </w:rPr>
              <w:t>Общи нарушения и ефекти на мястото на приложение</w:t>
            </w:r>
          </w:p>
        </w:tc>
        <w:tc>
          <w:tcPr>
            <w:tcW w:w="3092" w:type="dxa"/>
          </w:tcPr>
          <w:p w14:paraId="4E9DE7B8" w14:textId="4C41FCD0" w:rsidR="007122AD" w:rsidRPr="007122AD" w:rsidRDefault="007122AD" w:rsidP="007122AD">
            <w:r w:rsidRPr="007122AD">
              <w:rPr>
                <w:szCs w:val="20"/>
              </w:rPr>
              <w:t>Много чести</w:t>
            </w:r>
          </w:p>
        </w:tc>
        <w:tc>
          <w:tcPr>
            <w:tcW w:w="3348" w:type="dxa"/>
          </w:tcPr>
          <w:p w14:paraId="1ACF573C" w14:textId="1A8C89FC" w:rsidR="007122AD" w:rsidRPr="007122AD" w:rsidRDefault="007122AD" w:rsidP="007122AD">
            <w:r w:rsidRPr="007122AD">
              <w:rPr>
                <w:szCs w:val="20"/>
              </w:rPr>
              <w:t>Астения</w:t>
            </w:r>
          </w:p>
        </w:tc>
      </w:tr>
    </w:tbl>
    <w:p w14:paraId="1828D424" w14:textId="77777777" w:rsidR="007122AD" w:rsidRDefault="007122AD" w:rsidP="007122AD">
      <w:pPr>
        <w:spacing w:line="240" w:lineRule="auto"/>
        <w:rPr>
          <w:rFonts w:eastAsia="Times New Roman" w:cs="Arial"/>
          <w:color w:val="000000"/>
          <w:szCs w:val="24"/>
          <w:lang w:eastAsia="bg-BG"/>
        </w:rPr>
      </w:pPr>
    </w:p>
    <w:p w14:paraId="31A6D6CE" w14:textId="7985AC1D" w:rsidR="007122AD" w:rsidRPr="007122AD" w:rsidRDefault="007122AD" w:rsidP="007122AD">
      <w:pPr>
        <w:spacing w:line="240" w:lineRule="auto"/>
        <w:rPr>
          <w:rFonts w:eastAsia="Times New Roman" w:cs="Arial"/>
          <w:szCs w:val="24"/>
        </w:rPr>
      </w:pPr>
      <w:r>
        <w:rPr>
          <w:rFonts w:eastAsia="Times New Roman" w:cs="Arial"/>
          <w:color w:val="000000"/>
          <w:szCs w:val="24"/>
          <w:lang w:eastAsia="bg-BG"/>
        </w:rPr>
        <w:t>*</w:t>
      </w:r>
      <w:r w:rsidRPr="007122AD">
        <w:rPr>
          <w:rFonts w:eastAsia="Times New Roman" w:cs="Arial"/>
          <w:color w:val="000000"/>
          <w:szCs w:val="24"/>
          <w:lang w:eastAsia="bg-BG"/>
        </w:rPr>
        <w:t>Съобщения за Синдром на карпалния канал са съобщавани при по-голям брой пациенти в клинични проучвания, получаващи терапия с анастрозол, отколкото при тези, получаващи тамоксифен. Въпреки това, повечето от тези събития възникват при пациенти с рискови фактори за възникване на това състояние</w:t>
      </w:r>
    </w:p>
    <w:p w14:paraId="55E0BB83" w14:textId="77777777" w:rsidR="007122AD" w:rsidRPr="007122AD" w:rsidRDefault="007122AD" w:rsidP="007122AD">
      <w:pPr>
        <w:spacing w:line="240" w:lineRule="auto"/>
        <w:rPr>
          <w:rFonts w:eastAsia="Times New Roman" w:cs="Arial"/>
          <w:szCs w:val="24"/>
        </w:rPr>
      </w:pPr>
      <w:r w:rsidRPr="007122AD">
        <w:rPr>
          <w:rFonts w:eastAsia="Times New Roman" w:cs="Arial"/>
          <w:color w:val="000000"/>
          <w:szCs w:val="24"/>
          <w:lang w:eastAsia="bg-BG"/>
        </w:rPr>
        <w:t xml:space="preserve">**Тъй като кожен васкулит и пурпура на </w:t>
      </w:r>
      <w:r w:rsidRPr="007122AD">
        <w:rPr>
          <w:rFonts w:eastAsia="Times New Roman" w:cs="Arial"/>
          <w:color w:val="000000"/>
          <w:szCs w:val="24"/>
          <w:lang w:val="en-US"/>
        </w:rPr>
        <w:t>Henoch</w:t>
      </w:r>
      <w:r w:rsidRPr="007122AD">
        <w:rPr>
          <w:rFonts w:eastAsia="Times New Roman" w:cs="Arial"/>
          <w:color w:val="000000"/>
          <w:szCs w:val="24"/>
          <w:lang w:val="ru-RU"/>
        </w:rPr>
        <w:t>-</w:t>
      </w:r>
      <w:proofErr w:type="spellStart"/>
      <w:r w:rsidRPr="007122AD">
        <w:rPr>
          <w:rFonts w:eastAsia="Times New Roman" w:cs="Arial"/>
          <w:color w:val="000000"/>
          <w:szCs w:val="24"/>
          <w:lang w:val="en-US"/>
        </w:rPr>
        <w:t>Schonlein</w:t>
      </w:r>
      <w:proofErr w:type="spellEnd"/>
      <w:r w:rsidRPr="007122AD">
        <w:rPr>
          <w:rFonts w:eastAsia="Times New Roman" w:cs="Arial"/>
          <w:color w:val="000000"/>
          <w:szCs w:val="24"/>
          <w:lang w:val="ru-RU"/>
        </w:rPr>
        <w:t xml:space="preserve"> </w:t>
      </w:r>
      <w:r w:rsidRPr="007122AD">
        <w:rPr>
          <w:rFonts w:eastAsia="Times New Roman" w:cs="Arial"/>
          <w:color w:val="000000"/>
          <w:szCs w:val="24"/>
          <w:lang w:eastAsia="bg-BG"/>
        </w:rPr>
        <w:t>не са наблюдавани при проучването АТАС, тези нежелани реакции могат да бъдат отнесени към категория „редки“ (≥0,01% и &lt;0,1%) въз основа на най-голямата приблизително оценена стойност.</w:t>
      </w:r>
    </w:p>
    <w:p w14:paraId="29866915" w14:textId="77777777" w:rsidR="007122AD" w:rsidRPr="007122AD" w:rsidRDefault="007122AD" w:rsidP="007122AD">
      <w:pPr>
        <w:spacing w:line="240" w:lineRule="auto"/>
        <w:rPr>
          <w:rFonts w:eastAsia="Times New Roman" w:cs="Arial"/>
          <w:szCs w:val="24"/>
        </w:rPr>
      </w:pPr>
      <w:r w:rsidRPr="007122AD">
        <w:rPr>
          <w:rFonts w:eastAsia="Times New Roman" w:cs="Arial"/>
          <w:color w:val="000000"/>
          <w:szCs w:val="24"/>
          <w:lang w:eastAsia="bg-BG"/>
        </w:rPr>
        <w:t>***Съобщенията за вагиналното кървене са чести, предимно при пациентки с напреднал карцином на гърдата по време на първите няколко седмици след преминаване от хормонална терапия към лечение с анастрозол. Ако кървенето персистира, трябва да се обсъди допълнителна оценка на състоянието.</w:t>
      </w:r>
    </w:p>
    <w:p w14:paraId="18AA1E24" w14:textId="77777777" w:rsidR="007122AD" w:rsidRPr="007122AD" w:rsidRDefault="007122AD" w:rsidP="007122AD">
      <w:pPr>
        <w:spacing w:line="240" w:lineRule="auto"/>
        <w:rPr>
          <w:rFonts w:eastAsia="Times New Roman" w:cs="Arial"/>
          <w:color w:val="000000"/>
          <w:szCs w:val="24"/>
          <w:lang w:eastAsia="bg-BG"/>
        </w:rPr>
      </w:pPr>
    </w:p>
    <w:p w14:paraId="247A11F6" w14:textId="328E5044" w:rsidR="007122AD" w:rsidRPr="007122AD" w:rsidRDefault="007122AD" w:rsidP="007122AD">
      <w:pPr>
        <w:spacing w:line="240" w:lineRule="auto"/>
        <w:rPr>
          <w:rFonts w:eastAsia="Times New Roman" w:cs="Arial"/>
          <w:szCs w:val="24"/>
        </w:rPr>
      </w:pPr>
      <w:r w:rsidRPr="007122AD">
        <w:rPr>
          <w:rFonts w:eastAsia="Times New Roman" w:cs="Arial"/>
          <w:color w:val="000000"/>
          <w:szCs w:val="24"/>
          <w:lang w:eastAsia="bg-BG"/>
        </w:rPr>
        <w:t>Следващата таблица представя честотата на предварително определени нежелани събития в проучването АТАС след медиана на периода на проследяване от 68 месеца, независимо от причинно-следствената връзка, наблюдавани при пациенти получаващи проучваното лечение и до 14 дни след прекратяване на проучваната терапия.</w:t>
      </w:r>
    </w:p>
    <w:p w14:paraId="79545002" w14:textId="77777777" w:rsidR="007122AD" w:rsidRPr="007122AD" w:rsidRDefault="007122AD" w:rsidP="007122AD">
      <w:pPr>
        <w:spacing w:line="240" w:lineRule="auto"/>
        <w:rPr>
          <w:rFonts w:eastAsia="Times New Roman" w:cs="Arial"/>
          <w:b/>
          <w:bCs/>
          <w:color w:val="000000"/>
          <w:szCs w:val="24"/>
          <w:lang w:eastAsia="bg-BG"/>
        </w:rPr>
      </w:pPr>
    </w:p>
    <w:p w14:paraId="7A0FE135" w14:textId="4E3F9C19" w:rsidR="007122AD" w:rsidRPr="007122AD" w:rsidRDefault="007122AD" w:rsidP="007122AD">
      <w:pPr>
        <w:spacing w:line="240" w:lineRule="auto"/>
        <w:rPr>
          <w:rFonts w:eastAsia="Times New Roman" w:cs="Arial"/>
          <w:szCs w:val="24"/>
        </w:rPr>
      </w:pPr>
      <w:r w:rsidRPr="007122AD">
        <w:rPr>
          <w:rFonts w:eastAsia="Times New Roman" w:cs="Arial"/>
          <w:b/>
          <w:bCs/>
          <w:color w:val="000000"/>
          <w:szCs w:val="24"/>
          <w:lang w:eastAsia="bg-BG"/>
        </w:rPr>
        <w:t>Таблица 2 Предварително определени събития в АТАС проучването</w:t>
      </w:r>
    </w:p>
    <w:tbl>
      <w:tblPr>
        <w:tblStyle w:val="TableGrid"/>
        <w:tblW w:w="0" w:type="auto"/>
        <w:tblLook w:val="04A0" w:firstRow="1" w:lastRow="0" w:firstColumn="1" w:lastColumn="0" w:noHBand="0" w:noVBand="1"/>
      </w:tblPr>
      <w:tblGrid>
        <w:gridCol w:w="3138"/>
        <w:gridCol w:w="3109"/>
        <w:gridCol w:w="3103"/>
      </w:tblGrid>
      <w:tr w:rsidR="007122AD" w14:paraId="511873B1" w14:textId="77777777" w:rsidTr="007122AD">
        <w:tc>
          <w:tcPr>
            <w:tcW w:w="3192" w:type="dxa"/>
          </w:tcPr>
          <w:p w14:paraId="7829F917" w14:textId="60424B0D" w:rsidR="007122AD" w:rsidRPr="007122AD" w:rsidRDefault="007122AD" w:rsidP="007122AD">
            <w:pPr>
              <w:rPr>
                <w:rFonts w:cs="Arial"/>
              </w:rPr>
            </w:pPr>
            <w:r w:rsidRPr="007122AD">
              <w:rPr>
                <w:rFonts w:cs="Arial"/>
                <w:b/>
                <w:bCs/>
              </w:rPr>
              <w:t>Нежелани събития</w:t>
            </w:r>
          </w:p>
        </w:tc>
        <w:tc>
          <w:tcPr>
            <w:tcW w:w="3192" w:type="dxa"/>
          </w:tcPr>
          <w:p w14:paraId="7D45D280" w14:textId="6A461AEC" w:rsidR="007122AD" w:rsidRPr="007122AD" w:rsidRDefault="007122AD" w:rsidP="007122AD">
            <w:pPr>
              <w:rPr>
                <w:rFonts w:cs="Arial"/>
              </w:rPr>
            </w:pPr>
            <w:proofErr w:type="spellStart"/>
            <w:r w:rsidRPr="007122AD">
              <w:rPr>
                <w:rFonts w:cs="Arial"/>
                <w:b/>
                <w:bCs/>
                <w:lang w:val="en-US"/>
              </w:rPr>
              <w:t>Anastrozole</w:t>
            </w:r>
            <w:proofErr w:type="spellEnd"/>
            <w:r w:rsidRPr="007122AD">
              <w:rPr>
                <w:rFonts w:cs="Arial"/>
                <w:b/>
                <w:bCs/>
                <w:lang w:val="en-US"/>
              </w:rPr>
              <w:t xml:space="preserve"> (N=3,092)</w:t>
            </w:r>
          </w:p>
        </w:tc>
        <w:tc>
          <w:tcPr>
            <w:tcW w:w="3192" w:type="dxa"/>
          </w:tcPr>
          <w:p w14:paraId="7AA96F1C" w14:textId="1E83C17A" w:rsidR="007122AD" w:rsidRPr="007122AD" w:rsidRDefault="007122AD" w:rsidP="007122AD">
            <w:pPr>
              <w:rPr>
                <w:rFonts w:cs="Arial"/>
              </w:rPr>
            </w:pPr>
            <w:r w:rsidRPr="007122AD">
              <w:rPr>
                <w:rFonts w:cs="Arial"/>
                <w:b/>
                <w:bCs/>
                <w:lang w:val="en-US"/>
              </w:rPr>
              <w:t>Tamoxifen (N=3,094)</w:t>
            </w:r>
          </w:p>
        </w:tc>
      </w:tr>
      <w:tr w:rsidR="007122AD" w14:paraId="76089731" w14:textId="77777777" w:rsidTr="007122AD">
        <w:tc>
          <w:tcPr>
            <w:tcW w:w="3192" w:type="dxa"/>
          </w:tcPr>
          <w:p w14:paraId="321B2425" w14:textId="3FA234D2" w:rsidR="007122AD" w:rsidRPr="007122AD" w:rsidRDefault="007122AD" w:rsidP="007122AD">
            <w:pPr>
              <w:rPr>
                <w:rFonts w:cs="Arial"/>
              </w:rPr>
            </w:pPr>
            <w:r w:rsidRPr="007122AD">
              <w:rPr>
                <w:rFonts w:cs="Arial"/>
              </w:rPr>
              <w:t>Горещи вълни</w:t>
            </w:r>
          </w:p>
        </w:tc>
        <w:tc>
          <w:tcPr>
            <w:tcW w:w="3192" w:type="dxa"/>
          </w:tcPr>
          <w:p w14:paraId="564666EC" w14:textId="4CD12B6A" w:rsidR="007122AD" w:rsidRPr="007122AD" w:rsidRDefault="007122AD" w:rsidP="007122AD">
            <w:pPr>
              <w:rPr>
                <w:rFonts w:cs="Arial"/>
              </w:rPr>
            </w:pPr>
            <w:r w:rsidRPr="007122AD">
              <w:rPr>
                <w:rFonts w:cs="Arial"/>
              </w:rPr>
              <w:t>1 104(35,7%)</w:t>
            </w:r>
          </w:p>
        </w:tc>
        <w:tc>
          <w:tcPr>
            <w:tcW w:w="3192" w:type="dxa"/>
          </w:tcPr>
          <w:p w14:paraId="65E75083" w14:textId="0F7B5428" w:rsidR="007122AD" w:rsidRPr="007122AD" w:rsidRDefault="007122AD" w:rsidP="007122AD">
            <w:pPr>
              <w:rPr>
                <w:rFonts w:cs="Arial"/>
              </w:rPr>
            </w:pPr>
            <w:r w:rsidRPr="007122AD">
              <w:rPr>
                <w:rFonts w:cs="Arial"/>
                <w:lang w:val="en-US"/>
              </w:rPr>
              <w:t>1 264 (40</w:t>
            </w:r>
            <w:proofErr w:type="gramStart"/>
            <w:r w:rsidRPr="007122AD">
              <w:rPr>
                <w:rFonts w:cs="Arial"/>
                <w:lang w:val="en-US"/>
              </w:rPr>
              <w:t>,9</w:t>
            </w:r>
            <w:proofErr w:type="gramEnd"/>
            <w:r w:rsidRPr="007122AD">
              <w:rPr>
                <w:rFonts w:cs="Arial"/>
                <w:lang w:val="en-US"/>
              </w:rPr>
              <w:t>%)</w:t>
            </w:r>
          </w:p>
        </w:tc>
      </w:tr>
      <w:tr w:rsidR="007122AD" w14:paraId="6111E453" w14:textId="77777777" w:rsidTr="007122AD">
        <w:tc>
          <w:tcPr>
            <w:tcW w:w="3192" w:type="dxa"/>
          </w:tcPr>
          <w:p w14:paraId="429D1854" w14:textId="0958436C" w:rsidR="007122AD" w:rsidRPr="007122AD" w:rsidRDefault="007122AD" w:rsidP="007122AD">
            <w:pPr>
              <w:rPr>
                <w:rFonts w:cs="Arial"/>
              </w:rPr>
            </w:pPr>
            <w:r w:rsidRPr="007122AD">
              <w:rPr>
                <w:rFonts w:cs="Arial"/>
              </w:rPr>
              <w:t>Болки в ставите/скованост</w:t>
            </w:r>
          </w:p>
        </w:tc>
        <w:tc>
          <w:tcPr>
            <w:tcW w:w="3192" w:type="dxa"/>
          </w:tcPr>
          <w:p w14:paraId="1FBB2D27" w14:textId="1A1F4540" w:rsidR="007122AD" w:rsidRPr="007122AD" w:rsidRDefault="007122AD" w:rsidP="007122AD">
            <w:pPr>
              <w:rPr>
                <w:rFonts w:cs="Arial"/>
              </w:rPr>
            </w:pPr>
            <w:r w:rsidRPr="007122AD">
              <w:rPr>
                <w:rFonts w:cs="Arial"/>
              </w:rPr>
              <w:t>1 100(35,6%)</w:t>
            </w:r>
          </w:p>
        </w:tc>
        <w:tc>
          <w:tcPr>
            <w:tcW w:w="3192" w:type="dxa"/>
          </w:tcPr>
          <w:p w14:paraId="6ABFF474" w14:textId="3CB078E0" w:rsidR="007122AD" w:rsidRPr="007122AD" w:rsidRDefault="007122AD" w:rsidP="007122AD">
            <w:pPr>
              <w:rPr>
                <w:rFonts w:cs="Arial"/>
              </w:rPr>
            </w:pPr>
            <w:r w:rsidRPr="007122AD">
              <w:rPr>
                <w:rFonts w:cs="Arial"/>
                <w:lang w:val="en-US"/>
              </w:rPr>
              <w:t>911 (29</w:t>
            </w:r>
            <w:proofErr w:type="gramStart"/>
            <w:r w:rsidRPr="007122AD">
              <w:rPr>
                <w:rFonts w:cs="Arial"/>
                <w:lang w:val="en-US"/>
              </w:rPr>
              <w:t>,4</w:t>
            </w:r>
            <w:proofErr w:type="gramEnd"/>
            <w:r w:rsidRPr="007122AD">
              <w:rPr>
                <w:rFonts w:cs="Arial"/>
                <w:lang w:val="en-US"/>
              </w:rPr>
              <w:t>%)</w:t>
            </w:r>
          </w:p>
        </w:tc>
      </w:tr>
      <w:tr w:rsidR="007122AD" w14:paraId="165AF305" w14:textId="77777777" w:rsidTr="007122AD">
        <w:tc>
          <w:tcPr>
            <w:tcW w:w="3192" w:type="dxa"/>
          </w:tcPr>
          <w:p w14:paraId="06712A5C" w14:textId="5919EDEF" w:rsidR="007122AD" w:rsidRPr="007122AD" w:rsidRDefault="007122AD" w:rsidP="007122AD">
            <w:pPr>
              <w:rPr>
                <w:rFonts w:cs="Arial"/>
              </w:rPr>
            </w:pPr>
            <w:r w:rsidRPr="007122AD">
              <w:rPr>
                <w:rFonts w:cs="Arial"/>
              </w:rPr>
              <w:t>Промени в настроението</w:t>
            </w:r>
          </w:p>
        </w:tc>
        <w:tc>
          <w:tcPr>
            <w:tcW w:w="3192" w:type="dxa"/>
          </w:tcPr>
          <w:p w14:paraId="3E72B59B" w14:textId="52C9CB61" w:rsidR="007122AD" w:rsidRPr="007122AD" w:rsidRDefault="007122AD" w:rsidP="007122AD">
            <w:pPr>
              <w:rPr>
                <w:rFonts w:cs="Arial"/>
              </w:rPr>
            </w:pPr>
            <w:r w:rsidRPr="007122AD">
              <w:rPr>
                <w:rFonts w:cs="Arial"/>
              </w:rPr>
              <w:t>597(19,3%)</w:t>
            </w:r>
          </w:p>
        </w:tc>
        <w:tc>
          <w:tcPr>
            <w:tcW w:w="3192" w:type="dxa"/>
          </w:tcPr>
          <w:p w14:paraId="51ADDF43" w14:textId="228C351C" w:rsidR="007122AD" w:rsidRPr="007122AD" w:rsidRDefault="007122AD" w:rsidP="007122AD">
            <w:pPr>
              <w:rPr>
                <w:rFonts w:cs="Arial"/>
              </w:rPr>
            </w:pPr>
            <w:r w:rsidRPr="007122AD">
              <w:rPr>
                <w:rFonts w:cs="Arial"/>
                <w:lang w:val="en-US"/>
              </w:rPr>
              <w:t>554(17</w:t>
            </w:r>
            <w:proofErr w:type="gramStart"/>
            <w:r w:rsidRPr="007122AD">
              <w:rPr>
                <w:rFonts w:cs="Arial"/>
                <w:lang w:val="en-US"/>
              </w:rPr>
              <w:t>,9</w:t>
            </w:r>
            <w:proofErr w:type="gramEnd"/>
            <w:r w:rsidRPr="007122AD">
              <w:rPr>
                <w:rFonts w:cs="Arial"/>
                <w:lang w:val="en-US"/>
              </w:rPr>
              <w:t>%)</w:t>
            </w:r>
          </w:p>
        </w:tc>
      </w:tr>
      <w:tr w:rsidR="007122AD" w14:paraId="579379B4" w14:textId="77777777" w:rsidTr="007122AD">
        <w:tc>
          <w:tcPr>
            <w:tcW w:w="3192" w:type="dxa"/>
          </w:tcPr>
          <w:p w14:paraId="3A29CCF3" w14:textId="77DE4A16" w:rsidR="007122AD" w:rsidRPr="007122AD" w:rsidRDefault="007122AD" w:rsidP="007122AD">
            <w:pPr>
              <w:rPr>
                <w:rFonts w:cs="Arial"/>
              </w:rPr>
            </w:pPr>
            <w:r w:rsidRPr="007122AD">
              <w:rPr>
                <w:rFonts w:cs="Arial"/>
              </w:rPr>
              <w:t>Умора/астения</w:t>
            </w:r>
          </w:p>
        </w:tc>
        <w:tc>
          <w:tcPr>
            <w:tcW w:w="3192" w:type="dxa"/>
          </w:tcPr>
          <w:p w14:paraId="70A860B7" w14:textId="25CD22CF" w:rsidR="007122AD" w:rsidRPr="007122AD" w:rsidRDefault="007122AD" w:rsidP="007122AD">
            <w:pPr>
              <w:rPr>
                <w:rFonts w:cs="Arial"/>
              </w:rPr>
            </w:pPr>
            <w:r w:rsidRPr="007122AD">
              <w:rPr>
                <w:rFonts w:cs="Arial"/>
              </w:rPr>
              <w:t>575 (18,6%)</w:t>
            </w:r>
          </w:p>
        </w:tc>
        <w:tc>
          <w:tcPr>
            <w:tcW w:w="3192" w:type="dxa"/>
          </w:tcPr>
          <w:p w14:paraId="06932F8A" w14:textId="49BD1991" w:rsidR="007122AD" w:rsidRPr="007122AD" w:rsidRDefault="007122AD" w:rsidP="007122AD">
            <w:pPr>
              <w:rPr>
                <w:rFonts w:cs="Arial"/>
              </w:rPr>
            </w:pPr>
            <w:r w:rsidRPr="007122AD">
              <w:rPr>
                <w:rFonts w:cs="Arial"/>
                <w:lang w:val="en-US"/>
              </w:rPr>
              <w:t>544(17</w:t>
            </w:r>
            <w:proofErr w:type="gramStart"/>
            <w:r w:rsidRPr="007122AD">
              <w:rPr>
                <w:rFonts w:cs="Arial"/>
                <w:lang w:val="en-US"/>
              </w:rPr>
              <w:t>,6</w:t>
            </w:r>
            <w:proofErr w:type="gramEnd"/>
            <w:r w:rsidRPr="007122AD">
              <w:rPr>
                <w:rFonts w:cs="Arial"/>
                <w:lang w:val="en-US"/>
              </w:rPr>
              <w:t>%)</w:t>
            </w:r>
          </w:p>
        </w:tc>
      </w:tr>
      <w:tr w:rsidR="007122AD" w14:paraId="37DA7B26" w14:textId="77777777" w:rsidTr="007122AD">
        <w:tc>
          <w:tcPr>
            <w:tcW w:w="3192" w:type="dxa"/>
          </w:tcPr>
          <w:p w14:paraId="4FB0CD8D" w14:textId="768ABC9E" w:rsidR="007122AD" w:rsidRPr="007122AD" w:rsidRDefault="007122AD" w:rsidP="007122AD">
            <w:pPr>
              <w:rPr>
                <w:rFonts w:cs="Arial"/>
              </w:rPr>
            </w:pPr>
            <w:r w:rsidRPr="007122AD">
              <w:rPr>
                <w:rFonts w:cs="Arial"/>
              </w:rPr>
              <w:t>Гадене и повръщане</w:t>
            </w:r>
          </w:p>
        </w:tc>
        <w:tc>
          <w:tcPr>
            <w:tcW w:w="3192" w:type="dxa"/>
          </w:tcPr>
          <w:p w14:paraId="4CCA67EC" w14:textId="4372FDA6" w:rsidR="007122AD" w:rsidRPr="007122AD" w:rsidRDefault="007122AD" w:rsidP="007122AD">
            <w:pPr>
              <w:rPr>
                <w:rFonts w:cs="Arial"/>
              </w:rPr>
            </w:pPr>
            <w:r w:rsidRPr="007122AD">
              <w:rPr>
                <w:rFonts w:cs="Arial"/>
              </w:rPr>
              <w:t>393 (12,7%)</w:t>
            </w:r>
          </w:p>
        </w:tc>
        <w:tc>
          <w:tcPr>
            <w:tcW w:w="3192" w:type="dxa"/>
          </w:tcPr>
          <w:p w14:paraId="0C01B070" w14:textId="218D9A21" w:rsidR="007122AD" w:rsidRPr="007122AD" w:rsidRDefault="007122AD" w:rsidP="007122AD">
            <w:pPr>
              <w:rPr>
                <w:rFonts w:cs="Arial"/>
              </w:rPr>
            </w:pPr>
            <w:r w:rsidRPr="007122AD">
              <w:rPr>
                <w:rFonts w:cs="Arial"/>
                <w:lang w:val="en-US"/>
              </w:rPr>
              <w:t>384 (12</w:t>
            </w:r>
            <w:proofErr w:type="gramStart"/>
            <w:r w:rsidRPr="007122AD">
              <w:rPr>
                <w:rFonts w:cs="Arial"/>
                <w:lang w:val="en-US"/>
              </w:rPr>
              <w:t>,4</w:t>
            </w:r>
            <w:proofErr w:type="gramEnd"/>
            <w:r w:rsidRPr="007122AD">
              <w:rPr>
                <w:rFonts w:cs="Arial"/>
                <w:lang w:val="en-US"/>
              </w:rPr>
              <w:t>%)</w:t>
            </w:r>
          </w:p>
        </w:tc>
      </w:tr>
      <w:tr w:rsidR="007122AD" w14:paraId="5313C4C9" w14:textId="77777777" w:rsidTr="007122AD">
        <w:tc>
          <w:tcPr>
            <w:tcW w:w="3192" w:type="dxa"/>
          </w:tcPr>
          <w:p w14:paraId="53B33F10" w14:textId="2C246EC2" w:rsidR="007122AD" w:rsidRPr="007122AD" w:rsidRDefault="007122AD" w:rsidP="007122AD">
            <w:pPr>
              <w:rPr>
                <w:rFonts w:cs="Arial"/>
              </w:rPr>
            </w:pPr>
            <w:r w:rsidRPr="007122AD">
              <w:rPr>
                <w:rFonts w:cs="Arial"/>
              </w:rPr>
              <w:t>Фрактури</w:t>
            </w:r>
          </w:p>
        </w:tc>
        <w:tc>
          <w:tcPr>
            <w:tcW w:w="3192" w:type="dxa"/>
          </w:tcPr>
          <w:p w14:paraId="1E8735FC" w14:textId="0CB9C074" w:rsidR="007122AD" w:rsidRPr="007122AD" w:rsidRDefault="007122AD" w:rsidP="007122AD">
            <w:pPr>
              <w:rPr>
                <w:rFonts w:cs="Arial"/>
              </w:rPr>
            </w:pPr>
            <w:r w:rsidRPr="007122AD">
              <w:rPr>
                <w:rFonts w:cs="Arial"/>
              </w:rPr>
              <w:t>315(10,2%)</w:t>
            </w:r>
          </w:p>
        </w:tc>
        <w:tc>
          <w:tcPr>
            <w:tcW w:w="3192" w:type="dxa"/>
          </w:tcPr>
          <w:p w14:paraId="442ED0F9" w14:textId="4D18C98D" w:rsidR="007122AD" w:rsidRPr="007122AD" w:rsidRDefault="007122AD" w:rsidP="007122AD">
            <w:pPr>
              <w:rPr>
                <w:rFonts w:cs="Arial"/>
              </w:rPr>
            </w:pPr>
            <w:r w:rsidRPr="007122AD">
              <w:rPr>
                <w:rFonts w:cs="Arial"/>
                <w:lang w:val="en-US"/>
              </w:rPr>
              <w:t>209 (6</w:t>
            </w:r>
            <w:proofErr w:type="gramStart"/>
            <w:r w:rsidRPr="007122AD">
              <w:rPr>
                <w:rFonts w:cs="Arial"/>
                <w:lang w:val="en-US"/>
              </w:rPr>
              <w:t>,8</w:t>
            </w:r>
            <w:proofErr w:type="gramEnd"/>
            <w:r w:rsidRPr="007122AD">
              <w:rPr>
                <w:rFonts w:cs="Arial"/>
                <w:lang w:val="en-US"/>
              </w:rPr>
              <w:t>%)</w:t>
            </w:r>
          </w:p>
        </w:tc>
      </w:tr>
      <w:tr w:rsidR="007122AD" w14:paraId="12D9C268" w14:textId="77777777" w:rsidTr="007122AD">
        <w:tc>
          <w:tcPr>
            <w:tcW w:w="3192" w:type="dxa"/>
          </w:tcPr>
          <w:p w14:paraId="3871352D" w14:textId="4AF914E4" w:rsidR="007122AD" w:rsidRPr="007122AD" w:rsidRDefault="007122AD" w:rsidP="007122AD">
            <w:pPr>
              <w:rPr>
                <w:rFonts w:cs="Arial"/>
              </w:rPr>
            </w:pPr>
            <w:r w:rsidRPr="007122AD">
              <w:rPr>
                <w:rFonts w:cs="Arial"/>
              </w:rPr>
              <w:t xml:space="preserve">Фрактури на гръбначнвия стълб, бедрената кост или китката/фрактура на </w:t>
            </w:r>
            <w:proofErr w:type="spellStart"/>
            <w:r w:rsidRPr="007122AD">
              <w:rPr>
                <w:rFonts w:cs="Arial"/>
                <w:i/>
                <w:iCs/>
                <w:lang w:val="en-US"/>
              </w:rPr>
              <w:t>Colles</w:t>
            </w:r>
            <w:proofErr w:type="spellEnd"/>
          </w:p>
        </w:tc>
        <w:tc>
          <w:tcPr>
            <w:tcW w:w="3192" w:type="dxa"/>
          </w:tcPr>
          <w:p w14:paraId="6A11D73C" w14:textId="50A35388" w:rsidR="007122AD" w:rsidRPr="007122AD" w:rsidRDefault="007122AD" w:rsidP="007122AD">
            <w:pPr>
              <w:rPr>
                <w:rFonts w:cs="Arial"/>
              </w:rPr>
            </w:pPr>
            <w:r w:rsidRPr="007122AD">
              <w:rPr>
                <w:rFonts w:cs="Arial"/>
              </w:rPr>
              <w:t>133 (4,3%)</w:t>
            </w:r>
          </w:p>
        </w:tc>
        <w:tc>
          <w:tcPr>
            <w:tcW w:w="3192" w:type="dxa"/>
          </w:tcPr>
          <w:p w14:paraId="497B1B79" w14:textId="24C8670B" w:rsidR="007122AD" w:rsidRPr="007122AD" w:rsidRDefault="007122AD" w:rsidP="007122AD">
            <w:pPr>
              <w:rPr>
                <w:rFonts w:cs="Arial"/>
              </w:rPr>
            </w:pPr>
            <w:r w:rsidRPr="007122AD">
              <w:rPr>
                <w:rFonts w:cs="Arial"/>
                <w:lang w:val="en-US"/>
              </w:rPr>
              <w:t>91 (2</w:t>
            </w:r>
            <w:proofErr w:type="gramStart"/>
            <w:r w:rsidRPr="007122AD">
              <w:rPr>
                <w:rFonts w:cs="Arial"/>
                <w:lang w:val="en-US"/>
              </w:rPr>
              <w:t>,9</w:t>
            </w:r>
            <w:proofErr w:type="gramEnd"/>
            <w:r w:rsidRPr="007122AD">
              <w:rPr>
                <w:rFonts w:cs="Arial"/>
                <w:lang w:val="en-US"/>
              </w:rPr>
              <w:t>%)</w:t>
            </w:r>
          </w:p>
        </w:tc>
      </w:tr>
      <w:tr w:rsidR="007122AD" w14:paraId="1DDCB9EB" w14:textId="77777777" w:rsidTr="007122AD">
        <w:tc>
          <w:tcPr>
            <w:tcW w:w="3192" w:type="dxa"/>
          </w:tcPr>
          <w:p w14:paraId="4703D444" w14:textId="3725D448" w:rsidR="007122AD" w:rsidRPr="007122AD" w:rsidRDefault="007122AD" w:rsidP="007122AD">
            <w:pPr>
              <w:rPr>
                <w:rFonts w:cs="Arial"/>
              </w:rPr>
            </w:pPr>
            <w:r w:rsidRPr="007122AD">
              <w:rPr>
                <w:rFonts w:cs="Arial"/>
              </w:rPr>
              <w:t xml:space="preserve">Фрактури китката/фрактура на </w:t>
            </w:r>
            <w:proofErr w:type="spellStart"/>
            <w:r w:rsidRPr="007122AD">
              <w:rPr>
                <w:rFonts w:cs="Arial"/>
                <w:i/>
                <w:iCs/>
                <w:lang w:val="en-US"/>
              </w:rPr>
              <w:t>Colles</w:t>
            </w:r>
            <w:proofErr w:type="spellEnd"/>
          </w:p>
        </w:tc>
        <w:tc>
          <w:tcPr>
            <w:tcW w:w="3192" w:type="dxa"/>
          </w:tcPr>
          <w:p w14:paraId="78F30F4A" w14:textId="414DAC57" w:rsidR="007122AD" w:rsidRPr="007122AD" w:rsidRDefault="007122AD" w:rsidP="007122AD">
            <w:pPr>
              <w:rPr>
                <w:rFonts w:cs="Arial"/>
              </w:rPr>
            </w:pPr>
            <w:r w:rsidRPr="007122AD">
              <w:rPr>
                <w:rFonts w:cs="Arial"/>
              </w:rPr>
              <w:t>67 (2,2%)</w:t>
            </w:r>
          </w:p>
        </w:tc>
        <w:tc>
          <w:tcPr>
            <w:tcW w:w="3192" w:type="dxa"/>
          </w:tcPr>
          <w:p w14:paraId="1F9E7AE1" w14:textId="5BD96BCE" w:rsidR="007122AD" w:rsidRPr="007122AD" w:rsidRDefault="007122AD" w:rsidP="007122AD">
            <w:pPr>
              <w:rPr>
                <w:rFonts w:cs="Arial"/>
              </w:rPr>
            </w:pPr>
            <w:r w:rsidRPr="007122AD">
              <w:rPr>
                <w:rFonts w:cs="Arial"/>
                <w:lang w:val="en-US"/>
              </w:rPr>
              <w:t>50(1</w:t>
            </w:r>
            <w:proofErr w:type="gramStart"/>
            <w:r w:rsidRPr="007122AD">
              <w:rPr>
                <w:rFonts w:cs="Arial"/>
                <w:lang w:val="en-US"/>
              </w:rPr>
              <w:t>,6</w:t>
            </w:r>
            <w:proofErr w:type="gramEnd"/>
            <w:r w:rsidRPr="007122AD">
              <w:rPr>
                <w:rFonts w:cs="Arial"/>
                <w:lang w:val="en-US"/>
              </w:rPr>
              <w:t>%)</w:t>
            </w:r>
          </w:p>
        </w:tc>
      </w:tr>
      <w:tr w:rsidR="007122AD" w14:paraId="1866E55E" w14:textId="77777777" w:rsidTr="007122AD">
        <w:tc>
          <w:tcPr>
            <w:tcW w:w="3192" w:type="dxa"/>
          </w:tcPr>
          <w:p w14:paraId="37D53E58" w14:textId="3F09B4BF" w:rsidR="007122AD" w:rsidRPr="007122AD" w:rsidRDefault="007122AD" w:rsidP="007122AD">
            <w:pPr>
              <w:rPr>
                <w:rFonts w:cs="Arial"/>
              </w:rPr>
            </w:pPr>
            <w:r w:rsidRPr="007122AD">
              <w:rPr>
                <w:rFonts w:cs="Arial"/>
              </w:rPr>
              <w:t>Фрактури на прешлени на гръбначния стълб</w:t>
            </w:r>
          </w:p>
        </w:tc>
        <w:tc>
          <w:tcPr>
            <w:tcW w:w="3192" w:type="dxa"/>
          </w:tcPr>
          <w:p w14:paraId="0AC584DF" w14:textId="7267E757" w:rsidR="007122AD" w:rsidRPr="007122AD" w:rsidRDefault="007122AD" w:rsidP="007122AD">
            <w:pPr>
              <w:rPr>
                <w:rFonts w:cs="Arial"/>
              </w:rPr>
            </w:pPr>
            <w:r w:rsidRPr="007122AD">
              <w:rPr>
                <w:rFonts w:cs="Arial"/>
              </w:rPr>
              <w:t>43 (1,4%)</w:t>
            </w:r>
          </w:p>
        </w:tc>
        <w:tc>
          <w:tcPr>
            <w:tcW w:w="3192" w:type="dxa"/>
          </w:tcPr>
          <w:p w14:paraId="56871CC0" w14:textId="1722DA49" w:rsidR="007122AD" w:rsidRPr="007122AD" w:rsidRDefault="007122AD" w:rsidP="007122AD">
            <w:pPr>
              <w:rPr>
                <w:rFonts w:cs="Arial"/>
              </w:rPr>
            </w:pPr>
            <w:r w:rsidRPr="007122AD">
              <w:rPr>
                <w:rFonts w:cs="Arial"/>
                <w:lang w:val="en-US"/>
              </w:rPr>
              <w:t>22 (0</w:t>
            </w:r>
            <w:proofErr w:type="gramStart"/>
            <w:r w:rsidRPr="007122AD">
              <w:rPr>
                <w:rFonts w:cs="Arial"/>
                <w:lang w:val="en-US"/>
              </w:rPr>
              <w:t>,7</w:t>
            </w:r>
            <w:proofErr w:type="gramEnd"/>
            <w:r w:rsidRPr="007122AD">
              <w:rPr>
                <w:rFonts w:cs="Arial"/>
                <w:lang w:val="en-US"/>
              </w:rPr>
              <w:t>%)</w:t>
            </w:r>
          </w:p>
        </w:tc>
      </w:tr>
      <w:tr w:rsidR="007122AD" w14:paraId="36ABACE9" w14:textId="77777777" w:rsidTr="007122AD">
        <w:tc>
          <w:tcPr>
            <w:tcW w:w="3192" w:type="dxa"/>
          </w:tcPr>
          <w:p w14:paraId="3E7A050A" w14:textId="2F1CE8BB" w:rsidR="007122AD" w:rsidRPr="007122AD" w:rsidRDefault="007122AD" w:rsidP="007122AD">
            <w:pPr>
              <w:rPr>
                <w:rFonts w:cs="Arial"/>
              </w:rPr>
            </w:pPr>
            <w:r w:rsidRPr="007122AD">
              <w:rPr>
                <w:rFonts w:cs="Arial"/>
              </w:rPr>
              <w:t>Фрактури на проксималната бедрената кост</w:t>
            </w:r>
          </w:p>
        </w:tc>
        <w:tc>
          <w:tcPr>
            <w:tcW w:w="3192" w:type="dxa"/>
          </w:tcPr>
          <w:p w14:paraId="6A202BD1" w14:textId="031908FB" w:rsidR="007122AD" w:rsidRPr="007122AD" w:rsidRDefault="007122AD" w:rsidP="007122AD">
            <w:pPr>
              <w:rPr>
                <w:rFonts w:cs="Arial"/>
              </w:rPr>
            </w:pPr>
            <w:r w:rsidRPr="007122AD">
              <w:rPr>
                <w:rFonts w:cs="Arial"/>
              </w:rPr>
              <w:t>28 (0,9%)</w:t>
            </w:r>
          </w:p>
        </w:tc>
        <w:tc>
          <w:tcPr>
            <w:tcW w:w="3192" w:type="dxa"/>
          </w:tcPr>
          <w:p w14:paraId="6F3DF34C" w14:textId="727A3DC0" w:rsidR="007122AD" w:rsidRPr="007122AD" w:rsidRDefault="007122AD" w:rsidP="007122AD">
            <w:pPr>
              <w:rPr>
                <w:rFonts w:cs="Arial"/>
              </w:rPr>
            </w:pPr>
            <w:r w:rsidRPr="007122AD">
              <w:rPr>
                <w:rFonts w:cs="Arial"/>
                <w:lang w:val="en-US"/>
              </w:rPr>
              <w:t>26 (0</w:t>
            </w:r>
            <w:proofErr w:type="gramStart"/>
            <w:r w:rsidRPr="007122AD">
              <w:rPr>
                <w:rFonts w:cs="Arial"/>
                <w:lang w:val="en-US"/>
              </w:rPr>
              <w:t>,8</w:t>
            </w:r>
            <w:proofErr w:type="gramEnd"/>
            <w:r w:rsidRPr="007122AD">
              <w:rPr>
                <w:rFonts w:cs="Arial"/>
                <w:lang w:val="en-US"/>
              </w:rPr>
              <w:t>%)</w:t>
            </w:r>
          </w:p>
        </w:tc>
      </w:tr>
      <w:tr w:rsidR="007122AD" w14:paraId="531E10C9" w14:textId="77777777" w:rsidTr="007122AD">
        <w:tc>
          <w:tcPr>
            <w:tcW w:w="3192" w:type="dxa"/>
          </w:tcPr>
          <w:p w14:paraId="73153BAF" w14:textId="569FF446" w:rsidR="007122AD" w:rsidRPr="007122AD" w:rsidRDefault="007122AD" w:rsidP="007122AD">
            <w:pPr>
              <w:rPr>
                <w:rFonts w:cs="Arial"/>
              </w:rPr>
            </w:pPr>
            <w:r w:rsidRPr="007122AD">
              <w:rPr>
                <w:rFonts w:cs="Arial"/>
              </w:rPr>
              <w:t>Катаракта</w:t>
            </w:r>
          </w:p>
        </w:tc>
        <w:tc>
          <w:tcPr>
            <w:tcW w:w="3192" w:type="dxa"/>
          </w:tcPr>
          <w:p w14:paraId="109FAF00" w14:textId="516B0635" w:rsidR="007122AD" w:rsidRPr="007122AD" w:rsidRDefault="007122AD" w:rsidP="007122AD">
            <w:pPr>
              <w:rPr>
                <w:rFonts w:cs="Arial"/>
              </w:rPr>
            </w:pPr>
            <w:r w:rsidRPr="007122AD">
              <w:rPr>
                <w:rFonts w:cs="Arial"/>
              </w:rPr>
              <w:t>182 (5,9%)</w:t>
            </w:r>
          </w:p>
        </w:tc>
        <w:tc>
          <w:tcPr>
            <w:tcW w:w="3192" w:type="dxa"/>
          </w:tcPr>
          <w:p w14:paraId="59094161" w14:textId="11DA04DC" w:rsidR="007122AD" w:rsidRPr="007122AD" w:rsidRDefault="007122AD" w:rsidP="007122AD">
            <w:pPr>
              <w:rPr>
                <w:rFonts w:cs="Arial"/>
              </w:rPr>
            </w:pPr>
            <w:r w:rsidRPr="007122AD">
              <w:rPr>
                <w:rFonts w:cs="Arial"/>
                <w:lang w:val="en-US"/>
              </w:rPr>
              <w:t>213 (6</w:t>
            </w:r>
            <w:proofErr w:type="gramStart"/>
            <w:r w:rsidRPr="007122AD">
              <w:rPr>
                <w:rFonts w:cs="Arial"/>
                <w:lang w:val="en-US"/>
              </w:rPr>
              <w:t>,9</w:t>
            </w:r>
            <w:proofErr w:type="gramEnd"/>
            <w:r w:rsidRPr="007122AD">
              <w:rPr>
                <w:rFonts w:cs="Arial"/>
                <w:lang w:val="en-US"/>
              </w:rPr>
              <w:t>%)</w:t>
            </w:r>
          </w:p>
        </w:tc>
      </w:tr>
      <w:tr w:rsidR="007122AD" w14:paraId="40760650" w14:textId="77777777" w:rsidTr="007122AD">
        <w:tc>
          <w:tcPr>
            <w:tcW w:w="3192" w:type="dxa"/>
          </w:tcPr>
          <w:p w14:paraId="4376D419" w14:textId="73F92B15" w:rsidR="007122AD" w:rsidRPr="007122AD" w:rsidRDefault="007122AD" w:rsidP="007122AD">
            <w:pPr>
              <w:rPr>
                <w:rFonts w:cs="Arial"/>
              </w:rPr>
            </w:pPr>
            <w:r w:rsidRPr="007122AD">
              <w:rPr>
                <w:rFonts w:cs="Arial"/>
              </w:rPr>
              <w:t>Вагинално кървене</w:t>
            </w:r>
          </w:p>
        </w:tc>
        <w:tc>
          <w:tcPr>
            <w:tcW w:w="3192" w:type="dxa"/>
          </w:tcPr>
          <w:p w14:paraId="40B39E32" w14:textId="38F6C98D" w:rsidR="007122AD" w:rsidRPr="007122AD" w:rsidRDefault="007122AD" w:rsidP="007122AD">
            <w:pPr>
              <w:rPr>
                <w:rFonts w:cs="Arial"/>
              </w:rPr>
            </w:pPr>
            <w:r w:rsidRPr="007122AD">
              <w:rPr>
                <w:rFonts w:cs="Arial"/>
              </w:rPr>
              <w:t>167 (5,4%)</w:t>
            </w:r>
          </w:p>
        </w:tc>
        <w:tc>
          <w:tcPr>
            <w:tcW w:w="3192" w:type="dxa"/>
          </w:tcPr>
          <w:p w14:paraId="45C8B935" w14:textId="6E9F090D" w:rsidR="007122AD" w:rsidRPr="007122AD" w:rsidRDefault="007122AD" w:rsidP="007122AD">
            <w:pPr>
              <w:rPr>
                <w:rFonts w:cs="Arial"/>
              </w:rPr>
            </w:pPr>
            <w:r w:rsidRPr="007122AD">
              <w:rPr>
                <w:rFonts w:cs="Arial"/>
                <w:lang w:val="en-US"/>
              </w:rPr>
              <w:t>317(10</w:t>
            </w:r>
            <w:proofErr w:type="gramStart"/>
            <w:r w:rsidRPr="007122AD">
              <w:rPr>
                <w:rFonts w:cs="Arial"/>
                <w:lang w:val="en-US"/>
              </w:rPr>
              <w:t>,2</w:t>
            </w:r>
            <w:proofErr w:type="gramEnd"/>
            <w:r w:rsidRPr="007122AD">
              <w:rPr>
                <w:rFonts w:cs="Arial"/>
                <w:lang w:val="en-US"/>
              </w:rPr>
              <w:t>%)</w:t>
            </w:r>
          </w:p>
        </w:tc>
      </w:tr>
      <w:tr w:rsidR="007122AD" w14:paraId="2FD9DDEB" w14:textId="77777777" w:rsidTr="007122AD">
        <w:tc>
          <w:tcPr>
            <w:tcW w:w="3192" w:type="dxa"/>
          </w:tcPr>
          <w:p w14:paraId="0ADCFFA9" w14:textId="662B27F7" w:rsidR="007122AD" w:rsidRPr="007122AD" w:rsidRDefault="007122AD" w:rsidP="007122AD">
            <w:pPr>
              <w:rPr>
                <w:rFonts w:cs="Arial"/>
              </w:rPr>
            </w:pPr>
            <w:r w:rsidRPr="007122AD">
              <w:rPr>
                <w:rFonts w:cs="Arial"/>
              </w:rPr>
              <w:t>Исхемична болест на сърцето</w:t>
            </w:r>
          </w:p>
        </w:tc>
        <w:tc>
          <w:tcPr>
            <w:tcW w:w="3192" w:type="dxa"/>
          </w:tcPr>
          <w:p w14:paraId="5B48ACA4" w14:textId="20A90C78" w:rsidR="007122AD" w:rsidRPr="007122AD" w:rsidRDefault="007122AD" w:rsidP="007122AD">
            <w:pPr>
              <w:rPr>
                <w:rFonts w:cs="Arial"/>
              </w:rPr>
            </w:pPr>
            <w:r w:rsidRPr="007122AD">
              <w:rPr>
                <w:rFonts w:cs="Arial"/>
              </w:rPr>
              <w:t>127 (4,1%)</w:t>
            </w:r>
          </w:p>
        </w:tc>
        <w:tc>
          <w:tcPr>
            <w:tcW w:w="3192" w:type="dxa"/>
          </w:tcPr>
          <w:p w14:paraId="0E13FCE7" w14:textId="105013FD" w:rsidR="007122AD" w:rsidRPr="007122AD" w:rsidRDefault="007122AD" w:rsidP="007122AD">
            <w:pPr>
              <w:rPr>
                <w:rFonts w:cs="Arial"/>
              </w:rPr>
            </w:pPr>
            <w:r w:rsidRPr="007122AD">
              <w:rPr>
                <w:rFonts w:cs="Arial"/>
                <w:lang w:val="en-US"/>
              </w:rPr>
              <w:t>104 (3</w:t>
            </w:r>
            <w:proofErr w:type="gramStart"/>
            <w:r w:rsidRPr="007122AD">
              <w:rPr>
                <w:rFonts w:cs="Arial"/>
                <w:lang w:val="en-US"/>
              </w:rPr>
              <w:t>,4</w:t>
            </w:r>
            <w:proofErr w:type="gramEnd"/>
            <w:r w:rsidRPr="007122AD">
              <w:rPr>
                <w:rFonts w:cs="Arial"/>
                <w:lang w:val="en-US"/>
              </w:rPr>
              <w:t>%)</w:t>
            </w:r>
          </w:p>
        </w:tc>
      </w:tr>
      <w:tr w:rsidR="007122AD" w14:paraId="5ECB94D0" w14:textId="77777777" w:rsidTr="007122AD">
        <w:tc>
          <w:tcPr>
            <w:tcW w:w="3192" w:type="dxa"/>
          </w:tcPr>
          <w:p w14:paraId="54235C75" w14:textId="6B1B93D2" w:rsidR="007122AD" w:rsidRPr="007122AD" w:rsidRDefault="007122AD" w:rsidP="007122AD">
            <w:pPr>
              <w:rPr>
                <w:rFonts w:cs="Arial"/>
              </w:rPr>
            </w:pPr>
            <w:r w:rsidRPr="007122AD">
              <w:rPr>
                <w:rFonts w:cs="Arial"/>
              </w:rPr>
              <w:t>Ангина пекторис</w:t>
            </w:r>
          </w:p>
        </w:tc>
        <w:tc>
          <w:tcPr>
            <w:tcW w:w="3192" w:type="dxa"/>
          </w:tcPr>
          <w:p w14:paraId="6B9ED768" w14:textId="1C02C100" w:rsidR="007122AD" w:rsidRPr="007122AD" w:rsidRDefault="007122AD" w:rsidP="007122AD">
            <w:pPr>
              <w:rPr>
                <w:rFonts w:cs="Arial"/>
              </w:rPr>
            </w:pPr>
            <w:r w:rsidRPr="007122AD">
              <w:rPr>
                <w:rFonts w:cs="Arial"/>
              </w:rPr>
              <w:t>71 (2,3%)</w:t>
            </w:r>
          </w:p>
        </w:tc>
        <w:tc>
          <w:tcPr>
            <w:tcW w:w="3192" w:type="dxa"/>
          </w:tcPr>
          <w:p w14:paraId="47BAA7FE" w14:textId="30B2CB15" w:rsidR="007122AD" w:rsidRPr="007122AD" w:rsidRDefault="007122AD" w:rsidP="007122AD">
            <w:pPr>
              <w:rPr>
                <w:rFonts w:cs="Arial"/>
              </w:rPr>
            </w:pPr>
            <w:r w:rsidRPr="007122AD">
              <w:rPr>
                <w:rFonts w:cs="Arial"/>
                <w:lang w:val="en-US"/>
              </w:rPr>
              <w:t>51 (1</w:t>
            </w:r>
            <w:proofErr w:type="gramStart"/>
            <w:r w:rsidRPr="007122AD">
              <w:rPr>
                <w:rFonts w:cs="Arial"/>
                <w:lang w:val="en-US"/>
              </w:rPr>
              <w:t>,6</w:t>
            </w:r>
            <w:proofErr w:type="gramEnd"/>
            <w:r w:rsidRPr="007122AD">
              <w:rPr>
                <w:rFonts w:cs="Arial"/>
                <w:lang w:val="en-US"/>
              </w:rPr>
              <w:t>%)</w:t>
            </w:r>
          </w:p>
        </w:tc>
      </w:tr>
      <w:tr w:rsidR="007122AD" w14:paraId="3D2458E6" w14:textId="77777777" w:rsidTr="007122AD">
        <w:tc>
          <w:tcPr>
            <w:tcW w:w="3192" w:type="dxa"/>
          </w:tcPr>
          <w:p w14:paraId="4318CBB9" w14:textId="5625B34D" w:rsidR="007122AD" w:rsidRPr="007122AD" w:rsidRDefault="007122AD" w:rsidP="007122AD">
            <w:pPr>
              <w:rPr>
                <w:rFonts w:cs="Arial"/>
              </w:rPr>
            </w:pPr>
            <w:r w:rsidRPr="007122AD">
              <w:rPr>
                <w:rFonts w:cs="Arial"/>
              </w:rPr>
              <w:lastRenderedPageBreak/>
              <w:t>Миокарден инфаркт</w:t>
            </w:r>
          </w:p>
        </w:tc>
        <w:tc>
          <w:tcPr>
            <w:tcW w:w="3192" w:type="dxa"/>
          </w:tcPr>
          <w:p w14:paraId="294C6215" w14:textId="7F5C8688" w:rsidR="007122AD" w:rsidRPr="007122AD" w:rsidRDefault="007122AD" w:rsidP="007122AD">
            <w:pPr>
              <w:rPr>
                <w:rFonts w:cs="Arial"/>
              </w:rPr>
            </w:pPr>
            <w:r w:rsidRPr="007122AD">
              <w:rPr>
                <w:rFonts w:cs="Arial"/>
              </w:rPr>
              <w:t>37(1,2%)</w:t>
            </w:r>
          </w:p>
        </w:tc>
        <w:tc>
          <w:tcPr>
            <w:tcW w:w="3192" w:type="dxa"/>
          </w:tcPr>
          <w:p w14:paraId="725B8C5A" w14:textId="1BA20F63" w:rsidR="007122AD" w:rsidRPr="007122AD" w:rsidRDefault="007122AD" w:rsidP="007122AD">
            <w:pPr>
              <w:rPr>
                <w:rFonts w:cs="Arial"/>
              </w:rPr>
            </w:pPr>
            <w:r w:rsidRPr="007122AD">
              <w:rPr>
                <w:rFonts w:cs="Arial"/>
                <w:lang w:val="en-US"/>
              </w:rPr>
              <w:t>34(1</w:t>
            </w:r>
            <w:proofErr w:type="gramStart"/>
            <w:r w:rsidRPr="007122AD">
              <w:rPr>
                <w:rFonts w:cs="Arial"/>
                <w:lang w:val="en-US"/>
              </w:rPr>
              <w:t>,1</w:t>
            </w:r>
            <w:proofErr w:type="gramEnd"/>
            <w:r w:rsidRPr="007122AD">
              <w:rPr>
                <w:rFonts w:cs="Arial"/>
                <w:lang w:val="en-US"/>
              </w:rPr>
              <w:t>%)</w:t>
            </w:r>
          </w:p>
        </w:tc>
      </w:tr>
      <w:tr w:rsidR="007122AD" w14:paraId="4DD1BCC0" w14:textId="77777777" w:rsidTr="007122AD">
        <w:tc>
          <w:tcPr>
            <w:tcW w:w="3192" w:type="dxa"/>
          </w:tcPr>
          <w:p w14:paraId="3673414D" w14:textId="333505BC" w:rsidR="007122AD" w:rsidRPr="007122AD" w:rsidRDefault="007122AD" w:rsidP="007122AD">
            <w:pPr>
              <w:rPr>
                <w:rFonts w:cs="Arial"/>
              </w:rPr>
            </w:pPr>
            <w:r w:rsidRPr="007122AD">
              <w:rPr>
                <w:rFonts w:cs="Arial"/>
              </w:rPr>
              <w:t>Коронарно-съдова болест</w:t>
            </w:r>
          </w:p>
        </w:tc>
        <w:tc>
          <w:tcPr>
            <w:tcW w:w="3192" w:type="dxa"/>
          </w:tcPr>
          <w:p w14:paraId="7E9D0754" w14:textId="1429BCB0" w:rsidR="007122AD" w:rsidRPr="007122AD" w:rsidRDefault="007122AD" w:rsidP="007122AD">
            <w:pPr>
              <w:rPr>
                <w:rFonts w:cs="Arial"/>
              </w:rPr>
            </w:pPr>
            <w:r w:rsidRPr="007122AD">
              <w:rPr>
                <w:rFonts w:cs="Arial"/>
              </w:rPr>
              <w:t>25 (0,8%)</w:t>
            </w:r>
          </w:p>
        </w:tc>
        <w:tc>
          <w:tcPr>
            <w:tcW w:w="3192" w:type="dxa"/>
          </w:tcPr>
          <w:p w14:paraId="692F11FB" w14:textId="2038790A" w:rsidR="007122AD" w:rsidRPr="007122AD" w:rsidRDefault="007122AD" w:rsidP="007122AD">
            <w:pPr>
              <w:rPr>
                <w:rFonts w:cs="Arial"/>
              </w:rPr>
            </w:pPr>
            <w:r w:rsidRPr="007122AD">
              <w:rPr>
                <w:rFonts w:cs="Arial"/>
                <w:lang w:val="en-US"/>
              </w:rPr>
              <w:t>23 (0</w:t>
            </w:r>
            <w:proofErr w:type="gramStart"/>
            <w:r w:rsidRPr="007122AD">
              <w:rPr>
                <w:rFonts w:cs="Arial"/>
                <w:lang w:val="en-US"/>
              </w:rPr>
              <w:t>,7</w:t>
            </w:r>
            <w:proofErr w:type="gramEnd"/>
            <w:r w:rsidRPr="007122AD">
              <w:rPr>
                <w:rFonts w:cs="Arial"/>
                <w:lang w:val="en-US"/>
              </w:rPr>
              <w:t>%)</w:t>
            </w:r>
          </w:p>
        </w:tc>
      </w:tr>
      <w:tr w:rsidR="007122AD" w14:paraId="208F585F" w14:textId="77777777" w:rsidTr="007122AD">
        <w:tc>
          <w:tcPr>
            <w:tcW w:w="3192" w:type="dxa"/>
          </w:tcPr>
          <w:p w14:paraId="0242E12E" w14:textId="31884AF4" w:rsidR="007122AD" w:rsidRPr="007122AD" w:rsidRDefault="007122AD" w:rsidP="007122AD">
            <w:pPr>
              <w:rPr>
                <w:rFonts w:cs="Arial"/>
              </w:rPr>
            </w:pPr>
            <w:r w:rsidRPr="007122AD">
              <w:rPr>
                <w:rFonts w:cs="Arial"/>
              </w:rPr>
              <w:t>Исхемия на миокарда</w:t>
            </w:r>
          </w:p>
        </w:tc>
        <w:tc>
          <w:tcPr>
            <w:tcW w:w="3192" w:type="dxa"/>
          </w:tcPr>
          <w:p w14:paraId="5AC54381" w14:textId="54B02FB5" w:rsidR="007122AD" w:rsidRPr="007122AD" w:rsidRDefault="007122AD" w:rsidP="007122AD">
            <w:pPr>
              <w:rPr>
                <w:rFonts w:cs="Arial"/>
              </w:rPr>
            </w:pPr>
            <w:r w:rsidRPr="007122AD">
              <w:rPr>
                <w:rFonts w:cs="Arial"/>
              </w:rPr>
              <w:t>22 (0,7%)</w:t>
            </w:r>
          </w:p>
        </w:tc>
        <w:tc>
          <w:tcPr>
            <w:tcW w:w="3192" w:type="dxa"/>
          </w:tcPr>
          <w:p w14:paraId="5CBB82A2" w14:textId="06230E05" w:rsidR="007122AD" w:rsidRPr="007122AD" w:rsidRDefault="007122AD" w:rsidP="007122AD">
            <w:pPr>
              <w:rPr>
                <w:rFonts w:cs="Arial"/>
              </w:rPr>
            </w:pPr>
            <w:r w:rsidRPr="007122AD">
              <w:rPr>
                <w:rFonts w:cs="Arial"/>
                <w:lang w:val="en-US"/>
              </w:rPr>
              <w:t>14 (0</w:t>
            </w:r>
            <w:proofErr w:type="gramStart"/>
            <w:r w:rsidRPr="007122AD">
              <w:rPr>
                <w:rFonts w:cs="Arial"/>
                <w:lang w:val="en-US"/>
              </w:rPr>
              <w:t>,5</w:t>
            </w:r>
            <w:proofErr w:type="gramEnd"/>
            <w:r w:rsidRPr="007122AD">
              <w:rPr>
                <w:rFonts w:cs="Arial"/>
                <w:lang w:val="en-US"/>
              </w:rPr>
              <w:t>%)</w:t>
            </w:r>
          </w:p>
        </w:tc>
      </w:tr>
      <w:tr w:rsidR="007122AD" w14:paraId="5C007BC3" w14:textId="77777777" w:rsidTr="007122AD">
        <w:tc>
          <w:tcPr>
            <w:tcW w:w="3192" w:type="dxa"/>
          </w:tcPr>
          <w:p w14:paraId="363DEDFC" w14:textId="09DD9270" w:rsidR="007122AD" w:rsidRPr="007122AD" w:rsidRDefault="007122AD" w:rsidP="007122AD">
            <w:pPr>
              <w:rPr>
                <w:rFonts w:cs="Arial"/>
              </w:rPr>
            </w:pPr>
            <w:r w:rsidRPr="007122AD">
              <w:rPr>
                <w:rFonts w:cs="Arial"/>
              </w:rPr>
              <w:t>Вагинално течение</w:t>
            </w:r>
          </w:p>
        </w:tc>
        <w:tc>
          <w:tcPr>
            <w:tcW w:w="3192" w:type="dxa"/>
          </w:tcPr>
          <w:p w14:paraId="00DF9C3D" w14:textId="14478425" w:rsidR="007122AD" w:rsidRPr="007122AD" w:rsidRDefault="007122AD" w:rsidP="007122AD">
            <w:pPr>
              <w:rPr>
                <w:rFonts w:cs="Arial"/>
              </w:rPr>
            </w:pPr>
            <w:r w:rsidRPr="007122AD">
              <w:rPr>
                <w:rFonts w:cs="Arial"/>
              </w:rPr>
              <w:t>109 (3,5%)</w:t>
            </w:r>
          </w:p>
        </w:tc>
        <w:tc>
          <w:tcPr>
            <w:tcW w:w="3192" w:type="dxa"/>
          </w:tcPr>
          <w:p w14:paraId="1D7992C6" w14:textId="16A52E6D" w:rsidR="007122AD" w:rsidRPr="007122AD" w:rsidRDefault="007122AD" w:rsidP="007122AD">
            <w:pPr>
              <w:rPr>
                <w:rFonts w:cs="Arial"/>
              </w:rPr>
            </w:pPr>
            <w:r w:rsidRPr="007122AD">
              <w:rPr>
                <w:rFonts w:cs="Arial"/>
                <w:lang w:val="en-US"/>
              </w:rPr>
              <w:t>408 (13</w:t>
            </w:r>
            <w:proofErr w:type="gramStart"/>
            <w:r w:rsidRPr="007122AD">
              <w:rPr>
                <w:rFonts w:cs="Arial"/>
                <w:lang w:val="en-US"/>
              </w:rPr>
              <w:t>,2</w:t>
            </w:r>
            <w:proofErr w:type="gramEnd"/>
            <w:r w:rsidRPr="007122AD">
              <w:rPr>
                <w:rFonts w:cs="Arial"/>
                <w:lang w:val="en-US"/>
              </w:rPr>
              <w:t>%)</w:t>
            </w:r>
          </w:p>
        </w:tc>
      </w:tr>
      <w:tr w:rsidR="007122AD" w14:paraId="51669E14" w14:textId="77777777" w:rsidTr="007122AD">
        <w:tc>
          <w:tcPr>
            <w:tcW w:w="3192" w:type="dxa"/>
          </w:tcPr>
          <w:p w14:paraId="1998D846" w14:textId="59F2BACD" w:rsidR="007122AD" w:rsidRPr="007122AD" w:rsidRDefault="007122AD" w:rsidP="007122AD">
            <w:pPr>
              <w:rPr>
                <w:rFonts w:cs="Arial"/>
              </w:rPr>
            </w:pPr>
            <w:r w:rsidRPr="007122AD">
              <w:rPr>
                <w:rFonts w:cs="Arial"/>
              </w:rPr>
              <w:t>Венозно тромбоемболично събитие</w:t>
            </w:r>
          </w:p>
        </w:tc>
        <w:tc>
          <w:tcPr>
            <w:tcW w:w="3192" w:type="dxa"/>
          </w:tcPr>
          <w:p w14:paraId="17ADAAEE" w14:textId="4FF534F2" w:rsidR="007122AD" w:rsidRPr="007122AD" w:rsidRDefault="007122AD" w:rsidP="007122AD">
            <w:pPr>
              <w:rPr>
                <w:rFonts w:cs="Arial"/>
              </w:rPr>
            </w:pPr>
            <w:r w:rsidRPr="007122AD">
              <w:rPr>
                <w:rFonts w:cs="Arial"/>
              </w:rPr>
              <w:t>87 (2,8%)</w:t>
            </w:r>
          </w:p>
        </w:tc>
        <w:tc>
          <w:tcPr>
            <w:tcW w:w="3192" w:type="dxa"/>
          </w:tcPr>
          <w:p w14:paraId="7C833A75" w14:textId="0CFD0607" w:rsidR="007122AD" w:rsidRPr="007122AD" w:rsidRDefault="007122AD" w:rsidP="007122AD">
            <w:pPr>
              <w:rPr>
                <w:rFonts w:cs="Arial"/>
              </w:rPr>
            </w:pPr>
            <w:r w:rsidRPr="007122AD">
              <w:rPr>
                <w:rFonts w:cs="Arial"/>
                <w:lang w:val="en-US"/>
              </w:rPr>
              <w:t>140 (4</w:t>
            </w:r>
            <w:proofErr w:type="gramStart"/>
            <w:r w:rsidRPr="007122AD">
              <w:rPr>
                <w:rFonts w:cs="Arial"/>
                <w:lang w:val="en-US"/>
              </w:rPr>
              <w:t>,5</w:t>
            </w:r>
            <w:proofErr w:type="gramEnd"/>
            <w:r w:rsidRPr="007122AD">
              <w:rPr>
                <w:rFonts w:cs="Arial"/>
                <w:lang w:val="en-US"/>
              </w:rPr>
              <w:t>%)</w:t>
            </w:r>
          </w:p>
        </w:tc>
      </w:tr>
      <w:tr w:rsidR="007122AD" w14:paraId="30BD4B13" w14:textId="77777777" w:rsidTr="007122AD">
        <w:tc>
          <w:tcPr>
            <w:tcW w:w="3192" w:type="dxa"/>
          </w:tcPr>
          <w:p w14:paraId="68CB3D9B" w14:textId="61DCF369" w:rsidR="007122AD" w:rsidRPr="007122AD" w:rsidRDefault="007122AD" w:rsidP="007122AD">
            <w:pPr>
              <w:rPr>
                <w:rFonts w:cs="Arial"/>
              </w:rPr>
            </w:pPr>
            <w:r w:rsidRPr="007122AD">
              <w:rPr>
                <w:rFonts w:cs="Arial"/>
              </w:rPr>
              <w:t>Дълбока венозна тромбоза, включително и БТЕ (белодробна тромбоемболия)</w:t>
            </w:r>
          </w:p>
        </w:tc>
        <w:tc>
          <w:tcPr>
            <w:tcW w:w="3192" w:type="dxa"/>
          </w:tcPr>
          <w:p w14:paraId="58074311" w14:textId="7472FE2D" w:rsidR="007122AD" w:rsidRPr="007122AD" w:rsidRDefault="007122AD" w:rsidP="007122AD">
            <w:pPr>
              <w:rPr>
                <w:rFonts w:cs="Arial"/>
              </w:rPr>
            </w:pPr>
            <w:r w:rsidRPr="007122AD">
              <w:rPr>
                <w:rFonts w:cs="Arial"/>
              </w:rPr>
              <w:t>48 (1,6%)</w:t>
            </w:r>
          </w:p>
        </w:tc>
        <w:tc>
          <w:tcPr>
            <w:tcW w:w="3192" w:type="dxa"/>
          </w:tcPr>
          <w:p w14:paraId="29A4C243" w14:textId="7A8DE7ED" w:rsidR="007122AD" w:rsidRPr="007122AD" w:rsidRDefault="007122AD" w:rsidP="007122AD">
            <w:pPr>
              <w:rPr>
                <w:rFonts w:cs="Arial"/>
              </w:rPr>
            </w:pPr>
            <w:r w:rsidRPr="007122AD">
              <w:rPr>
                <w:rFonts w:cs="Arial"/>
                <w:lang w:val="en-US"/>
              </w:rPr>
              <w:t>74 (2</w:t>
            </w:r>
            <w:proofErr w:type="gramStart"/>
            <w:r w:rsidRPr="007122AD">
              <w:rPr>
                <w:rFonts w:cs="Arial"/>
                <w:lang w:val="en-US"/>
              </w:rPr>
              <w:t>,4</w:t>
            </w:r>
            <w:proofErr w:type="gramEnd"/>
            <w:r w:rsidRPr="007122AD">
              <w:rPr>
                <w:rFonts w:cs="Arial"/>
                <w:lang w:val="en-US"/>
              </w:rPr>
              <w:t>%)</w:t>
            </w:r>
          </w:p>
        </w:tc>
      </w:tr>
      <w:tr w:rsidR="007122AD" w14:paraId="2E5C2D29" w14:textId="77777777" w:rsidTr="007122AD">
        <w:tc>
          <w:tcPr>
            <w:tcW w:w="3192" w:type="dxa"/>
          </w:tcPr>
          <w:p w14:paraId="68F5DD5C" w14:textId="31075860" w:rsidR="007122AD" w:rsidRPr="007122AD" w:rsidRDefault="007122AD" w:rsidP="007122AD">
            <w:pPr>
              <w:rPr>
                <w:rFonts w:cs="Arial"/>
              </w:rPr>
            </w:pPr>
            <w:r w:rsidRPr="007122AD">
              <w:rPr>
                <w:rFonts w:cs="Arial"/>
              </w:rPr>
              <w:t>Исхемични мозъчни-съдови събития</w:t>
            </w:r>
          </w:p>
        </w:tc>
        <w:tc>
          <w:tcPr>
            <w:tcW w:w="3192" w:type="dxa"/>
          </w:tcPr>
          <w:p w14:paraId="3B39FADF" w14:textId="01D6164C" w:rsidR="007122AD" w:rsidRPr="007122AD" w:rsidRDefault="007122AD" w:rsidP="007122AD">
            <w:pPr>
              <w:rPr>
                <w:rFonts w:cs="Arial"/>
              </w:rPr>
            </w:pPr>
            <w:r w:rsidRPr="007122AD">
              <w:rPr>
                <w:rFonts w:cs="Arial"/>
              </w:rPr>
              <w:t>62 (2,0%)</w:t>
            </w:r>
          </w:p>
        </w:tc>
        <w:tc>
          <w:tcPr>
            <w:tcW w:w="3192" w:type="dxa"/>
          </w:tcPr>
          <w:p w14:paraId="3A5A1ECB" w14:textId="0D2216A9" w:rsidR="007122AD" w:rsidRPr="007122AD" w:rsidRDefault="007122AD" w:rsidP="007122AD">
            <w:pPr>
              <w:rPr>
                <w:rFonts w:cs="Arial"/>
              </w:rPr>
            </w:pPr>
            <w:r w:rsidRPr="007122AD">
              <w:rPr>
                <w:rFonts w:cs="Arial"/>
              </w:rPr>
              <w:t>88 (2,8%)</w:t>
            </w:r>
          </w:p>
        </w:tc>
      </w:tr>
      <w:tr w:rsidR="007122AD" w14:paraId="680EE8E8" w14:textId="77777777" w:rsidTr="007122AD">
        <w:tc>
          <w:tcPr>
            <w:tcW w:w="3192" w:type="dxa"/>
          </w:tcPr>
          <w:p w14:paraId="213D4873" w14:textId="6FCC1BF3" w:rsidR="007122AD" w:rsidRPr="007122AD" w:rsidRDefault="007122AD" w:rsidP="007122AD">
            <w:pPr>
              <w:rPr>
                <w:rFonts w:cs="Arial"/>
              </w:rPr>
            </w:pPr>
            <w:r w:rsidRPr="007122AD">
              <w:rPr>
                <w:rFonts w:cs="Arial"/>
              </w:rPr>
              <w:t>Ендометриален карцином</w:t>
            </w:r>
          </w:p>
        </w:tc>
        <w:tc>
          <w:tcPr>
            <w:tcW w:w="3192" w:type="dxa"/>
          </w:tcPr>
          <w:p w14:paraId="4711335A" w14:textId="04591FD9" w:rsidR="007122AD" w:rsidRPr="007122AD" w:rsidRDefault="007122AD" w:rsidP="007122AD">
            <w:pPr>
              <w:rPr>
                <w:rFonts w:cs="Arial"/>
              </w:rPr>
            </w:pPr>
            <w:r w:rsidRPr="007122AD">
              <w:rPr>
                <w:rFonts w:cs="Arial"/>
              </w:rPr>
              <w:t>4 (0,2%)</w:t>
            </w:r>
          </w:p>
        </w:tc>
        <w:tc>
          <w:tcPr>
            <w:tcW w:w="3192" w:type="dxa"/>
          </w:tcPr>
          <w:p w14:paraId="79EBD9C9" w14:textId="6A2785A5" w:rsidR="007122AD" w:rsidRPr="007122AD" w:rsidRDefault="007122AD" w:rsidP="007122AD">
            <w:pPr>
              <w:rPr>
                <w:rFonts w:cs="Arial"/>
              </w:rPr>
            </w:pPr>
            <w:r w:rsidRPr="007122AD">
              <w:rPr>
                <w:rFonts w:cs="Arial"/>
              </w:rPr>
              <w:t>13 (0,6%)</w:t>
            </w:r>
          </w:p>
        </w:tc>
      </w:tr>
    </w:tbl>
    <w:p w14:paraId="0B451682" w14:textId="77777777" w:rsidR="007122AD" w:rsidRDefault="007122AD" w:rsidP="007122AD">
      <w:pPr>
        <w:spacing w:line="240" w:lineRule="auto"/>
        <w:rPr>
          <w:rFonts w:ascii="Times New Roman" w:eastAsia="Times New Roman" w:hAnsi="Times New Roman" w:cs="Times New Roman"/>
          <w:color w:val="000000"/>
          <w:sz w:val="24"/>
          <w:szCs w:val="24"/>
          <w:lang w:eastAsia="bg-BG"/>
        </w:rPr>
      </w:pPr>
    </w:p>
    <w:p w14:paraId="7823B52D" w14:textId="467B825D" w:rsidR="007122AD" w:rsidRPr="007122AD" w:rsidRDefault="007122AD" w:rsidP="007122AD">
      <w:pPr>
        <w:spacing w:line="240" w:lineRule="auto"/>
        <w:rPr>
          <w:rFonts w:eastAsia="Times New Roman" w:cs="Arial"/>
          <w:szCs w:val="24"/>
        </w:rPr>
      </w:pPr>
      <w:r w:rsidRPr="007122AD">
        <w:rPr>
          <w:rFonts w:eastAsia="Times New Roman" w:cs="Arial"/>
          <w:color w:val="000000"/>
          <w:szCs w:val="24"/>
          <w:lang w:eastAsia="bg-BG"/>
        </w:rPr>
        <w:t>Честота на фрактурите от 22 на 1000 пациенти/годишно и 15 на 1000 пациенти/годиш но е наблюдавана в групите, съответно на анастрозол и тамоксифен, след проследяване средно 68 месеца. Наблюдаваната честота на фрактурите за анастрозол е подобна на честотата, наблюдавана във възрастовата група на постменопаузалната популация. Честотата на остеопороза е 10,5% при пациенти, лекувани с анастрозол и 7,3% при пациенти, лекувани с тамоксифен.</w:t>
      </w:r>
    </w:p>
    <w:p w14:paraId="0461C1F3" w14:textId="77777777" w:rsidR="007122AD" w:rsidRPr="007122AD" w:rsidRDefault="007122AD" w:rsidP="007122AD">
      <w:pPr>
        <w:spacing w:line="240" w:lineRule="auto"/>
        <w:rPr>
          <w:rFonts w:eastAsia="Times New Roman" w:cs="Arial"/>
          <w:color w:val="000000"/>
          <w:szCs w:val="24"/>
          <w:lang w:eastAsia="bg-BG"/>
        </w:rPr>
      </w:pPr>
    </w:p>
    <w:p w14:paraId="0CEA7C55" w14:textId="747D4234" w:rsidR="007122AD" w:rsidRPr="007122AD" w:rsidRDefault="007122AD" w:rsidP="007122AD">
      <w:pPr>
        <w:spacing w:line="240" w:lineRule="auto"/>
        <w:rPr>
          <w:rFonts w:eastAsia="Times New Roman" w:cs="Arial"/>
          <w:szCs w:val="24"/>
        </w:rPr>
      </w:pPr>
      <w:r w:rsidRPr="007122AD">
        <w:rPr>
          <w:rFonts w:eastAsia="Times New Roman" w:cs="Arial"/>
          <w:color w:val="000000"/>
          <w:szCs w:val="24"/>
          <w:lang w:eastAsia="bg-BG"/>
        </w:rPr>
        <w:t>Не е определено дали честотите на фрактури и оетеопороза, наблюдавани в АТАС при пациенти на терапия с анастрозол отразяват протективен ефект на тамоксифен, специфичен ефект на анастрозол или и двете.</w:t>
      </w:r>
    </w:p>
    <w:p w14:paraId="6278852E" w14:textId="77777777" w:rsidR="007122AD" w:rsidRPr="007122AD" w:rsidRDefault="007122AD" w:rsidP="007122AD">
      <w:pPr>
        <w:spacing w:line="240" w:lineRule="auto"/>
        <w:rPr>
          <w:rFonts w:eastAsia="Times New Roman" w:cs="Arial"/>
          <w:color w:val="000000"/>
          <w:szCs w:val="24"/>
          <w:u w:val="single"/>
          <w:lang w:eastAsia="bg-BG"/>
        </w:rPr>
      </w:pPr>
    </w:p>
    <w:p w14:paraId="1AB07B75" w14:textId="355A40E6" w:rsidR="007122AD" w:rsidRPr="007122AD" w:rsidRDefault="007122AD" w:rsidP="007122AD">
      <w:pPr>
        <w:spacing w:line="240" w:lineRule="auto"/>
        <w:rPr>
          <w:rFonts w:eastAsia="Times New Roman" w:cs="Arial"/>
          <w:szCs w:val="24"/>
        </w:rPr>
      </w:pPr>
      <w:r w:rsidRPr="007122AD">
        <w:rPr>
          <w:rFonts w:eastAsia="Times New Roman" w:cs="Arial"/>
          <w:color w:val="000000"/>
          <w:szCs w:val="24"/>
          <w:u w:val="single"/>
          <w:lang w:eastAsia="bg-BG"/>
        </w:rPr>
        <w:t>Съобщаване на подозирани нежелани реакции</w:t>
      </w:r>
    </w:p>
    <w:p w14:paraId="7F7D0247" w14:textId="77777777" w:rsidR="007122AD" w:rsidRPr="007122AD" w:rsidRDefault="007122AD" w:rsidP="007122AD">
      <w:pPr>
        <w:spacing w:line="240" w:lineRule="auto"/>
        <w:rPr>
          <w:rFonts w:eastAsia="Times New Roman" w:cs="Arial"/>
          <w:szCs w:val="24"/>
        </w:rPr>
      </w:pPr>
      <w:r w:rsidRPr="007122AD">
        <w:rPr>
          <w:rFonts w:eastAsia="Times New Roman" w:cs="Arial"/>
          <w:color w:val="000000"/>
          <w:szCs w:val="24"/>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665BD9FF" w14:textId="77777777" w:rsidR="007122AD" w:rsidRPr="007122AD" w:rsidRDefault="007122AD" w:rsidP="007122AD">
      <w:pPr>
        <w:spacing w:line="240" w:lineRule="auto"/>
        <w:rPr>
          <w:rFonts w:eastAsia="Times New Roman" w:cs="Arial"/>
          <w:color w:val="000000"/>
          <w:szCs w:val="24"/>
          <w:lang w:eastAsia="bg-BG"/>
        </w:rPr>
      </w:pPr>
    </w:p>
    <w:p w14:paraId="79CD68A2" w14:textId="449A1672" w:rsidR="007122AD" w:rsidRPr="007122AD" w:rsidRDefault="007122AD" w:rsidP="007122AD">
      <w:pPr>
        <w:spacing w:line="240" w:lineRule="auto"/>
        <w:rPr>
          <w:rFonts w:eastAsia="Times New Roman" w:cs="Arial"/>
          <w:szCs w:val="24"/>
        </w:rPr>
      </w:pPr>
      <w:r w:rsidRPr="007122AD">
        <w:rPr>
          <w:rFonts w:eastAsia="Times New Roman" w:cs="Arial"/>
          <w:color w:val="000000"/>
          <w:szCs w:val="24"/>
          <w:lang w:eastAsia="bg-BG"/>
        </w:rPr>
        <w:t>Изпълнителна агенция по лекарствата</w:t>
      </w:r>
    </w:p>
    <w:p w14:paraId="5833FF05" w14:textId="77777777" w:rsidR="007122AD" w:rsidRPr="007122AD" w:rsidRDefault="007122AD" w:rsidP="007122AD">
      <w:pPr>
        <w:spacing w:line="240" w:lineRule="auto"/>
        <w:rPr>
          <w:rFonts w:eastAsia="Times New Roman" w:cs="Arial"/>
          <w:szCs w:val="24"/>
        </w:rPr>
      </w:pPr>
      <w:r w:rsidRPr="007122AD">
        <w:rPr>
          <w:rFonts w:eastAsia="Times New Roman" w:cs="Arial"/>
          <w:color w:val="000000"/>
          <w:szCs w:val="24"/>
          <w:lang w:eastAsia="bg-BG"/>
        </w:rPr>
        <w:t>ул. „Дамян Груев” № 8</w:t>
      </w:r>
    </w:p>
    <w:p w14:paraId="5DCB3982" w14:textId="77777777" w:rsidR="007122AD" w:rsidRPr="007122AD" w:rsidRDefault="007122AD" w:rsidP="007122AD">
      <w:pPr>
        <w:spacing w:line="240" w:lineRule="auto"/>
        <w:rPr>
          <w:rFonts w:eastAsia="Times New Roman" w:cs="Arial"/>
          <w:szCs w:val="24"/>
        </w:rPr>
      </w:pPr>
      <w:r w:rsidRPr="007122AD">
        <w:rPr>
          <w:rFonts w:eastAsia="Times New Roman" w:cs="Arial"/>
          <w:color w:val="000000"/>
          <w:szCs w:val="24"/>
          <w:lang w:eastAsia="bg-BG"/>
        </w:rPr>
        <w:t>1303 София</w:t>
      </w:r>
    </w:p>
    <w:p w14:paraId="586A1022" w14:textId="77777777" w:rsidR="007122AD" w:rsidRPr="007122AD" w:rsidRDefault="007122AD" w:rsidP="007122AD">
      <w:pPr>
        <w:spacing w:line="240" w:lineRule="auto"/>
        <w:rPr>
          <w:rFonts w:eastAsia="Times New Roman" w:cs="Arial"/>
          <w:szCs w:val="24"/>
        </w:rPr>
      </w:pPr>
      <w:r w:rsidRPr="007122AD">
        <w:rPr>
          <w:rFonts w:eastAsia="Times New Roman" w:cs="Arial"/>
          <w:color w:val="000000"/>
          <w:szCs w:val="24"/>
          <w:lang w:eastAsia="bg-BG"/>
        </w:rPr>
        <w:t>тел.:+359 2 8903417</w:t>
      </w:r>
    </w:p>
    <w:p w14:paraId="77F9D55E" w14:textId="77777777" w:rsidR="007122AD" w:rsidRPr="007122AD" w:rsidRDefault="007122AD" w:rsidP="007122AD">
      <w:pPr>
        <w:spacing w:line="240" w:lineRule="auto"/>
        <w:rPr>
          <w:rFonts w:eastAsia="Times New Roman" w:cs="Arial"/>
          <w:szCs w:val="24"/>
        </w:rPr>
      </w:pPr>
      <w:r w:rsidRPr="007122AD">
        <w:rPr>
          <w:rFonts w:eastAsia="Times New Roman" w:cs="Arial"/>
          <w:color w:val="000000"/>
          <w:szCs w:val="24"/>
          <w:lang w:eastAsia="bg-BG"/>
        </w:rPr>
        <w:t xml:space="preserve">уебсайт: </w:t>
      </w:r>
      <w:r w:rsidRPr="007122AD">
        <w:rPr>
          <w:rFonts w:eastAsia="Times New Roman" w:cs="Arial"/>
          <w:szCs w:val="24"/>
        </w:rPr>
        <w:fldChar w:fldCharType="begin"/>
      </w:r>
      <w:r w:rsidRPr="007122AD">
        <w:rPr>
          <w:rFonts w:eastAsia="Times New Roman" w:cs="Arial"/>
          <w:szCs w:val="24"/>
        </w:rPr>
        <w:instrText xml:space="preserve"> HYPERLINK "http://www.bda.bg" </w:instrText>
      </w:r>
      <w:r w:rsidRPr="007122AD">
        <w:rPr>
          <w:rFonts w:eastAsia="Times New Roman" w:cs="Arial"/>
          <w:szCs w:val="24"/>
        </w:rPr>
      </w:r>
      <w:r w:rsidRPr="007122AD">
        <w:rPr>
          <w:rFonts w:eastAsia="Times New Roman" w:cs="Arial"/>
          <w:szCs w:val="24"/>
        </w:rPr>
        <w:fldChar w:fldCharType="separate"/>
      </w:r>
      <w:r w:rsidRPr="007122AD">
        <w:rPr>
          <w:rFonts w:eastAsia="Times New Roman" w:cs="Arial"/>
          <w:color w:val="000000"/>
          <w:szCs w:val="24"/>
          <w:u w:val="single"/>
          <w:lang w:val="en-US"/>
        </w:rPr>
        <w:t>www</w:t>
      </w:r>
      <w:r w:rsidRPr="007122AD">
        <w:rPr>
          <w:rFonts w:eastAsia="Times New Roman" w:cs="Arial"/>
          <w:color w:val="000000"/>
          <w:szCs w:val="24"/>
          <w:u w:val="single"/>
          <w:lang w:val="ru-RU"/>
        </w:rPr>
        <w:t>.</w:t>
      </w:r>
      <w:proofErr w:type="spellStart"/>
      <w:r w:rsidRPr="007122AD">
        <w:rPr>
          <w:rFonts w:eastAsia="Times New Roman" w:cs="Arial"/>
          <w:color w:val="000000"/>
          <w:szCs w:val="24"/>
          <w:u w:val="single"/>
          <w:lang w:val="en-US"/>
        </w:rPr>
        <w:t>bda</w:t>
      </w:r>
      <w:proofErr w:type="spellEnd"/>
      <w:r w:rsidRPr="007122AD">
        <w:rPr>
          <w:rFonts w:eastAsia="Times New Roman" w:cs="Arial"/>
          <w:color w:val="000000"/>
          <w:szCs w:val="24"/>
          <w:u w:val="single"/>
          <w:lang w:val="ru-RU"/>
        </w:rPr>
        <w:t>.</w:t>
      </w:r>
      <w:proofErr w:type="spellStart"/>
      <w:r w:rsidRPr="007122AD">
        <w:rPr>
          <w:rFonts w:eastAsia="Times New Roman" w:cs="Arial"/>
          <w:color w:val="000000"/>
          <w:szCs w:val="24"/>
          <w:u w:val="single"/>
          <w:lang w:val="en-US"/>
        </w:rPr>
        <w:t>bg</w:t>
      </w:r>
      <w:proofErr w:type="spellEnd"/>
      <w:r w:rsidRPr="007122AD">
        <w:rPr>
          <w:rFonts w:eastAsia="Times New Roman" w:cs="Arial"/>
          <w:szCs w:val="24"/>
        </w:rPr>
        <w:fldChar w:fldCharType="end"/>
      </w:r>
    </w:p>
    <w:p w14:paraId="44CE30A3" w14:textId="352CC1C5" w:rsidR="007122AD" w:rsidRPr="007122AD" w:rsidRDefault="007122AD" w:rsidP="007122AD"/>
    <w:p w14:paraId="0A023CE0" w14:textId="704A21C2" w:rsidR="00CF77F7" w:rsidRDefault="002C50EE" w:rsidP="004A448E">
      <w:pPr>
        <w:pStyle w:val="Heading2"/>
      </w:pPr>
      <w:r>
        <w:t>4.9. Предозиране</w:t>
      </w:r>
    </w:p>
    <w:p w14:paraId="66FDF1EE" w14:textId="37372B60" w:rsidR="007122AD" w:rsidRDefault="007122AD" w:rsidP="007122AD"/>
    <w:p w14:paraId="74FBBE51" w14:textId="77777777" w:rsidR="007122AD" w:rsidRPr="007122AD" w:rsidRDefault="007122AD" w:rsidP="007122AD">
      <w:pPr>
        <w:spacing w:line="240" w:lineRule="auto"/>
        <w:rPr>
          <w:rFonts w:eastAsia="Times New Roman" w:cs="Arial"/>
          <w:szCs w:val="24"/>
        </w:rPr>
      </w:pPr>
      <w:r w:rsidRPr="007122AD">
        <w:rPr>
          <w:rFonts w:eastAsia="Times New Roman" w:cs="Arial"/>
          <w:color w:val="000000"/>
          <w:szCs w:val="24"/>
          <w:lang w:eastAsia="bg-BG"/>
        </w:rPr>
        <w:t xml:space="preserve">Клиничният опит със случайно предозиране е ограничен. При изследванията върху животни анастрозол е показал ограничена остра токсичност. Клиничните изпитвания са се провеждали с различни дози до 60 </w:t>
      </w:r>
      <w:r w:rsidRPr="007122AD">
        <w:rPr>
          <w:rFonts w:eastAsia="Times New Roman" w:cs="Arial"/>
          <w:color w:val="000000"/>
          <w:szCs w:val="24"/>
          <w:lang w:val="en-US"/>
        </w:rPr>
        <w:t>mg</w:t>
      </w:r>
      <w:r w:rsidRPr="007122AD">
        <w:rPr>
          <w:rFonts w:eastAsia="Times New Roman" w:cs="Arial"/>
          <w:color w:val="000000"/>
          <w:szCs w:val="24"/>
          <w:lang w:val="ru-RU"/>
        </w:rPr>
        <w:t xml:space="preserve"> </w:t>
      </w:r>
      <w:r w:rsidRPr="007122AD">
        <w:rPr>
          <w:rFonts w:eastAsia="Times New Roman" w:cs="Arial"/>
          <w:color w:val="000000"/>
          <w:szCs w:val="24"/>
          <w:lang w:eastAsia="bg-BG"/>
        </w:rPr>
        <w:t xml:space="preserve">единична доза, прилагана на здрави доброволци - мъже и до 10 </w:t>
      </w:r>
      <w:r w:rsidRPr="007122AD">
        <w:rPr>
          <w:rFonts w:eastAsia="Times New Roman" w:cs="Arial"/>
          <w:color w:val="000000"/>
          <w:szCs w:val="24"/>
          <w:lang w:val="en-US"/>
        </w:rPr>
        <w:t>mg</w:t>
      </w:r>
      <w:r w:rsidRPr="007122AD">
        <w:rPr>
          <w:rFonts w:eastAsia="Times New Roman" w:cs="Arial"/>
          <w:color w:val="000000"/>
          <w:szCs w:val="24"/>
          <w:lang w:val="ru-RU"/>
        </w:rPr>
        <w:t xml:space="preserve"> </w:t>
      </w:r>
      <w:r w:rsidRPr="007122AD">
        <w:rPr>
          <w:rFonts w:eastAsia="Times New Roman" w:cs="Arial"/>
          <w:color w:val="000000"/>
          <w:szCs w:val="24"/>
          <w:lang w:eastAsia="bg-BG"/>
        </w:rPr>
        <w:t>дневно, прилагани на жени в менопауза с напреднал карцином на гърдата; тези дозировки са се понасяли добре. Не е установена единична доза Анастрогратис, която да предизвиква животозастрашаващи симптоми. Няма специфичен антидот при предозиране и лечението трябва да бъде симптоматично.</w:t>
      </w:r>
    </w:p>
    <w:p w14:paraId="5A7D461F" w14:textId="77777777" w:rsidR="007122AD" w:rsidRPr="007122AD" w:rsidRDefault="007122AD" w:rsidP="007122AD">
      <w:pPr>
        <w:spacing w:line="240" w:lineRule="auto"/>
        <w:rPr>
          <w:rFonts w:eastAsia="Times New Roman" w:cs="Arial"/>
          <w:color w:val="000000"/>
          <w:szCs w:val="24"/>
          <w:lang w:eastAsia="bg-BG"/>
        </w:rPr>
      </w:pPr>
    </w:p>
    <w:p w14:paraId="78C10D9A" w14:textId="2133C79B" w:rsidR="007122AD" w:rsidRPr="007122AD" w:rsidRDefault="007122AD" w:rsidP="007122AD">
      <w:pPr>
        <w:spacing w:line="240" w:lineRule="auto"/>
        <w:rPr>
          <w:rFonts w:ascii="Times New Roman" w:eastAsia="Times New Roman" w:hAnsi="Times New Roman" w:cs="Times New Roman"/>
          <w:sz w:val="24"/>
          <w:szCs w:val="24"/>
        </w:rPr>
      </w:pPr>
      <w:r w:rsidRPr="007122AD">
        <w:rPr>
          <w:rFonts w:eastAsia="Times New Roman" w:cs="Arial"/>
          <w:color w:val="000000"/>
          <w:szCs w:val="24"/>
          <w:lang w:eastAsia="bg-BG"/>
        </w:rPr>
        <w:t xml:space="preserve">При лечение на предозирането трябва да се има предвид възможността за приемане на множество лекарствени продукти. Ако пациентката е в съзнание, може да се предизвика </w:t>
      </w:r>
      <w:r w:rsidRPr="007122AD">
        <w:rPr>
          <w:rFonts w:eastAsia="Times New Roman" w:cs="Arial"/>
          <w:color w:val="000000"/>
          <w:szCs w:val="24"/>
          <w:lang w:eastAsia="bg-BG"/>
        </w:rPr>
        <w:lastRenderedPageBreak/>
        <w:t>повръщане. Диализата може да бъде от полза, защото анастрозол не се свързва във висока степен с плазмените протеини. Показани са общи поддържащи мерки, включително често проследяване на виталните показатели и внимателно наблюдение на пациентката.</w:t>
      </w:r>
    </w:p>
    <w:p w14:paraId="5A87DBA3" w14:textId="77777777" w:rsidR="007122AD" w:rsidRPr="007122AD" w:rsidRDefault="007122AD" w:rsidP="007122AD"/>
    <w:p w14:paraId="02081B24" w14:textId="1F46E296" w:rsidR="00395555" w:rsidRPr="00395555" w:rsidRDefault="002C50EE" w:rsidP="008A6AF2">
      <w:pPr>
        <w:pStyle w:val="Heading1"/>
      </w:pPr>
      <w:r>
        <w:t>5. ФАРМАКОЛОГИЧНИ СВОЙСТВА</w:t>
      </w:r>
    </w:p>
    <w:p w14:paraId="32B6DE66" w14:textId="12F7F1AD" w:rsidR="00CF77F7" w:rsidRDefault="002C50EE" w:rsidP="004A448E">
      <w:pPr>
        <w:pStyle w:val="Heading2"/>
      </w:pPr>
      <w:r>
        <w:t>5.1. Фармакодинамични свойства</w:t>
      </w:r>
    </w:p>
    <w:p w14:paraId="4CFF283A" w14:textId="73B7239E" w:rsidR="007122AD" w:rsidRDefault="007122AD" w:rsidP="007122AD"/>
    <w:p w14:paraId="6A4D0D12" w14:textId="77777777" w:rsidR="007122AD" w:rsidRPr="007122AD" w:rsidRDefault="007122AD" w:rsidP="007122AD">
      <w:pPr>
        <w:spacing w:line="240" w:lineRule="auto"/>
        <w:rPr>
          <w:rFonts w:eastAsia="Times New Roman" w:cs="Arial"/>
          <w:szCs w:val="24"/>
        </w:rPr>
      </w:pPr>
      <w:r w:rsidRPr="007122AD">
        <w:rPr>
          <w:rFonts w:eastAsia="Times New Roman" w:cs="Arial"/>
          <w:color w:val="000000"/>
          <w:szCs w:val="24"/>
          <w:lang w:eastAsia="bg-BG"/>
        </w:rPr>
        <w:t xml:space="preserve">Фармакокинетична група: ензимни инхибитори, АТС код: </w:t>
      </w:r>
      <w:r w:rsidRPr="007122AD">
        <w:rPr>
          <w:rFonts w:eastAsia="Times New Roman" w:cs="Arial"/>
          <w:color w:val="000000"/>
          <w:szCs w:val="24"/>
          <w:lang w:val="en-US"/>
        </w:rPr>
        <w:t>L</w:t>
      </w:r>
      <w:r w:rsidRPr="007122AD">
        <w:rPr>
          <w:rFonts w:eastAsia="Times New Roman" w:cs="Arial"/>
          <w:color w:val="000000"/>
          <w:szCs w:val="24"/>
          <w:lang w:val="ru-RU"/>
        </w:rPr>
        <w:t>02</w:t>
      </w:r>
      <w:r w:rsidRPr="007122AD">
        <w:rPr>
          <w:rFonts w:eastAsia="Times New Roman" w:cs="Arial"/>
          <w:color w:val="000000"/>
          <w:szCs w:val="24"/>
          <w:lang w:val="en-US"/>
        </w:rPr>
        <w:t>BG</w:t>
      </w:r>
      <w:r w:rsidRPr="007122AD">
        <w:rPr>
          <w:rFonts w:eastAsia="Times New Roman" w:cs="Arial"/>
          <w:color w:val="000000"/>
          <w:szCs w:val="24"/>
          <w:lang w:val="ru-RU"/>
        </w:rPr>
        <w:t>03</w:t>
      </w:r>
    </w:p>
    <w:p w14:paraId="261E2D2A" w14:textId="77777777" w:rsidR="007122AD" w:rsidRPr="007122AD" w:rsidRDefault="007122AD" w:rsidP="007122AD">
      <w:pPr>
        <w:spacing w:line="240" w:lineRule="auto"/>
        <w:rPr>
          <w:rFonts w:eastAsia="Times New Roman" w:cs="Arial"/>
          <w:color w:val="000000"/>
          <w:szCs w:val="24"/>
          <w:u w:val="single"/>
          <w:lang w:eastAsia="bg-BG"/>
        </w:rPr>
      </w:pPr>
    </w:p>
    <w:p w14:paraId="28FB54E4" w14:textId="6587CF07" w:rsidR="007122AD" w:rsidRPr="007122AD" w:rsidRDefault="007122AD" w:rsidP="007122AD">
      <w:pPr>
        <w:spacing w:line="240" w:lineRule="auto"/>
        <w:rPr>
          <w:rFonts w:eastAsia="Times New Roman" w:cs="Arial"/>
          <w:szCs w:val="24"/>
        </w:rPr>
      </w:pPr>
      <w:r w:rsidRPr="007122AD">
        <w:rPr>
          <w:rFonts w:eastAsia="Times New Roman" w:cs="Arial"/>
          <w:color w:val="000000"/>
          <w:szCs w:val="24"/>
          <w:u w:val="single"/>
          <w:lang w:eastAsia="bg-BG"/>
        </w:rPr>
        <w:t>Механизъм на действие и фармакодинамични ефекти</w:t>
      </w:r>
    </w:p>
    <w:p w14:paraId="0EEF07F5" w14:textId="77777777" w:rsidR="007122AD" w:rsidRPr="007122AD" w:rsidRDefault="007122AD" w:rsidP="007122AD">
      <w:pPr>
        <w:spacing w:line="240" w:lineRule="auto"/>
        <w:rPr>
          <w:rFonts w:eastAsia="Times New Roman" w:cs="Arial"/>
          <w:color w:val="000000"/>
          <w:szCs w:val="24"/>
          <w:lang w:eastAsia="bg-BG"/>
        </w:rPr>
      </w:pPr>
    </w:p>
    <w:p w14:paraId="4CF47124" w14:textId="6EB77421" w:rsidR="007122AD" w:rsidRPr="007122AD" w:rsidRDefault="007122AD" w:rsidP="007122AD">
      <w:pPr>
        <w:spacing w:line="240" w:lineRule="auto"/>
        <w:rPr>
          <w:rFonts w:eastAsia="Times New Roman" w:cs="Arial"/>
          <w:szCs w:val="24"/>
        </w:rPr>
      </w:pPr>
      <w:r w:rsidRPr="007122AD">
        <w:rPr>
          <w:rFonts w:eastAsia="Times New Roman" w:cs="Arial"/>
          <w:color w:val="000000"/>
          <w:szCs w:val="24"/>
          <w:lang w:eastAsia="bg-BG"/>
        </w:rPr>
        <w:t xml:space="preserve">Анастрозол е мощен и високо селективен нестероиден инхибитор на ароматазата. При жени след менопауза естрадиолът се произвежда предимно чрез превръщане на андростендиона в естрон с помощта на ензимния комплекс ароматаза в периферните тъкани. След това естрон се превръща в естрадиол. Доказано е, че намаляването на нивата на циркулиращия естрадиол оказва благоприятно въздействие при жени с карцином на гърдата. При жени след менопауза дневна доза от 1 </w:t>
      </w:r>
      <w:r w:rsidRPr="007122AD">
        <w:rPr>
          <w:rFonts w:eastAsia="Times New Roman" w:cs="Arial"/>
          <w:color w:val="000000"/>
          <w:szCs w:val="24"/>
          <w:lang w:val="en-US"/>
        </w:rPr>
        <w:t>mg</w:t>
      </w:r>
      <w:r w:rsidRPr="007122AD">
        <w:rPr>
          <w:rFonts w:eastAsia="Times New Roman" w:cs="Arial"/>
          <w:color w:val="000000"/>
          <w:szCs w:val="24"/>
          <w:lang w:val="ru-RU"/>
        </w:rPr>
        <w:t xml:space="preserve"> </w:t>
      </w:r>
      <w:r w:rsidRPr="007122AD">
        <w:rPr>
          <w:rFonts w:eastAsia="Times New Roman" w:cs="Arial"/>
          <w:color w:val="000000"/>
          <w:szCs w:val="24"/>
          <w:lang w:eastAsia="bg-BG"/>
        </w:rPr>
        <w:t>анастрозол води до потискане на естрадиола над 80%. което е доказано чрез високо чувствителна проба.</w:t>
      </w:r>
    </w:p>
    <w:p w14:paraId="446279DE" w14:textId="77777777" w:rsidR="007122AD" w:rsidRPr="007122AD" w:rsidRDefault="007122AD" w:rsidP="007122AD">
      <w:pPr>
        <w:spacing w:line="240" w:lineRule="auto"/>
        <w:rPr>
          <w:rFonts w:eastAsia="Times New Roman" w:cs="Arial"/>
          <w:color w:val="000000"/>
          <w:szCs w:val="24"/>
          <w:lang w:eastAsia="bg-BG"/>
        </w:rPr>
      </w:pPr>
    </w:p>
    <w:p w14:paraId="58A54266" w14:textId="5F75C70F" w:rsidR="007122AD" w:rsidRPr="007122AD" w:rsidRDefault="007122AD" w:rsidP="007122AD">
      <w:pPr>
        <w:spacing w:line="240" w:lineRule="auto"/>
        <w:rPr>
          <w:rFonts w:eastAsia="Times New Roman" w:cs="Arial"/>
          <w:szCs w:val="24"/>
        </w:rPr>
      </w:pPr>
      <w:r w:rsidRPr="007122AD">
        <w:rPr>
          <w:rFonts w:eastAsia="Times New Roman" w:cs="Arial"/>
          <w:color w:val="000000"/>
          <w:szCs w:val="24"/>
          <w:lang w:eastAsia="bg-BG"/>
        </w:rPr>
        <w:t>Анастрозол не притежава прогестагенно, андрогенно или естрогенно действие.</w:t>
      </w:r>
    </w:p>
    <w:p w14:paraId="75231F54" w14:textId="77777777" w:rsidR="007122AD" w:rsidRPr="007122AD" w:rsidRDefault="007122AD" w:rsidP="007122AD">
      <w:pPr>
        <w:spacing w:line="240" w:lineRule="auto"/>
        <w:rPr>
          <w:rFonts w:eastAsia="Times New Roman" w:cs="Arial"/>
          <w:color w:val="000000"/>
          <w:szCs w:val="24"/>
          <w:lang w:eastAsia="bg-BG"/>
        </w:rPr>
      </w:pPr>
    </w:p>
    <w:p w14:paraId="56F13877" w14:textId="241C84E6" w:rsidR="007122AD" w:rsidRPr="007122AD" w:rsidRDefault="007122AD" w:rsidP="007122AD">
      <w:pPr>
        <w:spacing w:line="240" w:lineRule="auto"/>
        <w:rPr>
          <w:rFonts w:eastAsia="Times New Roman" w:cs="Arial"/>
          <w:szCs w:val="24"/>
        </w:rPr>
      </w:pPr>
      <w:r w:rsidRPr="007122AD">
        <w:rPr>
          <w:rFonts w:eastAsia="Times New Roman" w:cs="Arial"/>
          <w:color w:val="000000"/>
          <w:szCs w:val="24"/>
          <w:lang w:eastAsia="bg-BG"/>
        </w:rPr>
        <w:t xml:space="preserve">До 10 </w:t>
      </w:r>
      <w:r w:rsidRPr="007122AD">
        <w:rPr>
          <w:rFonts w:eastAsia="Times New Roman" w:cs="Arial"/>
          <w:color w:val="000000"/>
          <w:szCs w:val="24"/>
          <w:lang w:val="en-US"/>
        </w:rPr>
        <w:t>mg</w:t>
      </w:r>
      <w:r w:rsidRPr="007122AD">
        <w:rPr>
          <w:rFonts w:eastAsia="Times New Roman" w:cs="Arial"/>
          <w:color w:val="000000"/>
          <w:szCs w:val="24"/>
          <w:lang w:val="ru-RU"/>
        </w:rPr>
        <w:t xml:space="preserve"> </w:t>
      </w:r>
      <w:r w:rsidRPr="007122AD">
        <w:rPr>
          <w:rFonts w:eastAsia="Times New Roman" w:cs="Arial"/>
          <w:color w:val="000000"/>
          <w:szCs w:val="24"/>
          <w:lang w:eastAsia="bg-BG"/>
        </w:rPr>
        <w:t>дневна доза анастрозол не е повлияла секрецията на кортизола или алдостерона, измерена преди и след обичайното стимулиране на АКТХ. Поради това не е необходимо добавяне на кортикостероиди.</w:t>
      </w:r>
    </w:p>
    <w:p w14:paraId="3E3E6EFE" w14:textId="77777777" w:rsidR="007122AD" w:rsidRPr="007122AD" w:rsidRDefault="007122AD" w:rsidP="007122AD">
      <w:pPr>
        <w:spacing w:line="240" w:lineRule="auto"/>
        <w:rPr>
          <w:rFonts w:eastAsia="Times New Roman" w:cs="Arial"/>
          <w:color w:val="000000"/>
          <w:szCs w:val="24"/>
          <w:u w:val="single"/>
          <w:lang w:eastAsia="bg-BG"/>
        </w:rPr>
      </w:pPr>
    </w:p>
    <w:p w14:paraId="7F101F45" w14:textId="03110020" w:rsidR="007122AD" w:rsidRPr="007122AD" w:rsidRDefault="007122AD" w:rsidP="007122AD">
      <w:pPr>
        <w:spacing w:line="240" w:lineRule="auto"/>
        <w:rPr>
          <w:rFonts w:eastAsia="Times New Roman" w:cs="Arial"/>
          <w:szCs w:val="24"/>
        </w:rPr>
      </w:pPr>
      <w:r w:rsidRPr="007122AD">
        <w:rPr>
          <w:rFonts w:eastAsia="Times New Roman" w:cs="Arial"/>
          <w:color w:val="000000"/>
          <w:szCs w:val="24"/>
          <w:u w:val="single"/>
          <w:lang w:eastAsia="bg-BG"/>
        </w:rPr>
        <w:t>Клинична ефикасност и безопасност</w:t>
      </w:r>
    </w:p>
    <w:p w14:paraId="1E343F63" w14:textId="77777777" w:rsidR="007122AD" w:rsidRPr="007122AD" w:rsidRDefault="007122AD" w:rsidP="007122AD">
      <w:pPr>
        <w:spacing w:line="240" w:lineRule="auto"/>
        <w:rPr>
          <w:rFonts w:eastAsia="Times New Roman" w:cs="Arial"/>
          <w:i/>
          <w:iCs/>
          <w:color w:val="000000"/>
          <w:szCs w:val="24"/>
          <w:u w:val="single"/>
          <w:lang w:eastAsia="bg-BG"/>
        </w:rPr>
      </w:pPr>
    </w:p>
    <w:p w14:paraId="288C8571" w14:textId="614B3B71" w:rsidR="007122AD" w:rsidRPr="007122AD" w:rsidRDefault="007122AD" w:rsidP="007122AD">
      <w:pPr>
        <w:spacing w:line="240" w:lineRule="auto"/>
        <w:rPr>
          <w:rFonts w:eastAsia="Times New Roman" w:cs="Arial"/>
          <w:szCs w:val="24"/>
        </w:rPr>
      </w:pPr>
      <w:r w:rsidRPr="007122AD">
        <w:rPr>
          <w:rFonts w:eastAsia="Times New Roman" w:cs="Arial"/>
          <w:i/>
          <w:iCs/>
          <w:color w:val="000000"/>
          <w:szCs w:val="24"/>
          <w:u w:val="single"/>
          <w:lang w:eastAsia="bg-BG"/>
        </w:rPr>
        <w:t>Авансирал рак на гърдата</w:t>
      </w:r>
    </w:p>
    <w:p w14:paraId="7F8D0D7C" w14:textId="77777777" w:rsidR="007122AD" w:rsidRPr="007122AD" w:rsidRDefault="007122AD" w:rsidP="007122AD">
      <w:pPr>
        <w:spacing w:line="240" w:lineRule="auto"/>
        <w:rPr>
          <w:rFonts w:eastAsia="Times New Roman" w:cs="Arial"/>
          <w:b/>
          <w:bCs/>
          <w:color w:val="000000"/>
          <w:szCs w:val="24"/>
          <w:lang w:eastAsia="bg-BG"/>
        </w:rPr>
      </w:pPr>
      <w:bookmarkStart w:id="1" w:name="bookmark0"/>
    </w:p>
    <w:p w14:paraId="31E7FEC4" w14:textId="10EA1750" w:rsidR="007122AD" w:rsidRPr="007122AD" w:rsidRDefault="007122AD" w:rsidP="007122AD">
      <w:pPr>
        <w:spacing w:line="240" w:lineRule="auto"/>
        <w:rPr>
          <w:rFonts w:eastAsia="Times New Roman" w:cs="Arial"/>
          <w:szCs w:val="24"/>
        </w:rPr>
      </w:pPr>
      <w:r w:rsidRPr="007122AD">
        <w:rPr>
          <w:rFonts w:eastAsia="Times New Roman" w:cs="Arial"/>
          <w:b/>
          <w:bCs/>
          <w:color w:val="000000"/>
          <w:szCs w:val="24"/>
          <w:lang w:eastAsia="bg-BG"/>
        </w:rPr>
        <w:t>Лечение от първа линия при постменопаузални жени с авансирал рак на гърдата</w:t>
      </w:r>
      <w:bookmarkEnd w:id="1"/>
    </w:p>
    <w:p w14:paraId="2C258051" w14:textId="77777777" w:rsidR="007122AD" w:rsidRPr="007122AD" w:rsidRDefault="007122AD" w:rsidP="007122AD">
      <w:pPr>
        <w:spacing w:line="240" w:lineRule="auto"/>
        <w:rPr>
          <w:rFonts w:eastAsia="Times New Roman" w:cs="Arial"/>
          <w:szCs w:val="24"/>
        </w:rPr>
      </w:pPr>
      <w:r w:rsidRPr="007122AD">
        <w:rPr>
          <w:rFonts w:eastAsia="Times New Roman" w:cs="Arial"/>
          <w:color w:val="000000"/>
          <w:szCs w:val="24"/>
          <w:lang w:eastAsia="bg-BG"/>
        </w:rPr>
        <w:t xml:space="preserve">Проведени са 2 двойнослепи, контролирани клинични проучвания със сходен дизайн (Проучване </w:t>
      </w:r>
      <w:r w:rsidRPr="007122AD">
        <w:rPr>
          <w:rFonts w:eastAsia="Times New Roman" w:cs="Arial"/>
          <w:color w:val="000000"/>
          <w:szCs w:val="24"/>
          <w:lang w:val="ru-RU"/>
        </w:rPr>
        <w:t>1033</w:t>
      </w:r>
      <w:r w:rsidRPr="007122AD">
        <w:rPr>
          <w:rFonts w:eastAsia="Times New Roman" w:cs="Arial"/>
          <w:color w:val="000000"/>
          <w:szCs w:val="24"/>
          <w:lang w:val="en-US"/>
        </w:rPr>
        <w:t>IL</w:t>
      </w:r>
      <w:r w:rsidRPr="007122AD">
        <w:rPr>
          <w:rFonts w:eastAsia="Times New Roman" w:cs="Arial"/>
          <w:color w:val="000000"/>
          <w:szCs w:val="24"/>
          <w:lang w:val="ru-RU"/>
        </w:rPr>
        <w:t xml:space="preserve">/0030 </w:t>
      </w:r>
      <w:r w:rsidRPr="007122AD">
        <w:rPr>
          <w:rFonts w:eastAsia="Times New Roman" w:cs="Arial"/>
          <w:color w:val="000000"/>
          <w:szCs w:val="24"/>
          <w:lang w:eastAsia="bg-BG"/>
        </w:rPr>
        <w:t xml:space="preserve">и Проучване </w:t>
      </w:r>
      <w:r w:rsidRPr="007122AD">
        <w:rPr>
          <w:rFonts w:eastAsia="Times New Roman" w:cs="Arial"/>
          <w:color w:val="000000"/>
          <w:szCs w:val="24"/>
          <w:lang w:val="ru-RU"/>
        </w:rPr>
        <w:t>1033</w:t>
      </w:r>
      <w:r w:rsidRPr="007122AD">
        <w:rPr>
          <w:rFonts w:eastAsia="Times New Roman" w:cs="Arial"/>
          <w:color w:val="000000"/>
          <w:szCs w:val="24"/>
          <w:lang w:val="en-US"/>
        </w:rPr>
        <w:t>IL</w:t>
      </w:r>
      <w:r w:rsidRPr="007122AD">
        <w:rPr>
          <w:rFonts w:eastAsia="Times New Roman" w:cs="Arial"/>
          <w:color w:val="000000"/>
          <w:szCs w:val="24"/>
          <w:lang w:val="ru-RU"/>
        </w:rPr>
        <w:t xml:space="preserve">/0027) </w:t>
      </w:r>
      <w:r w:rsidRPr="007122AD">
        <w:rPr>
          <w:rFonts w:eastAsia="Times New Roman" w:cs="Arial"/>
          <w:color w:val="000000"/>
          <w:szCs w:val="24"/>
          <w:lang w:eastAsia="bg-BG"/>
        </w:rPr>
        <w:t xml:space="preserve">с цел оценка на ефикасността на Анастрогратис в сравнение с тамоксифен, като лечение от първа линия на положителен за хормонални рецептори или с неизвестна експресия на хормонални рецептори локално авансирал или метастазирал рак на гърдата при постменопаузални жени. Общо 1 021 пациентки са рандомизирани да получават или Анастрогратис 1 </w:t>
      </w:r>
      <w:r w:rsidRPr="007122AD">
        <w:rPr>
          <w:rFonts w:eastAsia="Times New Roman" w:cs="Arial"/>
          <w:color w:val="000000"/>
          <w:szCs w:val="24"/>
          <w:lang w:val="en-US"/>
        </w:rPr>
        <w:t>mg</w:t>
      </w:r>
      <w:r w:rsidRPr="007122AD">
        <w:rPr>
          <w:rFonts w:eastAsia="Times New Roman" w:cs="Arial"/>
          <w:color w:val="000000"/>
          <w:szCs w:val="24"/>
          <w:lang w:val="ru-RU"/>
        </w:rPr>
        <w:t xml:space="preserve"> </w:t>
      </w:r>
      <w:r w:rsidRPr="007122AD">
        <w:rPr>
          <w:rFonts w:eastAsia="Times New Roman" w:cs="Arial"/>
          <w:color w:val="000000"/>
          <w:szCs w:val="24"/>
          <w:lang w:eastAsia="bg-BG"/>
        </w:rPr>
        <w:t xml:space="preserve">еднократно дневно, или тамоксифен 20 </w:t>
      </w:r>
      <w:r w:rsidRPr="007122AD">
        <w:rPr>
          <w:rFonts w:eastAsia="Times New Roman" w:cs="Arial"/>
          <w:color w:val="000000"/>
          <w:szCs w:val="24"/>
          <w:lang w:val="en-US"/>
        </w:rPr>
        <w:t>mg</w:t>
      </w:r>
      <w:r w:rsidRPr="007122AD">
        <w:rPr>
          <w:rFonts w:eastAsia="Times New Roman" w:cs="Arial"/>
          <w:color w:val="000000"/>
          <w:szCs w:val="24"/>
          <w:lang w:val="ru-RU"/>
        </w:rPr>
        <w:t xml:space="preserve"> </w:t>
      </w:r>
      <w:r w:rsidRPr="007122AD">
        <w:rPr>
          <w:rFonts w:eastAsia="Times New Roman" w:cs="Arial"/>
          <w:color w:val="000000"/>
          <w:szCs w:val="24"/>
          <w:lang w:eastAsia="bg-BG"/>
        </w:rPr>
        <w:t>еднократно дневно. И в двете проучвания първичните крайни точки са време до прогресия на тумора, степен на обективно повлияване на тумора и безопасност.</w:t>
      </w:r>
    </w:p>
    <w:p w14:paraId="54B51FF4" w14:textId="77777777" w:rsidR="007122AD" w:rsidRPr="007122AD" w:rsidRDefault="007122AD" w:rsidP="007122AD">
      <w:pPr>
        <w:rPr>
          <w:rFonts w:eastAsia="Times New Roman" w:cs="Arial"/>
          <w:color w:val="000000"/>
          <w:szCs w:val="24"/>
          <w:lang w:eastAsia="bg-BG"/>
        </w:rPr>
      </w:pPr>
    </w:p>
    <w:p w14:paraId="53DE497A" w14:textId="4397C754" w:rsidR="007122AD" w:rsidRPr="007122AD" w:rsidRDefault="007122AD" w:rsidP="007122AD">
      <w:pPr>
        <w:rPr>
          <w:rFonts w:eastAsia="Times New Roman" w:cs="Arial"/>
          <w:color w:val="000000"/>
          <w:szCs w:val="24"/>
          <w:lang w:eastAsia="bg-BG"/>
        </w:rPr>
      </w:pPr>
      <w:r w:rsidRPr="007122AD">
        <w:rPr>
          <w:rFonts w:eastAsia="Times New Roman" w:cs="Arial"/>
          <w:color w:val="000000"/>
          <w:szCs w:val="24"/>
          <w:lang w:eastAsia="bg-BG"/>
        </w:rPr>
        <w:t xml:space="preserve">По отношение на първичните крайни точки, Проучване </w:t>
      </w:r>
      <w:r w:rsidRPr="007122AD">
        <w:rPr>
          <w:rFonts w:eastAsia="Times New Roman" w:cs="Arial"/>
          <w:color w:val="000000"/>
          <w:szCs w:val="24"/>
          <w:lang w:val="ru-RU"/>
        </w:rPr>
        <w:t>1033</w:t>
      </w:r>
      <w:r w:rsidRPr="007122AD">
        <w:rPr>
          <w:rFonts w:eastAsia="Times New Roman" w:cs="Arial"/>
          <w:color w:val="000000"/>
          <w:szCs w:val="24"/>
          <w:lang w:val="en-US"/>
        </w:rPr>
        <w:t>IL</w:t>
      </w:r>
      <w:r w:rsidRPr="007122AD">
        <w:rPr>
          <w:rFonts w:eastAsia="Times New Roman" w:cs="Arial"/>
          <w:color w:val="000000"/>
          <w:szCs w:val="24"/>
          <w:lang w:val="ru-RU"/>
        </w:rPr>
        <w:t xml:space="preserve">/0030 </w:t>
      </w:r>
      <w:r w:rsidRPr="007122AD">
        <w:rPr>
          <w:rFonts w:eastAsia="Times New Roman" w:cs="Arial"/>
          <w:color w:val="000000"/>
          <w:szCs w:val="24"/>
          <w:lang w:eastAsia="bg-BG"/>
        </w:rPr>
        <w:t xml:space="preserve">показва, че Анастрогратис е със статистически значимо предимство пред тамоксифен за времето до прогресия на тумора (Коефициент на риск </w:t>
      </w:r>
      <w:r w:rsidRPr="007122AD">
        <w:rPr>
          <w:rFonts w:eastAsia="Times New Roman" w:cs="Arial"/>
          <w:color w:val="000000"/>
          <w:szCs w:val="24"/>
          <w:lang w:val="ru-RU"/>
        </w:rPr>
        <w:t>(</w:t>
      </w:r>
      <w:r w:rsidRPr="007122AD">
        <w:rPr>
          <w:rFonts w:eastAsia="Times New Roman" w:cs="Arial"/>
          <w:color w:val="000000"/>
          <w:szCs w:val="24"/>
          <w:lang w:val="en-US"/>
        </w:rPr>
        <w:t>HR</w:t>
      </w:r>
      <w:r w:rsidRPr="007122AD">
        <w:rPr>
          <w:rFonts w:eastAsia="Times New Roman" w:cs="Arial"/>
          <w:color w:val="000000"/>
          <w:szCs w:val="24"/>
          <w:lang w:val="ru-RU"/>
        </w:rPr>
        <w:t xml:space="preserve">) </w:t>
      </w:r>
      <w:r w:rsidRPr="007122AD">
        <w:rPr>
          <w:rFonts w:eastAsia="Times New Roman" w:cs="Arial"/>
          <w:color w:val="000000"/>
          <w:szCs w:val="24"/>
          <w:lang w:eastAsia="bg-BG"/>
        </w:rPr>
        <w:t xml:space="preserve">1,42; 95% Доверителен интервал (С1) [1,11; 1,82]; Медиана на времето до прогресия 11,1 и 5,6 месеца съответно за Анастрогратис и тамоксифен, р=0,006); степента на обективно повлияване на тумора е сходна при Анастрогратис и тамоксифен. Проучване </w:t>
      </w:r>
      <w:r w:rsidRPr="007122AD">
        <w:rPr>
          <w:rFonts w:eastAsia="Times New Roman" w:cs="Arial"/>
          <w:color w:val="000000"/>
          <w:szCs w:val="24"/>
          <w:lang w:val="ru-RU"/>
        </w:rPr>
        <w:t>1033</w:t>
      </w:r>
      <w:r w:rsidRPr="007122AD">
        <w:rPr>
          <w:rFonts w:eastAsia="Times New Roman" w:cs="Arial"/>
          <w:color w:val="000000"/>
          <w:szCs w:val="24"/>
          <w:lang w:val="en-US"/>
        </w:rPr>
        <w:t>IL</w:t>
      </w:r>
      <w:r w:rsidRPr="007122AD">
        <w:rPr>
          <w:rFonts w:eastAsia="Times New Roman" w:cs="Arial"/>
          <w:color w:val="000000"/>
          <w:szCs w:val="24"/>
          <w:lang w:val="ru-RU"/>
        </w:rPr>
        <w:t xml:space="preserve">/0027 </w:t>
      </w:r>
      <w:r w:rsidRPr="007122AD">
        <w:rPr>
          <w:rFonts w:eastAsia="Times New Roman" w:cs="Arial"/>
          <w:color w:val="000000"/>
          <w:szCs w:val="24"/>
          <w:lang w:eastAsia="bg-BG"/>
        </w:rPr>
        <w:t xml:space="preserve">показва, че Анастрогратис и тамоксифен са със сходни степен на обективно повлияване на тумора и </w:t>
      </w:r>
      <w:r w:rsidRPr="007122AD">
        <w:rPr>
          <w:rFonts w:eastAsia="Times New Roman" w:cs="Arial"/>
          <w:color w:val="000000"/>
          <w:szCs w:val="24"/>
          <w:lang w:eastAsia="bg-BG"/>
        </w:rPr>
        <w:lastRenderedPageBreak/>
        <w:t>време до прогесия на тумора. Резултатите за вторичните крайни точки подкрепят резултатите за първичните крайни точки за ефикасност. В терапевтичните групи и в двете проучвания има твърде малко смъртни случаи, за да може да се правят заключения относно разликите в общата преживяемост.</w:t>
      </w:r>
    </w:p>
    <w:p w14:paraId="30C6CCBD" w14:textId="55A945BA" w:rsidR="007122AD" w:rsidRPr="007122AD" w:rsidRDefault="007122AD" w:rsidP="007122AD">
      <w:pPr>
        <w:rPr>
          <w:rFonts w:eastAsia="Times New Roman" w:cs="Arial"/>
          <w:color w:val="000000"/>
          <w:szCs w:val="24"/>
          <w:lang w:eastAsia="bg-BG"/>
        </w:rPr>
      </w:pPr>
    </w:p>
    <w:p w14:paraId="3D2E01AA" w14:textId="77777777" w:rsidR="007122AD" w:rsidRPr="007122AD" w:rsidRDefault="007122AD" w:rsidP="007122AD">
      <w:pPr>
        <w:spacing w:line="240" w:lineRule="auto"/>
        <w:rPr>
          <w:rFonts w:eastAsia="Times New Roman" w:cs="Arial"/>
          <w:szCs w:val="24"/>
        </w:rPr>
      </w:pPr>
      <w:r w:rsidRPr="007122AD">
        <w:rPr>
          <w:rFonts w:eastAsia="Times New Roman" w:cs="Arial"/>
          <w:b/>
          <w:bCs/>
          <w:color w:val="000000"/>
          <w:szCs w:val="24"/>
          <w:lang w:eastAsia="bg-BG"/>
        </w:rPr>
        <w:t>Лечение от втора линия при постменопаузални жени с авансирал рак на гърдата</w:t>
      </w:r>
    </w:p>
    <w:p w14:paraId="2902A0CA" w14:textId="77777777" w:rsidR="007122AD" w:rsidRPr="007122AD" w:rsidRDefault="007122AD" w:rsidP="007122AD">
      <w:pPr>
        <w:spacing w:line="240" w:lineRule="auto"/>
        <w:rPr>
          <w:rFonts w:eastAsia="Times New Roman" w:cs="Arial"/>
          <w:szCs w:val="24"/>
        </w:rPr>
      </w:pPr>
      <w:r w:rsidRPr="007122AD">
        <w:rPr>
          <w:rFonts w:eastAsia="Times New Roman" w:cs="Arial"/>
          <w:color w:val="000000"/>
          <w:szCs w:val="24"/>
          <w:lang w:eastAsia="bg-BG"/>
        </w:rPr>
        <w:t xml:space="preserve">Анастрогратис е проучван в две контролирани клинични проучвания (Проучване 0004 и Проучване 0005) при постменопаузални жени с авансирал рак на гърдата и прогресия на заболяването след лечение с тамоксифен за авансирал или ранен рак на гърдата Общо 764 пациентки са рандомизирани да получават или единична дневна доза Анастрогратис 1 </w:t>
      </w:r>
      <w:r w:rsidRPr="007122AD">
        <w:rPr>
          <w:rFonts w:eastAsia="Times New Roman" w:cs="Arial"/>
          <w:color w:val="000000"/>
          <w:szCs w:val="24"/>
          <w:lang w:val="en-US"/>
        </w:rPr>
        <w:t>mg</w:t>
      </w:r>
      <w:r w:rsidRPr="007122AD">
        <w:rPr>
          <w:rFonts w:eastAsia="Times New Roman" w:cs="Arial"/>
          <w:color w:val="000000"/>
          <w:szCs w:val="24"/>
          <w:lang w:val="ru-RU"/>
        </w:rPr>
        <w:t xml:space="preserve"> </w:t>
      </w:r>
      <w:r w:rsidRPr="007122AD">
        <w:rPr>
          <w:rFonts w:eastAsia="Times New Roman" w:cs="Arial"/>
          <w:color w:val="000000"/>
          <w:szCs w:val="24"/>
          <w:lang w:eastAsia="bg-BG"/>
        </w:rPr>
        <w:t xml:space="preserve">или 10 </w:t>
      </w:r>
      <w:r w:rsidRPr="007122AD">
        <w:rPr>
          <w:rFonts w:eastAsia="Times New Roman" w:cs="Arial"/>
          <w:color w:val="000000"/>
          <w:szCs w:val="24"/>
          <w:lang w:val="en-US"/>
        </w:rPr>
        <w:t>mg</w:t>
      </w:r>
      <w:r w:rsidRPr="007122AD">
        <w:rPr>
          <w:rFonts w:eastAsia="Times New Roman" w:cs="Arial"/>
          <w:color w:val="000000"/>
          <w:szCs w:val="24"/>
          <w:lang w:val="ru-RU"/>
        </w:rPr>
        <w:t xml:space="preserve">, </w:t>
      </w:r>
      <w:r w:rsidRPr="007122AD">
        <w:rPr>
          <w:rFonts w:eastAsia="Times New Roman" w:cs="Arial"/>
          <w:color w:val="000000"/>
          <w:szCs w:val="24"/>
          <w:lang w:eastAsia="bg-BG"/>
        </w:rPr>
        <w:t xml:space="preserve">или мегестрол ацетат 40 </w:t>
      </w:r>
      <w:r w:rsidRPr="007122AD">
        <w:rPr>
          <w:rFonts w:eastAsia="Times New Roman" w:cs="Arial"/>
          <w:color w:val="000000"/>
          <w:szCs w:val="24"/>
          <w:lang w:val="en-US"/>
        </w:rPr>
        <w:t>mg</w:t>
      </w:r>
      <w:r w:rsidRPr="007122AD">
        <w:rPr>
          <w:rFonts w:eastAsia="Times New Roman" w:cs="Arial"/>
          <w:color w:val="000000"/>
          <w:szCs w:val="24"/>
          <w:lang w:val="ru-RU"/>
        </w:rPr>
        <w:t xml:space="preserve"> </w:t>
      </w:r>
      <w:r w:rsidRPr="007122AD">
        <w:rPr>
          <w:rFonts w:eastAsia="Times New Roman" w:cs="Arial"/>
          <w:color w:val="000000"/>
          <w:szCs w:val="24"/>
          <w:lang w:eastAsia="bg-BG"/>
        </w:rPr>
        <w:t>четири пъти дневно. Първичните променливи за ефикасност са време до прогресия и степени на обективно повлияване. Изчислена е и степента на дългосрочно стабилизиране (над 24 седмици), степента на прогресия и на преживяемост. По отношение на показателите за ефикасност и в двете проучвания няма значими разлики между терапевтичните рамена.</w:t>
      </w:r>
    </w:p>
    <w:p w14:paraId="6031A792" w14:textId="77777777" w:rsidR="007122AD" w:rsidRPr="007122AD" w:rsidRDefault="007122AD" w:rsidP="007122AD">
      <w:pPr>
        <w:spacing w:line="240" w:lineRule="auto"/>
        <w:rPr>
          <w:rFonts w:eastAsia="Times New Roman" w:cs="Arial"/>
          <w:b/>
          <w:bCs/>
          <w:color w:val="000000"/>
          <w:szCs w:val="24"/>
          <w:lang w:eastAsia="bg-BG"/>
        </w:rPr>
      </w:pPr>
      <w:bookmarkStart w:id="2" w:name="bookmark2"/>
    </w:p>
    <w:p w14:paraId="64DF2A8A" w14:textId="43A30633" w:rsidR="007122AD" w:rsidRPr="007122AD" w:rsidRDefault="007122AD" w:rsidP="007122AD">
      <w:pPr>
        <w:spacing w:line="240" w:lineRule="auto"/>
        <w:rPr>
          <w:rFonts w:eastAsia="Times New Roman" w:cs="Arial"/>
          <w:szCs w:val="24"/>
        </w:rPr>
      </w:pPr>
      <w:r w:rsidRPr="007122AD">
        <w:rPr>
          <w:rFonts w:eastAsia="Times New Roman" w:cs="Arial"/>
          <w:b/>
          <w:bCs/>
          <w:color w:val="000000"/>
          <w:szCs w:val="24"/>
          <w:lang w:eastAsia="bg-BG"/>
        </w:rPr>
        <w:t>Адювантно лечение на ранен инвазивеп рак на гърдата при положителни за хормонални реиептори пациентки</w:t>
      </w:r>
      <w:bookmarkEnd w:id="2"/>
    </w:p>
    <w:p w14:paraId="606FE312" w14:textId="77777777" w:rsidR="007122AD" w:rsidRPr="007122AD" w:rsidRDefault="007122AD" w:rsidP="007122AD">
      <w:pPr>
        <w:spacing w:line="240" w:lineRule="auto"/>
        <w:rPr>
          <w:rFonts w:eastAsia="Times New Roman" w:cs="Arial"/>
          <w:szCs w:val="24"/>
        </w:rPr>
      </w:pPr>
      <w:r w:rsidRPr="007122AD">
        <w:rPr>
          <w:rFonts w:eastAsia="Times New Roman" w:cs="Arial"/>
          <w:color w:val="000000"/>
          <w:szCs w:val="24"/>
          <w:lang w:eastAsia="bg-BG"/>
        </w:rPr>
        <w:t>В голямо проучване във фаза III, проведено при 9 366 постменопаузални жени с операбилен рак на гърдата, лекувани в продължение на 5 години (вж. по-долу), Анастрогратис показва статистически значимо превъзходство пред тамоксифен по отношение на свободната от заболяване преживяемост. В проспективно дефинираната положителна за хормонални рецептори популация се установява превъзходство на Анастрогратис по отношение на свободната от заболяване преживяемост в сравнение с тамоксифен.</w:t>
      </w:r>
    </w:p>
    <w:p w14:paraId="679DCFAD" w14:textId="77777777" w:rsidR="007122AD" w:rsidRPr="007122AD" w:rsidRDefault="007122AD" w:rsidP="007122AD">
      <w:pPr>
        <w:spacing w:line="240" w:lineRule="auto"/>
        <w:rPr>
          <w:rFonts w:eastAsia="Times New Roman" w:cs="Arial"/>
          <w:b/>
          <w:bCs/>
          <w:color w:val="000000"/>
          <w:szCs w:val="24"/>
          <w:lang w:eastAsia="bg-BG"/>
        </w:rPr>
      </w:pPr>
    </w:p>
    <w:p w14:paraId="3F671BCE" w14:textId="6BF66C18" w:rsidR="007122AD" w:rsidRPr="007122AD" w:rsidRDefault="007122AD" w:rsidP="007122AD">
      <w:pPr>
        <w:spacing w:line="240" w:lineRule="auto"/>
        <w:rPr>
          <w:rFonts w:eastAsia="Times New Roman" w:cs="Arial"/>
          <w:szCs w:val="24"/>
        </w:rPr>
      </w:pPr>
      <w:r w:rsidRPr="007122AD">
        <w:rPr>
          <w:rFonts w:eastAsia="Times New Roman" w:cs="Arial"/>
          <w:b/>
          <w:bCs/>
          <w:color w:val="000000"/>
          <w:szCs w:val="24"/>
          <w:lang w:eastAsia="bg-BG"/>
        </w:rPr>
        <w:t>Таблица 3 Резюме на крайните точки от АТАС: Анализ след приключване на 5-годишното лечение</w:t>
      </w:r>
    </w:p>
    <w:tbl>
      <w:tblPr>
        <w:tblStyle w:val="TableGrid"/>
        <w:tblW w:w="0" w:type="auto"/>
        <w:tblLook w:val="04A0" w:firstRow="1" w:lastRow="0" w:firstColumn="1" w:lastColumn="0" w:noHBand="0" w:noVBand="1"/>
      </w:tblPr>
      <w:tblGrid>
        <w:gridCol w:w="2332"/>
        <w:gridCol w:w="1857"/>
        <w:gridCol w:w="25"/>
        <w:gridCol w:w="13"/>
        <w:gridCol w:w="1692"/>
        <w:gridCol w:w="1718"/>
        <w:gridCol w:w="125"/>
        <w:gridCol w:w="1588"/>
      </w:tblGrid>
      <w:tr w:rsidR="007122AD" w14:paraId="1CC24F3F" w14:textId="77777777" w:rsidTr="00B6672E">
        <w:tc>
          <w:tcPr>
            <w:tcW w:w="2332" w:type="dxa"/>
            <w:vMerge w:val="restart"/>
          </w:tcPr>
          <w:p w14:paraId="3B11B4DA" w14:textId="278473CC" w:rsidR="007122AD" w:rsidRPr="00B6672E" w:rsidRDefault="007122AD" w:rsidP="007122AD">
            <w:pPr>
              <w:spacing w:line="240" w:lineRule="auto"/>
              <w:rPr>
                <w:rFonts w:eastAsia="Times New Roman" w:cs="Arial"/>
              </w:rPr>
            </w:pPr>
            <w:r w:rsidRPr="007122AD">
              <w:rPr>
                <w:rFonts w:eastAsia="Times New Roman" w:cs="Arial"/>
                <w:b/>
                <w:bCs/>
                <w:color w:val="000000"/>
                <w:lang w:eastAsia="bg-BG"/>
              </w:rPr>
              <w:t>Крайни точки за ефикасност</w:t>
            </w:r>
          </w:p>
        </w:tc>
        <w:tc>
          <w:tcPr>
            <w:tcW w:w="7244" w:type="dxa"/>
            <w:gridSpan w:val="7"/>
          </w:tcPr>
          <w:p w14:paraId="781D7299" w14:textId="2BC64535" w:rsidR="007122AD" w:rsidRPr="00B6672E" w:rsidRDefault="007122AD" w:rsidP="007122AD">
            <w:pPr>
              <w:rPr>
                <w:rFonts w:cs="Arial"/>
              </w:rPr>
            </w:pPr>
            <w:r w:rsidRPr="007122AD">
              <w:rPr>
                <w:rFonts w:eastAsia="Times New Roman" w:cs="Arial"/>
                <w:b/>
                <w:bCs/>
                <w:color w:val="000000"/>
                <w:lang w:eastAsia="bg-BG"/>
              </w:rPr>
              <w:t>Брой събития (честота)</w:t>
            </w:r>
          </w:p>
        </w:tc>
      </w:tr>
      <w:tr w:rsidR="007122AD" w14:paraId="119C40F0" w14:textId="77777777" w:rsidTr="00B6672E">
        <w:tc>
          <w:tcPr>
            <w:tcW w:w="2332" w:type="dxa"/>
            <w:vMerge/>
          </w:tcPr>
          <w:p w14:paraId="6566DA82" w14:textId="77777777" w:rsidR="007122AD" w:rsidRPr="00B6672E" w:rsidRDefault="007122AD" w:rsidP="007122AD">
            <w:pPr>
              <w:rPr>
                <w:rFonts w:cs="Arial"/>
              </w:rPr>
            </w:pPr>
          </w:p>
        </w:tc>
        <w:tc>
          <w:tcPr>
            <w:tcW w:w="3809" w:type="dxa"/>
            <w:gridSpan w:val="4"/>
          </w:tcPr>
          <w:p w14:paraId="35D99707" w14:textId="6F608ADB" w:rsidR="007122AD" w:rsidRPr="00B6672E" w:rsidRDefault="007122AD" w:rsidP="007122AD">
            <w:pPr>
              <w:rPr>
                <w:rFonts w:cs="Arial"/>
              </w:rPr>
            </w:pPr>
            <w:r w:rsidRPr="00B6672E">
              <w:rPr>
                <w:rFonts w:cs="Arial"/>
                <w:b/>
                <w:bCs/>
                <w:lang w:val="en-US"/>
              </w:rPr>
              <w:t xml:space="preserve">Intention-To-Treat </w:t>
            </w:r>
            <w:r w:rsidRPr="00B6672E">
              <w:rPr>
                <w:rFonts w:cs="Arial"/>
                <w:b/>
                <w:bCs/>
              </w:rPr>
              <w:t>популация</w:t>
            </w:r>
          </w:p>
        </w:tc>
        <w:tc>
          <w:tcPr>
            <w:tcW w:w="3435" w:type="dxa"/>
            <w:gridSpan w:val="3"/>
            <w:vAlign w:val="bottom"/>
          </w:tcPr>
          <w:p w14:paraId="7783AD4C" w14:textId="65BBDA49" w:rsidR="007122AD" w:rsidRPr="00B6672E" w:rsidRDefault="007122AD" w:rsidP="007122AD">
            <w:pPr>
              <w:rPr>
                <w:rFonts w:cs="Arial"/>
              </w:rPr>
            </w:pPr>
            <w:r w:rsidRPr="00B6672E">
              <w:rPr>
                <w:rFonts w:cs="Arial"/>
                <w:b/>
                <w:bCs/>
              </w:rPr>
              <w:t>Положителен за хормонални рецептори туморен статус</w:t>
            </w:r>
          </w:p>
        </w:tc>
      </w:tr>
      <w:tr w:rsidR="007122AD" w14:paraId="52808A36" w14:textId="77777777" w:rsidTr="00B6672E">
        <w:tc>
          <w:tcPr>
            <w:tcW w:w="2332" w:type="dxa"/>
            <w:vMerge/>
          </w:tcPr>
          <w:p w14:paraId="3273E246" w14:textId="77777777" w:rsidR="007122AD" w:rsidRPr="00B6672E" w:rsidRDefault="007122AD" w:rsidP="007122AD">
            <w:pPr>
              <w:rPr>
                <w:rFonts w:cs="Arial"/>
              </w:rPr>
            </w:pPr>
          </w:p>
        </w:tc>
        <w:tc>
          <w:tcPr>
            <w:tcW w:w="1966" w:type="dxa"/>
            <w:gridSpan w:val="3"/>
            <w:vAlign w:val="bottom"/>
          </w:tcPr>
          <w:p w14:paraId="30FAF516" w14:textId="18C829D7" w:rsidR="007122AD" w:rsidRPr="00B6672E" w:rsidRDefault="007122AD" w:rsidP="007122AD">
            <w:pPr>
              <w:rPr>
                <w:rFonts w:cs="Arial"/>
              </w:rPr>
            </w:pPr>
            <w:r w:rsidRPr="00B6672E">
              <w:rPr>
                <w:rFonts w:cs="Arial"/>
                <w:b/>
                <w:bCs/>
              </w:rPr>
              <w:t xml:space="preserve">Анастрогратис </w:t>
            </w:r>
            <w:r w:rsidRPr="00B6672E">
              <w:rPr>
                <w:rFonts w:cs="Arial"/>
                <w:b/>
                <w:bCs/>
                <w:lang w:val="en-US"/>
              </w:rPr>
              <w:t>(N=3</w:t>
            </w:r>
            <w:r w:rsidRPr="00B6672E">
              <w:rPr>
                <w:rFonts w:cs="Arial"/>
                <w:b/>
                <w:bCs/>
              </w:rPr>
              <w:t>125)</w:t>
            </w:r>
          </w:p>
        </w:tc>
        <w:tc>
          <w:tcPr>
            <w:tcW w:w="1843" w:type="dxa"/>
            <w:vAlign w:val="bottom"/>
          </w:tcPr>
          <w:p w14:paraId="22BC5BEB" w14:textId="51F9CD5C" w:rsidR="007122AD" w:rsidRPr="00B6672E" w:rsidRDefault="007122AD" w:rsidP="007122AD">
            <w:pPr>
              <w:rPr>
                <w:rFonts w:cs="Arial"/>
              </w:rPr>
            </w:pPr>
            <w:r w:rsidRPr="00B6672E">
              <w:rPr>
                <w:rFonts w:cs="Arial"/>
                <w:b/>
                <w:bCs/>
              </w:rPr>
              <w:t xml:space="preserve">Тамоксифен </w:t>
            </w:r>
            <w:r w:rsidRPr="00B6672E">
              <w:rPr>
                <w:rFonts w:cs="Arial"/>
                <w:b/>
                <w:bCs/>
                <w:lang w:val="en-US"/>
              </w:rPr>
              <w:t>(N=3116)</w:t>
            </w:r>
          </w:p>
        </w:tc>
        <w:tc>
          <w:tcPr>
            <w:tcW w:w="1843" w:type="dxa"/>
            <w:gridSpan w:val="2"/>
            <w:vAlign w:val="bottom"/>
          </w:tcPr>
          <w:p w14:paraId="57539598" w14:textId="77481B5C" w:rsidR="007122AD" w:rsidRPr="00B6672E" w:rsidRDefault="007122AD" w:rsidP="007122AD">
            <w:pPr>
              <w:rPr>
                <w:rFonts w:cs="Arial"/>
              </w:rPr>
            </w:pPr>
            <w:r w:rsidRPr="00B6672E">
              <w:rPr>
                <w:rFonts w:cs="Arial"/>
                <w:b/>
                <w:bCs/>
              </w:rPr>
              <w:t xml:space="preserve">Анастрогратис </w:t>
            </w:r>
            <w:r w:rsidRPr="00B6672E">
              <w:rPr>
                <w:rFonts w:cs="Arial"/>
                <w:b/>
                <w:bCs/>
                <w:lang w:val="en-US"/>
              </w:rPr>
              <w:t>(N=2618)</w:t>
            </w:r>
          </w:p>
        </w:tc>
        <w:tc>
          <w:tcPr>
            <w:tcW w:w="1592" w:type="dxa"/>
            <w:vAlign w:val="bottom"/>
          </w:tcPr>
          <w:p w14:paraId="2F1EFA99" w14:textId="244E8991" w:rsidR="007122AD" w:rsidRPr="00B6672E" w:rsidRDefault="007122AD" w:rsidP="007122AD">
            <w:pPr>
              <w:rPr>
                <w:rFonts w:cs="Arial"/>
              </w:rPr>
            </w:pPr>
            <w:r w:rsidRPr="00B6672E">
              <w:rPr>
                <w:rFonts w:cs="Arial"/>
                <w:b/>
                <w:bCs/>
              </w:rPr>
              <w:t xml:space="preserve">Тамоксифен </w:t>
            </w:r>
            <w:r w:rsidRPr="00B6672E">
              <w:rPr>
                <w:rFonts w:cs="Arial"/>
                <w:b/>
                <w:bCs/>
                <w:lang w:val="en-US"/>
              </w:rPr>
              <w:t>(N=2598)</w:t>
            </w:r>
          </w:p>
        </w:tc>
      </w:tr>
      <w:tr w:rsidR="007122AD" w14:paraId="7B013BF6" w14:textId="77777777" w:rsidTr="00B6672E">
        <w:tc>
          <w:tcPr>
            <w:tcW w:w="2332" w:type="dxa"/>
            <w:vAlign w:val="bottom"/>
          </w:tcPr>
          <w:p w14:paraId="28431029" w14:textId="23C636FC" w:rsidR="007122AD" w:rsidRPr="00B6672E" w:rsidRDefault="007122AD" w:rsidP="007122AD">
            <w:pPr>
              <w:rPr>
                <w:rFonts w:cs="Arial"/>
              </w:rPr>
            </w:pPr>
            <w:r w:rsidRPr="00B6672E">
              <w:rPr>
                <w:rFonts w:cs="Arial"/>
                <w:b/>
                <w:bCs/>
              </w:rPr>
              <w:t>Свободна от заболяване преживяемост</w:t>
            </w:r>
            <w:r w:rsidRPr="00B6672E">
              <w:rPr>
                <w:rFonts w:cs="Arial"/>
                <w:b/>
                <w:bCs/>
                <w:vertAlign w:val="superscript"/>
                <w:lang w:val="en-US"/>
              </w:rPr>
              <w:t>a</w:t>
            </w:r>
          </w:p>
        </w:tc>
        <w:tc>
          <w:tcPr>
            <w:tcW w:w="1949" w:type="dxa"/>
            <w:gridSpan w:val="2"/>
          </w:tcPr>
          <w:p w14:paraId="52BC370B" w14:textId="06383386" w:rsidR="007122AD" w:rsidRPr="00B6672E" w:rsidRDefault="007122AD" w:rsidP="007122AD">
            <w:pPr>
              <w:rPr>
                <w:rFonts w:cs="Arial"/>
              </w:rPr>
            </w:pPr>
            <w:r w:rsidRPr="00B6672E">
              <w:rPr>
                <w:rFonts w:cs="Arial"/>
              </w:rPr>
              <w:t>575(18,4)</w:t>
            </w:r>
          </w:p>
        </w:tc>
        <w:tc>
          <w:tcPr>
            <w:tcW w:w="1860" w:type="dxa"/>
            <w:gridSpan w:val="2"/>
          </w:tcPr>
          <w:p w14:paraId="2FCFC6DE" w14:textId="351D4438" w:rsidR="007122AD" w:rsidRPr="00B6672E" w:rsidRDefault="007122AD" w:rsidP="007122AD">
            <w:pPr>
              <w:rPr>
                <w:rFonts w:cs="Arial"/>
              </w:rPr>
            </w:pPr>
            <w:r w:rsidRPr="00B6672E">
              <w:rPr>
                <w:rFonts w:cs="Arial"/>
              </w:rPr>
              <w:t>651 (20,9)</w:t>
            </w:r>
          </w:p>
        </w:tc>
        <w:tc>
          <w:tcPr>
            <w:tcW w:w="1718" w:type="dxa"/>
          </w:tcPr>
          <w:p w14:paraId="639303B3" w14:textId="3ECED616" w:rsidR="007122AD" w:rsidRPr="00B6672E" w:rsidRDefault="007122AD" w:rsidP="007122AD">
            <w:pPr>
              <w:rPr>
                <w:rFonts w:cs="Arial"/>
              </w:rPr>
            </w:pPr>
            <w:r w:rsidRPr="00B6672E">
              <w:rPr>
                <w:rFonts w:cs="Arial"/>
              </w:rPr>
              <w:t>424 (16,2)</w:t>
            </w:r>
          </w:p>
        </w:tc>
        <w:tc>
          <w:tcPr>
            <w:tcW w:w="1717" w:type="dxa"/>
            <w:gridSpan w:val="2"/>
          </w:tcPr>
          <w:p w14:paraId="510D018C" w14:textId="1FF7D73F" w:rsidR="007122AD" w:rsidRPr="00B6672E" w:rsidRDefault="007122AD" w:rsidP="007122AD">
            <w:pPr>
              <w:rPr>
                <w:rFonts w:cs="Arial"/>
              </w:rPr>
            </w:pPr>
            <w:r w:rsidRPr="00B6672E">
              <w:rPr>
                <w:rFonts w:cs="Arial"/>
              </w:rPr>
              <w:t>497(19,1)</w:t>
            </w:r>
          </w:p>
        </w:tc>
      </w:tr>
      <w:tr w:rsidR="007122AD" w14:paraId="59897226" w14:textId="77777777" w:rsidTr="00B6672E">
        <w:tc>
          <w:tcPr>
            <w:tcW w:w="2332" w:type="dxa"/>
            <w:vAlign w:val="bottom"/>
          </w:tcPr>
          <w:p w14:paraId="79663FFA" w14:textId="3051E310" w:rsidR="007122AD" w:rsidRPr="00B6672E" w:rsidRDefault="007122AD" w:rsidP="007122AD">
            <w:pPr>
              <w:rPr>
                <w:rFonts w:cs="Arial"/>
              </w:rPr>
            </w:pPr>
            <w:r w:rsidRPr="00B6672E">
              <w:rPr>
                <w:rFonts w:cs="Arial"/>
              </w:rPr>
              <w:t>Коефициент на риск</w:t>
            </w:r>
          </w:p>
        </w:tc>
        <w:tc>
          <w:tcPr>
            <w:tcW w:w="3809" w:type="dxa"/>
            <w:gridSpan w:val="4"/>
            <w:vAlign w:val="bottom"/>
          </w:tcPr>
          <w:p w14:paraId="62B16483" w14:textId="5080BAAE" w:rsidR="007122AD" w:rsidRPr="00B6672E" w:rsidRDefault="007122AD" w:rsidP="007122AD">
            <w:pPr>
              <w:rPr>
                <w:rFonts w:cs="Arial"/>
              </w:rPr>
            </w:pPr>
            <w:r w:rsidRPr="00B6672E">
              <w:rPr>
                <w:rFonts w:cs="Arial"/>
              </w:rPr>
              <w:t>0,87</w:t>
            </w:r>
          </w:p>
        </w:tc>
        <w:tc>
          <w:tcPr>
            <w:tcW w:w="3435" w:type="dxa"/>
            <w:gridSpan w:val="3"/>
            <w:vAlign w:val="bottom"/>
          </w:tcPr>
          <w:p w14:paraId="4A69D7D2" w14:textId="75867768" w:rsidR="007122AD" w:rsidRPr="00B6672E" w:rsidRDefault="007122AD" w:rsidP="007122AD">
            <w:pPr>
              <w:rPr>
                <w:rFonts w:cs="Arial"/>
              </w:rPr>
            </w:pPr>
            <w:r w:rsidRPr="00B6672E">
              <w:rPr>
                <w:rFonts w:cs="Arial"/>
              </w:rPr>
              <w:t>0,83</w:t>
            </w:r>
          </w:p>
        </w:tc>
      </w:tr>
      <w:tr w:rsidR="007122AD" w14:paraId="0D270B5E" w14:textId="77777777" w:rsidTr="00B6672E">
        <w:tc>
          <w:tcPr>
            <w:tcW w:w="2332" w:type="dxa"/>
            <w:vAlign w:val="bottom"/>
          </w:tcPr>
          <w:p w14:paraId="08ECF400" w14:textId="429FB496" w:rsidR="007122AD" w:rsidRPr="00B6672E" w:rsidRDefault="007122AD" w:rsidP="007122AD">
            <w:pPr>
              <w:rPr>
                <w:rFonts w:cs="Arial"/>
              </w:rPr>
            </w:pPr>
            <w:r w:rsidRPr="00B6672E">
              <w:rPr>
                <w:rFonts w:cs="Arial"/>
              </w:rPr>
              <w:t xml:space="preserve">Двустранен 95 % </w:t>
            </w:r>
            <w:r w:rsidRPr="00B6672E">
              <w:rPr>
                <w:rFonts w:cs="Arial"/>
                <w:lang w:val="en-US"/>
              </w:rPr>
              <w:t>CI</w:t>
            </w:r>
          </w:p>
        </w:tc>
        <w:tc>
          <w:tcPr>
            <w:tcW w:w="3809" w:type="dxa"/>
            <w:gridSpan w:val="4"/>
            <w:vAlign w:val="bottom"/>
          </w:tcPr>
          <w:p w14:paraId="05594F76" w14:textId="03DFB63D" w:rsidR="007122AD" w:rsidRPr="00B6672E" w:rsidRDefault="007122AD" w:rsidP="007122AD">
            <w:pPr>
              <w:rPr>
                <w:rFonts w:cs="Arial"/>
              </w:rPr>
            </w:pPr>
            <w:r w:rsidRPr="00B6672E">
              <w:rPr>
                <w:rFonts w:cs="Arial"/>
              </w:rPr>
              <w:t>0,78 до 0,97</w:t>
            </w:r>
          </w:p>
        </w:tc>
        <w:tc>
          <w:tcPr>
            <w:tcW w:w="3435" w:type="dxa"/>
            <w:gridSpan w:val="3"/>
            <w:vAlign w:val="bottom"/>
          </w:tcPr>
          <w:p w14:paraId="4E4A22D4" w14:textId="385EEA2C" w:rsidR="007122AD" w:rsidRPr="00B6672E" w:rsidRDefault="007122AD" w:rsidP="007122AD">
            <w:pPr>
              <w:rPr>
                <w:rFonts w:cs="Arial"/>
              </w:rPr>
            </w:pPr>
            <w:r w:rsidRPr="00B6672E">
              <w:rPr>
                <w:rFonts w:cs="Arial"/>
              </w:rPr>
              <w:t>0,73 до 0,94</w:t>
            </w:r>
          </w:p>
        </w:tc>
      </w:tr>
      <w:tr w:rsidR="007122AD" w14:paraId="015562A3" w14:textId="77777777" w:rsidTr="00B6672E">
        <w:tc>
          <w:tcPr>
            <w:tcW w:w="2332" w:type="dxa"/>
            <w:vAlign w:val="bottom"/>
          </w:tcPr>
          <w:p w14:paraId="2DEBBB4A" w14:textId="2C4A73AD" w:rsidR="007122AD" w:rsidRPr="00B6672E" w:rsidRDefault="007122AD" w:rsidP="007122AD">
            <w:pPr>
              <w:rPr>
                <w:rFonts w:cs="Arial"/>
              </w:rPr>
            </w:pPr>
            <w:r w:rsidRPr="00B6672E">
              <w:rPr>
                <w:rFonts w:cs="Arial"/>
              </w:rPr>
              <w:t>р-стойност</w:t>
            </w:r>
          </w:p>
        </w:tc>
        <w:tc>
          <w:tcPr>
            <w:tcW w:w="3809" w:type="dxa"/>
            <w:gridSpan w:val="4"/>
            <w:vAlign w:val="bottom"/>
          </w:tcPr>
          <w:p w14:paraId="477CCAD1" w14:textId="3F447795" w:rsidR="007122AD" w:rsidRPr="00B6672E" w:rsidRDefault="007122AD" w:rsidP="007122AD">
            <w:pPr>
              <w:rPr>
                <w:rFonts w:cs="Arial"/>
              </w:rPr>
            </w:pPr>
            <w:r w:rsidRPr="00B6672E">
              <w:rPr>
                <w:rFonts w:cs="Arial"/>
              </w:rPr>
              <w:t>0,0127</w:t>
            </w:r>
          </w:p>
        </w:tc>
        <w:tc>
          <w:tcPr>
            <w:tcW w:w="3435" w:type="dxa"/>
            <w:gridSpan w:val="3"/>
            <w:vAlign w:val="bottom"/>
          </w:tcPr>
          <w:p w14:paraId="197D91F7" w14:textId="40AC70C3" w:rsidR="007122AD" w:rsidRPr="00B6672E" w:rsidRDefault="007122AD" w:rsidP="007122AD">
            <w:pPr>
              <w:rPr>
                <w:rFonts w:cs="Arial"/>
              </w:rPr>
            </w:pPr>
            <w:r w:rsidRPr="00B6672E">
              <w:rPr>
                <w:rFonts w:cs="Arial"/>
              </w:rPr>
              <w:t>0,0049</w:t>
            </w:r>
          </w:p>
        </w:tc>
      </w:tr>
      <w:tr w:rsidR="007122AD" w14:paraId="2202926F" w14:textId="77777777" w:rsidTr="00B6672E">
        <w:tc>
          <w:tcPr>
            <w:tcW w:w="2332" w:type="dxa"/>
            <w:vAlign w:val="bottom"/>
          </w:tcPr>
          <w:p w14:paraId="43B5B9A4" w14:textId="462F68F6" w:rsidR="007122AD" w:rsidRPr="00B6672E" w:rsidRDefault="007122AD" w:rsidP="007122AD">
            <w:pPr>
              <w:rPr>
                <w:rFonts w:cs="Arial"/>
              </w:rPr>
            </w:pPr>
            <w:r w:rsidRPr="00B6672E">
              <w:rPr>
                <w:rFonts w:cs="Arial"/>
                <w:b/>
                <w:bCs/>
              </w:rPr>
              <w:t>Отдалечена свободна от заболяване прежнвяемост</w:t>
            </w:r>
            <w:r w:rsidRPr="00B6672E">
              <w:rPr>
                <w:rFonts w:cs="Arial"/>
                <w:b/>
                <w:bCs/>
                <w:vertAlign w:val="superscript"/>
                <w:lang w:val="en-US"/>
              </w:rPr>
              <w:t>b</w:t>
            </w:r>
          </w:p>
        </w:tc>
        <w:tc>
          <w:tcPr>
            <w:tcW w:w="1949" w:type="dxa"/>
            <w:gridSpan w:val="2"/>
          </w:tcPr>
          <w:p w14:paraId="3B38D887" w14:textId="23DA9264" w:rsidR="007122AD" w:rsidRPr="00B6672E" w:rsidRDefault="007122AD" w:rsidP="007122AD">
            <w:pPr>
              <w:rPr>
                <w:rFonts w:cs="Arial"/>
              </w:rPr>
            </w:pPr>
            <w:r w:rsidRPr="00B6672E">
              <w:rPr>
                <w:rFonts w:cs="Arial"/>
              </w:rPr>
              <w:t>500(16,0)</w:t>
            </w:r>
          </w:p>
        </w:tc>
        <w:tc>
          <w:tcPr>
            <w:tcW w:w="1860" w:type="dxa"/>
            <w:gridSpan w:val="2"/>
          </w:tcPr>
          <w:p w14:paraId="2D9FABC9" w14:textId="132EC4D2" w:rsidR="007122AD" w:rsidRPr="00B6672E" w:rsidRDefault="007122AD" w:rsidP="007122AD">
            <w:pPr>
              <w:rPr>
                <w:rFonts w:cs="Arial"/>
              </w:rPr>
            </w:pPr>
            <w:r w:rsidRPr="00B6672E">
              <w:rPr>
                <w:rFonts w:cs="Arial"/>
              </w:rPr>
              <w:t>530(17,0)</w:t>
            </w:r>
          </w:p>
        </w:tc>
        <w:tc>
          <w:tcPr>
            <w:tcW w:w="1718" w:type="dxa"/>
          </w:tcPr>
          <w:p w14:paraId="487F2AEE" w14:textId="04417280" w:rsidR="007122AD" w:rsidRPr="00B6672E" w:rsidRDefault="007122AD" w:rsidP="007122AD">
            <w:pPr>
              <w:rPr>
                <w:rFonts w:cs="Arial"/>
              </w:rPr>
            </w:pPr>
            <w:r w:rsidRPr="00B6672E">
              <w:rPr>
                <w:rFonts w:cs="Arial"/>
              </w:rPr>
              <w:t>370(14,1)</w:t>
            </w:r>
          </w:p>
        </w:tc>
        <w:tc>
          <w:tcPr>
            <w:tcW w:w="1717" w:type="dxa"/>
            <w:gridSpan w:val="2"/>
          </w:tcPr>
          <w:p w14:paraId="618E0FD7" w14:textId="5DD2538B" w:rsidR="007122AD" w:rsidRPr="00B6672E" w:rsidRDefault="007122AD" w:rsidP="007122AD">
            <w:pPr>
              <w:rPr>
                <w:rFonts w:cs="Arial"/>
              </w:rPr>
            </w:pPr>
            <w:r w:rsidRPr="00B6672E">
              <w:rPr>
                <w:rFonts w:cs="Arial"/>
              </w:rPr>
              <w:t>394(15,2)</w:t>
            </w:r>
          </w:p>
        </w:tc>
      </w:tr>
      <w:tr w:rsidR="007122AD" w14:paraId="5837A4B0" w14:textId="77777777" w:rsidTr="00B6672E">
        <w:tc>
          <w:tcPr>
            <w:tcW w:w="2332" w:type="dxa"/>
            <w:vAlign w:val="bottom"/>
          </w:tcPr>
          <w:p w14:paraId="57B8724E" w14:textId="65E05DFF" w:rsidR="007122AD" w:rsidRPr="00B6672E" w:rsidRDefault="007122AD" w:rsidP="007122AD">
            <w:pPr>
              <w:rPr>
                <w:rFonts w:cs="Arial"/>
              </w:rPr>
            </w:pPr>
            <w:r w:rsidRPr="00B6672E">
              <w:rPr>
                <w:rFonts w:cs="Arial"/>
              </w:rPr>
              <w:t>Коефициент на риск</w:t>
            </w:r>
          </w:p>
        </w:tc>
        <w:tc>
          <w:tcPr>
            <w:tcW w:w="3809" w:type="dxa"/>
            <w:gridSpan w:val="4"/>
            <w:vAlign w:val="bottom"/>
          </w:tcPr>
          <w:p w14:paraId="5A060D33" w14:textId="6B82EB3B" w:rsidR="007122AD" w:rsidRPr="00B6672E" w:rsidRDefault="007122AD" w:rsidP="007122AD">
            <w:pPr>
              <w:rPr>
                <w:rFonts w:cs="Arial"/>
              </w:rPr>
            </w:pPr>
            <w:r w:rsidRPr="00B6672E">
              <w:rPr>
                <w:rFonts w:cs="Arial"/>
              </w:rPr>
              <w:t>0,94</w:t>
            </w:r>
          </w:p>
        </w:tc>
        <w:tc>
          <w:tcPr>
            <w:tcW w:w="3435" w:type="dxa"/>
            <w:gridSpan w:val="3"/>
            <w:vAlign w:val="bottom"/>
          </w:tcPr>
          <w:p w14:paraId="353548D3" w14:textId="18873058" w:rsidR="007122AD" w:rsidRPr="00B6672E" w:rsidRDefault="007122AD" w:rsidP="007122AD">
            <w:pPr>
              <w:rPr>
                <w:rFonts w:cs="Arial"/>
              </w:rPr>
            </w:pPr>
            <w:r w:rsidRPr="00B6672E">
              <w:rPr>
                <w:rFonts w:cs="Arial"/>
              </w:rPr>
              <w:t>0,93</w:t>
            </w:r>
          </w:p>
        </w:tc>
      </w:tr>
      <w:tr w:rsidR="007122AD" w14:paraId="1940243B" w14:textId="77777777" w:rsidTr="00B6672E">
        <w:tc>
          <w:tcPr>
            <w:tcW w:w="2332" w:type="dxa"/>
            <w:vAlign w:val="bottom"/>
          </w:tcPr>
          <w:p w14:paraId="69B5CC33" w14:textId="155667D4" w:rsidR="007122AD" w:rsidRPr="00B6672E" w:rsidRDefault="007122AD" w:rsidP="007122AD">
            <w:pPr>
              <w:rPr>
                <w:rFonts w:cs="Arial"/>
              </w:rPr>
            </w:pPr>
            <w:r w:rsidRPr="00B6672E">
              <w:rPr>
                <w:rFonts w:cs="Arial"/>
              </w:rPr>
              <w:t xml:space="preserve">Двустранен 95 % </w:t>
            </w:r>
            <w:r w:rsidRPr="00B6672E">
              <w:rPr>
                <w:rFonts w:cs="Arial"/>
                <w:lang w:val="en-US"/>
              </w:rPr>
              <w:t>CI</w:t>
            </w:r>
          </w:p>
        </w:tc>
        <w:tc>
          <w:tcPr>
            <w:tcW w:w="3809" w:type="dxa"/>
            <w:gridSpan w:val="4"/>
            <w:vAlign w:val="bottom"/>
          </w:tcPr>
          <w:p w14:paraId="7E67BFAD" w14:textId="2ED9EAE9" w:rsidR="007122AD" w:rsidRPr="00B6672E" w:rsidRDefault="007122AD" w:rsidP="007122AD">
            <w:pPr>
              <w:rPr>
                <w:rFonts w:cs="Arial"/>
              </w:rPr>
            </w:pPr>
            <w:r w:rsidRPr="00B6672E">
              <w:rPr>
                <w:rFonts w:cs="Arial"/>
              </w:rPr>
              <w:t>0,83 до 1,06</w:t>
            </w:r>
          </w:p>
        </w:tc>
        <w:tc>
          <w:tcPr>
            <w:tcW w:w="3435" w:type="dxa"/>
            <w:gridSpan w:val="3"/>
            <w:vAlign w:val="bottom"/>
          </w:tcPr>
          <w:p w14:paraId="6D31596A" w14:textId="7915BDA4" w:rsidR="007122AD" w:rsidRPr="00B6672E" w:rsidRDefault="007122AD" w:rsidP="007122AD">
            <w:pPr>
              <w:rPr>
                <w:rFonts w:cs="Arial"/>
              </w:rPr>
            </w:pPr>
            <w:r w:rsidRPr="00B6672E">
              <w:rPr>
                <w:rFonts w:cs="Arial"/>
              </w:rPr>
              <w:t>0,80 до 1,07</w:t>
            </w:r>
          </w:p>
        </w:tc>
      </w:tr>
      <w:tr w:rsidR="007122AD" w14:paraId="3DDD988C" w14:textId="77777777" w:rsidTr="00B6672E">
        <w:tc>
          <w:tcPr>
            <w:tcW w:w="2332" w:type="dxa"/>
            <w:vAlign w:val="bottom"/>
          </w:tcPr>
          <w:p w14:paraId="4CBAB47D" w14:textId="521923FA" w:rsidR="007122AD" w:rsidRPr="00B6672E" w:rsidRDefault="007122AD" w:rsidP="007122AD">
            <w:pPr>
              <w:rPr>
                <w:rFonts w:cs="Arial"/>
              </w:rPr>
            </w:pPr>
            <w:r w:rsidRPr="00B6672E">
              <w:rPr>
                <w:rFonts w:cs="Arial"/>
              </w:rPr>
              <w:t>р-стойност</w:t>
            </w:r>
          </w:p>
        </w:tc>
        <w:tc>
          <w:tcPr>
            <w:tcW w:w="3809" w:type="dxa"/>
            <w:gridSpan w:val="4"/>
            <w:vAlign w:val="bottom"/>
          </w:tcPr>
          <w:p w14:paraId="31AAFD12" w14:textId="29862123" w:rsidR="007122AD" w:rsidRPr="00B6672E" w:rsidRDefault="007122AD" w:rsidP="007122AD">
            <w:pPr>
              <w:rPr>
                <w:rFonts w:cs="Arial"/>
              </w:rPr>
            </w:pPr>
            <w:r w:rsidRPr="00B6672E">
              <w:rPr>
                <w:rFonts w:cs="Arial"/>
              </w:rPr>
              <w:t>0,2850</w:t>
            </w:r>
          </w:p>
        </w:tc>
        <w:tc>
          <w:tcPr>
            <w:tcW w:w="3435" w:type="dxa"/>
            <w:gridSpan w:val="3"/>
            <w:vAlign w:val="bottom"/>
          </w:tcPr>
          <w:p w14:paraId="07BB7754" w14:textId="19B20419" w:rsidR="007122AD" w:rsidRPr="00B6672E" w:rsidRDefault="007122AD" w:rsidP="007122AD">
            <w:pPr>
              <w:rPr>
                <w:rFonts w:cs="Arial"/>
              </w:rPr>
            </w:pPr>
            <w:r w:rsidRPr="00B6672E">
              <w:rPr>
                <w:rFonts w:cs="Arial"/>
              </w:rPr>
              <w:t>0,2838</w:t>
            </w:r>
          </w:p>
        </w:tc>
      </w:tr>
      <w:tr w:rsidR="007122AD" w14:paraId="7371671D" w14:textId="77777777" w:rsidTr="00B6672E">
        <w:tc>
          <w:tcPr>
            <w:tcW w:w="2332" w:type="dxa"/>
            <w:vAlign w:val="bottom"/>
          </w:tcPr>
          <w:p w14:paraId="79321430" w14:textId="1BAC4101" w:rsidR="007122AD" w:rsidRPr="00B6672E" w:rsidRDefault="007122AD" w:rsidP="007122AD">
            <w:pPr>
              <w:rPr>
                <w:rFonts w:cs="Arial"/>
              </w:rPr>
            </w:pPr>
            <w:r w:rsidRPr="00B6672E">
              <w:rPr>
                <w:rFonts w:cs="Arial"/>
                <w:b/>
                <w:bCs/>
              </w:rPr>
              <w:lastRenderedPageBreak/>
              <w:t>Време до настъпване на рецнднв</w:t>
            </w:r>
            <w:r w:rsidRPr="00B6672E">
              <w:rPr>
                <w:rFonts w:cs="Arial"/>
                <w:b/>
                <w:bCs/>
                <w:vertAlign w:val="superscript"/>
              </w:rPr>
              <w:t>с</w:t>
            </w:r>
          </w:p>
        </w:tc>
        <w:tc>
          <w:tcPr>
            <w:tcW w:w="1949" w:type="dxa"/>
            <w:gridSpan w:val="2"/>
          </w:tcPr>
          <w:p w14:paraId="22E40905" w14:textId="3A467CFC" w:rsidR="007122AD" w:rsidRPr="00B6672E" w:rsidRDefault="007122AD" w:rsidP="007122AD">
            <w:pPr>
              <w:rPr>
                <w:rFonts w:cs="Arial"/>
              </w:rPr>
            </w:pPr>
            <w:r w:rsidRPr="00B6672E">
              <w:rPr>
                <w:rFonts w:cs="Arial"/>
              </w:rPr>
              <w:t>402(12,9)</w:t>
            </w:r>
          </w:p>
        </w:tc>
        <w:tc>
          <w:tcPr>
            <w:tcW w:w="1860" w:type="dxa"/>
            <w:gridSpan w:val="2"/>
          </w:tcPr>
          <w:p w14:paraId="113D73C5" w14:textId="3D359D2C" w:rsidR="007122AD" w:rsidRPr="00B6672E" w:rsidRDefault="007122AD" w:rsidP="007122AD">
            <w:pPr>
              <w:rPr>
                <w:rFonts w:cs="Arial"/>
              </w:rPr>
            </w:pPr>
            <w:r w:rsidRPr="00B6672E">
              <w:rPr>
                <w:rFonts w:cs="Arial"/>
              </w:rPr>
              <w:t>498(16,0)</w:t>
            </w:r>
          </w:p>
        </w:tc>
        <w:tc>
          <w:tcPr>
            <w:tcW w:w="1718" w:type="dxa"/>
          </w:tcPr>
          <w:p w14:paraId="02B90E9C" w14:textId="4CDB81B7" w:rsidR="007122AD" w:rsidRPr="00B6672E" w:rsidRDefault="007122AD" w:rsidP="007122AD">
            <w:pPr>
              <w:rPr>
                <w:rFonts w:cs="Arial"/>
              </w:rPr>
            </w:pPr>
            <w:r w:rsidRPr="00B6672E">
              <w:rPr>
                <w:rFonts w:cs="Arial"/>
              </w:rPr>
              <w:t>282(10,8)</w:t>
            </w:r>
          </w:p>
        </w:tc>
        <w:tc>
          <w:tcPr>
            <w:tcW w:w="1717" w:type="dxa"/>
            <w:gridSpan w:val="2"/>
          </w:tcPr>
          <w:p w14:paraId="7D8F09A1" w14:textId="1C0C366E" w:rsidR="007122AD" w:rsidRPr="00B6672E" w:rsidRDefault="007122AD" w:rsidP="007122AD">
            <w:pPr>
              <w:rPr>
                <w:rFonts w:cs="Arial"/>
              </w:rPr>
            </w:pPr>
            <w:r w:rsidRPr="00B6672E">
              <w:rPr>
                <w:rFonts w:cs="Arial"/>
              </w:rPr>
              <w:t>370(14,2)</w:t>
            </w:r>
          </w:p>
        </w:tc>
      </w:tr>
      <w:tr w:rsidR="007122AD" w14:paraId="19419183" w14:textId="77777777" w:rsidTr="00B6672E">
        <w:tc>
          <w:tcPr>
            <w:tcW w:w="2332" w:type="dxa"/>
            <w:vAlign w:val="bottom"/>
          </w:tcPr>
          <w:p w14:paraId="608DA6AA" w14:textId="00F54346" w:rsidR="007122AD" w:rsidRPr="00B6672E" w:rsidRDefault="007122AD" w:rsidP="007122AD">
            <w:pPr>
              <w:rPr>
                <w:rFonts w:cs="Arial"/>
              </w:rPr>
            </w:pPr>
            <w:r w:rsidRPr="00B6672E">
              <w:rPr>
                <w:rFonts w:cs="Arial"/>
              </w:rPr>
              <w:t>Коефициент на риск</w:t>
            </w:r>
          </w:p>
        </w:tc>
        <w:tc>
          <w:tcPr>
            <w:tcW w:w="3809" w:type="dxa"/>
            <w:gridSpan w:val="4"/>
            <w:vAlign w:val="bottom"/>
          </w:tcPr>
          <w:p w14:paraId="353FAD96" w14:textId="5C2276D2" w:rsidR="007122AD" w:rsidRPr="00B6672E" w:rsidRDefault="007122AD" w:rsidP="007122AD">
            <w:pPr>
              <w:rPr>
                <w:rFonts w:cs="Arial"/>
              </w:rPr>
            </w:pPr>
            <w:r w:rsidRPr="00B6672E">
              <w:rPr>
                <w:rFonts w:cs="Arial"/>
              </w:rPr>
              <w:t>0,79</w:t>
            </w:r>
          </w:p>
        </w:tc>
        <w:tc>
          <w:tcPr>
            <w:tcW w:w="3435" w:type="dxa"/>
            <w:gridSpan w:val="3"/>
            <w:vAlign w:val="bottom"/>
          </w:tcPr>
          <w:p w14:paraId="66F3278F" w14:textId="31353E71" w:rsidR="007122AD" w:rsidRPr="00B6672E" w:rsidRDefault="007122AD" w:rsidP="007122AD">
            <w:pPr>
              <w:rPr>
                <w:rFonts w:cs="Arial"/>
              </w:rPr>
            </w:pPr>
            <w:r w:rsidRPr="00B6672E">
              <w:rPr>
                <w:rFonts w:cs="Arial"/>
              </w:rPr>
              <w:t>0,74</w:t>
            </w:r>
          </w:p>
        </w:tc>
      </w:tr>
      <w:tr w:rsidR="007122AD" w14:paraId="5FCB38E6" w14:textId="77777777" w:rsidTr="00B6672E">
        <w:tc>
          <w:tcPr>
            <w:tcW w:w="2332" w:type="dxa"/>
            <w:vAlign w:val="bottom"/>
          </w:tcPr>
          <w:p w14:paraId="03780C09" w14:textId="62A9466C" w:rsidR="007122AD" w:rsidRPr="00B6672E" w:rsidRDefault="007122AD" w:rsidP="007122AD">
            <w:pPr>
              <w:rPr>
                <w:rFonts w:cs="Arial"/>
              </w:rPr>
            </w:pPr>
            <w:r w:rsidRPr="00B6672E">
              <w:rPr>
                <w:rFonts w:cs="Arial"/>
              </w:rPr>
              <w:t xml:space="preserve">Двустранен 95 % </w:t>
            </w:r>
            <w:r w:rsidRPr="00B6672E">
              <w:rPr>
                <w:rFonts w:cs="Arial"/>
                <w:lang w:val="en-US"/>
              </w:rPr>
              <w:t>CI</w:t>
            </w:r>
          </w:p>
        </w:tc>
        <w:tc>
          <w:tcPr>
            <w:tcW w:w="3809" w:type="dxa"/>
            <w:gridSpan w:val="4"/>
            <w:vAlign w:val="bottom"/>
          </w:tcPr>
          <w:p w14:paraId="2F7266A6" w14:textId="12FF811E" w:rsidR="007122AD" w:rsidRPr="00B6672E" w:rsidRDefault="007122AD" w:rsidP="007122AD">
            <w:pPr>
              <w:rPr>
                <w:rFonts w:cs="Arial"/>
              </w:rPr>
            </w:pPr>
            <w:r w:rsidRPr="00B6672E">
              <w:rPr>
                <w:rFonts w:cs="Arial"/>
              </w:rPr>
              <w:t>0,70 до 0,90</w:t>
            </w:r>
          </w:p>
        </w:tc>
        <w:tc>
          <w:tcPr>
            <w:tcW w:w="3435" w:type="dxa"/>
            <w:gridSpan w:val="3"/>
            <w:vAlign w:val="bottom"/>
          </w:tcPr>
          <w:p w14:paraId="52D8BCAE" w14:textId="6F09143E" w:rsidR="007122AD" w:rsidRPr="00B6672E" w:rsidRDefault="007122AD" w:rsidP="007122AD">
            <w:pPr>
              <w:rPr>
                <w:rFonts w:cs="Arial"/>
              </w:rPr>
            </w:pPr>
            <w:r w:rsidRPr="00B6672E">
              <w:rPr>
                <w:rFonts w:cs="Arial"/>
              </w:rPr>
              <w:t>0,64 до 0,87</w:t>
            </w:r>
          </w:p>
        </w:tc>
      </w:tr>
      <w:tr w:rsidR="007122AD" w14:paraId="6C106E92" w14:textId="77777777" w:rsidTr="00B6672E">
        <w:tc>
          <w:tcPr>
            <w:tcW w:w="2332" w:type="dxa"/>
            <w:vAlign w:val="bottom"/>
          </w:tcPr>
          <w:p w14:paraId="1252B9A8" w14:textId="4A5A7F24" w:rsidR="007122AD" w:rsidRPr="00B6672E" w:rsidRDefault="007122AD" w:rsidP="007122AD">
            <w:pPr>
              <w:rPr>
                <w:rFonts w:cs="Arial"/>
              </w:rPr>
            </w:pPr>
            <w:r w:rsidRPr="00B6672E">
              <w:rPr>
                <w:rFonts w:cs="Arial"/>
              </w:rPr>
              <w:t>р-стойност</w:t>
            </w:r>
          </w:p>
        </w:tc>
        <w:tc>
          <w:tcPr>
            <w:tcW w:w="3809" w:type="dxa"/>
            <w:gridSpan w:val="4"/>
            <w:vAlign w:val="bottom"/>
          </w:tcPr>
          <w:p w14:paraId="0AA91D4E" w14:textId="0CCC6238" w:rsidR="007122AD" w:rsidRPr="00B6672E" w:rsidRDefault="007122AD" w:rsidP="007122AD">
            <w:pPr>
              <w:rPr>
                <w:rFonts w:cs="Arial"/>
              </w:rPr>
            </w:pPr>
            <w:r w:rsidRPr="00B6672E">
              <w:rPr>
                <w:rFonts w:cs="Arial"/>
              </w:rPr>
              <w:t>0,0005</w:t>
            </w:r>
          </w:p>
        </w:tc>
        <w:tc>
          <w:tcPr>
            <w:tcW w:w="3435" w:type="dxa"/>
            <w:gridSpan w:val="3"/>
          </w:tcPr>
          <w:p w14:paraId="14D5E074" w14:textId="17E0C587" w:rsidR="007122AD" w:rsidRPr="00B6672E" w:rsidRDefault="007122AD" w:rsidP="007122AD">
            <w:pPr>
              <w:rPr>
                <w:rFonts w:cs="Arial"/>
              </w:rPr>
            </w:pPr>
            <w:r w:rsidRPr="00B6672E">
              <w:rPr>
                <w:rFonts w:cs="Arial"/>
              </w:rPr>
              <w:t>0,0002</w:t>
            </w:r>
          </w:p>
        </w:tc>
      </w:tr>
      <w:tr w:rsidR="007122AD" w14:paraId="5CC7D201" w14:textId="77777777" w:rsidTr="00B6672E">
        <w:tc>
          <w:tcPr>
            <w:tcW w:w="2332" w:type="dxa"/>
            <w:vAlign w:val="bottom"/>
          </w:tcPr>
          <w:p w14:paraId="4D6ECC3A" w14:textId="1B920D06" w:rsidR="007122AD" w:rsidRPr="00B6672E" w:rsidRDefault="007122AD" w:rsidP="007122AD">
            <w:pPr>
              <w:rPr>
                <w:rFonts w:cs="Arial"/>
              </w:rPr>
            </w:pPr>
            <w:r w:rsidRPr="00B6672E">
              <w:rPr>
                <w:rFonts w:cs="Arial"/>
                <w:b/>
                <w:bCs/>
              </w:rPr>
              <w:t>Време до настъпване на далечен рецидив</w:t>
            </w:r>
            <w:r w:rsidRPr="00B6672E">
              <w:rPr>
                <w:rFonts w:cs="Arial"/>
                <w:b/>
                <w:bCs/>
                <w:vertAlign w:val="superscript"/>
                <w:lang w:val="en-US"/>
              </w:rPr>
              <w:t>d</w:t>
            </w:r>
          </w:p>
        </w:tc>
        <w:tc>
          <w:tcPr>
            <w:tcW w:w="1949" w:type="dxa"/>
            <w:gridSpan w:val="2"/>
          </w:tcPr>
          <w:p w14:paraId="3DAA6E60" w14:textId="4D0A5308" w:rsidR="007122AD" w:rsidRPr="00B6672E" w:rsidRDefault="007122AD" w:rsidP="007122AD">
            <w:pPr>
              <w:rPr>
                <w:rFonts w:cs="Arial"/>
              </w:rPr>
            </w:pPr>
            <w:r w:rsidRPr="00B6672E">
              <w:rPr>
                <w:rFonts w:cs="Arial"/>
              </w:rPr>
              <w:t>324(10,4)</w:t>
            </w:r>
          </w:p>
        </w:tc>
        <w:tc>
          <w:tcPr>
            <w:tcW w:w="1860" w:type="dxa"/>
            <w:gridSpan w:val="2"/>
          </w:tcPr>
          <w:p w14:paraId="2E9DAA35" w14:textId="2020280F" w:rsidR="007122AD" w:rsidRPr="00B6672E" w:rsidRDefault="007122AD" w:rsidP="007122AD">
            <w:pPr>
              <w:rPr>
                <w:rFonts w:cs="Arial"/>
              </w:rPr>
            </w:pPr>
            <w:r w:rsidRPr="00B6672E">
              <w:rPr>
                <w:rFonts w:cs="Arial"/>
              </w:rPr>
              <w:t>375(12,0)</w:t>
            </w:r>
          </w:p>
        </w:tc>
        <w:tc>
          <w:tcPr>
            <w:tcW w:w="1718" w:type="dxa"/>
          </w:tcPr>
          <w:p w14:paraId="54EC2950" w14:textId="0CAD8C3D" w:rsidR="007122AD" w:rsidRPr="00B6672E" w:rsidRDefault="007122AD" w:rsidP="007122AD">
            <w:pPr>
              <w:rPr>
                <w:rFonts w:cs="Arial"/>
              </w:rPr>
            </w:pPr>
            <w:r w:rsidRPr="00B6672E">
              <w:rPr>
                <w:rFonts w:cs="Arial"/>
              </w:rPr>
              <w:t>226(8,6)</w:t>
            </w:r>
          </w:p>
        </w:tc>
        <w:tc>
          <w:tcPr>
            <w:tcW w:w="1717" w:type="dxa"/>
            <w:gridSpan w:val="2"/>
            <w:vAlign w:val="bottom"/>
          </w:tcPr>
          <w:p w14:paraId="13BF6F16" w14:textId="321566C6" w:rsidR="007122AD" w:rsidRPr="00B6672E" w:rsidRDefault="007122AD" w:rsidP="007122AD">
            <w:pPr>
              <w:rPr>
                <w:rFonts w:cs="Arial"/>
              </w:rPr>
            </w:pPr>
          </w:p>
          <w:p w14:paraId="719784A0" w14:textId="257EFD12" w:rsidR="007122AD" w:rsidRPr="00B6672E" w:rsidRDefault="007122AD" w:rsidP="007122AD">
            <w:pPr>
              <w:rPr>
                <w:rFonts w:cs="Arial"/>
              </w:rPr>
            </w:pPr>
            <w:r w:rsidRPr="00B6672E">
              <w:rPr>
                <w:rFonts w:cs="Arial"/>
              </w:rPr>
              <w:t>265(10,2)</w:t>
            </w:r>
          </w:p>
        </w:tc>
      </w:tr>
      <w:tr w:rsidR="00B6672E" w14:paraId="5EBFFBFF" w14:textId="77777777" w:rsidTr="00B6672E">
        <w:tc>
          <w:tcPr>
            <w:tcW w:w="2332" w:type="dxa"/>
            <w:vAlign w:val="bottom"/>
          </w:tcPr>
          <w:p w14:paraId="78D04F25" w14:textId="6F35E74A" w:rsidR="00B6672E" w:rsidRPr="00B6672E" w:rsidRDefault="00B6672E" w:rsidP="00B6672E">
            <w:pPr>
              <w:rPr>
                <w:rFonts w:cs="Arial"/>
              </w:rPr>
            </w:pPr>
            <w:r w:rsidRPr="00B6672E">
              <w:rPr>
                <w:rFonts w:cs="Arial"/>
              </w:rPr>
              <w:t>Коефициент на риск</w:t>
            </w:r>
          </w:p>
        </w:tc>
        <w:tc>
          <w:tcPr>
            <w:tcW w:w="3809" w:type="dxa"/>
            <w:gridSpan w:val="4"/>
            <w:vAlign w:val="bottom"/>
          </w:tcPr>
          <w:p w14:paraId="6A793606" w14:textId="01F6FD85" w:rsidR="00B6672E" w:rsidRPr="00B6672E" w:rsidRDefault="00B6672E" w:rsidP="00B6672E">
            <w:pPr>
              <w:rPr>
                <w:rFonts w:cs="Arial"/>
              </w:rPr>
            </w:pPr>
            <w:r w:rsidRPr="00B6672E">
              <w:rPr>
                <w:rFonts w:cs="Arial"/>
              </w:rPr>
              <w:t>0,86</w:t>
            </w:r>
          </w:p>
        </w:tc>
        <w:tc>
          <w:tcPr>
            <w:tcW w:w="3435" w:type="dxa"/>
            <w:gridSpan w:val="3"/>
            <w:vAlign w:val="bottom"/>
          </w:tcPr>
          <w:p w14:paraId="471A807C" w14:textId="7B6896A1" w:rsidR="00B6672E" w:rsidRPr="00B6672E" w:rsidRDefault="00B6672E" w:rsidP="00B6672E">
            <w:pPr>
              <w:rPr>
                <w:rFonts w:cs="Arial"/>
              </w:rPr>
            </w:pPr>
            <w:r w:rsidRPr="00B6672E">
              <w:rPr>
                <w:rFonts w:cs="Arial"/>
              </w:rPr>
              <w:t>0,84</w:t>
            </w:r>
          </w:p>
        </w:tc>
      </w:tr>
      <w:tr w:rsidR="00B6672E" w14:paraId="51F6E4AC" w14:textId="77777777" w:rsidTr="00B6672E">
        <w:tc>
          <w:tcPr>
            <w:tcW w:w="2332" w:type="dxa"/>
            <w:vAlign w:val="bottom"/>
          </w:tcPr>
          <w:p w14:paraId="06335582" w14:textId="76678AFC" w:rsidR="00B6672E" w:rsidRPr="00B6672E" w:rsidRDefault="00B6672E" w:rsidP="00B6672E">
            <w:pPr>
              <w:rPr>
                <w:rFonts w:cs="Arial"/>
              </w:rPr>
            </w:pPr>
            <w:r w:rsidRPr="00B6672E">
              <w:rPr>
                <w:rFonts w:cs="Arial"/>
              </w:rPr>
              <w:t xml:space="preserve">Двустранен 95 % </w:t>
            </w:r>
            <w:r w:rsidRPr="00B6672E">
              <w:rPr>
                <w:rFonts w:cs="Arial"/>
                <w:lang w:val="en-US"/>
              </w:rPr>
              <w:t>CI</w:t>
            </w:r>
          </w:p>
        </w:tc>
        <w:tc>
          <w:tcPr>
            <w:tcW w:w="3809" w:type="dxa"/>
            <w:gridSpan w:val="4"/>
            <w:vAlign w:val="bottom"/>
          </w:tcPr>
          <w:p w14:paraId="7A6416F8" w14:textId="7D4BD70F" w:rsidR="00B6672E" w:rsidRPr="00B6672E" w:rsidRDefault="00B6672E" w:rsidP="00B6672E">
            <w:pPr>
              <w:rPr>
                <w:rFonts w:cs="Arial"/>
              </w:rPr>
            </w:pPr>
            <w:r w:rsidRPr="00B6672E">
              <w:rPr>
                <w:rFonts w:cs="Arial"/>
              </w:rPr>
              <w:t>0,74 до 0,99</w:t>
            </w:r>
          </w:p>
        </w:tc>
        <w:tc>
          <w:tcPr>
            <w:tcW w:w="3435" w:type="dxa"/>
            <w:gridSpan w:val="3"/>
            <w:vAlign w:val="bottom"/>
          </w:tcPr>
          <w:p w14:paraId="6CD21184" w14:textId="618661D8" w:rsidR="00B6672E" w:rsidRPr="00B6672E" w:rsidRDefault="00B6672E" w:rsidP="00B6672E">
            <w:pPr>
              <w:rPr>
                <w:rFonts w:cs="Arial"/>
              </w:rPr>
            </w:pPr>
            <w:r w:rsidRPr="00B6672E">
              <w:rPr>
                <w:rFonts w:cs="Arial"/>
              </w:rPr>
              <w:t>0,70 до 1,00</w:t>
            </w:r>
          </w:p>
        </w:tc>
      </w:tr>
      <w:tr w:rsidR="00B6672E" w14:paraId="31A8C774" w14:textId="77777777" w:rsidTr="00B6672E">
        <w:tc>
          <w:tcPr>
            <w:tcW w:w="2332" w:type="dxa"/>
            <w:vAlign w:val="bottom"/>
          </w:tcPr>
          <w:p w14:paraId="07AF6DBC" w14:textId="7B647DFF" w:rsidR="00B6672E" w:rsidRPr="00B6672E" w:rsidRDefault="00B6672E" w:rsidP="00B6672E">
            <w:pPr>
              <w:rPr>
                <w:rFonts w:cs="Arial"/>
              </w:rPr>
            </w:pPr>
            <w:r w:rsidRPr="00B6672E">
              <w:rPr>
                <w:rFonts w:cs="Arial"/>
              </w:rPr>
              <w:t>р-стойност</w:t>
            </w:r>
          </w:p>
        </w:tc>
        <w:tc>
          <w:tcPr>
            <w:tcW w:w="3809" w:type="dxa"/>
            <w:gridSpan w:val="4"/>
            <w:vAlign w:val="bottom"/>
          </w:tcPr>
          <w:p w14:paraId="70117134" w14:textId="59429A5E" w:rsidR="00B6672E" w:rsidRPr="00B6672E" w:rsidRDefault="00B6672E" w:rsidP="00B6672E">
            <w:pPr>
              <w:rPr>
                <w:rFonts w:cs="Arial"/>
              </w:rPr>
            </w:pPr>
            <w:r w:rsidRPr="00B6672E">
              <w:rPr>
                <w:rFonts w:cs="Arial"/>
              </w:rPr>
              <w:t>0,0427</w:t>
            </w:r>
          </w:p>
        </w:tc>
        <w:tc>
          <w:tcPr>
            <w:tcW w:w="3435" w:type="dxa"/>
            <w:gridSpan w:val="3"/>
            <w:vAlign w:val="bottom"/>
          </w:tcPr>
          <w:p w14:paraId="6830C2A9" w14:textId="6B28F65E" w:rsidR="00B6672E" w:rsidRPr="00B6672E" w:rsidRDefault="00B6672E" w:rsidP="00B6672E">
            <w:pPr>
              <w:rPr>
                <w:rFonts w:cs="Arial"/>
              </w:rPr>
            </w:pPr>
            <w:r w:rsidRPr="00B6672E">
              <w:rPr>
                <w:rFonts w:cs="Arial"/>
              </w:rPr>
              <w:t>0,0559</w:t>
            </w:r>
          </w:p>
        </w:tc>
      </w:tr>
      <w:tr w:rsidR="00B6672E" w14:paraId="4DF7BB5A" w14:textId="77777777" w:rsidTr="00B6672E">
        <w:tc>
          <w:tcPr>
            <w:tcW w:w="2332" w:type="dxa"/>
            <w:vAlign w:val="bottom"/>
          </w:tcPr>
          <w:p w14:paraId="32F882DC" w14:textId="47084F3A" w:rsidR="00B6672E" w:rsidRPr="00B6672E" w:rsidRDefault="00B6672E" w:rsidP="00B6672E">
            <w:pPr>
              <w:rPr>
                <w:rFonts w:cs="Arial"/>
              </w:rPr>
            </w:pPr>
            <w:r w:rsidRPr="00B6672E">
              <w:rPr>
                <w:rFonts w:cs="Arial"/>
                <w:b/>
                <w:bCs/>
              </w:rPr>
              <w:t>Първично засягане на контралатералната гърда</w:t>
            </w:r>
          </w:p>
        </w:tc>
        <w:tc>
          <w:tcPr>
            <w:tcW w:w="1949" w:type="dxa"/>
            <w:gridSpan w:val="2"/>
          </w:tcPr>
          <w:p w14:paraId="323062A6" w14:textId="24D4518B" w:rsidR="00B6672E" w:rsidRPr="00B6672E" w:rsidRDefault="00B6672E" w:rsidP="00B6672E">
            <w:pPr>
              <w:rPr>
                <w:rFonts w:cs="Arial"/>
              </w:rPr>
            </w:pPr>
            <w:r w:rsidRPr="00B6672E">
              <w:rPr>
                <w:rFonts w:cs="Arial"/>
              </w:rPr>
              <w:t>35(1,1)</w:t>
            </w:r>
          </w:p>
        </w:tc>
        <w:tc>
          <w:tcPr>
            <w:tcW w:w="1860" w:type="dxa"/>
            <w:gridSpan w:val="2"/>
          </w:tcPr>
          <w:p w14:paraId="02C103F9" w14:textId="00490370" w:rsidR="00B6672E" w:rsidRPr="00B6672E" w:rsidRDefault="00B6672E" w:rsidP="00B6672E">
            <w:pPr>
              <w:rPr>
                <w:rFonts w:cs="Arial"/>
              </w:rPr>
            </w:pPr>
            <w:r w:rsidRPr="00B6672E">
              <w:rPr>
                <w:rFonts w:cs="Arial"/>
              </w:rPr>
              <w:t>59(1,9)</w:t>
            </w:r>
          </w:p>
        </w:tc>
        <w:tc>
          <w:tcPr>
            <w:tcW w:w="1718" w:type="dxa"/>
          </w:tcPr>
          <w:p w14:paraId="4A14616B" w14:textId="0C158D2C" w:rsidR="00B6672E" w:rsidRPr="00B6672E" w:rsidRDefault="00B6672E" w:rsidP="00B6672E">
            <w:pPr>
              <w:rPr>
                <w:rFonts w:cs="Arial"/>
              </w:rPr>
            </w:pPr>
            <w:r w:rsidRPr="00B6672E">
              <w:rPr>
                <w:rFonts w:cs="Arial"/>
              </w:rPr>
              <w:t>26(1,0)</w:t>
            </w:r>
          </w:p>
        </w:tc>
        <w:tc>
          <w:tcPr>
            <w:tcW w:w="1717" w:type="dxa"/>
            <w:gridSpan w:val="2"/>
          </w:tcPr>
          <w:p w14:paraId="41C216F6" w14:textId="31D58E47" w:rsidR="00B6672E" w:rsidRPr="00B6672E" w:rsidRDefault="00B6672E" w:rsidP="00B6672E">
            <w:pPr>
              <w:rPr>
                <w:rFonts w:cs="Arial"/>
              </w:rPr>
            </w:pPr>
            <w:r w:rsidRPr="00B6672E">
              <w:rPr>
                <w:rFonts w:cs="Arial"/>
              </w:rPr>
              <w:t>54(2,1)</w:t>
            </w:r>
          </w:p>
        </w:tc>
      </w:tr>
      <w:tr w:rsidR="00B6672E" w14:paraId="3EA0BC8D" w14:textId="77777777" w:rsidTr="00B6672E">
        <w:tc>
          <w:tcPr>
            <w:tcW w:w="2332" w:type="dxa"/>
            <w:vAlign w:val="bottom"/>
          </w:tcPr>
          <w:p w14:paraId="33DB5053" w14:textId="1EBB053E" w:rsidR="00B6672E" w:rsidRPr="00B6672E" w:rsidRDefault="00B6672E" w:rsidP="00B6672E">
            <w:pPr>
              <w:rPr>
                <w:rFonts w:cs="Arial"/>
              </w:rPr>
            </w:pPr>
            <w:r w:rsidRPr="00B6672E">
              <w:rPr>
                <w:rFonts w:cs="Arial"/>
              </w:rPr>
              <w:t>Съотношение на</w:t>
            </w:r>
          </w:p>
        </w:tc>
        <w:tc>
          <w:tcPr>
            <w:tcW w:w="3809" w:type="dxa"/>
            <w:gridSpan w:val="4"/>
            <w:vAlign w:val="bottom"/>
          </w:tcPr>
          <w:p w14:paraId="7FA557D1" w14:textId="07C4F0DF" w:rsidR="00B6672E" w:rsidRPr="00B6672E" w:rsidRDefault="00B6672E" w:rsidP="00B6672E">
            <w:pPr>
              <w:rPr>
                <w:rFonts w:cs="Arial"/>
              </w:rPr>
            </w:pPr>
            <w:r w:rsidRPr="00B6672E">
              <w:rPr>
                <w:rFonts w:cs="Arial"/>
              </w:rPr>
              <w:t>0,59</w:t>
            </w:r>
          </w:p>
        </w:tc>
        <w:tc>
          <w:tcPr>
            <w:tcW w:w="3435" w:type="dxa"/>
            <w:gridSpan w:val="3"/>
            <w:vAlign w:val="bottom"/>
          </w:tcPr>
          <w:p w14:paraId="0526DAB3" w14:textId="29594A38" w:rsidR="00B6672E" w:rsidRPr="00B6672E" w:rsidRDefault="00B6672E" w:rsidP="00B6672E">
            <w:pPr>
              <w:rPr>
                <w:rFonts w:cs="Arial"/>
              </w:rPr>
            </w:pPr>
            <w:r w:rsidRPr="00B6672E">
              <w:rPr>
                <w:rFonts w:cs="Arial"/>
              </w:rPr>
              <w:t>0,47</w:t>
            </w:r>
          </w:p>
        </w:tc>
      </w:tr>
      <w:tr w:rsidR="00B6672E" w14:paraId="3A5444F1" w14:textId="77777777" w:rsidTr="00B6672E">
        <w:tc>
          <w:tcPr>
            <w:tcW w:w="2332" w:type="dxa"/>
            <w:vAlign w:val="bottom"/>
          </w:tcPr>
          <w:p w14:paraId="376E378D" w14:textId="61810A74" w:rsidR="00B6672E" w:rsidRPr="00B6672E" w:rsidRDefault="00B6672E" w:rsidP="00B6672E">
            <w:pPr>
              <w:rPr>
                <w:rFonts w:cs="Arial"/>
              </w:rPr>
            </w:pPr>
            <w:r w:rsidRPr="00B6672E">
              <w:rPr>
                <w:rFonts w:cs="Arial"/>
              </w:rPr>
              <w:t xml:space="preserve">Двустранен 95 % </w:t>
            </w:r>
            <w:r w:rsidRPr="00B6672E">
              <w:rPr>
                <w:rFonts w:cs="Arial"/>
                <w:lang w:val="en-US"/>
              </w:rPr>
              <w:t>CI</w:t>
            </w:r>
          </w:p>
        </w:tc>
        <w:tc>
          <w:tcPr>
            <w:tcW w:w="3809" w:type="dxa"/>
            <w:gridSpan w:val="4"/>
            <w:vAlign w:val="bottom"/>
          </w:tcPr>
          <w:p w14:paraId="1A55FD42" w14:textId="2E7AE241" w:rsidR="00B6672E" w:rsidRPr="00B6672E" w:rsidRDefault="00B6672E" w:rsidP="00B6672E">
            <w:pPr>
              <w:rPr>
                <w:rFonts w:cs="Arial"/>
              </w:rPr>
            </w:pPr>
            <w:r w:rsidRPr="00B6672E">
              <w:rPr>
                <w:rFonts w:cs="Arial"/>
              </w:rPr>
              <w:t>0,39 до 0,89</w:t>
            </w:r>
          </w:p>
        </w:tc>
        <w:tc>
          <w:tcPr>
            <w:tcW w:w="3435" w:type="dxa"/>
            <w:gridSpan w:val="3"/>
            <w:vAlign w:val="bottom"/>
          </w:tcPr>
          <w:p w14:paraId="6FE18911" w14:textId="3B46907C" w:rsidR="00B6672E" w:rsidRPr="00B6672E" w:rsidRDefault="00B6672E" w:rsidP="00B6672E">
            <w:pPr>
              <w:rPr>
                <w:rFonts w:cs="Arial"/>
              </w:rPr>
            </w:pPr>
            <w:r w:rsidRPr="00B6672E">
              <w:rPr>
                <w:rFonts w:cs="Arial"/>
              </w:rPr>
              <w:t>0,30 до 0,76</w:t>
            </w:r>
          </w:p>
        </w:tc>
      </w:tr>
      <w:tr w:rsidR="00B6672E" w14:paraId="57896EEA" w14:textId="77777777" w:rsidTr="00B6672E">
        <w:tc>
          <w:tcPr>
            <w:tcW w:w="2332" w:type="dxa"/>
            <w:vAlign w:val="bottom"/>
          </w:tcPr>
          <w:p w14:paraId="4DE59D74" w14:textId="1D21B9B8" w:rsidR="00B6672E" w:rsidRPr="00B6672E" w:rsidRDefault="00B6672E" w:rsidP="00B6672E">
            <w:pPr>
              <w:rPr>
                <w:rFonts w:cs="Arial"/>
              </w:rPr>
            </w:pPr>
            <w:r w:rsidRPr="00B6672E">
              <w:rPr>
                <w:rFonts w:cs="Arial"/>
              </w:rPr>
              <w:t>р-стойност</w:t>
            </w:r>
          </w:p>
        </w:tc>
        <w:tc>
          <w:tcPr>
            <w:tcW w:w="3809" w:type="dxa"/>
            <w:gridSpan w:val="4"/>
            <w:vAlign w:val="bottom"/>
          </w:tcPr>
          <w:p w14:paraId="7CD6450D" w14:textId="31DE8510" w:rsidR="00B6672E" w:rsidRPr="00B6672E" w:rsidRDefault="00B6672E" w:rsidP="00B6672E">
            <w:pPr>
              <w:rPr>
                <w:rFonts w:cs="Arial"/>
              </w:rPr>
            </w:pPr>
            <w:r w:rsidRPr="00B6672E">
              <w:rPr>
                <w:rFonts w:cs="Arial"/>
              </w:rPr>
              <w:t>0,0131</w:t>
            </w:r>
          </w:p>
        </w:tc>
        <w:tc>
          <w:tcPr>
            <w:tcW w:w="3435" w:type="dxa"/>
            <w:gridSpan w:val="3"/>
            <w:vAlign w:val="bottom"/>
          </w:tcPr>
          <w:p w14:paraId="432402BA" w14:textId="40A379A6" w:rsidR="00B6672E" w:rsidRPr="00B6672E" w:rsidRDefault="00B6672E" w:rsidP="00B6672E">
            <w:pPr>
              <w:rPr>
                <w:rFonts w:cs="Arial"/>
              </w:rPr>
            </w:pPr>
            <w:r w:rsidRPr="00B6672E">
              <w:rPr>
                <w:rFonts w:cs="Arial"/>
              </w:rPr>
              <w:t>0,0018</w:t>
            </w:r>
          </w:p>
        </w:tc>
      </w:tr>
      <w:tr w:rsidR="00B6672E" w14:paraId="50E84C48" w14:textId="77777777" w:rsidTr="00B6672E">
        <w:tc>
          <w:tcPr>
            <w:tcW w:w="2332" w:type="dxa"/>
            <w:vAlign w:val="bottom"/>
          </w:tcPr>
          <w:p w14:paraId="4E70DC93" w14:textId="60361A80" w:rsidR="00B6672E" w:rsidRPr="00B6672E" w:rsidRDefault="00B6672E" w:rsidP="00B6672E">
            <w:pPr>
              <w:rPr>
                <w:rFonts w:cs="Arial"/>
              </w:rPr>
            </w:pPr>
            <w:r w:rsidRPr="00B6672E">
              <w:rPr>
                <w:rFonts w:cs="Arial"/>
                <w:b/>
                <w:bCs/>
              </w:rPr>
              <w:t>Обща преживяемост</w:t>
            </w:r>
            <w:r w:rsidRPr="00B6672E">
              <w:rPr>
                <w:rFonts w:cs="Arial"/>
                <w:b/>
                <w:bCs/>
                <w:vertAlign w:val="superscript"/>
                <w:lang w:val="en-US"/>
              </w:rPr>
              <w:t>e</w:t>
            </w:r>
          </w:p>
        </w:tc>
        <w:tc>
          <w:tcPr>
            <w:tcW w:w="1905" w:type="dxa"/>
            <w:vAlign w:val="bottom"/>
          </w:tcPr>
          <w:p w14:paraId="02346924" w14:textId="16A37B51" w:rsidR="00B6672E" w:rsidRPr="00B6672E" w:rsidRDefault="00B6672E" w:rsidP="00B6672E">
            <w:pPr>
              <w:rPr>
                <w:rFonts w:cs="Arial"/>
              </w:rPr>
            </w:pPr>
            <w:r w:rsidRPr="00B6672E">
              <w:rPr>
                <w:rFonts w:cs="Arial"/>
              </w:rPr>
              <w:t>411(13,2)</w:t>
            </w:r>
          </w:p>
        </w:tc>
        <w:tc>
          <w:tcPr>
            <w:tcW w:w="1904" w:type="dxa"/>
            <w:gridSpan w:val="3"/>
            <w:vAlign w:val="bottom"/>
          </w:tcPr>
          <w:p w14:paraId="5ACADDE0" w14:textId="18BE8B99" w:rsidR="00B6672E" w:rsidRPr="00B6672E" w:rsidRDefault="00B6672E" w:rsidP="00B6672E">
            <w:pPr>
              <w:rPr>
                <w:rFonts w:cs="Arial"/>
              </w:rPr>
            </w:pPr>
            <w:r w:rsidRPr="00B6672E">
              <w:rPr>
                <w:rFonts w:cs="Arial"/>
              </w:rPr>
              <w:t>420(13,5)</w:t>
            </w:r>
          </w:p>
        </w:tc>
        <w:tc>
          <w:tcPr>
            <w:tcW w:w="1718" w:type="dxa"/>
            <w:vAlign w:val="bottom"/>
          </w:tcPr>
          <w:p w14:paraId="647890C1" w14:textId="60FE36C2" w:rsidR="00B6672E" w:rsidRPr="00B6672E" w:rsidRDefault="00B6672E" w:rsidP="00B6672E">
            <w:pPr>
              <w:rPr>
                <w:rFonts w:cs="Arial"/>
              </w:rPr>
            </w:pPr>
            <w:r w:rsidRPr="00B6672E">
              <w:rPr>
                <w:rFonts w:cs="Arial"/>
              </w:rPr>
              <w:t>296(11,3)</w:t>
            </w:r>
          </w:p>
        </w:tc>
        <w:tc>
          <w:tcPr>
            <w:tcW w:w="1717" w:type="dxa"/>
            <w:gridSpan w:val="2"/>
            <w:vAlign w:val="bottom"/>
          </w:tcPr>
          <w:p w14:paraId="33AEB87C" w14:textId="1387A9F0" w:rsidR="00B6672E" w:rsidRPr="00B6672E" w:rsidRDefault="00B6672E" w:rsidP="00B6672E">
            <w:pPr>
              <w:rPr>
                <w:rFonts w:cs="Arial"/>
              </w:rPr>
            </w:pPr>
            <w:r w:rsidRPr="00B6672E">
              <w:rPr>
                <w:rFonts w:cs="Arial"/>
              </w:rPr>
              <w:t>301 (11,6)</w:t>
            </w:r>
          </w:p>
        </w:tc>
      </w:tr>
      <w:tr w:rsidR="00B6672E" w14:paraId="159AF577" w14:textId="77777777" w:rsidTr="008F3443">
        <w:tc>
          <w:tcPr>
            <w:tcW w:w="2332" w:type="dxa"/>
            <w:vAlign w:val="bottom"/>
          </w:tcPr>
          <w:p w14:paraId="7AC33AD2" w14:textId="38246596" w:rsidR="00B6672E" w:rsidRPr="00B6672E" w:rsidRDefault="00B6672E" w:rsidP="00B6672E">
            <w:pPr>
              <w:rPr>
                <w:rFonts w:cs="Arial"/>
              </w:rPr>
            </w:pPr>
            <w:r w:rsidRPr="00B6672E">
              <w:rPr>
                <w:rFonts w:cs="Arial"/>
              </w:rPr>
              <w:t>Коефициент на риск</w:t>
            </w:r>
          </w:p>
        </w:tc>
        <w:tc>
          <w:tcPr>
            <w:tcW w:w="3809" w:type="dxa"/>
            <w:gridSpan w:val="4"/>
            <w:vAlign w:val="bottom"/>
          </w:tcPr>
          <w:p w14:paraId="2EB4943C" w14:textId="6759F751" w:rsidR="00B6672E" w:rsidRPr="00B6672E" w:rsidRDefault="00B6672E" w:rsidP="00B6672E">
            <w:pPr>
              <w:rPr>
                <w:rFonts w:cs="Arial"/>
              </w:rPr>
            </w:pPr>
            <w:r w:rsidRPr="00B6672E">
              <w:rPr>
                <w:rFonts w:cs="Arial"/>
              </w:rPr>
              <w:t>0,97</w:t>
            </w:r>
          </w:p>
        </w:tc>
        <w:tc>
          <w:tcPr>
            <w:tcW w:w="3435" w:type="dxa"/>
            <w:gridSpan w:val="3"/>
            <w:vAlign w:val="bottom"/>
          </w:tcPr>
          <w:p w14:paraId="60A784B5" w14:textId="0171D7BD" w:rsidR="00B6672E" w:rsidRPr="00B6672E" w:rsidRDefault="00B6672E" w:rsidP="00B6672E">
            <w:pPr>
              <w:rPr>
                <w:rFonts w:cs="Arial"/>
              </w:rPr>
            </w:pPr>
            <w:r w:rsidRPr="00B6672E">
              <w:rPr>
                <w:rFonts w:cs="Arial"/>
              </w:rPr>
              <w:t>0,97</w:t>
            </w:r>
          </w:p>
        </w:tc>
      </w:tr>
      <w:tr w:rsidR="00B6672E" w14:paraId="10668548" w14:textId="77777777" w:rsidTr="008F3443">
        <w:tc>
          <w:tcPr>
            <w:tcW w:w="2332" w:type="dxa"/>
            <w:vAlign w:val="bottom"/>
          </w:tcPr>
          <w:p w14:paraId="74C7844F" w14:textId="076E2410" w:rsidR="00B6672E" w:rsidRPr="00B6672E" w:rsidRDefault="00B6672E" w:rsidP="00B6672E">
            <w:pPr>
              <w:rPr>
                <w:rFonts w:cs="Arial"/>
              </w:rPr>
            </w:pPr>
            <w:r w:rsidRPr="00B6672E">
              <w:rPr>
                <w:rFonts w:cs="Arial"/>
              </w:rPr>
              <w:t xml:space="preserve">Двустранен 95 % </w:t>
            </w:r>
            <w:r w:rsidRPr="00B6672E">
              <w:rPr>
                <w:rFonts w:cs="Arial"/>
                <w:lang w:val="en-US"/>
              </w:rPr>
              <w:t>CI</w:t>
            </w:r>
          </w:p>
        </w:tc>
        <w:tc>
          <w:tcPr>
            <w:tcW w:w="3809" w:type="dxa"/>
            <w:gridSpan w:val="4"/>
            <w:vAlign w:val="bottom"/>
          </w:tcPr>
          <w:p w14:paraId="252BBFBD" w14:textId="276A2859" w:rsidR="00B6672E" w:rsidRPr="00B6672E" w:rsidRDefault="00B6672E" w:rsidP="00B6672E">
            <w:pPr>
              <w:rPr>
                <w:rFonts w:cs="Arial"/>
              </w:rPr>
            </w:pPr>
            <w:r w:rsidRPr="00B6672E">
              <w:rPr>
                <w:rFonts w:cs="Arial"/>
              </w:rPr>
              <w:t>0,85 до 1,12</w:t>
            </w:r>
          </w:p>
        </w:tc>
        <w:tc>
          <w:tcPr>
            <w:tcW w:w="3435" w:type="dxa"/>
            <w:gridSpan w:val="3"/>
            <w:vAlign w:val="bottom"/>
          </w:tcPr>
          <w:p w14:paraId="1A678503" w14:textId="2E9A9598" w:rsidR="00B6672E" w:rsidRPr="00B6672E" w:rsidRDefault="00B6672E" w:rsidP="00B6672E">
            <w:pPr>
              <w:rPr>
                <w:rFonts w:cs="Arial"/>
              </w:rPr>
            </w:pPr>
            <w:r w:rsidRPr="00B6672E">
              <w:rPr>
                <w:rFonts w:cs="Arial"/>
              </w:rPr>
              <w:t>0,83 до 1,14</w:t>
            </w:r>
          </w:p>
        </w:tc>
      </w:tr>
      <w:tr w:rsidR="00B6672E" w14:paraId="4DB1379A" w14:textId="77777777" w:rsidTr="008F3443">
        <w:tc>
          <w:tcPr>
            <w:tcW w:w="2332" w:type="dxa"/>
            <w:vAlign w:val="bottom"/>
          </w:tcPr>
          <w:p w14:paraId="4813CFAE" w14:textId="7B69AD56" w:rsidR="00B6672E" w:rsidRPr="00B6672E" w:rsidRDefault="00B6672E" w:rsidP="00B6672E">
            <w:pPr>
              <w:rPr>
                <w:rFonts w:cs="Arial"/>
              </w:rPr>
            </w:pPr>
            <w:r w:rsidRPr="00B6672E">
              <w:rPr>
                <w:rFonts w:cs="Arial"/>
              </w:rPr>
              <w:t>р-стойност</w:t>
            </w:r>
          </w:p>
        </w:tc>
        <w:tc>
          <w:tcPr>
            <w:tcW w:w="3809" w:type="dxa"/>
            <w:gridSpan w:val="4"/>
            <w:vAlign w:val="bottom"/>
          </w:tcPr>
          <w:p w14:paraId="3B132CB7" w14:textId="202BBEE2" w:rsidR="00B6672E" w:rsidRPr="00B6672E" w:rsidRDefault="00B6672E" w:rsidP="00B6672E">
            <w:pPr>
              <w:rPr>
                <w:rFonts w:cs="Arial"/>
              </w:rPr>
            </w:pPr>
            <w:r w:rsidRPr="00B6672E">
              <w:rPr>
                <w:rFonts w:cs="Arial"/>
              </w:rPr>
              <w:t>0,7142</w:t>
            </w:r>
          </w:p>
        </w:tc>
        <w:tc>
          <w:tcPr>
            <w:tcW w:w="3435" w:type="dxa"/>
            <w:gridSpan w:val="3"/>
            <w:vAlign w:val="bottom"/>
          </w:tcPr>
          <w:p w14:paraId="69A72E89" w14:textId="49469EEC" w:rsidR="00B6672E" w:rsidRPr="00B6672E" w:rsidRDefault="00B6672E" w:rsidP="00B6672E">
            <w:pPr>
              <w:rPr>
                <w:rFonts w:cs="Arial"/>
              </w:rPr>
            </w:pPr>
            <w:r w:rsidRPr="00B6672E">
              <w:rPr>
                <w:rFonts w:cs="Arial"/>
              </w:rPr>
              <w:t>0,7339</w:t>
            </w:r>
          </w:p>
        </w:tc>
      </w:tr>
    </w:tbl>
    <w:p w14:paraId="59FB47C2" w14:textId="7DB4A833" w:rsidR="00B6672E" w:rsidRPr="00B6672E" w:rsidRDefault="00B6672E" w:rsidP="00B6672E">
      <w:pPr>
        <w:spacing w:line="240" w:lineRule="auto"/>
        <w:rPr>
          <w:rFonts w:eastAsia="Times New Roman" w:cs="Arial"/>
          <w:szCs w:val="24"/>
        </w:rPr>
      </w:pPr>
      <w:r w:rsidRPr="00B6672E">
        <w:rPr>
          <w:rFonts w:eastAsia="Times New Roman" w:cs="Arial"/>
          <w:color w:val="000000"/>
          <w:szCs w:val="24"/>
          <w:vertAlign w:val="superscript"/>
          <w:lang w:eastAsia="bg-BG"/>
        </w:rPr>
        <w:t>а</w:t>
      </w:r>
      <w:r w:rsidRPr="00B6672E">
        <w:rPr>
          <w:rFonts w:eastAsia="Times New Roman" w:cs="Arial"/>
          <w:color w:val="000000"/>
          <w:szCs w:val="24"/>
          <w:lang w:eastAsia="bg-BG"/>
        </w:rPr>
        <w:t>В свободната от заболяване преживяемост се включват всички рецидиви и се дефинира като времето до първи локо-регионален рецидив, нов рак на контралатералната гърда, далечен рецидив или смърт (по каквато и да е причина).</w:t>
      </w:r>
    </w:p>
    <w:p w14:paraId="17FCC0D6" w14:textId="77777777" w:rsidR="00B6672E" w:rsidRPr="00B6672E" w:rsidRDefault="00B6672E" w:rsidP="00B6672E">
      <w:pPr>
        <w:spacing w:line="240" w:lineRule="auto"/>
        <w:rPr>
          <w:rFonts w:eastAsia="Times New Roman" w:cs="Arial"/>
          <w:szCs w:val="24"/>
        </w:rPr>
      </w:pPr>
      <w:proofErr w:type="gramStart"/>
      <w:r w:rsidRPr="00B6672E">
        <w:rPr>
          <w:rFonts w:eastAsia="Times New Roman" w:cs="Arial"/>
          <w:color w:val="000000"/>
          <w:szCs w:val="24"/>
          <w:vertAlign w:val="superscript"/>
          <w:lang w:val="en-US"/>
        </w:rPr>
        <w:t>b</w:t>
      </w:r>
      <w:r w:rsidRPr="00B6672E">
        <w:rPr>
          <w:rFonts w:eastAsia="Times New Roman" w:cs="Arial"/>
          <w:color w:val="000000"/>
          <w:szCs w:val="24"/>
          <w:lang w:eastAsia="bg-BG"/>
        </w:rPr>
        <w:t>Отдалечена</w:t>
      </w:r>
      <w:proofErr w:type="gramEnd"/>
      <w:r w:rsidRPr="00B6672E">
        <w:rPr>
          <w:rFonts w:eastAsia="Times New Roman" w:cs="Arial"/>
          <w:color w:val="000000"/>
          <w:szCs w:val="24"/>
          <w:lang w:eastAsia="bg-BG"/>
        </w:rPr>
        <w:t xml:space="preserve"> свободна от заболяване преживяемост се дефинира като времето до първи далечен рецидив или смърт (по каквато и да е причина).</w:t>
      </w:r>
    </w:p>
    <w:p w14:paraId="567E7FAC" w14:textId="7F74A8A5" w:rsidR="00B6672E" w:rsidRPr="00B6672E" w:rsidRDefault="00B6672E" w:rsidP="00B6672E">
      <w:pPr>
        <w:spacing w:line="240" w:lineRule="auto"/>
        <w:rPr>
          <w:rFonts w:eastAsia="Times New Roman" w:cs="Arial"/>
          <w:szCs w:val="24"/>
        </w:rPr>
      </w:pPr>
      <w:r w:rsidRPr="00B6672E">
        <w:rPr>
          <w:rFonts w:eastAsia="Times New Roman" w:cs="Arial"/>
          <w:color w:val="000000"/>
          <w:szCs w:val="24"/>
          <w:vertAlign w:val="superscript"/>
          <w:lang w:eastAsia="bg-BG"/>
        </w:rPr>
        <w:t>с</w:t>
      </w:r>
      <w:r w:rsidRPr="00B6672E">
        <w:rPr>
          <w:rFonts w:eastAsia="Times New Roman" w:cs="Arial"/>
          <w:color w:val="000000"/>
          <w:szCs w:val="24"/>
          <w:lang w:eastAsia="bg-BG"/>
        </w:rPr>
        <w:t>Времето до настъпване на рецидив се дефинира като времето до първи случай на локо-регионален рецидив, нов рак на контралатералната гърда, далечен рецидив или смърт вследствие на рака на гърдата.</w:t>
      </w:r>
    </w:p>
    <w:p w14:paraId="4DF4D096" w14:textId="6D814C70" w:rsidR="00B6672E" w:rsidRPr="00B6672E" w:rsidRDefault="00B6672E" w:rsidP="00B6672E">
      <w:pPr>
        <w:spacing w:line="240" w:lineRule="auto"/>
        <w:rPr>
          <w:rFonts w:eastAsia="Times New Roman" w:cs="Arial"/>
          <w:szCs w:val="24"/>
        </w:rPr>
      </w:pPr>
      <w:proofErr w:type="gramStart"/>
      <w:r w:rsidRPr="00B6672E">
        <w:rPr>
          <w:rFonts w:eastAsia="Times New Roman" w:cs="Arial"/>
          <w:color w:val="000000"/>
          <w:szCs w:val="24"/>
          <w:vertAlign w:val="superscript"/>
          <w:lang w:val="en-US"/>
        </w:rPr>
        <w:t>d</w:t>
      </w:r>
      <w:r w:rsidRPr="00B6672E">
        <w:rPr>
          <w:rFonts w:eastAsia="Times New Roman" w:cs="Arial"/>
          <w:color w:val="000000"/>
          <w:szCs w:val="24"/>
          <w:lang w:eastAsia="bg-BG"/>
        </w:rPr>
        <w:t>Времето</w:t>
      </w:r>
      <w:proofErr w:type="gramEnd"/>
      <w:r w:rsidRPr="00B6672E">
        <w:rPr>
          <w:rFonts w:eastAsia="Times New Roman" w:cs="Arial"/>
          <w:color w:val="000000"/>
          <w:szCs w:val="24"/>
          <w:lang w:eastAsia="bg-BG"/>
        </w:rPr>
        <w:t xml:space="preserve"> до настъпване на далечен рецидив се дефинира като времето до настъпване на първи далечен рецидив или смърт вследствие на рак на гърдата </w:t>
      </w:r>
      <w:r w:rsidRPr="00B6672E">
        <w:rPr>
          <w:rFonts w:eastAsia="Times New Roman" w:cs="Arial"/>
          <w:color w:val="000000"/>
          <w:szCs w:val="24"/>
          <w:vertAlign w:val="superscript"/>
          <w:lang w:eastAsia="bg-BG"/>
        </w:rPr>
        <w:t>е</w:t>
      </w:r>
      <w:r w:rsidRPr="00B6672E">
        <w:rPr>
          <w:rFonts w:eastAsia="Times New Roman" w:cs="Arial"/>
          <w:color w:val="000000"/>
          <w:szCs w:val="24"/>
          <w:lang w:eastAsia="bg-BG"/>
        </w:rPr>
        <w:t xml:space="preserve"> Брой (%) починали пациенти</w:t>
      </w:r>
    </w:p>
    <w:p w14:paraId="410E6BCC" w14:textId="77777777" w:rsidR="00B6672E" w:rsidRPr="00B6672E" w:rsidRDefault="00B6672E" w:rsidP="00B6672E">
      <w:pPr>
        <w:spacing w:line="240" w:lineRule="auto"/>
        <w:rPr>
          <w:rFonts w:eastAsia="Times New Roman" w:cs="Arial"/>
          <w:color w:val="000000"/>
          <w:szCs w:val="24"/>
          <w:lang w:eastAsia="bg-BG"/>
        </w:rPr>
      </w:pPr>
    </w:p>
    <w:p w14:paraId="43F2E1EF" w14:textId="2FAAA87C" w:rsidR="00B6672E" w:rsidRPr="00B6672E" w:rsidRDefault="00B6672E" w:rsidP="00B6672E">
      <w:pPr>
        <w:spacing w:line="240" w:lineRule="auto"/>
        <w:rPr>
          <w:rFonts w:eastAsia="Times New Roman" w:cs="Arial"/>
          <w:szCs w:val="24"/>
        </w:rPr>
      </w:pPr>
      <w:r w:rsidRPr="00B6672E">
        <w:rPr>
          <w:rFonts w:eastAsia="Times New Roman" w:cs="Arial"/>
          <w:color w:val="000000"/>
          <w:szCs w:val="24"/>
          <w:lang w:eastAsia="bg-BG"/>
        </w:rPr>
        <w:t>В сравнение с тамоксифен, комбинацията от анастрозол и тамоксифен не показва предимство по отношение на ефикасността - както в общата група, така и в популацията положителни за хормонални рецептори пациентки. Този терапевтичен ръкав отпадна от проучването.</w:t>
      </w:r>
    </w:p>
    <w:p w14:paraId="799D4448" w14:textId="77777777" w:rsidR="00B6672E" w:rsidRPr="00B6672E" w:rsidRDefault="00B6672E" w:rsidP="00B6672E">
      <w:pPr>
        <w:spacing w:line="240" w:lineRule="auto"/>
        <w:rPr>
          <w:rFonts w:eastAsia="Times New Roman" w:cs="Arial"/>
          <w:color w:val="000000"/>
          <w:szCs w:val="24"/>
          <w:lang w:eastAsia="bg-BG"/>
        </w:rPr>
      </w:pPr>
    </w:p>
    <w:p w14:paraId="57D266B0" w14:textId="614A4746" w:rsidR="00B6672E" w:rsidRPr="00B6672E" w:rsidRDefault="00B6672E" w:rsidP="00B6672E">
      <w:pPr>
        <w:spacing w:line="240" w:lineRule="auto"/>
        <w:rPr>
          <w:rFonts w:eastAsia="Times New Roman" w:cs="Arial"/>
          <w:szCs w:val="24"/>
        </w:rPr>
      </w:pPr>
      <w:r w:rsidRPr="00B6672E">
        <w:rPr>
          <w:rFonts w:eastAsia="Times New Roman" w:cs="Arial"/>
          <w:color w:val="000000"/>
          <w:szCs w:val="24"/>
          <w:lang w:eastAsia="bg-BG"/>
        </w:rPr>
        <w:t>При удължаване на проследяването до средно 10 години се установява, че дългосрочното сравнение на терапевтичните ефекти на анастрозол и тамоксифен е в съответствие с предшестващите анализи.</w:t>
      </w:r>
    </w:p>
    <w:p w14:paraId="4FDC3069" w14:textId="77777777" w:rsidR="00B6672E" w:rsidRPr="00B6672E" w:rsidRDefault="00B6672E" w:rsidP="00B6672E">
      <w:pPr>
        <w:rPr>
          <w:rFonts w:eastAsia="Times New Roman" w:cs="Arial"/>
          <w:b/>
          <w:bCs/>
          <w:color w:val="000000"/>
          <w:szCs w:val="24"/>
          <w:lang w:eastAsia="bg-BG"/>
        </w:rPr>
      </w:pPr>
    </w:p>
    <w:p w14:paraId="59E4CCF5" w14:textId="4D3A0B01" w:rsidR="007122AD" w:rsidRPr="00B6672E" w:rsidRDefault="00B6672E" w:rsidP="00B6672E">
      <w:pPr>
        <w:rPr>
          <w:rFonts w:eastAsia="Times New Roman" w:cs="Arial"/>
          <w:color w:val="000000"/>
          <w:szCs w:val="24"/>
          <w:lang w:eastAsia="bg-BG"/>
        </w:rPr>
      </w:pPr>
      <w:r w:rsidRPr="00B6672E">
        <w:rPr>
          <w:rFonts w:eastAsia="Times New Roman" w:cs="Arial"/>
          <w:b/>
          <w:bCs/>
          <w:color w:val="000000"/>
          <w:szCs w:val="24"/>
          <w:lang w:eastAsia="bg-BG"/>
        </w:rPr>
        <w:t xml:space="preserve">Адювантно лечение на ранен инвазивен рак на гърдата, при патентни, положителни за хормонални рецептори, на адювантно лечение с тамоксифен </w:t>
      </w:r>
      <w:r w:rsidRPr="00B6672E">
        <w:rPr>
          <w:rFonts w:eastAsia="Times New Roman" w:cs="Arial"/>
          <w:color w:val="000000"/>
          <w:szCs w:val="24"/>
          <w:lang w:eastAsia="bg-BG"/>
        </w:rPr>
        <w:t xml:space="preserve">В проучване във фаза III (Проучване 8 на Австрийската група за изучаване на рака на гърдата и </w:t>
      </w:r>
      <w:r w:rsidRPr="00B6672E">
        <w:rPr>
          <w:rFonts w:eastAsia="Times New Roman" w:cs="Arial"/>
          <w:color w:val="000000"/>
          <w:szCs w:val="24"/>
          <w:lang w:eastAsia="bg-BG"/>
        </w:rPr>
        <w:lastRenderedPageBreak/>
        <w:t xml:space="preserve">колоректалния карцином, </w:t>
      </w:r>
      <w:r w:rsidRPr="00B6672E">
        <w:rPr>
          <w:rFonts w:eastAsia="Times New Roman" w:cs="Arial"/>
          <w:color w:val="000000"/>
          <w:szCs w:val="24"/>
          <w:lang w:val="en-US"/>
        </w:rPr>
        <w:t>Austrian</w:t>
      </w:r>
      <w:r w:rsidRPr="00B6672E">
        <w:rPr>
          <w:rFonts w:eastAsia="Times New Roman" w:cs="Arial"/>
          <w:color w:val="000000"/>
          <w:szCs w:val="24"/>
          <w:lang w:val="ru-RU"/>
        </w:rPr>
        <w:t xml:space="preserve"> </w:t>
      </w:r>
      <w:r w:rsidRPr="00B6672E">
        <w:rPr>
          <w:rFonts w:eastAsia="Times New Roman" w:cs="Arial"/>
          <w:color w:val="000000"/>
          <w:szCs w:val="24"/>
          <w:lang w:val="en-US"/>
        </w:rPr>
        <w:t>Breast</w:t>
      </w:r>
      <w:r w:rsidRPr="00B6672E">
        <w:rPr>
          <w:rFonts w:eastAsia="Times New Roman" w:cs="Arial"/>
          <w:color w:val="000000"/>
          <w:szCs w:val="24"/>
          <w:lang w:val="ru-RU"/>
        </w:rPr>
        <w:t xml:space="preserve"> </w:t>
      </w:r>
      <w:r w:rsidRPr="00B6672E">
        <w:rPr>
          <w:rFonts w:eastAsia="Times New Roman" w:cs="Arial"/>
          <w:color w:val="000000"/>
          <w:szCs w:val="24"/>
          <w:lang w:val="en-US"/>
        </w:rPr>
        <w:t>and</w:t>
      </w:r>
      <w:r w:rsidRPr="00B6672E">
        <w:rPr>
          <w:rFonts w:eastAsia="Times New Roman" w:cs="Arial"/>
          <w:color w:val="000000"/>
          <w:szCs w:val="24"/>
          <w:lang w:val="ru-RU"/>
        </w:rPr>
        <w:t xml:space="preserve"> </w:t>
      </w:r>
      <w:r w:rsidRPr="00B6672E">
        <w:rPr>
          <w:rFonts w:eastAsia="Times New Roman" w:cs="Arial"/>
          <w:color w:val="000000"/>
          <w:szCs w:val="24"/>
          <w:lang w:val="en-US"/>
        </w:rPr>
        <w:t>Colorectal</w:t>
      </w:r>
      <w:r w:rsidRPr="00B6672E">
        <w:rPr>
          <w:rFonts w:eastAsia="Times New Roman" w:cs="Arial"/>
          <w:color w:val="000000"/>
          <w:szCs w:val="24"/>
          <w:lang w:val="ru-RU"/>
        </w:rPr>
        <w:t xml:space="preserve"> </w:t>
      </w:r>
      <w:r w:rsidRPr="00B6672E">
        <w:rPr>
          <w:rFonts w:eastAsia="Times New Roman" w:cs="Arial"/>
          <w:color w:val="000000"/>
          <w:szCs w:val="24"/>
          <w:lang w:val="en-US"/>
        </w:rPr>
        <w:t>Cancer</w:t>
      </w:r>
      <w:r w:rsidRPr="00B6672E">
        <w:rPr>
          <w:rFonts w:eastAsia="Times New Roman" w:cs="Arial"/>
          <w:color w:val="000000"/>
          <w:szCs w:val="24"/>
          <w:lang w:val="ru-RU"/>
        </w:rPr>
        <w:t xml:space="preserve"> </w:t>
      </w:r>
      <w:r w:rsidRPr="00B6672E">
        <w:rPr>
          <w:rFonts w:eastAsia="Times New Roman" w:cs="Arial"/>
          <w:color w:val="000000"/>
          <w:szCs w:val="24"/>
          <w:lang w:val="en-US"/>
        </w:rPr>
        <w:t>Study</w:t>
      </w:r>
      <w:r w:rsidRPr="00B6672E">
        <w:rPr>
          <w:rFonts w:eastAsia="Times New Roman" w:cs="Arial"/>
          <w:color w:val="000000"/>
          <w:szCs w:val="24"/>
          <w:lang w:val="ru-RU"/>
        </w:rPr>
        <w:t xml:space="preserve"> </w:t>
      </w:r>
      <w:r w:rsidRPr="00B6672E">
        <w:rPr>
          <w:rFonts w:eastAsia="Times New Roman" w:cs="Arial"/>
          <w:color w:val="000000"/>
          <w:szCs w:val="24"/>
          <w:lang w:val="en-US"/>
        </w:rPr>
        <w:t>Group</w:t>
      </w:r>
      <w:r w:rsidRPr="00B6672E">
        <w:rPr>
          <w:rFonts w:eastAsia="Times New Roman" w:cs="Arial"/>
          <w:color w:val="000000"/>
          <w:szCs w:val="24"/>
          <w:lang w:val="ru-RU"/>
        </w:rPr>
        <w:t xml:space="preserve"> [</w:t>
      </w:r>
      <w:r w:rsidRPr="00B6672E">
        <w:rPr>
          <w:rFonts w:eastAsia="Times New Roman" w:cs="Arial"/>
          <w:color w:val="000000"/>
          <w:szCs w:val="24"/>
          <w:lang w:val="en-US"/>
        </w:rPr>
        <w:t>ABCSG</w:t>
      </w:r>
      <w:r w:rsidRPr="00B6672E">
        <w:rPr>
          <w:rFonts w:eastAsia="Times New Roman" w:cs="Arial"/>
          <w:color w:val="000000"/>
          <w:szCs w:val="24"/>
          <w:lang w:val="ru-RU"/>
        </w:rPr>
        <w:t xml:space="preserve">] 8), </w:t>
      </w:r>
      <w:r w:rsidRPr="00B6672E">
        <w:rPr>
          <w:rFonts w:eastAsia="Times New Roman" w:cs="Arial"/>
          <w:color w:val="000000"/>
          <w:szCs w:val="24"/>
          <w:lang w:eastAsia="bg-BG"/>
        </w:rPr>
        <w:t xml:space="preserve">проведено при </w:t>
      </w:r>
      <w:r w:rsidRPr="00B6672E">
        <w:rPr>
          <w:rFonts w:eastAsia="Times New Roman" w:cs="Arial"/>
          <w:color w:val="000000"/>
          <w:szCs w:val="24"/>
          <w:lang w:val="ru-RU"/>
        </w:rPr>
        <w:t xml:space="preserve">2 579 </w:t>
      </w:r>
      <w:r w:rsidRPr="00B6672E">
        <w:rPr>
          <w:rFonts w:eastAsia="Times New Roman" w:cs="Arial"/>
          <w:color w:val="000000"/>
          <w:szCs w:val="24"/>
          <w:lang w:eastAsia="bg-BG"/>
        </w:rPr>
        <w:t>постменопаузални жени с положителен за хормонални рецептори ранен рак на гърдата, които са оперирани с или без провеждане на лъчелечение, и без провеждане на химиотерапия (вж. по-долу), при които след 2-годишно адювантно лечение с тамоксифен се преминава към лечение с Анастрогратис, след средно 24-месечно проследяване анализът показва статистически значимо превъзходство по отношение свободната от заболяване преживяемост в сравнение с групата пацинетки останали на лечение с тамоксифен.</w:t>
      </w:r>
    </w:p>
    <w:p w14:paraId="46C4FD8E" w14:textId="0E400269" w:rsidR="00B6672E" w:rsidRDefault="00B6672E" w:rsidP="00B6672E">
      <w:pPr>
        <w:rPr>
          <w:rFonts w:ascii="Times New Roman" w:eastAsia="Times New Roman" w:hAnsi="Times New Roman" w:cs="Times New Roman"/>
          <w:color w:val="000000"/>
          <w:sz w:val="24"/>
          <w:szCs w:val="24"/>
          <w:lang w:eastAsia="bg-BG"/>
        </w:rPr>
      </w:pPr>
    </w:p>
    <w:tbl>
      <w:tblPr>
        <w:tblStyle w:val="TableGrid"/>
        <w:tblW w:w="0" w:type="auto"/>
        <w:tblLook w:val="04A0" w:firstRow="1" w:lastRow="0" w:firstColumn="1" w:lastColumn="0" w:noHBand="0" w:noVBand="1"/>
      </w:tblPr>
      <w:tblGrid>
        <w:gridCol w:w="4643"/>
        <w:gridCol w:w="2361"/>
        <w:gridCol w:w="2346"/>
      </w:tblGrid>
      <w:tr w:rsidR="00B6672E" w14:paraId="5EC445EC" w14:textId="77777777" w:rsidTr="00B6672E">
        <w:tc>
          <w:tcPr>
            <w:tcW w:w="4788" w:type="dxa"/>
            <w:vMerge w:val="restart"/>
          </w:tcPr>
          <w:p w14:paraId="7B0E8235" w14:textId="707193D4" w:rsidR="00B6672E" w:rsidRPr="00B6672E" w:rsidRDefault="00B6672E" w:rsidP="00B6672E">
            <w:pPr>
              <w:rPr>
                <w:rFonts w:cs="Arial"/>
              </w:rPr>
            </w:pPr>
            <w:r w:rsidRPr="00B6672E">
              <w:rPr>
                <w:rFonts w:cs="Arial"/>
                <w:b/>
                <w:bCs/>
              </w:rPr>
              <w:t>Крайни точки за ефикасност</w:t>
            </w:r>
          </w:p>
        </w:tc>
        <w:tc>
          <w:tcPr>
            <w:tcW w:w="4788" w:type="dxa"/>
            <w:gridSpan w:val="2"/>
          </w:tcPr>
          <w:p w14:paraId="76A6241C" w14:textId="2FD69B48" w:rsidR="00B6672E" w:rsidRPr="00B6672E" w:rsidRDefault="00B6672E" w:rsidP="00B6672E">
            <w:pPr>
              <w:spacing w:line="240" w:lineRule="auto"/>
              <w:rPr>
                <w:rFonts w:eastAsia="Times New Roman" w:cs="Arial"/>
              </w:rPr>
            </w:pPr>
            <w:r w:rsidRPr="00B6672E">
              <w:rPr>
                <w:rFonts w:eastAsia="Times New Roman" w:cs="Arial"/>
                <w:b/>
                <w:bCs/>
                <w:color w:val="000000"/>
                <w:lang w:eastAsia="bg-BG"/>
              </w:rPr>
              <w:t>Брой събития (честота)</w:t>
            </w:r>
          </w:p>
        </w:tc>
      </w:tr>
      <w:tr w:rsidR="00B6672E" w14:paraId="629A2426" w14:textId="77777777" w:rsidTr="00966F30">
        <w:tc>
          <w:tcPr>
            <w:tcW w:w="4788" w:type="dxa"/>
            <w:vMerge/>
          </w:tcPr>
          <w:p w14:paraId="2ABB6366" w14:textId="77777777" w:rsidR="00B6672E" w:rsidRPr="00B6672E" w:rsidRDefault="00B6672E" w:rsidP="00B6672E">
            <w:pPr>
              <w:rPr>
                <w:rFonts w:cs="Arial"/>
              </w:rPr>
            </w:pPr>
          </w:p>
        </w:tc>
        <w:tc>
          <w:tcPr>
            <w:tcW w:w="2394" w:type="dxa"/>
          </w:tcPr>
          <w:p w14:paraId="2FA2471B" w14:textId="649B458D" w:rsidR="00B6672E" w:rsidRPr="00B6672E" w:rsidRDefault="00B6672E" w:rsidP="00B6672E">
            <w:pPr>
              <w:rPr>
                <w:rFonts w:cs="Arial"/>
              </w:rPr>
            </w:pPr>
            <w:r w:rsidRPr="00B6672E">
              <w:rPr>
                <w:rFonts w:cs="Arial"/>
                <w:b/>
                <w:bCs/>
              </w:rPr>
              <w:t xml:space="preserve">Анастрогратис </w:t>
            </w:r>
            <w:r w:rsidRPr="00B6672E">
              <w:rPr>
                <w:rFonts w:cs="Arial"/>
                <w:b/>
                <w:bCs/>
                <w:lang w:val="en-US"/>
              </w:rPr>
              <w:t>(N=1</w:t>
            </w:r>
            <w:r w:rsidRPr="00B6672E">
              <w:rPr>
                <w:rFonts w:cs="Arial"/>
                <w:b/>
                <w:bCs/>
              </w:rPr>
              <w:t xml:space="preserve"> 297)</w:t>
            </w:r>
          </w:p>
        </w:tc>
        <w:tc>
          <w:tcPr>
            <w:tcW w:w="2394" w:type="dxa"/>
          </w:tcPr>
          <w:p w14:paraId="71E112C6" w14:textId="33C82012" w:rsidR="00B6672E" w:rsidRDefault="00B6672E" w:rsidP="00B6672E">
            <w:r>
              <w:rPr>
                <w:b/>
                <w:bCs/>
              </w:rPr>
              <w:t xml:space="preserve">Тамоксифен </w:t>
            </w:r>
            <w:r>
              <w:rPr>
                <w:b/>
                <w:bCs/>
                <w:lang w:val="en-US"/>
              </w:rPr>
              <w:t xml:space="preserve">(N=1 </w:t>
            </w:r>
            <w:r>
              <w:rPr>
                <w:b/>
                <w:bCs/>
              </w:rPr>
              <w:t>282)</w:t>
            </w:r>
          </w:p>
        </w:tc>
      </w:tr>
      <w:tr w:rsidR="00B6672E" w14:paraId="4A3C137E" w14:textId="77777777" w:rsidTr="00495740">
        <w:tc>
          <w:tcPr>
            <w:tcW w:w="4788" w:type="dxa"/>
          </w:tcPr>
          <w:p w14:paraId="4E69A723" w14:textId="5691FCF5" w:rsidR="00B6672E" w:rsidRPr="00B6672E" w:rsidRDefault="00B6672E" w:rsidP="00B6672E">
            <w:pPr>
              <w:rPr>
                <w:rFonts w:cs="Arial"/>
              </w:rPr>
            </w:pPr>
            <w:r w:rsidRPr="00B6672E">
              <w:rPr>
                <w:rFonts w:cs="Arial"/>
                <w:b/>
                <w:bCs/>
              </w:rPr>
              <w:t>Свободна от заболяване преживяемост</w:t>
            </w:r>
          </w:p>
        </w:tc>
        <w:tc>
          <w:tcPr>
            <w:tcW w:w="2394" w:type="dxa"/>
          </w:tcPr>
          <w:p w14:paraId="2A901759" w14:textId="39A234AC" w:rsidR="00B6672E" w:rsidRPr="00B6672E" w:rsidRDefault="00B6672E" w:rsidP="00B6672E">
            <w:pPr>
              <w:rPr>
                <w:rFonts w:cs="Arial"/>
              </w:rPr>
            </w:pPr>
            <w:r w:rsidRPr="00B6672E">
              <w:rPr>
                <w:rFonts w:cs="Arial"/>
              </w:rPr>
              <w:t>65 (5,0)</w:t>
            </w:r>
          </w:p>
        </w:tc>
        <w:tc>
          <w:tcPr>
            <w:tcW w:w="2394" w:type="dxa"/>
          </w:tcPr>
          <w:p w14:paraId="463DC1AE" w14:textId="1ECB7304" w:rsidR="00B6672E" w:rsidRDefault="00B6672E" w:rsidP="00B6672E">
            <w:r>
              <w:t>93(7,3)</w:t>
            </w:r>
          </w:p>
        </w:tc>
      </w:tr>
      <w:tr w:rsidR="00B6672E" w14:paraId="357A0F7B" w14:textId="77777777" w:rsidTr="00B6672E">
        <w:tc>
          <w:tcPr>
            <w:tcW w:w="4788" w:type="dxa"/>
          </w:tcPr>
          <w:p w14:paraId="7DC49619" w14:textId="3A2E49CE" w:rsidR="00B6672E" w:rsidRPr="00B6672E" w:rsidRDefault="00B6672E" w:rsidP="00B6672E">
            <w:pPr>
              <w:rPr>
                <w:rFonts w:cs="Arial"/>
              </w:rPr>
            </w:pPr>
            <w:r w:rsidRPr="00B6672E">
              <w:rPr>
                <w:rFonts w:cs="Arial"/>
              </w:rPr>
              <w:t>Коефициент на риск</w:t>
            </w:r>
          </w:p>
        </w:tc>
        <w:tc>
          <w:tcPr>
            <w:tcW w:w="4788" w:type="dxa"/>
            <w:gridSpan w:val="2"/>
          </w:tcPr>
          <w:p w14:paraId="79BF284D" w14:textId="1CD234FC" w:rsidR="00B6672E" w:rsidRPr="00B6672E" w:rsidRDefault="00B6672E" w:rsidP="00B6672E">
            <w:pPr>
              <w:rPr>
                <w:rFonts w:cs="Arial"/>
              </w:rPr>
            </w:pPr>
            <w:r w:rsidRPr="00B6672E">
              <w:rPr>
                <w:rFonts w:cs="Arial"/>
              </w:rPr>
              <w:t>0,67</w:t>
            </w:r>
          </w:p>
        </w:tc>
      </w:tr>
      <w:tr w:rsidR="00B6672E" w14:paraId="4E64E112" w14:textId="77777777" w:rsidTr="00B6672E">
        <w:tc>
          <w:tcPr>
            <w:tcW w:w="4788" w:type="dxa"/>
          </w:tcPr>
          <w:p w14:paraId="26B09EC1" w14:textId="47477685" w:rsidR="00B6672E" w:rsidRPr="00B6672E" w:rsidRDefault="00B6672E" w:rsidP="00B6672E">
            <w:pPr>
              <w:rPr>
                <w:rFonts w:cs="Arial"/>
              </w:rPr>
            </w:pPr>
            <w:r w:rsidRPr="00B6672E">
              <w:rPr>
                <w:rFonts w:cs="Arial"/>
              </w:rPr>
              <w:t xml:space="preserve">Двустранен 95 % </w:t>
            </w:r>
            <w:r w:rsidRPr="00B6672E">
              <w:rPr>
                <w:rFonts w:cs="Arial"/>
                <w:lang w:val="en-US"/>
              </w:rPr>
              <w:t>CI</w:t>
            </w:r>
          </w:p>
        </w:tc>
        <w:tc>
          <w:tcPr>
            <w:tcW w:w="4788" w:type="dxa"/>
            <w:gridSpan w:val="2"/>
          </w:tcPr>
          <w:p w14:paraId="60C70703" w14:textId="1B9AB764" w:rsidR="00B6672E" w:rsidRPr="00B6672E" w:rsidRDefault="00B6672E" w:rsidP="00B6672E">
            <w:pPr>
              <w:rPr>
                <w:rFonts w:cs="Arial"/>
              </w:rPr>
            </w:pPr>
            <w:r w:rsidRPr="00B6672E">
              <w:rPr>
                <w:rFonts w:cs="Arial"/>
              </w:rPr>
              <w:t>0,49 до 0,92</w:t>
            </w:r>
          </w:p>
        </w:tc>
      </w:tr>
      <w:tr w:rsidR="00B6672E" w14:paraId="5A5F9BFC" w14:textId="77777777" w:rsidTr="00B6672E">
        <w:tc>
          <w:tcPr>
            <w:tcW w:w="4788" w:type="dxa"/>
          </w:tcPr>
          <w:p w14:paraId="0F1B475C" w14:textId="197A4076" w:rsidR="00B6672E" w:rsidRPr="00B6672E" w:rsidRDefault="00B6672E" w:rsidP="00B6672E">
            <w:pPr>
              <w:rPr>
                <w:rFonts w:cs="Arial"/>
              </w:rPr>
            </w:pPr>
            <w:r w:rsidRPr="00B6672E">
              <w:rPr>
                <w:rFonts w:cs="Arial"/>
              </w:rPr>
              <w:t>р-стойност</w:t>
            </w:r>
          </w:p>
        </w:tc>
        <w:tc>
          <w:tcPr>
            <w:tcW w:w="4788" w:type="dxa"/>
            <w:gridSpan w:val="2"/>
          </w:tcPr>
          <w:p w14:paraId="248D4367" w14:textId="0207AD23" w:rsidR="00B6672E" w:rsidRPr="00B6672E" w:rsidRDefault="00B6672E" w:rsidP="00B6672E">
            <w:pPr>
              <w:rPr>
                <w:rFonts w:cs="Arial"/>
              </w:rPr>
            </w:pPr>
            <w:r w:rsidRPr="00B6672E">
              <w:rPr>
                <w:rFonts w:cs="Arial"/>
              </w:rPr>
              <w:t>0,014</w:t>
            </w:r>
          </w:p>
        </w:tc>
      </w:tr>
      <w:tr w:rsidR="00B6672E" w14:paraId="41A71155" w14:textId="77777777" w:rsidTr="009D4FCC">
        <w:tc>
          <w:tcPr>
            <w:tcW w:w="4788" w:type="dxa"/>
          </w:tcPr>
          <w:p w14:paraId="20EFFD06" w14:textId="6D3BBBBB" w:rsidR="00B6672E" w:rsidRPr="00B6672E" w:rsidRDefault="00B6672E" w:rsidP="00B6672E">
            <w:pPr>
              <w:rPr>
                <w:rFonts w:cs="Arial"/>
              </w:rPr>
            </w:pPr>
            <w:r w:rsidRPr="00B6672E">
              <w:rPr>
                <w:rFonts w:cs="Arial"/>
                <w:b/>
                <w:bCs/>
              </w:rPr>
              <w:t>Време до настъпване на какъвто и да е рецидив</w:t>
            </w:r>
          </w:p>
        </w:tc>
        <w:tc>
          <w:tcPr>
            <w:tcW w:w="2394" w:type="dxa"/>
          </w:tcPr>
          <w:p w14:paraId="28A81139" w14:textId="279DDA77" w:rsidR="00B6672E" w:rsidRPr="00B6672E" w:rsidRDefault="00B6672E" w:rsidP="00B6672E">
            <w:pPr>
              <w:rPr>
                <w:rFonts w:cs="Arial"/>
              </w:rPr>
            </w:pPr>
            <w:r w:rsidRPr="00B6672E">
              <w:rPr>
                <w:rFonts w:cs="Arial"/>
              </w:rPr>
              <w:t>36(2,8)</w:t>
            </w:r>
          </w:p>
        </w:tc>
        <w:tc>
          <w:tcPr>
            <w:tcW w:w="2394" w:type="dxa"/>
          </w:tcPr>
          <w:p w14:paraId="31CA86ED" w14:textId="6DD2BF80" w:rsidR="00B6672E" w:rsidRDefault="00B6672E" w:rsidP="00B6672E">
            <w:r>
              <w:t>66(5,1)</w:t>
            </w:r>
          </w:p>
        </w:tc>
      </w:tr>
      <w:tr w:rsidR="00B6672E" w14:paraId="240A85E4" w14:textId="77777777" w:rsidTr="00B6672E">
        <w:tc>
          <w:tcPr>
            <w:tcW w:w="4788" w:type="dxa"/>
          </w:tcPr>
          <w:p w14:paraId="4150BE8C" w14:textId="5636F21B" w:rsidR="00B6672E" w:rsidRPr="00B6672E" w:rsidRDefault="00B6672E" w:rsidP="00B6672E">
            <w:pPr>
              <w:rPr>
                <w:rFonts w:cs="Arial"/>
              </w:rPr>
            </w:pPr>
            <w:r w:rsidRPr="00B6672E">
              <w:rPr>
                <w:rFonts w:cs="Arial"/>
              </w:rPr>
              <w:t>Коефициент на риск</w:t>
            </w:r>
          </w:p>
        </w:tc>
        <w:tc>
          <w:tcPr>
            <w:tcW w:w="4788" w:type="dxa"/>
            <w:gridSpan w:val="2"/>
          </w:tcPr>
          <w:p w14:paraId="51AAE470" w14:textId="14F2E8C0" w:rsidR="00B6672E" w:rsidRPr="00B6672E" w:rsidRDefault="00B6672E" w:rsidP="00B6672E">
            <w:pPr>
              <w:rPr>
                <w:rFonts w:cs="Arial"/>
              </w:rPr>
            </w:pPr>
            <w:r w:rsidRPr="00B6672E">
              <w:rPr>
                <w:rFonts w:cs="Arial"/>
              </w:rPr>
              <w:t>0,53</w:t>
            </w:r>
          </w:p>
        </w:tc>
      </w:tr>
      <w:tr w:rsidR="00B6672E" w14:paraId="605C3DCD" w14:textId="77777777" w:rsidTr="00B6672E">
        <w:tc>
          <w:tcPr>
            <w:tcW w:w="4788" w:type="dxa"/>
          </w:tcPr>
          <w:p w14:paraId="42BF3034" w14:textId="45D7D9A7" w:rsidR="00B6672E" w:rsidRPr="00B6672E" w:rsidRDefault="00B6672E" w:rsidP="00B6672E">
            <w:pPr>
              <w:rPr>
                <w:rFonts w:cs="Arial"/>
              </w:rPr>
            </w:pPr>
            <w:r w:rsidRPr="00B6672E">
              <w:rPr>
                <w:rFonts w:cs="Arial"/>
              </w:rPr>
              <w:t xml:space="preserve">Двустранен 95 % </w:t>
            </w:r>
            <w:r w:rsidRPr="00B6672E">
              <w:rPr>
                <w:rFonts w:cs="Arial"/>
                <w:lang w:val="en-US"/>
              </w:rPr>
              <w:t>CI</w:t>
            </w:r>
          </w:p>
        </w:tc>
        <w:tc>
          <w:tcPr>
            <w:tcW w:w="4788" w:type="dxa"/>
            <w:gridSpan w:val="2"/>
          </w:tcPr>
          <w:p w14:paraId="3BA91375" w14:textId="04C5B596" w:rsidR="00B6672E" w:rsidRPr="00B6672E" w:rsidRDefault="00B6672E" w:rsidP="00B6672E">
            <w:pPr>
              <w:rPr>
                <w:rFonts w:cs="Arial"/>
              </w:rPr>
            </w:pPr>
            <w:r w:rsidRPr="00B6672E">
              <w:rPr>
                <w:rFonts w:cs="Arial"/>
              </w:rPr>
              <w:t>0,35 до 0,79</w:t>
            </w:r>
          </w:p>
        </w:tc>
      </w:tr>
      <w:tr w:rsidR="00B6672E" w14:paraId="68E72B17" w14:textId="77777777" w:rsidTr="00B6672E">
        <w:tc>
          <w:tcPr>
            <w:tcW w:w="4788" w:type="dxa"/>
          </w:tcPr>
          <w:p w14:paraId="4DBBDA8E" w14:textId="2FD3EDC5" w:rsidR="00B6672E" w:rsidRPr="00B6672E" w:rsidRDefault="00B6672E" w:rsidP="00B6672E">
            <w:pPr>
              <w:rPr>
                <w:rFonts w:cs="Arial"/>
              </w:rPr>
            </w:pPr>
            <w:r w:rsidRPr="00B6672E">
              <w:rPr>
                <w:rFonts w:cs="Arial"/>
              </w:rPr>
              <w:t>р-стойност</w:t>
            </w:r>
          </w:p>
        </w:tc>
        <w:tc>
          <w:tcPr>
            <w:tcW w:w="4788" w:type="dxa"/>
            <w:gridSpan w:val="2"/>
          </w:tcPr>
          <w:p w14:paraId="3ABC67CE" w14:textId="705573D5" w:rsidR="00B6672E" w:rsidRPr="00B6672E" w:rsidRDefault="00B6672E" w:rsidP="00B6672E">
            <w:pPr>
              <w:rPr>
                <w:rFonts w:cs="Arial"/>
              </w:rPr>
            </w:pPr>
            <w:r w:rsidRPr="00B6672E">
              <w:rPr>
                <w:rFonts w:cs="Arial"/>
              </w:rPr>
              <w:t>0,002</w:t>
            </w:r>
          </w:p>
        </w:tc>
      </w:tr>
      <w:tr w:rsidR="00B6672E" w14:paraId="40AA1A0E" w14:textId="77777777" w:rsidTr="00751480">
        <w:tc>
          <w:tcPr>
            <w:tcW w:w="4788" w:type="dxa"/>
          </w:tcPr>
          <w:p w14:paraId="076D08B8" w14:textId="24BEBC5D" w:rsidR="00B6672E" w:rsidRPr="00B6672E" w:rsidRDefault="00B6672E" w:rsidP="00B6672E">
            <w:pPr>
              <w:rPr>
                <w:rFonts w:cs="Arial"/>
              </w:rPr>
            </w:pPr>
            <w:r w:rsidRPr="00B6672E">
              <w:rPr>
                <w:rFonts w:cs="Arial"/>
                <w:b/>
                <w:bCs/>
              </w:rPr>
              <w:t>Време до настъпване на далечен рецидив</w:t>
            </w:r>
          </w:p>
        </w:tc>
        <w:tc>
          <w:tcPr>
            <w:tcW w:w="2394" w:type="dxa"/>
          </w:tcPr>
          <w:p w14:paraId="36B7585A" w14:textId="444CFBD9" w:rsidR="00B6672E" w:rsidRPr="00B6672E" w:rsidRDefault="00B6672E" w:rsidP="00B6672E">
            <w:pPr>
              <w:rPr>
                <w:rFonts w:cs="Arial"/>
              </w:rPr>
            </w:pPr>
            <w:r w:rsidRPr="00B6672E">
              <w:rPr>
                <w:rFonts w:cs="Arial"/>
              </w:rPr>
              <w:t>22(1,7)</w:t>
            </w:r>
          </w:p>
        </w:tc>
        <w:tc>
          <w:tcPr>
            <w:tcW w:w="2394" w:type="dxa"/>
          </w:tcPr>
          <w:p w14:paraId="7CF43BE1" w14:textId="58669949" w:rsidR="00B6672E" w:rsidRDefault="00B6672E" w:rsidP="00B6672E">
            <w:r>
              <w:t>41(3,2)</w:t>
            </w:r>
          </w:p>
        </w:tc>
      </w:tr>
      <w:tr w:rsidR="00B6672E" w14:paraId="238FCD53" w14:textId="77777777" w:rsidTr="00B6672E">
        <w:tc>
          <w:tcPr>
            <w:tcW w:w="4788" w:type="dxa"/>
          </w:tcPr>
          <w:p w14:paraId="58B6538A" w14:textId="770C37F9" w:rsidR="00B6672E" w:rsidRPr="00B6672E" w:rsidRDefault="00B6672E" w:rsidP="00B6672E">
            <w:pPr>
              <w:rPr>
                <w:rFonts w:cs="Arial"/>
              </w:rPr>
            </w:pPr>
            <w:r w:rsidRPr="00B6672E">
              <w:rPr>
                <w:rFonts w:cs="Arial"/>
              </w:rPr>
              <w:t>Коефициент на риск</w:t>
            </w:r>
          </w:p>
        </w:tc>
        <w:tc>
          <w:tcPr>
            <w:tcW w:w="4788" w:type="dxa"/>
            <w:gridSpan w:val="2"/>
          </w:tcPr>
          <w:p w14:paraId="65AFC7C5" w14:textId="2ACC4BF6" w:rsidR="00B6672E" w:rsidRPr="00B6672E" w:rsidRDefault="00B6672E" w:rsidP="00B6672E">
            <w:pPr>
              <w:rPr>
                <w:rFonts w:cs="Arial"/>
              </w:rPr>
            </w:pPr>
            <w:r w:rsidRPr="00B6672E">
              <w:rPr>
                <w:rFonts w:cs="Arial"/>
              </w:rPr>
              <w:t>0,52</w:t>
            </w:r>
          </w:p>
        </w:tc>
      </w:tr>
      <w:tr w:rsidR="00B6672E" w14:paraId="19BECE20" w14:textId="77777777" w:rsidTr="00B6672E">
        <w:tc>
          <w:tcPr>
            <w:tcW w:w="4788" w:type="dxa"/>
          </w:tcPr>
          <w:p w14:paraId="5EC4AD30" w14:textId="7A8AE39F" w:rsidR="00B6672E" w:rsidRPr="00B6672E" w:rsidRDefault="00B6672E" w:rsidP="00B6672E">
            <w:pPr>
              <w:rPr>
                <w:rFonts w:cs="Arial"/>
              </w:rPr>
            </w:pPr>
            <w:r w:rsidRPr="00B6672E">
              <w:rPr>
                <w:rFonts w:cs="Arial"/>
              </w:rPr>
              <w:t>Двустранен 95 % С1</w:t>
            </w:r>
          </w:p>
        </w:tc>
        <w:tc>
          <w:tcPr>
            <w:tcW w:w="4788" w:type="dxa"/>
            <w:gridSpan w:val="2"/>
          </w:tcPr>
          <w:p w14:paraId="3A34E194" w14:textId="3D4B4100" w:rsidR="00B6672E" w:rsidRPr="00B6672E" w:rsidRDefault="00B6672E" w:rsidP="00B6672E">
            <w:pPr>
              <w:rPr>
                <w:rFonts w:cs="Arial"/>
              </w:rPr>
            </w:pPr>
            <w:r w:rsidRPr="00B6672E">
              <w:rPr>
                <w:rFonts w:cs="Arial"/>
              </w:rPr>
              <w:t>0,31 до 0,88</w:t>
            </w:r>
          </w:p>
        </w:tc>
      </w:tr>
      <w:tr w:rsidR="00B6672E" w14:paraId="531CF461" w14:textId="77777777" w:rsidTr="00010971">
        <w:tc>
          <w:tcPr>
            <w:tcW w:w="4788" w:type="dxa"/>
          </w:tcPr>
          <w:p w14:paraId="47F64F8E" w14:textId="2C03DADD" w:rsidR="00B6672E" w:rsidRPr="00B6672E" w:rsidRDefault="00B6672E" w:rsidP="00B6672E">
            <w:pPr>
              <w:rPr>
                <w:rFonts w:cs="Arial"/>
              </w:rPr>
            </w:pPr>
            <w:r w:rsidRPr="00B6672E">
              <w:rPr>
                <w:rFonts w:cs="Arial"/>
              </w:rPr>
              <w:t>р-стойност</w:t>
            </w:r>
          </w:p>
        </w:tc>
        <w:tc>
          <w:tcPr>
            <w:tcW w:w="4788" w:type="dxa"/>
            <w:gridSpan w:val="2"/>
          </w:tcPr>
          <w:p w14:paraId="4F56E1B0" w14:textId="2AF0087C" w:rsidR="00B6672E" w:rsidRPr="00B6672E" w:rsidRDefault="00B6672E" w:rsidP="00B6672E">
            <w:pPr>
              <w:rPr>
                <w:rFonts w:cs="Arial"/>
              </w:rPr>
            </w:pPr>
            <w:r w:rsidRPr="00B6672E">
              <w:rPr>
                <w:rFonts w:cs="Arial"/>
              </w:rPr>
              <w:t>0,015</w:t>
            </w:r>
          </w:p>
        </w:tc>
      </w:tr>
      <w:tr w:rsidR="00B6672E" w14:paraId="67047EFF" w14:textId="77777777" w:rsidTr="001E0773">
        <w:tc>
          <w:tcPr>
            <w:tcW w:w="4788" w:type="dxa"/>
          </w:tcPr>
          <w:p w14:paraId="18D8061B" w14:textId="5582395D" w:rsidR="00B6672E" w:rsidRPr="00B6672E" w:rsidRDefault="00B6672E" w:rsidP="00B6672E">
            <w:pPr>
              <w:rPr>
                <w:rFonts w:cs="Arial"/>
              </w:rPr>
            </w:pPr>
            <w:r w:rsidRPr="00B6672E">
              <w:rPr>
                <w:rFonts w:cs="Arial"/>
                <w:b/>
                <w:bCs/>
              </w:rPr>
              <w:t>Нов рак на гърдата в контралатералната гърда</w:t>
            </w:r>
          </w:p>
        </w:tc>
        <w:tc>
          <w:tcPr>
            <w:tcW w:w="2394" w:type="dxa"/>
          </w:tcPr>
          <w:p w14:paraId="43B37374" w14:textId="7FDF8716" w:rsidR="00B6672E" w:rsidRPr="00B6672E" w:rsidRDefault="00B6672E" w:rsidP="00B6672E">
            <w:pPr>
              <w:rPr>
                <w:rFonts w:cs="Arial"/>
              </w:rPr>
            </w:pPr>
            <w:r w:rsidRPr="00B6672E">
              <w:rPr>
                <w:rFonts w:cs="Arial"/>
              </w:rPr>
              <w:t>7(0,5)</w:t>
            </w:r>
          </w:p>
        </w:tc>
        <w:tc>
          <w:tcPr>
            <w:tcW w:w="2394" w:type="dxa"/>
          </w:tcPr>
          <w:p w14:paraId="326EFD9F" w14:textId="3D4E632F" w:rsidR="00B6672E" w:rsidRDefault="00B6672E" w:rsidP="00B6672E">
            <w:r>
              <w:t>15(1,2)</w:t>
            </w:r>
          </w:p>
        </w:tc>
      </w:tr>
      <w:tr w:rsidR="00B6672E" w14:paraId="38F3CCBD" w14:textId="77777777" w:rsidTr="00B6672E">
        <w:tc>
          <w:tcPr>
            <w:tcW w:w="4788" w:type="dxa"/>
          </w:tcPr>
          <w:p w14:paraId="3288EC5B" w14:textId="7521D909" w:rsidR="00B6672E" w:rsidRPr="00B6672E" w:rsidRDefault="00B6672E" w:rsidP="00B6672E">
            <w:pPr>
              <w:rPr>
                <w:rFonts w:cs="Arial"/>
              </w:rPr>
            </w:pPr>
            <w:r w:rsidRPr="00B6672E">
              <w:rPr>
                <w:rFonts w:cs="Arial"/>
              </w:rPr>
              <w:t>Съотношение на шансовете</w:t>
            </w:r>
          </w:p>
        </w:tc>
        <w:tc>
          <w:tcPr>
            <w:tcW w:w="4788" w:type="dxa"/>
            <w:gridSpan w:val="2"/>
          </w:tcPr>
          <w:p w14:paraId="49E0323B" w14:textId="2E903345" w:rsidR="00B6672E" w:rsidRPr="00B6672E" w:rsidRDefault="00B6672E" w:rsidP="00B6672E">
            <w:pPr>
              <w:rPr>
                <w:rFonts w:cs="Arial"/>
              </w:rPr>
            </w:pPr>
            <w:r w:rsidRPr="00B6672E">
              <w:rPr>
                <w:rFonts w:cs="Arial"/>
                <w:bCs/>
              </w:rPr>
              <w:t>0,46</w:t>
            </w:r>
          </w:p>
        </w:tc>
      </w:tr>
      <w:tr w:rsidR="00B6672E" w14:paraId="791C6CB4" w14:textId="77777777" w:rsidTr="00B6672E">
        <w:tc>
          <w:tcPr>
            <w:tcW w:w="4788" w:type="dxa"/>
          </w:tcPr>
          <w:p w14:paraId="7C023730" w14:textId="6D0BA16D" w:rsidR="00B6672E" w:rsidRPr="00B6672E" w:rsidRDefault="00B6672E" w:rsidP="00B6672E">
            <w:pPr>
              <w:rPr>
                <w:rFonts w:cs="Arial"/>
              </w:rPr>
            </w:pPr>
            <w:r w:rsidRPr="00B6672E">
              <w:rPr>
                <w:rFonts w:cs="Arial"/>
              </w:rPr>
              <w:t xml:space="preserve">Двустранен 95 % </w:t>
            </w:r>
            <w:r w:rsidRPr="00B6672E">
              <w:rPr>
                <w:rFonts w:cs="Arial"/>
                <w:lang w:val="en-US"/>
              </w:rPr>
              <w:t>CI</w:t>
            </w:r>
          </w:p>
        </w:tc>
        <w:tc>
          <w:tcPr>
            <w:tcW w:w="4788" w:type="dxa"/>
            <w:gridSpan w:val="2"/>
          </w:tcPr>
          <w:p w14:paraId="7C0C260B" w14:textId="723CB7C0" w:rsidR="00B6672E" w:rsidRPr="00B6672E" w:rsidRDefault="00B6672E" w:rsidP="00B6672E">
            <w:pPr>
              <w:rPr>
                <w:rFonts w:cs="Arial"/>
              </w:rPr>
            </w:pPr>
            <w:r w:rsidRPr="00B6672E">
              <w:rPr>
                <w:rFonts w:cs="Arial"/>
              </w:rPr>
              <w:t>0,19 до 1,13</w:t>
            </w:r>
          </w:p>
        </w:tc>
      </w:tr>
      <w:tr w:rsidR="00B6672E" w14:paraId="3D064E15" w14:textId="77777777" w:rsidTr="00B6672E">
        <w:tc>
          <w:tcPr>
            <w:tcW w:w="4788" w:type="dxa"/>
          </w:tcPr>
          <w:p w14:paraId="52832735" w14:textId="1E6222FC" w:rsidR="00B6672E" w:rsidRPr="00B6672E" w:rsidRDefault="00B6672E" w:rsidP="00B6672E">
            <w:pPr>
              <w:rPr>
                <w:rFonts w:cs="Arial"/>
              </w:rPr>
            </w:pPr>
            <w:r w:rsidRPr="00B6672E">
              <w:rPr>
                <w:rFonts w:cs="Arial"/>
              </w:rPr>
              <w:t>р-стойност</w:t>
            </w:r>
          </w:p>
        </w:tc>
        <w:tc>
          <w:tcPr>
            <w:tcW w:w="4788" w:type="dxa"/>
            <w:gridSpan w:val="2"/>
          </w:tcPr>
          <w:p w14:paraId="0C83F2CD" w14:textId="35E4D61E" w:rsidR="00B6672E" w:rsidRPr="00B6672E" w:rsidRDefault="00B6672E" w:rsidP="00B6672E">
            <w:pPr>
              <w:rPr>
                <w:rFonts w:cs="Arial"/>
              </w:rPr>
            </w:pPr>
            <w:r w:rsidRPr="00B6672E">
              <w:rPr>
                <w:rFonts w:cs="Arial"/>
              </w:rPr>
              <w:t>0,090</w:t>
            </w:r>
          </w:p>
        </w:tc>
      </w:tr>
      <w:tr w:rsidR="00B6672E" w14:paraId="5B6EDC0E" w14:textId="77777777" w:rsidTr="002926B5">
        <w:tc>
          <w:tcPr>
            <w:tcW w:w="4788" w:type="dxa"/>
          </w:tcPr>
          <w:p w14:paraId="35EE4A88" w14:textId="2182FBE3" w:rsidR="00B6672E" w:rsidRPr="00B6672E" w:rsidRDefault="00B6672E" w:rsidP="00B6672E">
            <w:pPr>
              <w:rPr>
                <w:rFonts w:cs="Arial"/>
              </w:rPr>
            </w:pPr>
            <w:r w:rsidRPr="00B6672E">
              <w:rPr>
                <w:rFonts w:cs="Arial"/>
                <w:b/>
                <w:bCs/>
              </w:rPr>
              <w:t>Обща преживяемост</w:t>
            </w:r>
          </w:p>
        </w:tc>
        <w:tc>
          <w:tcPr>
            <w:tcW w:w="2394" w:type="dxa"/>
          </w:tcPr>
          <w:p w14:paraId="6AA15C55" w14:textId="3905EBD0" w:rsidR="00B6672E" w:rsidRPr="00B6672E" w:rsidRDefault="00B6672E" w:rsidP="00B6672E">
            <w:pPr>
              <w:rPr>
                <w:rFonts w:cs="Arial"/>
              </w:rPr>
            </w:pPr>
            <w:r w:rsidRPr="00B6672E">
              <w:rPr>
                <w:rFonts w:cs="Arial"/>
              </w:rPr>
              <w:t>43(3,3)</w:t>
            </w:r>
          </w:p>
        </w:tc>
        <w:tc>
          <w:tcPr>
            <w:tcW w:w="2394" w:type="dxa"/>
          </w:tcPr>
          <w:p w14:paraId="11AE0126" w14:textId="333454D1" w:rsidR="00B6672E" w:rsidRPr="00B6672E" w:rsidRDefault="00B6672E" w:rsidP="00B6672E">
            <w:r w:rsidRPr="00B6672E">
              <w:t>43(3,5)</w:t>
            </w:r>
          </w:p>
        </w:tc>
      </w:tr>
      <w:tr w:rsidR="00B6672E" w14:paraId="17030CC3" w14:textId="77777777" w:rsidTr="00B6672E">
        <w:tc>
          <w:tcPr>
            <w:tcW w:w="4788" w:type="dxa"/>
          </w:tcPr>
          <w:p w14:paraId="46FCE957" w14:textId="63B4919A" w:rsidR="00B6672E" w:rsidRPr="00B6672E" w:rsidRDefault="00B6672E" w:rsidP="00B6672E">
            <w:pPr>
              <w:rPr>
                <w:rFonts w:cs="Arial"/>
              </w:rPr>
            </w:pPr>
            <w:r w:rsidRPr="00B6672E">
              <w:rPr>
                <w:rFonts w:cs="Arial"/>
              </w:rPr>
              <w:t>Коефициент на риск</w:t>
            </w:r>
          </w:p>
        </w:tc>
        <w:tc>
          <w:tcPr>
            <w:tcW w:w="4788" w:type="dxa"/>
            <w:gridSpan w:val="2"/>
          </w:tcPr>
          <w:p w14:paraId="6F9089CA" w14:textId="2142AA5F" w:rsidR="00B6672E" w:rsidRPr="00B6672E" w:rsidRDefault="00B6672E" w:rsidP="00B6672E">
            <w:pPr>
              <w:rPr>
                <w:rFonts w:cs="Arial"/>
              </w:rPr>
            </w:pPr>
            <w:r w:rsidRPr="00B6672E">
              <w:rPr>
                <w:rFonts w:cs="Arial"/>
              </w:rPr>
              <w:t>0,96</w:t>
            </w:r>
          </w:p>
        </w:tc>
      </w:tr>
      <w:tr w:rsidR="00B6672E" w14:paraId="4AC8B68F" w14:textId="77777777" w:rsidTr="00B6672E">
        <w:tc>
          <w:tcPr>
            <w:tcW w:w="4788" w:type="dxa"/>
          </w:tcPr>
          <w:p w14:paraId="6B0D4A69" w14:textId="158EC7CB" w:rsidR="00B6672E" w:rsidRPr="00B6672E" w:rsidRDefault="00B6672E" w:rsidP="00B6672E">
            <w:pPr>
              <w:rPr>
                <w:rFonts w:cs="Arial"/>
              </w:rPr>
            </w:pPr>
            <w:r w:rsidRPr="00B6672E">
              <w:rPr>
                <w:rFonts w:cs="Arial"/>
              </w:rPr>
              <w:t xml:space="preserve">Двустранен 95 % </w:t>
            </w:r>
            <w:r w:rsidRPr="00B6672E">
              <w:rPr>
                <w:rFonts w:cs="Arial"/>
                <w:lang w:val="en-US"/>
              </w:rPr>
              <w:t>CI</w:t>
            </w:r>
          </w:p>
        </w:tc>
        <w:tc>
          <w:tcPr>
            <w:tcW w:w="4788" w:type="dxa"/>
            <w:gridSpan w:val="2"/>
          </w:tcPr>
          <w:p w14:paraId="77EC9979" w14:textId="219382F3" w:rsidR="00B6672E" w:rsidRPr="00B6672E" w:rsidRDefault="00B6672E" w:rsidP="00B6672E">
            <w:pPr>
              <w:rPr>
                <w:rFonts w:cs="Arial"/>
              </w:rPr>
            </w:pPr>
            <w:r w:rsidRPr="00B6672E">
              <w:rPr>
                <w:rFonts w:cs="Arial"/>
              </w:rPr>
              <w:t>0,63 до 1,46</w:t>
            </w:r>
          </w:p>
        </w:tc>
      </w:tr>
      <w:tr w:rsidR="00B6672E" w14:paraId="51DFBFAB" w14:textId="77777777" w:rsidTr="00B6672E">
        <w:tc>
          <w:tcPr>
            <w:tcW w:w="4788" w:type="dxa"/>
          </w:tcPr>
          <w:p w14:paraId="111072AE" w14:textId="331373B4" w:rsidR="00B6672E" w:rsidRPr="00B6672E" w:rsidRDefault="00B6672E" w:rsidP="00B6672E">
            <w:pPr>
              <w:rPr>
                <w:rFonts w:cs="Arial"/>
              </w:rPr>
            </w:pPr>
            <w:r w:rsidRPr="00B6672E">
              <w:rPr>
                <w:rFonts w:cs="Arial"/>
              </w:rPr>
              <w:t>р-стойност</w:t>
            </w:r>
          </w:p>
        </w:tc>
        <w:tc>
          <w:tcPr>
            <w:tcW w:w="4788" w:type="dxa"/>
            <w:gridSpan w:val="2"/>
          </w:tcPr>
          <w:p w14:paraId="3F0C31D0" w14:textId="0C4A888D" w:rsidR="00B6672E" w:rsidRPr="00B6672E" w:rsidRDefault="00B6672E" w:rsidP="00B6672E">
            <w:pPr>
              <w:rPr>
                <w:rFonts w:cs="Arial"/>
              </w:rPr>
            </w:pPr>
            <w:r w:rsidRPr="00B6672E">
              <w:rPr>
                <w:rFonts w:cs="Arial"/>
                <w:bCs/>
              </w:rPr>
              <w:t>0,840</w:t>
            </w:r>
          </w:p>
        </w:tc>
      </w:tr>
    </w:tbl>
    <w:p w14:paraId="48A9371B" w14:textId="346766E7" w:rsidR="00B6672E" w:rsidRDefault="00B6672E" w:rsidP="00B6672E"/>
    <w:p w14:paraId="5AC183AB" w14:textId="77777777" w:rsidR="00B6672E" w:rsidRPr="00B6672E" w:rsidRDefault="00B6672E" w:rsidP="00B6672E">
      <w:pPr>
        <w:spacing w:line="240" w:lineRule="auto"/>
        <w:rPr>
          <w:rFonts w:eastAsia="Times New Roman" w:cs="Arial"/>
          <w:szCs w:val="24"/>
        </w:rPr>
      </w:pPr>
      <w:r w:rsidRPr="00B6672E">
        <w:rPr>
          <w:rFonts w:eastAsia="Times New Roman" w:cs="Arial"/>
          <w:color w:val="000000"/>
          <w:szCs w:val="24"/>
          <w:lang w:eastAsia="bg-BG"/>
        </w:rPr>
        <w:t xml:space="preserve">Тези резултати се подкрепят и от данните от две други сходни проучвания </w:t>
      </w:r>
      <w:r w:rsidRPr="00B6672E">
        <w:rPr>
          <w:rFonts w:eastAsia="Times New Roman" w:cs="Arial"/>
          <w:color w:val="000000"/>
          <w:szCs w:val="24"/>
          <w:lang w:val="ru-RU"/>
        </w:rPr>
        <w:t>(</w:t>
      </w:r>
      <w:r w:rsidRPr="00B6672E">
        <w:rPr>
          <w:rFonts w:eastAsia="Times New Roman" w:cs="Arial"/>
          <w:color w:val="000000"/>
          <w:szCs w:val="24"/>
          <w:lang w:val="en-US"/>
        </w:rPr>
        <w:t>GABG</w:t>
      </w:r>
      <w:r w:rsidRPr="00B6672E">
        <w:rPr>
          <w:rFonts w:eastAsia="Times New Roman" w:cs="Arial"/>
          <w:color w:val="000000"/>
          <w:szCs w:val="24"/>
          <w:lang w:val="ru-RU"/>
        </w:rPr>
        <w:t>/</w:t>
      </w:r>
      <w:r w:rsidRPr="00B6672E">
        <w:rPr>
          <w:rFonts w:eastAsia="Times New Roman" w:cs="Arial"/>
          <w:color w:val="000000"/>
          <w:szCs w:val="24"/>
          <w:lang w:val="en-US"/>
        </w:rPr>
        <w:t>ARNO</w:t>
      </w:r>
      <w:r w:rsidRPr="00B6672E">
        <w:rPr>
          <w:rFonts w:eastAsia="Times New Roman" w:cs="Arial"/>
          <w:color w:val="000000"/>
          <w:szCs w:val="24"/>
          <w:lang w:val="ru-RU"/>
        </w:rPr>
        <w:t xml:space="preserve"> </w:t>
      </w:r>
      <w:r w:rsidRPr="00B6672E">
        <w:rPr>
          <w:rFonts w:eastAsia="Times New Roman" w:cs="Arial"/>
          <w:color w:val="000000"/>
          <w:szCs w:val="24"/>
          <w:lang w:eastAsia="bg-BG"/>
        </w:rPr>
        <w:t xml:space="preserve">95 и </w:t>
      </w:r>
      <w:r w:rsidRPr="00B6672E">
        <w:rPr>
          <w:rFonts w:eastAsia="Times New Roman" w:cs="Arial"/>
          <w:color w:val="000000"/>
          <w:szCs w:val="24"/>
          <w:lang w:val="en-US"/>
        </w:rPr>
        <w:t>ITA</w:t>
      </w:r>
      <w:r w:rsidRPr="00B6672E">
        <w:rPr>
          <w:rFonts w:eastAsia="Times New Roman" w:cs="Arial"/>
          <w:color w:val="000000"/>
          <w:szCs w:val="24"/>
          <w:lang w:val="ru-RU"/>
        </w:rPr>
        <w:t xml:space="preserve">), </w:t>
      </w:r>
      <w:r w:rsidRPr="00B6672E">
        <w:rPr>
          <w:rFonts w:eastAsia="Times New Roman" w:cs="Arial"/>
          <w:color w:val="000000"/>
          <w:szCs w:val="24"/>
          <w:lang w:eastAsia="bg-BG"/>
        </w:rPr>
        <w:t xml:space="preserve">в едното от които пациентките са оперирани и преминали курс химиотерапия, както и комбинираният анализ на </w:t>
      </w:r>
      <w:r w:rsidRPr="00B6672E">
        <w:rPr>
          <w:rFonts w:eastAsia="Times New Roman" w:cs="Arial"/>
          <w:color w:val="000000"/>
          <w:szCs w:val="24"/>
          <w:lang w:val="en-US"/>
        </w:rPr>
        <w:t>ABCSG</w:t>
      </w:r>
      <w:r w:rsidRPr="00B6672E">
        <w:rPr>
          <w:rFonts w:eastAsia="Times New Roman" w:cs="Arial"/>
          <w:color w:val="000000"/>
          <w:szCs w:val="24"/>
          <w:lang w:val="ru-RU"/>
        </w:rPr>
        <w:t xml:space="preserve"> </w:t>
      </w:r>
      <w:r w:rsidRPr="00B6672E">
        <w:rPr>
          <w:rFonts w:eastAsia="Times New Roman" w:cs="Arial"/>
          <w:color w:val="000000"/>
          <w:szCs w:val="24"/>
          <w:lang w:eastAsia="bg-BG"/>
        </w:rPr>
        <w:t xml:space="preserve">8 и </w:t>
      </w:r>
      <w:r w:rsidRPr="00B6672E">
        <w:rPr>
          <w:rFonts w:eastAsia="Times New Roman" w:cs="Arial"/>
          <w:color w:val="000000"/>
          <w:szCs w:val="24"/>
          <w:lang w:val="en-US"/>
        </w:rPr>
        <w:t>GABG</w:t>
      </w:r>
      <w:r w:rsidRPr="00B6672E">
        <w:rPr>
          <w:rFonts w:eastAsia="Times New Roman" w:cs="Arial"/>
          <w:color w:val="000000"/>
          <w:szCs w:val="24"/>
          <w:lang w:val="ru-RU"/>
        </w:rPr>
        <w:t>/</w:t>
      </w:r>
      <w:r w:rsidRPr="00B6672E">
        <w:rPr>
          <w:rFonts w:eastAsia="Times New Roman" w:cs="Arial"/>
          <w:color w:val="000000"/>
          <w:szCs w:val="24"/>
          <w:lang w:val="en-US"/>
        </w:rPr>
        <w:t>ARNO</w:t>
      </w:r>
      <w:r w:rsidRPr="00B6672E">
        <w:rPr>
          <w:rFonts w:eastAsia="Times New Roman" w:cs="Arial"/>
          <w:color w:val="000000"/>
          <w:szCs w:val="24"/>
          <w:lang w:val="ru-RU"/>
        </w:rPr>
        <w:t xml:space="preserve"> </w:t>
      </w:r>
      <w:r w:rsidRPr="00B6672E">
        <w:rPr>
          <w:rFonts w:eastAsia="Times New Roman" w:cs="Arial"/>
          <w:color w:val="000000"/>
          <w:szCs w:val="24"/>
          <w:lang w:eastAsia="bg-BG"/>
        </w:rPr>
        <w:t>95.</w:t>
      </w:r>
    </w:p>
    <w:p w14:paraId="4B0F525E" w14:textId="77777777" w:rsidR="00B6672E" w:rsidRPr="00B6672E" w:rsidRDefault="00B6672E" w:rsidP="00B6672E">
      <w:pPr>
        <w:spacing w:line="240" w:lineRule="auto"/>
        <w:rPr>
          <w:rFonts w:eastAsia="Times New Roman" w:cs="Arial"/>
          <w:color w:val="000000"/>
          <w:szCs w:val="24"/>
          <w:lang w:eastAsia="bg-BG"/>
        </w:rPr>
      </w:pPr>
    </w:p>
    <w:p w14:paraId="4CE51DC6" w14:textId="642DC5EF" w:rsidR="00B6672E" w:rsidRPr="00B6672E" w:rsidRDefault="00B6672E" w:rsidP="00B6672E">
      <w:pPr>
        <w:spacing w:line="240" w:lineRule="auto"/>
        <w:rPr>
          <w:rFonts w:eastAsia="Times New Roman" w:cs="Arial"/>
          <w:szCs w:val="24"/>
        </w:rPr>
      </w:pPr>
      <w:r w:rsidRPr="00B6672E">
        <w:rPr>
          <w:rFonts w:eastAsia="Times New Roman" w:cs="Arial"/>
          <w:color w:val="000000"/>
          <w:szCs w:val="24"/>
          <w:lang w:eastAsia="bg-BG"/>
        </w:rPr>
        <w:t>В тези 3 проучвания профилът на безопасност на Анастрогратис е в съответствие с профила на безопасност, уточнен при постменопаузални жени с положителен за хормонални рецептори ранен рак на гърдата.</w:t>
      </w:r>
    </w:p>
    <w:p w14:paraId="48EA6B93" w14:textId="77777777" w:rsidR="00B6672E" w:rsidRPr="00B6672E" w:rsidRDefault="00B6672E" w:rsidP="00B6672E">
      <w:pPr>
        <w:spacing w:line="240" w:lineRule="auto"/>
        <w:rPr>
          <w:rFonts w:eastAsia="Times New Roman" w:cs="Arial"/>
          <w:b/>
          <w:bCs/>
          <w:color w:val="000000"/>
          <w:szCs w:val="24"/>
          <w:lang w:eastAsia="bg-BG"/>
        </w:rPr>
      </w:pPr>
    </w:p>
    <w:p w14:paraId="0CB408EE" w14:textId="1F66E1A0" w:rsidR="00B6672E" w:rsidRPr="00B6672E" w:rsidRDefault="00B6672E" w:rsidP="00B6672E">
      <w:pPr>
        <w:spacing w:line="240" w:lineRule="auto"/>
        <w:rPr>
          <w:rFonts w:eastAsia="Times New Roman" w:cs="Arial"/>
          <w:szCs w:val="24"/>
        </w:rPr>
      </w:pPr>
      <w:r w:rsidRPr="00B6672E">
        <w:rPr>
          <w:rFonts w:eastAsia="Times New Roman" w:cs="Arial"/>
          <w:b/>
          <w:bCs/>
          <w:color w:val="000000"/>
          <w:szCs w:val="24"/>
          <w:lang w:eastAsia="bg-BG"/>
        </w:rPr>
        <w:t>Минерална костна плътност (МКП)</w:t>
      </w:r>
    </w:p>
    <w:p w14:paraId="71C73753" w14:textId="77777777" w:rsidR="00B6672E" w:rsidRPr="00B6672E" w:rsidRDefault="00B6672E" w:rsidP="00B6672E">
      <w:pPr>
        <w:spacing w:line="240" w:lineRule="auto"/>
        <w:rPr>
          <w:rFonts w:eastAsia="Times New Roman" w:cs="Arial"/>
          <w:szCs w:val="24"/>
        </w:rPr>
      </w:pPr>
      <w:r w:rsidRPr="00B6672E">
        <w:rPr>
          <w:rFonts w:eastAsia="Times New Roman" w:cs="Arial"/>
          <w:color w:val="000000"/>
          <w:szCs w:val="24"/>
          <w:lang w:eastAsia="bg-BG"/>
        </w:rPr>
        <w:t xml:space="preserve">В проучване във фаза </w:t>
      </w:r>
      <w:r w:rsidRPr="00B6672E">
        <w:rPr>
          <w:rFonts w:eastAsia="Times New Roman" w:cs="Arial"/>
          <w:color w:val="000000"/>
          <w:szCs w:val="24"/>
          <w:lang w:val="en-US"/>
        </w:rPr>
        <w:t>III</w:t>
      </w:r>
      <w:r w:rsidRPr="00B6672E">
        <w:rPr>
          <w:rFonts w:eastAsia="Times New Roman" w:cs="Arial"/>
          <w:color w:val="000000"/>
          <w:szCs w:val="24"/>
          <w:lang w:val="ru-RU"/>
        </w:rPr>
        <w:t>/</w:t>
      </w:r>
      <w:r w:rsidRPr="00B6672E">
        <w:rPr>
          <w:rFonts w:eastAsia="Times New Roman" w:cs="Arial"/>
          <w:color w:val="000000"/>
          <w:szCs w:val="24"/>
          <w:lang w:val="en-US"/>
        </w:rPr>
        <w:t>IV</w:t>
      </w:r>
      <w:r w:rsidRPr="00B6672E">
        <w:rPr>
          <w:rFonts w:eastAsia="Times New Roman" w:cs="Arial"/>
          <w:color w:val="000000"/>
          <w:szCs w:val="24"/>
          <w:lang w:val="ru-RU"/>
        </w:rPr>
        <w:t xml:space="preserve"> </w:t>
      </w:r>
      <w:r w:rsidRPr="00B6672E">
        <w:rPr>
          <w:rFonts w:eastAsia="Times New Roman" w:cs="Arial"/>
          <w:color w:val="000000"/>
          <w:szCs w:val="24"/>
          <w:lang w:eastAsia="bg-BG"/>
        </w:rPr>
        <w:t xml:space="preserve">(Проучване на приложението на анастрозол с бифосфоната ризедронат, </w:t>
      </w:r>
      <w:r w:rsidRPr="00B6672E">
        <w:rPr>
          <w:rFonts w:eastAsia="Times New Roman" w:cs="Arial"/>
          <w:color w:val="000000"/>
          <w:szCs w:val="24"/>
          <w:lang w:val="en-US"/>
        </w:rPr>
        <w:t>Study</w:t>
      </w:r>
      <w:r w:rsidRPr="00B6672E">
        <w:rPr>
          <w:rFonts w:eastAsia="Times New Roman" w:cs="Arial"/>
          <w:color w:val="000000"/>
          <w:szCs w:val="24"/>
          <w:lang w:val="ru-RU"/>
        </w:rPr>
        <w:t xml:space="preserve"> </w:t>
      </w:r>
      <w:r w:rsidRPr="00B6672E">
        <w:rPr>
          <w:rFonts w:eastAsia="Times New Roman" w:cs="Arial"/>
          <w:color w:val="000000"/>
          <w:szCs w:val="24"/>
          <w:lang w:val="en-US"/>
        </w:rPr>
        <w:t>of</w:t>
      </w:r>
      <w:r w:rsidRPr="00B6672E">
        <w:rPr>
          <w:rFonts w:eastAsia="Times New Roman" w:cs="Arial"/>
          <w:color w:val="000000"/>
          <w:szCs w:val="24"/>
          <w:lang w:val="ru-RU"/>
        </w:rPr>
        <w:t xml:space="preserve"> </w:t>
      </w:r>
      <w:proofErr w:type="spellStart"/>
      <w:r w:rsidRPr="00B6672E">
        <w:rPr>
          <w:rFonts w:eastAsia="Times New Roman" w:cs="Arial"/>
          <w:color w:val="000000"/>
          <w:szCs w:val="24"/>
          <w:lang w:val="en-US"/>
        </w:rPr>
        <w:t>Anastrozole</w:t>
      </w:r>
      <w:proofErr w:type="spellEnd"/>
      <w:r w:rsidRPr="00B6672E">
        <w:rPr>
          <w:rFonts w:eastAsia="Times New Roman" w:cs="Arial"/>
          <w:color w:val="000000"/>
          <w:szCs w:val="24"/>
          <w:lang w:val="ru-RU"/>
        </w:rPr>
        <w:t xml:space="preserve"> </w:t>
      </w:r>
      <w:r w:rsidRPr="00B6672E">
        <w:rPr>
          <w:rFonts w:eastAsia="Times New Roman" w:cs="Arial"/>
          <w:color w:val="000000"/>
          <w:szCs w:val="24"/>
          <w:lang w:val="en-US"/>
        </w:rPr>
        <w:t>with</w:t>
      </w:r>
      <w:r w:rsidRPr="00B6672E">
        <w:rPr>
          <w:rFonts w:eastAsia="Times New Roman" w:cs="Arial"/>
          <w:color w:val="000000"/>
          <w:szCs w:val="24"/>
          <w:lang w:val="ru-RU"/>
        </w:rPr>
        <w:t xml:space="preserve"> </w:t>
      </w:r>
      <w:r w:rsidRPr="00B6672E">
        <w:rPr>
          <w:rFonts w:eastAsia="Times New Roman" w:cs="Arial"/>
          <w:color w:val="000000"/>
          <w:szCs w:val="24"/>
          <w:lang w:val="en-US"/>
        </w:rPr>
        <w:t>the</w:t>
      </w:r>
      <w:r w:rsidRPr="00B6672E">
        <w:rPr>
          <w:rFonts w:eastAsia="Times New Roman" w:cs="Arial"/>
          <w:color w:val="000000"/>
          <w:szCs w:val="24"/>
          <w:lang w:val="ru-RU"/>
        </w:rPr>
        <w:t xml:space="preserve"> </w:t>
      </w:r>
      <w:r w:rsidRPr="00B6672E">
        <w:rPr>
          <w:rFonts w:eastAsia="Times New Roman" w:cs="Arial"/>
          <w:color w:val="000000"/>
          <w:szCs w:val="24"/>
          <w:lang w:val="en-US"/>
        </w:rPr>
        <w:t>Bisphosphonate</w:t>
      </w:r>
      <w:r w:rsidRPr="00B6672E">
        <w:rPr>
          <w:rFonts w:eastAsia="Times New Roman" w:cs="Arial"/>
          <w:color w:val="000000"/>
          <w:szCs w:val="24"/>
          <w:lang w:val="ru-RU"/>
        </w:rPr>
        <w:t xml:space="preserve"> </w:t>
      </w:r>
      <w:proofErr w:type="spellStart"/>
      <w:r w:rsidRPr="00B6672E">
        <w:rPr>
          <w:rFonts w:eastAsia="Times New Roman" w:cs="Arial"/>
          <w:color w:val="000000"/>
          <w:szCs w:val="24"/>
          <w:lang w:val="en-US"/>
        </w:rPr>
        <w:t>Risedronate</w:t>
      </w:r>
      <w:proofErr w:type="spellEnd"/>
      <w:r w:rsidRPr="00B6672E">
        <w:rPr>
          <w:rFonts w:eastAsia="Times New Roman" w:cs="Arial"/>
          <w:color w:val="000000"/>
          <w:szCs w:val="24"/>
          <w:lang w:val="ru-RU"/>
        </w:rPr>
        <w:t xml:space="preserve"> [</w:t>
      </w:r>
      <w:r w:rsidRPr="00B6672E">
        <w:rPr>
          <w:rFonts w:eastAsia="Times New Roman" w:cs="Arial"/>
          <w:color w:val="000000"/>
          <w:szCs w:val="24"/>
          <w:lang w:val="en-US"/>
        </w:rPr>
        <w:t>SABRE</w:t>
      </w:r>
      <w:r w:rsidRPr="00B6672E">
        <w:rPr>
          <w:rFonts w:eastAsia="Times New Roman" w:cs="Arial"/>
          <w:color w:val="000000"/>
          <w:szCs w:val="24"/>
          <w:lang w:val="ru-RU"/>
        </w:rPr>
        <w:t xml:space="preserve">]), 234 </w:t>
      </w:r>
      <w:r w:rsidRPr="00B6672E">
        <w:rPr>
          <w:rFonts w:eastAsia="Times New Roman" w:cs="Arial"/>
          <w:color w:val="000000"/>
          <w:szCs w:val="24"/>
          <w:lang w:eastAsia="bg-BG"/>
        </w:rPr>
        <w:lastRenderedPageBreak/>
        <w:t xml:space="preserve">постменопаузални жени </w:t>
      </w:r>
      <w:r w:rsidRPr="00B6672E">
        <w:rPr>
          <w:rFonts w:eastAsia="Times New Roman" w:cs="Arial"/>
          <w:color w:val="000000"/>
          <w:szCs w:val="24"/>
          <w:lang w:val="en-US"/>
        </w:rPr>
        <w:t>c</w:t>
      </w:r>
      <w:r w:rsidRPr="00B6672E">
        <w:rPr>
          <w:rFonts w:eastAsia="Times New Roman" w:cs="Arial"/>
          <w:color w:val="000000"/>
          <w:szCs w:val="24"/>
          <w:lang w:val="ru-RU"/>
        </w:rPr>
        <w:t xml:space="preserve"> </w:t>
      </w:r>
      <w:r w:rsidRPr="00B6672E">
        <w:rPr>
          <w:rFonts w:eastAsia="Times New Roman" w:cs="Arial"/>
          <w:color w:val="000000"/>
          <w:szCs w:val="24"/>
          <w:lang w:eastAsia="bg-BG"/>
        </w:rPr>
        <w:t xml:space="preserve">положителен за хормонални рецептори ранен рак на гърдата, планирани за лечение с Анастрогратис 1 </w:t>
      </w:r>
      <w:r w:rsidRPr="00B6672E">
        <w:rPr>
          <w:rFonts w:eastAsia="Times New Roman" w:cs="Arial"/>
          <w:color w:val="000000"/>
          <w:szCs w:val="24"/>
          <w:lang w:val="en-US"/>
        </w:rPr>
        <w:t>mg</w:t>
      </w:r>
      <w:r w:rsidRPr="00B6672E">
        <w:rPr>
          <w:rFonts w:eastAsia="Times New Roman" w:cs="Arial"/>
          <w:color w:val="000000"/>
          <w:szCs w:val="24"/>
          <w:lang w:eastAsia="bg-BG"/>
        </w:rPr>
        <w:t xml:space="preserve">/дневно, са разделени в групи с нисък, умерен и висок риск според риска за развитие на патологична фрактура. Първичният показател за ефикасност е анализът на костната плътност на поясните прешлени, определена чрез </w:t>
      </w:r>
      <w:r w:rsidRPr="00B6672E">
        <w:rPr>
          <w:rFonts w:eastAsia="Times New Roman" w:cs="Arial"/>
          <w:color w:val="000000"/>
          <w:szCs w:val="24"/>
          <w:lang w:val="en-US"/>
        </w:rPr>
        <w:t>DEXA</w:t>
      </w:r>
      <w:r w:rsidRPr="00B6672E">
        <w:rPr>
          <w:rFonts w:eastAsia="Times New Roman" w:cs="Arial"/>
          <w:color w:val="000000"/>
          <w:szCs w:val="24"/>
          <w:lang w:val="ru-RU"/>
        </w:rPr>
        <w:t xml:space="preserve"> </w:t>
      </w:r>
      <w:r w:rsidRPr="00B6672E">
        <w:rPr>
          <w:rFonts w:eastAsia="Times New Roman" w:cs="Arial"/>
          <w:color w:val="000000"/>
          <w:szCs w:val="24"/>
          <w:lang w:eastAsia="bg-BG"/>
        </w:rPr>
        <w:t xml:space="preserve">сканиране. Всички пациентки са получавали витамин </w:t>
      </w:r>
      <w:r w:rsidRPr="00B6672E">
        <w:rPr>
          <w:rFonts w:eastAsia="Times New Roman" w:cs="Arial"/>
          <w:color w:val="000000"/>
          <w:szCs w:val="24"/>
          <w:lang w:val="en-US"/>
        </w:rPr>
        <w:t>D</w:t>
      </w:r>
      <w:r w:rsidRPr="00B6672E">
        <w:rPr>
          <w:rFonts w:eastAsia="Times New Roman" w:cs="Arial"/>
          <w:color w:val="000000"/>
          <w:szCs w:val="24"/>
          <w:lang w:val="ru-RU"/>
        </w:rPr>
        <w:t xml:space="preserve"> </w:t>
      </w:r>
      <w:r w:rsidRPr="00B6672E">
        <w:rPr>
          <w:rFonts w:eastAsia="Times New Roman" w:cs="Arial"/>
          <w:color w:val="000000"/>
          <w:szCs w:val="24"/>
          <w:lang w:eastAsia="bg-BG"/>
        </w:rPr>
        <w:t xml:space="preserve">и калций. Пациентките в групата с нисък риск са получавали само Анастрогратис </w:t>
      </w:r>
      <w:r w:rsidRPr="00B6672E">
        <w:rPr>
          <w:rFonts w:eastAsia="Times New Roman" w:cs="Arial"/>
          <w:color w:val="000000"/>
          <w:szCs w:val="24"/>
          <w:lang w:val="ru-RU"/>
        </w:rPr>
        <w:t>(</w:t>
      </w:r>
      <w:r w:rsidRPr="00B6672E">
        <w:rPr>
          <w:rFonts w:eastAsia="Times New Roman" w:cs="Arial"/>
          <w:color w:val="000000"/>
          <w:szCs w:val="24"/>
          <w:lang w:val="en-US"/>
        </w:rPr>
        <w:t>N</w:t>
      </w:r>
      <w:r w:rsidRPr="00B6672E">
        <w:rPr>
          <w:rFonts w:eastAsia="Times New Roman" w:cs="Arial"/>
          <w:color w:val="000000"/>
          <w:szCs w:val="24"/>
          <w:lang w:val="ru-RU"/>
        </w:rPr>
        <w:t xml:space="preserve">=42), </w:t>
      </w:r>
      <w:r w:rsidRPr="00B6672E">
        <w:rPr>
          <w:rFonts w:eastAsia="Times New Roman" w:cs="Arial"/>
          <w:color w:val="000000"/>
          <w:szCs w:val="24"/>
          <w:lang w:eastAsia="bg-BG"/>
        </w:rPr>
        <w:t>пациентките в групата с умерен риск са рандомизирани да получават или Анастрогратис плюс ризедронат</w:t>
      </w:r>
    </w:p>
    <w:p w14:paraId="02A25315" w14:textId="77777777" w:rsidR="00B6672E" w:rsidRPr="00B6672E" w:rsidRDefault="00B6672E" w:rsidP="00B6672E">
      <w:pPr>
        <w:spacing w:line="240" w:lineRule="auto"/>
        <w:rPr>
          <w:rFonts w:eastAsia="Times New Roman" w:cs="Arial"/>
          <w:szCs w:val="24"/>
        </w:rPr>
      </w:pPr>
      <w:r w:rsidRPr="00B6672E">
        <w:rPr>
          <w:rFonts w:eastAsia="Times New Roman" w:cs="Arial"/>
          <w:color w:val="000000"/>
          <w:szCs w:val="24"/>
          <w:lang w:eastAsia="bg-BG"/>
        </w:rPr>
        <w:t xml:space="preserve">35 </w:t>
      </w:r>
      <w:r w:rsidRPr="00B6672E">
        <w:rPr>
          <w:rFonts w:eastAsia="Times New Roman" w:cs="Arial"/>
          <w:color w:val="000000"/>
          <w:szCs w:val="24"/>
          <w:lang w:val="en-US"/>
        </w:rPr>
        <w:t>mg</w:t>
      </w:r>
      <w:r w:rsidRPr="00B6672E">
        <w:rPr>
          <w:rFonts w:eastAsia="Times New Roman" w:cs="Arial"/>
          <w:color w:val="000000"/>
          <w:szCs w:val="24"/>
          <w:lang w:val="ru-RU"/>
        </w:rPr>
        <w:t xml:space="preserve"> </w:t>
      </w:r>
      <w:r w:rsidRPr="00B6672E">
        <w:rPr>
          <w:rFonts w:eastAsia="Times New Roman" w:cs="Arial"/>
          <w:color w:val="000000"/>
          <w:szCs w:val="24"/>
          <w:lang w:eastAsia="bg-BG"/>
        </w:rPr>
        <w:t xml:space="preserve">веднъж седмично </w:t>
      </w:r>
      <w:r w:rsidRPr="00B6672E">
        <w:rPr>
          <w:rFonts w:eastAsia="Times New Roman" w:cs="Arial"/>
          <w:color w:val="000000"/>
          <w:szCs w:val="24"/>
          <w:lang w:val="ru-RU"/>
        </w:rPr>
        <w:t>(</w:t>
      </w:r>
      <w:r w:rsidRPr="00B6672E">
        <w:rPr>
          <w:rFonts w:eastAsia="Times New Roman" w:cs="Arial"/>
          <w:color w:val="000000"/>
          <w:szCs w:val="24"/>
          <w:lang w:val="en-US"/>
        </w:rPr>
        <w:t>N</w:t>
      </w:r>
      <w:r w:rsidRPr="00B6672E">
        <w:rPr>
          <w:rFonts w:eastAsia="Times New Roman" w:cs="Arial"/>
          <w:color w:val="000000"/>
          <w:szCs w:val="24"/>
          <w:lang w:val="ru-RU"/>
        </w:rPr>
        <w:t xml:space="preserve">=77), </w:t>
      </w:r>
      <w:r w:rsidRPr="00B6672E">
        <w:rPr>
          <w:rFonts w:eastAsia="Times New Roman" w:cs="Arial"/>
          <w:color w:val="000000"/>
          <w:szCs w:val="24"/>
          <w:lang w:eastAsia="bg-BG"/>
        </w:rPr>
        <w:t>или Анастрогратис плюс плацебо (</w:t>
      </w:r>
      <w:r w:rsidRPr="00B6672E">
        <w:rPr>
          <w:rFonts w:eastAsia="Times New Roman" w:cs="Arial"/>
          <w:color w:val="000000"/>
          <w:szCs w:val="24"/>
          <w:lang w:val="en-US"/>
        </w:rPr>
        <w:t>N</w:t>
      </w:r>
      <w:r w:rsidRPr="00B6672E">
        <w:rPr>
          <w:rFonts w:eastAsia="Times New Roman" w:cs="Arial"/>
          <w:color w:val="000000"/>
          <w:szCs w:val="24"/>
          <w:lang w:val="ru-RU"/>
        </w:rPr>
        <w:t xml:space="preserve">=77), </w:t>
      </w:r>
      <w:r w:rsidRPr="00B6672E">
        <w:rPr>
          <w:rFonts w:eastAsia="Times New Roman" w:cs="Arial"/>
          <w:color w:val="000000"/>
          <w:szCs w:val="24"/>
          <w:lang w:eastAsia="bg-BG"/>
        </w:rPr>
        <w:t>а</w:t>
      </w:r>
    </w:p>
    <w:p w14:paraId="00F71F45" w14:textId="77777777" w:rsidR="00B6672E" w:rsidRPr="00B6672E" w:rsidRDefault="00B6672E" w:rsidP="00B6672E">
      <w:pPr>
        <w:rPr>
          <w:rFonts w:eastAsia="Times New Roman" w:cs="Arial"/>
          <w:szCs w:val="24"/>
        </w:rPr>
      </w:pPr>
      <w:r w:rsidRPr="00B6672E">
        <w:rPr>
          <w:rFonts w:eastAsia="Times New Roman" w:cs="Arial"/>
          <w:color w:val="000000"/>
          <w:szCs w:val="24"/>
          <w:lang w:eastAsia="bg-BG"/>
        </w:rPr>
        <w:t xml:space="preserve">пациентките в групата с висок риск са получавали Анастрогратис плюс ризедронат 35 </w:t>
      </w:r>
      <w:r w:rsidRPr="00B6672E">
        <w:rPr>
          <w:rFonts w:eastAsia="Times New Roman" w:cs="Arial"/>
          <w:color w:val="000000"/>
          <w:szCs w:val="24"/>
          <w:lang w:val="en-US"/>
        </w:rPr>
        <w:t>mg</w:t>
      </w:r>
      <w:r w:rsidRPr="00B6672E">
        <w:rPr>
          <w:rFonts w:eastAsia="Times New Roman" w:cs="Arial"/>
          <w:color w:val="000000"/>
          <w:szCs w:val="24"/>
          <w:lang w:val="ru-RU"/>
        </w:rPr>
        <w:t xml:space="preserve"> </w:t>
      </w:r>
      <w:r w:rsidRPr="00B6672E">
        <w:rPr>
          <w:rFonts w:eastAsia="Times New Roman" w:cs="Arial"/>
          <w:color w:val="000000"/>
          <w:szCs w:val="24"/>
          <w:lang w:eastAsia="bg-BG"/>
        </w:rPr>
        <w:t xml:space="preserve">веднъж седмично </w:t>
      </w:r>
      <w:r w:rsidRPr="00B6672E">
        <w:rPr>
          <w:rFonts w:eastAsia="Times New Roman" w:cs="Arial"/>
          <w:color w:val="000000"/>
          <w:szCs w:val="24"/>
          <w:lang w:val="ru-RU"/>
        </w:rPr>
        <w:t>(</w:t>
      </w:r>
      <w:r w:rsidRPr="00B6672E">
        <w:rPr>
          <w:rFonts w:eastAsia="Times New Roman" w:cs="Arial"/>
          <w:color w:val="000000"/>
          <w:szCs w:val="24"/>
          <w:lang w:val="en-US"/>
        </w:rPr>
        <w:t>N</w:t>
      </w:r>
      <w:r w:rsidRPr="00B6672E">
        <w:rPr>
          <w:rFonts w:eastAsia="Times New Roman" w:cs="Arial"/>
          <w:color w:val="000000"/>
          <w:szCs w:val="24"/>
          <w:lang w:val="ru-RU"/>
        </w:rPr>
        <w:t xml:space="preserve">=38). </w:t>
      </w:r>
      <w:r w:rsidRPr="00B6672E">
        <w:rPr>
          <w:rFonts w:eastAsia="Times New Roman" w:cs="Arial"/>
          <w:color w:val="000000"/>
          <w:szCs w:val="24"/>
          <w:lang w:eastAsia="bg-BG"/>
        </w:rPr>
        <w:t>Първичната крайна точка е промяната на костната плътност на поясните прешлени на 12-ия месец в сравнение с изходното ниво.</w:t>
      </w:r>
    </w:p>
    <w:p w14:paraId="4778E55E" w14:textId="77777777" w:rsidR="00B6672E" w:rsidRPr="00B6672E" w:rsidRDefault="00B6672E" w:rsidP="00B6672E">
      <w:pPr>
        <w:spacing w:line="240" w:lineRule="auto"/>
        <w:rPr>
          <w:rFonts w:eastAsia="Times New Roman" w:cs="Arial"/>
          <w:color w:val="000000"/>
          <w:szCs w:val="24"/>
          <w:lang w:eastAsia="bg-BG"/>
        </w:rPr>
      </w:pPr>
    </w:p>
    <w:p w14:paraId="23775629" w14:textId="71CFAEFC" w:rsidR="00B6672E" w:rsidRPr="00B6672E" w:rsidRDefault="00B6672E" w:rsidP="00B6672E">
      <w:pPr>
        <w:spacing w:line="240" w:lineRule="auto"/>
        <w:rPr>
          <w:rFonts w:eastAsia="Times New Roman" w:cs="Arial"/>
          <w:szCs w:val="24"/>
        </w:rPr>
      </w:pPr>
      <w:r w:rsidRPr="00B6672E">
        <w:rPr>
          <w:rFonts w:eastAsia="Times New Roman" w:cs="Arial"/>
          <w:color w:val="000000"/>
          <w:szCs w:val="24"/>
          <w:lang w:eastAsia="bg-BG"/>
        </w:rPr>
        <w:t xml:space="preserve">Главният 12-месечен анализ показва, че пациентките, които изходно са били с умерен и висок риск за патологични фрактури, не показват понижаване на костната плътност (определена като костна плътност на поясните прешлени чрез </w:t>
      </w:r>
      <w:r w:rsidRPr="00B6672E">
        <w:rPr>
          <w:rFonts w:eastAsia="Times New Roman" w:cs="Arial"/>
          <w:color w:val="000000"/>
          <w:szCs w:val="24"/>
          <w:lang w:val="en-US"/>
        </w:rPr>
        <w:t>DEXA</w:t>
      </w:r>
      <w:r w:rsidRPr="00B6672E">
        <w:rPr>
          <w:rFonts w:eastAsia="Times New Roman" w:cs="Arial"/>
          <w:color w:val="000000"/>
          <w:szCs w:val="24"/>
          <w:lang w:val="ru-RU"/>
        </w:rPr>
        <w:t xml:space="preserve"> </w:t>
      </w:r>
      <w:r w:rsidRPr="00B6672E">
        <w:rPr>
          <w:rFonts w:eastAsia="Times New Roman" w:cs="Arial"/>
          <w:color w:val="000000"/>
          <w:szCs w:val="24"/>
          <w:lang w:eastAsia="bg-BG"/>
        </w:rPr>
        <w:t xml:space="preserve">сканиране) при лечение с анастрозол 1 </w:t>
      </w:r>
      <w:r w:rsidRPr="00B6672E">
        <w:rPr>
          <w:rFonts w:eastAsia="Times New Roman" w:cs="Arial"/>
          <w:color w:val="000000"/>
          <w:szCs w:val="24"/>
          <w:lang w:val="en-US"/>
        </w:rPr>
        <w:t>mg</w:t>
      </w:r>
      <w:r w:rsidRPr="00B6672E">
        <w:rPr>
          <w:rFonts w:eastAsia="Times New Roman" w:cs="Arial"/>
          <w:color w:val="000000"/>
          <w:szCs w:val="24"/>
          <w:lang w:eastAsia="bg-BG"/>
        </w:rPr>
        <w:t xml:space="preserve">/дневно в комбинация с ризедронат 35 </w:t>
      </w:r>
      <w:r w:rsidRPr="00B6672E">
        <w:rPr>
          <w:rFonts w:eastAsia="Times New Roman" w:cs="Arial"/>
          <w:color w:val="000000"/>
          <w:szCs w:val="24"/>
          <w:lang w:val="en-US"/>
        </w:rPr>
        <w:t>mg</w:t>
      </w:r>
      <w:r w:rsidRPr="00B6672E">
        <w:rPr>
          <w:rFonts w:eastAsia="Times New Roman" w:cs="Arial"/>
          <w:color w:val="000000"/>
          <w:szCs w:val="24"/>
          <w:lang w:val="ru-RU"/>
        </w:rPr>
        <w:t xml:space="preserve"> </w:t>
      </w:r>
      <w:r w:rsidRPr="00B6672E">
        <w:rPr>
          <w:rFonts w:eastAsia="Times New Roman" w:cs="Arial"/>
          <w:color w:val="000000"/>
          <w:szCs w:val="24"/>
          <w:lang w:eastAsia="bg-BG"/>
        </w:rPr>
        <w:t xml:space="preserve">еднократно седмично. В допълнение, в групата пациентки с нисък риск, лекувани само с анастрозол 1 </w:t>
      </w:r>
      <w:r w:rsidRPr="00B6672E">
        <w:rPr>
          <w:rFonts w:eastAsia="Times New Roman" w:cs="Arial"/>
          <w:color w:val="000000"/>
          <w:szCs w:val="24"/>
          <w:lang w:val="en-US"/>
        </w:rPr>
        <w:t>mg</w:t>
      </w:r>
      <w:r w:rsidRPr="00B6672E">
        <w:rPr>
          <w:rFonts w:eastAsia="Times New Roman" w:cs="Arial"/>
          <w:color w:val="000000"/>
          <w:szCs w:val="24"/>
          <w:lang w:eastAsia="bg-BG"/>
        </w:rPr>
        <w:t>/дневно, се установява понижаване на МКП, което не е статистически значимо. Тези резултати се потвърждават и от вторичния показател за ефикасност - промяната на 12-ия месец в сравнение с изходната стойност на МКП на проксималната бедрена кост.</w:t>
      </w:r>
    </w:p>
    <w:p w14:paraId="36FBF049" w14:textId="77777777" w:rsidR="00B6672E" w:rsidRPr="00B6672E" w:rsidRDefault="00B6672E" w:rsidP="00B6672E">
      <w:pPr>
        <w:spacing w:line="240" w:lineRule="auto"/>
        <w:rPr>
          <w:rFonts w:eastAsia="Times New Roman" w:cs="Arial"/>
          <w:color w:val="000000"/>
          <w:szCs w:val="24"/>
          <w:lang w:eastAsia="bg-BG"/>
        </w:rPr>
      </w:pPr>
    </w:p>
    <w:p w14:paraId="3431304C" w14:textId="05194F18" w:rsidR="00B6672E" w:rsidRPr="00B6672E" w:rsidRDefault="00B6672E" w:rsidP="00B6672E">
      <w:pPr>
        <w:spacing w:line="240" w:lineRule="auto"/>
        <w:rPr>
          <w:rFonts w:eastAsia="Times New Roman" w:cs="Arial"/>
          <w:szCs w:val="24"/>
        </w:rPr>
      </w:pPr>
      <w:r w:rsidRPr="00B6672E">
        <w:rPr>
          <w:rFonts w:eastAsia="Times New Roman" w:cs="Arial"/>
          <w:color w:val="000000"/>
          <w:szCs w:val="24"/>
          <w:lang w:eastAsia="bg-BG"/>
        </w:rPr>
        <w:t>Това проучване предоставя данни, според които в лечението на евентуалното намаляване на минералната костна плътност при постменопаузални жени с ранен рак на гърдата, предвидени за лечение с анастрозол, може да се има предвид прилагане на бифосфонати.</w:t>
      </w:r>
    </w:p>
    <w:p w14:paraId="2FA5C23C" w14:textId="77777777" w:rsidR="00B6672E" w:rsidRPr="00B6672E" w:rsidRDefault="00B6672E" w:rsidP="00B6672E">
      <w:pPr>
        <w:spacing w:line="240" w:lineRule="auto"/>
        <w:rPr>
          <w:rFonts w:eastAsia="Times New Roman" w:cs="Arial"/>
          <w:color w:val="000000"/>
          <w:szCs w:val="24"/>
          <w:u w:val="single"/>
          <w:lang w:eastAsia="bg-BG"/>
        </w:rPr>
      </w:pPr>
    </w:p>
    <w:p w14:paraId="5E16AAF0" w14:textId="04042FAD" w:rsidR="00B6672E" w:rsidRPr="00B6672E" w:rsidRDefault="00B6672E" w:rsidP="00B6672E">
      <w:pPr>
        <w:spacing w:line="240" w:lineRule="auto"/>
        <w:rPr>
          <w:rFonts w:eastAsia="Times New Roman" w:cs="Arial"/>
          <w:szCs w:val="24"/>
        </w:rPr>
      </w:pPr>
      <w:r w:rsidRPr="00B6672E">
        <w:rPr>
          <w:rFonts w:eastAsia="Times New Roman" w:cs="Arial"/>
          <w:color w:val="000000"/>
          <w:szCs w:val="24"/>
          <w:u w:val="single"/>
          <w:lang w:eastAsia="bg-BG"/>
        </w:rPr>
        <w:t>Педиатрична популация</w:t>
      </w:r>
    </w:p>
    <w:p w14:paraId="34A984E4" w14:textId="77777777" w:rsidR="00B6672E" w:rsidRPr="00B6672E" w:rsidRDefault="00B6672E" w:rsidP="00B6672E">
      <w:pPr>
        <w:spacing w:line="240" w:lineRule="auto"/>
        <w:rPr>
          <w:rFonts w:eastAsia="Times New Roman" w:cs="Arial"/>
          <w:color w:val="000000"/>
          <w:szCs w:val="24"/>
          <w:lang w:eastAsia="bg-BG"/>
        </w:rPr>
      </w:pPr>
    </w:p>
    <w:p w14:paraId="26A89AC9" w14:textId="7A3DEC92" w:rsidR="00B6672E" w:rsidRPr="00B6672E" w:rsidRDefault="00B6672E" w:rsidP="00B6672E">
      <w:pPr>
        <w:spacing w:line="240" w:lineRule="auto"/>
        <w:rPr>
          <w:rFonts w:eastAsia="Times New Roman" w:cs="Arial"/>
          <w:szCs w:val="24"/>
        </w:rPr>
      </w:pPr>
      <w:r w:rsidRPr="00B6672E">
        <w:rPr>
          <w:rFonts w:eastAsia="Times New Roman" w:cs="Arial"/>
          <w:color w:val="000000"/>
          <w:szCs w:val="24"/>
          <w:lang w:eastAsia="bg-BG"/>
        </w:rPr>
        <w:t>Анастрогратис не е показан за употреба при деца и юноши. Ефикасността му не е установена в проучваните педиатрични популации (вж. по-долу). Броят лекувани деца е твърде малък, за да се направят надеждни заключения относно безопасността. Няма данни за потенциалните дългосрочни ефекти на лечението с Анастрогратис при деца и юноши (вж. точка 5.3).</w:t>
      </w:r>
    </w:p>
    <w:p w14:paraId="6FFB19D4" w14:textId="77777777" w:rsidR="00B6672E" w:rsidRPr="00B6672E" w:rsidRDefault="00B6672E" w:rsidP="00B6672E">
      <w:pPr>
        <w:spacing w:line="240" w:lineRule="auto"/>
        <w:rPr>
          <w:rFonts w:eastAsia="Times New Roman" w:cs="Arial"/>
          <w:color w:val="000000"/>
          <w:szCs w:val="24"/>
          <w:lang w:eastAsia="bg-BG"/>
        </w:rPr>
      </w:pPr>
    </w:p>
    <w:p w14:paraId="2D46C7DE" w14:textId="665BEF60" w:rsidR="00B6672E" w:rsidRPr="00B6672E" w:rsidRDefault="00B6672E" w:rsidP="00B6672E">
      <w:pPr>
        <w:spacing w:line="240" w:lineRule="auto"/>
        <w:rPr>
          <w:rFonts w:eastAsia="Times New Roman" w:cs="Arial"/>
          <w:szCs w:val="24"/>
        </w:rPr>
      </w:pPr>
      <w:r w:rsidRPr="00B6672E">
        <w:rPr>
          <w:rFonts w:eastAsia="Times New Roman" w:cs="Arial"/>
          <w:color w:val="000000"/>
          <w:szCs w:val="24"/>
          <w:lang w:eastAsia="bg-BG"/>
        </w:rPr>
        <w:t xml:space="preserve">Европейската агенция по лекарствата освобождава от задължението за предоставяне на резултатите от проучванията с анастрозол в една или повече подгрупи на педиатричната популация при деца с нисък ръст в резултат на дефицит на хормон на растежа, гонадотропин-независим мъжки преждевременен пубертет, гинекомастия и синдром на </w:t>
      </w:r>
      <w:r w:rsidRPr="00B6672E">
        <w:rPr>
          <w:rFonts w:eastAsia="Times New Roman" w:cs="Arial"/>
          <w:i/>
          <w:iCs/>
          <w:color w:val="000000"/>
          <w:szCs w:val="24"/>
          <w:lang w:val="en-US"/>
        </w:rPr>
        <w:t>McCune</w:t>
      </w:r>
      <w:r w:rsidRPr="00B6672E">
        <w:rPr>
          <w:rFonts w:eastAsia="Times New Roman" w:cs="Arial"/>
          <w:i/>
          <w:iCs/>
          <w:color w:val="000000"/>
          <w:szCs w:val="24"/>
          <w:lang w:val="ru-RU"/>
        </w:rPr>
        <w:t>-</w:t>
      </w:r>
      <w:r w:rsidRPr="00B6672E">
        <w:rPr>
          <w:rFonts w:eastAsia="Times New Roman" w:cs="Arial"/>
          <w:i/>
          <w:iCs/>
          <w:color w:val="000000"/>
          <w:szCs w:val="24"/>
          <w:lang w:val="en-US"/>
        </w:rPr>
        <w:t>Albright</w:t>
      </w:r>
      <w:r w:rsidRPr="00B6672E">
        <w:rPr>
          <w:rFonts w:eastAsia="Times New Roman" w:cs="Arial"/>
          <w:color w:val="000000"/>
          <w:szCs w:val="24"/>
          <w:lang w:val="ru-RU"/>
        </w:rPr>
        <w:t xml:space="preserve"> </w:t>
      </w:r>
      <w:r w:rsidRPr="00B6672E">
        <w:rPr>
          <w:rFonts w:eastAsia="Times New Roman" w:cs="Arial"/>
          <w:color w:val="000000"/>
          <w:szCs w:val="24"/>
          <w:lang w:eastAsia="bg-BG"/>
        </w:rPr>
        <w:t>(вж. точка 4.2)</w:t>
      </w:r>
    </w:p>
    <w:p w14:paraId="1038D5E0" w14:textId="77777777" w:rsidR="00B6672E" w:rsidRPr="00B6672E" w:rsidRDefault="00B6672E" w:rsidP="00B6672E">
      <w:pPr>
        <w:spacing w:line="240" w:lineRule="auto"/>
        <w:rPr>
          <w:rFonts w:eastAsia="Times New Roman" w:cs="Arial"/>
          <w:i/>
          <w:iCs/>
          <w:color w:val="000000"/>
          <w:szCs w:val="24"/>
          <w:lang w:eastAsia="bg-BG"/>
        </w:rPr>
      </w:pPr>
    </w:p>
    <w:p w14:paraId="0F6E67FE" w14:textId="0F1ABFB2" w:rsidR="00B6672E" w:rsidRPr="00B6672E" w:rsidRDefault="00B6672E" w:rsidP="00B6672E">
      <w:pPr>
        <w:spacing w:line="240" w:lineRule="auto"/>
        <w:rPr>
          <w:rFonts w:eastAsia="Times New Roman" w:cs="Arial"/>
          <w:szCs w:val="24"/>
        </w:rPr>
      </w:pPr>
      <w:r w:rsidRPr="00B6672E">
        <w:rPr>
          <w:rFonts w:eastAsia="Times New Roman" w:cs="Arial"/>
          <w:i/>
          <w:iCs/>
          <w:color w:val="000000"/>
          <w:szCs w:val="24"/>
          <w:lang w:eastAsia="bg-BG"/>
        </w:rPr>
        <w:t>Нисък ръст в резултат на дефицит на хормона на растежа</w:t>
      </w:r>
    </w:p>
    <w:p w14:paraId="199834AC" w14:textId="77777777" w:rsidR="00B6672E" w:rsidRPr="00B6672E" w:rsidRDefault="00B6672E" w:rsidP="00B6672E">
      <w:pPr>
        <w:spacing w:line="240" w:lineRule="auto"/>
        <w:rPr>
          <w:rFonts w:eastAsia="Times New Roman" w:cs="Arial"/>
          <w:szCs w:val="24"/>
        </w:rPr>
      </w:pPr>
      <w:r w:rsidRPr="00B6672E">
        <w:rPr>
          <w:rFonts w:eastAsia="Times New Roman" w:cs="Arial"/>
          <w:color w:val="000000"/>
          <w:szCs w:val="24"/>
          <w:lang w:eastAsia="bg-BG"/>
        </w:rPr>
        <w:t xml:space="preserve">Проведено е рандомизирано двойносляпо многоцентрово проучване, оценяващо 52 момчета в пубертета (на възраст от 11 до 16 години включително) с дефицит на хормон на растежа (ДХР), лекувани в продължение на 12 до 36 месеца с анастрозол 1 </w:t>
      </w:r>
      <w:r w:rsidRPr="00B6672E">
        <w:rPr>
          <w:rFonts w:eastAsia="Times New Roman" w:cs="Arial"/>
          <w:color w:val="000000"/>
          <w:szCs w:val="24"/>
          <w:lang w:val="en-US"/>
        </w:rPr>
        <w:t>mg</w:t>
      </w:r>
      <w:r w:rsidRPr="00B6672E">
        <w:rPr>
          <w:rFonts w:eastAsia="Times New Roman" w:cs="Arial"/>
          <w:color w:val="000000"/>
          <w:szCs w:val="24"/>
          <w:lang w:eastAsia="bg-BG"/>
        </w:rPr>
        <w:t>/дневно или плацебо в комбинация с хормон на растежа. Само 14 от пациентите на лечение с анастрозол са завършили 36-месечния курс на лечение.</w:t>
      </w:r>
    </w:p>
    <w:p w14:paraId="7716C0CD" w14:textId="77777777" w:rsidR="00B6672E" w:rsidRPr="00B6672E" w:rsidRDefault="00B6672E" w:rsidP="00B6672E">
      <w:pPr>
        <w:spacing w:line="240" w:lineRule="auto"/>
        <w:rPr>
          <w:rFonts w:eastAsia="Times New Roman" w:cs="Arial"/>
          <w:color w:val="000000"/>
          <w:szCs w:val="24"/>
          <w:lang w:eastAsia="bg-BG"/>
        </w:rPr>
      </w:pPr>
    </w:p>
    <w:p w14:paraId="7F296334" w14:textId="3EEF7E12" w:rsidR="00B6672E" w:rsidRPr="00B6672E" w:rsidRDefault="00B6672E" w:rsidP="00B6672E">
      <w:pPr>
        <w:spacing w:line="240" w:lineRule="auto"/>
        <w:rPr>
          <w:rFonts w:eastAsia="Times New Roman" w:cs="Arial"/>
          <w:color w:val="000000"/>
          <w:szCs w:val="24"/>
          <w:lang w:eastAsia="bg-BG"/>
        </w:rPr>
      </w:pPr>
      <w:r w:rsidRPr="00B6672E">
        <w:rPr>
          <w:rFonts w:eastAsia="Times New Roman" w:cs="Arial"/>
          <w:color w:val="000000"/>
          <w:szCs w:val="24"/>
          <w:lang w:eastAsia="bg-BG"/>
        </w:rPr>
        <w:t xml:space="preserve">Не се установява статистически значима разлика от плацебо по отношение на свързаните с растежа параметри - очакван ръст при завършване на растежа, ръст, ръст ИСО (индекс на стандартното отклонение) и скорост на растеж. Не са налични данните за </w:t>
      </w:r>
      <w:r w:rsidRPr="00B6672E">
        <w:rPr>
          <w:rFonts w:eastAsia="Times New Roman" w:cs="Arial"/>
          <w:color w:val="000000"/>
          <w:szCs w:val="24"/>
          <w:lang w:eastAsia="bg-BG"/>
        </w:rPr>
        <w:lastRenderedPageBreak/>
        <w:t>окончателния ръст. Макар броят на лекуваните деца да е твърде малък, за да може да се направи достоверно заключение относно безопасността, в сравнение с групата на плацебо в групата на лечение с анастрозол се установява повишена честота на фрактурите и тенденции към намаляване на минералната костна плътност.</w:t>
      </w:r>
    </w:p>
    <w:p w14:paraId="04C44D49" w14:textId="79D5ADB3" w:rsidR="00B6672E" w:rsidRPr="00B6672E" w:rsidRDefault="00B6672E" w:rsidP="00B6672E">
      <w:pPr>
        <w:spacing w:line="240" w:lineRule="auto"/>
        <w:rPr>
          <w:rFonts w:eastAsia="Times New Roman" w:cs="Arial"/>
          <w:color w:val="000000"/>
          <w:szCs w:val="24"/>
          <w:lang w:eastAsia="bg-BG"/>
        </w:rPr>
      </w:pPr>
    </w:p>
    <w:p w14:paraId="2E434354" w14:textId="77777777" w:rsidR="00B6672E" w:rsidRPr="00B6672E" w:rsidRDefault="00B6672E" w:rsidP="00B6672E">
      <w:pPr>
        <w:spacing w:line="240" w:lineRule="auto"/>
        <w:rPr>
          <w:rFonts w:eastAsia="Times New Roman" w:cs="Arial"/>
          <w:szCs w:val="24"/>
        </w:rPr>
      </w:pPr>
      <w:r w:rsidRPr="00B6672E">
        <w:rPr>
          <w:rFonts w:eastAsia="Times New Roman" w:cs="Arial"/>
          <w:i/>
          <w:iCs/>
          <w:color w:val="000000"/>
          <w:szCs w:val="24"/>
          <w:lang w:eastAsia="bg-BG"/>
        </w:rPr>
        <w:t>Гонадотропин-независим мъжки преждевременен пубертет</w:t>
      </w:r>
    </w:p>
    <w:p w14:paraId="657AADBA" w14:textId="77777777" w:rsidR="00B6672E" w:rsidRPr="00B6672E" w:rsidRDefault="00B6672E" w:rsidP="00B6672E">
      <w:pPr>
        <w:spacing w:line="240" w:lineRule="auto"/>
        <w:rPr>
          <w:rFonts w:eastAsia="Times New Roman" w:cs="Arial"/>
          <w:szCs w:val="24"/>
        </w:rPr>
      </w:pPr>
      <w:r w:rsidRPr="00B6672E">
        <w:rPr>
          <w:rFonts w:eastAsia="Times New Roman" w:cs="Arial"/>
          <w:color w:val="000000"/>
          <w:szCs w:val="24"/>
          <w:lang w:eastAsia="bg-BG"/>
        </w:rPr>
        <w:t>Открито, несравнително, многоцентрово проучване оценява 14 момчета (на възраст от 2 до 9 години) с наследствен гонадотропин-независим мъжки преждевременен пубертет, лекувани с комбинация от анастрозол и бикалутамид. Първичната цел на проучването е оценката на ефикасността и безопасността на тази терапевтична схема при приложението й в продължение на 12 месеца. Тринадесет от включените 14 пациента са завършили 12-месечното комбинирано лечение (един пациент е загубен за проследяването). След 12-месечно лечение няма значима разлика в скоростта на растеж в сравнение със скоростта на растеж през 6-те месеца преди включване в проучването.</w:t>
      </w:r>
    </w:p>
    <w:p w14:paraId="0A16992C" w14:textId="77777777" w:rsidR="00B6672E" w:rsidRPr="00B6672E" w:rsidRDefault="00B6672E" w:rsidP="00B6672E">
      <w:pPr>
        <w:spacing w:line="240" w:lineRule="auto"/>
        <w:rPr>
          <w:rFonts w:eastAsia="Times New Roman" w:cs="Arial"/>
          <w:i/>
          <w:iCs/>
          <w:color w:val="000000"/>
          <w:szCs w:val="24"/>
          <w:lang w:eastAsia="bg-BG"/>
        </w:rPr>
      </w:pPr>
    </w:p>
    <w:p w14:paraId="2E67ABF6" w14:textId="7F58BB4E" w:rsidR="00B6672E" w:rsidRPr="00B6672E" w:rsidRDefault="00B6672E" w:rsidP="00B6672E">
      <w:pPr>
        <w:spacing w:line="240" w:lineRule="auto"/>
        <w:rPr>
          <w:rFonts w:eastAsia="Times New Roman" w:cs="Arial"/>
          <w:szCs w:val="24"/>
        </w:rPr>
      </w:pPr>
      <w:r w:rsidRPr="00B6672E">
        <w:rPr>
          <w:rFonts w:eastAsia="Times New Roman" w:cs="Arial"/>
          <w:i/>
          <w:iCs/>
          <w:color w:val="000000"/>
          <w:szCs w:val="24"/>
          <w:lang w:eastAsia="bg-BG"/>
        </w:rPr>
        <w:t>Проучвания за лечение на гинекомастия</w:t>
      </w:r>
    </w:p>
    <w:p w14:paraId="5A3CCBB7" w14:textId="77777777" w:rsidR="00B6672E" w:rsidRPr="00B6672E" w:rsidRDefault="00B6672E" w:rsidP="00B6672E">
      <w:pPr>
        <w:spacing w:line="240" w:lineRule="auto"/>
        <w:rPr>
          <w:rFonts w:eastAsia="Times New Roman" w:cs="Arial"/>
          <w:szCs w:val="24"/>
        </w:rPr>
      </w:pPr>
      <w:r w:rsidRPr="00B6672E">
        <w:rPr>
          <w:rFonts w:eastAsia="Times New Roman" w:cs="Arial"/>
          <w:color w:val="000000"/>
          <w:szCs w:val="24"/>
          <w:lang w:eastAsia="bg-BG"/>
        </w:rPr>
        <w:t xml:space="preserve">Проучване 0006 е рандомизирано, двойносляпо, многоцентрово проучване при 82 момчета в пубертет (на възраст от 11 до 18 години включително) с гинекомастия с давност над 12 месеца, лекувани с анастрозол 1 </w:t>
      </w:r>
      <w:r w:rsidRPr="00B6672E">
        <w:rPr>
          <w:rFonts w:eastAsia="Times New Roman" w:cs="Arial"/>
          <w:color w:val="000000"/>
          <w:szCs w:val="24"/>
          <w:lang w:val="en-US"/>
        </w:rPr>
        <w:t>mg</w:t>
      </w:r>
      <w:r w:rsidRPr="00B6672E">
        <w:rPr>
          <w:rFonts w:eastAsia="Times New Roman" w:cs="Arial"/>
          <w:color w:val="000000"/>
          <w:szCs w:val="24"/>
          <w:lang w:eastAsia="bg-BG"/>
        </w:rPr>
        <w:t xml:space="preserve">/дневно или плацебо в продължение на не повече от 6 месеца. След 6-месечно лечение не се наблюдава значима разлика между групите на анастрозол 1 </w:t>
      </w:r>
      <w:r w:rsidRPr="00B6672E">
        <w:rPr>
          <w:rFonts w:eastAsia="Times New Roman" w:cs="Arial"/>
          <w:color w:val="000000"/>
          <w:szCs w:val="24"/>
          <w:lang w:val="en-US"/>
        </w:rPr>
        <w:t>mg</w:t>
      </w:r>
      <w:r w:rsidRPr="00B6672E">
        <w:rPr>
          <w:rFonts w:eastAsia="Times New Roman" w:cs="Arial"/>
          <w:color w:val="000000"/>
          <w:szCs w:val="24"/>
          <w:lang w:val="ru-RU"/>
        </w:rPr>
        <w:t xml:space="preserve"> </w:t>
      </w:r>
      <w:r w:rsidRPr="00B6672E">
        <w:rPr>
          <w:rFonts w:eastAsia="Times New Roman" w:cs="Arial"/>
          <w:color w:val="000000"/>
          <w:szCs w:val="24"/>
          <w:lang w:eastAsia="bg-BG"/>
        </w:rPr>
        <w:t>и плацебо по отношение на броя пациенти с намаляване с 50% или повече на общия обем на гърдите.</w:t>
      </w:r>
    </w:p>
    <w:p w14:paraId="706E3266" w14:textId="77777777" w:rsidR="00B6672E" w:rsidRPr="00B6672E" w:rsidRDefault="00B6672E" w:rsidP="00B6672E">
      <w:pPr>
        <w:spacing w:line="240" w:lineRule="auto"/>
        <w:rPr>
          <w:rFonts w:eastAsia="Times New Roman" w:cs="Arial"/>
          <w:color w:val="000000"/>
          <w:szCs w:val="24"/>
          <w:lang w:eastAsia="bg-BG"/>
        </w:rPr>
      </w:pPr>
    </w:p>
    <w:p w14:paraId="69601307" w14:textId="70365BD7" w:rsidR="00B6672E" w:rsidRPr="00B6672E" w:rsidRDefault="00B6672E" w:rsidP="00B6672E">
      <w:pPr>
        <w:spacing w:line="240" w:lineRule="auto"/>
        <w:rPr>
          <w:rFonts w:eastAsia="Times New Roman" w:cs="Arial"/>
          <w:szCs w:val="24"/>
        </w:rPr>
      </w:pPr>
      <w:r w:rsidRPr="00B6672E">
        <w:rPr>
          <w:rFonts w:eastAsia="Times New Roman" w:cs="Arial"/>
          <w:color w:val="000000"/>
          <w:szCs w:val="24"/>
          <w:lang w:eastAsia="bg-BG"/>
        </w:rPr>
        <w:t xml:space="preserve">Проучване 0001 е открито фармакокинетично проучване с многократно прилагане на анастрозол 1 </w:t>
      </w:r>
      <w:r w:rsidRPr="00B6672E">
        <w:rPr>
          <w:rFonts w:eastAsia="Times New Roman" w:cs="Arial"/>
          <w:color w:val="000000"/>
          <w:szCs w:val="24"/>
          <w:lang w:val="en-US"/>
        </w:rPr>
        <w:t>mg</w:t>
      </w:r>
      <w:r w:rsidRPr="00B6672E">
        <w:rPr>
          <w:rFonts w:eastAsia="Times New Roman" w:cs="Arial"/>
          <w:color w:val="000000"/>
          <w:szCs w:val="24"/>
          <w:lang w:eastAsia="bg-BG"/>
        </w:rPr>
        <w:t>/дневно при 36 момчета в пубертет с гинекомастия с давност под 12 месеца. Вторичните цели на проучването са определянето на процента пациенти с намаляване след 6-месечно лечение на изчисления общ обем на двете гърди с поне 50% в сравнение с изходния, определяне на поносимостга и определяне на безопасността на лечението. Наблюдавано е намаляване с 50% и повече от общия обем на гърдите при 56% (20/36) от момчетата след 6 месеца.</w:t>
      </w:r>
    </w:p>
    <w:p w14:paraId="11FB4943" w14:textId="77777777" w:rsidR="00B6672E" w:rsidRPr="00B6672E" w:rsidRDefault="00B6672E" w:rsidP="00B6672E">
      <w:pPr>
        <w:spacing w:line="240" w:lineRule="auto"/>
        <w:rPr>
          <w:rFonts w:eastAsia="Times New Roman" w:cs="Arial"/>
          <w:i/>
          <w:iCs/>
          <w:color w:val="000000"/>
          <w:szCs w:val="24"/>
          <w:lang w:eastAsia="bg-BG"/>
        </w:rPr>
      </w:pPr>
    </w:p>
    <w:p w14:paraId="25C6F4CC" w14:textId="1FFEEDF3" w:rsidR="00B6672E" w:rsidRPr="00B6672E" w:rsidRDefault="00B6672E" w:rsidP="00B6672E">
      <w:pPr>
        <w:spacing w:line="240" w:lineRule="auto"/>
        <w:rPr>
          <w:rFonts w:eastAsia="Times New Roman" w:cs="Arial"/>
          <w:szCs w:val="24"/>
        </w:rPr>
      </w:pPr>
      <w:r w:rsidRPr="00B6672E">
        <w:rPr>
          <w:rFonts w:eastAsia="Times New Roman" w:cs="Arial"/>
          <w:i/>
          <w:iCs/>
          <w:color w:val="000000"/>
          <w:szCs w:val="24"/>
          <w:lang w:eastAsia="bg-BG"/>
        </w:rPr>
        <w:t xml:space="preserve">Проучване при синдром на </w:t>
      </w:r>
      <w:r w:rsidRPr="00B6672E">
        <w:rPr>
          <w:rFonts w:eastAsia="Times New Roman" w:cs="Arial"/>
          <w:i/>
          <w:iCs/>
          <w:color w:val="000000"/>
          <w:szCs w:val="24"/>
          <w:lang w:val="en-US"/>
        </w:rPr>
        <w:t>McCune</w:t>
      </w:r>
      <w:r w:rsidRPr="00B6672E">
        <w:rPr>
          <w:rFonts w:eastAsia="Times New Roman" w:cs="Arial"/>
          <w:i/>
          <w:iCs/>
          <w:color w:val="000000"/>
          <w:szCs w:val="24"/>
          <w:lang w:val="ru-RU"/>
        </w:rPr>
        <w:t>-</w:t>
      </w:r>
      <w:r w:rsidRPr="00B6672E">
        <w:rPr>
          <w:rFonts w:eastAsia="Times New Roman" w:cs="Arial"/>
          <w:i/>
          <w:iCs/>
          <w:color w:val="000000"/>
          <w:szCs w:val="24"/>
          <w:lang w:val="en-US"/>
        </w:rPr>
        <w:t>Albright</w:t>
      </w:r>
    </w:p>
    <w:p w14:paraId="5CA9F63F" w14:textId="77777777" w:rsidR="00B6672E" w:rsidRPr="00B6672E" w:rsidRDefault="00B6672E" w:rsidP="00B6672E">
      <w:pPr>
        <w:spacing w:line="240" w:lineRule="auto"/>
        <w:rPr>
          <w:rFonts w:eastAsia="Times New Roman" w:cs="Arial"/>
          <w:szCs w:val="24"/>
        </w:rPr>
      </w:pPr>
      <w:r w:rsidRPr="00B6672E">
        <w:rPr>
          <w:rFonts w:eastAsia="Times New Roman" w:cs="Arial"/>
          <w:color w:val="000000"/>
          <w:szCs w:val="24"/>
          <w:lang w:eastAsia="bg-BG"/>
        </w:rPr>
        <w:t xml:space="preserve">Проучване 0046 е международно, многоцентрово, открито експлораторно проучване на приложение на анастрозол при 28 момичета (на възраст от 2 до &lt;10 години) със синдром на </w:t>
      </w:r>
      <w:r w:rsidRPr="00B6672E">
        <w:rPr>
          <w:rFonts w:eastAsia="Times New Roman" w:cs="Arial"/>
          <w:i/>
          <w:iCs/>
          <w:color w:val="000000"/>
          <w:szCs w:val="24"/>
          <w:lang w:val="en-US"/>
        </w:rPr>
        <w:t>McCune</w:t>
      </w:r>
      <w:r w:rsidRPr="00B6672E">
        <w:rPr>
          <w:rFonts w:eastAsia="Times New Roman" w:cs="Arial"/>
          <w:i/>
          <w:iCs/>
          <w:color w:val="000000"/>
          <w:szCs w:val="24"/>
          <w:lang w:val="ru-RU"/>
        </w:rPr>
        <w:t>-</w:t>
      </w:r>
      <w:r w:rsidRPr="00B6672E">
        <w:rPr>
          <w:rFonts w:eastAsia="Times New Roman" w:cs="Arial"/>
          <w:i/>
          <w:iCs/>
          <w:color w:val="000000"/>
          <w:szCs w:val="24"/>
          <w:lang w:val="en-US"/>
        </w:rPr>
        <w:t>Albright</w:t>
      </w:r>
      <w:r w:rsidRPr="00B6672E">
        <w:rPr>
          <w:rFonts w:eastAsia="Times New Roman" w:cs="Arial"/>
          <w:i/>
          <w:iCs/>
          <w:color w:val="000000"/>
          <w:szCs w:val="24"/>
          <w:lang w:val="ru-RU"/>
        </w:rPr>
        <w:t xml:space="preserve"> (</w:t>
      </w:r>
      <w:r w:rsidRPr="00B6672E">
        <w:rPr>
          <w:rFonts w:eastAsia="Times New Roman" w:cs="Arial"/>
          <w:i/>
          <w:iCs/>
          <w:color w:val="000000"/>
          <w:szCs w:val="24"/>
          <w:lang w:val="en-US"/>
        </w:rPr>
        <w:t>MAS</w:t>
      </w:r>
      <w:r w:rsidRPr="00B6672E">
        <w:rPr>
          <w:rFonts w:eastAsia="Times New Roman" w:cs="Arial"/>
          <w:i/>
          <w:iCs/>
          <w:color w:val="000000"/>
          <w:szCs w:val="24"/>
          <w:lang w:val="ru-RU"/>
        </w:rPr>
        <w:t>).</w:t>
      </w:r>
      <w:r w:rsidRPr="00B6672E">
        <w:rPr>
          <w:rFonts w:eastAsia="Times New Roman" w:cs="Arial"/>
          <w:color w:val="000000"/>
          <w:szCs w:val="24"/>
          <w:lang w:val="ru-RU"/>
        </w:rPr>
        <w:t xml:space="preserve"> </w:t>
      </w:r>
      <w:r w:rsidRPr="00B6672E">
        <w:rPr>
          <w:rFonts w:eastAsia="Times New Roman" w:cs="Arial"/>
          <w:color w:val="000000"/>
          <w:szCs w:val="24"/>
          <w:lang w:eastAsia="bg-BG"/>
        </w:rPr>
        <w:t xml:space="preserve">Първичната цел на проучването е оценката на безопасността и ефикасността на приложението на анастрозол 1 </w:t>
      </w:r>
      <w:r w:rsidRPr="00B6672E">
        <w:rPr>
          <w:rFonts w:eastAsia="Times New Roman" w:cs="Arial"/>
          <w:color w:val="000000"/>
          <w:szCs w:val="24"/>
          <w:lang w:val="en-US"/>
        </w:rPr>
        <w:t>mg</w:t>
      </w:r>
      <w:r w:rsidRPr="00B6672E">
        <w:rPr>
          <w:rFonts w:eastAsia="Times New Roman" w:cs="Arial"/>
          <w:color w:val="000000"/>
          <w:szCs w:val="24"/>
          <w:lang w:eastAsia="bg-BG"/>
        </w:rPr>
        <w:t xml:space="preserve">/дневно при пациенти с </w:t>
      </w:r>
      <w:r w:rsidRPr="00B6672E">
        <w:rPr>
          <w:rFonts w:eastAsia="Times New Roman" w:cs="Arial"/>
          <w:color w:val="000000"/>
          <w:szCs w:val="24"/>
          <w:lang w:val="en-US"/>
        </w:rPr>
        <w:t>MAS</w:t>
      </w:r>
      <w:r w:rsidRPr="00B6672E">
        <w:rPr>
          <w:rFonts w:eastAsia="Times New Roman" w:cs="Arial"/>
          <w:color w:val="000000"/>
          <w:szCs w:val="24"/>
          <w:lang w:val="ru-RU"/>
        </w:rPr>
        <w:t xml:space="preserve">. </w:t>
      </w:r>
      <w:r w:rsidRPr="00B6672E">
        <w:rPr>
          <w:rFonts w:eastAsia="Times New Roman" w:cs="Arial"/>
          <w:color w:val="000000"/>
          <w:szCs w:val="24"/>
          <w:lang w:eastAsia="bg-BG"/>
        </w:rPr>
        <w:t xml:space="preserve">Оценката на ефикасността на проучваното лечение се прави въз основа на процента пациентки, покриващи дефинираните критерии, свързани с вагинално кървене, костна възраст и скорост на растеж. Не се установява статистически значима промяна в резултат на лечението на броя дни с вагинално кървене. Няма клинично значима промяна в стадирането по Танер, средния яйчников обем и средния маточен обем. Не е наблюдавана статистически значима промяна в скоростта на увеличаване на костната възраст по време на лечението в сравнение с изходната. Скоростта на растеж (в </w:t>
      </w:r>
      <w:r w:rsidRPr="00B6672E">
        <w:rPr>
          <w:rFonts w:eastAsia="Times New Roman" w:cs="Arial"/>
          <w:color w:val="000000"/>
          <w:szCs w:val="24"/>
          <w:lang w:val="en-US"/>
        </w:rPr>
        <w:t>cm</w:t>
      </w:r>
      <w:r w:rsidRPr="00B6672E">
        <w:rPr>
          <w:rFonts w:eastAsia="Times New Roman" w:cs="Arial"/>
          <w:color w:val="000000"/>
          <w:szCs w:val="24"/>
          <w:lang w:eastAsia="bg-BG"/>
        </w:rPr>
        <w:t>/годишно) показва значимо намаляване (р&lt;0,05) между изходна стойност преди лечението) и по време на 12-месечното лечение, като и между изходната стойност (преди лечението) и второто 6-месечие от лечението (от 7-и до 12-ти месец).</w:t>
      </w:r>
    </w:p>
    <w:p w14:paraId="7DE36AC8" w14:textId="6776E288" w:rsidR="00B6672E" w:rsidRPr="007122AD" w:rsidRDefault="00B6672E" w:rsidP="00B6672E"/>
    <w:p w14:paraId="35F84B81" w14:textId="125D6273" w:rsidR="00CF77F7" w:rsidRDefault="002C50EE" w:rsidP="004A448E">
      <w:pPr>
        <w:pStyle w:val="Heading2"/>
      </w:pPr>
      <w:r>
        <w:t>5.2. Фармакокинетични свойства</w:t>
      </w:r>
    </w:p>
    <w:p w14:paraId="23969B3D" w14:textId="63CE353F" w:rsidR="00B6672E" w:rsidRDefault="00B6672E" w:rsidP="00B6672E"/>
    <w:p w14:paraId="21B0DECE" w14:textId="77777777" w:rsidR="00B6672E" w:rsidRPr="00B6672E" w:rsidRDefault="00B6672E" w:rsidP="00B6672E">
      <w:pPr>
        <w:pStyle w:val="Heading3"/>
        <w:rPr>
          <w:rFonts w:eastAsia="Times New Roman"/>
          <w:u w:val="single"/>
        </w:rPr>
      </w:pPr>
      <w:r w:rsidRPr="00B6672E">
        <w:rPr>
          <w:rFonts w:eastAsia="Times New Roman"/>
          <w:u w:val="single"/>
          <w:lang w:eastAsia="bg-BG"/>
        </w:rPr>
        <w:lastRenderedPageBreak/>
        <w:t>Абсорбция</w:t>
      </w:r>
    </w:p>
    <w:p w14:paraId="5C9DBAD3" w14:textId="77777777" w:rsidR="00B6672E" w:rsidRPr="00B6672E" w:rsidRDefault="00B6672E" w:rsidP="00B6672E">
      <w:pPr>
        <w:spacing w:line="240" w:lineRule="auto"/>
        <w:rPr>
          <w:rFonts w:eastAsia="Times New Roman" w:cs="Arial"/>
          <w:color w:val="000000"/>
          <w:szCs w:val="24"/>
          <w:lang w:eastAsia="bg-BG"/>
        </w:rPr>
      </w:pPr>
    </w:p>
    <w:p w14:paraId="19604055" w14:textId="179C2756" w:rsidR="00B6672E" w:rsidRPr="00B6672E" w:rsidRDefault="00B6672E" w:rsidP="00B6672E">
      <w:pPr>
        <w:spacing w:line="240" w:lineRule="auto"/>
        <w:rPr>
          <w:rFonts w:eastAsia="Times New Roman" w:cs="Arial"/>
          <w:szCs w:val="24"/>
        </w:rPr>
      </w:pPr>
      <w:r w:rsidRPr="00B6672E">
        <w:rPr>
          <w:rFonts w:eastAsia="Times New Roman" w:cs="Arial"/>
          <w:color w:val="000000"/>
          <w:szCs w:val="24"/>
          <w:lang w:eastAsia="bg-BG"/>
        </w:rPr>
        <w:t>Абсорбцията на анастрозол е бърза и максималните плазмена концентрации се достигат до 2 часа след приемането (на гладно). Анастрозол се елиминира бавно с време на полуживот от 40 до 50 часа. Приемът с храната слабо намалява скоростта, но не и степента на резорбция. Не се очаква слабото намаление на скоростта на резорбцията да доведе до клинично значим ефект върху стационарната плазмена концентрация при приемане на Анастрогратис таблетки веднъж дневно. Приблизително 90% до 95% от плазмените равновесни концентрации на анастрозол се достигат след 7 дни. Няма данни за зависимост на фармакокинетичните параметри на анастрозол от времето или дозата.</w:t>
      </w:r>
    </w:p>
    <w:p w14:paraId="04B07068" w14:textId="77777777" w:rsidR="00B6672E" w:rsidRPr="00B6672E" w:rsidRDefault="00B6672E" w:rsidP="00B6672E">
      <w:pPr>
        <w:spacing w:line="240" w:lineRule="auto"/>
        <w:rPr>
          <w:rFonts w:eastAsia="Times New Roman" w:cs="Arial"/>
          <w:color w:val="000000"/>
          <w:szCs w:val="24"/>
          <w:lang w:eastAsia="bg-BG"/>
        </w:rPr>
      </w:pPr>
    </w:p>
    <w:p w14:paraId="1C90B8E6" w14:textId="2A150D6A" w:rsidR="00B6672E" w:rsidRPr="00B6672E" w:rsidRDefault="00B6672E" w:rsidP="00B6672E">
      <w:pPr>
        <w:spacing w:line="240" w:lineRule="auto"/>
        <w:rPr>
          <w:rFonts w:eastAsia="Times New Roman" w:cs="Arial"/>
          <w:szCs w:val="24"/>
        </w:rPr>
      </w:pPr>
      <w:r w:rsidRPr="00B6672E">
        <w:rPr>
          <w:rFonts w:eastAsia="Times New Roman" w:cs="Arial"/>
          <w:color w:val="000000"/>
          <w:szCs w:val="24"/>
          <w:lang w:eastAsia="bg-BG"/>
        </w:rPr>
        <w:t>Фармакокинетиката на анастрозол не зависи от възрастта на жените в менопауза.</w:t>
      </w:r>
    </w:p>
    <w:p w14:paraId="2B969406" w14:textId="77777777" w:rsidR="00B6672E" w:rsidRPr="00B6672E" w:rsidRDefault="00B6672E" w:rsidP="00B6672E">
      <w:pPr>
        <w:spacing w:line="240" w:lineRule="auto"/>
        <w:rPr>
          <w:rFonts w:eastAsia="Times New Roman" w:cs="Arial"/>
          <w:color w:val="000000"/>
          <w:szCs w:val="24"/>
          <w:u w:val="single"/>
          <w:lang w:eastAsia="bg-BG"/>
        </w:rPr>
      </w:pPr>
    </w:p>
    <w:p w14:paraId="771215FC" w14:textId="6A4D1E76" w:rsidR="00B6672E" w:rsidRPr="00B6672E" w:rsidRDefault="00B6672E" w:rsidP="00B6672E">
      <w:pPr>
        <w:pStyle w:val="Heading3"/>
        <w:rPr>
          <w:rFonts w:eastAsia="Times New Roman"/>
          <w:u w:val="single"/>
          <w:lang w:eastAsia="bg-BG"/>
        </w:rPr>
      </w:pPr>
      <w:r w:rsidRPr="00B6672E">
        <w:rPr>
          <w:rFonts w:eastAsia="Times New Roman"/>
          <w:u w:val="single"/>
          <w:lang w:eastAsia="bg-BG"/>
        </w:rPr>
        <w:t>Разпределение</w:t>
      </w:r>
    </w:p>
    <w:p w14:paraId="45B2178A" w14:textId="77777777" w:rsidR="00B6672E" w:rsidRPr="00B6672E" w:rsidRDefault="00B6672E" w:rsidP="00B6672E">
      <w:pPr>
        <w:spacing w:line="240" w:lineRule="auto"/>
        <w:rPr>
          <w:rFonts w:eastAsia="Times New Roman" w:cs="Arial"/>
          <w:color w:val="000000"/>
          <w:szCs w:val="24"/>
          <w:lang w:eastAsia="bg-BG"/>
        </w:rPr>
      </w:pPr>
    </w:p>
    <w:p w14:paraId="0BE25ADD" w14:textId="4AB96705" w:rsidR="00B6672E" w:rsidRPr="00B6672E" w:rsidRDefault="00B6672E" w:rsidP="00B6672E">
      <w:pPr>
        <w:spacing w:line="240" w:lineRule="auto"/>
        <w:rPr>
          <w:rFonts w:eastAsia="Times New Roman" w:cs="Arial"/>
          <w:szCs w:val="24"/>
        </w:rPr>
      </w:pPr>
      <w:r w:rsidRPr="00B6672E">
        <w:rPr>
          <w:rFonts w:eastAsia="Times New Roman" w:cs="Arial"/>
          <w:color w:val="000000"/>
          <w:szCs w:val="24"/>
          <w:lang w:eastAsia="bg-BG"/>
        </w:rPr>
        <w:t>Само 40% от анастрозол в плазмата е свързан с плазмените протеини.</w:t>
      </w:r>
    </w:p>
    <w:p w14:paraId="4AB2793A" w14:textId="77777777" w:rsidR="00B6672E" w:rsidRPr="00B6672E" w:rsidRDefault="00B6672E" w:rsidP="00B6672E">
      <w:pPr>
        <w:spacing w:line="240" w:lineRule="auto"/>
        <w:rPr>
          <w:rFonts w:eastAsia="Times New Roman" w:cs="Arial"/>
          <w:color w:val="000000"/>
          <w:szCs w:val="24"/>
          <w:u w:val="single"/>
          <w:lang w:eastAsia="bg-BG"/>
        </w:rPr>
      </w:pPr>
    </w:p>
    <w:p w14:paraId="05C47C92" w14:textId="5C3DD21D" w:rsidR="00B6672E" w:rsidRPr="00B6672E" w:rsidRDefault="00B6672E" w:rsidP="00B6672E">
      <w:pPr>
        <w:pStyle w:val="Heading3"/>
        <w:rPr>
          <w:rFonts w:eastAsia="Times New Roman"/>
          <w:u w:val="single"/>
        </w:rPr>
      </w:pPr>
      <w:r w:rsidRPr="00B6672E">
        <w:rPr>
          <w:rFonts w:eastAsia="Times New Roman"/>
          <w:u w:val="single"/>
          <w:lang w:eastAsia="bg-BG"/>
        </w:rPr>
        <w:t>Елиминиране</w:t>
      </w:r>
    </w:p>
    <w:p w14:paraId="55DDB4D7" w14:textId="77777777" w:rsidR="00B6672E" w:rsidRPr="00B6672E" w:rsidRDefault="00B6672E" w:rsidP="00B6672E">
      <w:pPr>
        <w:spacing w:line="240" w:lineRule="auto"/>
        <w:rPr>
          <w:rFonts w:eastAsia="Times New Roman" w:cs="Arial"/>
          <w:color w:val="000000"/>
          <w:szCs w:val="24"/>
          <w:lang w:eastAsia="bg-BG"/>
        </w:rPr>
      </w:pPr>
    </w:p>
    <w:p w14:paraId="5DEBADED" w14:textId="3BE185FB" w:rsidR="00B6672E" w:rsidRPr="00B6672E" w:rsidRDefault="00B6672E" w:rsidP="00B6672E">
      <w:pPr>
        <w:spacing w:line="240" w:lineRule="auto"/>
        <w:rPr>
          <w:rFonts w:eastAsia="Times New Roman" w:cs="Arial"/>
          <w:szCs w:val="24"/>
        </w:rPr>
      </w:pPr>
      <w:r w:rsidRPr="00B6672E">
        <w:rPr>
          <w:rFonts w:eastAsia="Times New Roman" w:cs="Arial"/>
          <w:color w:val="000000"/>
          <w:szCs w:val="24"/>
          <w:lang w:eastAsia="bg-BG"/>
        </w:rPr>
        <w:t>Анастрозол се отделя бавно с плазмен елиминационен полуживот 40-50 часа.</w:t>
      </w:r>
    </w:p>
    <w:p w14:paraId="11B32394" w14:textId="77777777" w:rsidR="00B6672E" w:rsidRPr="00B6672E" w:rsidRDefault="00B6672E" w:rsidP="00B6672E">
      <w:pPr>
        <w:spacing w:line="240" w:lineRule="auto"/>
        <w:rPr>
          <w:rFonts w:eastAsia="Times New Roman" w:cs="Arial"/>
          <w:color w:val="000000"/>
          <w:szCs w:val="24"/>
          <w:lang w:eastAsia="bg-BG"/>
        </w:rPr>
      </w:pPr>
    </w:p>
    <w:p w14:paraId="357C427A" w14:textId="356F80F6" w:rsidR="00B6672E" w:rsidRPr="00B6672E" w:rsidRDefault="00B6672E" w:rsidP="00B6672E">
      <w:pPr>
        <w:spacing w:line="240" w:lineRule="auto"/>
        <w:rPr>
          <w:rFonts w:eastAsia="Times New Roman" w:cs="Arial"/>
          <w:szCs w:val="24"/>
        </w:rPr>
      </w:pPr>
      <w:r w:rsidRPr="00B6672E">
        <w:rPr>
          <w:rFonts w:eastAsia="Times New Roman" w:cs="Arial"/>
          <w:color w:val="000000"/>
          <w:szCs w:val="24"/>
          <w:lang w:eastAsia="bg-BG"/>
        </w:rPr>
        <w:t xml:space="preserve">Анастрозол се метаболизира много добре при жени в менопауза, като по-малко от 10% се екскретират в урината в непроменен вид до 72 часа след приемането. Метаболизмът на анастрозол се извършва чрез </w:t>
      </w:r>
      <w:r w:rsidRPr="00B6672E">
        <w:rPr>
          <w:rFonts w:eastAsia="Times New Roman" w:cs="Arial"/>
          <w:color w:val="000000"/>
          <w:szCs w:val="24"/>
          <w:lang w:val="en-US"/>
        </w:rPr>
        <w:t>N</w:t>
      </w:r>
      <w:r w:rsidRPr="00B6672E">
        <w:rPr>
          <w:rFonts w:eastAsia="Times New Roman" w:cs="Arial"/>
          <w:color w:val="000000"/>
          <w:szCs w:val="24"/>
          <w:lang w:eastAsia="bg-BG"/>
        </w:rPr>
        <w:t>-дезалкилиране, хидроксилиране и глюкурониране. Метаболитите се екскретират предимно чрез урината. Триазолът, основният метаболит в плазмата и урината, не инхибира ароматазата. Видимият орален клирънс на анастрозол при доброволци със стабилна чернодробна цироза или бъбречно увреждане е била в границите, наблюдавани при здрави доброволци.</w:t>
      </w:r>
    </w:p>
    <w:p w14:paraId="68C7A722" w14:textId="77777777" w:rsidR="00B6672E" w:rsidRPr="00B6672E" w:rsidRDefault="00B6672E" w:rsidP="00B6672E">
      <w:pPr>
        <w:spacing w:line="240" w:lineRule="auto"/>
        <w:rPr>
          <w:rFonts w:eastAsia="Times New Roman" w:cs="Arial"/>
          <w:i/>
          <w:iCs/>
          <w:color w:val="000000"/>
          <w:szCs w:val="24"/>
          <w:u w:val="single"/>
          <w:lang w:eastAsia="bg-BG"/>
        </w:rPr>
      </w:pPr>
    </w:p>
    <w:p w14:paraId="7B0F12F1" w14:textId="20689FD0" w:rsidR="00B6672E" w:rsidRPr="00B6672E" w:rsidRDefault="00B6672E" w:rsidP="00B6672E">
      <w:pPr>
        <w:spacing w:line="240" w:lineRule="auto"/>
        <w:rPr>
          <w:rFonts w:eastAsia="Times New Roman" w:cs="Arial"/>
          <w:szCs w:val="24"/>
        </w:rPr>
      </w:pPr>
      <w:r w:rsidRPr="00B6672E">
        <w:rPr>
          <w:rFonts w:eastAsia="Times New Roman" w:cs="Arial"/>
          <w:i/>
          <w:iCs/>
          <w:color w:val="000000"/>
          <w:szCs w:val="24"/>
          <w:u w:val="single"/>
          <w:lang w:eastAsia="bg-BG"/>
        </w:rPr>
        <w:t>Бъбречна и чернодробна недостатъчност</w:t>
      </w:r>
    </w:p>
    <w:p w14:paraId="5F5E494A" w14:textId="77777777" w:rsidR="00B6672E" w:rsidRPr="00B6672E" w:rsidRDefault="00B6672E" w:rsidP="00B6672E">
      <w:pPr>
        <w:spacing w:line="240" w:lineRule="auto"/>
        <w:rPr>
          <w:rFonts w:eastAsia="Times New Roman" w:cs="Arial"/>
          <w:color w:val="000000"/>
          <w:szCs w:val="24"/>
          <w:lang w:eastAsia="bg-BG"/>
        </w:rPr>
      </w:pPr>
    </w:p>
    <w:p w14:paraId="0C56927A" w14:textId="4E63A283" w:rsidR="00B6672E" w:rsidRPr="00B6672E" w:rsidRDefault="00B6672E" w:rsidP="00B6672E">
      <w:pPr>
        <w:spacing w:line="240" w:lineRule="auto"/>
        <w:rPr>
          <w:rFonts w:eastAsia="Times New Roman" w:cs="Arial"/>
          <w:szCs w:val="24"/>
        </w:rPr>
      </w:pPr>
      <w:r w:rsidRPr="00B6672E">
        <w:rPr>
          <w:rFonts w:eastAsia="Times New Roman" w:cs="Arial"/>
          <w:color w:val="000000"/>
          <w:szCs w:val="24"/>
          <w:lang w:eastAsia="bg-BG"/>
        </w:rPr>
        <w:t xml:space="preserve">Привидният кпирънс </w:t>
      </w:r>
      <w:r w:rsidRPr="00B6672E">
        <w:rPr>
          <w:rFonts w:eastAsia="Times New Roman" w:cs="Arial"/>
          <w:color w:val="000000"/>
          <w:szCs w:val="24"/>
          <w:lang w:val="ru-RU"/>
        </w:rPr>
        <w:t>(</w:t>
      </w:r>
      <w:r w:rsidRPr="00B6672E">
        <w:rPr>
          <w:rFonts w:eastAsia="Times New Roman" w:cs="Arial"/>
          <w:color w:val="000000"/>
          <w:szCs w:val="24"/>
          <w:lang w:val="en-US"/>
        </w:rPr>
        <w:t>CL</w:t>
      </w:r>
      <w:r w:rsidRPr="00B6672E">
        <w:rPr>
          <w:rFonts w:eastAsia="Times New Roman" w:cs="Arial"/>
          <w:color w:val="000000"/>
          <w:szCs w:val="24"/>
          <w:lang w:val="ru-RU"/>
        </w:rPr>
        <w:t>/</w:t>
      </w:r>
      <w:r w:rsidRPr="00B6672E">
        <w:rPr>
          <w:rFonts w:eastAsia="Times New Roman" w:cs="Arial"/>
          <w:color w:val="000000"/>
          <w:szCs w:val="24"/>
          <w:lang w:val="en-US"/>
        </w:rPr>
        <w:t>F</w:t>
      </w:r>
      <w:r w:rsidRPr="00B6672E">
        <w:rPr>
          <w:rFonts w:eastAsia="Times New Roman" w:cs="Arial"/>
          <w:color w:val="000000"/>
          <w:szCs w:val="24"/>
          <w:lang w:val="ru-RU"/>
        </w:rPr>
        <w:t xml:space="preserve">) </w:t>
      </w:r>
      <w:r w:rsidRPr="00B6672E">
        <w:rPr>
          <w:rFonts w:eastAsia="Times New Roman" w:cs="Arial"/>
          <w:color w:val="000000"/>
          <w:szCs w:val="24"/>
          <w:lang w:eastAsia="bg-BG"/>
        </w:rPr>
        <w:t>на анастрозол след перорално приложение е приблизително 30% по-нисък при доброволци със стабилна чернодробна цироза в сравнение със съответстващите им контроли (Проучване 1</w:t>
      </w:r>
      <w:r w:rsidRPr="00B6672E">
        <w:rPr>
          <w:rFonts w:eastAsia="Times New Roman" w:cs="Arial"/>
          <w:color w:val="000000"/>
          <w:szCs w:val="24"/>
          <w:lang w:val="ru-RU"/>
        </w:rPr>
        <w:t>0331</w:t>
      </w:r>
      <w:r w:rsidRPr="00B6672E">
        <w:rPr>
          <w:rFonts w:eastAsia="Times New Roman" w:cs="Arial"/>
          <w:color w:val="000000"/>
          <w:szCs w:val="24"/>
          <w:lang w:val="en-US"/>
        </w:rPr>
        <w:t>L</w:t>
      </w:r>
      <w:r w:rsidRPr="00B6672E">
        <w:rPr>
          <w:rFonts w:eastAsia="Times New Roman" w:cs="Arial"/>
          <w:color w:val="000000"/>
          <w:szCs w:val="24"/>
          <w:lang w:val="ru-RU"/>
        </w:rPr>
        <w:t>/00</w:t>
      </w:r>
      <w:r w:rsidRPr="00B6672E">
        <w:rPr>
          <w:rFonts w:eastAsia="Times New Roman" w:cs="Arial"/>
          <w:color w:val="000000"/>
          <w:szCs w:val="24"/>
          <w:lang w:eastAsia="bg-BG"/>
        </w:rPr>
        <w:t>14). Все пак плазмените концентрации на анастрозол при доброволците с чернодробна цироза са в диапазона от концентрации, наблюдавани при нормални лица в други проучвания. Плазмените концентрации на анастрозол, наблюдавани по време на дългосрочни изпитвания за ефикасност при пациенти с чернодробно увреждане, са в диапазона от плазмени концентрации на анастрозол, наблюдавани при пациенти без чернодробно увреждане.</w:t>
      </w:r>
    </w:p>
    <w:p w14:paraId="767AD3F3" w14:textId="77777777" w:rsidR="00B6672E" w:rsidRPr="00B6672E" w:rsidRDefault="00B6672E" w:rsidP="00B6672E">
      <w:pPr>
        <w:rPr>
          <w:rFonts w:eastAsia="Times New Roman" w:cs="Arial"/>
          <w:color w:val="000000"/>
          <w:szCs w:val="24"/>
          <w:lang w:eastAsia="bg-BG"/>
        </w:rPr>
      </w:pPr>
    </w:p>
    <w:p w14:paraId="6BCDE01E" w14:textId="77777777" w:rsidR="00B6672E" w:rsidRPr="00B6672E" w:rsidRDefault="00B6672E" w:rsidP="00B6672E">
      <w:pPr>
        <w:rPr>
          <w:rFonts w:eastAsia="Times New Roman" w:cs="Arial"/>
          <w:szCs w:val="24"/>
        </w:rPr>
      </w:pPr>
      <w:r w:rsidRPr="00B6672E">
        <w:rPr>
          <w:rFonts w:eastAsia="Times New Roman" w:cs="Arial"/>
          <w:color w:val="000000"/>
          <w:szCs w:val="24"/>
          <w:lang w:eastAsia="bg-BG"/>
        </w:rPr>
        <w:t xml:space="preserve">Привидният клирънс </w:t>
      </w:r>
      <w:r w:rsidRPr="00B6672E">
        <w:rPr>
          <w:rFonts w:eastAsia="Times New Roman" w:cs="Arial"/>
          <w:color w:val="000000"/>
          <w:szCs w:val="24"/>
          <w:lang w:val="ru-RU"/>
        </w:rPr>
        <w:t>(</w:t>
      </w:r>
      <w:r w:rsidRPr="00B6672E">
        <w:rPr>
          <w:rFonts w:eastAsia="Times New Roman" w:cs="Arial"/>
          <w:color w:val="000000"/>
          <w:szCs w:val="24"/>
          <w:lang w:val="en-US"/>
        </w:rPr>
        <w:t>CL</w:t>
      </w:r>
      <w:r w:rsidRPr="00B6672E">
        <w:rPr>
          <w:rFonts w:eastAsia="Times New Roman" w:cs="Arial"/>
          <w:color w:val="000000"/>
          <w:szCs w:val="24"/>
          <w:lang w:val="ru-RU"/>
        </w:rPr>
        <w:t>/</w:t>
      </w:r>
      <w:r w:rsidRPr="00B6672E">
        <w:rPr>
          <w:rFonts w:eastAsia="Times New Roman" w:cs="Arial"/>
          <w:color w:val="000000"/>
          <w:szCs w:val="24"/>
          <w:lang w:val="en-US"/>
        </w:rPr>
        <w:t>F</w:t>
      </w:r>
      <w:r w:rsidRPr="00B6672E">
        <w:rPr>
          <w:rFonts w:eastAsia="Times New Roman" w:cs="Arial"/>
          <w:color w:val="000000"/>
          <w:szCs w:val="24"/>
          <w:lang w:val="ru-RU"/>
        </w:rPr>
        <w:t xml:space="preserve">) </w:t>
      </w:r>
      <w:r w:rsidRPr="00B6672E">
        <w:rPr>
          <w:rFonts w:eastAsia="Times New Roman" w:cs="Arial"/>
          <w:color w:val="000000"/>
          <w:szCs w:val="24"/>
          <w:lang w:eastAsia="bg-BG"/>
        </w:rPr>
        <w:t xml:space="preserve">на анастрозол след перорално приложение не е променен при доброволци с тежко бъбречно увреждане </w:t>
      </w:r>
      <w:r w:rsidRPr="00B6672E">
        <w:rPr>
          <w:rFonts w:eastAsia="Times New Roman" w:cs="Arial"/>
          <w:color w:val="000000"/>
          <w:szCs w:val="24"/>
          <w:lang w:val="ru-RU"/>
        </w:rPr>
        <w:t>(</w:t>
      </w:r>
      <w:r w:rsidRPr="00B6672E">
        <w:rPr>
          <w:rFonts w:eastAsia="Times New Roman" w:cs="Arial"/>
          <w:color w:val="000000"/>
          <w:szCs w:val="24"/>
          <w:lang w:val="en-US"/>
        </w:rPr>
        <w:t>GFR</w:t>
      </w:r>
      <w:r w:rsidRPr="00B6672E">
        <w:rPr>
          <w:rFonts w:eastAsia="Times New Roman" w:cs="Arial"/>
          <w:color w:val="000000"/>
          <w:szCs w:val="24"/>
          <w:lang w:val="ru-RU"/>
        </w:rPr>
        <w:t xml:space="preserve"> </w:t>
      </w:r>
      <w:r w:rsidRPr="00B6672E">
        <w:rPr>
          <w:rFonts w:eastAsia="Times New Roman" w:cs="Arial"/>
          <w:color w:val="000000"/>
          <w:szCs w:val="24"/>
          <w:lang w:eastAsia="bg-BG"/>
        </w:rPr>
        <w:t xml:space="preserve">&lt;30 </w:t>
      </w:r>
      <w:r w:rsidRPr="00B6672E">
        <w:rPr>
          <w:rFonts w:eastAsia="Times New Roman" w:cs="Arial"/>
          <w:color w:val="000000"/>
          <w:szCs w:val="24"/>
          <w:lang w:val="en-US"/>
        </w:rPr>
        <w:t>ml</w:t>
      </w:r>
      <w:r w:rsidRPr="00B6672E">
        <w:rPr>
          <w:rFonts w:eastAsia="Times New Roman" w:cs="Arial"/>
          <w:color w:val="000000"/>
          <w:szCs w:val="24"/>
          <w:lang w:val="ru-RU"/>
        </w:rPr>
        <w:t>/</w:t>
      </w:r>
      <w:r w:rsidRPr="00B6672E">
        <w:rPr>
          <w:rFonts w:eastAsia="Times New Roman" w:cs="Arial"/>
          <w:color w:val="000000"/>
          <w:szCs w:val="24"/>
          <w:lang w:val="en-US"/>
        </w:rPr>
        <w:t>min</w:t>
      </w:r>
      <w:r w:rsidRPr="00B6672E">
        <w:rPr>
          <w:rFonts w:eastAsia="Times New Roman" w:cs="Arial"/>
          <w:color w:val="000000"/>
          <w:szCs w:val="24"/>
          <w:lang w:val="ru-RU"/>
        </w:rPr>
        <w:t xml:space="preserve">) </w:t>
      </w:r>
      <w:r w:rsidRPr="00B6672E">
        <w:rPr>
          <w:rFonts w:eastAsia="Times New Roman" w:cs="Arial"/>
          <w:color w:val="000000"/>
          <w:szCs w:val="24"/>
          <w:lang w:eastAsia="bg-BG"/>
        </w:rPr>
        <w:t xml:space="preserve">в Проучване </w:t>
      </w:r>
      <w:r w:rsidRPr="00B6672E">
        <w:rPr>
          <w:rFonts w:eastAsia="Times New Roman" w:cs="Arial"/>
          <w:color w:val="000000"/>
          <w:szCs w:val="24"/>
          <w:lang w:val="ru-RU"/>
        </w:rPr>
        <w:t>1033</w:t>
      </w:r>
      <w:r w:rsidRPr="00B6672E">
        <w:rPr>
          <w:rFonts w:eastAsia="Times New Roman" w:cs="Arial"/>
          <w:color w:val="000000"/>
          <w:szCs w:val="24"/>
          <w:lang w:val="en-US"/>
        </w:rPr>
        <w:t>IL</w:t>
      </w:r>
      <w:r w:rsidRPr="00B6672E">
        <w:rPr>
          <w:rFonts w:eastAsia="Times New Roman" w:cs="Arial"/>
          <w:color w:val="000000"/>
          <w:szCs w:val="24"/>
          <w:lang w:val="ru-RU"/>
        </w:rPr>
        <w:t xml:space="preserve">/0018, </w:t>
      </w:r>
      <w:r w:rsidRPr="00B6672E">
        <w:rPr>
          <w:rFonts w:eastAsia="Times New Roman" w:cs="Arial"/>
          <w:color w:val="000000"/>
          <w:szCs w:val="24"/>
          <w:lang w:eastAsia="bg-BG"/>
        </w:rPr>
        <w:t>което е в съответствие с факта, че анастрозол се елиминира главно чрез метаболизъм. Плазмените концентрации на анастразол, наблюдавани по време на дългосрочни проучвания за ефикасност при пациенти с бъбречно увреждане, са в диапазона от плазмени концентрации на анастрозол, наблюдавани при пациента без бъбречно увреждане, анастрозол трябва да се прилага с повишено внимание при пациенти с тежко бъбречна увреждане (вж. точки 4.2 и 4.4).</w:t>
      </w:r>
    </w:p>
    <w:p w14:paraId="5D833237" w14:textId="77777777" w:rsidR="00B6672E" w:rsidRPr="00B6672E" w:rsidRDefault="00B6672E" w:rsidP="00B6672E">
      <w:pPr>
        <w:spacing w:line="240" w:lineRule="auto"/>
        <w:rPr>
          <w:rFonts w:eastAsia="Times New Roman" w:cs="Arial"/>
          <w:i/>
          <w:iCs/>
          <w:color w:val="000000"/>
          <w:szCs w:val="24"/>
          <w:u w:val="single"/>
          <w:lang w:eastAsia="bg-BG"/>
        </w:rPr>
      </w:pPr>
    </w:p>
    <w:p w14:paraId="541BDF8D" w14:textId="7F7C4580" w:rsidR="00B6672E" w:rsidRPr="00B6672E" w:rsidRDefault="00B6672E" w:rsidP="00B6672E">
      <w:pPr>
        <w:spacing w:line="240" w:lineRule="auto"/>
        <w:rPr>
          <w:rFonts w:eastAsia="Times New Roman" w:cs="Arial"/>
          <w:szCs w:val="24"/>
        </w:rPr>
      </w:pPr>
      <w:r w:rsidRPr="00B6672E">
        <w:rPr>
          <w:rFonts w:eastAsia="Times New Roman" w:cs="Arial"/>
          <w:i/>
          <w:iCs/>
          <w:color w:val="000000"/>
          <w:szCs w:val="24"/>
          <w:u w:val="single"/>
          <w:lang w:eastAsia="bg-BG"/>
        </w:rPr>
        <w:lastRenderedPageBreak/>
        <w:t>Педиатрична популация</w:t>
      </w:r>
    </w:p>
    <w:p w14:paraId="29B5E0C1" w14:textId="77777777" w:rsidR="00B6672E" w:rsidRPr="00B6672E" w:rsidRDefault="00B6672E" w:rsidP="00B6672E">
      <w:pPr>
        <w:spacing w:line="240" w:lineRule="auto"/>
        <w:rPr>
          <w:rFonts w:eastAsia="Times New Roman" w:cs="Arial"/>
          <w:color w:val="000000"/>
          <w:szCs w:val="24"/>
          <w:lang w:eastAsia="bg-BG"/>
        </w:rPr>
      </w:pPr>
    </w:p>
    <w:p w14:paraId="4C5BF96A" w14:textId="0D2A456B" w:rsidR="00B6672E" w:rsidRPr="00B6672E" w:rsidRDefault="00B6672E" w:rsidP="00B6672E">
      <w:pPr>
        <w:spacing w:line="240" w:lineRule="auto"/>
        <w:rPr>
          <w:rFonts w:eastAsia="Times New Roman" w:cs="Arial"/>
          <w:szCs w:val="24"/>
        </w:rPr>
      </w:pPr>
      <w:r w:rsidRPr="00B6672E">
        <w:rPr>
          <w:rFonts w:eastAsia="Times New Roman" w:cs="Arial"/>
          <w:color w:val="000000"/>
          <w:szCs w:val="24"/>
          <w:lang w:eastAsia="bg-BG"/>
        </w:rPr>
        <w:t>При момчета с гинекомастия (10-17 години) през пубертета анастрозол се резорбира бързо, разпределя се широко и се елиминира бавно с полуживот приблизително 2 дни. При момичета (3-10 години) клирънсът на анастрозол е по- нисък, отколкото при по-големите момчета, а експозицията му е по-висока. При момичета анастрозол се разпределя широко и се елиминира бавно.</w:t>
      </w:r>
    </w:p>
    <w:p w14:paraId="78DD93AA" w14:textId="612215E6" w:rsidR="00B6672E" w:rsidRPr="00B6672E" w:rsidRDefault="00B6672E" w:rsidP="00B6672E"/>
    <w:p w14:paraId="648E39DA" w14:textId="1B214393" w:rsidR="00CF77F7" w:rsidRDefault="002C50EE" w:rsidP="004A448E">
      <w:pPr>
        <w:pStyle w:val="Heading2"/>
      </w:pPr>
      <w:r>
        <w:t>5.3. Предклинични данни за безопасност</w:t>
      </w:r>
    </w:p>
    <w:p w14:paraId="662A1F70" w14:textId="7904FF00" w:rsidR="00B6672E" w:rsidRDefault="00B6672E" w:rsidP="00B6672E"/>
    <w:p w14:paraId="000BEE46" w14:textId="77777777" w:rsidR="00B6672E" w:rsidRPr="00B6672E" w:rsidRDefault="00B6672E" w:rsidP="00B6672E">
      <w:pPr>
        <w:spacing w:line="240" w:lineRule="auto"/>
        <w:rPr>
          <w:rFonts w:eastAsia="Times New Roman" w:cs="Arial"/>
          <w:szCs w:val="24"/>
        </w:rPr>
      </w:pPr>
      <w:r w:rsidRPr="00B6672E">
        <w:rPr>
          <w:rFonts w:eastAsia="Times New Roman" w:cs="Arial"/>
          <w:color w:val="000000"/>
          <w:szCs w:val="24"/>
          <w:lang w:eastAsia="bg-BG"/>
        </w:rPr>
        <w:t>Неклиничните данни не показват особен риск за хората от популацията, за която препаратът е показан, на база на конвенционалните фармакологични изпитвания за безопасност, токсичност при многократно прилагане, генотоксичност, карциногенен потенциал и репродуктивна токсичност.</w:t>
      </w:r>
    </w:p>
    <w:p w14:paraId="53DE1604" w14:textId="77777777" w:rsidR="00B6672E" w:rsidRPr="00B6672E" w:rsidRDefault="00B6672E" w:rsidP="00B6672E">
      <w:pPr>
        <w:spacing w:line="240" w:lineRule="auto"/>
        <w:rPr>
          <w:rFonts w:eastAsia="Times New Roman" w:cs="Arial"/>
          <w:color w:val="000000"/>
          <w:szCs w:val="24"/>
          <w:u w:val="single"/>
          <w:lang w:eastAsia="bg-BG"/>
        </w:rPr>
      </w:pPr>
    </w:p>
    <w:p w14:paraId="64C0A973" w14:textId="33C97D71" w:rsidR="00B6672E" w:rsidRPr="00B6672E" w:rsidRDefault="00B6672E" w:rsidP="00B6672E">
      <w:pPr>
        <w:spacing w:line="240" w:lineRule="auto"/>
        <w:rPr>
          <w:rFonts w:eastAsia="Times New Roman" w:cs="Arial"/>
          <w:szCs w:val="24"/>
        </w:rPr>
      </w:pPr>
      <w:r w:rsidRPr="00B6672E">
        <w:rPr>
          <w:rFonts w:eastAsia="Times New Roman" w:cs="Arial"/>
          <w:color w:val="000000"/>
          <w:szCs w:val="24"/>
          <w:u w:val="single"/>
          <w:lang w:eastAsia="bg-BG"/>
        </w:rPr>
        <w:t>Остра токсичност</w:t>
      </w:r>
    </w:p>
    <w:p w14:paraId="28E92D91" w14:textId="77777777" w:rsidR="00B6672E" w:rsidRPr="00B6672E" w:rsidRDefault="00B6672E" w:rsidP="00B6672E">
      <w:pPr>
        <w:spacing w:line="240" w:lineRule="auto"/>
        <w:rPr>
          <w:rFonts w:eastAsia="Times New Roman" w:cs="Arial"/>
          <w:color w:val="000000"/>
          <w:szCs w:val="24"/>
          <w:lang w:eastAsia="bg-BG"/>
        </w:rPr>
      </w:pPr>
    </w:p>
    <w:p w14:paraId="4E319F8F" w14:textId="09FF799D" w:rsidR="00B6672E" w:rsidRPr="00B6672E" w:rsidRDefault="00B6672E" w:rsidP="00B6672E">
      <w:pPr>
        <w:spacing w:line="240" w:lineRule="auto"/>
        <w:rPr>
          <w:rFonts w:eastAsia="Times New Roman" w:cs="Arial"/>
          <w:szCs w:val="24"/>
        </w:rPr>
      </w:pPr>
      <w:r w:rsidRPr="00B6672E">
        <w:rPr>
          <w:rFonts w:eastAsia="Times New Roman" w:cs="Arial"/>
          <w:color w:val="000000"/>
          <w:szCs w:val="24"/>
          <w:lang w:eastAsia="bg-BG"/>
        </w:rPr>
        <w:t xml:space="preserve">В проучвания при животни токсичност се наблюдава само при високи дози. В проучвания за остра токсичност при гризачи средната летална доза анастрозол надвишава 100 </w:t>
      </w:r>
      <w:r w:rsidRPr="00B6672E">
        <w:rPr>
          <w:rFonts w:eastAsia="Times New Roman" w:cs="Arial"/>
          <w:color w:val="000000"/>
          <w:szCs w:val="24"/>
          <w:lang w:val="en-US"/>
        </w:rPr>
        <w:t>mg</w:t>
      </w:r>
      <w:r w:rsidRPr="00B6672E">
        <w:rPr>
          <w:rFonts w:eastAsia="Times New Roman" w:cs="Arial"/>
          <w:color w:val="000000"/>
          <w:szCs w:val="24"/>
          <w:lang w:val="ru-RU"/>
        </w:rPr>
        <w:t>/</w:t>
      </w:r>
      <w:r w:rsidRPr="00B6672E">
        <w:rPr>
          <w:rFonts w:eastAsia="Times New Roman" w:cs="Arial"/>
          <w:color w:val="000000"/>
          <w:szCs w:val="24"/>
          <w:lang w:val="en-US"/>
        </w:rPr>
        <w:t>kg</w:t>
      </w:r>
      <w:r w:rsidRPr="00B6672E">
        <w:rPr>
          <w:rFonts w:eastAsia="Times New Roman" w:cs="Arial"/>
          <w:color w:val="000000"/>
          <w:szCs w:val="24"/>
          <w:lang w:eastAsia="bg-BG"/>
        </w:rPr>
        <w:t xml:space="preserve">/дневно при перорално приложение и 50 </w:t>
      </w:r>
      <w:r w:rsidRPr="00B6672E">
        <w:rPr>
          <w:rFonts w:eastAsia="Times New Roman" w:cs="Arial"/>
          <w:color w:val="000000"/>
          <w:szCs w:val="24"/>
          <w:lang w:val="en-US"/>
        </w:rPr>
        <w:t>mg</w:t>
      </w:r>
      <w:r w:rsidRPr="00B6672E">
        <w:rPr>
          <w:rFonts w:eastAsia="Times New Roman" w:cs="Arial"/>
          <w:color w:val="000000"/>
          <w:szCs w:val="24"/>
          <w:lang w:val="ru-RU"/>
        </w:rPr>
        <w:t>/</w:t>
      </w:r>
      <w:r w:rsidRPr="00B6672E">
        <w:rPr>
          <w:rFonts w:eastAsia="Times New Roman" w:cs="Arial"/>
          <w:color w:val="000000"/>
          <w:szCs w:val="24"/>
          <w:lang w:val="en-US"/>
        </w:rPr>
        <w:t>kg</w:t>
      </w:r>
      <w:r w:rsidRPr="00B6672E">
        <w:rPr>
          <w:rFonts w:eastAsia="Times New Roman" w:cs="Arial"/>
          <w:color w:val="000000"/>
          <w:szCs w:val="24"/>
          <w:lang w:eastAsia="bg-BG"/>
        </w:rPr>
        <w:t xml:space="preserve">/дневно при интраперитонеалио приложение. В проучване за остра токсичност при перорално приложение при кучета средната летална доза надвишава 45 </w:t>
      </w:r>
      <w:r w:rsidRPr="00B6672E">
        <w:rPr>
          <w:rFonts w:eastAsia="Times New Roman" w:cs="Arial"/>
          <w:color w:val="000000"/>
          <w:szCs w:val="24"/>
          <w:lang w:val="en-US"/>
        </w:rPr>
        <w:t>mg</w:t>
      </w:r>
      <w:r w:rsidRPr="00B6672E">
        <w:rPr>
          <w:rFonts w:eastAsia="Times New Roman" w:cs="Arial"/>
          <w:color w:val="000000"/>
          <w:szCs w:val="24"/>
          <w:lang w:val="ru-RU"/>
        </w:rPr>
        <w:t>/</w:t>
      </w:r>
      <w:r w:rsidRPr="00B6672E">
        <w:rPr>
          <w:rFonts w:eastAsia="Times New Roman" w:cs="Arial"/>
          <w:color w:val="000000"/>
          <w:szCs w:val="24"/>
          <w:lang w:val="en-US"/>
        </w:rPr>
        <w:t>kg</w:t>
      </w:r>
      <w:r w:rsidRPr="00B6672E">
        <w:rPr>
          <w:rFonts w:eastAsia="Times New Roman" w:cs="Arial"/>
          <w:color w:val="000000"/>
          <w:szCs w:val="24"/>
          <w:lang w:eastAsia="bg-BG"/>
        </w:rPr>
        <w:t>/дневно.</w:t>
      </w:r>
    </w:p>
    <w:p w14:paraId="6B94D092" w14:textId="77777777" w:rsidR="00B6672E" w:rsidRPr="00B6672E" w:rsidRDefault="00B6672E" w:rsidP="00B6672E">
      <w:pPr>
        <w:spacing w:line="240" w:lineRule="auto"/>
        <w:rPr>
          <w:rFonts w:eastAsia="Times New Roman" w:cs="Arial"/>
          <w:color w:val="000000"/>
          <w:szCs w:val="24"/>
          <w:u w:val="single"/>
          <w:lang w:eastAsia="bg-BG"/>
        </w:rPr>
      </w:pPr>
    </w:p>
    <w:p w14:paraId="60C2FEF3" w14:textId="2FCE1975" w:rsidR="00B6672E" w:rsidRPr="00B6672E" w:rsidRDefault="00B6672E" w:rsidP="00B6672E">
      <w:pPr>
        <w:spacing w:line="240" w:lineRule="auto"/>
        <w:rPr>
          <w:rFonts w:eastAsia="Times New Roman" w:cs="Arial"/>
          <w:szCs w:val="24"/>
        </w:rPr>
      </w:pPr>
      <w:r w:rsidRPr="00B6672E">
        <w:rPr>
          <w:rFonts w:eastAsia="Times New Roman" w:cs="Arial"/>
          <w:color w:val="000000"/>
          <w:szCs w:val="24"/>
          <w:u w:val="single"/>
          <w:lang w:eastAsia="bg-BG"/>
        </w:rPr>
        <w:t>Хронична токсичност</w:t>
      </w:r>
    </w:p>
    <w:p w14:paraId="4E3B908E" w14:textId="77777777" w:rsidR="00B6672E" w:rsidRPr="00B6672E" w:rsidRDefault="00B6672E" w:rsidP="00B6672E">
      <w:pPr>
        <w:spacing w:line="240" w:lineRule="auto"/>
        <w:rPr>
          <w:rFonts w:eastAsia="Times New Roman" w:cs="Arial"/>
          <w:color w:val="000000"/>
          <w:szCs w:val="24"/>
          <w:lang w:eastAsia="bg-BG"/>
        </w:rPr>
      </w:pPr>
    </w:p>
    <w:p w14:paraId="33BB8D7D" w14:textId="10B36BCF" w:rsidR="00B6672E" w:rsidRPr="00B6672E" w:rsidRDefault="00B6672E" w:rsidP="00B6672E">
      <w:pPr>
        <w:spacing w:line="240" w:lineRule="auto"/>
        <w:rPr>
          <w:rFonts w:eastAsia="Times New Roman" w:cs="Arial"/>
          <w:szCs w:val="24"/>
        </w:rPr>
      </w:pPr>
      <w:r w:rsidRPr="00B6672E">
        <w:rPr>
          <w:rFonts w:eastAsia="Times New Roman" w:cs="Arial"/>
          <w:color w:val="000000"/>
          <w:szCs w:val="24"/>
          <w:lang w:eastAsia="bg-BG"/>
        </w:rPr>
        <w:t xml:space="preserve">В проучвания при животни нежелани реакции се наблюдават само при високи дози. Проучвания за токсичност при многократно прилагане са провеждани при плъхове и кучета. В проучванията за токсичност на анастрозол не са установени концентрации, при които да не се проявява ефект, но ефектите, наблюдавани при приложение на ниски (1 </w:t>
      </w:r>
      <w:r w:rsidRPr="00B6672E">
        <w:rPr>
          <w:rFonts w:eastAsia="Times New Roman" w:cs="Arial"/>
          <w:color w:val="000000"/>
          <w:szCs w:val="24"/>
          <w:lang w:val="en-US"/>
        </w:rPr>
        <w:t>mg</w:t>
      </w:r>
      <w:r w:rsidRPr="00B6672E">
        <w:rPr>
          <w:rFonts w:eastAsia="Times New Roman" w:cs="Arial"/>
          <w:color w:val="000000"/>
          <w:szCs w:val="24"/>
          <w:lang w:val="ru-RU"/>
        </w:rPr>
        <w:t>/</w:t>
      </w:r>
      <w:r w:rsidRPr="00B6672E">
        <w:rPr>
          <w:rFonts w:eastAsia="Times New Roman" w:cs="Arial"/>
          <w:color w:val="000000"/>
          <w:szCs w:val="24"/>
          <w:lang w:val="en-US"/>
        </w:rPr>
        <w:t>kg</w:t>
      </w:r>
      <w:r w:rsidRPr="00B6672E">
        <w:rPr>
          <w:rFonts w:eastAsia="Times New Roman" w:cs="Arial"/>
          <w:color w:val="000000"/>
          <w:szCs w:val="24"/>
          <w:lang w:eastAsia="bg-BG"/>
        </w:rPr>
        <w:t xml:space="preserve">/дневно) и умерено високи дози (куче - 3 </w:t>
      </w:r>
      <w:r w:rsidRPr="00B6672E">
        <w:rPr>
          <w:rFonts w:eastAsia="Times New Roman" w:cs="Arial"/>
          <w:color w:val="000000"/>
          <w:szCs w:val="24"/>
          <w:lang w:val="en-US"/>
        </w:rPr>
        <w:t>mg</w:t>
      </w:r>
      <w:r w:rsidRPr="00B6672E">
        <w:rPr>
          <w:rFonts w:eastAsia="Times New Roman" w:cs="Arial"/>
          <w:color w:val="000000"/>
          <w:szCs w:val="24"/>
          <w:lang w:val="ru-RU"/>
        </w:rPr>
        <w:t>/</w:t>
      </w:r>
      <w:r w:rsidRPr="00B6672E">
        <w:rPr>
          <w:rFonts w:eastAsia="Times New Roman" w:cs="Arial"/>
          <w:color w:val="000000"/>
          <w:szCs w:val="24"/>
          <w:lang w:val="en-US"/>
        </w:rPr>
        <w:t>kg</w:t>
      </w:r>
      <w:r w:rsidRPr="00B6672E">
        <w:rPr>
          <w:rFonts w:eastAsia="Times New Roman" w:cs="Arial"/>
          <w:color w:val="000000"/>
          <w:szCs w:val="24"/>
          <w:lang w:eastAsia="bg-BG"/>
        </w:rPr>
        <w:t xml:space="preserve">/дневно; плъх - 5 </w:t>
      </w:r>
      <w:r w:rsidRPr="00B6672E">
        <w:rPr>
          <w:rFonts w:eastAsia="Times New Roman" w:cs="Arial"/>
          <w:color w:val="000000"/>
          <w:szCs w:val="24"/>
          <w:lang w:val="en-US"/>
        </w:rPr>
        <w:t>mg</w:t>
      </w:r>
      <w:r w:rsidRPr="00B6672E">
        <w:rPr>
          <w:rFonts w:eastAsia="Times New Roman" w:cs="Arial"/>
          <w:color w:val="000000"/>
          <w:szCs w:val="24"/>
          <w:lang w:val="ru-RU"/>
        </w:rPr>
        <w:t>/</w:t>
      </w:r>
      <w:r w:rsidRPr="00B6672E">
        <w:rPr>
          <w:rFonts w:eastAsia="Times New Roman" w:cs="Arial"/>
          <w:color w:val="000000"/>
          <w:szCs w:val="24"/>
          <w:lang w:val="en-US"/>
        </w:rPr>
        <w:t>kg</w:t>
      </w:r>
      <w:r w:rsidRPr="00B6672E">
        <w:rPr>
          <w:rFonts w:eastAsia="Times New Roman" w:cs="Arial"/>
          <w:color w:val="000000"/>
          <w:szCs w:val="24"/>
          <w:lang w:eastAsia="bg-BG"/>
        </w:rPr>
        <w:t>/дневно) са свързани или с фармакологичните, или с ензимно-индукторните свойства на анастрозол и не се придружават от развитие на значима токсичност или дегенеративни промени.</w:t>
      </w:r>
    </w:p>
    <w:p w14:paraId="0771D1E3" w14:textId="77777777" w:rsidR="00B6672E" w:rsidRPr="00B6672E" w:rsidRDefault="00B6672E" w:rsidP="00B6672E">
      <w:pPr>
        <w:spacing w:line="240" w:lineRule="auto"/>
        <w:rPr>
          <w:rFonts w:eastAsia="Times New Roman" w:cs="Arial"/>
          <w:color w:val="000000"/>
          <w:szCs w:val="24"/>
          <w:u w:val="single"/>
          <w:lang w:eastAsia="bg-BG"/>
        </w:rPr>
      </w:pPr>
    </w:p>
    <w:p w14:paraId="3D2FCCC0" w14:textId="521B96B7" w:rsidR="00B6672E" w:rsidRPr="00B6672E" w:rsidRDefault="00B6672E" w:rsidP="00B6672E">
      <w:pPr>
        <w:spacing w:line="240" w:lineRule="auto"/>
        <w:rPr>
          <w:rFonts w:eastAsia="Times New Roman" w:cs="Arial"/>
          <w:szCs w:val="24"/>
        </w:rPr>
      </w:pPr>
      <w:r w:rsidRPr="00B6672E">
        <w:rPr>
          <w:rFonts w:eastAsia="Times New Roman" w:cs="Arial"/>
          <w:color w:val="000000"/>
          <w:szCs w:val="24"/>
          <w:u w:val="single"/>
          <w:lang w:eastAsia="bg-BG"/>
        </w:rPr>
        <w:t>Мутагенен потенциал</w:t>
      </w:r>
    </w:p>
    <w:p w14:paraId="608B1117" w14:textId="77777777" w:rsidR="00B6672E" w:rsidRPr="00B6672E" w:rsidRDefault="00B6672E" w:rsidP="00B6672E">
      <w:pPr>
        <w:spacing w:line="240" w:lineRule="auto"/>
        <w:rPr>
          <w:rFonts w:eastAsia="Times New Roman" w:cs="Arial"/>
          <w:color w:val="000000"/>
          <w:szCs w:val="24"/>
          <w:lang w:eastAsia="bg-BG"/>
        </w:rPr>
      </w:pPr>
    </w:p>
    <w:p w14:paraId="6DCEC182" w14:textId="5E2585CE" w:rsidR="00B6672E" w:rsidRPr="00B6672E" w:rsidRDefault="00B6672E" w:rsidP="00B6672E">
      <w:pPr>
        <w:spacing w:line="240" w:lineRule="auto"/>
        <w:rPr>
          <w:rFonts w:eastAsia="Times New Roman" w:cs="Arial"/>
          <w:szCs w:val="24"/>
        </w:rPr>
      </w:pPr>
      <w:r w:rsidRPr="00B6672E">
        <w:rPr>
          <w:rFonts w:eastAsia="Times New Roman" w:cs="Arial"/>
          <w:color w:val="000000"/>
          <w:szCs w:val="24"/>
          <w:lang w:eastAsia="bg-BG"/>
        </w:rPr>
        <w:t>Проучванията за генетична токсичност на анастрозол показват, че той няма мутагенен или кластогенен потенциал.</w:t>
      </w:r>
    </w:p>
    <w:p w14:paraId="370F1978" w14:textId="77777777" w:rsidR="00B6672E" w:rsidRPr="00B6672E" w:rsidRDefault="00B6672E" w:rsidP="00B6672E">
      <w:pPr>
        <w:spacing w:line="240" w:lineRule="auto"/>
        <w:rPr>
          <w:rFonts w:eastAsia="Times New Roman" w:cs="Arial"/>
          <w:color w:val="000000"/>
          <w:szCs w:val="24"/>
          <w:u w:val="single"/>
          <w:lang w:eastAsia="bg-BG"/>
        </w:rPr>
      </w:pPr>
    </w:p>
    <w:p w14:paraId="2FE27750" w14:textId="348D980E" w:rsidR="00B6672E" w:rsidRPr="00B6672E" w:rsidRDefault="00B6672E" w:rsidP="00B6672E">
      <w:pPr>
        <w:spacing w:line="240" w:lineRule="auto"/>
        <w:rPr>
          <w:rFonts w:eastAsia="Times New Roman" w:cs="Arial"/>
          <w:szCs w:val="24"/>
        </w:rPr>
      </w:pPr>
      <w:r w:rsidRPr="00B6672E">
        <w:rPr>
          <w:rFonts w:eastAsia="Times New Roman" w:cs="Arial"/>
          <w:color w:val="000000"/>
          <w:szCs w:val="24"/>
          <w:u w:val="single"/>
          <w:lang w:eastAsia="bg-BG"/>
        </w:rPr>
        <w:t>Репродуктивна токсичност</w:t>
      </w:r>
    </w:p>
    <w:p w14:paraId="0D2AD96F" w14:textId="77777777" w:rsidR="00B6672E" w:rsidRPr="00B6672E" w:rsidRDefault="00B6672E" w:rsidP="00B6672E">
      <w:pPr>
        <w:rPr>
          <w:rFonts w:eastAsia="Times New Roman" w:cs="Arial"/>
          <w:color w:val="000000"/>
          <w:szCs w:val="24"/>
          <w:lang w:eastAsia="bg-BG"/>
        </w:rPr>
      </w:pPr>
    </w:p>
    <w:p w14:paraId="4D074B15" w14:textId="77777777" w:rsidR="00B6672E" w:rsidRPr="00B6672E" w:rsidRDefault="00B6672E" w:rsidP="00B6672E">
      <w:pPr>
        <w:rPr>
          <w:rFonts w:eastAsia="Times New Roman" w:cs="Arial"/>
          <w:szCs w:val="24"/>
        </w:rPr>
      </w:pPr>
      <w:r w:rsidRPr="00B6672E">
        <w:rPr>
          <w:rFonts w:eastAsia="Times New Roman" w:cs="Arial"/>
          <w:color w:val="000000"/>
          <w:szCs w:val="24"/>
          <w:lang w:eastAsia="bg-BG"/>
        </w:rPr>
        <w:t xml:space="preserve">В проучване за ефект върху фертилитета на наскоро отбити мъжки плъхове перорално, с водата за пиене е даван анастрозол в доза 50 или 400 </w:t>
      </w:r>
      <w:r w:rsidRPr="00B6672E">
        <w:rPr>
          <w:rFonts w:eastAsia="Times New Roman" w:cs="Arial"/>
          <w:color w:val="000000"/>
          <w:szCs w:val="24"/>
          <w:lang w:val="en-US"/>
        </w:rPr>
        <w:t>mg</w:t>
      </w:r>
      <w:r w:rsidRPr="00B6672E">
        <w:rPr>
          <w:rFonts w:eastAsia="Times New Roman" w:cs="Arial"/>
          <w:color w:val="000000"/>
          <w:szCs w:val="24"/>
          <w:lang w:val="ru-RU"/>
        </w:rPr>
        <w:t>/</w:t>
      </w:r>
      <w:r w:rsidRPr="00B6672E">
        <w:rPr>
          <w:rFonts w:eastAsia="Times New Roman" w:cs="Arial"/>
          <w:color w:val="000000"/>
          <w:szCs w:val="24"/>
          <w:lang w:val="en-US"/>
        </w:rPr>
        <w:t>l</w:t>
      </w:r>
      <w:r w:rsidRPr="00B6672E">
        <w:rPr>
          <w:rFonts w:eastAsia="Times New Roman" w:cs="Arial"/>
          <w:color w:val="000000"/>
          <w:szCs w:val="24"/>
          <w:lang w:val="ru-RU"/>
        </w:rPr>
        <w:t xml:space="preserve"> </w:t>
      </w:r>
      <w:r w:rsidRPr="00B6672E">
        <w:rPr>
          <w:rFonts w:eastAsia="Times New Roman" w:cs="Arial"/>
          <w:color w:val="000000"/>
          <w:szCs w:val="24"/>
          <w:lang w:eastAsia="bg-BG"/>
        </w:rPr>
        <w:t xml:space="preserve">в продължение на 10 седмици. Измерените средни плазмени концентрации са съответно 44,4 (±14,7) </w:t>
      </w:r>
      <w:r w:rsidRPr="00B6672E">
        <w:rPr>
          <w:rFonts w:eastAsia="Times New Roman" w:cs="Arial"/>
          <w:color w:val="000000"/>
          <w:szCs w:val="24"/>
          <w:lang w:val="en-US"/>
        </w:rPr>
        <w:t>ng</w:t>
      </w:r>
      <w:r w:rsidRPr="00B6672E">
        <w:rPr>
          <w:rFonts w:eastAsia="Times New Roman" w:cs="Arial"/>
          <w:color w:val="000000"/>
          <w:szCs w:val="24"/>
          <w:lang w:val="ru-RU"/>
        </w:rPr>
        <w:t>/</w:t>
      </w:r>
      <w:r w:rsidRPr="00B6672E">
        <w:rPr>
          <w:rFonts w:eastAsia="Times New Roman" w:cs="Arial"/>
          <w:color w:val="000000"/>
          <w:szCs w:val="24"/>
          <w:lang w:val="en-US"/>
        </w:rPr>
        <w:t>ml</w:t>
      </w:r>
      <w:r w:rsidRPr="00B6672E">
        <w:rPr>
          <w:rFonts w:eastAsia="Times New Roman" w:cs="Arial"/>
          <w:color w:val="000000"/>
          <w:szCs w:val="24"/>
          <w:lang w:val="ru-RU"/>
        </w:rPr>
        <w:t xml:space="preserve"> </w:t>
      </w:r>
      <w:r w:rsidRPr="00B6672E">
        <w:rPr>
          <w:rFonts w:eastAsia="Times New Roman" w:cs="Arial"/>
          <w:color w:val="000000"/>
          <w:szCs w:val="24"/>
          <w:lang w:eastAsia="bg-BG"/>
        </w:rPr>
        <w:t xml:space="preserve">и 165 (±90) </w:t>
      </w:r>
      <w:r w:rsidRPr="00B6672E">
        <w:rPr>
          <w:rFonts w:eastAsia="Times New Roman" w:cs="Arial"/>
          <w:color w:val="000000"/>
          <w:szCs w:val="24"/>
          <w:lang w:val="en-US"/>
        </w:rPr>
        <w:t>ng</w:t>
      </w:r>
      <w:r w:rsidRPr="00B6672E">
        <w:rPr>
          <w:rFonts w:eastAsia="Times New Roman" w:cs="Arial"/>
          <w:color w:val="000000"/>
          <w:szCs w:val="24"/>
          <w:lang w:val="ru-RU"/>
        </w:rPr>
        <w:t>/</w:t>
      </w:r>
      <w:r w:rsidRPr="00B6672E">
        <w:rPr>
          <w:rFonts w:eastAsia="Times New Roman" w:cs="Arial"/>
          <w:color w:val="000000"/>
          <w:szCs w:val="24"/>
          <w:lang w:val="en-US"/>
        </w:rPr>
        <w:t>ml</w:t>
      </w:r>
      <w:r w:rsidRPr="00B6672E">
        <w:rPr>
          <w:rFonts w:eastAsia="Times New Roman" w:cs="Arial"/>
          <w:color w:val="000000"/>
          <w:szCs w:val="24"/>
          <w:lang w:val="ru-RU"/>
        </w:rPr>
        <w:t xml:space="preserve">. </w:t>
      </w:r>
      <w:r w:rsidRPr="00B6672E">
        <w:rPr>
          <w:rFonts w:eastAsia="Times New Roman" w:cs="Arial"/>
          <w:color w:val="000000"/>
          <w:szCs w:val="24"/>
          <w:lang w:eastAsia="bg-BG"/>
        </w:rPr>
        <w:t>Показателите за чифтосване са</w:t>
      </w:r>
      <w:r w:rsidRPr="00B6672E">
        <w:rPr>
          <w:rFonts w:eastAsia="Times New Roman" w:cs="Arial"/>
          <w:i/>
          <w:iCs/>
          <w:color w:val="000000"/>
          <w:szCs w:val="24"/>
          <w:lang w:eastAsia="bg-BG"/>
        </w:rPr>
        <w:t xml:space="preserve"> </w:t>
      </w:r>
      <w:r w:rsidRPr="00B6672E">
        <w:rPr>
          <w:rFonts w:eastAsia="Times New Roman" w:cs="Arial"/>
          <w:color w:val="000000"/>
          <w:szCs w:val="24"/>
          <w:lang w:eastAsia="bg-BG"/>
        </w:rPr>
        <w:t xml:space="preserve">засегнати в негативна посока и в двете групи, но понижен фертилитет е установен само в групата, получавала анастрозол в доза 400 </w:t>
      </w:r>
      <w:r w:rsidRPr="00B6672E">
        <w:rPr>
          <w:rFonts w:eastAsia="Times New Roman" w:cs="Arial"/>
          <w:color w:val="000000"/>
          <w:szCs w:val="24"/>
          <w:lang w:val="en-US"/>
        </w:rPr>
        <w:t>mg</w:t>
      </w:r>
      <w:r w:rsidRPr="00B6672E">
        <w:rPr>
          <w:rFonts w:eastAsia="Times New Roman" w:cs="Arial"/>
          <w:color w:val="000000"/>
          <w:szCs w:val="24"/>
          <w:lang w:val="ru-RU"/>
        </w:rPr>
        <w:t>/</w:t>
      </w:r>
      <w:r w:rsidRPr="00B6672E">
        <w:rPr>
          <w:rFonts w:eastAsia="Times New Roman" w:cs="Arial"/>
          <w:color w:val="000000"/>
          <w:szCs w:val="24"/>
          <w:lang w:val="en-US"/>
        </w:rPr>
        <w:t>l</w:t>
      </w:r>
      <w:r w:rsidRPr="00B6672E">
        <w:rPr>
          <w:rFonts w:eastAsia="Times New Roman" w:cs="Arial"/>
          <w:color w:val="000000"/>
          <w:szCs w:val="24"/>
          <w:lang w:val="ru-RU"/>
        </w:rPr>
        <w:t>.</w:t>
      </w:r>
      <w:r w:rsidRPr="00B6672E">
        <w:rPr>
          <w:rFonts w:eastAsia="Times New Roman" w:cs="Arial"/>
          <w:color w:val="000000"/>
          <w:szCs w:val="24"/>
          <w:lang w:eastAsia="bg-BG"/>
        </w:rPr>
        <w:t xml:space="preserve"> Понижаването на фертилитета е преходно - след 9-седмичен период на възстановяване без прием на лекарствения продукт всички показатели за чифтосване и фертилитет са сходни с тези в контролната група.</w:t>
      </w:r>
    </w:p>
    <w:p w14:paraId="6A9BAB67" w14:textId="77777777" w:rsidR="00B6672E" w:rsidRPr="00B6672E" w:rsidRDefault="00B6672E" w:rsidP="00B6672E">
      <w:pPr>
        <w:spacing w:line="240" w:lineRule="auto"/>
        <w:rPr>
          <w:rFonts w:eastAsia="Times New Roman" w:cs="Arial"/>
          <w:color w:val="000000"/>
          <w:szCs w:val="24"/>
          <w:lang w:eastAsia="bg-BG"/>
        </w:rPr>
      </w:pPr>
    </w:p>
    <w:p w14:paraId="2BD8442A" w14:textId="4533ADB4" w:rsidR="00B6672E" w:rsidRPr="00B6672E" w:rsidRDefault="00B6672E" w:rsidP="00B6672E">
      <w:pPr>
        <w:spacing w:line="240" w:lineRule="auto"/>
        <w:rPr>
          <w:rFonts w:eastAsia="Times New Roman" w:cs="Arial"/>
          <w:szCs w:val="24"/>
        </w:rPr>
      </w:pPr>
      <w:r w:rsidRPr="00B6672E">
        <w:rPr>
          <w:rFonts w:eastAsia="Times New Roman" w:cs="Arial"/>
          <w:color w:val="000000"/>
          <w:szCs w:val="24"/>
          <w:lang w:eastAsia="bg-BG"/>
        </w:rPr>
        <w:lastRenderedPageBreak/>
        <w:t xml:space="preserve">Пероралното приложение на анастрозол на женски плъхове води до висока честота на развитие на безплодие при доза 1 </w:t>
      </w:r>
      <w:r w:rsidRPr="00B6672E">
        <w:rPr>
          <w:rFonts w:eastAsia="Times New Roman" w:cs="Arial"/>
          <w:color w:val="000000"/>
          <w:szCs w:val="24"/>
          <w:lang w:val="en-US"/>
        </w:rPr>
        <w:t>mg</w:t>
      </w:r>
      <w:r w:rsidRPr="00B6672E">
        <w:rPr>
          <w:rFonts w:eastAsia="Times New Roman" w:cs="Arial"/>
          <w:color w:val="000000"/>
          <w:szCs w:val="24"/>
          <w:lang w:val="ru-RU"/>
        </w:rPr>
        <w:t>/</w:t>
      </w:r>
      <w:r w:rsidRPr="00B6672E">
        <w:rPr>
          <w:rFonts w:eastAsia="Times New Roman" w:cs="Arial"/>
          <w:color w:val="000000"/>
          <w:szCs w:val="24"/>
          <w:lang w:val="en-US"/>
        </w:rPr>
        <w:t>kg</w:t>
      </w:r>
      <w:r w:rsidRPr="00B6672E">
        <w:rPr>
          <w:rFonts w:eastAsia="Times New Roman" w:cs="Arial"/>
          <w:color w:val="000000"/>
          <w:szCs w:val="24"/>
          <w:lang w:eastAsia="bg-BG"/>
        </w:rPr>
        <w:t xml:space="preserve">/дневно и повишена предимплантационна загуба на плода при доза 0,02 </w:t>
      </w:r>
      <w:r w:rsidRPr="00B6672E">
        <w:rPr>
          <w:rFonts w:eastAsia="Times New Roman" w:cs="Arial"/>
          <w:color w:val="000000"/>
          <w:szCs w:val="24"/>
          <w:lang w:val="en-US"/>
        </w:rPr>
        <w:t>mg</w:t>
      </w:r>
      <w:r w:rsidRPr="00B6672E">
        <w:rPr>
          <w:rFonts w:eastAsia="Times New Roman" w:cs="Arial"/>
          <w:color w:val="000000"/>
          <w:szCs w:val="24"/>
          <w:lang w:val="ru-RU"/>
        </w:rPr>
        <w:t>/</w:t>
      </w:r>
      <w:r w:rsidRPr="00B6672E">
        <w:rPr>
          <w:rFonts w:eastAsia="Times New Roman" w:cs="Arial"/>
          <w:color w:val="000000"/>
          <w:szCs w:val="24"/>
          <w:lang w:val="en-US"/>
        </w:rPr>
        <w:t>kg</w:t>
      </w:r>
      <w:r w:rsidRPr="00B6672E">
        <w:rPr>
          <w:rFonts w:eastAsia="Times New Roman" w:cs="Arial"/>
          <w:color w:val="000000"/>
          <w:szCs w:val="24"/>
          <w:lang w:eastAsia="bg-BG"/>
        </w:rPr>
        <w:t>/дневно. Тези ефекти се развиват в дози, съпоставими с клиничната. Не може да се изключи ефект при хора. Тези ефекти са свързани с фармакологичното действие на съединението и са напълно обратими след 5-седмичен период без прием на лекарствения продукт.</w:t>
      </w:r>
    </w:p>
    <w:p w14:paraId="6234C966" w14:textId="77777777" w:rsidR="00B6672E" w:rsidRPr="00B6672E" w:rsidRDefault="00B6672E" w:rsidP="00B6672E">
      <w:pPr>
        <w:spacing w:line="240" w:lineRule="auto"/>
        <w:rPr>
          <w:rFonts w:eastAsia="Times New Roman" w:cs="Arial"/>
          <w:color w:val="000000"/>
          <w:szCs w:val="24"/>
          <w:lang w:eastAsia="bg-BG"/>
        </w:rPr>
      </w:pPr>
    </w:p>
    <w:p w14:paraId="22BBC970" w14:textId="710B8686" w:rsidR="00B6672E" w:rsidRPr="00B6672E" w:rsidRDefault="00B6672E" w:rsidP="00B6672E">
      <w:pPr>
        <w:spacing w:line="240" w:lineRule="auto"/>
        <w:rPr>
          <w:rFonts w:eastAsia="Times New Roman" w:cs="Arial"/>
          <w:szCs w:val="24"/>
        </w:rPr>
      </w:pPr>
      <w:r w:rsidRPr="00B6672E">
        <w:rPr>
          <w:rFonts w:eastAsia="Times New Roman" w:cs="Arial"/>
          <w:color w:val="000000"/>
          <w:szCs w:val="24"/>
          <w:lang w:eastAsia="bg-BG"/>
        </w:rPr>
        <w:t xml:space="preserve">Пероралното приложение на анастрозол при бременни плъхове и зайци съответно в дози до 1,0 и 0,2 </w:t>
      </w:r>
      <w:r w:rsidRPr="00B6672E">
        <w:rPr>
          <w:rFonts w:eastAsia="Times New Roman" w:cs="Arial"/>
          <w:color w:val="000000"/>
          <w:szCs w:val="24"/>
          <w:lang w:val="en-US"/>
        </w:rPr>
        <w:t>mg</w:t>
      </w:r>
      <w:r w:rsidRPr="00B6672E">
        <w:rPr>
          <w:rFonts w:eastAsia="Times New Roman" w:cs="Arial"/>
          <w:color w:val="000000"/>
          <w:szCs w:val="24"/>
          <w:lang w:val="ru-RU"/>
        </w:rPr>
        <w:t>/</w:t>
      </w:r>
      <w:r w:rsidRPr="00B6672E">
        <w:rPr>
          <w:rFonts w:eastAsia="Times New Roman" w:cs="Arial"/>
          <w:color w:val="000000"/>
          <w:szCs w:val="24"/>
          <w:lang w:val="en-US"/>
        </w:rPr>
        <w:t>kg</w:t>
      </w:r>
      <w:r w:rsidRPr="00B6672E">
        <w:rPr>
          <w:rFonts w:eastAsia="Times New Roman" w:cs="Arial"/>
          <w:color w:val="000000"/>
          <w:szCs w:val="24"/>
          <w:lang w:eastAsia="bg-BG"/>
        </w:rPr>
        <w:t>/дневно няма тератогенен ефект. Наблюдаваните ефекти (хипертрофия на плацентата при плъхове и загуба на плода при зайци) са свързани с фармакологичните ефекти на веществото.</w:t>
      </w:r>
    </w:p>
    <w:p w14:paraId="2FB4268D" w14:textId="77777777" w:rsidR="00B6672E" w:rsidRPr="00B6672E" w:rsidRDefault="00B6672E" w:rsidP="00B6672E">
      <w:pPr>
        <w:spacing w:line="240" w:lineRule="auto"/>
        <w:rPr>
          <w:rFonts w:eastAsia="Times New Roman" w:cs="Arial"/>
          <w:color w:val="000000"/>
          <w:szCs w:val="24"/>
          <w:lang w:eastAsia="bg-BG"/>
        </w:rPr>
      </w:pPr>
    </w:p>
    <w:p w14:paraId="192BA0C9" w14:textId="1E1F3EAD" w:rsidR="00B6672E" w:rsidRPr="00B6672E" w:rsidRDefault="00B6672E" w:rsidP="00B6672E">
      <w:pPr>
        <w:spacing w:line="240" w:lineRule="auto"/>
        <w:rPr>
          <w:rFonts w:eastAsia="Times New Roman" w:cs="Arial"/>
          <w:szCs w:val="24"/>
        </w:rPr>
      </w:pPr>
      <w:r w:rsidRPr="00B6672E">
        <w:rPr>
          <w:rFonts w:eastAsia="Times New Roman" w:cs="Arial"/>
          <w:color w:val="000000"/>
          <w:szCs w:val="24"/>
          <w:lang w:eastAsia="bg-BG"/>
        </w:rPr>
        <w:t xml:space="preserve">Преживяемостта на плъхове, на чиито майки е даван анастрозол в доза 0,02 </w:t>
      </w:r>
      <w:r w:rsidRPr="00B6672E">
        <w:rPr>
          <w:rFonts w:eastAsia="Times New Roman" w:cs="Arial"/>
          <w:color w:val="000000"/>
          <w:szCs w:val="24"/>
          <w:lang w:val="en-US"/>
        </w:rPr>
        <w:t>mg</w:t>
      </w:r>
      <w:r w:rsidRPr="00B6672E">
        <w:rPr>
          <w:rFonts w:eastAsia="Times New Roman" w:cs="Arial"/>
          <w:color w:val="000000"/>
          <w:szCs w:val="24"/>
          <w:lang w:val="ru-RU"/>
        </w:rPr>
        <w:t>/</w:t>
      </w:r>
      <w:r w:rsidRPr="00B6672E">
        <w:rPr>
          <w:rFonts w:eastAsia="Times New Roman" w:cs="Arial"/>
          <w:color w:val="000000"/>
          <w:szCs w:val="24"/>
          <w:lang w:val="en-US"/>
        </w:rPr>
        <w:t>kg</w:t>
      </w:r>
      <w:r w:rsidRPr="00B6672E">
        <w:rPr>
          <w:rFonts w:eastAsia="Times New Roman" w:cs="Arial"/>
          <w:color w:val="000000"/>
          <w:szCs w:val="24"/>
          <w:lang w:eastAsia="bg-BG"/>
        </w:rPr>
        <w:t>/дневно или по-висока (от 17-ия ден на бременността до 22-ия ден след раждането) е нарушена. Тези ефекти са свързани с фармакологичните ефекти на препарата върху родовата дейност. Не са наблюдавани нежелани ефекти върху поведението или възпроизводството на първото поколение, които биха могли да се отдадат на приложението на анастрозол при майката.</w:t>
      </w:r>
    </w:p>
    <w:p w14:paraId="4C5228B7" w14:textId="77777777" w:rsidR="00B6672E" w:rsidRPr="00B6672E" w:rsidRDefault="00B6672E" w:rsidP="00B6672E">
      <w:pPr>
        <w:spacing w:line="240" w:lineRule="auto"/>
        <w:rPr>
          <w:rFonts w:eastAsia="Times New Roman" w:cs="Arial"/>
          <w:color w:val="000000"/>
          <w:szCs w:val="24"/>
          <w:u w:val="single"/>
          <w:lang w:eastAsia="bg-BG"/>
        </w:rPr>
      </w:pPr>
    </w:p>
    <w:p w14:paraId="39C4035B" w14:textId="2D37AF70" w:rsidR="00B6672E" w:rsidRPr="00B6672E" w:rsidRDefault="00B6672E" w:rsidP="00B6672E">
      <w:pPr>
        <w:spacing w:line="240" w:lineRule="auto"/>
        <w:rPr>
          <w:rFonts w:eastAsia="Times New Roman" w:cs="Arial"/>
          <w:szCs w:val="24"/>
        </w:rPr>
      </w:pPr>
      <w:r w:rsidRPr="00B6672E">
        <w:rPr>
          <w:rFonts w:eastAsia="Times New Roman" w:cs="Arial"/>
          <w:color w:val="000000"/>
          <w:szCs w:val="24"/>
          <w:u w:val="single"/>
          <w:lang w:eastAsia="bg-BG"/>
        </w:rPr>
        <w:t>Канцерогенен потенциал</w:t>
      </w:r>
    </w:p>
    <w:p w14:paraId="5D958391" w14:textId="77777777" w:rsidR="00B6672E" w:rsidRPr="00B6672E" w:rsidRDefault="00B6672E" w:rsidP="00B6672E">
      <w:pPr>
        <w:spacing w:line="240" w:lineRule="auto"/>
        <w:rPr>
          <w:rFonts w:eastAsia="Times New Roman" w:cs="Arial"/>
          <w:color w:val="000000"/>
          <w:szCs w:val="24"/>
          <w:lang w:eastAsia="bg-BG"/>
        </w:rPr>
      </w:pPr>
    </w:p>
    <w:p w14:paraId="2FC186B6" w14:textId="06F0C3D5" w:rsidR="00B6672E" w:rsidRPr="00B6672E" w:rsidRDefault="00B6672E" w:rsidP="00B6672E">
      <w:pPr>
        <w:spacing w:line="240" w:lineRule="auto"/>
        <w:rPr>
          <w:rFonts w:eastAsia="Times New Roman" w:cs="Arial"/>
          <w:szCs w:val="24"/>
        </w:rPr>
      </w:pPr>
      <w:r w:rsidRPr="00B6672E">
        <w:rPr>
          <w:rFonts w:eastAsia="Times New Roman" w:cs="Arial"/>
          <w:color w:val="000000"/>
          <w:szCs w:val="24"/>
          <w:lang w:eastAsia="bg-BG"/>
        </w:rPr>
        <w:t xml:space="preserve">Двугодишно проучване за онкогенен потенциал при плъхове показа повишаване на честотата на развитие на чернодробни неоплазми и на стромални полипи на матката при женски плъхове и на аденоми на щитовидната жлеза при мъжки плъхове - само при високата доза (25 </w:t>
      </w:r>
      <w:r w:rsidRPr="00B6672E">
        <w:rPr>
          <w:rFonts w:eastAsia="Times New Roman" w:cs="Arial"/>
          <w:color w:val="000000"/>
          <w:szCs w:val="24"/>
          <w:lang w:val="en-US"/>
        </w:rPr>
        <w:t>mg</w:t>
      </w:r>
      <w:r w:rsidRPr="00B6672E">
        <w:rPr>
          <w:rFonts w:eastAsia="Times New Roman" w:cs="Arial"/>
          <w:color w:val="000000"/>
          <w:szCs w:val="24"/>
          <w:lang w:val="ru-RU"/>
        </w:rPr>
        <w:t>/</w:t>
      </w:r>
      <w:r w:rsidRPr="00B6672E">
        <w:rPr>
          <w:rFonts w:eastAsia="Times New Roman" w:cs="Arial"/>
          <w:color w:val="000000"/>
          <w:szCs w:val="24"/>
          <w:lang w:val="en-US"/>
        </w:rPr>
        <w:t>kg</w:t>
      </w:r>
      <w:r w:rsidRPr="00B6672E">
        <w:rPr>
          <w:rFonts w:eastAsia="Times New Roman" w:cs="Arial"/>
          <w:color w:val="000000"/>
          <w:szCs w:val="24"/>
          <w:lang w:eastAsia="bg-BG"/>
        </w:rPr>
        <w:t>/дневно). Тези промени настъпват при доза, която води до 100 пъти по-голяма експозиция от експозицията при терапевтични дози при хора и се смята, че нямат клинично значение за лечението на хора с анастрозол.</w:t>
      </w:r>
    </w:p>
    <w:p w14:paraId="2E59C6FD" w14:textId="77777777" w:rsidR="00B6672E" w:rsidRPr="00B6672E" w:rsidRDefault="00B6672E" w:rsidP="00B6672E">
      <w:pPr>
        <w:spacing w:line="240" w:lineRule="auto"/>
        <w:rPr>
          <w:rFonts w:eastAsia="Times New Roman" w:cs="Arial"/>
          <w:szCs w:val="24"/>
        </w:rPr>
      </w:pPr>
      <w:r w:rsidRPr="00B6672E">
        <w:rPr>
          <w:rFonts w:eastAsia="Times New Roman" w:cs="Arial"/>
          <w:color w:val="000000"/>
          <w:szCs w:val="24"/>
          <w:lang w:eastAsia="bg-BG"/>
        </w:rPr>
        <w:t>Двугодишно проучване за онкогенен потенциал при мишки показа индуциране на развитието на доброкачествени тумори на яйчника и промени в честотата на развитие на лимфоретикуларни неоплазии. Смята се, че това са специфични за мишки ефекти от инхибирането на ароматазата и нямат клинично значение за лечението на хора с анастрозол.</w:t>
      </w:r>
    </w:p>
    <w:p w14:paraId="4FB791BE" w14:textId="3FE43AFC" w:rsidR="00B6672E" w:rsidRPr="00B6672E" w:rsidRDefault="00B6672E" w:rsidP="00B6672E"/>
    <w:p w14:paraId="6A7820AB" w14:textId="606B9E57" w:rsidR="008A6AF2" w:rsidRDefault="002C50EE" w:rsidP="00395555">
      <w:pPr>
        <w:pStyle w:val="Heading1"/>
      </w:pPr>
      <w:r>
        <w:t>7. ПРИТЕЖАТЕЛ НА РАЗРЕШЕНИЕТО ЗА УПОТРЕБА</w:t>
      </w:r>
    </w:p>
    <w:p w14:paraId="1BA6531D" w14:textId="56CF3B67" w:rsidR="00B6672E" w:rsidRDefault="00B6672E" w:rsidP="00B6672E"/>
    <w:p w14:paraId="7F17D2E0" w14:textId="77777777" w:rsidR="00B6672E" w:rsidRPr="00B6672E" w:rsidRDefault="00B6672E" w:rsidP="00B6672E">
      <w:r w:rsidRPr="00B6672E">
        <w:rPr>
          <w:lang w:eastAsia="bg-BG"/>
        </w:rPr>
        <w:t>ФАРМАГРАТИС ООД</w:t>
      </w:r>
    </w:p>
    <w:p w14:paraId="5001E864" w14:textId="77777777" w:rsidR="00B6672E" w:rsidRPr="00B6672E" w:rsidRDefault="00B6672E" w:rsidP="00B6672E">
      <w:r w:rsidRPr="00B6672E">
        <w:rPr>
          <w:lang w:eastAsia="bg-BG"/>
        </w:rPr>
        <w:t>бул. „Пейо К. Яворов” №44, ет.1</w:t>
      </w:r>
    </w:p>
    <w:p w14:paraId="743D1878" w14:textId="77777777" w:rsidR="00B6672E" w:rsidRPr="00B6672E" w:rsidRDefault="00B6672E" w:rsidP="00B6672E">
      <w:r w:rsidRPr="00B6672E">
        <w:rPr>
          <w:lang w:eastAsia="bg-BG"/>
        </w:rPr>
        <w:t>София 1164</w:t>
      </w:r>
    </w:p>
    <w:p w14:paraId="6726BD46" w14:textId="66E0B31F" w:rsidR="00B6672E" w:rsidRPr="00B6672E" w:rsidRDefault="00B6672E" w:rsidP="00B6672E">
      <w:r w:rsidRPr="00B6672E">
        <w:rPr>
          <w:lang w:eastAsia="bg-BG"/>
        </w:rPr>
        <w:t>България</w:t>
      </w:r>
    </w:p>
    <w:p w14:paraId="7BA1BA64" w14:textId="55448C18" w:rsidR="00CF77F7" w:rsidRDefault="002C50EE" w:rsidP="004A448E">
      <w:pPr>
        <w:pStyle w:val="Heading1"/>
      </w:pPr>
      <w:r>
        <w:t>8. НОМЕР НА РАЗРЕШЕНИЕТО ЗА УПОТРЕБА</w:t>
      </w:r>
    </w:p>
    <w:p w14:paraId="508F3A54" w14:textId="21BD8D72" w:rsidR="00B6672E" w:rsidRPr="00B6672E" w:rsidRDefault="00B6672E" w:rsidP="00B6672E"/>
    <w:p w14:paraId="2CCB5832" w14:textId="1DCF0ADA" w:rsidR="007C605B" w:rsidRDefault="002C50EE" w:rsidP="007C605B">
      <w:pPr>
        <w:pStyle w:val="Heading1"/>
      </w:pPr>
      <w:r>
        <w:lastRenderedPageBreak/>
        <w:t>9. ДАТА НА ПЪРВО РАЗРЕШАВАНЕ/ПОДНОВЯВАНЕ НА РАЗРЕШЕНИЕТО ЗА УПОТРЕБА</w:t>
      </w:r>
    </w:p>
    <w:p w14:paraId="0E9D0119" w14:textId="0245C6D7" w:rsidR="002C50EE" w:rsidRDefault="002C50EE" w:rsidP="002C50EE">
      <w:pPr>
        <w:pStyle w:val="Heading1"/>
      </w:pPr>
      <w:r>
        <w:t>10. ДАТА НА АКТУАЛИЗИРАНЕ НА ТЕКСТА</w:t>
      </w:r>
    </w:p>
    <w:bookmarkEnd w:id="0"/>
    <w:p w14:paraId="43FB38A2" w14:textId="15EAFB88" w:rsidR="007C605B" w:rsidRPr="003E3126" w:rsidRDefault="00B6672E" w:rsidP="00B6672E">
      <w:r>
        <w:t>11/2020</w:t>
      </w:r>
      <w:bookmarkStart w:id="3" w:name="_GoBack"/>
      <w:bookmarkEnd w:id="3"/>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4"/>
  </w:num>
  <w:num w:numId="11">
    <w:abstractNumId w:val="31"/>
  </w:num>
  <w:num w:numId="12">
    <w:abstractNumId w:val="15"/>
  </w:num>
  <w:num w:numId="13">
    <w:abstractNumId w:val="20"/>
  </w:num>
  <w:num w:numId="14">
    <w:abstractNumId w:val="13"/>
  </w:num>
  <w:num w:numId="15">
    <w:abstractNumId w:val="30"/>
  </w:num>
  <w:num w:numId="16">
    <w:abstractNumId w:val="11"/>
  </w:num>
  <w:num w:numId="17">
    <w:abstractNumId w:val="25"/>
  </w:num>
  <w:num w:numId="18">
    <w:abstractNumId w:val="8"/>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2"/>
  </w:num>
  <w:num w:numId="28">
    <w:abstractNumId w:val="6"/>
  </w:num>
  <w:num w:numId="29">
    <w:abstractNumId w:val="21"/>
  </w:num>
  <w:num w:numId="30">
    <w:abstractNumId w:val="35"/>
  </w:num>
  <w:num w:numId="31">
    <w:abstractNumId w:val="5"/>
  </w:num>
  <w:num w:numId="32">
    <w:abstractNumId w:val="34"/>
  </w:num>
  <w:num w:numId="33">
    <w:abstractNumId w:val="29"/>
  </w:num>
  <w:num w:numId="34">
    <w:abstractNumId w:val="33"/>
  </w:num>
  <w:num w:numId="35">
    <w:abstractNumId w:val="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9773E4"/>
    <w:rsid w:val="009B171C"/>
    <w:rsid w:val="009F1313"/>
    <w:rsid w:val="00A20351"/>
    <w:rsid w:val="00A65A81"/>
    <w:rsid w:val="00AA23EC"/>
    <w:rsid w:val="00AC63CE"/>
    <w:rsid w:val="00AE2107"/>
    <w:rsid w:val="00B275A8"/>
    <w:rsid w:val="00B6672E"/>
    <w:rsid w:val="00BB0630"/>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5510</Words>
  <Characters>31413</Characters>
  <Application>Microsoft Office Word</Application>
  <DocSecurity>0</DocSecurity>
  <Lines>261</Lines>
  <Paragraphs>73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2022-06-16T12:30:00Z</dcterms:created>
  <dcterms:modified xsi:type="dcterms:W3CDTF">2022-06-16T12:30:00Z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