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3B239815" w14:textId="0E4D77E1" w:rsidR="00AA23EC" w:rsidRDefault="00DD466D" w:rsidP="00DD466D">
      <w:pPr>
        <w:pStyle w:val="Heading1"/>
      </w:pPr>
      <w:r>
        <w:t>1.ИМЕ НА ЛЕКАРСТВЕНИЯ ПРОДУКТ</w:t>
      </w:r>
    </w:p>
    <w:p w14:paraId="4CFC9B20" w14:textId="11D7F0CC" w:rsidR="00D142F0" w:rsidRDefault="00D142F0" w:rsidP="00D142F0"/>
    <w:p w14:paraId="75B99324" w14:textId="77777777" w:rsidR="00D142F0" w:rsidRPr="00D142F0" w:rsidRDefault="00D142F0" w:rsidP="00D142F0">
      <w:pPr>
        <w:rPr>
          <w:sz w:val="24"/>
          <w:szCs w:val="24"/>
        </w:rPr>
      </w:pPr>
      <w:r w:rsidRPr="00D142F0">
        <w:rPr>
          <w:b/>
          <w:bCs/>
          <w:lang w:eastAsia="bg-BG"/>
        </w:rPr>
        <w:t xml:space="preserve">Андрокур </w:t>
      </w:r>
      <w:r w:rsidRPr="00D142F0">
        <w:rPr>
          <w:lang w:eastAsia="bg-BG"/>
        </w:rPr>
        <w:t xml:space="preserve">50 </w:t>
      </w:r>
      <w:r w:rsidRPr="00D142F0">
        <w:rPr>
          <w:lang w:val="en-US"/>
        </w:rPr>
        <w:t xml:space="preserve">mg </w:t>
      </w:r>
      <w:r w:rsidRPr="00D142F0">
        <w:rPr>
          <w:lang w:eastAsia="bg-BG"/>
        </w:rPr>
        <w:t>таблетки</w:t>
      </w:r>
    </w:p>
    <w:p w14:paraId="243D713E" w14:textId="6B4ED186" w:rsidR="00D142F0" w:rsidRPr="00D142F0" w:rsidRDefault="00D142F0" w:rsidP="00D142F0">
      <w:proofErr w:type="spellStart"/>
      <w:r w:rsidRPr="00D142F0">
        <w:rPr>
          <w:b/>
          <w:bCs/>
          <w:lang w:val="en-US"/>
        </w:rPr>
        <w:t>Androcur</w:t>
      </w:r>
      <w:proofErr w:type="spellEnd"/>
      <w:r w:rsidRPr="00D142F0">
        <w:rPr>
          <w:b/>
          <w:bCs/>
          <w:lang w:val="en-US"/>
        </w:rPr>
        <w:t xml:space="preserve"> </w:t>
      </w:r>
      <w:r w:rsidRPr="00D142F0">
        <w:rPr>
          <w:lang w:eastAsia="bg-BG"/>
        </w:rPr>
        <w:t xml:space="preserve">50 </w:t>
      </w:r>
      <w:r w:rsidRPr="00D142F0">
        <w:rPr>
          <w:lang w:val="en-US"/>
        </w:rPr>
        <w:t>mg tablets</w:t>
      </w:r>
    </w:p>
    <w:p w14:paraId="0A368469" w14:textId="49C8EEDA" w:rsidR="00C0049F" w:rsidRDefault="00DD466D" w:rsidP="009F1313">
      <w:pPr>
        <w:pStyle w:val="Heading1"/>
      </w:pPr>
      <w:r>
        <w:t>2. КАЧЕСТВЕН И КОЛИЧЕСТВЕН СЪСТАВ</w:t>
      </w:r>
    </w:p>
    <w:p w14:paraId="3C7FEDB3" w14:textId="12CEB0F7" w:rsidR="00D142F0" w:rsidRDefault="00D142F0" w:rsidP="00D142F0"/>
    <w:p w14:paraId="625350AE" w14:textId="77777777" w:rsidR="00D142F0" w:rsidRPr="00D142F0" w:rsidRDefault="00D142F0" w:rsidP="00D142F0">
      <w:pPr>
        <w:rPr>
          <w:sz w:val="24"/>
          <w:szCs w:val="24"/>
        </w:rPr>
      </w:pPr>
      <w:r w:rsidRPr="00D142F0">
        <w:rPr>
          <w:lang w:eastAsia="bg-BG"/>
        </w:rPr>
        <w:t xml:space="preserve">Всяка таблетка съдържа 50 </w:t>
      </w:r>
      <w:r w:rsidRPr="00D142F0">
        <w:rPr>
          <w:lang w:val="en-US"/>
        </w:rPr>
        <w:t>mg</w:t>
      </w:r>
      <w:r w:rsidRPr="00D142F0">
        <w:t xml:space="preserve"> </w:t>
      </w:r>
      <w:r w:rsidRPr="00D142F0">
        <w:rPr>
          <w:lang w:eastAsia="bg-BG"/>
        </w:rPr>
        <w:t xml:space="preserve">ципротеронов ацетат </w:t>
      </w:r>
      <w:r w:rsidRPr="00D142F0">
        <w:t>(</w:t>
      </w:r>
      <w:proofErr w:type="spellStart"/>
      <w:r w:rsidRPr="00D142F0">
        <w:rPr>
          <w:lang w:val="en-US"/>
        </w:rPr>
        <w:t>cyproterone</w:t>
      </w:r>
      <w:proofErr w:type="spellEnd"/>
      <w:r w:rsidRPr="00D142F0">
        <w:t xml:space="preserve"> </w:t>
      </w:r>
      <w:r w:rsidRPr="00D142F0">
        <w:rPr>
          <w:lang w:val="en-US"/>
        </w:rPr>
        <w:t>acetate</w:t>
      </w:r>
      <w:r w:rsidRPr="00D142F0">
        <w:t>).</w:t>
      </w:r>
    </w:p>
    <w:p w14:paraId="30A5D058" w14:textId="77777777" w:rsidR="00D142F0" w:rsidRDefault="00D142F0" w:rsidP="00D142F0">
      <w:pPr>
        <w:rPr>
          <w:u w:val="single"/>
          <w:lang w:eastAsia="bg-BG"/>
        </w:rPr>
      </w:pPr>
    </w:p>
    <w:p w14:paraId="314B163A" w14:textId="28A081F1" w:rsidR="00D142F0" w:rsidRPr="00D142F0" w:rsidRDefault="00D142F0" w:rsidP="00D142F0">
      <w:pPr>
        <w:rPr>
          <w:sz w:val="24"/>
          <w:szCs w:val="24"/>
        </w:rPr>
      </w:pPr>
      <w:r w:rsidRPr="00D142F0">
        <w:rPr>
          <w:u w:val="single"/>
          <w:lang w:eastAsia="bg-BG"/>
        </w:rPr>
        <w:t>Помощно(и) вещество(а) с известно действие</w:t>
      </w:r>
      <w:r w:rsidRPr="00D142F0">
        <w:rPr>
          <w:lang w:eastAsia="bg-BG"/>
        </w:rPr>
        <w:t xml:space="preserve">: 105,5 </w:t>
      </w:r>
      <w:r w:rsidRPr="00D142F0">
        <w:rPr>
          <w:lang w:val="en-US"/>
        </w:rPr>
        <w:t>mg</w:t>
      </w:r>
      <w:r w:rsidRPr="00D142F0">
        <w:rPr>
          <w:lang w:val="ru-RU"/>
        </w:rPr>
        <w:t xml:space="preserve"> </w:t>
      </w:r>
      <w:r w:rsidRPr="00D142F0">
        <w:rPr>
          <w:lang w:eastAsia="bg-BG"/>
        </w:rPr>
        <w:t>лактоза монохидрат във всяка таблетка (вж. точка Специални предупреждения и предпазни мерки при употреба).</w:t>
      </w:r>
    </w:p>
    <w:p w14:paraId="1E67AB68" w14:textId="77777777" w:rsidR="00D142F0" w:rsidRPr="00D142F0" w:rsidRDefault="00D142F0" w:rsidP="00D142F0"/>
    <w:p w14:paraId="614984C4" w14:textId="643698FB" w:rsidR="008A6AF2" w:rsidRDefault="00DD466D" w:rsidP="002C50EE">
      <w:pPr>
        <w:pStyle w:val="Heading1"/>
      </w:pPr>
      <w:r>
        <w:t>3. ЛЕКАРСТВЕНА ФОРМА</w:t>
      </w:r>
    </w:p>
    <w:p w14:paraId="1D97CD4C" w14:textId="63AB969A" w:rsidR="00D142F0" w:rsidRDefault="00D142F0" w:rsidP="00D142F0"/>
    <w:p w14:paraId="288904B6" w14:textId="77777777" w:rsidR="00D142F0" w:rsidRPr="00D142F0" w:rsidRDefault="00D142F0" w:rsidP="00D142F0">
      <w:pPr>
        <w:rPr>
          <w:sz w:val="24"/>
          <w:szCs w:val="24"/>
        </w:rPr>
      </w:pPr>
      <w:r w:rsidRPr="00D142F0">
        <w:rPr>
          <w:lang w:eastAsia="bg-BG"/>
        </w:rPr>
        <w:t>Таблетки.</w:t>
      </w:r>
    </w:p>
    <w:p w14:paraId="2B8679F5" w14:textId="77777777" w:rsidR="00D142F0" w:rsidRPr="00D142F0" w:rsidRDefault="00D142F0" w:rsidP="00D142F0">
      <w:pPr>
        <w:rPr>
          <w:sz w:val="24"/>
          <w:szCs w:val="24"/>
        </w:rPr>
      </w:pPr>
      <w:r w:rsidRPr="00D142F0">
        <w:rPr>
          <w:lang w:eastAsia="bg-BG"/>
        </w:rPr>
        <w:t xml:space="preserve">Бели до бледо жълти таблетки с делителна ивица от едната страна и гравирани с </w:t>
      </w:r>
      <w:r w:rsidRPr="00D142F0">
        <w:rPr>
          <w:lang w:val="ru-RU"/>
        </w:rPr>
        <w:t>“</w:t>
      </w:r>
      <w:r w:rsidRPr="00D142F0">
        <w:rPr>
          <w:lang w:val="en-US"/>
        </w:rPr>
        <w:t>BV</w:t>
      </w:r>
      <w:r w:rsidRPr="00D142F0">
        <w:rPr>
          <w:lang w:val="ru-RU"/>
        </w:rPr>
        <w:t xml:space="preserve">” </w:t>
      </w:r>
      <w:r w:rsidRPr="00D142F0">
        <w:rPr>
          <w:lang w:eastAsia="bg-BG"/>
        </w:rPr>
        <w:t>в правилен шестоъгълник от другата страна. Таблетката може да бъде разделена на две равни половини.</w:t>
      </w:r>
    </w:p>
    <w:p w14:paraId="48BD826A" w14:textId="77777777" w:rsidR="00D142F0" w:rsidRPr="00D142F0" w:rsidRDefault="00D142F0" w:rsidP="00D142F0"/>
    <w:p w14:paraId="490FC2C4" w14:textId="32682B15" w:rsidR="002C50EE" w:rsidRDefault="002C50EE" w:rsidP="002C50EE">
      <w:pPr>
        <w:pStyle w:val="Heading1"/>
      </w:pPr>
      <w:r>
        <w:t>4. КЛИНИЧНИ ДАННИ</w:t>
      </w:r>
    </w:p>
    <w:p w14:paraId="08CF5669" w14:textId="61017C8D" w:rsidR="00426E5F" w:rsidRDefault="002C50EE" w:rsidP="00A65A81">
      <w:pPr>
        <w:pStyle w:val="Heading2"/>
      </w:pPr>
      <w:r>
        <w:t>4.1. Терапевтични показания</w:t>
      </w:r>
    </w:p>
    <w:p w14:paraId="43D6BFAD" w14:textId="542DEE1A" w:rsidR="00D142F0" w:rsidRDefault="00D142F0" w:rsidP="00D142F0">
      <w:pPr>
        <w:pStyle w:val="Heading2"/>
      </w:pPr>
      <w:r>
        <w:t>4.1.1 Показания при жени</w:t>
      </w:r>
    </w:p>
    <w:p w14:paraId="011444A6" w14:textId="019A48AF" w:rsidR="00D142F0" w:rsidRDefault="00D142F0" w:rsidP="00D142F0"/>
    <w:p w14:paraId="01FE5A08" w14:textId="77777777" w:rsidR="00D142F0" w:rsidRPr="00D142F0" w:rsidRDefault="00D142F0" w:rsidP="00D142F0">
      <w:pPr>
        <w:rPr>
          <w:sz w:val="24"/>
          <w:szCs w:val="24"/>
        </w:rPr>
      </w:pPr>
      <w:r w:rsidRPr="00D142F0">
        <w:rPr>
          <w:lang w:eastAsia="bg-BG"/>
        </w:rPr>
        <w:t>Тежки явления на андрогенизиране, например: много тежък хирзутизъм, тежка андрогенна алопеция, често придружени от тежки форми на акне и/или себорея.</w:t>
      </w:r>
    </w:p>
    <w:p w14:paraId="16E313C8" w14:textId="00CB7E40" w:rsidR="00D142F0" w:rsidRDefault="00D142F0" w:rsidP="00D142F0">
      <w:pPr>
        <w:rPr>
          <w:lang w:eastAsia="bg-BG"/>
        </w:rPr>
      </w:pPr>
      <w:r w:rsidRPr="00D142F0">
        <w:rPr>
          <w:lang w:eastAsia="bg-BG"/>
        </w:rPr>
        <w:t xml:space="preserve">При тежки явления на андрогенизиране, например: много тежък хирзутизъм, тежка андрогенна алопеция, често придружени от тежки форми на акне и/или себорея ципротеронов ацетат 50 </w:t>
      </w:r>
      <w:r w:rsidRPr="00D142F0">
        <w:rPr>
          <w:lang w:val="en-US"/>
        </w:rPr>
        <w:t>mg</w:t>
      </w:r>
      <w:r w:rsidRPr="00D142F0">
        <w:rPr>
          <w:lang w:val="ru-RU"/>
        </w:rPr>
        <w:t xml:space="preserve"> </w:t>
      </w:r>
      <w:r w:rsidRPr="00D142F0">
        <w:rPr>
          <w:lang w:eastAsia="bg-BG"/>
        </w:rPr>
        <w:t>е показан, когато не са постигнати задоволителни резултати с продукти, съдържащи ниски дози ципротерон или при използване на други терапевтични възможности.</w:t>
      </w:r>
    </w:p>
    <w:p w14:paraId="19B715F9" w14:textId="1FD2B831" w:rsidR="00D142F0" w:rsidRDefault="00D142F0" w:rsidP="00D142F0">
      <w:pPr>
        <w:rPr>
          <w:lang w:eastAsia="bg-BG"/>
        </w:rPr>
      </w:pPr>
    </w:p>
    <w:p w14:paraId="71F100C2" w14:textId="3D4494EB" w:rsidR="00D142F0" w:rsidRDefault="00D142F0" w:rsidP="008347B7">
      <w:pPr>
        <w:pStyle w:val="Heading2"/>
      </w:pPr>
      <w:r>
        <w:rPr>
          <w:lang w:eastAsia="bg-BG"/>
        </w:rPr>
        <w:t>4.1.2</w:t>
      </w:r>
      <w:r w:rsidR="008347B7">
        <w:rPr>
          <w:lang w:eastAsia="bg-BG"/>
        </w:rPr>
        <w:t xml:space="preserve"> </w:t>
      </w:r>
      <w:bookmarkStart w:id="1" w:name="bookmark0"/>
      <w:r w:rsidR="008347B7">
        <w:t xml:space="preserve"> Показания при мъже</w:t>
      </w:r>
      <w:bookmarkEnd w:id="1"/>
    </w:p>
    <w:p w14:paraId="0B11D6CA" w14:textId="4669A793" w:rsidR="008347B7" w:rsidRDefault="008347B7" w:rsidP="008347B7"/>
    <w:p w14:paraId="51846FCC" w14:textId="77777777" w:rsidR="008347B7" w:rsidRPr="008347B7" w:rsidRDefault="008347B7" w:rsidP="008347B7">
      <w:pPr>
        <w:rPr>
          <w:sz w:val="24"/>
          <w:szCs w:val="24"/>
        </w:rPr>
      </w:pPr>
      <w:r w:rsidRPr="008347B7">
        <w:rPr>
          <w:lang w:eastAsia="bg-BG"/>
        </w:rPr>
        <w:t>Потискане на либидото при сексуални отклонения.</w:t>
      </w:r>
    </w:p>
    <w:p w14:paraId="60C1BDAC" w14:textId="77777777" w:rsidR="008347B7" w:rsidRPr="008347B7" w:rsidRDefault="008347B7" w:rsidP="008347B7">
      <w:pPr>
        <w:rPr>
          <w:sz w:val="24"/>
          <w:szCs w:val="24"/>
        </w:rPr>
      </w:pPr>
      <w:r w:rsidRPr="008347B7">
        <w:rPr>
          <w:lang w:eastAsia="bg-BG"/>
        </w:rPr>
        <w:t xml:space="preserve">За потискане на либидото при сексуални отклонения при мъже, ципротеронов ацетат 50 </w:t>
      </w:r>
      <w:r w:rsidRPr="008347B7">
        <w:rPr>
          <w:lang w:val="en-US"/>
        </w:rPr>
        <w:t>mg</w:t>
      </w:r>
      <w:r w:rsidRPr="008347B7">
        <w:rPr>
          <w:lang w:val="ru-RU"/>
        </w:rPr>
        <w:t xml:space="preserve"> </w:t>
      </w:r>
      <w:r w:rsidRPr="008347B7">
        <w:rPr>
          <w:lang w:eastAsia="bg-BG"/>
        </w:rPr>
        <w:t>може да се използва, когато други интервенции се считат за неподходящи.</w:t>
      </w:r>
    </w:p>
    <w:p w14:paraId="7C3758A5" w14:textId="77777777" w:rsidR="008347B7" w:rsidRDefault="008347B7" w:rsidP="008347B7">
      <w:pPr>
        <w:rPr>
          <w:sz w:val="24"/>
          <w:szCs w:val="24"/>
        </w:rPr>
      </w:pPr>
    </w:p>
    <w:p w14:paraId="255B7AE7" w14:textId="35C25B5A" w:rsidR="008347B7" w:rsidRPr="008347B7" w:rsidRDefault="008347B7" w:rsidP="008347B7">
      <w:pPr>
        <w:rPr>
          <w:sz w:val="24"/>
          <w:szCs w:val="24"/>
        </w:rPr>
      </w:pPr>
      <w:r w:rsidRPr="008347B7">
        <w:rPr>
          <w:lang w:eastAsia="bg-BG"/>
        </w:rPr>
        <w:t>Антиандрогенно лечение на неоперабилен карцином на простатата.</w:t>
      </w:r>
    </w:p>
    <w:p w14:paraId="5E4E81FA" w14:textId="77777777" w:rsidR="008347B7" w:rsidRPr="008347B7" w:rsidRDefault="008347B7" w:rsidP="008347B7"/>
    <w:p w14:paraId="28E43CAE" w14:textId="7250A0AF" w:rsidR="00426E5F" w:rsidRDefault="002C50EE" w:rsidP="00A65A81">
      <w:pPr>
        <w:pStyle w:val="Heading2"/>
      </w:pPr>
      <w:r>
        <w:lastRenderedPageBreak/>
        <w:t>4.2. Дозировка и начин на приложение</w:t>
      </w:r>
    </w:p>
    <w:p w14:paraId="66DB540C" w14:textId="073446FA" w:rsidR="008347B7" w:rsidRDefault="008347B7" w:rsidP="008347B7">
      <w:pPr>
        <w:pStyle w:val="Heading2"/>
        <w:rPr>
          <w:rFonts w:eastAsia="Times New Roman"/>
          <w:lang w:eastAsia="bg-BG"/>
        </w:rPr>
      </w:pPr>
      <w:r>
        <w:t xml:space="preserve">4.2.1 </w:t>
      </w:r>
      <w:r w:rsidRPr="008347B7">
        <w:rPr>
          <w:rFonts w:eastAsia="Times New Roman"/>
          <w:lang w:eastAsia="bg-BG"/>
        </w:rPr>
        <w:t>Дозиране при жени</w:t>
      </w:r>
    </w:p>
    <w:p w14:paraId="7B938689" w14:textId="659D2BEE" w:rsidR="008347B7" w:rsidRDefault="008347B7" w:rsidP="008347B7">
      <w:pPr>
        <w:rPr>
          <w:lang w:eastAsia="bg-BG"/>
        </w:rPr>
      </w:pPr>
    </w:p>
    <w:p w14:paraId="777CD2C3" w14:textId="77777777" w:rsidR="008347B7" w:rsidRPr="008347B7" w:rsidRDefault="008347B7" w:rsidP="008347B7">
      <w:pPr>
        <w:spacing w:line="240" w:lineRule="auto"/>
        <w:rPr>
          <w:rFonts w:eastAsia="Times New Roman" w:cs="Arial"/>
        </w:rPr>
      </w:pPr>
      <w:r w:rsidRPr="008347B7">
        <w:rPr>
          <w:rFonts w:eastAsia="Times New Roman" w:cs="Arial"/>
          <w:i/>
          <w:iCs/>
          <w:color w:val="000000"/>
          <w:lang w:eastAsia="bg-BG"/>
        </w:rPr>
        <w:t>Начин на приложение</w:t>
      </w:r>
    </w:p>
    <w:p w14:paraId="5A8EA09A" w14:textId="77777777" w:rsidR="008347B7" w:rsidRPr="008347B7" w:rsidRDefault="008347B7" w:rsidP="008347B7">
      <w:pPr>
        <w:spacing w:line="240" w:lineRule="auto"/>
        <w:rPr>
          <w:rFonts w:eastAsia="Times New Roman" w:cs="Arial"/>
          <w:color w:val="000000"/>
          <w:lang w:eastAsia="bg-BG"/>
        </w:rPr>
      </w:pPr>
    </w:p>
    <w:p w14:paraId="0AAE740F" w14:textId="5E9A251D" w:rsidR="008347B7" w:rsidRPr="008347B7" w:rsidRDefault="008347B7" w:rsidP="008347B7">
      <w:pPr>
        <w:spacing w:line="240" w:lineRule="auto"/>
        <w:rPr>
          <w:rFonts w:eastAsia="Times New Roman" w:cs="Arial"/>
        </w:rPr>
      </w:pPr>
      <w:r w:rsidRPr="008347B7">
        <w:rPr>
          <w:rFonts w:eastAsia="Times New Roman" w:cs="Arial"/>
          <w:color w:val="000000"/>
          <w:lang w:eastAsia="bg-BG"/>
        </w:rPr>
        <w:t>Перорално приложение</w:t>
      </w:r>
    </w:p>
    <w:p w14:paraId="139598BA" w14:textId="77777777" w:rsidR="008347B7" w:rsidRPr="008347B7" w:rsidRDefault="008347B7" w:rsidP="008347B7">
      <w:pPr>
        <w:spacing w:line="240" w:lineRule="auto"/>
        <w:rPr>
          <w:rFonts w:eastAsia="Times New Roman" w:cs="Arial"/>
        </w:rPr>
      </w:pPr>
    </w:p>
    <w:p w14:paraId="64CDB53F" w14:textId="334906C6" w:rsidR="008347B7" w:rsidRPr="008347B7" w:rsidRDefault="008347B7" w:rsidP="008347B7">
      <w:pPr>
        <w:spacing w:line="240" w:lineRule="auto"/>
        <w:rPr>
          <w:rFonts w:eastAsia="Times New Roman" w:cs="Arial"/>
        </w:rPr>
      </w:pPr>
      <w:r w:rsidRPr="008347B7">
        <w:rPr>
          <w:rFonts w:eastAsia="Times New Roman" w:cs="Arial"/>
          <w:i/>
          <w:iCs/>
          <w:color w:val="000000"/>
          <w:lang w:eastAsia="bg-BG"/>
        </w:rPr>
        <w:t>Дозов режим</w:t>
      </w:r>
    </w:p>
    <w:p w14:paraId="5E863B34" w14:textId="77777777" w:rsidR="008347B7" w:rsidRPr="008347B7" w:rsidRDefault="008347B7" w:rsidP="008347B7">
      <w:pPr>
        <w:rPr>
          <w:rFonts w:eastAsia="Times New Roman" w:cs="Arial"/>
          <w:color w:val="000000"/>
          <w:lang w:eastAsia="bg-BG"/>
        </w:rPr>
      </w:pPr>
    </w:p>
    <w:p w14:paraId="59AB3488" w14:textId="2CB41055" w:rsidR="008347B7" w:rsidRPr="008347B7" w:rsidRDefault="008347B7" w:rsidP="008347B7">
      <w:pPr>
        <w:rPr>
          <w:rFonts w:eastAsia="Times New Roman" w:cs="Arial"/>
          <w:color w:val="000000"/>
          <w:lang w:eastAsia="bg-BG"/>
        </w:rPr>
      </w:pPr>
      <w:r w:rsidRPr="008347B7">
        <w:rPr>
          <w:rFonts w:eastAsia="Times New Roman" w:cs="Arial"/>
          <w:color w:val="000000"/>
          <w:lang w:eastAsia="bg-BG"/>
        </w:rPr>
        <w:t>Таблетките трябва да се приемат с малко течност след хранене.</w:t>
      </w:r>
    </w:p>
    <w:p w14:paraId="12E3654C" w14:textId="38B1D4F9" w:rsidR="008347B7" w:rsidRPr="008347B7" w:rsidRDefault="008347B7" w:rsidP="008347B7">
      <w:pPr>
        <w:rPr>
          <w:rFonts w:eastAsia="Times New Roman" w:cs="Arial"/>
          <w:color w:val="000000"/>
          <w:lang w:eastAsia="bg-BG"/>
        </w:rPr>
      </w:pPr>
    </w:p>
    <w:p w14:paraId="4F1FA469" w14:textId="77777777" w:rsidR="008347B7" w:rsidRPr="008347B7" w:rsidRDefault="008347B7" w:rsidP="008347B7">
      <w:pPr>
        <w:spacing w:line="240" w:lineRule="auto"/>
        <w:rPr>
          <w:rFonts w:eastAsia="Times New Roman" w:cs="Arial"/>
        </w:rPr>
      </w:pPr>
      <w:r w:rsidRPr="008347B7">
        <w:rPr>
          <w:rFonts w:eastAsia="Times New Roman" w:cs="Arial"/>
          <w:i/>
          <w:iCs/>
          <w:color w:val="000000"/>
          <w:lang w:eastAsia="bg-BG"/>
        </w:rPr>
        <w:t>Жени в детеродна възраст</w:t>
      </w:r>
    </w:p>
    <w:p w14:paraId="54D53802" w14:textId="77777777" w:rsidR="008347B7" w:rsidRPr="008347B7" w:rsidRDefault="008347B7" w:rsidP="008347B7">
      <w:pPr>
        <w:spacing w:line="240" w:lineRule="auto"/>
        <w:rPr>
          <w:rFonts w:eastAsia="Times New Roman" w:cs="Arial"/>
          <w:color w:val="000000"/>
          <w:lang w:eastAsia="bg-BG"/>
        </w:rPr>
      </w:pPr>
    </w:p>
    <w:p w14:paraId="0BF32AA9" w14:textId="58ABE0A0" w:rsidR="008347B7" w:rsidRPr="008347B7" w:rsidRDefault="008347B7" w:rsidP="008347B7">
      <w:pPr>
        <w:spacing w:line="240" w:lineRule="auto"/>
        <w:rPr>
          <w:rFonts w:eastAsia="Times New Roman" w:cs="Arial"/>
        </w:rPr>
      </w:pPr>
      <w:r w:rsidRPr="008347B7">
        <w:rPr>
          <w:rFonts w:eastAsia="Times New Roman" w:cs="Arial"/>
          <w:color w:val="000000"/>
          <w:lang w:eastAsia="bg-BG"/>
        </w:rPr>
        <w:t>Трябва да направите преоценка на ползата и риска от лечението с Андрокур в началото на менопаузата.</w:t>
      </w:r>
    </w:p>
    <w:p w14:paraId="0AB8590F" w14:textId="77777777" w:rsidR="008347B7" w:rsidRPr="008347B7" w:rsidRDefault="008347B7" w:rsidP="008347B7">
      <w:pPr>
        <w:spacing w:line="240" w:lineRule="auto"/>
        <w:rPr>
          <w:rFonts w:eastAsia="Times New Roman" w:cs="Arial"/>
        </w:rPr>
      </w:pPr>
      <w:r w:rsidRPr="008347B7">
        <w:rPr>
          <w:rFonts w:eastAsia="Times New Roman" w:cs="Arial"/>
          <w:color w:val="000000"/>
          <w:lang w:eastAsia="bg-BG"/>
        </w:rPr>
        <w:t xml:space="preserve">Дългосрочната употреба (години) на Андрокур трябва да се избягва (вижте точка </w:t>
      </w:r>
      <w:r w:rsidRPr="008347B7">
        <w:rPr>
          <w:rFonts w:eastAsia="Times New Roman" w:cs="Arial"/>
          <w:i/>
          <w:iCs/>
          <w:color w:val="000000"/>
          <w:lang w:eastAsia="bg-BG"/>
        </w:rPr>
        <w:t>4.4</w:t>
      </w:r>
      <w:r w:rsidRPr="008347B7">
        <w:rPr>
          <w:rFonts w:eastAsia="Times New Roman" w:cs="Arial"/>
          <w:color w:val="000000"/>
          <w:lang w:eastAsia="bg-BG"/>
        </w:rPr>
        <w:t xml:space="preserve"> Менингиома).</w:t>
      </w:r>
    </w:p>
    <w:p w14:paraId="33BB0AE8" w14:textId="77777777" w:rsidR="008347B7" w:rsidRPr="008347B7" w:rsidRDefault="008347B7" w:rsidP="008347B7">
      <w:pPr>
        <w:spacing w:line="240" w:lineRule="auto"/>
        <w:rPr>
          <w:rFonts w:eastAsia="Times New Roman" w:cs="Arial"/>
          <w:color w:val="000000"/>
          <w:lang w:eastAsia="bg-BG"/>
        </w:rPr>
      </w:pPr>
    </w:p>
    <w:p w14:paraId="5D3D48BF" w14:textId="12D2956C" w:rsidR="008347B7" w:rsidRPr="008347B7" w:rsidRDefault="008347B7" w:rsidP="008347B7">
      <w:pPr>
        <w:spacing w:line="240" w:lineRule="auto"/>
        <w:rPr>
          <w:rFonts w:eastAsia="Times New Roman" w:cs="Arial"/>
        </w:rPr>
      </w:pPr>
      <w:r w:rsidRPr="008347B7">
        <w:rPr>
          <w:rFonts w:eastAsia="Times New Roman" w:cs="Arial"/>
          <w:color w:val="000000"/>
          <w:lang w:eastAsia="bg-BG"/>
        </w:rPr>
        <w:t>Бременните жени не трябва да употребяват Андрокур. Преди започване на лечението е необходимо да се изключи евентуална бременност.</w:t>
      </w:r>
    </w:p>
    <w:p w14:paraId="131CBF5A" w14:textId="77777777" w:rsidR="008347B7" w:rsidRPr="008347B7" w:rsidRDefault="008347B7" w:rsidP="008347B7">
      <w:pPr>
        <w:spacing w:line="240" w:lineRule="auto"/>
        <w:rPr>
          <w:rFonts w:eastAsia="Times New Roman" w:cs="Arial"/>
        </w:rPr>
      </w:pPr>
      <w:r w:rsidRPr="008347B7">
        <w:rPr>
          <w:rFonts w:eastAsia="Times New Roman" w:cs="Arial"/>
          <w:color w:val="000000"/>
          <w:lang w:eastAsia="bg-BG"/>
        </w:rPr>
        <w:t>При жени в детеродна възраст лечението започва от първия ден на цикъла (първия ден на кървене). Само жените с аменорея могат да започнат лечението веднага. В такъв случай денят, в който започва лечението, се счита за първи ден на цикъла и по-нататък се спазват следните препоръки.</w:t>
      </w:r>
    </w:p>
    <w:p w14:paraId="50E58BC1" w14:textId="77777777" w:rsidR="008347B7" w:rsidRPr="008347B7" w:rsidRDefault="008347B7" w:rsidP="008347B7">
      <w:pPr>
        <w:spacing w:line="240" w:lineRule="auto"/>
        <w:rPr>
          <w:rFonts w:eastAsia="Times New Roman" w:cs="Arial"/>
        </w:rPr>
      </w:pPr>
      <w:r w:rsidRPr="008347B7">
        <w:rPr>
          <w:rFonts w:eastAsia="Times New Roman" w:cs="Arial"/>
          <w:color w:val="000000"/>
          <w:lang w:eastAsia="bg-BG"/>
        </w:rPr>
        <w:t xml:space="preserve">От 1-ия до 10-ия ден на цикъла (10 дни) се приемат по 2 таблетки Андрокур 50 </w:t>
      </w:r>
      <w:r w:rsidRPr="008347B7">
        <w:rPr>
          <w:rFonts w:eastAsia="Times New Roman" w:cs="Arial"/>
          <w:color w:val="000000"/>
          <w:lang w:val="en-US"/>
        </w:rPr>
        <w:t>mg</w:t>
      </w:r>
      <w:r w:rsidRPr="008347B7">
        <w:rPr>
          <w:rFonts w:eastAsia="Times New Roman" w:cs="Arial"/>
          <w:color w:val="000000"/>
          <w:lang w:val="ru-RU"/>
        </w:rPr>
        <w:t xml:space="preserve"> </w:t>
      </w:r>
      <w:r w:rsidRPr="008347B7">
        <w:rPr>
          <w:rFonts w:eastAsia="Times New Roman" w:cs="Arial"/>
          <w:color w:val="000000"/>
          <w:lang w:eastAsia="bg-BG"/>
        </w:rPr>
        <w:t>дневно. Освен това се приема лекарствен продукт, съдържащ прогестоген и естроген, напр. от 1-ия до 21-ия ден на цикъла по 1 таблетка Диане 35 дневно, за да се получи необходимата контрацептивна защита и да се стабилизира цикъла.</w:t>
      </w:r>
    </w:p>
    <w:p w14:paraId="112F3D76" w14:textId="77777777" w:rsidR="008347B7" w:rsidRPr="008347B7" w:rsidRDefault="008347B7" w:rsidP="008347B7">
      <w:pPr>
        <w:spacing w:line="240" w:lineRule="auto"/>
        <w:rPr>
          <w:rFonts w:eastAsia="Times New Roman" w:cs="Arial"/>
        </w:rPr>
      </w:pPr>
      <w:r w:rsidRPr="008347B7">
        <w:rPr>
          <w:rFonts w:eastAsia="Times New Roman" w:cs="Arial"/>
          <w:color w:val="000000"/>
          <w:lang w:eastAsia="bg-BG"/>
        </w:rPr>
        <w:t>Жените, които са на циклично комбинирано лечение трябва да приемат таблетката в определено време на деня.</w:t>
      </w:r>
    </w:p>
    <w:p w14:paraId="5C55A33E" w14:textId="15758A22" w:rsidR="008347B7" w:rsidRPr="008347B7" w:rsidRDefault="008347B7" w:rsidP="008347B7">
      <w:pPr>
        <w:spacing w:line="240" w:lineRule="auto"/>
        <w:rPr>
          <w:rFonts w:eastAsia="Times New Roman" w:cs="Arial"/>
        </w:rPr>
      </w:pPr>
      <w:r w:rsidRPr="008347B7">
        <w:rPr>
          <w:rFonts w:eastAsia="Times New Roman" w:cs="Arial"/>
          <w:color w:val="000000"/>
          <w:lang w:eastAsia="bg-BG"/>
        </w:rPr>
        <w:t>След 21 дни следва 7 дневен период, по време на който не се приемат таблетки и се появява кървене. Точно 4 седмици след началото на първия цикъл на лечение, т.е. в същия ден от седмицата, започва следващият цикличен курс на комбинирано лечение, независима дали кървенето е спряло.</w:t>
      </w:r>
    </w:p>
    <w:p w14:paraId="2AC2B1C2" w14:textId="77777777" w:rsidR="008347B7" w:rsidRPr="008347B7" w:rsidRDefault="008347B7" w:rsidP="008347B7">
      <w:pPr>
        <w:spacing w:line="240" w:lineRule="auto"/>
        <w:rPr>
          <w:rFonts w:eastAsia="Times New Roman" w:cs="Arial"/>
          <w:color w:val="000000"/>
          <w:lang w:eastAsia="bg-BG"/>
        </w:rPr>
      </w:pPr>
    </w:p>
    <w:p w14:paraId="5C647762" w14:textId="5940ECA1" w:rsidR="008347B7" w:rsidRPr="008347B7" w:rsidRDefault="008347B7" w:rsidP="008347B7">
      <w:pPr>
        <w:spacing w:line="240" w:lineRule="auto"/>
        <w:rPr>
          <w:rFonts w:eastAsia="Times New Roman" w:cs="Arial"/>
        </w:rPr>
      </w:pPr>
      <w:r w:rsidRPr="008347B7">
        <w:rPr>
          <w:rFonts w:eastAsia="Times New Roman" w:cs="Arial"/>
          <w:color w:val="000000"/>
          <w:lang w:eastAsia="bg-BG"/>
        </w:rPr>
        <w:t xml:space="preserve">След настъпване на клинично подобрение, дневната доза Андрокур 50 </w:t>
      </w:r>
      <w:r w:rsidRPr="008347B7">
        <w:rPr>
          <w:rFonts w:eastAsia="Times New Roman" w:cs="Arial"/>
          <w:color w:val="000000"/>
          <w:lang w:val="en-US"/>
        </w:rPr>
        <w:t>mg</w:t>
      </w:r>
      <w:r w:rsidRPr="008347B7">
        <w:rPr>
          <w:rFonts w:eastAsia="Times New Roman" w:cs="Arial"/>
          <w:color w:val="000000"/>
          <w:lang w:val="ru-RU"/>
        </w:rPr>
        <w:t xml:space="preserve"> </w:t>
      </w:r>
      <w:r w:rsidRPr="008347B7">
        <w:rPr>
          <w:rFonts w:eastAsia="Times New Roman" w:cs="Arial"/>
          <w:color w:val="000000"/>
          <w:lang w:eastAsia="bg-BG"/>
        </w:rPr>
        <w:t>може да се намали до 1 или 1/2 таблетка в първите 10 дни на комбинираното с Диане 35 лечение. Възможна е и монотерапия с Диане 3 5.</w:t>
      </w:r>
    </w:p>
    <w:p w14:paraId="75533DC4" w14:textId="77777777" w:rsidR="008347B7" w:rsidRPr="008347B7" w:rsidRDefault="008347B7" w:rsidP="008347B7">
      <w:pPr>
        <w:spacing w:line="240" w:lineRule="auto"/>
        <w:rPr>
          <w:rFonts w:eastAsia="Times New Roman" w:cs="Arial"/>
          <w:i/>
          <w:iCs/>
          <w:color w:val="000000"/>
          <w:lang w:eastAsia="bg-BG"/>
        </w:rPr>
      </w:pPr>
    </w:p>
    <w:p w14:paraId="1544E018" w14:textId="497053FF" w:rsidR="008347B7" w:rsidRPr="008347B7" w:rsidRDefault="008347B7" w:rsidP="008347B7">
      <w:pPr>
        <w:pStyle w:val="ListParagraph"/>
        <w:numPr>
          <w:ilvl w:val="0"/>
          <w:numId w:val="33"/>
        </w:numPr>
        <w:spacing w:line="240" w:lineRule="auto"/>
        <w:rPr>
          <w:rFonts w:eastAsia="Times New Roman" w:cs="Arial"/>
        </w:rPr>
      </w:pPr>
      <w:r w:rsidRPr="008347B7">
        <w:rPr>
          <w:rFonts w:eastAsia="Times New Roman" w:cs="Arial"/>
          <w:i/>
          <w:iCs/>
          <w:color w:val="000000"/>
          <w:lang w:eastAsia="bg-BG"/>
        </w:rPr>
        <w:t>Липсващо кървене</w:t>
      </w:r>
    </w:p>
    <w:p w14:paraId="135E8924" w14:textId="77777777" w:rsidR="008347B7" w:rsidRPr="008347B7" w:rsidRDefault="008347B7" w:rsidP="008347B7">
      <w:pPr>
        <w:spacing w:line="240" w:lineRule="auto"/>
        <w:rPr>
          <w:rFonts w:eastAsia="Times New Roman" w:cs="Arial"/>
          <w:color w:val="000000"/>
          <w:lang w:eastAsia="bg-BG"/>
        </w:rPr>
      </w:pPr>
    </w:p>
    <w:p w14:paraId="0E55A501" w14:textId="303599EB" w:rsidR="008347B7" w:rsidRPr="008347B7" w:rsidRDefault="008347B7" w:rsidP="008347B7">
      <w:pPr>
        <w:spacing w:line="240" w:lineRule="auto"/>
        <w:rPr>
          <w:rFonts w:eastAsia="Times New Roman" w:cs="Arial"/>
        </w:rPr>
      </w:pPr>
      <w:r w:rsidRPr="008347B7">
        <w:rPr>
          <w:rFonts w:eastAsia="Times New Roman" w:cs="Arial"/>
          <w:color w:val="000000"/>
          <w:lang w:eastAsia="bg-BG"/>
        </w:rPr>
        <w:t>Ако не се появи кървене през свободния от прием на лекарства интервал, лечението трябва да се преустанови и да се изключи бременност преди да се поднови отново.</w:t>
      </w:r>
    </w:p>
    <w:p w14:paraId="06A7D841" w14:textId="77777777" w:rsidR="008347B7" w:rsidRPr="008347B7" w:rsidRDefault="008347B7" w:rsidP="008347B7">
      <w:pPr>
        <w:spacing w:line="240" w:lineRule="auto"/>
        <w:rPr>
          <w:rFonts w:eastAsia="Times New Roman" w:cs="Arial"/>
        </w:rPr>
      </w:pPr>
    </w:p>
    <w:p w14:paraId="701FF4A0" w14:textId="77777777" w:rsidR="008347B7" w:rsidRPr="008347B7" w:rsidRDefault="008347B7" w:rsidP="008347B7">
      <w:pPr>
        <w:spacing w:line="240" w:lineRule="auto"/>
        <w:rPr>
          <w:rFonts w:eastAsia="Times New Roman" w:cs="Arial"/>
        </w:rPr>
      </w:pPr>
    </w:p>
    <w:p w14:paraId="14F8951D" w14:textId="41C2154C" w:rsidR="008347B7" w:rsidRPr="008347B7" w:rsidRDefault="008347B7" w:rsidP="008347B7">
      <w:pPr>
        <w:pStyle w:val="ListParagraph"/>
        <w:numPr>
          <w:ilvl w:val="0"/>
          <w:numId w:val="33"/>
        </w:numPr>
        <w:spacing w:line="240" w:lineRule="auto"/>
        <w:rPr>
          <w:rFonts w:eastAsia="Times New Roman" w:cs="Arial"/>
        </w:rPr>
      </w:pPr>
      <w:r w:rsidRPr="008347B7">
        <w:rPr>
          <w:rFonts w:eastAsia="Times New Roman" w:cs="Arial"/>
          <w:i/>
          <w:iCs/>
          <w:color w:val="000000"/>
          <w:lang w:eastAsia="bg-BG"/>
        </w:rPr>
        <w:t>Пропускане на таблетки</w:t>
      </w:r>
    </w:p>
    <w:p w14:paraId="596C6DB2" w14:textId="77777777" w:rsidR="008347B7" w:rsidRPr="008347B7" w:rsidRDefault="008347B7" w:rsidP="008347B7">
      <w:pPr>
        <w:spacing w:line="240" w:lineRule="auto"/>
        <w:rPr>
          <w:rFonts w:eastAsia="Times New Roman" w:cs="Arial"/>
          <w:color w:val="000000"/>
          <w:lang w:eastAsia="bg-BG"/>
        </w:rPr>
      </w:pPr>
    </w:p>
    <w:p w14:paraId="1F7D3E19" w14:textId="2CBFE978" w:rsidR="008347B7" w:rsidRPr="008347B7" w:rsidRDefault="008347B7" w:rsidP="008347B7">
      <w:pPr>
        <w:spacing w:line="240" w:lineRule="auto"/>
        <w:rPr>
          <w:rFonts w:eastAsia="Times New Roman" w:cs="Arial"/>
        </w:rPr>
      </w:pPr>
      <w:r w:rsidRPr="008347B7">
        <w:rPr>
          <w:rFonts w:eastAsia="Times New Roman" w:cs="Arial"/>
          <w:color w:val="000000"/>
          <w:lang w:eastAsia="bg-BG"/>
        </w:rPr>
        <w:t xml:space="preserve">Жените, които са на циклично комбинирано лечение трябва да приемат таблетката в определено време на деня. Ако приемът се забави с повече от 12 часа от времето, в което тя обикновено приема таблетката Диане 35, контрацептивното действие може да се </w:t>
      </w:r>
      <w:r w:rsidRPr="008347B7">
        <w:rPr>
          <w:rFonts w:eastAsia="Times New Roman" w:cs="Arial"/>
          <w:color w:val="000000"/>
          <w:lang w:eastAsia="bg-BG"/>
        </w:rPr>
        <w:lastRenderedPageBreak/>
        <w:t>намали през този цикъл. Специално внимание на това е обърнато в продуктовата информация на Диане 35 (особено контрацептивна надеждност и препоръки при пропусната таблетка). Ако не се появи кървене през този цикъл, лечението трябва да се преустанови и да се изключи бременност преди да се поднови отново. Пропускането на таблетки Андрокур може да намали терапевтичната ефективност и да доведе до интерменструално кървене. Не е необходимо да се приема двойна доза при пропускане на таблетки Андрокур и приемът трябва да продължи в обичайното време заедно с Диане 35.</w:t>
      </w:r>
    </w:p>
    <w:p w14:paraId="025901AF" w14:textId="77777777" w:rsidR="008347B7" w:rsidRPr="008347B7" w:rsidRDefault="008347B7" w:rsidP="008347B7">
      <w:pPr>
        <w:spacing w:line="240" w:lineRule="auto"/>
        <w:rPr>
          <w:rFonts w:eastAsia="Times New Roman" w:cs="Arial"/>
          <w:i/>
          <w:iCs/>
          <w:color w:val="000000"/>
          <w:lang w:eastAsia="bg-BG"/>
        </w:rPr>
      </w:pPr>
    </w:p>
    <w:p w14:paraId="22C40047" w14:textId="77C2AC4D" w:rsidR="008347B7" w:rsidRPr="008347B7" w:rsidRDefault="008347B7" w:rsidP="008347B7">
      <w:pPr>
        <w:spacing w:line="240" w:lineRule="auto"/>
        <w:rPr>
          <w:rFonts w:eastAsia="Times New Roman" w:cs="Arial"/>
        </w:rPr>
      </w:pPr>
      <w:r w:rsidRPr="008347B7">
        <w:rPr>
          <w:rFonts w:eastAsia="Times New Roman" w:cs="Arial"/>
          <w:i/>
          <w:iCs/>
          <w:color w:val="000000"/>
          <w:lang w:eastAsia="bg-BG"/>
        </w:rPr>
        <w:t>Пациентки в менопауза или хистерекпюмирани</w:t>
      </w:r>
    </w:p>
    <w:p w14:paraId="0B5EADA5" w14:textId="77777777" w:rsidR="008347B7" w:rsidRPr="008347B7" w:rsidRDefault="008347B7" w:rsidP="008347B7">
      <w:pPr>
        <w:spacing w:line="240" w:lineRule="auto"/>
        <w:rPr>
          <w:rFonts w:eastAsia="Times New Roman" w:cs="Arial"/>
          <w:color w:val="000000"/>
          <w:lang w:eastAsia="bg-BG"/>
        </w:rPr>
      </w:pPr>
    </w:p>
    <w:p w14:paraId="544B6A4D" w14:textId="2BA245DB" w:rsidR="008347B7" w:rsidRPr="008347B7" w:rsidRDefault="008347B7" w:rsidP="008347B7">
      <w:pPr>
        <w:spacing w:line="240" w:lineRule="auto"/>
        <w:rPr>
          <w:rFonts w:eastAsia="Times New Roman" w:cs="Arial"/>
        </w:rPr>
      </w:pPr>
      <w:r w:rsidRPr="008347B7">
        <w:rPr>
          <w:rFonts w:eastAsia="Times New Roman" w:cs="Arial"/>
          <w:color w:val="000000"/>
          <w:lang w:eastAsia="bg-BG"/>
        </w:rPr>
        <w:t xml:space="preserve">При пациентки в менопауза или хистеректомирани Андрокур може да се приема самостоятелно. В зависимост от тежестта на оплакванията средната доза трябва да бъде 1 до 1/2 таблетка Андрокур 50 </w:t>
      </w:r>
      <w:r w:rsidRPr="008347B7">
        <w:rPr>
          <w:rFonts w:eastAsia="Times New Roman" w:cs="Arial"/>
          <w:color w:val="000000"/>
          <w:lang w:val="en-US"/>
        </w:rPr>
        <w:t>mg</w:t>
      </w:r>
      <w:r w:rsidRPr="008347B7">
        <w:rPr>
          <w:rFonts w:eastAsia="Times New Roman" w:cs="Arial"/>
          <w:color w:val="000000"/>
          <w:lang w:val="ru-RU"/>
        </w:rPr>
        <w:t xml:space="preserve"> </w:t>
      </w:r>
      <w:r w:rsidRPr="008347B7">
        <w:rPr>
          <w:rFonts w:eastAsia="Times New Roman" w:cs="Arial"/>
          <w:color w:val="000000"/>
          <w:lang w:eastAsia="bg-BG"/>
        </w:rPr>
        <w:t>дневно в продължение на 21 дни, последвани от 7 - дневен свободен от прием на таблетки интервал.</w:t>
      </w:r>
    </w:p>
    <w:p w14:paraId="69AAC2CB" w14:textId="77777777" w:rsidR="008347B7" w:rsidRPr="008347B7" w:rsidRDefault="008347B7" w:rsidP="008347B7">
      <w:pPr>
        <w:spacing w:line="240" w:lineRule="auto"/>
        <w:rPr>
          <w:rFonts w:eastAsia="Times New Roman" w:cs="Arial"/>
          <w:i/>
          <w:iCs/>
          <w:color w:val="000000"/>
          <w:lang w:eastAsia="bg-BG"/>
        </w:rPr>
      </w:pPr>
    </w:p>
    <w:p w14:paraId="6C39E2E3" w14:textId="4A383735" w:rsidR="008347B7" w:rsidRPr="008347B7" w:rsidRDefault="008347B7" w:rsidP="008347B7">
      <w:pPr>
        <w:spacing w:line="240" w:lineRule="auto"/>
        <w:rPr>
          <w:rFonts w:eastAsia="Times New Roman" w:cs="Arial"/>
        </w:rPr>
      </w:pPr>
      <w:r w:rsidRPr="008347B7">
        <w:rPr>
          <w:rFonts w:eastAsia="Times New Roman" w:cs="Arial"/>
          <w:i/>
          <w:iCs/>
          <w:color w:val="000000"/>
          <w:lang w:eastAsia="bg-BG"/>
        </w:rPr>
        <w:t>Допълнителна информация при специални групи пациенти</w:t>
      </w:r>
    </w:p>
    <w:p w14:paraId="30F79A88" w14:textId="77777777" w:rsidR="008347B7" w:rsidRPr="008347B7" w:rsidRDefault="008347B7" w:rsidP="008347B7">
      <w:pPr>
        <w:spacing w:line="240" w:lineRule="auto"/>
        <w:rPr>
          <w:rFonts w:eastAsia="Times New Roman" w:cs="Arial"/>
          <w:i/>
          <w:iCs/>
          <w:color w:val="000000"/>
          <w:lang w:eastAsia="bg-BG"/>
        </w:rPr>
      </w:pPr>
    </w:p>
    <w:p w14:paraId="03C21348" w14:textId="56FFDE14" w:rsidR="008347B7" w:rsidRPr="008347B7" w:rsidRDefault="008347B7" w:rsidP="008347B7">
      <w:pPr>
        <w:spacing w:line="240" w:lineRule="auto"/>
        <w:rPr>
          <w:rFonts w:eastAsia="Times New Roman" w:cs="Arial"/>
        </w:rPr>
      </w:pPr>
      <w:r w:rsidRPr="008347B7">
        <w:rPr>
          <w:rFonts w:eastAsia="Times New Roman" w:cs="Arial"/>
          <w:i/>
          <w:iCs/>
          <w:color w:val="000000"/>
          <w:lang w:eastAsia="bg-BG"/>
        </w:rPr>
        <w:t>Деца и юноши</w:t>
      </w:r>
    </w:p>
    <w:p w14:paraId="476A6B86" w14:textId="77777777" w:rsidR="008347B7" w:rsidRPr="008347B7" w:rsidRDefault="008347B7" w:rsidP="008347B7">
      <w:pPr>
        <w:spacing w:line="240" w:lineRule="auto"/>
        <w:rPr>
          <w:rFonts w:eastAsia="Times New Roman" w:cs="Arial"/>
        </w:rPr>
      </w:pPr>
      <w:r w:rsidRPr="008347B7">
        <w:rPr>
          <w:rFonts w:eastAsia="Times New Roman" w:cs="Arial"/>
          <w:color w:val="000000"/>
          <w:lang w:eastAsia="bg-BG"/>
        </w:rPr>
        <w:t>Андрокур е показан за употреба само при жени с приключил пубертет. Нама данни показващи необходимостта от корекция на дозата.</w:t>
      </w:r>
    </w:p>
    <w:p w14:paraId="19442F6C" w14:textId="25F01126" w:rsidR="008347B7" w:rsidRPr="008347B7" w:rsidRDefault="008347B7" w:rsidP="008347B7">
      <w:pPr>
        <w:rPr>
          <w:rFonts w:eastAsia="Times New Roman" w:cs="Arial"/>
          <w:color w:val="000000"/>
          <w:lang w:eastAsia="bg-BG"/>
        </w:rPr>
      </w:pPr>
    </w:p>
    <w:p w14:paraId="2F166ED1" w14:textId="77777777" w:rsidR="008347B7" w:rsidRPr="008347B7" w:rsidRDefault="008347B7" w:rsidP="008347B7">
      <w:pPr>
        <w:spacing w:line="240" w:lineRule="auto"/>
        <w:rPr>
          <w:rFonts w:eastAsia="Times New Roman" w:cs="Arial"/>
        </w:rPr>
      </w:pPr>
      <w:r w:rsidRPr="008347B7">
        <w:rPr>
          <w:rFonts w:eastAsia="Times New Roman" w:cs="Arial"/>
          <w:color w:val="000000"/>
          <w:lang w:eastAsia="bg-BG"/>
        </w:rPr>
        <w:t>Безопасността и ефикасността на Андрокур не са установени в клинични изпитвания при деца и юноши на възраст под 18 години.</w:t>
      </w:r>
    </w:p>
    <w:p w14:paraId="0AA61C26" w14:textId="77777777" w:rsidR="008347B7" w:rsidRPr="008347B7" w:rsidRDefault="008347B7" w:rsidP="008347B7">
      <w:pPr>
        <w:spacing w:line="240" w:lineRule="auto"/>
        <w:rPr>
          <w:rFonts w:eastAsia="Times New Roman" w:cs="Arial"/>
        </w:rPr>
      </w:pPr>
      <w:r w:rsidRPr="008347B7">
        <w:rPr>
          <w:rFonts w:eastAsia="Times New Roman" w:cs="Arial"/>
          <w:color w:val="000000"/>
          <w:lang w:eastAsia="bg-BG"/>
        </w:rPr>
        <w:t>Андрокур не трябва да се прилага преди края на пубертета, тъй като не може да се изключи неблагоприятното му влияние върху растежа и върху нестабилните взаимодействия на ендокринните жлези,</w:t>
      </w:r>
    </w:p>
    <w:p w14:paraId="22F00DDB" w14:textId="77777777" w:rsidR="008347B7" w:rsidRPr="008347B7" w:rsidRDefault="008347B7" w:rsidP="008347B7">
      <w:pPr>
        <w:spacing w:line="240" w:lineRule="auto"/>
        <w:rPr>
          <w:rFonts w:eastAsia="Times New Roman" w:cs="Arial"/>
          <w:i/>
          <w:iCs/>
          <w:color w:val="000000"/>
          <w:lang w:eastAsia="bg-BG"/>
        </w:rPr>
      </w:pPr>
    </w:p>
    <w:p w14:paraId="21929794" w14:textId="4664C540" w:rsidR="008347B7" w:rsidRPr="008347B7" w:rsidRDefault="008347B7" w:rsidP="008347B7">
      <w:pPr>
        <w:spacing w:line="240" w:lineRule="auto"/>
        <w:rPr>
          <w:rFonts w:eastAsia="Times New Roman" w:cs="Arial"/>
        </w:rPr>
      </w:pPr>
      <w:r w:rsidRPr="008347B7">
        <w:rPr>
          <w:rFonts w:eastAsia="Times New Roman" w:cs="Arial"/>
          <w:i/>
          <w:iCs/>
          <w:color w:val="000000"/>
          <w:lang w:eastAsia="bg-BG"/>
        </w:rPr>
        <w:t>Пациенти в старческа възраст</w:t>
      </w:r>
    </w:p>
    <w:p w14:paraId="0FCDBDF8" w14:textId="77777777" w:rsidR="008347B7" w:rsidRPr="008347B7" w:rsidRDefault="008347B7" w:rsidP="008347B7">
      <w:pPr>
        <w:spacing w:line="240" w:lineRule="auto"/>
        <w:rPr>
          <w:rFonts w:eastAsia="Times New Roman" w:cs="Arial"/>
        </w:rPr>
      </w:pPr>
      <w:r w:rsidRPr="008347B7">
        <w:rPr>
          <w:rFonts w:eastAsia="Times New Roman" w:cs="Arial"/>
          <w:color w:val="000000"/>
          <w:lang w:eastAsia="bg-BG"/>
        </w:rPr>
        <w:t>Няма данни, които да показават необходимостта от корекция на дозата при пациенти в старческа възраст.</w:t>
      </w:r>
    </w:p>
    <w:p w14:paraId="3E271926" w14:textId="77777777" w:rsidR="008347B7" w:rsidRPr="008347B7" w:rsidRDefault="008347B7" w:rsidP="008347B7">
      <w:pPr>
        <w:spacing w:line="240" w:lineRule="auto"/>
        <w:rPr>
          <w:rFonts w:eastAsia="Times New Roman" w:cs="Arial"/>
          <w:i/>
          <w:iCs/>
          <w:color w:val="000000"/>
          <w:lang w:eastAsia="bg-BG"/>
        </w:rPr>
      </w:pPr>
    </w:p>
    <w:p w14:paraId="62FD8538" w14:textId="59416E08" w:rsidR="008347B7" w:rsidRPr="008347B7" w:rsidRDefault="008347B7" w:rsidP="008347B7">
      <w:pPr>
        <w:spacing w:line="240" w:lineRule="auto"/>
        <w:rPr>
          <w:rFonts w:eastAsia="Times New Roman" w:cs="Arial"/>
        </w:rPr>
      </w:pPr>
      <w:r w:rsidRPr="008347B7">
        <w:rPr>
          <w:rFonts w:eastAsia="Times New Roman" w:cs="Arial"/>
          <w:i/>
          <w:iCs/>
          <w:color w:val="000000"/>
          <w:lang w:eastAsia="bg-BG"/>
        </w:rPr>
        <w:t>Пациенти с чернодробни нарушения</w:t>
      </w:r>
    </w:p>
    <w:p w14:paraId="32ECA30A" w14:textId="77777777" w:rsidR="008347B7" w:rsidRPr="008347B7" w:rsidRDefault="008347B7" w:rsidP="008347B7">
      <w:pPr>
        <w:spacing w:line="240" w:lineRule="auto"/>
        <w:rPr>
          <w:rFonts w:eastAsia="Times New Roman" w:cs="Arial"/>
        </w:rPr>
      </w:pPr>
      <w:r w:rsidRPr="008347B7">
        <w:rPr>
          <w:rFonts w:eastAsia="Times New Roman" w:cs="Arial"/>
          <w:color w:val="000000"/>
          <w:lang w:eastAsia="bg-BG"/>
        </w:rPr>
        <w:t>Употребата на Андрокур е противопоказана при жени с чернодробни заболявания (напр. ако стойностите на чернодробната функция не се възвърнат към нормалните продължително време),</w:t>
      </w:r>
    </w:p>
    <w:p w14:paraId="19291CC5" w14:textId="77777777" w:rsidR="008347B7" w:rsidRPr="008347B7" w:rsidRDefault="008347B7" w:rsidP="008347B7">
      <w:pPr>
        <w:spacing w:line="240" w:lineRule="auto"/>
        <w:rPr>
          <w:rFonts w:eastAsia="Times New Roman" w:cs="Arial"/>
          <w:i/>
          <w:iCs/>
          <w:color w:val="000000"/>
          <w:lang w:eastAsia="bg-BG"/>
        </w:rPr>
      </w:pPr>
    </w:p>
    <w:p w14:paraId="3B378D7A" w14:textId="6E5049B8" w:rsidR="008347B7" w:rsidRPr="008347B7" w:rsidRDefault="008347B7" w:rsidP="008347B7">
      <w:pPr>
        <w:spacing w:line="240" w:lineRule="auto"/>
        <w:rPr>
          <w:rFonts w:eastAsia="Times New Roman" w:cs="Arial"/>
        </w:rPr>
      </w:pPr>
      <w:r w:rsidRPr="008347B7">
        <w:rPr>
          <w:rFonts w:eastAsia="Times New Roman" w:cs="Arial"/>
          <w:i/>
          <w:iCs/>
          <w:color w:val="000000"/>
          <w:lang w:eastAsia="bg-BG"/>
        </w:rPr>
        <w:t>Пациенти с бъбречни нарушения</w:t>
      </w:r>
    </w:p>
    <w:p w14:paraId="5D3B48CD" w14:textId="18A42DF6" w:rsidR="008347B7" w:rsidRDefault="008347B7" w:rsidP="008347B7">
      <w:pPr>
        <w:spacing w:line="240" w:lineRule="auto"/>
        <w:rPr>
          <w:rFonts w:eastAsia="Times New Roman" w:cs="Arial"/>
          <w:color w:val="000000"/>
          <w:lang w:eastAsia="bg-BG"/>
        </w:rPr>
      </w:pPr>
      <w:r w:rsidRPr="008347B7">
        <w:rPr>
          <w:rFonts w:eastAsia="Times New Roman" w:cs="Arial"/>
          <w:color w:val="000000"/>
          <w:lang w:eastAsia="bg-BG"/>
        </w:rPr>
        <w:t>Няма данни, които да показват необходимостта от корекция на дозата при пациенти с бъбречни увреждания.</w:t>
      </w:r>
    </w:p>
    <w:p w14:paraId="6D83F0F6" w14:textId="79BFFFDB" w:rsidR="008347B7" w:rsidRDefault="008347B7" w:rsidP="008347B7">
      <w:pPr>
        <w:spacing w:line="240" w:lineRule="auto"/>
        <w:rPr>
          <w:rFonts w:eastAsia="Times New Roman" w:cs="Arial"/>
          <w:color w:val="000000"/>
          <w:lang w:eastAsia="bg-BG"/>
        </w:rPr>
      </w:pPr>
    </w:p>
    <w:p w14:paraId="55C76360" w14:textId="007617A5" w:rsidR="008347B7" w:rsidRPr="008347B7" w:rsidRDefault="008347B7" w:rsidP="008347B7">
      <w:pPr>
        <w:pStyle w:val="Heading2"/>
        <w:rPr>
          <w:rFonts w:eastAsia="Times New Roman"/>
          <w:sz w:val="22"/>
          <w:szCs w:val="22"/>
        </w:rPr>
      </w:pPr>
      <w:r>
        <w:rPr>
          <w:rFonts w:eastAsia="Times New Roman"/>
          <w:lang w:eastAsia="bg-BG"/>
        </w:rPr>
        <w:t>4.2.2 Дозиране при мъже</w:t>
      </w:r>
    </w:p>
    <w:p w14:paraId="215AD9CC" w14:textId="4D75CD10" w:rsidR="008347B7" w:rsidRDefault="008347B7" w:rsidP="008347B7">
      <w:pPr>
        <w:rPr>
          <w:rFonts w:eastAsia="Times New Roman" w:cs="Arial"/>
          <w:color w:val="000000"/>
          <w:lang w:eastAsia="bg-BG"/>
        </w:rPr>
      </w:pPr>
    </w:p>
    <w:p w14:paraId="563B4C15" w14:textId="77777777" w:rsidR="008347B7" w:rsidRPr="008347B7" w:rsidRDefault="008347B7" w:rsidP="008347B7">
      <w:pPr>
        <w:spacing w:line="240" w:lineRule="auto"/>
        <w:rPr>
          <w:rFonts w:eastAsia="Times New Roman" w:cs="Arial"/>
        </w:rPr>
      </w:pPr>
      <w:r w:rsidRPr="008347B7">
        <w:rPr>
          <w:rFonts w:eastAsia="Times New Roman" w:cs="Arial"/>
          <w:i/>
          <w:iCs/>
          <w:color w:val="000000"/>
          <w:lang w:eastAsia="bg-BG"/>
        </w:rPr>
        <w:t>Начин на приложение</w:t>
      </w:r>
    </w:p>
    <w:p w14:paraId="0FBA0FBC" w14:textId="77777777" w:rsidR="008347B7" w:rsidRPr="008347B7" w:rsidRDefault="008347B7" w:rsidP="008347B7">
      <w:pPr>
        <w:spacing w:line="240" w:lineRule="auto"/>
        <w:rPr>
          <w:rFonts w:eastAsia="Times New Roman" w:cs="Arial"/>
          <w:color w:val="000000"/>
          <w:lang w:eastAsia="bg-BG"/>
        </w:rPr>
      </w:pPr>
    </w:p>
    <w:p w14:paraId="3BE2B7B8" w14:textId="21E956F7" w:rsidR="008347B7" w:rsidRPr="008347B7" w:rsidRDefault="008347B7" w:rsidP="008347B7">
      <w:pPr>
        <w:spacing w:line="240" w:lineRule="auto"/>
        <w:rPr>
          <w:rFonts w:eastAsia="Times New Roman" w:cs="Arial"/>
        </w:rPr>
      </w:pPr>
      <w:r w:rsidRPr="008347B7">
        <w:rPr>
          <w:rFonts w:eastAsia="Times New Roman" w:cs="Arial"/>
          <w:color w:val="000000"/>
          <w:lang w:eastAsia="bg-BG"/>
        </w:rPr>
        <w:t>Перорално приложение</w:t>
      </w:r>
    </w:p>
    <w:p w14:paraId="71C7A1C7" w14:textId="77777777" w:rsidR="008347B7" w:rsidRPr="008347B7" w:rsidRDefault="008347B7" w:rsidP="008347B7">
      <w:pPr>
        <w:spacing w:line="240" w:lineRule="auto"/>
        <w:rPr>
          <w:rFonts w:eastAsia="Times New Roman" w:cs="Arial"/>
          <w:i/>
          <w:iCs/>
          <w:color w:val="000000"/>
          <w:lang w:eastAsia="bg-BG"/>
        </w:rPr>
      </w:pPr>
    </w:p>
    <w:p w14:paraId="03AED9E6" w14:textId="6FFA5624" w:rsidR="008347B7" w:rsidRPr="008347B7" w:rsidRDefault="008347B7" w:rsidP="008347B7">
      <w:pPr>
        <w:spacing w:line="240" w:lineRule="auto"/>
        <w:rPr>
          <w:rFonts w:eastAsia="Times New Roman" w:cs="Arial"/>
        </w:rPr>
      </w:pPr>
      <w:r w:rsidRPr="008347B7">
        <w:rPr>
          <w:rFonts w:eastAsia="Times New Roman" w:cs="Arial"/>
          <w:i/>
          <w:iCs/>
          <w:color w:val="000000"/>
          <w:lang w:eastAsia="bg-BG"/>
        </w:rPr>
        <w:t>Дозов режим</w:t>
      </w:r>
    </w:p>
    <w:p w14:paraId="2C5A828A" w14:textId="77777777" w:rsidR="008347B7" w:rsidRPr="008347B7" w:rsidRDefault="008347B7" w:rsidP="008347B7">
      <w:pPr>
        <w:spacing w:line="240" w:lineRule="auto"/>
        <w:rPr>
          <w:rFonts w:eastAsia="Times New Roman" w:cs="Arial"/>
          <w:color w:val="000000"/>
          <w:lang w:eastAsia="bg-BG"/>
        </w:rPr>
      </w:pPr>
    </w:p>
    <w:p w14:paraId="65EA0E0A" w14:textId="1296557E" w:rsidR="008347B7" w:rsidRPr="008347B7" w:rsidRDefault="008347B7" w:rsidP="008347B7">
      <w:pPr>
        <w:spacing w:line="240" w:lineRule="auto"/>
        <w:rPr>
          <w:rFonts w:eastAsia="Times New Roman" w:cs="Arial"/>
        </w:rPr>
      </w:pPr>
      <w:r w:rsidRPr="008347B7">
        <w:rPr>
          <w:rFonts w:eastAsia="Times New Roman" w:cs="Arial"/>
          <w:color w:val="000000"/>
          <w:lang w:eastAsia="bg-BG"/>
        </w:rPr>
        <w:t>Таблетките трябва да се приемат с малко течност след хранене.</w:t>
      </w:r>
    </w:p>
    <w:p w14:paraId="5F298C64" w14:textId="77777777" w:rsidR="008347B7" w:rsidRPr="008347B7" w:rsidRDefault="008347B7" w:rsidP="008347B7">
      <w:pPr>
        <w:spacing w:line="240" w:lineRule="auto"/>
        <w:rPr>
          <w:rFonts w:eastAsia="Times New Roman" w:cs="Arial"/>
        </w:rPr>
      </w:pPr>
      <w:r w:rsidRPr="008347B7">
        <w:rPr>
          <w:rFonts w:eastAsia="Times New Roman" w:cs="Arial"/>
          <w:color w:val="000000"/>
          <w:lang w:eastAsia="bg-BG"/>
        </w:rPr>
        <w:lastRenderedPageBreak/>
        <w:t xml:space="preserve">Максималната дневна доза е 300 </w:t>
      </w:r>
      <w:r w:rsidRPr="008347B7">
        <w:rPr>
          <w:rFonts w:eastAsia="Times New Roman" w:cs="Arial"/>
          <w:color w:val="000000"/>
          <w:lang w:val="en-US"/>
        </w:rPr>
        <w:t>mg</w:t>
      </w:r>
      <w:r w:rsidRPr="008347B7">
        <w:rPr>
          <w:rFonts w:eastAsia="Times New Roman" w:cs="Arial"/>
          <w:color w:val="000000"/>
          <w:lang w:val="ru-RU"/>
        </w:rPr>
        <w:t>.</w:t>
      </w:r>
    </w:p>
    <w:p w14:paraId="11047B32" w14:textId="77777777" w:rsidR="008347B7" w:rsidRPr="008347B7" w:rsidRDefault="008347B7" w:rsidP="008347B7">
      <w:pPr>
        <w:spacing w:line="240" w:lineRule="auto"/>
        <w:rPr>
          <w:rFonts w:eastAsia="Times New Roman" w:cs="Arial"/>
          <w:i/>
          <w:iCs/>
          <w:color w:val="000000"/>
          <w:lang w:eastAsia="bg-BG"/>
        </w:rPr>
      </w:pPr>
    </w:p>
    <w:p w14:paraId="57FBD4B5" w14:textId="274EB1B7" w:rsidR="008347B7" w:rsidRPr="008347B7" w:rsidRDefault="008347B7" w:rsidP="008347B7">
      <w:pPr>
        <w:spacing w:line="240" w:lineRule="auto"/>
        <w:rPr>
          <w:rFonts w:eastAsia="Times New Roman" w:cs="Arial"/>
        </w:rPr>
      </w:pPr>
      <w:r w:rsidRPr="008347B7">
        <w:rPr>
          <w:rFonts w:eastAsia="Times New Roman" w:cs="Arial"/>
          <w:i/>
          <w:iCs/>
          <w:color w:val="000000"/>
          <w:lang w:eastAsia="bg-BG"/>
        </w:rPr>
        <w:t>Потискане на либидото при сексуални отклонения</w:t>
      </w:r>
    </w:p>
    <w:p w14:paraId="62CC9176" w14:textId="77777777" w:rsidR="008347B7" w:rsidRPr="008347B7" w:rsidRDefault="008347B7" w:rsidP="008347B7">
      <w:pPr>
        <w:spacing w:line="240" w:lineRule="auto"/>
        <w:rPr>
          <w:rFonts w:eastAsia="Times New Roman" w:cs="Arial"/>
          <w:color w:val="000000"/>
          <w:lang w:eastAsia="bg-BG"/>
        </w:rPr>
      </w:pPr>
    </w:p>
    <w:p w14:paraId="731C11AC" w14:textId="73F6EC1A" w:rsidR="008347B7" w:rsidRPr="008347B7" w:rsidRDefault="008347B7" w:rsidP="008347B7">
      <w:pPr>
        <w:spacing w:line="240" w:lineRule="auto"/>
        <w:rPr>
          <w:rFonts w:eastAsia="Times New Roman" w:cs="Arial"/>
        </w:rPr>
      </w:pPr>
      <w:r w:rsidRPr="008347B7">
        <w:rPr>
          <w:rFonts w:eastAsia="Times New Roman" w:cs="Arial"/>
          <w:color w:val="000000"/>
          <w:lang w:eastAsia="bg-BG"/>
        </w:rPr>
        <w:t xml:space="preserve">Обикновено лечението започва с 1 таблетка Андрокур 50 </w:t>
      </w:r>
      <w:r w:rsidRPr="008347B7">
        <w:rPr>
          <w:rFonts w:eastAsia="Times New Roman" w:cs="Arial"/>
          <w:color w:val="000000"/>
          <w:lang w:val="en-US"/>
        </w:rPr>
        <w:t>mg</w:t>
      </w:r>
      <w:r w:rsidRPr="008347B7">
        <w:rPr>
          <w:rFonts w:eastAsia="Times New Roman" w:cs="Arial"/>
          <w:color w:val="000000"/>
          <w:lang w:val="ru-RU"/>
        </w:rPr>
        <w:t xml:space="preserve"> </w:t>
      </w:r>
      <w:r w:rsidRPr="008347B7">
        <w:rPr>
          <w:rFonts w:eastAsia="Times New Roman" w:cs="Arial"/>
          <w:color w:val="000000"/>
          <w:lang w:eastAsia="bg-BG"/>
        </w:rPr>
        <w:t>два пъти дневно, ако е необходимо дозата се увеличава два пъти дневно по 2 таблетки или дори три пъти дневно по 2 таблетки за кратко време. Продължителността на лечението с ципротеронов ацетат трябва да се определя индивидуално. Когато е постигнат задоволителен резултат, терапевтичният ефект трябва да се поддържа с най- ниската възможна доза. Когато се променя доза или когато приемът на ципротеронов ацетат се преустановява, това трябва да се извършва постепенно.</w:t>
      </w:r>
    </w:p>
    <w:p w14:paraId="16DEDF3C" w14:textId="77777777" w:rsidR="008347B7" w:rsidRPr="008347B7" w:rsidRDefault="008347B7" w:rsidP="008347B7">
      <w:pPr>
        <w:spacing w:line="240" w:lineRule="auto"/>
        <w:rPr>
          <w:rFonts w:eastAsia="Times New Roman" w:cs="Arial"/>
        </w:rPr>
      </w:pPr>
      <w:r w:rsidRPr="008347B7">
        <w:rPr>
          <w:rFonts w:eastAsia="Times New Roman" w:cs="Arial"/>
          <w:color w:val="000000"/>
          <w:lang w:eastAsia="bg-BG"/>
        </w:rPr>
        <w:t>Често е достатъчно да се приема по 1/2 таблетка два пъти дневно. За тази цел дневната доза трябва да се намалява с 1 таблетка или още по-добре с 1/2 таблетка в интервал от няколко седмици.</w:t>
      </w:r>
    </w:p>
    <w:p w14:paraId="7F26BC10" w14:textId="77777777" w:rsidR="008347B7" w:rsidRPr="008347B7" w:rsidRDefault="008347B7" w:rsidP="008347B7">
      <w:pPr>
        <w:spacing w:line="240" w:lineRule="auto"/>
        <w:rPr>
          <w:rFonts w:eastAsia="Times New Roman" w:cs="Arial"/>
        </w:rPr>
      </w:pPr>
      <w:r w:rsidRPr="008347B7">
        <w:rPr>
          <w:rFonts w:eastAsia="Times New Roman" w:cs="Arial"/>
          <w:color w:val="000000"/>
          <w:lang w:eastAsia="bg-BG"/>
        </w:rPr>
        <w:t>Андрокур трябва да се прилага продължително, по възможност заедно с психотерапия, за да се постигне стабилен лечебен ефект.</w:t>
      </w:r>
    </w:p>
    <w:p w14:paraId="494A8DB2" w14:textId="77777777" w:rsidR="008347B7" w:rsidRPr="008347B7" w:rsidRDefault="008347B7" w:rsidP="008347B7">
      <w:pPr>
        <w:spacing w:line="240" w:lineRule="auto"/>
        <w:rPr>
          <w:rFonts w:eastAsia="Times New Roman" w:cs="Arial"/>
          <w:i/>
          <w:iCs/>
          <w:color w:val="000000"/>
          <w:lang w:eastAsia="bg-BG"/>
        </w:rPr>
      </w:pPr>
    </w:p>
    <w:p w14:paraId="0C09A5A8" w14:textId="5CF54AFC" w:rsidR="008347B7" w:rsidRPr="008347B7" w:rsidRDefault="008347B7" w:rsidP="008347B7">
      <w:pPr>
        <w:spacing w:line="240" w:lineRule="auto"/>
        <w:rPr>
          <w:rFonts w:eastAsia="Times New Roman" w:cs="Arial"/>
        </w:rPr>
      </w:pPr>
      <w:r w:rsidRPr="008347B7">
        <w:rPr>
          <w:rFonts w:eastAsia="Times New Roman" w:cs="Arial"/>
          <w:i/>
          <w:iCs/>
          <w:color w:val="000000"/>
          <w:lang w:eastAsia="bg-BG"/>
        </w:rPr>
        <w:t>Антиандрогенно лечение на иноперабилен карцином на простатата</w:t>
      </w:r>
    </w:p>
    <w:p w14:paraId="21C4A9B9" w14:textId="77777777" w:rsidR="008347B7" w:rsidRPr="008347B7" w:rsidRDefault="008347B7" w:rsidP="008347B7">
      <w:pPr>
        <w:spacing w:line="240" w:lineRule="auto"/>
        <w:rPr>
          <w:rFonts w:eastAsia="Times New Roman" w:cs="Arial"/>
          <w:color w:val="000000"/>
          <w:lang w:eastAsia="bg-BG"/>
        </w:rPr>
      </w:pPr>
    </w:p>
    <w:p w14:paraId="6924CA9D" w14:textId="4C2AD1EF" w:rsidR="008347B7" w:rsidRPr="008347B7" w:rsidRDefault="008347B7" w:rsidP="008347B7">
      <w:pPr>
        <w:spacing w:line="240" w:lineRule="auto"/>
        <w:rPr>
          <w:rFonts w:eastAsia="Times New Roman" w:cs="Arial"/>
        </w:rPr>
      </w:pPr>
      <w:r w:rsidRPr="008347B7">
        <w:rPr>
          <w:rFonts w:eastAsia="Times New Roman" w:cs="Arial"/>
          <w:color w:val="000000"/>
          <w:lang w:eastAsia="bg-BG"/>
        </w:rPr>
        <w:t xml:space="preserve">2 таблетки Андрокур 50 </w:t>
      </w:r>
      <w:r w:rsidRPr="008347B7">
        <w:rPr>
          <w:rFonts w:eastAsia="Times New Roman" w:cs="Arial"/>
          <w:color w:val="000000"/>
          <w:lang w:val="en-US"/>
        </w:rPr>
        <w:t>mg</w:t>
      </w:r>
      <w:r w:rsidRPr="008347B7">
        <w:rPr>
          <w:rFonts w:eastAsia="Times New Roman" w:cs="Arial"/>
          <w:color w:val="000000"/>
          <w:lang w:val="ru-RU"/>
        </w:rPr>
        <w:t xml:space="preserve"> </w:t>
      </w:r>
      <w:r w:rsidRPr="008347B7">
        <w:rPr>
          <w:rFonts w:eastAsia="Times New Roman" w:cs="Arial"/>
          <w:color w:val="000000"/>
          <w:lang w:eastAsia="bg-BG"/>
        </w:rPr>
        <w:t xml:space="preserve">два до три пъти дневно (200-300 </w:t>
      </w:r>
      <w:r w:rsidRPr="008347B7">
        <w:rPr>
          <w:rFonts w:eastAsia="Times New Roman" w:cs="Arial"/>
          <w:color w:val="000000"/>
          <w:lang w:val="en-US"/>
        </w:rPr>
        <w:t>mg</w:t>
      </w:r>
      <w:r w:rsidRPr="008347B7">
        <w:rPr>
          <w:rFonts w:eastAsia="Times New Roman" w:cs="Arial"/>
          <w:color w:val="000000"/>
          <w:lang w:val="ru-RU"/>
        </w:rPr>
        <w:t>).</w:t>
      </w:r>
    </w:p>
    <w:p w14:paraId="437DC5CC" w14:textId="77777777" w:rsidR="008347B7" w:rsidRPr="008347B7" w:rsidRDefault="008347B7" w:rsidP="008347B7">
      <w:pPr>
        <w:spacing w:line="240" w:lineRule="auto"/>
        <w:rPr>
          <w:rFonts w:eastAsia="Times New Roman" w:cs="Arial"/>
        </w:rPr>
      </w:pPr>
      <w:r w:rsidRPr="008347B7">
        <w:rPr>
          <w:rFonts w:eastAsia="Times New Roman" w:cs="Arial"/>
          <w:color w:val="000000"/>
          <w:lang w:eastAsia="bg-BG"/>
        </w:rPr>
        <w:t>Лечението не трябва да се прекратява и дозата не трябва да се променя след достигане на ремисия.</w:t>
      </w:r>
    </w:p>
    <w:p w14:paraId="678E31D6" w14:textId="77777777" w:rsidR="008347B7" w:rsidRPr="008347B7" w:rsidRDefault="008347B7" w:rsidP="008347B7">
      <w:pPr>
        <w:spacing w:line="240" w:lineRule="auto"/>
        <w:rPr>
          <w:rFonts w:eastAsia="Times New Roman" w:cs="Arial"/>
          <w:color w:val="000000"/>
          <w:lang w:eastAsia="bg-BG"/>
        </w:rPr>
      </w:pPr>
    </w:p>
    <w:p w14:paraId="4B19F801" w14:textId="4284466A" w:rsidR="008347B7" w:rsidRPr="008347B7" w:rsidRDefault="008347B7" w:rsidP="008347B7">
      <w:pPr>
        <w:pStyle w:val="ListParagraph"/>
        <w:numPr>
          <w:ilvl w:val="0"/>
          <w:numId w:val="33"/>
        </w:numPr>
        <w:spacing w:line="240" w:lineRule="auto"/>
        <w:rPr>
          <w:rFonts w:eastAsia="Times New Roman" w:cs="Arial"/>
        </w:rPr>
      </w:pPr>
      <w:r w:rsidRPr="008347B7">
        <w:rPr>
          <w:rFonts w:eastAsia="Times New Roman" w:cs="Arial"/>
          <w:color w:val="000000"/>
          <w:lang w:eastAsia="bg-BG"/>
        </w:rPr>
        <w:t xml:space="preserve">За намаляване на първоначално повишеното ниво на мъжки полови хормони при комбинирано лечение с </w:t>
      </w:r>
      <w:proofErr w:type="spellStart"/>
      <w:r w:rsidRPr="008347B7">
        <w:rPr>
          <w:rFonts w:eastAsia="Times New Roman" w:cs="Arial"/>
          <w:color w:val="000000"/>
          <w:lang w:val="en-US"/>
        </w:rPr>
        <w:t>GnRH</w:t>
      </w:r>
      <w:proofErr w:type="spellEnd"/>
      <w:r w:rsidRPr="008347B7">
        <w:rPr>
          <w:rFonts w:eastAsia="Times New Roman" w:cs="Arial"/>
          <w:color w:val="000000"/>
          <w:lang w:val="ru-RU"/>
        </w:rPr>
        <w:t xml:space="preserve"> </w:t>
      </w:r>
      <w:r w:rsidRPr="008347B7">
        <w:rPr>
          <w:rFonts w:eastAsia="Times New Roman" w:cs="Arial"/>
          <w:color w:val="000000"/>
          <w:lang w:eastAsia="bg-BG"/>
        </w:rPr>
        <w:t>агонисти:</w:t>
      </w:r>
    </w:p>
    <w:p w14:paraId="01FEFFF6" w14:textId="77777777" w:rsidR="008347B7" w:rsidRPr="008347B7" w:rsidRDefault="008347B7" w:rsidP="008347B7">
      <w:pPr>
        <w:spacing w:line="240" w:lineRule="auto"/>
        <w:rPr>
          <w:rFonts w:eastAsia="Times New Roman" w:cs="Arial"/>
          <w:color w:val="000000"/>
          <w:lang w:eastAsia="bg-BG"/>
        </w:rPr>
      </w:pPr>
    </w:p>
    <w:p w14:paraId="3B48BA87" w14:textId="36BAAFC8" w:rsidR="008347B7" w:rsidRPr="008347B7" w:rsidRDefault="008347B7" w:rsidP="008347B7">
      <w:pPr>
        <w:spacing w:line="240" w:lineRule="auto"/>
        <w:rPr>
          <w:rFonts w:eastAsia="Times New Roman" w:cs="Arial"/>
          <w:color w:val="000000"/>
          <w:lang w:eastAsia="bg-BG"/>
        </w:rPr>
      </w:pPr>
      <w:r w:rsidRPr="008347B7">
        <w:rPr>
          <w:rFonts w:eastAsia="Times New Roman" w:cs="Arial"/>
          <w:color w:val="000000"/>
          <w:lang w:eastAsia="bg-BG"/>
        </w:rPr>
        <w:t xml:space="preserve">Първоначално по 2 таблетки Андрокур 50 </w:t>
      </w:r>
      <w:r w:rsidRPr="008347B7">
        <w:rPr>
          <w:rFonts w:eastAsia="Times New Roman" w:cs="Arial"/>
          <w:color w:val="000000"/>
          <w:lang w:val="en-US"/>
        </w:rPr>
        <w:t>mg</w:t>
      </w:r>
      <w:r w:rsidRPr="008347B7">
        <w:rPr>
          <w:rFonts w:eastAsia="Times New Roman" w:cs="Arial"/>
          <w:color w:val="000000"/>
          <w:lang w:val="ru-RU"/>
        </w:rPr>
        <w:t xml:space="preserve"> </w:t>
      </w:r>
      <w:r w:rsidRPr="008347B7">
        <w:rPr>
          <w:rFonts w:eastAsia="Times New Roman" w:cs="Arial"/>
          <w:color w:val="000000"/>
          <w:lang w:eastAsia="bg-BG"/>
        </w:rPr>
        <w:t xml:space="preserve">два пъти дневно (200 </w:t>
      </w:r>
      <w:r w:rsidRPr="008347B7">
        <w:rPr>
          <w:rFonts w:eastAsia="Times New Roman" w:cs="Arial"/>
          <w:color w:val="000000"/>
          <w:lang w:val="en-US"/>
        </w:rPr>
        <w:t>mg</w:t>
      </w:r>
      <w:r w:rsidRPr="008347B7">
        <w:rPr>
          <w:rFonts w:eastAsia="Times New Roman" w:cs="Arial"/>
          <w:color w:val="000000"/>
          <w:lang w:val="ru-RU"/>
        </w:rPr>
        <w:t xml:space="preserve">) </w:t>
      </w:r>
      <w:r w:rsidRPr="008347B7">
        <w:rPr>
          <w:rFonts w:eastAsia="Times New Roman" w:cs="Arial"/>
          <w:color w:val="000000"/>
          <w:lang w:eastAsia="bg-BG"/>
        </w:rPr>
        <w:t>в продължение н</w:t>
      </w:r>
      <w:r w:rsidRPr="008347B7">
        <w:rPr>
          <w:rFonts w:eastAsia="Times New Roman" w:cs="Arial"/>
          <w:color w:val="000000"/>
          <w:lang w:val="en-US"/>
        </w:rPr>
        <w:t>a</w:t>
      </w:r>
      <w:r w:rsidRPr="008347B7">
        <w:rPr>
          <w:rFonts w:eastAsia="Times New Roman" w:cs="Arial"/>
          <w:color w:val="000000"/>
          <w:lang w:val="ru-RU"/>
        </w:rPr>
        <w:t xml:space="preserve"> 5-7 </w:t>
      </w:r>
      <w:r w:rsidRPr="008347B7">
        <w:rPr>
          <w:rFonts w:eastAsia="Times New Roman" w:cs="Arial"/>
          <w:color w:val="000000"/>
          <w:lang w:eastAsia="bg-BG"/>
        </w:rPr>
        <w:t xml:space="preserve">дни, след което се приемат 2 таблетки Андрокур 50 </w:t>
      </w:r>
      <w:r w:rsidRPr="008347B7">
        <w:rPr>
          <w:rFonts w:eastAsia="Times New Roman" w:cs="Arial"/>
          <w:color w:val="000000"/>
          <w:lang w:val="en-US"/>
        </w:rPr>
        <w:t>mg</w:t>
      </w:r>
      <w:r w:rsidRPr="008347B7">
        <w:rPr>
          <w:rFonts w:eastAsia="Times New Roman" w:cs="Arial"/>
          <w:color w:val="000000"/>
          <w:lang w:val="ru-RU"/>
        </w:rPr>
        <w:t xml:space="preserve"> </w:t>
      </w:r>
      <w:r w:rsidRPr="008347B7">
        <w:rPr>
          <w:rFonts w:eastAsia="Times New Roman" w:cs="Arial"/>
          <w:color w:val="000000"/>
          <w:lang w:eastAsia="bg-BG"/>
        </w:rPr>
        <w:t xml:space="preserve">два пъти дневно (200 </w:t>
      </w:r>
      <w:r w:rsidRPr="008347B7">
        <w:rPr>
          <w:rFonts w:eastAsia="Times New Roman" w:cs="Arial"/>
          <w:color w:val="000000"/>
          <w:lang w:val="en-US"/>
        </w:rPr>
        <w:t>mg</w:t>
      </w:r>
      <w:r w:rsidRPr="008347B7">
        <w:rPr>
          <w:rFonts w:eastAsia="Times New Roman" w:cs="Arial"/>
          <w:color w:val="000000"/>
          <w:lang w:val="ru-RU"/>
        </w:rPr>
        <w:t xml:space="preserve">) </w:t>
      </w:r>
      <w:r w:rsidRPr="008347B7">
        <w:rPr>
          <w:rFonts w:eastAsia="Times New Roman" w:cs="Arial"/>
          <w:color w:val="000000"/>
          <w:lang w:eastAsia="bg-BG"/>
        </w:rPr>
        <w:t xml:space="preserve">заедно с </w:t>
      </w:r>
      <w:proofErr w:type="spellStart"/>
      <w:r w:rsidRPr="008347B7">
        <w:rPr>
          <w:rFonts w:eastAsia="Times New Roman" w:cs="Arial"/>
          <w:color w:val="000000"/>
          <w:lang w:val="en-US"/>
        </w:rPr>
        <w:t>GnRH</w:t>
      </w:r>
      <w:proofErr w:type="spellEnd"/>
      <w:r w:rsidRPr="008347B7">
        <w:rPr>
          <w:rFonts w:eastAsia="Times New Roman" w:cs="Arial"/>
          <w:color w:val="000000"/>
          <w:lang w:val="ru-RU"/>
        </w:rPr>
        <w:t xml:space="preserve"> </w:t>
      </w:r>
      <w:r w:rsidRPr="008347B7">
        <w:rPr>
          <w:rFonts w:eastAsia="Times New Roman" w:cs="Arial"/>
          <w:color w:val="000000"/>
          <w:lang w:eastAsia="bg-BG"/>
        </w:rPr>
        <w:t>агонист в</w:t>
      </w:r>
      <w:r w:rsidRPr="008347B7">
        <w:rPr>
          <w:rFonts w:eastAsia="Times New Roman" w:cs="Arial"/>
          <w:smallCaps/>
          <w:color w:val="000000"/>
          <w:lang w:eastAsia="bg-BG"/>
        </w:rPr>
        <w:t xml:space="preserve"> </w:t>
      </w:r>
      <w:r w:rsidRPr="008347B7">
        <w:rPr>
          <w:rFonts w:eastAsia="Times New Roman" w:cs="Arial"/>
          <w:color w:val="000000"/>
          <w:lang w:eastAsia="bg-BG"/>
        </w:rPr>
        <w:t>препоръчаната от притежателя на разрешението за употреба доза в продължение на 3-4 седмици (вж.</w:t>
      </w:r>
      <w:r w:rsidRPr="008347B7">
        <w:rPr>
          <w:rFonts w:eastAsia="Times New Roman" w:cs="Arial"/>
        </w:rPr>
        <w:t xml:space="preserve"> </w:t>
      </w:r>
      <w:r w:rsidRPr="008347B7">
        <w:rPr>
          <w:rFonts w:eastAsia="Times New Roman" w:cs="Arial"/>
          <w:color w:val="000000"/>
          <w:lang w:eastAsia="bg-BG"/>
        </w:rPr>
        <w:t xml:space="preserve">продуктовата информация на </w:t>
      </w:r>
      <w:proofErr w:type="spellStart"/>
      <w:r w:rsidRPr="008347B7">
        <w:rPr>
          <w:rFonts w:eastAsia="Times New Roman" w:cs="Arial"/>
          <w:color w:val="000000"/>
          <w:lang w:val="en-US"/>
        </w:rPr>
        <w:t>GnRH</w:t>
      </w:r>
      <w:proofErr w:type="spellEnd"/>
      <w:r w:rsidRPr="008347B7">
        <w:rPr>
          <w:rFonts w:eastAsia="Times New Roman" w:cs="Arial"/>
          <w:color w:val="000000"/>
          <w:lang w:val="ru-RU"/>
        </w:rPr>
        <w:t xml:space="preserve"> </w:t>
      </w:r>
      <w:r w:rsidRPr="008347B7">
        <w:rPr>
          <w:rFonts w:eastAsia="Times New Roman" w:cs="Arial"/>
          <w:color w:val="000000"/>
          <w:lang w:eastAsia="bg-BG"/>
        </w:rPr>
        <w:t>агониста).</w:t>
      </w:r>
    </w:p>
    <w:p w14:paraId="32F650F7" w14:textId="2E8CEE3F" w:rsidR="008347B7" w:rsidRPr="008347B7" w:rsidRDefault="008347B7" w:rsidP="008347B7">
      <w:pPr>
        <w:spacing w:line="240" w:lineRule="auto"/>
        <w:rPr>
          <w:rFonts w:eastAsia="Times New Roman" w:cs="Arial"/>
          <w:color w:val="000000"/>
          <w:lang w:eastAsia="bg-BG"/>
        </w:rPr>
      </w:pPr>
    </w:p>
    <w:p w14:paraId="66559754" w14:textId="59A00885" w:rsidR="008347B7" w:rsidRPr="008347B7" w:rsidRDefault="008347B7" w:rsidP="008347B7">
      <w:pPr>
        <w:pStyle w:val="ListParagraph"/>
        <w:numPr>
          <w:ilvl w:val="0"/>
          <w:numId w:val="33"/>
        </w:numPr>
        <w:spacing w:line="240" w:lineRule="auto"/>
        <w:rPr>
          <w:rFonts w:eastAsia="Times New Roman" w:cs="Arial"/>
        </w:rPr>
      </w:pPr>
      <w:r w:rsidRPr="008347B7">
        <w:rPr>
          <w:rFonts w:eastAsia="Times New Roman" w:cs="Arial"/>
          <w:color w:val="000000"/>
          <w:lang w:eastAsia="bg-BG"/>
        </w:rPr>
        <w:t xml:space="preserve">За лечение на топли вълни при пациенти, които са на комбинирано лечение с </w:t>
      </w:r>
      <w:proofErr w:type="spellStart"/>
      <w:r w:rsidRPr="008347B7">
        <w:rPr>
          <w:rFonts w:eastAsia="Times New Roman" w:cs="Arial"/>
          <w:color w:val="000000"/>
          <w:lang w:val="en-US"/>
        </w:rPr>
        <w:t>GnRH</w:t>
      </w:r>
      <w:proofErr w:type="spellEnd"/>
      <w:r w:rsidRPr="008347B7">
        <w:rPr>
          <w:rFonts w:eastAsia="Times New Roman" w:cs="Arial"/>
          <w:color w:val="000000"/>
          <w:lang w:val="ru-RU"/>
        </w:rPr>
        <w:t xml:space="preserve"> </w:t>
      </w:r>
      <w:r w:rsidRPr="008347B7">
        <w:rPr>
          <w:rFonts w:eastAsia="Times New Roman" w:cs="Arial"/>
          <w:color w:val="000000"/>
          <w:lang w:eastAsia="bg-BG"/>
        </w:rPr>
        <w:t>аналози или които са претърпели орхиектомия</w:t>
      </w:r>
    </w:p>
    <w:p w14:paraId="71ED6486" w14:textId="77777777" w:rsidR="008347B7" w:rsidRPr="008347B7" w:rsidRDefault="008347B7" w:rsidP="008347B7">
      <w:pPr>
        <w:spacing w:line="240" w:lineRule="auto"/>
        <w:rPr>
          <w:rFonts w:eastAsia="Times New Roman" w:cs="Arial"/>
          <w:color w:val="000000"/>
          <w:lang w:eastAsia="bg-BG"/>
        </w:rPr>
      </w:pPr>
    </w:p>
    <w:p w14:paraId="7C9B5218" w14:textId="6647F776" w:rsidR="008347B7" w:rsidRPr="008347B7" w:rsidRDefault="008347B7" w:rsidP="008347B7">
      <w:pPr>
        <w:spacing w:line="240" w:lineRule="auto"/>
        <w:rPr>
          <w:rFonts w:eastAsia="Times New Roman" w:cs="Arial"/>
        </w:rPr>
      </w:pPr>
      <w:r w:rsidRPr="008347B7">
        <w:rPr>
          <w:rFonts w:eastAsia="Times New Roman" w:cs="Arial"/>
          <w:color w:val="000000"/>
          <w:lang w:eastAsia="bg-BG"/>
        </w:rPr>
        <w:t xml:space="preserve">1-3 таблетки Андрокур 50 </w:t>
      </w:r>
      <w:r w:rsidRPr="008347B7">
        <w:rPr>
          <w:rFonts w:eastAsia="Times New Roman" w:cs="Arial"/>
          <w:color w:val="000000"/>
          <w:lang w:val="en-US"/>
        </w:rPr>
        <w:t>mg</w:t>
      </w:r>
      <w:r w:rsidRPr="008347B7">
        <w:rPr>
          <w:rFonts w:eastAsia="Times New Roman" w:cs="Arial"/>
          <w:color w:val="000000"/>
          <w:lang w:val="ru-RU"/>
        </w:rPr>
        <w:t xml:space="preserve"> </w:t>
      </w:r>
      <w:r w:rsidRPr="008347B7">
        <w:rPr>
          <w:rFonts w:eastAsia="Times New Roman" w:cs="Arial"/>
          <w:color w:val="000000"/>
          <w:lang w:eastAsia="bg-BG"/>
        </w:rPr>
        <w:t xml:space="preserve">дневно (50-150 </w:t>
      </w:r>
      <w:r w:rsidRPr="008347B7">
        <w:rPr>
          <w:rFonts w:eastAsia="Times New Roman" w:cs="Arial"/>
          <w:color w:val="000000"/>
          <w:lang w:val="en-US"/>
        </w:rPr>
        <w:t>mg</w:t>
      </w:r>
      <w:r w:rsidRPr="008347B7">
        <w:rPr>
          <w:rFonts w:eastAsia="Times New Roman" w:cs="Arial"/>
          <w:color w:val="000000"/>
          <w:lang w:val="ru-RU"/>
        </w:rPr>
        <w:t xml:space="preserve">) </w:t>
      </w:r>
      <w:r w:rsidRPr="008347B7">
        <w:rPr>
          <w:rFonts w:eastAsia="Times New Roman" w:cs="Arial"/>
          <w:color w:val="000000"/>
          <w:lang w:eastAsia="bg-BG"/>
        </w:rPr>
        <w:t xml:space="preserve">с увеличаващо дозата титриране до 2 таблетки три пъти дневно (300 </w:t>
      </w:r>
      <w:r w:rsidRPr="008347B7">
        <w:rPr>
          <w:rFonts w:eastAsia="Times New Roman" w:cs="Arial"/>
          <w:color w:val="000000"/>
          <w:lang w:val="en-US"/>
        </w:rPr>
        <w:t>mg</w:t>
      </w:r>
      <w:r w:rsidRPr="008347B7">
        <w:rPr>
          <w:rFonts w:eastAsia="Times New Roman" w:cs="Arial"/>
          <w:color w:val="000000"/>
          <w:lang w:val="ru-RU"/>
        </w:rPr>
        <w:t xml:space="preserve">), </w:t>
      </w:r>
      <w:r w:rsidRPr="008347B7">
        <w:rPr>
          <w:rFonts w:eastAsia="Times New Roman" w:cs="Arial"/>
          <w:color w:val="000000"/>
          <w:lang w:eastAsia="bg-BG"/>
        </w:rPr>
        <w:t>ако се налага.</w:t>
      </w:r>
    </w:p>
    <w:p w14:paraId="2D9F8319" w14:textId="77777777" w:rsidR="008347B7" w:rsidRPr="008347B7" w:rsidRDefault="008347B7" w:rsidP="008347B7">
      <w:pPr>
        <w:spacing w:line="240" w:lineRule="auto"/>
        <w:rPr>
          <w:rFonts w:eastAsia="Times New Roman" w:cs="Arial"/>
          <w:i/>
          <w:iCs/>
          <w:color w:val="000000"/>
          <w:lang w:eastAsia="bg-BG"/>
        </w:rPr>
      </w:pPr>
    </w:p>
    <w:p w14:paraId="6DA96817" w14:textId="3B364FC8" w:rsidR="008347B7" w:rsidRPr="008347B7" w:rsidRDefault="008347B7" w:rsidP="008347B7">
      <w:pPr>
        <w:spacing w:line="240" w:lineRule="auto"/>
        <w:rPr>
          <w:rFonts w:eastAsia="Times New Roman" w:cs="Arial"/>
        </w:rPr>
      </w:pPr>
      <w:r w:rsidRPr="008347B7">
        <w:rPr>
          <w:rFonts w:eastAsia="Times New Roman" w:cs="Arial"/>
          <w:i/>
          <w:iCs/>
          <w:color w:val="000000"/>
          <w:lang w:eastAsia="bg-BG"/>
        </w:rPr>
        <w:t>Допълнителна информация при специални групи пациенти</w:t>
      </w:r>
    </w:p>
    <w:p w14:paraId="3996E417" w14:textId="77777777" w:rsidR="008347B7" w:rsidRPr="008347B7" w:rsidRDefault="008347B7" w:rsidP="008347B7">
      <w:pPr>
        <w:spacing w:line="240" w:lineRule="auto"/>
        <w:rPr>
          <w:rFonts w:eastAsia="Times New Roman" w:cs="Arial"/>
          <w:i/>
          <w:iCs/>
          <w:color w:val="000000"/>
          <w:lang w:eastAsia="bg-BG"/>
        </w:rPr>
      </w:pPr>
    </w:p>
    <w:p w14:paraId="170B207C" w14:textId="5B752EF2" w:rsidR="008347B7" w:rsidRPr="008347B7" w:rsidRDefault="008347B7" w:rsidP="008347B7">
      <w:pPr>
        <w:spacing w:line="240" w:lineRule="auto"/>
        <w:rPr>
          <w:rFonts w:eastAsia="Times New Roman" w:cs="Arial"/>
        </w:rPr>
      </w:pPr>
      <w:r w:rsidRPr="008347B7">
        <w:rPr>
          <w:rFonts w:eastAsia="Times New Roman" w:cs="Arial"/>
          <w:i/>
          <w:iCs/>
          <w:color w:val="000000"/>
          <w:lang w:eastAsia="bg-BG"/>
        </w:rPr>
        <w:t>Деца и юноши</w:t>
      </w:r>
    </w:p>
    <w:p w14:paraId="20E9FEB4" w14:textId="77777777" w:rsidR="008347B7" w:rsidRPr="008347B7" w:rsidRDefault="008347B7" w:rsidP="008347B7">
      <w:pPr>
        <w:spacing w:line="240" w:lineRule="auto"/>
        <w:rPr>
          <w:rFonts w:eastAsia="Times New Roman" w:cs="Arial"/>
        </w:rPr>
      </w:pPr>
      <w:r w:rsidRPr="008347B7">
        <w:rPr>
          <w:rFonts w:eastAsia="Times New Roman" w:cs="Arial"/>
          <w:color w:val="000000"/>
          <w:lang w:eastAsia="bg-BG"/>
        </w:rPr>
        <w:t>Андрокур не се препоръчва при момчета и юноши под 18 години, поради липса на данни за безопасност и ефикасност.</w:t>
      </w:r>
    </w:p>
    <w:p w14:paraId="4BDD0812" w14:textId="77777777" w:rsidR="008347B7" w:rsidRPr="008347B7" w:rsidRDefault="008347B7" w:rsidP="008347B7">
      <w:pPr>
        <w:spacing w:line="240" w:lineRule="auto"/>
        <w:rPr>
          <w:rFonts w:eastAsia="Times New Roman" w:cs="Arial"/>
        </w:rPr>
      </w:pPr>
      <w:r w:rsidRPr="008347B7">
        <w:rPr>
          <w:rFonts w:eastAsia="Times New Roman" w:cs="Arial"/>
          <w:color w:val="000000"/>
          <w:lang w:eastAsia="bg-BG"/>
        </w:rPr>
        <w:t>Андрокур не трябва да се прилага преди края на пубертета, тъй като не може да се изключи неблагоприятното му влияние върху растежа и върху нестабилните взаимодействия на ендокринните жлези.</w:t>
      </w:r>
    </w:p>
    <w:p w14:paraId="118B7894" w14:textId="77777777" w:rsidR="008347B7" w:rsidRPr="008347B7" w:rsidRDefault="008347B7" w:rsidP="008347B7">
      <w:pPr>
        <w:spacing w:line="240" w:lineRule="auto"/>
        <w:rPr>
          <w:rFonts w:eastAsia="Times New Roman" w:cs="Arial"/>
          <w:i/>
          <w:iCs/>
          <w:color w:val="000000"/>
          <w:lang w:eastAsia="bg-BG"/>
        </w:rPr>
      </w:pPr>
    </w:p>
    <w:p w14:paraId="798B7BB8" w14:textId="6CB90897" w:rsidR="008347B7" w:rsidRPr="008347B7" w:rsidRDefault="008347B7" w:rsidP="008347B7">
      <w:pPr>
        <w:spacing w:line="240" w:lineRule="auto"/>
        <w:rPr>
          <w:rFonts w:eastAsia="Times New Roman" w:cs="Arial"/>
        </w:rPr>
      </w:pPr>
      <w:r w:rsidRPr="008347B7">
        <w:rPr>
          <w:rFonts w:eastAsia="Times New Roman" w:cs="Arial"/>
          <w:i/>
          <w:iCs/>
          <w:color w:val="000000"/>
          <w:lang w:eastAsia="bg-BG"/>
        </w:rPr>
        <w:t>Пациенти в старческа възраст</w:t>
      </w:r>
    </w:p>
    <w:p w14:paraId="7716323C" w14:textId="77777777" w:rsidR="008347B7" w:rsidRPr="008347B7" w:rsidRDefault="008347B7" w:rsidP="008347B7">
      <w:pPr>
        <w:spacing w:line="240" w:lineRule="auto"/>
        <w:rPr>
          <w:rFonts w:eastAsia="Times New Roman" w:cs="Arial"/>
        </w:rPr>
      </w:pPr>
      <w:r w:rsidRPr="008347B7">
        <w:rPr>
          <w:rFonts w:eastAsia="Times New Roman" w:cs="Arial"/>
          <w:color w:val="000000"/>
          <w:lang w:eastAsia="bg-BG"/>
        </w:rPr>
        <w:t>Няма данни, които да показават необходимостта от корекция на дозата при пациенти в старческа възраст.</w:t>
      </w:r>
    </w:p>
    <w:p w14:paraId="69441C93" w14:textId="77777777" w:rsidR="008347B7" w:rsidRPr="008347B7" w:rsidRDefault="008347B7" w:rsidP="008347B7">
      <w:pPr>
        <w:spacing w:line="240" w:lineRule="auto"/>
        <w:rPr>
          <w:rFonts w:eastAsia="Times New Roman" w:cs="Arial"/>
          <w:i/>
          <w:iCs/>
          <w:color w:val="000000"/>
          <w:lang w:eastAsia="bg-BG"/>
        </w:rPr>
      </w:pPr>
    </w:p>
    <w:p w14:paraId="29921352" w14:textId="2E9D72A6" w:rsidR="008347B7" w:rsidRPr="008347B7" w:rsidRDefault="008347B7" w:rsidP="008347B7">
      <w:pPr>
        <w:spacing w:line="240" w:lineRule="auto"/>
        <w:rPr>
          <w:rFonts w:eastAsia="Times New Roman" w:cs="Arial"/>
        </w:rPr>
      </w:pPr>
      <w:r w:rsidRPr="008347B7">
        <w:rPr>
          <w:rFonts w:eastAsia="Times New Roman" w:cs="Arial"/>
          <w:i/>
          <w:iCs/>
          <w:color w:val="000000"/>
          <w:lang w:eastAsia="bg-BG"/>
        </w:rPr>
        <w:t>Пациенти с чернодробни нарушения</w:t>
      </w:r>
    </w:p>
    <w:p w14:paraId="63FBFD70" w14:textId="77777777" w:rsidR="008347B7" w:rsidRPr="008347B7" w:rsidRDefault="008347B7" w:rsidP="008347B7">
      <w:pPr>
        <w:spacing w:line="240" w:lineRule="auto"/>
        <w:rPr>
          <w:rFonts w:eastAsia="Times New Roman" w:cs="Arial"/>
        </w:rPr>
      </w:pPr>
      <w:r w:rsidRPr="008347B7">
        <w:rPr>
          <w:rFonts w:eastAsia="Times New Roman" w:cs="Arial"/>
          <w:color w:val="000000"/>
          <w:lang w:eastAsia="bg-BG"/>
        </w:rPr>
        <w:lastRenderedPageBreak/>
        <w:t>Употребата на Андрокур е противопоказана при пациенти с чернодробни заболявания (напр. ако стойностите на чернодробната функция не се възвърнат към нормалните продължително време).</w:t>
      </w:r>
    </w:p>
    <w:p w14:paraId="79D777F7" w14:textId="77777777" w:rsidR="008347B7" w:rsidRPr="008347B7" w:rsidRDefault="008347B7" w:rsidP="008347B7">
      <w:pPr>
        <w:spacing w:line="240" w:lineRule="auto"/>
        <w:rPr>
          <w:rFonts w:eastAsia="Times New Roman" w:cs="Arial"/>
          <w:i/>
          <w:iCs/>
          <w:color w:val="000000"/>
          <w:lang w:eastAsia="bg-BG"/>
        </w:rPr>
      </w:pPr>
    </w:p>
    <w:p w14:paraId="5536AAEC" w14:textId="75091E2C" w:rsidR="008347B7" w:rsidRPr="008347B7" w:rsidRDefault="008347B7" w:rsidP="008347B7">
      <w:pPr>
        <w:spacing w:line="240" w:lineRule="auto"/>
        <w:rPr>
          <w:rFonts w:eastAsia="Times New Roman" w:cs="Arial"/>
        </w:rPr>
      </w:pPr>
      <w:r w:rsidRPr="008347B7">
        <w:rPr>
          <w:rFonts w:eastAsia="Times New Roman" w:cs="Arial"/>
          <w:i/>
          <w:iCs/>
          <w:color w:val="000000"/>
          <w:lang w:eastAsia="bg-BG"/>
        </w:rPr>
        <w:t>Пациенти с бъбречни нарушения</w:t>
      </w:r>
    </w:p>
    <w:p w14:paraId="6F9CAA8B" w14:textId="6D2BBBB5" w:rsidR="008347B7" w:rsidRPr="008347B7" w:rsidRDefault="008347B7" w:rsidP="008347B7">
      <w:pPr>
        <w:spacing w:line="240" w:lineRule="auto"/>
        <w:rPr>
          <w:rFonts w:eastAsia="Times New Roman" w:cs="Arial"/>
        </w:rPr>
      </w:pPr>
      <w:r w:rsidRPr="008347B7">
        <w:rPr>
          <w:rFonts w:eastAsia="Times New Roman" w:cs="Arial"/>
          <w:color w:val="000000"/>
          <w:lang w:eastAsia="bg-BG"/>
        </w:rPr>
        <w:t>Няма данни, които да показват необходимостта от корекция на дозата при пациенти с бъбречни увреждания.</w:t>
      </w:r>
    </w:p>
    <w:p w14:paraId="098752BC" w14:textId="3A4F77A4" w:rsidR="008347B7" w:rsidRPr="008347B7" w:rsidRDefault="008347B7" w:rsidP="008347B7"/>
    <w:p w14:paraId="45A3672A" w14:textId="69516626" w:rsidR="00426E5F" w:rsidRDefault="002C50EE" w:rsidP="00A65A81">
      <w:pPr>
        <w:pStyle w:val="Heading2"/>
      </w:pPr>
      <w:r>
        <w:t>4.3. Противопоказания</w:t>
      </w:r>
    </w:p>
    <w:p w14:paraId="72C8B969" w14:textId="197DE9C8" w:rsidR="008347B7" w:rsidRDefault="008347B7" w:rsidP="008347B7"/>
    <w:p w14:paraId="10789649" w14:textId="6B34C368" w:rsidR="008347B7" w:rsidRDefault="008347B7" w:rsidP="008347B7">
      <w:pPr>
        <w:pStyle w:val="Heading2"/>
        <w:rPr>
          <w:rFonts w:eastAsia="Times New Roman"/>
          <w:lang w:eastAsia="bg-BG"/>
        </w:rPr>
      </w:pPr>
      <w:r>
        <w:t xml:space="preserve">4.3.1 </w:t>
      </w:r>
      <w:r w:rsidRPr="008347B7">
        <w:rPr>
          <w:rFonts w:eastAsia="Times New Roman"/>
          <w:lang w:eastAsia="bg-BG"/>
        </w:rPr>
        <w:t>Противопоказания при жени</w:t>
      </w:r>
    </w:p>
    <w:p w14:paraId="23CD1D50" w14:textId="77777777" w:rsidR="008347B7" w:rsidRPr="008347B7" w:rsidRDefault="008347B7" w:rsidP="008347B7">
      <w:pPr>
        <w:pStyle w:val="ListParagraph"/>
        <w:numPr>
          <w:ilvl w:val="0"/>
          <w:numId w:val="34"/>
        </w:numPr>
        <w:rPr>
          <w:lang w:eastAsia="bg-BG"/>
        </w:rPr>
      </w:pPr>
      <w:r w:rsidRPr="008347B7">
        <w:rPr>
          <w:lang w:eastAsia="bg-BG"/>
        </w:rPr>
        <w:t>Бременност;</w:t>
      </w:r>
    </w:p>
    <w:p w14:paraId="0EEA405C" w14:textId="77777777" w:rsidR="008347B7" w:rsidRPr="008347B7" w:rsidRDefault="008347B7" w:rsidP="008347B7">
      <w:pPr>
        <w:pStyle w:val="ListParagraph"/>
        <w:numPr>
          <w:ilvl w:val="0"/>
          <w:numId w:val="34"/>
        </w:numPr>
        <w:rPr>
          <w:lang w:eastAsia="bg-BG"/>
        </w:rPr>
      </w:pPr>
      <w:r w:rsidRPr="008347B7">
        <w:rPr>
          <w:lang w:eastAsia="bg-BG"/>
        </w:rPr>
        <w:t>Кърмене;</w:t>
      </w:r>
    </w:p>
    <w:p w14:paraId="4BB3C909" w14:textId="77777777" w:rsidR="008347B7" w:rsidRPr="008347B7" w:rsidRDefault="008347B7" w:rsidP="008347B7">
      <w:pPr>
        <w:pStyle w:val="ListParagraph"/>
        <w:numPr>
          <w:ilvl w:val="0"/>
          <w:numId w:val="34"/>
        </w:numPr>
        <w:rPr>
          <w:lang w:eastAsia="bg-BG"/>
        </w:rPr>
      </w:pPr>
      <w:r w:rsidRPr="008347B7">
        <w:rPr>
          <w:lang w:eastAsia="bg-BG"/>
        </w:rPr>
        <w:t>Заболявания на черния дроб;</w:t>
      </w:r>
    </w:p>
    <w:p w14:paraId="4B344046" w14:textId="77777777" w:rsidR="008347B7" w:rsidRPr="008347B7" w:rsidRDefault="008347B7" w:rsidP="008347B7">
      <w:pPr>
        <w:pStyle w:val="ListParagraph"/>
        <w:numPr>
          <w:ilvl w:val="0"/>
          <w:numId w:val="34"/>
        </w:numPr>
        <w:rPr>
          <w:lang w:eastAsia="bg-BG"/>
        </w:rPr>
      </w:pPr>
      <w:r w:rsidRPr="008347B7">
        <w:rPr>
          <w:lang w:eastAsia="bg-BG"/>
        </w:rPr>
        <w:t xml:space="preserve">Синдром на </w:t>
      </w:r>
      <w:proofErr w:type="spellStart"/>
      <w:r w:rsidRPr="008347B7">
        <w:rPr>
          <w:lang w:val="en-US"/>
        </w:rPr>
        <w:t>Dubin</w:t>
      </w:r>
      <w:proofErr w:type="spellEnd"/>
      <w:r w:rsidRPr="008347B7">
        <w:rPr>
          <w:lang w:val="ru-RU"/>
        </w:rPr>
        <w:t>-</w:t>
      </w:r>
      <w:r w:rsidRPr="008347B7">
        <w:rPr>
          <w:lang w:val="en-US"/>
        </w:rPr>
        <w:t>Johnson</w:t>
      </w:r>
      <w:r w:rsidRPr="008347B7">
        <w:rPr>
          <w:lang w:val="ru-RU"/>
        </w:rPr>
        <w:t xml:space="preserve">, </w:t>
      </w:r>
      <w:r w:rsidRPr="008347B7">
        <w:rPr>
          <w:lang w:eastAsia="bg-BG"/>
        </w:rPr>
        <w:t xml:space="preserve">синдром на </w:t>
      </w:r>
      <w:r w:rsidRPr="008347B7">
        <w:rPr>
          <w:lang w:val="en-US"/>
        </w:rPr>
        <w:t>Rotor</w:t>
      </w:r>
      <w:r w:rsidRPr="008347B7">
        <w:rPr>
          <w:lang w:val="ru-RU"/>
        </w:rPr>
        <w:t>;</w:t>
      </w:r>
    </w:p>
    <w:p w14:paraId="2E92ADC0" w14:textId="77777777" w:rsidR="008347B7" w:rsidRPr="008347B7" w:rsidRDefault="008347B7" w:rsidP="008347B7">
      <w:pPr>
        <w:pStyle w:val="ListParagraph"/>
        <w:numPr>
          <w:ilvl w:val="0"/>
          <w:numId w:val="34"/>
        </w:numPr>
        <w:rPr>
          <w:lang w:eastAsia="bg-BG"/>
        </w:rPr>
      </w:pPr>
      <w:r w:rsidRPr="008347B7">
        <w:rPr>
          <w:lang w:eastAsia="bg-BG"/>
        </w:rPr>
        <w:t>Анамнеза за жълтеница или наличие на пруритус по време на бременност;</w:t>
      </w:r>
    </w:p>
    <w:p w14:paraId="4C205CF1" w14:textId="77777777" w:rsidR="008347B7" w:rsidRPr="008347B7" w:rsidRDefault="008347B7" w:rsidP="008347B7">
      <w:pPr>
        <w:pStyle w:val="ListParagraph"/>
        <w:numPr>
          <w:ilvl w:val="0"/>
          <w:numId w:val="34"/>
        </w:numPr>
        <w:rPr>
          <w:lang w:eastAsia="bg-BG"/>
        </w:rPr>
      </w:pPr>
      <w:r w:rsidRPr="008347B7">
        <w:rPr>
          <w:lang w:eastAsia="bg-BG"/>
        </w:rPr>
        <w:t>Анамнеза за херпес по време на бременност;</w:t>
      </w:r>
    </w:p>
    <w:p w14:paraId="109A5A40" w14:textId="77777777" w:rsidR="008347B7" w:rsidRPr="008347B7" w:rsidRDefault="008347B7" w:rsidP="008347B7">
      <w:pPr>
        <w:pStyle w:val="ListParagraph"/>
        <w:numPr>
          <w:ilvl w:val="0"/>
          <w:numId w:val="34"/>
        </w:numPr>
        <w:rPr>
          <w:lang w:eastAsia="bg-BG"/>
        </w:rPr>
      </w:pPr>
      <w:r w:rsidRPr="008347B7">
        <w:rPr>
          <w:lang w:eastAsia="bg-BG"/>
        </w:rPr>
        <w:t>Предшестващи или налични чернодробни тумори;</w:t>
      </w:r>
    </w:p>
    <w:p w14:paraId="0C8514C8" w14:textId="77777777" w:rsidR="008347B7" w:rsidRPr="008347B7" w:rsidRDefault="008347B7" w:rsidP="008347B7">
      <w:pPr>
        <w:pStyle w:val="ListParagraph"/>
        <w:numPr>
          <w:ilvl w:val="0"/>
          <w:numId w:val="34"/>
        </w:numPr>
        <w:rPr>
          <w:lang w:eastAsia="bg-BG"/>
        </w:rPr>
      </w:pPr>
      <w:r w:rsidRPr="008347B7">
        <w:rPr>
          <w:lang w:eastAsia="bg-BG"/>
        </w:rPr>
        <w:t>Наличие или анамнеза за менингиома;</w:t>
      </w:r>
    </w:p>
    <w:p w14:paraId="687AF3BA" w14:textId="77777777" w:rsidR="008347B7" w:rsidRPr="008347B7" w:rsidRDefault="008347B7" w:rsidP="008347B7">
      <w:pPr>
        <w:pStyle w:val="ListParagraph"/>
        <w:numPr>
          <w:ilvl w:val="0"/>
          <w:numId w:val="34"/>
        </w:numPr>
        <w:rPr>
          <w:lang w:eastAsia="bg-BG"/>
        </w:rPr>
      </w:pPr>
      <w:r w:rsidRPr="008347B7">
        <w:rPr>
          <w:lang w:eastAsia="bg-BG"/>
        </w:rPr>
        <w:t>Изтощителни заболявания;</w:t>
      </w:r>
    </w:p>
    <w:p w14:paraId="4FE513D1" w14:textId="77777777" w:rsidR="008347B7" w:rsidRPr="008347B7" w:rsidRDefault="008347B7" w:rsidP="008347B7">
      <w:pPr>
        <w:pStyle w:val="ListParagraph"/>
        <w:numPr>
          <w:ilvl w:val="0"/>
          <w:numId w:val="34"/>
        </w:numPr>
        <w:rPr>
          <w:lang w:eastAsia="bg-BG"/>
        </w:rPr>
      </w:pPr>
      <w:r w:rsidRPr="008347B7">
        <w:rPr>
          <w:lang w:eastAsia="bg-BG"/>
        </w:rPr>
        <w:t>Тежка хронична депресия;</w:t>
      </w:r>
    </w:p>
    <w:p w14:paraId="22360C53" w14:textId="77777777" w:rsidR="008347B7" w:rsidRPr="008347B7" w:rsidRDefault="008347B7" w:rsidP="008347B7">
      <w:pPr>
        <w:pStyle w:val="ListParagraph"/>
        <w:numPr>
          <w:ilvl w:val="0"/>
          <w:numId w:val="34"/>
        </w:numPr>
        <w:rPr>
          <w:lang w:eastAsia="bg-BG"/>
        </w:rPr>
      </w:pPr>
      <w:r w:rsidRPr="008347B7">
        <w:rPr>
          <w:lang w:eastAsia="bg-BG"/>
        </w:rPr>
        <w:t>Анамнеза или данни за тромбоемболични процеси;</w:t>
      </w:r>
    </w:p>
    <w:p w14:paraId="0E838600" w14:textId="77777777" w:rsidR="008347B7" w:rsidRPr="008347B7" w:rsidRDefault="008347B7" w:rsidP="008347B7">
      <w:pPr>
        <w:pStyle w:val="ListParagraph"/>
        <w:numPr>
          <w:ilvl w:val="0"/>
          <w:numId w:val="34"/>
        </w:numPr>
        <w:rPr>
          <w:lang w:eastAsia="bg-BG"/>
        </w:rPr>
      </w:pPr>
      <w:r w:rsidRPr="008347B7">
        <w:rPr>
          <w:lang w:eastAsia="bg-BG"/>
        </w:rPr>
        <w:t>Тежък диабет със съдови промени;</w:t>
      </w:r>
    </w:p>
    <w:p w14:paraId="66B86A2A" w14:textId="77777777" w:rsidR="008347B7" w:rsidRPr="008347B7" w:rsidRDefault="008347B7" w:rsidP="008347B7">
      <w:pPr>
        <w:pStyle w:val="ListParagraph"/>
        <w:numPr>
          <w:ilvl w:val="0"/>
          <w:numId w:val="34"/>
        </w:numPr>
        <w:rPr>
          <w:lang w:eastAsia="bg-BG"/>
        </w:rPr>
      </w:pPr>
      <w:r w:rsidRPr="008347B7">
        <w:rPr>
          <w:lang w:eastAsia="bg-BG"/>
        </w:rPr>
        <w:t>Сърповидно-клетъчна анемия;</w:t>
      </w:r>
    </w:p>
    <w:p w14:paraId="4BCDC7FD" w14:textId="77777777" w:rsidR="008347B7" w:rsidRPr="008347B7" w:rsidRDefault="008347B7" w:rsidP="008347B7">
      <w:pPr>
        <w:pStyle w:val="ListParagraph"/>
        <w:numPr>
          <w:ilvl w:val="0"/>
          <w:numId w:val="34"/>
        </w:numPr>
        <w:rPr>
          <w:lang w:eastAsia="bg-BG"/>
        </w:rPr>
      </w:pPr>
      <w:r w:rsidRPr="008347B7">
        <w:rPr>
          <w:lang w:eastAsia="bg-BG"/>
        </w:rPr>
        <w:t>Свръхчувствителност към някоя от съставките на Андрокур;</w:t>
      </w:r>
    </w:p>
    <w:p w14:paraId="24D39EF3" w14:textId="7D2649C6" w:rsidR="008347B7" w:rsidRDefault="008347B7" w:rsidP="008347B7">
      <w:pPr>
        <w:rPr>
          <w:lang w:eastAsia="bg-BG"/>
        </w:rPr>
      </w:pPr>
    </w:p>
    <w:p w14:paraId="0935901B" w14:textId="66E61C2C" w:rsidR="008347B7" w:rsidRPr="008347B7" w:rsidRDefault="008347B7" w:rsidP="008347B7">
      <w:pPr>
        <w:rPr>
          <w:sz w:val="24"/>
          <w:szCs w:val="24"/>
        </w:rPr>
      </w:pPr>
      <w:r w:rsidRPr="008347B7">
        <w:rPr>
          <w:lang w:eastAsia="bg-BG"/>
        </w:rPr>
        <w:t>По отношение на цикличната комбинирана терапия при тежки явления на андрогенизиране, е необходимо повишено внимание относно противопоказанията, съдържащи се в продуктовата информация на Диане 35, който се използва заедно с Андрокур.</w:t>
      </w:r>
    </w:p>
    <w:p w14:paraId="069278B1" w14:textId="40E93F38" w:rsidR="008347B7" w:rsidRDefault="008347B7" w:rsidP="008347B7">
      <w:pPr>
        <w:rPr>
          <w:lang w:eastAsia="bg-BG"/>
        </w:rPr>
      </w:pPr>
    </w:p>
    <w:p w14:paraId="4F2B1EC9" w14:textId="096E28B7" w:rsidR="008347B7" w:rsidRPr="008347B7" w:rsidRDefault="008347B7" w:rsidP="008347B7">
      <w:pPr>
        <w:pStyle w:val="Heading2"/>
        <w:rPr>
          <w:lang w:eastAsia="bg-BG"/>
        </w:rPr>
      </w:pPr>
      <w:r>
        <w:rPr>
          <w:lang w:eastAsia="bg-BG"/>
        </w:rPr>
        <w:t xml:space="preserve">4.3.2 </w:t>
      </w:r>
      <w:r>
        <w:t>Противопоказания при мъже</w:t>
      </w:r>
    </w:p>
    <w:p w14:paraId="0E7E6238" w14:textId="621CB60A" w:rsidR="008347B7" w:rsidRDefault="008347B7" w:rsidP="008347B7"/>
    <w:p w14:paraId="02809B5E" w14:textId="5766B785" w:rsidR="008347B7" w:rsidRDefault="008347B7" w:rsidP="008347B7">
      <w:pPr>
        <w:pStyle w:val="Heading2"/>
      </w:pPr>
      <w:r>
        <w:t xml:space="preserve">4.3.2.1 </w:t>
      </w:r>
      <w:r>
        <w:t>Потискане на либидото при сексуални отклонения</w:t>
      </w:r>
    </w:p>
    <w:p w14:paraId="1A9B55F7" w14:textId="543DA6BE" w:rsidR="008347B7" w:rsidRDefault="008347B7" w:rsidP="008347B7"/>
    <w:p w14:paraId="43233F3A" w14:textId="77777777" w:rsidR="008347B7" w:rsidRDefault="008347B7" w:rsidP="008347B7">
      <w:pPr>
        <w:pStyle w:val="ListParagraph"/>
        <w:numPr>
          <w:ilvl w:val="0"/>
          <w:numId w:val="35"/>
        </w:numPr>
      </w:pPr>
      <w:r>
        <w:t>Чернодробни заболявания;</w:t>
      </w:r>
    </w:p>
    <w:p w14:paraId="210B91D6" w14:textId="77777777" w:rsidR="008347B7" w:rsidRPr="008347B7" w:rsidRDefault="008347B7" w:rsidP="008347B7">
      <w:pPr>
        <w:pStyle w:val="ListParagraph"/>
        <w:numPr>
          <w:ilvl w:val="0"/>
          <w:numId w:val="35"/>
        </w:numPr>
      </w:pPr>
      <w:r w:rsidRPr="008347B7">
        <w:rPr>
          <w:rFonts w:ascii="Times New Roman" w:eastAsia="Times New Roman" w:hAnsi="Times New Roman" w:cs="Times New Roman"/>
          <w:color w:val="000000"/>
          <w:lang w:eastAsia="bg-BG"/>
        </w:rPr>
        <w:t xml:space="preserve">Синдром на </w:t>
      </w:r>
      <w:proofErr w:type="spellStart"/>
      <w:r w:rsidRPr="008347B7">
        <w:rPr>
          <w:rFonts w:ascii="Times New Roman" w:eastAsia="Times New Roman" w:hAnsi="Times New Roman" w:cs="Times New Roman"/>
          <w:color w:val="000000"/>
          <w:lang w:val="en-US"/>
        </w:rPr>
        <w:t>Dubin</w:t>
      </w:r>
      <w:proofErr w:type="spellEnd"/>
      <w:r w:rsidRPr="008347B7">
        <w:rPr>
          <w:rFonts w:ascii="Times New Roman" w:eastAsia="Times New Roman" w:hAnsi="Times New Roman" w:cs="Times New Roman"/>
          <w:color w:val="000000"/>
          <w:lang w:val="ru-RU"/>
        </w:rPr>
        <w:t>-</w:t>
      </w:r>
      <w:r w:rsidRPr="008347B7">
        <w:rPr>
          <w:rFonts w:ascii="Times New Roman" w:eastAsia="Times New Roman" w:hAnsi="Times New Roman" w:cs="Times New Roman"/>
          <w:color w:val="000000"/>
          <w:lang w:val="en-US"/>
        </w:rPr>
        <w:t>Johnson</w:t>
      </w:r>
      <w:r w:rsidRPr="008347B7">
        <w:rPr>
          <w:rFonts w:ascii="Times New Roman" w:eastAsia="Times New Roman" w:hAnsi="Times New Roman" w:cs="Times New Roman"/>
          <w:color w:val="000000"/>
          <w:lang w:val="ru-RU"/>
        </w:rPr>
        <w:t xml:space="preserve">, </w:t>
      </w:r>
      <w:r w:rsidRPr="008347B7">
        <w:rPr>
          <w:rFonts w:ascii="Times New Roman" w:eastAsia="Times New Roman" w:hAnsi="Times New Roman" w:cs="Times New Roman"/>
          <w:color w:val="000000"/>
          <w:lang w:eastAsia="bg-BG"/>
        </w:rPr>
        <w:t xml:space="preserve">синдром на </w:t>
      </w:r>
      <w:r w:rsidRPr="008347B7">
        <w:rPr>
          <w:rFonts w:ascii="Times New Roman" w:eastAsia="Times New Roman" w:hAnsi="Times New Roman" w:cs="Times New Roman"/>
          <w:color w:val="000000"/>
          <w:lang w:val="en-US"/>
        </w:rPr>
        <w:t>Rotor</w:t>
      </w:r>
      <w:r w:rsidRPr="008347B7">
        <w:rPr>
          <w:rFonts w:ascii="Times New Roman" w:eastAsia="Times New Roman" w:hAnsi="Times New Roman" w:cs="Times New Roman"/>
          <w:color w:val="000000"/>
          <w:lang w:val="ru-RU"/>
        </w:rPr>
        <w:t>;</w:t>
      </w:r>
    </w:p>
    <w:p w14:paraId="012AE602" w14:textId="77777777" w:rsidR="008347B7" w:rsidRPr="008347B7" w:rsidRDefault="008347B7" w:rsidP="008347B7">
      <w:pPr>
        <w:pStyle w:val="ListParagraph"/>
        <w:numPr>
          <w:ilvl w:val="0"/>
          <w:numId w:val="35"/>
        </w:numPr>
      </w:pPr>
      <w:r w:rsidRPr="008347B7">
        <w:rPr>
          <w:rFonts w:ascii="Times New Roman" w:eastAsia="Times New Roman" w:hAnsi="Times New Roman" w:cs="Times New Roman"/>
          <w:color w:val="000000"/>
          <w:lang w:eastAsia="bg-BG"/>
        </w:rPr>
        <w:t>Предшестващи или налични чернодробни тумори (само ако не се дължат на метастази от карцинома на простатата);</w:t>
      </w:r>
    </w:p>
    <w:p w14:paraId="11C67D82" w14:textId="77777777" w:rsidR="008347B7" w:rsidRPr="008347B7" w:rsidRDefault="008347B7" w:rsidP="008347B7">
      <w:pPr>
        <w:pStyle w:val="ListParagraph"/>
        <w:numPr>
          <w:ilvl w:val="0"/>
          <w:numId w:val="35"/>
        </w:numPr>
      </w:pPr>
      <w:r w:rsidRPr="008347B7">
        <w:rPr>
          <w:rFonts w:ascii="Times New Roman" w:eastAsia="Times New Roman" w:hAnsi="Times New Roman" w:cs="Times New Roman"/>
          <w:color w:val="000000"/>
          <w:lang w:eastAsia="bg-BG"/>
        </w:rPr>
        <w:t>Наличие или анамнеза за менингиома;</w:t>
      </w:r>
    </w:p>
    <w:p w14:paraId="44AE8277" w14:textId="77777777" w:rsidR="008347B7" w:rsidRPr="008347B7" w:rsidRDefault="008347B7" w:rsidP="008347B7">
      <w:pPr>
        <w:pStyle w:val="ListParagraph"/>
        <w:numPr>
          <w:ilvl w:val="0"/>
          <w:numId w:val="35"/>
        </w:numPr>
      </w:pPr>
      <w:r w:rsidRPr="008347B7">
        <w:rPr>
          <w:rFonts w:ascii="Times New Roman" w:eastAsia="Times New Roman" w:hAnsi="Times New Roman" w:cs="Times New Roman"/>
          <w:color w:val="000000"/>
          <w:lang w:eastAsia="bg-BG"/>
        </w:rPr>
        <w:t>Изтощителни заболявания;</w:t>
      </w:r>
    </w:p>
    <w:p w14:paraId="42FF547F" w14:textId="77777777" w:rsidR="008347B7" w:rsidRPr="008347B7" w:rsidRDefault="008347B7" w:rsidP="008347B7">
      <w:pPr>
        <w:pStyle w:val="ListParagraph"/>
        <w:numPr>
          <w:ilvl w:val="0"/>
          <w:numId w:val="35"/>
        </w:numPr>
      </w:pPr>
      <w:r w:rsidRPr="008347B7">
        <w:rPr>
          <w:rFonts w:ascii="Times New Roman" w:eastAsia="Times New Roman" w:hAnsi="Times New Roman" w:cs="Times New Roman"/>
          <w:color w:val="000000"/>
          <w:lang w:eastAsia="bg-BG"/>
        </w:rPr>
        <w:t>Тежка хронична депресия;</w:t>
      </w:r>
    </w:p>
    <w:p w14:paraId="2B7A09F0" w14:textId="77777777" w:rsidR="008347B7" w:rsidRPr="008347B7" w:rsidRDefault="008347B7" w:rsidP="008347B7">
      <w:pPr>
        <w:pStyle w:val="ListParagraph"/>
        <w:numPr>
          <w:ilvl w:val="0"/>
          <w:numId w:val="35"/>
        </w:numPr>
      </w:pPr>
      <w:r w:rsidRPr="008347B7">
        <w:rPr>
          <w:rFonts w:ascii="Times New Roman" w:eastAsia="Times New Roman" w:hAnsi="Times New Roman" w:cs="Times New Roman"/>
          <w:color w:val="000000"/>
          <w:lang w:eastAsia="bg-BG"/>
        </w:rPr>
        <w:t>Анамнеза или данни за тромбоемболични процеси;</w:t>
      </w:r>
    </w:p>
    <w:p w14:paraId="64DBD72A" w14:textId="77777777" w:rsidR="008347B7" w:rsidRPr="008347B7" w:rsidRDefault="008347B7" w:rsidP="008347B7">
      <w:pPr>
        <w:pStyle w:val="ListParagraph"/>
        <w:numPr>
          <w:ilvl w:val="0"/>
          <w:numId w:val="35"/>
        </w:numPr>
      </w:pPr>
      <w:r w:rsidRPr="008347B7">
        <w:rPr>
          <w:rFonts w:ascii="Times New Roman" w:eastAsia="Times New Roman" w:hAnsi="Times New Roman" w:cs="Times New Roman"/>
          <w:color w:val="000000"/>
          <w:lang w:eastAsia="bg-BG"/>
        </w:rPr>
        <w:t>Тежък диабет със съдови промени;</w:t>
      </w:r>
    </w:p>
    <w:p w14:paraId="5E5F1C03" w14:textId="77777777" w:rsidR="008347B7" w:rsidRPr="008347B7" w:rsidRDefault="008347B7" w:rsidP="008347B7">
      <w:pPr>
        <w:pStyle w:val="ListParagraph"/>
        <w:numPr>
          <w:ilvl w:val="0"/>
          <w:numId w:val="35"/>
        </w:numPr>
      </w:pPr>
      <w:r w:rsidRPr="008347B7">
        <w:rPr>
          <w:rFonts w:ascii="Times New Roman" w:eastAsia="Times New Roman" w:hAnsi="Times New Roman" w:cs="Times New Roman"/>
          <w:color w:val="000000"/>
          <w:lang w:eastAsia="bg-BG"/>
        </w:rPr>
        <w:t>Сърповидно-клетъчна анемия;</w:t>
      </w:r>
    </w:p>
    <w:p w14:paraId="05131D20" w14:textId="01C29388" w:rsidR="008347B7" w:rsidRPr="008347B7" w:rsidRDefault="008347B7" w:rsidP="008347B7">
      <w:pPr>
        <w:pStyle w:val="ListParagraph"/>
        <w:numPr>
          <w:ilvl w:val="0"/>
          <w:numId w:val="35"/>
        </w:numPr>
      </w:pPr>
      <w:r w:rsidRPr="008347B7">
        <w:rPr>
          <w:rFonts w:ascii="Times New Roman" w:eastAsia="Times New Roman" w:hAnsi="Times New Roman" w:cs="Times New Roman"/>
          <w:color w:val="000000"/>
          <w:lang w:eastAsia="bg-BG"/>
        </w:rPr>
        <w:lastRenderedPageBreak/>
        <w:t>Свръхчувствителност към някоя от съставките на Андрокур;</w:t>
      </w:r>
    </w:p>
    <w:p w14:paraId="20A28639" w14:textId="20D49CEA" w:rsidR="008347B7" w:rsidRDefault="008347B7" w:rsidP="008347B7"/>
    <w:p w14:paraId="179488C3" w14:textId="0D076048" w:rsidR="008347B7" w:rsidRDefault="008347B7" w:rsidP="008347B7">
      <w:pPr>
        <w:pStyle w:val="Heading2"/>
      </w:pPr>
      <w:r>
        <w:t xml:space="preserve">4.3.2.2 </w:t>
      </w:r>
      <w:r>
        <w:t>Антиандрогенна терапия при неоперабилен карцином на простатата</w:t>
      </w:r>
    </w:p>
    <w:p w14:paraId="43A6E1EE" w14:textId="77777777" w:rsidR="008347B7" w:rsidRPr="008347B7" w:rsidRDefault="008347B7" w:rsidP="008347B7">
      <w:pPr>
        <w:pStyle w:val="ListParagraph"/>
        <w:numPr>
          <w:ilvl w:val="0"/>
          <w:numId w:val="36"/>
        </w:numPr>
        <w:rPr>
          <w:lang w:eastAsia="bg-BG"/>
        </w:rPr>
      </w:pPr>
      <w:r w:rsidRPr="008347B7">
        <w:rPr>
          <w:lang w:eastAsia="bg-BG"/>
        </w:rPr>
        <w:t>Чернодробни заболявания;</w:t>
      </w:r>
    </w:p>
    <w:p w14:paraId="743652E8" w14:textId="77777777" w:rsidR="008347B7" w:rsidRPr="008347B7" w:rsidRDefault="008347B7" w:rsidP="008347B7">
      <w:pPr>
        <w:pStyle w:val="ListParagraph"/>
        <w:numPr>
          <w:ilvl w:val="0"/>
          <w:numId w:val="36"/>
        </w:numPr>
        <w:rPr>
          <w:lang w:eastAsia="bg-BG"/>
        </w:rPr>
      </w:pPr>
      <w:r w:rsidRPr="008347B7">
        <w:rPr>
          <w:lang w:eastAsia="bg-BG"/>
        </w:rPr>
        <w:t xml:space="preserve">Синдром на </w:t>
      </w:r>
      <w:proofErr w:type="spellStart"/>
      <w:r w:rsidRPr="008347B7">
        <w:rPr>
          <w:lang w:val="en-US"/>
        </w:rPr>
        <w:t>Dubin</w:t>
      </w:r>
      <w:proofErr w:type="spellEnd"/>
      <w:r w:rsidRPr="008347B7">
        <w:rPr>
          <w:lang w:val="ru-RU"/>
        </w:rPr>
        <w:t>-</w:t>
      </w:r>
      <w:r w:rsidRPr="008347B7">
        <w:rPr>
          <w:lang w:val="en-US"/>
        </w:rPr>
        <w:t>Johnson</w:t>
      </w:r>
      <w:r w:rsidRPr="008347B7">
        <w:rPr>
          <w:lang w:val="ru-RU"/>
        </w:rPr>
        <w:t xml:space="preserve">, </w:t>
      </w:r>
      <w:r w:rsidRPr="008347B7">
        <w:rPr>
          <w:lang w:eastAsia="bg-BG"/>
        </w:rPr>
        <w:t xml:space="preserve">синдром на </w:t>
      </w:r>
      <w:r w:rsidRPr="008347B7">
        <w:rPr>
          <w:lang w:val="en-US"/>
        </w:rPr>
        <w:t>Rotor</w:t>
      </w:r>
      <w:r w:rsidRPr="008347B7">
        <w:rPr>
          <w:lang w:val="ru-RU"/>
        </w:rPr>
        <w:t>;</w:t>
      </w:r>
    </w:p>
    <w:p w14:paraId="63177A40" w14:textId="77777777" w:rsidR="008347B7" w:rsidRPr="008347B7" w:rsidRDefault="008347B7" w:rsidP="008347B7">
      <w:pPr>
        <w:pStyle w:val="ListParagraph"/>
        <w:numPr>
          <w:ilvl w:val="0"/>
          <w:numId w:val="36"/>
        </w:numPr>
        <w:rPr>
          <w:lang w:eastAsia="bg-BG"/>
        </w:rPr>
      </w:pPr>
      <w:r w:rsidRPr="008347B7">
        <w:rPr>
          <w:lang w:eastAsia="bg-BG"/>
        </w:rPr>
        <w:t>Предшестващи или налични чернодробни тумори (само ако не се дължат на метастази от карцином на простатата);</w:t>
      </w:r>
    </w:p>
    <w:p w14:paraId="16B9DFB7" w14:textId="77777777" w:rsidR="008347B7" w:rsidRPr="008347B7" w:rsidRDefault="008347B7" w:rsidP="008347B7">
      <w:pPr>
        <w:pStyle w:val="ListParagraph"/>
        <w:numPr>
          <w:ilvl w:val="0"/>
          <w:numId w:val="36"/>
        </w:numPr>
        <w:rPr>
          <w:lang w:eastAsia="bg-BG"/>
        </w:rPr>
      </w:pPr>
      <w:r w:rsidRPr="008347B7">
        <w:rPr>
          <w:lang w:eastAsia="bg-BG"/>
        </w:rPr>
        <w:t>Изтощителни заболявания (с изключение на неоперабилен карцином на простатата);</w:t>
      </w:r>
    </w:p>
    <w:p w14:paraId="73C8299F" w14:textId="77777777" w:rsidR="008347B7" w:rsidRPr="008347B7" w:rsidRDefault="008347B7" w:rsidP="008347B7">
      <w:pPr>
        <w:pStyle w:val="ListParagraph"/>
        <w:numPr>
          <w:ilvl w:val="0"/>
          <w:numId w:val="36"/>
        </w:numPr>
        <w:rPr>
          <w:lang w:eastAsia="bg-BG"/>
        </w:rPr>
      </w:pPr>
      <w:r w:rsidRPr="008347B7">
        <w:rPr>
          <w:lang w:eastAsia="bg-BG"/>
        </w:rPr>
        <w:t>Тежка хронична депресия;</w:t>
      </w:r>
    </w:p>
    <w:p w14:paraId="60F1B72A" w14:textId="77777777" w:rsidR="008347B7" w:rsidRPr="008347B7" w:rsidRDefault="008347B7" w:rsidP="008347B7">
      <w:pPr>
        <w:pStyle w:val="ListParagraph"/>
        <w:numPr>
          <w:ilvl w:val="0"/>
          <w:numId w:val="36"/>
        </w:numPr>
        <w:rPr>
          <w:lang w:eastAsia="bg-BG"/>
        </w:rPr>
      </w:pPr>
      <w:r w:rsidRPr="008347B7">
        <w:rPr>
          <w:lang w:eastAsia="bg-BG"/>
        </w:rPr>
        <w:t>Анамнеза или данни за тромбоемболични процеси;</w:t>
      </w:r>
    </w:p>
    <w:p w14:paraId="340CB095" w14:textId="77777777" w:rsidR="008347B7" w:rsidRPr="008347B7" w:rsidRDefault="008347B7" w:rsidP="008347B7">
      <w:pPr>
        <w:pStyle w:val="ListParagraph"/>
        <w:numPr>
          <w:ilvl w:val="0"/>
          <w:numId w:val="36"/>
        </w:numPr>
        <w:rPr>
          <w:lang w:eastAsia="bg-BG"/>
        </w:rPr>
      </w:pPr>
      <w:r w:rsidRPr="008347B7">
        <w:rPr>
          <w:lang w:eastAsia="bg-BG"/>
        </w:rPr>
        <w:t>Свръхчувствителност към лекарственото или някое от помощните вещества на Андрокур;</w:t>
      </w:r>
    </w:p>
    <w:p w14:paraId="6F054F78" w14:textId="65DF144D" w:rsidR="008347B7" w:rsidRPr="008347B7" w:rsidRDefault="008347B7" w:rsidP="008347B7">
      <w:pPr>
        <w:pStyle w:val="ListParagraph"/>
        <w:numPr>
          <w:ilvl w:val="0"/>
          <w:numId w:val="36"/>
        </w:numPr>
      </w:pPr>
      <w:r w:rsidRPr="008347B7">
        <w:rPr>
          <w:lang w:eastAsia="bg-BG"/>
        </w:rPr>
        <w:t>Андрокур не трябва да се използва при пациенти с мецингиома или анамнеза за менингиома.</w:t>
      </w:r>
    </w:p>
    <w:p w14:paraId="03E4AEB1" w14:textId="770E6EA7" w:rsidR="008347B7" w:rsidRPr="008347B7" w:rsidRDefault="008347B7" w:rsidP="008347B7"/>
    <w:p w14:paraId="13D1C252" w14:textId="7FB7E466" w:rsidR="00426E5F" w:rsidRDefault="002C50EE" w:rsidP="00A65A81">
      <w:pPr>
        <w:pStyle w:val="Heading2"/>
      </w:pPr>
      <w:r>
        <w:t>4.4. Специални предупреждения и предпазни мерки при употреба</w:t>
      </w:r>
    </w:p>
    <w:p w14:paraId="4CC21504" w14:textId="4CAD0CF3" w:rsidR="008347B7" w:rsidRDefault="008347B7" w:rsidP="008347B7"/>
    <w:p w14:paraId="0C348687" w14:textId="77777777" w:rsidR="0007635C" w:rsidRPr="0007635C" w:rsidRDefault="0007635C" w:rsidP="0007635C">
      <w:pPr>
        <w:spacing w:line="240" w:lineRule="auto"/>
        <w:rPr>
          <w:rFonts w:eastAsia="Times New Roman" w:cs="Arial"/>
        </w:rPr>
      </w:pPr>
      <w:r w:rsidRPr="0007635C">
        <w:rPr>
          <w:rFonts w:eastAsia="Times New Roman" w:cs="Arial"/>
          <w:color w:val="000000"/>
          <w:lang w:eastAsia="bg-BG"/>
        </w:rPr>
        <w:t>Преди започване лечението на жени, трябва да се направи пълен общ и гинекологичен преглед (включително на млечните жлези, както и цервикална цитонамазка), както и да се изключи евентуална бременност.</w:t>
      </w:r>
    </w:p>
    <w:p w14:paraId="36443D31" w14:textId="77777777" w:rsidR="0007635C" w:rsidRPr="0007635C" w:rsidRDefault="0007635C" w:rsidP="0007635C">
      <w:pPr>
        <w:spacing w:line="240" w:lineRule="auto"/>
        <w:rPr>
          <w:rFonts w:eastAsia="Times New Roman" w:cs="Arial"/>
          <w:i/>
          <w:iCs/>
          <w:color w:val="000000"/>
          <w:lang w:eastAsia="bg-BG"/>
        </w:rPr>
      </w:pPr>
    </w:p>
    <w:p w14:paraId="5619AA14" w14:textId="39B6D633" w:rsidR="0007635C" w:rsidRPr="0007635C" w:rsidRDefault="0007635C" w:rsidP="0007635C">
      <w:pPr>
        <w:spacing w:line="240" w:lineRule="auto"/>
        <w:rPr>
          <w:rFonts w:eastAsia="Times New Roman" w:cs="Arial"/>
        </w:rPr>
      </w:pPr>
      <w:r w:rsidRPr="0007635C">
        <w:rPr>
          <w:rFonts w:eastAsia="Times New Roman" w:cs="Arial"/>
          <w:i/>
          <w:iCs/>
          <w:color w:val="000000"/>
          <w:lang w:eastAsia="bg-BG"/>
        </w:rPr>
        <w:t>Черен дроб</w:t>
      </w:r>
    </w:p>
    <w:p w14:paraId="319EB495" w14:textId="77777777" w:rsidR="0007635C" w:rsidRPr="0007635C" w:rsidRDefault="0007635C" w:rsidP="0007635C">
      <w:pPr>
        <w:spacing w:line="240" w:lineRule="auto"/>
        <w:rPr>
          <w:rFonts w:eastAsia="Times New Roman" w:cs="Arial"/>
        </w:rPr>
      </w:pPr>
      <w:r w:rsidRPr="0007635C">
        <w:rPr>
          <w:rFonts w:eastAsia="Times New Roman" w:cs="Arial"/>
          <w:color w:val="000000"/>
          <w:lang w:eastAsia="bg-BG"/>
        </w:rPr>
        <w:t xml:space="preserve">Има наблюдения за директна чернодробна токсичност, включваща жълтеница, хепатит и чернодробна недостатъчност при пациенти, приемали Андрокур. При дози от 100 </w:t>
      </w:r>
      <w:r w:rsidRPr="0007635C">
        <w:rPr>
          <w:rFonts w:eastAsia="Times New Roman" w:cs="Arial"/>
          <w:color w:val="000000"/>
          <w:lang w:val="en-US"/>
        </w:rPr>
        <w:t>mg</w:t>
      </w:r>
      <w:r w:rsidRPr="0007635C">
        <w:rPr>
          <w:rFonts w:eastAsia="Times New Roman" w:cs="Arial"/>
          <w:color w:val="000000"/>
          <w:lang w:val="ru-RU"/>
        </w:rPr>
        <w:t xml:space="preserve"> </w:t>
      </w:r>
      <w:r w:rsidRPr="0007635C">
        <w:rPr>
          <w:rFonts w:eastAsia="Times New Roman" w:cs="Arial"/>
          <w:color w:val="000000"/>
          <w:lang w:eastAsia="bg-BG"/>
        </w:rPr>
        <w:t>и по-големи се съобщава също така за случаи с фатален край. Повечето съобщения за случаи с фатален край се отнасят за мъже с напреднал карцином на простатата. Токсичността е дозово зависима и обикновено се развива няколко месеца след започване на лечението. Необходими са чернодробно-функционални изследвания преди започване на лечението, на регулярни интервали по време на лечението и веднага щом се появят симптоми или признаци на хепатотоксичност. Ако хепатотоксичността се потвърди, приемът на Андрокур трябва да се прекрати, освен в случаите при мъже, когато причината за увреждането е друга напр. метастази, като в тези случаи лечението с Андрокур може да продължи само, ако очакваната полза е по-голяма от риска.</w:t>
      </w:r>
    </w:p>
    <w:p w14:paraId="6F21E579" w14:textId="77777777" w:rsidR="0007635C" w:rsidRPr="0007635C" w:rsidRDefault="0007635C" w:rsidP="0007635C">
      <w:pPr>
        <w:spacing w:line="240" w:lineRule="auto"/>
        <w:rPr>
          <w:rFonts w:eastAsia="Times New Roman" w:cs="Arial"/>
          <w:color w:val="000000"/>
          <w:lang w:eastAsia="bg-BG"/>
        </w:rPr>
      </w:pPr>
    </w:p>
    <w:p w14:paraId="30828083" w14:textId="599559C5" w:rsidR="0007635C" w:rsidRPr="0007635C" w:rsidRDefault="0007635C" w:rsidP="0007635C">
      <w:pPr>
        <w:spacing w:line="240" w:lineRule="auto"/>
        <w:rPr>
          <w:rFonts w:eastAsia="Times New Roman" w:cs="Arial"/>
        </w:rPr>
      </w:pPr>
      <w:r w:rsidRPr="0007635C">
        <w:rPr>
          <w:rFonts w:eastAsia="Times New Roman" w:cs="Arial"/>
          <w:color w:val="000000"/>
          <w:lang w:eastAsia="bg-BG"/>
        </w:rPr>
        <w:t>Много редки случаи на доброкачествени и злокачествени чернодробни тумори, които могат да доведат до застрашаваща живота интра-абдоминална хеморагия, са наблюдавани при употреба на Андрокур. Ако се появят оплаквания в горната абдоминална област, увеличение на черния дроб или признаци на интра-абдоминална хеморагия, в диференциалната диагноза трябва да се включи и чернодробен тумор.</w:t>
      </w:r>
    </w:p>
    <w:p w14:paraId="452DD8F6" w14:textId="77777777" w:rsidR="0007635C" w:rsidRPr="0007635C" w:rsidRDefault="0007635C" w:rsidP="0007635C">
      <w:pPr>
        <w:spacing w:line="240" w:lineRule="auto"/>
        <w:rPr>
          <w:rFonts w:eastAsia="Times New Roman" w:cs="Arial"/>
          <w:i/>
          <w:iCs/>
          <w:color w:val="000000"/>
          <w:lang w:eastAsia="bg-BG"/>
        </w:rPr>
      </w:pPr>
    </w:p>
    <w:p w14:paraId="1988E6E7" w14:textId="51A1BF1F" w:rsidR="0007635C" w:rsidRPr="0007635C" w:rsidRDefault="0007635C" w:rsidP="0007635C">
      <w:pPr>
        <w:spacing w:line="240" w:lineRule="auto"/>
        <w:rPr>
          <w:rFonts w:eastAsia="Times New Roman" w:cs="Arial"/>
        </w:rPr>
      </w:pPr>
      <w:r w:rsidRPr="0007635C">
        <w:rPr>
          <w:rFonts w:eastAsia="Times New Roman" w:cs="Arial"/>
          <w:i/>
          <w:iCs/>
          <w:color w:val="000000"/>
          <w:lang w:eastAsia="bg-BG"/>
        </w:rPr>
        <w:t>Менингиом</w:t>
      </w:r>
    </w:p>
    <w:p w14:paraId="76366959" w14:textId="77777777" w:rsidR="0007635C" w:rsidRPr="0007635C" w:rsidRDefault="0007635C" w:rsidP="0007635C">
      <w:pPr>
        <w:rPr>
          <w:rFonts w:eastAsia="Times New Roman" w:cs="Arial"/>
        </w:rPr>
      </w:pPr>
      <w:r w:rsidRPr="0007635C">
        <w:rPr>
          <w:rFonts w:eastAsia="Times New Roman" w:cs="Arial"/>
          <w:color w:val="000000"/>
          <w:lang w:eastAsia="bg-BG"/>
        </w:rPr>
        <w:t xml:space="preserve">Съобщава се за поява на менингиом (единичен или множествен) във връзка с употребата на ципротеронов ацетат, предимно в дози 25 </w:t>
      </w:r>
      <w:r w:rsidRPr="0007635C">
        <w:rPr>
          <w:rFonts w:eastAsia="Times New Roman" w:cs="Arial"/>
          <w:color w:val="000000"/>
          <w:lang w:val="en-US"/>
        </w:rPr>
        <w:t>mg</w:t>
      </w:r>
      <w:r w:rsidRPr="0007635C">
        <w:rPr>
          <w:rFonts w:eastAsia="Times New Roman" w:cs="Arial"/>
          <w:color w:val="000000"/>
          <w:lang w:val="ru-RU"/>
        </w:rPr>
        <w:t xml:space="preserve"> </w:t>
      </w:r>
      <w:r w:rsidRPr="0007635C">
        <w:rPr>
          <w:rFonts w:eastAsia="Times New Roman" w:cs="Arial"/>
          <w:color w:val="000000"/>
          <w:lang w:eastAsia="bg-BG"/>
        </w:rPr>
        <w:t xml:space="preserve">и по-високи. Рискът от менингиом расте с нарастване на кумулативната доза ципротеронов ацетат (вж. точка 5.1). Високи кумулативни дози, могат да се достигнат при продължителна употреба (няколко години) или при по-кратка продължителност на високи дневни дози. Пациентите трябва да бъдат наблюдавани за поява на менингиом съгласно клиничната практика. Ако пациент, лекуван </w:t>
      </w:r>
      <w:r w:rsidRPr="0007635C">
        <w:rPr>
          <w:rFonts w:eastAsia="Times New Roman" w:cs="Arial"/>
          <w:color w:val="000000"/>
          <w:lang w:eastAsia="bg-BG"/>
        </w:rPr>
        <w:lastRenderedPageBreak/>
        <w:t>с Андрокур, е диагностициран с менингиом, лечението с Андрокур и други продукти, съдържащи ципротерон, трябва да се преустанови завинаги (вж. точка „Противопоказания“).</w:t>
      </w:r>
    </w:p>
    <w:p w14:paraId="20747FA8" w14:textId="77777777" w:rsidR="0007635C" w:rsidRPr="0007635C" w:rsidRDefault="0007635C" w:rsidP="0007635C">
      <w:pPr>
        <w:spacing w:line="240" w:lineRule="auto"/>
        <w:rPr>
          <w:rFonts w:eastAsia="Times New Roman" w:cs="Arial"/>
        </w:rPr>
      </w:pPr>
      <w:r w:rsidRPr="0007635C">
        <w:rPr>
          <w:rFonts w:eastAsia="Times New Roman" w:cs="Arial"/>
          <w:color w:val="000000"/>
          <w:lang w:eastAsia="bg-BG"/>
        </w:rPr>
        <w:t>Съществуват доказателства, че рискът от менингиом може да се намали след прекратяване на лечението с ципротерон.</w:t>
      </w:r>
    </w:p>
    <w:p w14:paraId="53F80C48" w14:textId="77777777" w:rsidR="0007635C" w:rsidRPr="0007635C" w:rsidRDefault="0007635C" w:rsidP="0007635C">
      <w:pPr>
        <w:spacing w:line="240" w:lineRule="auto"/>
        <w:rPr>
          <w:rFonts w:eastAsia="Times New Roman" w:cs="Arial"/>
          <w:color w:val="000000"/>
          <w:lang w:eastAsia="bg-BG"/>
        </w:rPr>
      </w:pPr>
    </w:p>
    <w:p w14:paraId="3052217B" w14:textId="4A52579D" w:rsidR="0007635C" w:rsidRPr="0007635C" w:rsidRDefault="0007635C" w:rsidP="0007635C">
      <w:pPr>
        <w:spacing w:line="240" w:lineRule="auto"/>
        <w:rPr>
          <w:rFonts w:eastAsia="Times New Roman" w:cs="Arial"/>
        </w:rPr>
      </w:pPr>
      <w:r w:rsidRPr="0007635C">
        <w:rPr>
          <w:rFonts w:eastAsia="Times New Roman" w:cs="Arial"/>
          <w:color w:val="000000"/>
          <w:lang w:eastAsia="bg-BG"/>
        </w:rPr>
        <w:t>Трябва да направите преоценка на ползата и риска от лечението с Андрокур в началото на менопаузата (вижте точка 4.2).</w:t>
      </w:r>
    </w:p>
    <w:p w14:paraId="05D7FEB0" w14:textId="77777777" w:rsidR="0007635C" w:rsidRPr="0007635C" w:rsidRDefault="0007635C" w:rsidP="0007635C">
      <w:pPr>
        <w:spacing w:line="240" w:lineRule="auto"/>
        <w:rPr>
          <w:rFonts w:eastAsia="Times New Roman" w:cs="Arial"/>
          <w:i/>
          <w:iCs/>
          <w:color w:val="000000"/>
          <w:lang w:eastAsia="bg-BG"/>
        </w:rPr>
      </w:pPr>
    </w:p>
    <w:p w14:paraId="59DB302B" w14:textId="29FDBA12" w:rsidR="0007635C" w:rsidRPr="0007635C" w:rsidRDefault="0007635C" w:rsidP="0007635C">
      <w:pPr>
        <w:spacing w:line="240" w:lineRule="auto"/>
        <w:rPr>
          <w:rFonts w:eastAsia="Times New Roman" w:cs="Arial"/>
        </w:rPr>
      </w:pPr>
      <w:r w:rsidRPr="0007635C">
        <w:rPr>
          <w:rFonts w:eastAsia="Times New Roman" w:cs="Arial"/>
          <w:i/>
          <w:iCs/>
          <w:color w:val="000000"/>
          <w:lang w:eastAsia="bg-BG"/>
        </w:rPr>
        <w:t>Тромбоемболични инциденти</w:t>
      </w:r>
    </w:p>
    <w:p w14:paraId="48D3BC36" w14:textId="77777777" w:rsidR="0007635C" w:rsidRPr="0007635C" w:rsidRDefault="0007635C" w:rsidP="0007635C">
      <w:pPr>
        <w:spacing w:line="240" w:lineRule="auto"/>
        <w:rPr>
          <w:rFonts w:eastAsia="Times New Roman" w:cs="Arial"/>
        </w:rPr>
      </w:pPr>
      <w:r w:rsidRPr="0007635C">
        <w:rPr>
          <w:rFonts w:eastAsia="Times New Roman" w:cs="Arial"/>
          <w:color w:val="000000"/>
          <w:lang w:eastAsia="bg-BG"/>
        </w:rPr>
        <w:t>За тромбоемболични случаи се съобщава при пациенти, употребяващи Андрокур, въпреки че причинната връзка не е установена. Пациенти с предишни артериални или венозни тромбозни/тромбоемболични инциденти (вкл. дълбока венозна тромбоза, белодробен емболизъм, миокарден инфаркт) или с анамнеза за церебро-васкуларен инцидент или с напреднало злокачествено заболяване, са с повишен риск от бъдещи тромбоемболични инциденти.</w:t>
      </w:r>
    </w:p>
    <w:p w14:paraId="0BB84E76" w14:textId="77777777" w:rsidR="0007635C" w:rsidRPr="0007635C" w:rsidRDefault="0007635C" w:rsidP="0007635C">
      <w:pPr>
        <w:spacing w:line="240" w:lineRule="auto"/>
        <w:rPr>
          <w:rFonts w:eastAsia="Times New Roman" w:cs="Arial"/>
          <w:color w:val="000000"/>
          <w:lang w:eastAsia="bg-BG"/>
        </w:rPr>
      </w:pPr>
    </w:p>
    <w:p w14:paraId="7DE82E3E" w14:textId="22B4C362" w:rsidR="0007635C" w:rsidRPr="0007635C" w:rsidRDefault="0007635C" w:rsidP="0007635C">
      <w:pPr>
        <w:spacing w:line="240" w:lineRule="auto"/>
        <w:rPr>
          <w:rFonts w:eastAsia="Times New Roman" w:cs="Arial"/>
        </w:rPr>
      </w:pPr>
      <w:r w:rsidRPr="0007635C">
        <w:rPr>
          <w:rFonts w:eastAsia="Times New Roman" w:cs="Arial"/>
          <w:color w:val="000000"/>
          <w:lang w:eastAsia="bg-BG"/>
        </w:rPr>
        <w:t>При мъже с неоперабилен карцином на простатата, а анамнеза за тромбоемболични процеси или страдащи от сърповидно-клетъчна анемия или от тежък диабет със съдови изменения, трябва да се направи внимателна преценка на съотношението риск:полза за всеки индивидуален случай преди Андрокур да бъде предписан.</w:t>
      </w:r>
    </w:p>
    <w:p w14:paraId="7ADA45CD" w14:textId="77777777" w:rsidR="0007635C" w:rsidRPr="0007635C" w:rsidRDefault="0007635C" w:rsidP="0007635C">
      <w:pPr>
        <w:spacing w:line="240" w:lineRule="auto"/>
        <w:rPr>
          <w:rFonts w:eastAsia="Times New Roman" w:cs="Arial"/>
          <w:i/>
          <w:iCs/>
          <w:color w:val="000000"/>
          <w:lang w:eastAsia="bg-BG"/>
        </w:rPr>
      </w:pPr>
    </w:p>
    <w:p w14:paraId="4F42FD6E" w14:textId="6DFC15B9" w:rsidR="0007635C" w:rsidRPr="0007635C" w:rsidRDefault="0007635C" w:rsidP="0007635C">
      <w:pPr>
        <w:spacing w:line="240" w:lineRule="auto"/>
        <w:rPr>
          <w:rFonts w:eastAsia="Times New Roman" w:cs="Arial"/>
        </w:rPr>
      </w:pPr>
      <w:r w:rsidRPr="0007635C">
        <w:rPr>
          <w:rFonts w:eastAsia="Times New Roman" w:cs="Arial"/>
          <w:i/>
          <w:iCs/>
          <w:color w:val="000000"/>
          <w:lang w:eastAsia="bg-BG"/>
        </w:rPr>
        <w:t>Анемия при мъже</w:t>
      </w:r>
    </w:p>
    <w:p w14:paraId="58013702" w14:textId="77777777" w:rsidR="0007635C" w:rsidRPr="0007635C" w:rsidRDefault="0007635C" w:rsidP="0007635C">
      <w:pPr>
        <w:spacing w:line="240" w:lineRule="auto"/>
        <w:rPr>
          <w:rFonts w:eastAsia="Times New Roman" w:cs="Arial"/>
        </w:rPr>
      </w:pPr>
      <w:r w:rsidRPr="0007635C">
        <w:rPr>
          <w:rFonts w:eastAsia="Times New Roman" w:cs="Arial"/>
          <w:color w:val="000000"/>
          <w:lang w:eastAsia="bg-BG"/>
        </w:rPr>
        <w:t>Докладвани са случаи на анемия при мъже по време на лечението с Андрокур. Ето защо е необходимо редовно изследване на броя на еритроцитите по време на лечението.</w:t>
      </w:r>
    </w:p>
    <w:p w14:paraId="41A81D98" w14:textId="77777777" w:rsidR="0007635C" w:rsidRPr="0007635C" w:rsidRDefault="0007635C" w:rsidP="0007635C">
      <w:pPr>
        <w:spacing w:line="240" w:lineRule="auto"/>
        <w:rPr>
          <w:rFonts w:eastAsia="Times New Roman" w:cs="Arial"/>
        </w:rPr>
      </w:pPr>
    </w:p>
    <w:p w14:paraId="69843033" w14:textId="77777777" w:rsidR="0007635C" w:rsidRPr="0007635C" w:rsidRDefault="0007635C" w:rsidP="0007635C">
      <w:pPr>
        <w:spacing w:line="240" w:lineRule="auto"/>
        <w:rPr>
          <w:rFonts w:eastAsia="Times New Roman" w:cs="Arial"/>
        </w:rPr>
      </w:pPr>
      <w:r w:rsidRPr="0007635C">
        <w:rPr>
          <w:rFonts w:eastAsia="Times New Roman" w:cs="Arial"/>
          <w:i/>
          <w:iCs/>
          <w:color w:val="000000"/>
          <w:lang w:eastAsia="bg-BG"/>
        </w:rPr>
        <w:t>Диабет</w:t>
      </w:r>
    </w:p>
    <w:p w14:paraId="0F3A0885" w14:textId="77777777" w:rsidR="0007635C" w:rsidRPr="0007635C" w:rsidRDefault="0007635C" w:rsidP="0007635C">
      <w:pPr>
        <w:spacing w:line="240" w:lineRule="auto"/>
        <w:rPr>
          <w:rFonts w:eastAsia="Times New Roman" w:cs="Arial"/>
        </w:rPr>
      </w:pPr>
      <w:r w:rsidRPr="0007635C">
        <w:rPr>
          <w:rFonts w:eastAsia="Times New Roman" w:cs="Arial"/>
          <w:color w:val="000000"/>
          <w:lang w:eastAsia="bg-BG"/>
        </w:rPr>
        <w:t>Необходим е стриктен медицински контрол при пациенти страдащи от диабет, тъй като нуждата от перорални антидиабетични лекарства или инсулин може да се промени по време на лечението с инсулин (вж. точка Противопоказания).</w:t>
      </w:r>
    </w:p>
    <w:p w14:paraId="406590B0" w14:textId="77777777" w:rsidR="0007635C" w:rsidRPr="0007635C" w:rsidRDefault="0007635C" w:rsidP="0007635C">
      <w:pPr>
        <w:spacing w:line="240" w:lineRule="auto"/>
        <w:rPr>
          <w:rFonts w:eastAsia="Times New Roman" w:cs="Arial"/>
        </w:rPr>
      </w:pPr>
    </w:p>
    <w:p w14:paraId="136C7686" w14:textId="77777777" w:rsidR="0007635C" w:rsidRPr="0007635C" w:rsidRDefault="0007635C" w:rsidP="0007635C">
      <w:pPr>
        <w:spacing w:line="240" w:lineRule="auto"/>
        <w:rPr>
          <w:rFonts w:eastAsia="Times New Roman" w:cs="Arial"/>
        </w:rPr>
      </w:pPr>
      <w:r w:rsidRPr="0007635C">
        <w:rPr>
          <w:rFonts w:eastAsia="Times New Roman" w:cs="Arial"/>
          <w:i/>
          <w:iCs/>
          <w:color w:val="000000"/>
          <w:lang w:eastAsia="bg-BG"/>
        </w:rPr>
        <w:t>Адренокортикална функция</w:t>
      </w:r>
    </w:p>
    <w:p w14:paraId="430BAA34" w14:textId="77777777" w:rsidR="0007635C" w:rsidRPr="0007635C" w:rsidRDefault="0007635C" w:rsidP="0007635C">
      <w:pPr>
        <w:spacing w:line="240" w:lineRule="auto"/>
        <w:rPr>
          <w:rFonts w:eastAsia="Times New Roman" w:cs="Arial"/>
        </w:rPr>
      </w:pPr>
      <w:r w:rsidRPr="0007635C">
        <w:rPr>
          <w:rFonts w:eastAsia="Times New Roman" w:cs="Arial"/>
          <w:color w:val="000000"/>
          <w:lang w:eastAsia="bg-BG"/>
        </w:rPr>
        <w:t>По време на лечението, адренокортикалната функция трябва да се изследва периодично, тъй като предклиничните данни предполагат възможна супресия, дължаща се на кортикоид-подобния ефект на Андрокур (вж. точка Предклинични данни за безопасност).</w:t>
      </w:r>
    </w:p>
    <w:p w14:paraId="318D5738" w14:textId="77777777" w:rsidR="0007635C" w:rsidRPr="0007635C" w:rsidRDefault="0007635C" w:rsidP="0007635C">
      <w:pPr>
        <w:spacing w:line="240" w:lineRule="auto"/>
        <w:rPr>
          <w:rFonts w:eastAsia="Times New Roman" w:cs="Arial"/>
        </w:rPr>
      </w:pPr>
    </w:p>
    <w:p w14:paraId="1657E061" w14:textId="77777777" w:rsidR="0007635C" w:rsidRPr="0007635C" w:rsidRDefault="0007635C" w:rsidP="0007635C">
      <w:pPr>
        <w:spacing w:line="240" w:lineRule="auto"/>
        <w:rPr>
          <w:rFonts w:eastAsia="Times New Roman" w:cs="Arial"/>
        </w:rPr>
      </w:pPr>
      <w:r w:rsidRPr="0007635C">
        <w:rPr>
          <w:rFonts w:eastAsia="Times New Roman" w:cs="Arial"/>
          <w:i/>
          <w:iCs/>
          <w:color w:val="000000"/>
          <w:lang w:eastAsia="bg-BG"/>
        </w:rPr>
        <w:t>Затруднено дишане</w:t>
      </w:r>
    </w:p>
    <w:p w14:paraId="4447A555" w14:textId="77777777" w:rsidR="0007635C" w:rsidRPr="0007635C" w:rsidRDefault="0007635C" w:rsidP="0007635C">
      <w:pPr>
        <w:spacing w:line="240" w:lineRule="auto"/>
        <w:rPr>
          <w:rFonts w:eastAsia="Times New Roman" w:cs="Arial"/>
        </w:rPr>
      </w:pPr>
      <w:r w:rsidRPr="0007635C">
        <w:rPr>
          <w:rFonts w:eastAsia="Times New Roman" w:cs="Arial"/>
          <w:color w:val="000000"/>
          <w:lang w:eastAsia="bg-BG"/>
        </w:rPr>
        <w:t>Може да се появи чувство за недостиг на въздух при лечение с високи дози Андрокур. При диференциалната диагноза в тези случаи трябва да се има предвид стимулиращият ефект върху дишането известен за прогестоген и синтетични прогестогени, придружен от хипокапния и компенсаторна респираторна алкалоза, при която не се счита, че е необходимо специфично лечение.</w:t>
      </w:r>
    </w:p>
    <w:p w14:paraId="0B9E7B49" w14:textId="77777777" w:rsidR="0007635C" w:rsidRPr="0007635C" w:rsidRDefault="0007635C" w:rsidP="0007635C">
      <w:pPr>
        <w:spacing w:line="240" w:lineRule="auto"/>
        <w:rPr>
          <w:rFonts w:eastAsia="Times New Roman" w:cs="Arial"/>
        </w:rPr>
      </w:pPr>
    </w:p>
    <w:p w14:paraId="59EC44FC" w14:textId="77777777" w:rsidR="0007635C" w:rsidRPr="0007635C" w:rsidRDefault="0007635C" w:rsidP="0007635C">
      <w:pPr>
        <w:spacing w:line="240" w:lineRule="auto"/>
        <w:rPr>
          <w:rFonts w:eastAsia="Times New Roman" w:cs="Arial"/>
        </w:rPr>
      </w:pPr>
      <w:r w:rsidRPr="0007635C">
        <w:rPr>
          <w:rFonts w:eastAsia="Times New Roman" w:cs="Arial"/>
          <w:i/>
          <w:iCs/>
          <w:color w:val="000000"/>
          <w:lang w:eastAsia="bg-BG"/>
        </w:rPr>
        <w:t>Комбинирана терапия при жени</w:t>
      </w:r>
    </w:p>
    <w:p w14:paraId="581F4A7E" w14:textId="77777777" w:rsidR="0007635C" w:rsidRPr="0007635C" w:rsidRDefault="0007635C" w:rsidP="0007635C">
      <w:pPr>
        <w:spacing w:line="240" w:lineRule="auto"/>
        <w:rPr>
          <w:rFonts w:eastAsia="Times New Roman" w:cs="Arial"/>
        </w:rPr>
      </w:pPr>
      <w:r w:rsidRPr="0007635C">
        <w:rPr>
          <w:rFonts w:eastAsia="Times New Roman" w:cs="Arial"/>
          <w:color w:val="000000"/>
          <w:lang w:eastAsia="bg-BG"/>
        </w:rPr>
        <w:t>Ако по време на комбинираното лечение се появи зацапване през трите седмици, в които се приемат таблетки, приемът не трябва да се преустановява. Ако персистиращо или повтарящо се кървене се появи на неправилни интервали, трябва да се направи гинекологичен преглед, за да се изключи възможно органично заболяване.</w:t>
      </w:r>
    </w:p>
    <w:p w14:paraId="4379A089" w14:textId="77777777" w:rsidR="0007635C" w:rsidRPr="0007635C" w:rsidRDefault="0007635C" w:rsidP="0007635C">
      <w:pPr>
        <w:spacing w:line="240" w:lineRule="auto"/>
        <w:rPr>
          <w:rFonts w:eastAsia="Times New Roman" w:cs="Arial"/>
        </w:rPr>
      </w:pPr>
    </w:p>
    <w:p w14:paraId="2C107CAA" w14:textId="77777777" w:rsidR="0007635C" w:rsidRPr="0007635C" w:rsidRDefault="0007635C" w:rsidP="0007635C">
      <w:pPr>
        <w:spacing w:line="240" w:lineRule="auto"/>
        <w:rPr>
          <w:rFonts w:eastAsia="Times New Roman" w:cs="Arial"/>
        </w:rPr>
      </w:pPr>
      <w:r w:rsidRPr="0007635C">
        <w:rPr>
          <w:rFonts w:eastAsia="Times New Roman" w:cs="Arial"/>
          <w:color w:val="000000"/>
          <w:lang w:eastAsia="bg-BG"/>
        </w:rPr>
        <w:t>С оглед на необходимата допълнителна употреба на Диане 35 трябва да се обърне внимание на всички данни, отнасящи се за този продукт.</w:t>
      </w:r>
    </w:p>
    <w:p w14:paraId="0F8B57E2" w14:textId="77777777" w:rsidR="0007635C" w:rsidRPr="0007635C" w:rsidRDefault="0007635C" w:rsidP="0007635C">
      <w:pPr>
        <w:spacing w:line="240" w:lineRule="auto"/>
        <w:rPr>
          <w:rFonts w:eastAsia="Times New Roman" w:cs="Arial"/>
        </w:rPr>
      </w:pPr>
    </w:p>
    <w:p w14:paraId="6FB72F92" w14:textId="77777777" w:rsidR="0007635C" w:rsidRPr="0007635C" w:rsidRDefault="0007635C" w:rsidP="0007635C">
      <w:pPr>
        <w:spacing w:line="240" w:lineRule="auto"/>
        <w:rPr>
          <w:rFonts w:eastAsia="Times New Roman" w:cs="Arial"/>
        </w:rPr>
      </w:pPr>
      <w:r w:rsidRPr="0007635C">
        <w:rPr>
          <w:rFonts w:eastAsia="Times New Roman" w:cs="Arial"/>
          <w:i/>
          <w:iCs/>
          <w:color w:val="000000"/>
          <w:lang w:eastAsia="bg-BG"/>
        </w:rPr>
        <w:t>Други състояния</w:t>
      </w:r>
    </w:p>
    <w:p w14:paraId="61A8F643" w14:textId="77777777" w:rsidR="0007635C" w:rsidRPr="0007635C" w:rsidRDefault="0007635C" w:rsidP="0007635C">
      <w:pPr>
        <w:spacing w:line="240" w:lineRule="auto"/>
        <w:rPr>
          <w:rFonts w:eastAsia="Times New Roman" w:cs="Arial"/>
        </w:rPr>
      </w:pPr>
      <w:r w:rsidRPr="0007635C">
        <w:rPr>
          <w:rFonts w:eastAsia="Times New Roman" w:cs="Arial"/>
          <w:color w:val="000000"/>
          <w:lang w:eastAsia="bg-BG"/>
        </w:rPr>
        <w:t>По отношение показанието „потискане на либидото при сексуални отклонения” при мъже, намаляващият либидото ефект на Андрокур може да бъде намален под влияние на прием на алкохол</w:t>
      </w:r>
    </w:p>
    <w:p w14:paraId="29FC5CDB" w14:textId="77777777" w:rsidR="0007635C" w:rsidRPr="0007635C" w:rsidRDefault="0007635C" w:rsidP="0007635C">
      <w:pPr>
        <w:spacing w:line="240" w:lineRule="auto"/>
        <w:rPr>
          <w:rFonts w:eastAsia="Times New Roman" w:cs="Arial"/>
        </w:rPr>
      </w:pPr>
    </w:p>
    <w:p w14:paraId="2C9FCEA1" w14:textId="751B4EED" w:rsidR="0007635C" w:rsidRDefault="0007635C" w:rsidP="0007635C">
      <w:pPr>
        <w:rPr>
          <w:rFonts w:cs="Arial"/>
        </w:rPr>
      </w:pPr>
      <w:r w:rsidRPr="0007635C">
        <w:rPr>
          <w:rFonts w:eastAsia="Times New Roman" w:cs="Arial"/>
          <w:color w:val="000000"/>
          <w:lang w:eastAsia="bg-BG"/>
        </w:rPr>
        <w:t xml:space="preserve">Този лекарствен продукт съдържа 105,5 </w:t>
      </w:r>
      <w:r w:rsidRPr="0007635C">
        <w:rPr>
          <w:rFonts w:eastAsia="Times New Roman" w:cs="Arial"/>
          <w:color w:val="000000"/>
          <w:lang w:val="en-US"/>
        </w:rPr>
        <w:t>mg</w:t>
      </w:r>
      <w:r w:rsidRPr="0007635C">
        <w:rPr>
          <w:rFonts w:eastAsia="Times New Roman" w:cs="Arial"/>
          <w:color w:val="000000"/>
          <w:lang w:val="ru-RU"/>
        </w:rPr>
        <w:t xml:space="preserve"> </w:t>
      </w:r>
      <w:r w:rsidRPr="0007635C">
        <w:rPr>
          <w:rFonts w:eastAsia="Times New Roman" w:cs="Arial"/>
          <w:color w:val="000000"/>
          <w:lang w:eastAsia="bg-BG"/>
        </w:rPr>
        <w:t xml:space="preserve">лактоза във всяка таблетка. Пациенти с редките наследствени заболявания галактозна непоносимост, </w:t>
      </w:r>
      <w:r w:rsidRPr="0007635C">
        <w:rPr>
          <w:rFonts w:eastAsia="Times New Roman" w:cs="Arial"/>
          <w:color w:val="000000"/>
          <w:lang w:val="en-US"/>
        </w:rPr>
        <w:t>Lapp</w:t>
      </w:r>
      <w:r w:rsidRPr="0007635C">
        <w:rPr>
          <w:rFonts w:eastAsia="Times New Roman" w:cs="Arial"/>
          <w:color w:val="000000"/>
          <w:lang w:val="ru-RU"/>
        </w:rPr>
        <w:t xml:space="preserve"> </w:t>
      </w:r>
      <w:r w:rsidRPr="0007635C">
        <w:rPr>
          <w:rFonts w:eastAsia="Times New Roman" w:cs="Arial"/>
          <w:color w:val="000000"/>
          <w:lang w:eastAsia="bg-BG"/>
        </w:rPr>
        <w:t>лактазна недостатъчност или глщкозо-</w:t>
      </w:r>
      <w:r w:rsidRPr="0007635C">
        <w:rPr>
          <w:rFonts w:cs="Arial"/>
        </w:rPr>
        <w:t>галактозен малабсорбционен синдром, които са на диета без лактоза, не трябва да приемат това лекарство.</w:t>
      </w:r>
    </w:p>
    <w:p w14:paraId="33AFCA57" w14:textId="77777777" w:rsidR="0007635C" w:rsidRPr="0007635C" w:rsidRDefault="0007635C" w:rsidP="0007635C">
      <w:pPr>
        <w:rPr>
          <w:rFonts w:eastAsia="Times New Roman" w:cs="Arial"/>
          <w:color w:val="000000"/>
          <w:lang w:eastAsia="bg-BG"/>
        </w:rPr>
      </w:pPr>
    </w:p>
    <w:p w14:paraId="302A1C2B" w14:textId="79F24956" w:rsidR="00426E5F" w:rsidRDefault="002C50EE" w:rsidP="00A65A81">
      <w:pPr>
        <w:pStyle w:val="Heading2"/>
      </w:pPr>
      <w:r>
        <w:t>4.5. Взаимодействие с други лекарствени продукти и други форми на взаимодействие</w:t>
      </w:r>
    </w:p>
    <w:p w14:paraId="5EF4715C" w14:textId="62ADBFD8" w:rsidR="0007635C" w:rsidRDefault="0007635C" w:rsidP="0007635C"/>
    <w:p w14:paraId="5F763FF9" w14:textId="77777777" w:rsidR="0007635C" w:rsidRPr="0007635C" w:rsidRDefault="0007635C" w:rsidP="0007635C">
      <w:pPr>
        <w:spacing w:line="240" w:lineRule="auto"/>
        <w:rPr>
          <w:rFonts w:eastAsia="Times New Roman" w:cs="Arial"/>
        </w:rPr>
      </w:pPr>
      <w:r w:rsidRPr="0007635C">
        <w:rPr>
          <w:rFonts w:eastAsia="Times New Roman" w:cs="Arial"/>
          <w:color w:val="000000"/>
          <w:lang w:eastAsia="bg-BG"/>
        </w:rPr>
        <w:t xml:space="preserve">Въпреки че не са провеждани клинични проучвания за лекарствени взаимодействия, след като лекарството се метаболизира от </w:t>
      </w:r>
      <w:r w:rsidRPr="0007635C">
        <w:rPr>
          <w:rFonts w:eastAsia="Times New Roman" w:cs="Arial"/>
          <w:color w:val="000000"/>
          <w:lang w:val="en-US"/>
        </w:rPr>
        <w:t>CYP</w:t>
      </w:r>
      <w:r w:rsidRPr="0007635C">
        <w:rPr>
          <w:rFonts w:eastAsia="Times New Roman" w:cs="Arial"/>
          <w:color w:val="000000"/>
          <w:lang w:val="ru-RU"/>
        </w:rPr>
        <w:t>3</w:t>
      </w:r>
      <w:r w:rsidRPr="0007635C">
        <w:rPr>
          <w:rFonts w:eastAsia="Times New Roman" w:cs="Arial"/>
          <w:color w:val="000000"/>
          <w:lang w:val="en-US"/>
        </w:rPr>
        <w:t>A</w:t>
      </w:r>
      <w:r w:rsidRPr="0007635C">
        <w:rPr>
          <w:rFonts w:eastAsia="Times New Roman" w:cs="Arial"/>
          <w:color w:val="000000"/>
          <w:lang w:val="ru-RU"/>
        </w:rPr>
        <w:t xml:space="preserve">4, </w:t>
      </w:r>
      <w:r w:rsidRPr="0007635C">
        <w:rPr>
          <w:rFonts w:eastAsia="Times New Roman" w:cs="Arial"/>
          <w:color w:val="000000"/>
          <w:lang w:eastAsia="bg-BG"/>
        </w:rPr>
        <w:t xml:space="preserve">се очаква че кетоконазол, итраконазол, клотримазол, ритонавир и други инхибитори на </w:t>
      </w:r>
      <w:r w:rsidRPr="0007635C">
        <w:rPr>
          <w:rFonts w:eastAsia="Times New Roman" w:cs="Arial"/>
          <w:color w:val="000000"/>
          <w:lang w:val="en-US"/>
        </w:rPr>
        <w:t>CYP</w:t>
      </w:r>
      <w:r w:rsidRPr="0007635C">
        <w:rPr>
          <w:rFonts w:eastAsia="Times New Roman" w:cs="Arial"/>
          <w:color w:val="000000"/>
          <w:lang w:val="ru-RU"/>
        </w:rPr>
        <w:t>3</w:t>
      </w:r>
      <w:r w:rsidRPr="0007635C">
        <w:rPr>
          <w:rFonts w:eastAsia="Times New Roman" w:cs="Arial"/>
          <w:color w:val="000000"/>
          <w:lang w:val="en-US"/>
        </w:rPr>
        <w:t>A</w:t>
      </w:r>
      <w:r w:rsidRPr="0007635C">
        <w:rPr>
          <w:rFonts w:eastAsia="Times New Roman" w:cs="Arial"/>
          <w:color w:val="000000"/>
          <w:lang w:val="ru-RU"/>
        </w:rPr>
        <w:t xml:space="preserve">4 </w:t>
      </w:r>
      <w:r w:rsidRPr="0007635C">
        <w:rPr>
          <w:rFonts w:eastAsia="Times New Roman" w:cs="Arial"/>
          <w:color w:val="000000"/>
          <w:lang w:eastAsia="bg-BG"/>
        </w:rPr>
        <w:t xml:space="preserve">потискат метаболизма на ципротеронов ацетат. От друга страна, индуктори на </w:t>
      </w:r>
      <w:r w:rsidRPr="0007635C">
        <w:rPr>
          <w:rFonts w:eastAsia="Times New Roman" w:cs="Arial"/>
          <w:color w:val="000000"/>
          <w:lang w:val="en-US"/>
        </w:rPr>
        <w:t>CYP</w:t>
      </w:r>
      <w:r w:rsidRPr="0007635C">
        <w:rPr>
          <w:rFonts w:eastAsia="Times New Roman" w:cs="Arial"/>
          <w:color w:val="000000"/>
          <w:lang w:val="ru-RU"/>
        </w:rPr>
        <w:t>3</w:t>
      </w:r>
      <w:r w:rsidRPr="0007635C">
        <w:rPr>
          <w:rFonts w:eastAsia="Times New Roman" w:cs="Arial"/>
          <w:color w:val="000000"/>
          <w:lang w:val="en-US"/>
        </w:rPr>
        <w:t>A</w:t>
      </w:r>
      <w:r w:rsidRPr="0007635C">
        <w:rPr>
          <w:rFonts w:eastAsia="Times New Roman" w:cs="Arial"/>
          <w:color w:val="000000"/>
          <w:lang w:val="ru-RU"/>
        </w:rPr>
        <w:t xml:space="preserve">4 </w:t>
      </w:r>
      <w:r w:rsidRPr="0007635C">
        <w:rPr>
          <w:rFonts w:eastAsia="Times New Roman" w:cs="Arial"/>
          <w:color w:val="000000"/>
          <w:lang w:eastAsia="bg-BG"/>
        </w:rPr>
        <w:t>като рифампицин, фенитоин и продукти, съдържащи жълт кантарион, могат да намалят нивата на ципротеронов ацетат.</w:t>
      </w:r>
    </w:p>
    <w:p w14:paraId="31ECB8C3" w14:textId="77777777" w:rsidR="0007635C" w:rsidRDefault="0007635C" w:rsidP="0007635C">
      <w:pPr>
        <w:spacing w:line="240" w:lineRule="auto"/>
        <w:rPr>
          <w:rFonts w:eastAsia="Times New Roman" w:cs="Arial"/>
          <w:color w:val="000000"/>
          <w:lang w:eastAsia="bg-BG"/>
        </w:rPr>
      </w:pPr>
    </w:p>
    <w:p w14:paraId="568122BA" w14:textId="14DE5EEF" w:rsidR="0007635C" w:rsidRPr="0007635C" w:rsidRDefault="0007635C" w:rsidP="0007635C">
      <w:pPr>
        <w:spacing w:line="240" w:lineRule="auto"/>
        <w:rPr>
          <w:rFonts w:eastAsia="Times New Roman" w:cs="Arial"/>
        </w:rPr>
      </w:pPr>
      <w:r w:rsidRPr="0007635C">
        <w:rPr>
          <w:rFonts w:eastAsia="Times New Roman" w:cs="Arial"/>
          <w:color w:val="000000"/>
          <w:lang w:eastAsia="bg-BG"/>
        </w:rPr>
        <w:t xml:space="preserve">Основавайки се на </w:t>
      </w:r>
      <w:r w:rsidRPr="0007635C">
        <w:rPr>
          <w:rFonts w:eastAsia="Times New Roman" w:cs="Arial"/>
          <w:color w:val="000000"/>
          <w:lang w:val="en-US"/>
        </w:rPr>
        <w:t>in</w:t>
      </w:r>
      <w:r w:rsidRPr="0007635C">
        <w:rPr>
          <w:rFonts w:eastAsia="Times New Roman" w:cs="Arial"/>
          <w:color w:val="000000"/>
          <w:lang w:val="ru-RU"/>
        </w:rPr>
        <w:t xml:space="preserve"> </w:t>
      </w:r>
      <w:r w:rsidRPr="0007635C">
        <w:rPr>
          <w:rFonts w:eastAsia="Times New Roman" w:cs="Arial"/>
          <w:color w:val="000000"/>
          <w:lang w:val="en-US"/>
        </w:rPr>
        <w:t>vitro</w:t>
      </w:r>
      <w:r w:rsidRPr="0007635C">
        <w:rPr>
          <w:rFonts w:eastAsia="Times New Roman" w:cs="Arial"/>
          <w:color w:val="000000"/>
          <w:lang w:val="ru-RU"/>
        </w:rPr>
        <w:t xml:space="preserve"> </w:t>
      </w:r>
      <w:r w:rsidRPr="0007635C">
        <w:rPr>
          <w:rFonts w:eastAsia="Times New Roman" w:cs="Arial"/>
          <w:color w:val="000000"/>
          <w:lang w:eastAsia="bg-BG"/>
        </w:rPr>
        <w:t xml:space="preserve">проучвания, потискане на цитохром Р450 ензимите </w:t>
      </w:r>
      <w:r w:rsidRPr="0007635C">
        <w:rPr>
          <w:rFonts w:eastAsia="Times New Roman" w:cs="Arial"/>
          <w:color w:val="000000"/>
          <w:lang w:val="en-US"/>
        </w:rPr>
        <w:t>CYP</w:t>
      </w:r>
      <w:r w:rsidRPr="0007635C">
        <w:rPr>
          <w:rFonts w:eastAsia="Times New Roman" w:cs="Arial"/>
          <w:color w:val="000000"/>
          <w:lang w:val="ru-RU"/>
        </w:rPr>
        <w:t>2</w:t>
      </w:r>
      <w:r w:rsidRPr="0007635C">
        <w:rPr>
          <w:rFonts w:eastAsia="Times New Roman" w:cs="Arial"/>
          <w:color w:val="000000"/>
          <w:lang w:val="en-US"/>
        </w:rPr>
        <w:t>C</w:t>
      </w:r>
      <w:r w:rsidRPr="0007635C">
        <w:rPr>
          <w:rFonts w:eastAsia="Times New Roman" w:cs="Arial"/>
          <w:color w:val="000000"/>
          <w:lang w:val="ru-RU"/>
        </w:rPr>
        <w:t xml:space="preserve">8, </w:t>
      </w:r>
      <w:r w:rsidRPr="0007635C">
        <w:rPr>
          <w:rFonts w:eastAsia="Times New Roman" w:cs="Arial"/>
          <w:color w:val="000000"/>
          <w:lang w:eastAsia="bg-BG"/>
        </w:rPr>
        <w:t xml:space="preserve">2С9, 2С19, ЗА4, </w:t>
      </w:r>
      <w:r w:rsidRPr="0007635C">
        <w:rPr>
          <w:rFonts w:eastAsia="Times New Roman" w:cs="Arial"/>
          <w:color w:val="000000"/>
          <w:lang w:val="ru-RU"/>
        </w:rPr>
        <w:t>2</w:t>
      </w:r>
      <w:r w:rsidRPr="0007635C">
        <w:rPr>
          <w:rFonts w:eastAsia="Times New Roman" w:cs="Arial"/>
          <w:color w:val="000000"/>
          <w:lang w:val="en-US"/>
        </w:rPr>
        <w:t>D</w:t>
      </w:r>
      <w:r w:rsidRPr="0007635C">
        <w:rPr>
          <w:rFonts w:eastAsia="Times New Roman" w:cs="Arial"/>
          <w:color w:val="000000"/>
          <w:lang w:val="ru-RU"/>
        </w:rPr>
        <w:t xml:space="preserve">6 </w:t>
      </w:r>
      <w:r w:rsidRPr="0007635C">
        <w:rPr>
          <w:rFonts w:eastAsia="Times New Roman" w:cs="Arial"/>
          <w:color w:val="000000"/>
          <w:lang w:eastAsia="bg-BG"/>
        </w:rPr>
        <w:t xml:space="preserve">е възможно при високи терапевтични дози от 100 </w:t>
      </w:r>
      <w:r w:rsidRPr="0007635C">
        <w:rPr>
          <w:rFonts w:eastAsia="Times New Roman" w:cs="Arial"/>
          <w:color w:val="000000"/>
          <w:lang w:val="en-US"/>
        </w:rPr>
        <w:t>mg</w:t>
      </w:r>
      <w:r w:rsidRPr="0007635C">
        <w:rPr>
          <w:rFonts w:eastAsia="Times New Roman" w:cs="Arial"/>
          <w:color w:val="000000"/>
          <w:lang w:val="ru-RU"/>
        </w:rPr>
        <w:t xml:space="preserve"> </w:t>
      </w:r>
      <w:r w:rsidRPr="0007635C">
        <w:rPr>
          <w:rFonts w:eastAsia="Times New Roman" w:cs="Arial"/>
          <w:color w:val="000000"/>
          <w:lang w:eastAsia="bg-BG"/>
        </w:rPr>
        <w:t>три пъти дневно ципротеронов ацетат.</w:t>
      </w:r>
    </w:p>
    <w:p w14:paraId="5F1A73EE" w14:textId="77777777" w:rsidR="0007635C" w:rsidRDefault="0007635C" w:rsidP="0007635C">
      <w:pPr>
        <w:rPr>
          <w:rFonts w:eastAsia="Times New Roman" w:cs="Arial"/>
          <w:color w:val="000000"/>
          <w:lang w:eastAsia="bg-BG"/>
        </w:rPr>
      </w:pPr>
    </w:p>
    <w:p w14:paraId="3EA5B11D" w14:textId="44F77B1B" w:rsidR="0007635C" w:rsidRDefault="0007635C" w:rsidP="0007635C">
      <w:pPr>
        <w:rPr>
          <w:rFonts w:eastAsia="Times New Roman" w:cs="Arial"/>
          <w:color w:val="000000"/>
          <w:lang w:eastAsia="bg-BG"/>
        </w:rPr>
      </w:pPr>
      <w:r w:rsidRPr="0007635C">
        <w:rPr>
          <w:rFonts w:eastAsia="Times New Roman" w:cs="Arial"/>
          <w:color w:val="000000"/>
          <w:lang w:eastAsia="bg-BG"/>
        </w:rPr>
        <w:t xml:space="preserve">Рискът от статин-свързана миопатия или рабдомиолиза може да се увеличи, когато инхибитори </w:t>
      </w:r>
      <w:proofErr w:type="spellStart"/>
      <w:r w:rsidRPr="0007635C">
        <w:rPr>
          <w:rFonts w:eastAsia="Times New Roman" w:cs="Arial"/>
          <w:color w:val="000000"/>
          <w:lang w:val="en-US"/>
        </w:rPr>
        <w:t>HMGCoA</w:t>
      </w:r>
      <w:proofErr w:type="spellEnd"/>
      <w:r w:rsidRPr="0007635C">
        <w:rPr>
          <w:rFonts w:eastAsia="Times New Roman" w:cs="Arial"/>
          <w:color w:val="000000"/>
          <w:lang w:val="ru-RU"/>
        </w:rPr>
        <w:t xml:space="preserve"> </w:t>
      </w:r>
      <w:r w:rsidRPr="0007635C">
        <w:rPr>
          <w:rFonts w:eastAsia="Times New Roman" w:cs="Arial"/>
          <w:color w:val="000000"/>
          <w:lang w:eastAsia="bg-BG"/>
        </w:rPr>
        <w:t xml:space="preserve">(статини), които първоначално се метаболизират от </w:t>
      </w:r>
      <w:r w:rsidRPr="0007635C">
        <w:rPr>
          <w:rFonts w:eastAsia="Times New Roman" w:cs="Arial"/>
          <w:color w:val="000000"/>
          <w:lang w:val="en-US"/>
        </w:rPr>
        <w:t>CYP</w:t>
      </w:r>
      <w:r w:rsidRPr="0007635C">
        <w:rPr>
          <w:rFonts w:eastAsia="Times New Roman" w:cs="Arial"/>
          <w:color w:val="000000"/>
          <w:lang w:val="ru-RU"/>
        </w:rPr>
        <w:t xml:space="preserve"> </w:t>
      </w:r>
      <w:r w:rsidRPr="0007635C">
        <w:rPr>
          <w:rFonts w:eastAsia="Times New Roman" w:cs="Arial"/>
          <w:color w:val="000000"/>
          <w:lang w:eastAsia="bg-BG"/>
        </w:rPr>
        <w:t>ЗА4, се прилагат заедно с високи терапевтични дози ципротеронов ацетат, тъй като преминават през същия метаболизъм.</w:t>
      </w:r>
    </w:p>
    <w:p w14:paraId="653A8177" w14:textId="77777777" w:rsidR="0007635C" w:rsidRPr="0007635C" w:rsidRDefault="0007635C" w:rsidP="0007635C">
      <w:pPr>
        <w:rPr>
          <w:rFonts w:cs="Arial"/>
        </w:rPr>
      </w:pPr>
    </w:p>
    <w:p w14:paraId="73662265" w14:textId="6178E4AF" w:rsidR="00426E5F" w:rsidRDefault="002C50EE" w:rsidP="00A65A81">
      <w:pPr>
        <w:pStyle w:val="Heading2"/>
      </w:pPr>
      <w:r>
        <w:t>4.6. Фертилитет, бременност и кърмене</w:t>
      </w:r>
    </w:p>
    <w:p w14:paraId="75E9F13A" w14:textId="2AD82E3D" w:rsidR="0007635C" w:rsidRDefault="0007635C" w:rsidP="0007635C"/>
    <w:p w14:paraId="44BCF979" w14:textId="77777777" w:rsidR="0007635C" w:rsidRPr="0007635C" w:rsidRDefault="0007635C" w:rsidP="0007635C">
      <w:pPr>
        <w:rPr>
          <w:sz w:val="24"/>
          <w:szCs w:val="24"/>
        </w:rPr>
      </w:pPr>
      <w:r w:rsidRPr="0007635C">
        <w:rPr>
          <w:lang w:eastAsia="bg-BG"/>
        </w:rPr>
        <w:t>Андрокур е противопоказан по време на бременност и кърмене.</w:t>
      </w:r>
    </w:p>
    <w:p w14:paraId="20BB7CB6" w14:textId="77777777" w:rsidR="0007635C" w:rsidRPr="0007635C" w:rsidRDefault="0007635C" w:rsidP="0007635C">
      <w:pPr>
        <w:rPr>
          <w:sz w:val="24"/>
          <w:szCs w:val="24"/>
        </w:rPr>
      </w:pPr>
      <w:r w:rsidRPr="0007635C">
        <w:rPr>
          <w:lang w:eastAsia="bg-BG"/>
        </w:rPr>
        <w:t xml:space="preserve">В клинично изпитване с 6 жени, приемащи единична орална доза от 50 </w:t>
      </w:r>
      <w:r w:rsidRPr="0007635C">
        <w:rPr>
          <w:lang w:val="en-US"/>
        </w:rPr>
        <w:t>mg</w:t>
      </w:r>
      <w:r w:rsidRPr="0007635C">
        <w:rPr>
          <w:lang w:val="ru-RU"/>
        </w:rPr>
        <w:t xml:space="preserve"> </w:t>
      </w:r>
      <w:r w:rsidRPr="0007635C">
        <w:rPr>
          <w:lang w:eastAsia="bg-BG"/>
        </w:rPr>
        <w:t>ципротеронов ацетат 0,2% от дозата се екскретира в кърмата.</w:t>
      </w:r>
    </w:p>
    <w:p w14:paraId="4272B0DA" w14:textId="77777777" w:rsidR="0007635C" w:rsidRPr="0007635C" w:rsidRDefault="0007635C" w:rsidP="0007635C"/>
    <w:p w14:paraId="2B2E0E23" w14:textId="53AC1F38" w:rsidR="00426E5F" w:rsidRDefault="002C50EE" w:rsidP="00A65A81">
      <w:pPr>
        <w:pStyle w:val="Heading2"/>
      </w:pPr>
      <w:r>
        <w:t>4.7. Ефекти върху способността за шофиране и работа с машини</w:t>
      </w:r>
    </w:p>
    <w:p w14:paraId="0D367DAA" w14:textId="7E7F9FD2" w:rsidR="0007635C" w:rsidRDefault="0007635C" w:rsidP="0007635C"/>
    <w:p w14:paraId="01233CEB" w14:textId="1688E604" w:rsidR="0007635C" w:rsidRDefault="0007635C" w:rsidP="0007635C">
      <w:pPr>
        <w:rPr>
          <w:sz w:val="24"/>
          <w:szCs w:val="24"/>
        </w:rPr>
      </w:pPr>
      <w:r w:rsidRPr="0007635C">
        <w:rPr>
          <w:lang w:eastAsia="bg-BG"/>
        </w:rPr>
        <w:t xml:space="preserve">Трябва да се обърне внимание на пациентите, чиято дейност изисква по-голяма концентрация (напр. водачи на моторни превозни средства, оператори на машини), че Андрокур 50 </w:t>
      </w:r>
      <w:r w:rsidRPr="0007635C">
        <w:rPr>
          <w:lang w:val="en-US"/>
        </w:rPr>
        <w:t>mg</w:t>
      </w:r>
      <w:r w:rsidRPr="0007635C">
        <w:rPr>
          <w:lang w:val="ru-RU"/>
        </w:rPr>
        <w:t xml:space="preserve"> </w:t>
      </w:r>
      <w:r w:rsidRPr="0007635C">
        <w:rPr>
          <w:lang w:eastAsia="bg-BG"/>
        </w:rPr>
        <w:t>може да предизвика умора и намалена жизненост и може да влоши способността за концентрация.</w:t>
      </w:r>
    </w:p>
    <w:p w14:paraId="1CECDB28" w14:textId="77777777" w:rsidR="0007635C" w:rsidRPr="0007635C" w:rsidRDefault="0007635C" w:rsidP="0007635C">
      <w:pPr>
        <w:spacing w:line="240" w:lineRule="auto"/>
        <w:rPr>
          <w:rFonts w:ascii="Times New Roman" w:eastAsia="Times New Roman" w:hAnsi="Times New Roman" w:cs="Times New Roman"/>
          <w:sz w:val="24"/>
          <w:szCs w:val="24"/>
        </w:rPr>
      </w:pPr>
    </w:p>
    <w:p w14:paraId="25EF1252" w14:textId="45A04DBF" w:rsidR="00426E5F" w:rsidRDefault="002C50EE" w:rsidP="00A65A81">
      <w:pPr>
        <w:pStyle w:val="Heading2"/>
      </w:pPr>
      <w:r>
        <w:t>4.8. Нежелани лекарствени реакции</w:t>
      </w:r>
    </w:p>
    <w:p w14:paraId="31D3656A" w14:textId="15E662DC" w:rsidR="0007635C" w:rsidRDefault="0007635C" w:rsidP="0007635C"/>
    <w:p w14:paraId="7B240752" w14:textId="77777777" w:rsidR="0007635C" w:rsidRPr="0007635C" w:rsidRDefault="0007635C" w:rsidP="0007635C">
      <w:pPr>
        <w:spacing w:line="240" w:lineRule="auto"/>
        <w:rPr>
          <w:rFonts w:eastAsia="Times New Roman" w:cs="Arial"/>
        </w:rPr>
      </w:pPr>
      <w:r w:rsidRPr="0007635C">
        <w:rPr>
          <w:rFonts w:eastAsia="Times New Roman" w:cs="Arial"/>
          <w:color w:val="000000"/>
          <w:lang w:eastAsia="bg-BG"/>
        </w:rPr>
        <w:t xml:space="preserve">Най-често докладваните нежелани лекарствени реакции (НЛР) при жени приемащи Андрокур 50 </w:t>
      </w:r>
      <w:r w:rsidRPr="0007635C">
        <w:rPr>
          <w:rFonts w:eastAsia="Times New Roman" w:cs="Arial"/>
          <w:color w:val="000000"/>
          <w:lang w:val="en-US"/>
        </w:rPr>
        <w:t>mg</w:t>
      </w:r>
      <w:r w:rsidRPr="0007635C">
        <w:rPr>
          <w:rFonts w:eastAsia="Times New Roman" w:cs="Arial"/>
          <w:color w:val="000000"/>
          <w:lang w:val="ru-RU"/>
        </w:rPr>
        <w:t xml:space="preserve"> </w:t>
      </w:r>
      <w:r w:rsidRPr="0007635C">
        <w:rPr>
          <w:rFonts w:eastAsia="Times New Roman" w:cs="Arial"/>
          <w:color w:val="000000"/>
          <w:lang w:eastAsia="bg-BG"/>
        </w:rPr>
        <w:t>са зацапване, покачване на тегло и депресивно настроение,</w:t>
      </w:r>
    </w:p>
    <w:p w14:paraId="3039D31F" w14:textId="77777777" w:rsidR="0007635C" w:rsidRPr="0007635C" w:rsidRDefault="0007635C" w:rsidP="0007635C">
      <w:pPr>
        <w:spacing w:line="240" w:lineRule="auto"/>
        <w:rPr>
          <w:rFonts w:eastAsia="Times New Roman" w:cs="Arial"/>
        </w:rPr>
      </w:pPr>
      <w:r w:rsidRPr="0007635C">
        <w:rPr>
          <w:rFonts w:eastAsia="Times New Roman" w:cs="Arial"/>
          <w:color w:val="000000"/>
          <w:lang w:eastAsia="bg-BG"/>
        </w:rPr>
        <w:lastRenderedPageBreak/>
        <w:t xml:space="preserve">Най-често докладваните нежелани лекарствени реакции (НЛР) при мъже приемащи Андрокур 50 </w:t>
      </w:r>
      <w:r w:rsidRPr="0007635C">
        <w:rPr>
          <w:rFonts w:eastAsia="Times New Roman" w:cs="Arial"/>
          <w:color w:val="000000"/>
          <w:lang w:val="en-US"/>
        </w:rPr>
        <w:t>mg</w:t>
      </w:r>
      <w:r w:rsidRPr="0007635C">
        <w:rPr>
          <w:rFonts w:eastAsia="Times New Roman" w:cs="Arial"/>
          <w:color w:val="000000"/>
          <w:lang w:val="ru-RU"/>
        </w:rPr>
        <w:t xml:space="preserve"> </w:t>
      </w:r>
      <w:r w:rsidRPr="0007635C">
        <w:rPr>
          <w:rFonts w:eastAsia="Times New Roman" w:cs="Arial"/>
          <w:color w:val="000000"/>
          <w:lang w:eastAsia="bg-BG"/>
        </w:rPr>
        <w:t>са намалено либидо, еректилна дисфункция и обратимо инхибиране на сперматогенезата.</w:t>
      </w:r>
    </w:p>
    <w:p w14:paraId="7C6ADE2B" w14:textId="77777777" w:rsidR="0007635C" w:rsidRPr="0007635C" w:rsidRDefault="0007635C" w:rsidP="0007635C">
      <w:pPr>
        <w:spacing w:line="240" w:lineRule="auto"/>
        <w:rPr>
          <w:rFonts w:eastAsia="Times New Roman" w:cs="Arial"/>
          <w:color w:val="000000"/>
          <w:lang w:eastAsia="bg-BG"/>
        </w:rPr>
      </w:pPr>
    </w:p>
    <w:p w14:paraId="35650954" w14:textId="3939E09E" w:rsidR="0007635C" w:rsidRPr="0007635C" w:rsidRDefault="0007635C" w:rsidP="0007635C">
      <w:pPr>
        <w:spacing w:line="240" w:lineRule="auto"/>
        <w:rPr>
          <w:rFonts w:eastAsia="Times New Roman" w:cs="Arial"/>
        </w:rPr>
      </w:pPr>
      <w:r w:rsidRPr="0007635C">
        <w:rPr>
          <w:rFonts w:eastAsia="Times New Roman" w:cs="Arial"/>
          <w:color w:val="000000"/>
          <w:lang w:eastAsia="bg-BG"/>
        </w:rPr>
        <w:t xml:space="preserve">Най-сериозните НЛР при пациенти приемащи Андрокур 50 </w:t>
      </w:r>
      <w:r w:rsidRPr="0007635C">
        <w:rPr>
          <w:rFonts w:eastAsia="Times New Roman" w:cs="Arial"/>
          <w:color w:val="000000"/>
          <w:lang w:val="en-US"/>
        </w:rPr>
        <w:t>mg</w:t>
      </w:r>
      <w:r w:rsidRPr="0007635C">
        <w:rPr>
          <w:rFonts w:eastAsia="Times New Roman" w:cs="Arial"/>
          <w:color w:val="000000"/>
          <w:lang w:val="ru-RU"/>
        </w:rPr>
        <w:t xml:space="preserve"> </w:t>
      </w:r>
      <w:r w:rsidRPr="0007635C">
        <w:rPr>
          <w:rFonts w:eastAsia="Times New Roman" w:cs="Arial"/>
          <w:color w:val="000000"/>
          <w:lang w:eastAsia="bg-BG"/>
        </w:rPr>
        <w:t>са хепатотоксичност, доброкачествени и злокачествени тумори на черния дроб, които могат да доведат до интра- абдоминална хеморагия и тромбоемболични инциденти.</w:t>
      </w:r>
    </w:p>
    <w:p w14:paraId="0023B6C8" w14:textId="77777777" w:rsidR="0007635C" w:rsidRPr="0007635C" w:rsidRDefault="0007635C" w:rsidP="0007635C">
      <w:pPr>
        <w:spacing w:line="240" w:lineRule="auto"/>
        <w:rPr>
          <w:rFonts w:eastAsia="Times New Roman" w:cs="Arial"/>
        </w:rPr>
      </w:pPr>
    </w:p>
    <w:p w14:paraId="7527D345" w14:textId="77777777" w:rsidR="0007635C" w:rsidRPr="0007635C" w:rsidRDefault="0007635C" w:rsidP="0007635C">
      <w:pPr>
        <w:spacing w:line="240" w:lineRule="auto"/>
        <w:rPr>
          <w:rFonts w:eastAsia="Times New Roman" w:cs="Arial"/>
        </w:rPr>
      </w:pPr>
      <w:r w:rsidRPr="0007635C">
        <w:rPr>
          <w:rFonts w:eastAsia="Times New Roman" w:cs="Arial"/>
          <w:color w:val="000000"/>
          <w:lang w:eastAsia="bg-BG"/>
        </w:rPr>
        <w:t>Честотите на поява на докладваните за Андрокур НЛР са обобщени в таблицата по-долу.</w:t>
      </w:r>
    </w:p>
    <w:p w14:paraId="13E0FC40" w14:textId="77777777" w:rsidR="0007635C" w:rsidRPr="0007635C" w:rsidRDefault="0007635C" w:rsidP="0007635C">
      <w:pPr>
        <w:spacing w:line="240" w:lineRule="auto"/>
        <w:rPr>
          <w:rFonts w:eastAsia="Times New Roman" w:cs="Arial"/>
        </w:rPr>
      </w:pPr>
      <w:r w:rsidRPr="0007635C">
        <w:rPr>
          <w:rFonts w:eastAsia="Times New Roman" w:cs="Arial"/>
          <w:color w:val="000000"/>
          <w:lang w:eastAsia="bg-BG"/>
        </w:rPr>
        <w:t>В зависимост от честотата на поява, НЛР се класифицират в следните групи: много чести (≥ 1/10), чести (≥ 1/100 и &lt; 1/10), нечести (≥1/1,000 и &lt; 1/100), редки (≥ 1/10,000 и &lt; 1/1,000) и много редки (&lt; 1/10,000), НЛР, установени само по време на постмаркетинговото наблюдение и кумулативен опит с Андрокур, и за които честотата не може да бъде определена се класифицират като НЛР „с неизвестна честота”,</w:t>
      </w:r>
    </w:p>
    <w:p w14:paraId="426B531C" w14:textId="01918501" w:rsidR="0007635C" w:rsidRDefault="0007635C" w:rsidP="0007635C"/>
    <w:tbl>
      <w:tblPr>
        <w:tblStyle w:val="TableGrid"/>
        <w:tblW w:w="0" w:type="auto"/>
        <w:tblLook w:val="04A0" w:firstRow="1" w:lastRow="0" w:firstColumn="1" w:lastColumn="0" w:noHBand="0" w:noVBand="1"/>
      </w:tblPr>
      <w:tblGrid>
        <w:gridCol w:w="1743"/>
        <w:gridCol w:w="1392"/>
        <w:gridCol w:w="1345"/>
        <w:gridCol w:w="924"/>
        <w:gridCol w:w="1370"/>
        <w:gridCol w:w="1401"/>
        <w:gridCol w:w="1401"/>
      </w:tblGrid>
      <w:tr w:rsidR="0007635C" w14:paraId="09376E6A" w14:textId="77777777" w:rsidTr="0007635C">
        <w:tc>
          <w:tcPr>
            <w:tcW w:w="1743" w:type="dxa"/>
            <w:vAlign w:val="bottom"/>
          </w:tcPr>
          <w:p w14:paraId="19831A4B" w14:textId="0D6675EF" w:rsidR="0007635C" w:rsidRPr="0007635C" w:rsidRDefault="0007635C" w:rsidP="0007635C">
            <w:r w:rsidRPr="0007635C">
              <w:rPr>
                <w:b/>
                <w:bCs/>
              </w:rPr>
              <w:t xml:space="preserve">Системно-орагнна класификация </w:t>
            </w:r>
            <w:proofErr w:type="spellStart"/>
            <w:r w:rsidRPr="0007635C">
              <w:rPr>
                <w:b/>
                <w:bCs/>
                <w:lang w:val="en-US"/>
              </w:rPr>
              <w:t>MedDRA</w:t>
            </w:r>
            <w:proofErr w:type="spellEnd"/>
            <w:r w:rsidRPr="0007635C">
              <w:rPr>
                <w:b/>
                <w:bCs/>
                <w:lang w:val="ru-RU"/>
              </w:rPr>
              <w:t xml:space="preserve"> </w:t>
            </w:r>
            <w:r w:rsidRPr="0007635C">
              <w:rPr>
                <w:b/>
                <w:bCs/>
              </w:rPr>
              <w:t>в. 8.0</w:t>
            </w:r>
          </w:p>
        </w:tc>
        <w:tc>
          <w:tcPr>
            <w:tcW w:w="1392" w:type="dxa"/>
          </w:tcPr>
          <w:p w14:paraId="2EC70201" w14:textId="77777777" w:rsidR="0007635C" w:rsidRPr="0007635C" w:rsidRDefault="0007635C" w:rsidP="0007635C">
            <w:r w:rsidRPr="0007635C">
              <w:rPr>
                <w:b/>
                <w:bCs/>
              </w:rPr>
              <w:t>Много чести</w:t>
            </w:r>
          </w:p>
          <w:p w14:paraId="55946B90" w14:textId="23A4B256" w:rsidR="0007635C" w:rsidRPr="0007635C" w:rsidRDefault="0007635C" w:rsidP="0007635C">
            <w:r w:rsidRPr="0007635C">
              <w:rPr>
                <w:b/>
                <w:bCs/>
              </w:rPr>
              <w:t>≥</w:t>
            </w:r>
            <w:r w:rsidRPr="0007635C">
              <w:rPr>
                <w:b/>
                <w:bCs/>
                <w:lang w:val="en-US"/>
              </w:rPr>
              <w:t xml:space="preserve"> </w:t>
            </w:r>
            <w:r w:rsidRPr="0007635C">
              <w:rPr>
                <w:b/>
                <w:bCs/>
              </w:rPr>
              <w:t>1/10</w:t>
            </w:r>
          </w:p>
        </w:tc>
        <w:tc>
          <w:tcPr>
            <w:tcW w:w="1345" w:type="dxa"/>
            <w:vAlign w:val="bottom"/>
          </w:tcPr>
          <w:p w14:paraId="005A5C25" w14:textId="77777777" w:rsidR="0007635C" w:rsidRPr="0007635C" w:rsidRDefault="0007635C" w:rsidP="0007635C">
            <w:r w:rsidRPr="0007635C">
              <w:rPr>
                <w:b/>
                <w:bCs/>
              </w:rPr>
              <w:t>Чести</w:t>
            </w:r>
          </w:p>
          <w:p w14:paraId="258DB52F" w14:textId="77777777" w:rsidR="0007635C" w:rsidRPr="0007635C" w:rsidRDefault="0007635C" w:rsidP="0007635C">
            <w:r w:rsidRPr="0007635C">
              <w:rPr>
                <w:b/>
                <w:bCs/>
              </w:rPr>
              <w:t>≥ 1/100 и</w:t>
            </w:r>
          </w:p>
          <w:p w14:paraId="39EF559E" w14:textId="486C9954" w:rsidR="0007635C" w:rsidRPr="0007635C" w:rsidRDefault="0007635C" w:rsidP="0007635C">
            <w:r w:rsidRPr="0007635C">
              <w:rPr>
                <w:b/>
                <w:bCs/>
              </w:rPr>
              <w:t>&lt;1/10</w:t>
            </w:r>
          </w:p>
        </w:tc>
        <w:tc>
          <w:tcPr>
            <w:tcW w:w="924" w:type="dxa"/>
            <w:vAlign w:val="bottom"/>
          </w:tcPr>
          <w:p w14:paraId="0942F7CC" w14:textId="77777777" w:rsidR="0007635C" w:rsidRPr="0007635C" w:rsidRDefault="0007635C" w:rsidP="0007635C">
            <w:r w:rsidRPr="0007635C">
              <w:rPr>
                <w:b/>
                <w:bCs/>
              </w:rPr>
              <w:t>Нечести</w:t>
            </w:r>
          </w:p>
          <w:p w14:paraId="2DB4743A" w14:textId="6928FD23" w:rsidR="0007635C" w:rsidRPr="0007635C" w:rsidRDefault="0007635C" w:rsidP="0007635C">
            <w:r w:rsidRPr="0007635C">
              <w:rPr>
                <w:b/>
                <w:bCs/>
              </w:rPr>
              <w:t>≥ 1/1 000 и &lt; 1/100</w:t>
            </w:r>
          </w:p>
        </w:tc>
        <w:tc>
          <w:tcPr>
            <w:tcW w:w="1370" w:type="dxa"/>
            <w:vAlign w:val="bottom"/>
          </w:tcPr>
          <w:p w14:paraId="6484121C" w14:textId="77777777" w:rsidR="0007635C" w:rsidRPr="0007635C" w:rsidRDefault="0007635C" w:rsidP="0007635C">
            <w:r w:rsidRPr="0007635C">
              <w:rPr>
                <w:b/>
                <w:bCs/>
              </w:rPr>
              <w:t>Редки</w:t>
            </w:r>
          </w:p>
          <w:p w14:paraId="7EDBA923" w14:textId="39B7B9AD" w:rsidR="0007635C" w:rsidRPr="0007635C" w:rsidRDefault="0007635C" w:rsidP="0007635C">
            <w:r w:rsidRPr="0007635C">
              <w:rPr>
                <w:b/>
                <w:bCs/>
              </w:rPr>
              <w:t>≥1/10 000 и &lt; 1/1000</w:t>
            </w:r>
          </w:p>
        </w:tc>
        <w:tc>
          <w:tcPr>
            <w:tcW w:w="1401" w:type="dxa"/>
          </w:tcPr>
          <w:p w14:paraId="4BF49C46" w14:textId="585B0534" w:rsidR="0007635C" w:rsidRPr="0007635C" w:rsidRDefault="0007635C" w:rsidP="0007635C">
            <w:r w:rsidRPr="0007635C">
              <w:rPr>
                <w:b/>
                <w:bCs/>
              </w:rPr>
              <w:t>Много редки &lt; 1/10 000</w:t>
            </w:r>
          </w:p>
        </w:tc>
        <w:tc>
          <w:tcPr>
            <w:tcW w:w="1401" w:type="dxa"/>
          </w:tcPr>
          <w:p w14:paraId="021C0D50" w14:textId="36E37030" w:rsidR="0007635C" w:rsidRPr="0007635C" w:rsidRDefault="0007635C" w:rsidP="0007635C">
            <w:r w:rsidRPr="0007635C">
              <w:rPr>
                <w:b/>
                <w:bCs/>
              </w:rPr>
              <w:t>С неизвестна честота</w:t>
            </w:r>
          </w:p>
        </w:tc>
      </w:tr>
      <w:tr w:rsidR="0007635C" w14:paraId="0F01AFC3" w14:textId="77777777" w:rsidTr="0007635C">
        <w:tc>
          <w:tcPr>
            <w:tcW w:w="1743" w:type="dxa"/>
          </w:tcPr>
          <w:p w14:paraId="2E937C67" w14:textId="4E53A22D" w:rsidR="0007635C" w:rsidRPr="0007635C" w:rsidRDefault="0007635C" w:rsidP="0007635C">
            <w:r w:rsidRPr="0007635C">
              <w:rPr>
                <w:b/>
                <w:bCs/>
              </w:rPr>
              <w:t>Доброкачествени и злокачествени неоплазми</w:t>
            </w:r>
          </w:p>
        </w:tc>
        <w:tc>
          <w:tcPr>
            <w:tcW w:w="1392" w:type="dxa"/>
          </w:tcPr>
          <w:p w14:paraId="6B18461C" w14:textId="77777777" w:rsidR="0007635C" w:rsidRPr="0007635C" w:rsidRDefault="0007635C" w:rsidP="0007635C"/>
        </w:tc>
        <w:tc>
          <w:tcPr>
            <w:tcW w:w="1345" w:type="dxa"/>
          </w:tcPr>
          <w:p w14:paraId="1D4694CD" w14:textId="77777777" w:rsidR="0007635C" w:rsidRPr="0007635C" w:rsidRDefault="0007635C" w:rsidP="0007635C"/>
        </w:tc>
        <w:tc>
          <w:tcPr>
            <w:tcW w:w="924" w:type="dxa"/>
          </w:tcPr>
          <w:p w14:paraId="37C738A4" w14:textId="77777777" w:rsidR="0007635C" w:rsidRPr="0007635C" w:rsidRDefault="0007635C" w:rsidP="0007635C"/>
        </w:tc>
        <w:tc>
          <w:tcPr>
            <w:tcW w:w="1370" w:type="dxa"/>
          </w:tcPr>
          <w:p w14:paraId="70D4BFF2" w14:textId="79816FC9" w:rsidR="0007635C" w:rsidRPr="0007635C" w:rsidRDefault="0007635C" w:rsidP="0007635C">
            <w:r w:rsidRPr="0007635C">
              <w:t>Менингиом</w:t>
            </w:r>
            <w:r w:rsidRPr="0007635C">
              <w:rPr>
                <w:vertAlign w:val="superscript"/>
              </w:rPr>
              <w:t>8</w:t>
            </w:r>
            <w:r w:rsidRPr="0007635C">
              <w:t>*</w:t>
            </w:r>
          </w:p>
        </w:tc>
        <w:tc>
          <w:tcPr>
            <w:tcW w:w="1401" w:type="dxa"/>
            <w:vAlign w:val="bottom"/>
          </w:tcPr>
          <w:p w14:paraId="2CD494FC" w14:textId="75AA713F" w:rsidR="0007635C" w:rsidRPr="0007635C" w:rsidRDefault="0007635C" w:rsidP="0007635C">
            <w:r w:rsidRPr="0007635C">
              <w:t>Доброка</w:t>
            </w:r>
            <w:r w:rsidRPr="0007635C">
              <w:softHyphen/>
              <w:t>чествени и злокачествени чернодробни тумори (мъже)*</w:t>
            </w:r>
          </w:p>
        </w:tc>
        <w:tc>
          <w:tcPr>
            <w:tcW w:w="1401" w:type="dxa"/>
            <w:vAlign w:val="bottom"/>
          </w:tcPr>
          <w:p w14:paraId="72645AF0" w14:textId="26C76836" w:rsidR="0007635C" w:rsidRPr="0007635C" w:rsidRDefault="0007635C" w:rsidP="0007635C">
            <w:r w:rsidRPr="0007635C">
              <w:t>Доброка</w:t>
            </w:r>
            <w:r w:rsidRPr="0007635C">
              <w:softHyphen/>
              <w:t>чествени и злокачествени чернодробни тумори (жени)*</w:t>
            </w:r>
          </w:p>
        </w:tc>
      </w:tr>
      <w:tr w:rsidR="0007635C" w14:paraId="49E56305" w14:textId="77777777" w:rsidTr="0007635C">
        <w:tc>
          <w:tcPr>
            <w:tcW w:w="1743" w:type="dxa"/>
            <w:vAlign w:val="bottom"/>
          </w:tcPr>
          <w:p w14:paraId="4EC08802" w14:textId="4AF5AFDD" w:rsidR="0007635C" w:rsidRPr="0007635C" w:rsidRDefault="0007635C" w:rsidP="0007635C">
            <w:r w:rsidRPr="0007635C">
              <w:rPr>
                <w:b/>
                <w:bCs/>
              </w:rPr>
              <w:t>Нарушения на кръвта и лимфната система</w:t>
            </w:r>
          </w:p>
        </w:tc>
        <w:tc>
          <w:tcPr>
            <w:tcW w:w="1392" w:type="dxa"/>
          </w:tcPr>
          <w:p w14:paraId="4B2E8918" w14:textId="77777777" w:rsidR="0007635C" w:rsidRPr="0007635C" w:rsidRDefault="0007635C" w:rsidP="0007635C"/>
        </w:tc>
        <w:tc>
          <w:tcPr>
            <w:tcW w:w="1345" w:type="dxa"/>
          </w:tcPr>
          <w:p w14:paraId="534E4BCA" w14:textId="77777777" w:rsidR="0007635C" w:rsidRPr="0007635C" w:rsidRDefault="0007635C" w:rsidP="0007635C"/>
        </w:tc>
        <w:tc>
          <w:tcPr>
            <w:tcW w:w="924" w:type="dxa"/>
          </w:tcPr>
          <w:p w14:paraId="7DBE57B3" w14:textId="77777777" w:rsidR="0007635C" w:rsidRPr="0007635C" w:rsidRDefault="0007635C" w:rsidP="0007635C"/>
        </w:tc>
        <w:tc>
          <w:tcPr>
            <w:tcW w:w="1370" w:type="dxa"/>
          </w:tcPr>
          <w:p w14:paraId="0A376DA2" w14:textId="77777777" w:rsidR="0007635C" w:rsidRPr="0007635C" w:rsidRDefault="0007635C" w:rsidP="0007635C"/>
        </w:tc>
        <w:tc>
          <w:tcPr>
            <w:tcW w:w="1401" w:type="dxa"/>
          </w:tcPr>
          <w:p w14:paraId="0B75A038" w14:textId="77777777" w:rsidR="0007635C" w:rsidRPr="0007635C" w:rsidRDefault="0007635C" w:rsidP="0007635C"/>
        </w:tc>
        <w:tc>
          <w:tcPr>
            <w:tcW w:w="1401" w:type="dxa"/>
          </w:tcPr>
          <w:p w14:paraId="3A9038F2" w14:textId="4E689FBB" w:rsidR="0007635C" w:rsidRPr="0007635C" w:rsidRDefault="0007635C" w:rsidP="0007635C">
            <w:r w:rsidRPr="0007635C">
              <w:t>Анемия (мъже)*</w:t>
            </w:r>
          </w:p>
        </w:tc>
      </w:tr>
      <w:tr w:rsidR="0007635C" w14:paraId="2F0118BF" w14:textId="77777777" w:rsidTr="0007635C">
        <w:tc>
          <w:tcPr>
            <w:tcW w:w="1743" w:type="dxa"/>
          </w:tcPr>
          <w:p w14:paraId="00149F1F" w14:textId="1EC498BC" w:rsidR="0007635C" w:rsidRPr="0007635C" w:rsidRDefault="0007635C" w:rsidP="0007635C">
            <w:r w:rsidRPr="0007635C">
              <w:rPr>
                <w:b/>
                <w:bCs/>
              </w:rPr>
              <w:t>Нарушения на имунната система</w:t>
            </w:r>
          </w:p>
        </w:tc>
        <w:tc>
          <w:tcPr>
            <w:tcW w:w="1392" w:type="dxa"/>
          </w:tcPr>
          <w:p w14:paraId="322915BF" w14:textId="77777777" w:rsidR="0007635C" w:rsidRPr="0007635C" w:rsidRDefault="0007635C" w:rsidP="0007635C"/>
        </w:tc>
        <w:tc>
          <w:tcPr>
            <w:tcW w:w="1345" w:type="dxa"/>
          </w:tcPr>
          <w:p w14:paraId="6D33FDAD" w14:textId="77777777" w:rsidR="0007635C" w:rsidRPr="0007635C" w:rsidRDefault="0007635C" w:rsidP="0007635C"/>
        </w:tc>
        <w:tc>
          <w:tcPr>
            <w:tcW w:w="924" w:type="dxa"/>
          </w:tcPr>
          <w:p w14:paraId="7E97D3A6" w14:textId="77777777" w:rsidR="0007635C" w:rsidRPr="0007635C" w:rsidRDefault="0007635C" w:rsidP="0007635C"/>
        </w:tc>
        <w:tc>
          <w:tcPr>
            <w:tcW w:w="1370" w:type="dxa"/>
            <w:vAlign w:val="bottom"/>
          </w:tcPr>
          <w:p w14:paraId="219F869C" w14:textId="772428EE" w:rsidR="0007635C" w:rsidRPr="0007635C" w:rsidRDefault="0007635C" w:rsidP="0007635C">
            <w:r w:rsidRPr="0007635C">
              <w:t>Реакция на свръхчувстви</w:t>
            </w:r>
            <w:r w:rsidRPr="0007635C">
              <w:softHyphen/>
              <w:t>телност (мъже)</w:t>
            </w:r>
          </w:p>
        </w:tc>
        <w:tc>
          <w:tcPr>
            <w:tcW w:w="1401" w:type="dxa"/>
          </w:tcPr>
          <w:p w14:paraId="7FFBD986" w14:textId="77777777" w:rsidR="0007635C" w:rsidRPr="0007635C" w:rsidRDefault="0007635C" w:rsidP="0007635C"/>
        </w:tc>
        <w:tc>
          <w:tcPr>
            <w:tcW w:w="1401" w:type="dxa"/>
            <w:vAlign w:val="bottom"/>
          </w:tcPr>
          <w:p w14:paraId="7BD4D520" w14:textId="41431AFC" w:rsidR="0007635C" w:rsidRPr="0007635C" w:rsidRDefault="0007635C" w:rsidP="0007635C">
            <w:r w:rsidRPr="0007635C">
              <w:t>Реакция на свръхчувстви</w:t>
            </w:r>
            <w:r w:rsidRPr="0007635C">
              <w:softHyphen/>
              <w:t>телност (жени)</w:t>
            </w:r>
          </w:p>
        </w:tc>
      </w:tr>
      <w:tr w:rsidR="0007635C" w14:paraId="75645ABF" w14:textId="77777777" w:rsidTr="0007635C">
        <w:tc>
          <w:tcPr>
            <w:tcW w:w="1743" w:type="dxa"/>
          </w:tcPr>
          <w:p w14:paraId="675D25EE" w14:textId="77777777" w:rsidR="0007635C" w:rsidRPr="0007635C" w:rsidRDefault="0007635C" w:rsidP="0007635C">
            <w:r w:rsidRPr="0007635C">
              <w:rPr>
                <w:b/>
                <w:bCs/>
              </w:rPr>
              <w:t>Нарушения на метаболизма и</w:t>
            </w:r>
          </w:p>
          <w:p w14:paraId="581F356C" w14:textId="7B84FCA4" w:rsidR="0007635C" w:rsidRPr="0007635C" w:rsidRDefault="0007635C" w:rsidP="0007635C">
            <w:r w:rsidRPr="0007635C">
              <w:rPr>
                <w:b/>
                <w:bCs/>
              </w:rPr>
              <w:t>храненето</w:t>
            </w:r>
          </w:p>
        </w:tc>
        <w:tc>
          <w:tcPr>
            <w:tcW w:w="1392" w:type="dxa"/>
          </w:tcPr>
          <w:p w14:paraId="40514880" w14:textId="77777777" w:rsidR="0007635C" w:rsidRPr="0007635C" w:rsidRDefault="0007635C" w:rsidP="0007635C"/>
        </w:tc>
        <w:tc>
          <w:tcPr>
            <w:tcW w:w="1345" w:type="dxa"/>
            <w:vAlign w:val="bottom"/>
          </w:tcPr>
          <w:p w14:paraId="09572F4B" w14:textId="37DD0FF9" w:rsidR="0007635C" w:rsidRPr="0007635C" w:rsidRDefault="0007635C" w:rsidP="0007635C">
            <w:r w:rsidRPr="0007635C">
              <w:t>Увеличаване на теглото (мъже), Намялване на теглото (мъже)</w:t>
            </w:r>
          </w:p>
        </w:tc>
        <w:tc>
          <w:tcPr>
            <w:tcW w:w="924" w:type="dxa"/>
          </w:tcPr>
          <w:p w14:paraId="70BE0D16" w14:textId="77777777" w:rsidR="0007635C" w:rsidRPr="0007635C" w:rsidRDefault="0007635C" w:rsidP="0007635C"/>
        </w:tc>
        <w:tc>
          <w:tcPr>
            <w:tcW w:w="1370" w:type="dxa"/>
          </w:tcPr>
          <w:p w14:paraId="4608F1B7" w14:textId="77777777" w:rsidR="0007635C" w:rsidRPr="0007635C" w:rsidRDefault="0007635C" w:rsidP="0007635C"/>
        </w:tc>
        <w:tc>
          <w:tcPr>
            <w:tcW w:w="1401" w:type="dxa"/>
          </w:tcPr>
          <w:p w14:paraId="602DC289" w14:textId="77777777" w:rsidR="0007635C" w:rsidRPr="0007635C" w:rsidRDefault="0007635C" w:rsidP="0007635C"/>
        </w:tc>
        <w:tc>
          <w:tcPr>
            <w:tcW w:w="1401" w:type="dxa"/>
            <w:vAlign w:val="bottom"/>
          </w:tcPr>
          <w:p w14:paraId="568CDF6E" w14:textId="36BA889E" w:rsidR="0007635C" w:rsidRPr="0007635C" w:rsidRDefault="0007635C" w:rsidP="0007635C">
            <w:r w:rsidRPr="0007635C">
              <w:t>Увеличаване на теглото (жени), Намаляване на теглото (жени)</w:t>
            </w:r>
          </w:p>
        </w:tc>
      </w:tr>
      <w:tr w:rsidR="0007635C" w14:paraId="18CACBF8" w14:textId="77777777" w:rsidTr="0007635C">
        <w:tc>
          <w:tcPr>
            <w:tcW w:w="1743" w:type="dxa"/>
          </w:tcPr>
          <w:p w14:paraId="25FA3EC9" w14:textId="2D17E1FA" w:rsidR="0007635C" w:rsidRPr="0007635C" w:rsidRDefault="0007635C" w:rsidP="0007635C">
            <w:r w:rsidRPr="0007635C">
              <w:rPr>
                <w:b/>
                <w:bCs/>
              </w:rPr>
              <w:t>Психични нарушения</w:t>
            </w:r>
          </w:p>
        </w:tc>
        <w:tc>
          <w:tcPr>
            <w:tcW w:w="1392" w:type="dxa"/>
          </w:tcPr>
          <w:p w14:paraId="0C475FFE" w14:textId="0844FFBA" w:rsidR="0007635C" w:rsidRPr="0007635C" w:rsidRDefault="0007635C" w:rsidP="0007635C">
            <w:r w:rsidRPr="0007635C">
              <w:t xml:space="preserve">Намаляване на либидото </w:t>
            </w:r>
            <w:r w:rsidRPr="0007635C">
              <w:lastRenderedPageBreak/>
              <w:t>(мъже), Еректилна дисфункция (мъже)</w:t>
            </w:r>
          </w:p>
        </w:tc>
        <w:tc>
          <w:tcPr>
            <w:tcW w:w="1345" w:type="dxa"/>
          </w:tcPr>
          <w:p w14:paraId="293A44E1" w14:textId="5A13361F" w:rsidR="0007635C" w:rsidRPr="0007635C" w:rsidRDefault="0007635C" w:rsidP="0007635C">
            <w:r w:rsidRPr="0007635C">
              <w:lastRenderedPageBreak/>
              <w:t xml:space="preserve">Депресивни промени в </w:t>
            </w:r>
            <w:r w:rsidRPr="0007635C">
              <w:lastRenderedPageBreak/>
              <w:t>настроението (мъже), Преходно безпокойство (мъже)</w:t>
            </w:r>
          </w:p>
        </w:tc>
        <w:tc>
          <w:tcPr>
            <w:tcW w:w="924" w:type="dxa"/>
          </w:tcPr>
          <w:p w14:paraId="3B7128A8" w14:textId="77777777" w:rsidR="0007635C" w:rsidRPr="0007635C" w:rsidRDefault="0007635C" w:rsidP="0007635C"/>
        </w:tc>
        <w:tc>
          <w:tcPr>
            <w:tcW w:w="1370" w:type="dxa"/>
          </w:tcPr>
          <w:p w14:paraId="7F31825B" w14:textId="77777777" w:rsidR="0007635C" w:rsidRPr="0007635C" w:rsidRDefault="0007635C" w:rsidP="0007635C"/>
        </w:tc>
        <w:tc>
          <w:tcPr>
            <w:tcW w:w="1401" w:type="dxa"/>
          </w:tcPr>
          <w:p w14:paraId="2962C848" w14:textId="77777777" w:rsidR="0007635C" w:rsidRPr="0007635C" w:rsidRDefault="0007635C" w:rsidP="0007635C"/>
        </w:tc>
        <w:tc>
          <w:tcPr>
            <w:tcW w:w="1401" w:type="dxa"/>
            <w:vAlign w:val="bottom"/>
          </w:tcPr>
          <w:p w14:paraId="4DAA494C" w14:textId="2E101BE7" w:rsidR="0007635C" w:rsidRPr="0007635C" w:rsidRDefault="0007635C" w:rsidP="0007635C">
            <w:r w:rsidRPr="0007635C">
              <w:t xml:space="preserve">Депресивни промени в </w:t>
            </w:r>
            <w:r w:rsidRPr="0007635C">
              <w:lastRenderedPageBreak/>
              <w:t>настроението (жени), Преходно безпокойство (жени), Намалено либидо (жени), Увеличено либидо(жени)</w:t>
            </w:r>
          </w:p>
        </w:tc>
      </w:tr>
      <w:tr w:rsidR="0007635C" w14:paraId="36B11713" w14:textId="77777777" w:rsidTr="0007635C">
        <w:tc>
          <w:tcPr>
            <w:tcW w:w="1743" w:type="dxa"/>
            <w:vAlign w:val="bottom"/>
          </w:tcPr>
          <w:p w14:paraId="36FF9707" w14:textId="3B0B4230" w:rsidR="0007635C" w:rsidRPr="0007635C" w:rsidRDefault="0007635C" w:rsidP="0007635C">
            <w:r w:rsidRPr="0007635C">
              <w:rPr>
                <w:b/>
                <w:bCs/>
              </w:rPr>
              <w:lastRenderedPageBreak/>
              <w:t>Нарушения на кожа и подкожна тъкан</w:t>
            </w:r>
          </w:p>
        </w:tc>
        <w:tc>
          <w:tcPr>
            <w:tcW w:w="1392" w:type="dxa"/>
          </w:tcPr>
          <w:p w14:paraId="0651A849" w14:textId="77777777" w:rsidR="0007635C" w:rsidRPr="0007635C" w:rsidRDefault="0007635C" w:rsidP="0007635C"/>
        </w:tc>
        <w:tc>
          <w:tcPr>
            <w:tcW w:w="1345" w:type="dxa"/>
          </w:tcPr>
          <w:p w14:paraId="05B1A99A" w14:textId="77777777" w:rsidR="0007635C" w:rsidRPr="0007635C" w:rsidRDefault="0007635C" w:rsidP="0007635C"/>
        </w:tc>
        <w:tc>
          <w:tcPr>
            <w:tcW w:w="924" w:type="dxa"/>
          </w:tcPr>
          <w:p w14:paraId="0BC42B73" w14:textId="39F6FA0A" w:rsidR="0007635C" w:rsidRPr="0007635C" w:rsidRDefault="0007635C" w:rsidP="0007635C">
            <w:r w:rsidRPr="0007635C">
              <w:t>Обрив (мъже)</w:t>
            </w:r>
          </w:p>
        </w:tc>
        <w:tc>
          <w:tcPr>
            <w:tcW w:w="1370" w:type="dxa"/>
          </w:tcPr>
          <w:p w14:paraId="7FC39E95" w14:textId="77777777" w:rsidR="0007635C" w:rsidRPr="0007635C" w:rsidRDefault="0007635C" w:rsidP="0007635C"/>
        </w:tc>
        <w:tc>
          <w:tcPr>
            <w:tcW w:w="1401" w:type="dxa"/>
          </w:tcPr>
          <w:p w14:paraId="0EA7C918" w14:textId="77777777" w:rsidR="0007635C" w:rsidRPr="0007635C" w:rsidRDefault="0007635C" w:rsidP="0007635C"/>
        </w:tc>
        <w:tc>
          <w:tcPr>
            <w:tcW w:w="1401" w:type="dxa"/>
          </w:tcPr>
          <w:p w14:paraId="55DA6713" w14:textId="52E319DD" w:rsidR="0007635C" w:rsidRPr="0007635C" w:rsidRDefault="0007635C" w:rsidP="0007635C">
            <w:r w:rsidRPr="0007635C">
              <w:t>Обрив(жени)</w:t>
            </w:r>
          </w:p>
        </w:tc>
      </w:tr>
      <w:tr w:rsidR="0007635C" w14:paraId="2548E4FD" w14:textId="77777777" w:rsidTr="0007635C">
        <w:tc>
          <w:tcPr>
            <w:tcW w:w="1743" w:type="dxa"/>
          </w:tcPr>
          <w:p w14:paraId="42CEFF35" w14:textId="6D641105" w:rsidR="0007635C" w:rsidRPr="0007635C" w:rsidRDefault="0007635C" w:rsidP="0007635C">
            <w:r w:rsidRPr="0007635C">
              <w:rPr>
                <w:b/>
                <w:bCs/>
              </w:rPr>
              <w:t>Гастроинтести- нални нарушения</w:t>
            </w:r>
          </w:p>
        </w:tc>
        <w:tc>
          <w:tcPr>
            <w:tcW w:w="1392" w:type="dxa"/>
            <w:vAlign w:val="center"/>
          </w:tcPr>
          <w:p w14:paraId="1A215CCA" w14:textId="77777777" w:rsidR="0007635C" w:rsidRPr="0007635C" w:rsidRDefault="0007635C" w:rsidP="0007635C"/>
        </w:tc>
        <w:tc>
          <w:tcPr>
            <w:tcW w:w="1345" w:type="dxa"/>
          </w:tcPr>
          <w:p w14:paraId="0CF15E45" w14:textId="77777777" w:rsidR="0007635C" w:rsidRPr="0007635C" w:rsidRDefault="0007635C" w:rsidP="0007635C"/>
        </w:tc>
        <w:tc>
          <w:tcPr>
            <w:tcW w:w="924" w:type="dxa"/>
          </w:tcPr>
          <w:p w14:paraId="22BA28FA" w14:textId="77777777" w:rsidR="0007635C" w:rsidRPr="0007635C" w:rsidRDefault="0007635C" w:rsidP="0007635C"/>
        </w:tc>
        <w:tc>
          <w:tcPr>
            <w:tcW w:w="1370" w:type="dxa"/>
          </w:tcPr>
          <w:p w14:paraId="5AC2C33B" w14:textId="77777777" w:rsidR="0007635C" w:rsidRPr="0007635C" w:rsidRDefault="0007635C" w:rsidP="0007635C"/>
        </w:tc>
        <w:tc>
          <w:tcPr>
            <w:tcW w:w="1401" w:type="dxa"/>
          </w:tcPr>
          <w:p w14:paraId="7CC8820D" w14:textId="77777777" w:rsidR="0007635C" w:rsidRPr="0007635C" w:rsidRDefault="0007635C" w:rsidP="0007635C"/>
        </w:tc>
        <w:tc>
          <w:tcPr>
            <w:tcW w:w="1401" w:type="dxa"/>
            <w:vAlign w:val="bottom"/>
          </w:tcPr>
          <w:p w14:paraId="333221D6" w14:textId="32EDCF93" w:rsidR="0007635C" w:rsidRPr="0007635C" w:rsidRDefault="0007635C" w:rsidP="0007635C">
            <w:r w:rsidRPr="0007635C">
              <w:t>Интра- абдоминална хеморагия*</w:t>
            </w:r>
          </w:p>
        </w:tc>
      </w:tr>
      <w:tr w:rsidR="0007635C" w14:paraId="713158A1" w14:textId="77777777" w:rsidTr="0007635C">
        <w:tc>
          <w:tcPr>
            <w:tcW w:w="1743" w:type="dxa"/>
            <w:vAlign w:val="bottom"/>
          </w:tcPr>
          <w:p w14:paraId="78857401" w14:textId="6840FD76" w:rsidR="0007635C" w:rsidRPr="0007635C" w:rsidRDefault="0007635C" w:rsidP="0007635C">
            <w:r w:rsidRPr="0007635C">
              <w:rPr>
                <w:b/>
                <w:bCs/>
              </w:rPr>
              <w:t>Нарушения на мускулно- скелетната система и ставите</w:t>
            </w:r>
          </w:p>
        </w:tc>
        <w:tc>
          <w:tcPr>
            <w:tcW w:w="1392" w:type="dxa"/>
          </w:tcPr>
          <w:p w14:paraId="32C0501D" w14:textId="77777777" w:rsidR="0007635C" w:rsidRPr="0007635C" w:rsidRDefault="0007635C" w:rsidP="0007635C"/>
        </w:tc>
        <w:tc>
          <w:tcPr>
            <w:tcW w:w="1345" w:type="dxa"/>
          </w:tcPr>
          <w:p w14:paraId="16CE24DB" w14:textId="77777777" w:rsidR="0007635C" w:rsidRPr="0007635C" w:rsidRDefault="0007635C" w:rsidP="0007635C"/>
        </w:tc>
        <w:tc>
          <w:tcPr>
            <w:tcW w:w="924" w:type="dxa"/>
          </w:tcPr>
          <w:p w14:paraId="7D68A17F" w14:textId="77777777" w:rsidR="0007635C" w:rsidRPr="0007635C" w:rsidRDefault="0007635C" w:rsidP="0007635C"/>
        </w:tc>
        <w:tc>
          <w:tcPr>
            <w:tcW w:w="1370" w:type="dxa"/>
          </w:tcPr>
          <w:p w14:paraId="32089154" w14:textId="77777777" w:rsidR="0007635C" w:rsidRPr="0007635C" w:rsidRDefault="0007635C" w:rsidP="0007635C"/>
        </w:tc>
        <w:tc>
          <w:tcPr>
            <w:tcW w:w="1401" w:type="dxa"/>
          </w:tcPr>
          <w:p w14:paraId="0DBC17AA" w14:textId="77777777" w:rsidR="0007635C" w:rsidRPr="0007635C" w:rsidRDefault="0007635C" w:rsidP="0007635C"/>
        </w:tc>
        <w:tc>
          <w:tcPr>
            <w:tcW w:w="1401" w:type="dxa"/>
          </w:tcPr>
          <w:p w14:paraId="03E48790" w14:textId="20488783" w:rsidR="0007635C" w:rsidRPr="0007635C" w:rsidRDefault="0007635C" w:rsidP="0007635C">
            <w:r w:rsidRPr="0007635C">
              <w:t>Остеопороза (мъже)</w:t>
            </w:r>
          </w:p>
        </w:tc>
      </w:tr>
      <w:tr w:rsidR="0007635C" w14:paraId="73B6D84D" w14:textId="77777777" w:rsidTr="0007635C">
        <w:tc>
          <w:tcPr>
            <w:tcW w:w="1743" w:type="dxa"/>
          </w:tcPr>
          <w:p w14:paraId="0D2216F8" w14:textId="198378CB" w:rsidR="0007635C" w:rsidRPr="0007635C" w:rsidRDefault="0007635C" w:rsidP="0007635C">
            <w:r w:rsidRPr="0007635C">
              <w:rPr>
                <w:b/>
                <w:bCs/>
              </w:rPr>
              <w:t>Нарушения на възпроизводи</w:t>
            </w:r>
            <w:r w:rsidRPr="0007635C">
              <w:rPr>
                <w:b/>
                <w:bCs/>
              </w:rPr>
              <w:softHyphen/>
              <w:t>телната система и гърдата</w:t>
            </w:r>
          </w:p>
        </w:tc>
        <w:tc>
          <w:tcPr>
            <w:tcW w:w="1392" w:type="dxa"/>
          </w:tcPr>
          <w:p w14:paraId="6FD7F2F2" w14:textId="63BDD32B" w:rsidR="0007635C" w:rsidRPr="0007635C" w:rsidRDefault="0007635C" w:rsidP="0007635C">
            <w:r w:rsidRPr="0007635C">
              <w:t>Обратимо инхибиране на сперматогене- зата (мъже)</w:t>
            </w:r>
          </w:p>
        </w:tc>
        <w:tc>
          <w:tcPr>
            <w:tcW w:w="1345" w:type="dxa"/>
          </w:tcPr>
          <w:p w14:paraId="4A90195C" w14:textId="045B0725" w:rsidR="0007635C" w:rsidRPr="0007635C" w:rsidRDefault="0007635C" w:rsidP="0007635C">
            <w:r w:rsidRPr="0007635C">
              <w:t>Гинекомастия (мъже)</w:t>
            </w:r>
          </w:p>
        </w:tc>
        <w:tc>
          <w:tcPr>
            <w:tcW w:w="924" w:type="dxa"/>
          </w:tcPr>
          <w:p w14:paraId="1529CA8C" w14:textId="77777777" w:rsidR="0007635C" w:rsidRPr="0007635C" w:rsidRDefault="0007635C" w:rsidP="0007635C"/>
        </w:tc>
        <w:tc>
          <w:tcPr>
            <w:tcW w:w="1370" w:type="dxa"/>
          </w:tcPr>
          <w:p w14:paraId="7F4C1474" w14:textId="77777777" w:rsidR="0007635C" w:rsidRPr="0007635C" w:rsidRDefault="0007635C" w:rsidP="0007635C"/>
        </w:tc>
        <w:tc>
          <w:tcPr>
            <w:tcW w:w="1401" w:type="dxa"/>
            <w:vAlign w:val="bottom"/>
          </w:tcPr>
          <w:p w14:paraId="24B99DCE" w14:textId="77777777" w:rsidR="0007635C" w:rsidRPr="0007635C" w:rsidRDefault="0007635C" w:rsidP="0007635C"/>
        </w:tc>
        <w:tc>
          <w:tcPr>
            <w:tcW w:w="1401" w:type="dxa"/>
            <w:vAlign w:val="bottom"/>
          </w:tcPr>
          <w:p w14:paraId="332DC6D9" w14:textId="77777777" w:rsidR="0007635C" w:rsidRPr="0007635C" w:rsidRDefault="0007635C" w:rsidP="0007635C">
            <w:r w:rsidRPr="0007635C">
              <w:t>Потискане на овулацията (жени), Напрежение в гърдите (жени), Зацапване</w:t>
            </w:r>
          </w:p>
          <w:p w14:paraId="7FE79E75" w14:textId="7E323358" w:rsidR="0007635C" w:rsidRPr="0007635C" w:rsidRDefault="0007635C" w:rsidP="0007635C">
            <w:r w:rsidRPr="0007635C">
              <w:t>(жени)*</w:t>
            </w:r>
          </w:p>
        </w:tc>
      </w:tr>
      <w:tr w:rsidR="0007635C" w14:paraId="7C03D6BA" w14:textId="77777777" w:rsidTr="0007635C">
        <w:tc>
          <w:tcPr>
            <w:tcW w:w="1743" w:type="dxa"/>
          </w:tcPr>
          <w:p w14:paraId="4894EE18" w14:textId="21D64CE6" w:rsidR="0007635C" w:rsidRPr="0007635C" w:rsidRDefault="0007635C" w:rsidP="0007635C">
            <w:r w:rsidRPr="0007635C">
              <w:rPr>
                <w:b/>
                <w:bCs/>
              </w:rPr>
              <w:t>Общи нарушения и ефекти на мястото на приложение</w:t>
            </w:r>
          </w:p>
        </w:tc>
        <w:tc>
          <w:tcPr>
            <w:tcW w:w="1392" w:type="dxa"/>
          </w:tcPr>
          <w:p w14:paraId="147EECC2" w14:textId="77777777" w:rsidR="0007635C" w:rsidRPr="0007635C" w:rsidRDefault="0007635C" w:rsidP="0007635C"/>
        </w:tc>
        <w:tc>
          <w:tcPr>
            <w:tcW w:w="1345" w:type="dxa"/>
          </w:tcPr>
          <w:p w14:paraId="644D8060" w14:textId="3550C83B" w:rsidR="0007635C" w:rsidRPr="0007635C" w:rsidRDefault="0007635C" w:rsidP="0007635C">
            <w:r w:rsidRPr="0007635C">
              <w:t>Умора (мъже), Горещи вълни (мъже), Потене (мъже)</w:t>
            </w:r>
          </w:p>
        </w:tc>
        <w:tc>
          <w:tcPr>
            <w:tcW w:w="924" w:type="dxa"/>
          </w:tcPr>
          <w:p w14:paraId="0C42E208" w14:textId="77777777" w:rsidR="0007635C" w:rsidRPr="0007635C" w:rsidRDefault="0007635C" w:rsidP="0007635C"/>
        </w:tc>
        <w:tc>
          <w:tcPr>
            <w:tcW w:w="1370" w:type="dxa"/>
          </w:tcPr>
          <w:p w14:paraId="7CE609BF" w14:textId="77777777" w:rsidR="0007635C" w:rsidRPr="0007635C" w:rsidRDefault="0007635C" w:rsidP="0007635C"/>
        </w:tc>
        <w:tc>
          <w:tcPr>
            <w:tcW w:w="1401" w:type="dxa"/>
          </w:tcPr>
          <w:p w14:paraId="2010D11C" w14:textId="77777777" w:rsidR="0007635C" w:rsidRPr="0007635C" w:rsidRDefault="0007635C" w:rsidP="0007635C"/>
        </w:tc>
        <w:tc>
          <w:tcPr>
            <w:tcW w:w="1401" w:type="dxa"/>
          </w:tcPr>
          <w:p w14:paraId="4032E83A" w14:textId="771E4D81" w:rsidR="0007635C" w:rsidRPr="0007635C" w:rsidRDefault="0007635C" w:rsidP="0007635C">
            <w:r w:rsidRPr="0007635C">
              <w:t>Умора (жени)</w:t>
            </w:r>
          </w:p>
        </w:tc>
      </w:tr>
      <w:tr w:rsidR="0007635C" w14:paraId="060168AD" w14:textId="77777777" w:rsidTr="0007635C">
        <w:tc>
          <w:tcPr>
            <w:tcW w:w="1743" w:type="dxa"/>
          </w:tcPr>
          <w:p w14:paraId="3A519FB9" w14:textId="60905867" w:rsidR="0007635C" w:rsidRPr="0007635C" w:rsidRDefault="0007635C" w:rsidP="0007635C">
            <w:r w:rsidRPr="0007635C">
              <w:rPr>
                <w:b/>
                <w:bCs/>
              </w:rPr>
              <w:t>Хепатобилиарни нарушения</w:t>
            </w:r>
          </w:p>
        </w:tc>
        <w:tc>
          <w:tcPr>
            <w:tcW w:w="1392" w:type="dxa"/>
          </w:tcPr>
          <w:p w14:paraId="68694350" w14:textId="77777777" w:rsidR="0007635C" w:rsidRPr="0007635C" w:rsidRDefault="0007635C" w:rsidP="0007635C"/>
        </w:tc>
        <w:tc>
          <w:tcPr>
            <w:tcW w:w="1345" w:type="dxa"/>
          </w:tcPr>
          <w:p w14:paraId="29483C5D" w14:textId="1C9C6214" w:rsidR="0007635C" w:rsidRPr="0007635C" w:rsidRDefault="0007635C" w:rsidP="0007635C">
            <w:r w:rsidRPr="0007635C">
              <w:t xml:space="preserve">Хепато- токсичност (мъже), Жълтеница (мъже), Хепатит (мъже), </w:t>
            </w:r>
            <w:r w:rsidRPr="0007635C">
              <w:lastRenderedPageBreak/>
              <w:t>Чернодробно увреждане (мъже)*</w:t>
            </w:r>
          </w:p>
        </w:tc>
        <w:tc>
          <w:tcPr>
            <w:tcW w:w="924" w:type="dxa"/>
          </w:tcPr>
          <w:p w14:paraId="53408FA1" w14:textId="77777777" w:rsidR="0007635C" w:rsidRPr="0007635C" w:rsidRDefault="0007635C" w:rsidP="0007635C"/>
        </w:tc>
        <w:tc>
          <w:tcPr>
            <w:tcW w:w="1370" w:type="dxa"/>
          </w:tcPr>
          <w:p w14:paraId="6ED2F724" w14:textId="77777777" w:rsidR="0007635C" w:rsidRPr="0007635C" w:rsidRDefault="0007635C" w:rsidP="0007635C"/>
        </w:tc>
        <w:tc>
          <w:tcPr>
            <w:tcW w:w="1401" w:type="dxa"/>
          </w:tcPr>
          <w:p w14:paraId="2E60103F" w14:textId="77777777" w:rsidR="0007635C" w:rsidRPr="0007635C" w:rsidRDefault="0007635C" w:rsidP="0007635C"/>
        </w:tc>
        <w:tc>
          <w:tcPr>
            <w:tcW w:w="1401" w:type="dxa"/>
          </w:tcPr>
          <w:p w14:paraId="365C1794" w14:textId="366B5A01" w:rsidR="0007635C" w:rsidRPr="0007635C" w:rsidRDefault="0007635C" w:rsidP="0007635C">
            <w:r w:rsidRPr="0007635C">
              <w:t xml:space="preserve">Хепато- токсичност (жени), Жълтеница (жени), Хепатит (жени), </w:t>
            </w:r>
            <w:r w:rsidRPr="0007635C">
              <w:lastRenderedPageBreak/>
              <w:t>Чернодробно увреждане (жени)*</w:t>
            </w:r>
          </w:p>
        </w:tc>
      </w:tr>
      <w:tr w:rsidR="0007635C" w14:paraId="3330CB58" w14:textId="77777777" w:rsidTr="0007635C">
        <w:tc>
          <w:tcPr>
            <w:tcW w:w="1743" w:type="dxa"/>
          </w:tcPr>
          <w:p w14:paraId="7F197B80" w14:textId="4F68AFCE" w:rsidR="0007635C" w:rsidRPr="0007635C" w:rsidRDefault="0007635C" w:rsidP="0007635C">
            <w:r w:rsidRPr="0007635C">
              <w:rPr>
                <w:b/>
                <w:bCs/>
              </w:rPr>
              <w:lastRenderedPageBreak/>
              <w:t>Съдови нарушения</w:t>
            </w:r>
          </w:p>
        </w:tc>
        <w:tc>
          <w:tcPr>
            <w:tcW w:w="1392" w:type="dxa"/>
          </w:tcPr>
          <w:p w14:paraId="0FA3E8B8" w14:textId="77777777" w:rsidR="0007635C" w:rsidRPr="0007635C" w:rsidRDefault="0007635C" w:rsidP="0007635C"/>
        </w:tc>
        <w:tc>
          <w:tcPr>
            <w:tcW w:w="1345" w:type="dxa"/>
          </w:tcPr>
          <w:p w14:paraId="1E23A134" w14:textId="77777777" w:rsidR="0007635C" w:rsidRPr="0007635C" w:rsidRDefault="0007635C" w:rsidP="0007635C"/>
        </w:tc>
        <w:tc>
          <w:tcPr>
            <w:tcW w:w="924" w:type="dxa"/>
          </w:tcPr>
          <w:p w14:paraId="57EC10DF" w14:textId="77777777" w:rsidR="0007635C" w:rsidRPr="0007635C" w:rsidRDefault="0007635C" w:rsidP="0007635C"/>
        </w:tc>
        <w:tc>
          <w:tcPr>
            <w:tcW w:w="1370" w:type="dxa"/>
          </w:tcPr>
          <w:p w14:paraId="165011B5" w14:textId="77777777" w:rsidR="0007635C" w:rsidRPr="0007635C" w:rsidRDefault="0007635C" w:rsidP="0007635C"/>
        </w:tc>
        <w:tc>
          <w:tcPr>
            <w:tcW w:w="1401" w:type="dxa"/>
          </w:tcPr>
          <w:p w14:paraId="18C4064D" w14:textId="77777777" w:rsidR="0007635C" w:rsidRPr="0007635C" w:rsidRDefault="0007635C" w:rsidP="0007635C"/>
        </w:tc>
        <w:tc>
          <w:tcPr>
            <w:tcW w:w="1401" w:type="dxa"/>
          </w:tcPr>
          <w:p w14:paraId="33327EA2" w14:textId="7E2D4AB3" w:rsidR="0007635C" w:rsidRPr="0007635C" w:rsidRDefault="0007635C" w:rsidP="0007635C">
            <w:r w:rsidRPr="0007635C">
              <w:t>Тромбо- емболични инциденти*</w:t>
            </w:r>
            <w:r w:rsidRPr="0007635C">
              <w:rPr>
                <w:vertAlign w:val="superscript"/>
              </w:rPr>
              <w:t>1</w:t>
            </w:r>
          </w:p>
        </w:tc>
      </w:tr>
      <w:tr w:rsidR="0007635C" w14:paraId="2BB438AF" w14:textId="77777777" w:rsidTr="0007635C">
        <w:tc>
          <w:tcPr>
            <w:tcW w:w="1743" w:type="dxa"/>
          </w:tcPr>
          <w:p w14:paraId="71F5B52D" w14:textId="2A979F34" w:rsidR="0007635C" w:rsidRPr="0007635C" w:rsidRDefault="0007635C" w:rsidP="0007635C">
            <w:r w:rsidRPr="0007635C">
              <w:rPr>
                <w:b/>
                <w:bCs/>
              </w:rPr>
              <w:t>Респираторни, торакални и медиастинални нарушения</w:t>
            </w:r>
          </w:p>
        </w:tc>
        <w:tc>
          <w:tcPr>
            <w:tcW w:w="1392" w:type="dxa"/>
          </w:tcPr>
          <w:p w14:paraId="7A3460C0" w14:textId="77777777" w:rsidR="0007635C" w:rsidRPr="0007635C" w:rsidRDefault="0007635C" w:rsidP="0007635C"/>
        </w:tc>
        <w:tc>
          <w:tcPr>
            <w:tcW w:w="1345" w:type="dxa"/>
          </w:tcPr>
          <w:p w14:paraId="4670AB0C" w14:textId="15C35034" w:rsidR="0007635C" w:rsidRPr="0007635C" w:rsidRDefault="0007635C" w:rsidP="0007635C">
            <w:r w:rsidRPr="0007635C">
              <w:t>Затруднено дишане (мъже)*</w:t>
            </w:r>
          </w:p>
        </w:tc>
        <w:tc>
          <w:tcPr>
            <w:tcW w:w="924" w:type="dxa"/>
          </w:tcPr>
          <w:p w14:paraId="6B5ECA97" w14:textId="77777777" w:rsidR="0007635C" w:rsidRPr="0007635C" w:rsidRDefault="0007635C" w:rsidP="0007635C"/>
        </w:tc>
        <w:tc>
          <w:tcPr>
            <w:tcW w:w="1370" w:type="dxa"/>
          </w:tcPr>
          <w:p w14:paraId="2E8EFDE4" w14:textId="77777777" w:rsidR="0007635C" w:rsidRPr="0007635C" w:rsidRDefault="0007635C" w:rsidP="0007635C"/>
        </w:tc>
        <w:tc>
          <w:tcPr>
            <w:tcW w:w="1401" w:type="dxa"/>
          </w:tcPr>
          <w:p w14:paraId="3EAED132" w14:textId="77777777" w:rsidR="0007635C" w:rsidRPr="0007635C" w:rsidRDefault="0007635C" w:rsidP="0007635C"/>
        </w:tc>
        <w:tc>
          <w:tcPr>
            <w:tcW w:w="1401" w:type="dxa"/>
          </w:tcPr>
          <w:p w14:paraId="539C3BF0" w14:textId="00E8AB38" w:rsidR="0007635C" w:rsidRPr="0007635C" w:rsidRDefault="0007635C" w:rsidP="0007635C">
            <w:r w:rsidRPr="0007635C">
              <w:t>Затруднено дишане (жени)*</w:t>
            </w:r>
          </w:p>
        </w:tc>
      </w:tr>
    </w:tbl>
    <w:p w14:paraId="134A39DD" w14:textId="77777777" w:rsidR="0007635C" w:rsidRPr="0007635C" w:rsidRDefault="0007635C" w:rsidP="0007635C">
      <w:pPr>
        <w:spacing w:line="240" w:lineRule="auto"/>
        <w:rPr>
          <w:rFonts w:eastAsia="Times New Roman" w:cs="Arial"/>
        </w:rPr>
      </w:pPr>
      <w:r w:rsidRPr="0007635C">
        <w:rPr>
          <w:rFonts w:eastAsia="Times New Roman" w:cs="Arial"/>
          <w:color w:val="000000"/>
          <w:vertAlign w:val="superscript"/>
          <w:lang w:eastAsia="bg-BG"/>
        </w:rPr>
        <w:t>§</w:t>
      </w:r>
      <w:r w:rsidRPr="0007635C">
        <w:rPr>
          <w:rFonts w:eastAsia="Times New Roman" w:cs="Arial"/>
          <w:color w:val="000000"/>
          <w:lang w:eastAsia="bg-BG"/>
        </w:rPr>
        <w:t>Вижте „Противопоказания”</w:t>
      </w:r>
    </w:p>
    <w:p w14:paraId="219A9812" w14:textId="77777777" w:rsidR="0007635C" w:rsidRPr="0007635C" w:rsidRDefault="0007635C" w:rsidP="0007635C">
      <w:pPr>
        <w:spacing w:line="240" w:lineRule="auto"/>
        <w:rPr>
          <w:rFonts w:eastAsia="Times New Roman" w:cs="Arial"/>
        </w:rPr>
      </w:pPr>
      <w:r w:rsidRPr="0007635C">
        <w:rPr>
          <w:rFonts w:eastAsia="Times New Roman" w:cs="Arial"/>
          <w:color w:val="000000"/>
          <w:lang w:eastAsia="bg-BG"/>
        </w:rPr>
        <w:t>*3а повече информация, вижте „Специални предупреждения и предпазни мерки при употреба”</w:t>
      </w:r>
    </w:p>
    <w:p w14:paraId="42C8BAA3" w14:textId="77777777" w:rsidR="0007635C" w:rsidRPr="0007635C" w:rsidRDefault="0007635C" w:rsidP="0007635C">
      <w:pPr>
        <w:spacing w:line="240" w:lineRule="auto"/>
        <w:rPr>
          <w:rFonts w:eastAsia="Times New Roman" w:cs="Arial"/>
        </w:rPr>
      </w:pPr>
      <w:r w:rsidRPr="0007635C">
        <w:rPr>
          <w:rFonts w:eastAsia="Times New Roman" w:cs="Arial"/>
          <w:color w:val="000000"/>
          <w:vertAlign w:val="superscript"/>
          <w:lang w:eastAsia="bg-BG"/>
        </w:rPr>
        <w:t>1</w:t>
      </w:r>
      <w:r w:rsidRPr="0007635C">
        <w:rPr>
          <w:rFonts w:eastAsia="Times New Roman" w:cs="Arial"/>
          <w:color w:val="000000"/>
          <w:lang w:eastAsia="bg-BG"/>
        </w:rPr>
        <w:t xml:space="preserve"> Не е установена причинно-следствена връзка с употребата на Андрокур.</w:t>
      </w:r>
    </w:p>
    <w:p w14:paraId="29ACDFB9" w14:textId="77777777" w:rsidR="0007635C" w:rsidRPr="0007635C" w:rsidRDefault="0007635C" w:rsidP="0007635C">
      <w:pPr>
        <w:spacing w:line="240" w:lineRule="auto"/>
        <w:rPr>
          <w:rFonts w:eastAsia="Times New Roman" w:cs="Arial"/>
        </w:rPr>
      </w:pPr>
    </w:p>
    <w:p w14:paraId="38B71F23" w14:textId="29E94D2D" w:rsidR="0007635C" w:rsidRPr="0007635C" w:rsidRDefault="0007635C" w:rsidP="0007635C">
      <w:pPr>
        <w:spacing w:line="240" w:lineRule="auto"/>
        <w:rPr>
          <w:rFonts w:eastAsia="Times New Roman" w:cs="Arial"/>
        </w:rPr>
      </w:pPr>
      <w:r w:rsidRPr="0007635C">
        <w:rPr>
          <w:rFonts w:eastAsia="Times New Roman" w:cs="Arial"/>
          <w:color w:val="000000"/>
          <w:lang w:eastAsia="bg-BG"/>
        </w:rPr>
        <w:t>При комбинирана терапия на жени се подтиска овулацията, ето защо съществува риск от инфертилитет.</w:t>
      </w:r>
    </w:p>
    <w:p w14:paraId="6DC0EA0B" w14:textId="77777777" w:rsidR="0007635C" w:rsidRDefault="0007635C" w:rsidP="0007635C">
      <w:pPr>
        <w:spacing w:line="240" w:lineRule="auto"/>
        <w:rPr>
          <w:rFonts w:eastAsia="Times New Roman" w:cs="Arial"/>
          <w:color w:val="000000"/>
          <w:lang w:eastAsia="bg-BG"/>
        </w:rPr>
      </w:pPr>
    </w:p>
    <w:p w14:paraId="64324AEB" w14:textId="76426F9E" w:rsidR="0007635C" w:rsidRPr="0007635C" w:rsidRDefault="0007635C" w:rsidP="0007635C">
      <w:pPr>
        <w:spacing w:line="240" w:lineRule="auto"/>
        <w:rPr>
          <w:rFonts w:eastAsia="Times New Roman" w:cs="Arial"/>
        </w:rPr>
      </w:pPr>
      <w:r w:rsidRPr="0007635C">
        <w:rPr>
          <w:rFonts w:eastAsia="Times New Roman" w:cs="Arial"/>
          <w:color w:val="000000"/>
          <w:lang w:eastAsia="bg-BG"/>
        </w:rPr>
        <w:t xml:space="preserve">При необходимост от допълнителна употреба на Диане 35 при жени е необходимо повишено внимание към специалните предупреждения и нежеланите реакции в продуктовата информация на Диане 35. </w:t>
      </w:r>
    </w:p>
    <w:p w14:paraId="787104F7" w14:textId="77777777" w:rsidR="0007635C" w:rsidRPr="0007635C" w:rsidRDefault="0007635C" w:rsidP="0007635C">
      <w:pPr>
        <w:spacing w:line="240" w:lineRule="auto"/>
        <w:rPr>
          <w:rFonts w:eastAsia="Times New Roman" w:cs="Arial"/>
        </w:rPr>
      </w:pPr>
    </w:p>
    <w:p w14:paraId="22D871A4" w14:textId="77777777" w:rsidR="0007635C" w:rsidRPr="0007635C" w:rsidRDefault="0007635C" w:rsidP="0007635C">
      <w:pPr>
        <w:spacing w:line="240" w:lineRule="auto"/>
        <w:rPr>
          <w:rFonts w:eastAsia="Times New Roman" w:cs="Arial"/>
        </w:rPr>
      </w:pPr>
      <w:r w:rsidRPr="0007635C">
        <w:rPr>
          <w:rFonts w:eastAsia="Times New Roman" w:cs="Arial"/>
          <w:color w:val="000000"/>
          <w:lang w:eastAsia="bg-BG"/>
        </w:rPr>
        <w:t xml:space="preserve">Наблюдавани са менингиоми при продължителна употреба (няколко години) на Андрокур в дози 25 </w:t>
      </w:r>
      <w:r w:rsidRPr="0007635C">
        <w:rPr>
          <w:rFonts w:eastAsia="Times New Roman" w:cs="Arial"/>
          <w:color w:val="000000"/>
          <w:lang w:val="en-US"/>
        </w:rPr>
        <w:t>mg</w:t>
      </w:r>
      <w:r w:rsidRPr="0007635C">
        <w:rPr>
          <w:rFonts w:eastAsia="Times New Roman" w:cs="Arial"/>
          <w:color w:val="000000"/>
          <w:lang w:val="ru-RU"/>
        </w:rPr>
        <w:t xml:space="preserve"> </w:t>
      </w:r>
      <w:r w:rsidRPr="0007635C">
        <w:rPr>
          <w:rFonts w:eastAsia="Times New Roman" w:cs="Arial"/>
          <w:color w:val="000000"/>
          <w:lang w:eastAsia="bg-BG"/>
        </w:rPr>
        <w:t>и по-високи (вж. точка „Противопоказания” и „Специални предупреждения и предпазни мерки при употреба”).</w:t>
      </w:r>
    </w:p>
    <w:p w14:paraId="4BF0F684" w14:textId="77777777" w:rsidR="0007635C" w:rsidRDefault="0007635C" w:rsidP="0007635C">
      <w:pPr>
        <w:spacing w:line="240" w:lineRule="auto"/>
        <w:rPr>
          <w:rFonts w:eastAsia="Times New Roman" w:cs="Arial"/>
          <w:color w:val="000000"/>
          <w:lang w:eastAsia="bg-BG"/>
        </w:rPr>
      </w:pPr>
    </w:p>
    <w:p w14:paraId="648C686F" w14:textId="1CDFACB2" w:rsidR="0007635C" w:rsidRPr="0007635C" w:rsidRDefault="0007635C" w:rsidP="0007635C">
      <w:pPr>
        <w:spacing w:line="240" w:lineRule="auto"/>
        <w:rPr>
          <w:rFonts w:eastAsia="Times New Roman" w:cs="Arial"/>
        </w:rPr>
      </w:pPr>
      <w:r w:rsidRPr="0007635C">
        <w:rPr>
          <w:rFonts w:eastAsia="Times New Roman" w:cs="Arial"/>
          <w:color w:val="000000"/>
          <w:lang w:eastAsia="bg-BG"/>
        </w:rPr>
        <w:t>При мъже пациенти, които са на терапия с Андрокур, либидото и потентността са намалени, а функцията на гонадите е потисната. Тези промени са обратими след преустановяване на терапията.</w:t>
      </w:r>
    </w:p>
    <w:p w14:paraId="798F4B94" w14:textId="77777777" w:rsidR="0007635C" w:rsidRPr="0007635C" w:rsidRDefault="0007635C" w:rsidP="0007635C">
      <w:pPr>
        <w:spacing w:line="240" w:lineRule="auto"/>
        <w:rPr>
          <w:rFonts w:eastAsia="Times New Roman" w:cs="Arial"/>
        </w:rPr>
      </w:pPr>
    </w:p>
    <w:p w14:paraId="5F350719" w14:textId="16E9D2CF" w:rsidR="0007635C" w:rsidRPr="0007635C" w:rsidRDefault="0007635C" w:rsidP="0007635C">
      <w:pPr>
        <w:spacing w:line="240" w:lineRule="auto"/>
        <w:rPr>
          <w:rFonts w:eastAsia="Times New Roman" w:cs="Arial"/>
        </w:rPr>
      </w:pPr>
      <w:r w:rsidRPr="0007635C">
        <w:rPr>
          <w:rFonts w:eastAsia="Times New Roman" w:cs="Arial"/>
          <w:color w:val="000000"/>
          <w:lang w:eastAsia="bg-BG"/>
        </w:rPr>
        <w:t>В продължение на няколко седмици, Андрокур подтиска сперматогенезата в резултат на антиандрогенното и антигонадотропно действие. Сперматогенезата се възстановява постепенно, няколко месеца след преустановяване на лечението.</w:t>
      </w:r>
    </w:p>
    <w:p w14:paraId="466DD0B0" w14:textId="77777777" w:rsidR="0007635C" w:rsidRDefault="0007635C" w:rsidP="0007635C">
      <w:pPr>
        <w:spacing w:line="240" w:lineRule="auto"/>
        <w:rPr>
          <w:rFonts w:eastAsia="Times New Roman" w:cs="Arial"/>
          <w:color w:val="000000"/>
          <w:lang w:eastAsia="bg-BG"/>
        </w:rPr>
      </w:pPr>
    </w:p>
    <w:p w14:paraId="105E445E" w14:textId="234919C1" w:rsidR="0007635C" w:rsidRPr="0007635C" w:rsidRDefault="0007635C" w:rsidP="0007635C">
      <w:pPr>
        <w:spacing w:line="240" w:lineRule="auto"/>
        <w:rPr>
          <w:rFonts w:eastAsia="Times New Roman" w:cs="Arial"/>
        </w:rPr>
      </w:pPr>
      <w:r w:rsidRPr="0007635C">
        <w:rPr>
          <w:rFonts w:eastAsia="Times New Roman" w:cs="Arial"/>
          <w:color w:val="000000"/>
          <w:lang w:eastAsia="bg-BG"/>
        </w:rPr>
        <w:t>При мъже Андрокур може да предизвика гинекомастия (комбинирана с чувствителност при допир до гръдните зърна), която обикновено отзвучава след прекратяване на употребата му.</w:t>
      </w:r>
    </w:p>
    <w:p w14:paraId="0B718E69" w14:textId="77777777" w:rsidR="0007635C" w:rsidRPr="0007635C" w:rsidRDefault="0007635C" w:rsidP="0007635C">
      <w:pPr>
        <w:spacing w:line="240" w:lineRule="auto"/>
        <w:rPr>
          <w:rFonts w:eastAsia="Times New Roman" w:cs="Arial"/>
        </w:rPr>
      </w:pPr>
    </w:p>
    <w:p w14:paraId="1E7117D5" w14:textId="77777777" w:rsidR="0007635C" w:rsidRPr="0007635C" w:rsidRDefault="0007635C" w:rsidP="0007635C">
      <w:pPr>
        <w:spacing w:line="240" w:lineRule="auto"/>
        <w:rPr>
          <w:rFonts w:eastAsia="Times New Roman" w:cs="Arial"/>
        </w:rPr>
      </w:pPr>
      <w:r w:rsidRPr="0007635C">
        <w:rPr>
          <w:rFonts w:eastAsia="Times New Roman" w:cs="Arial"/>
          <w:color w:val="000000"/>
          <w:lang w:eastAsia="bg-BG"/>
        </w:rPr>
        <w:t>Както при всяко друго антиандрогенно лечение, продължителното лечение с Андрокур може, да доведе до остеопороза.</w:t>
      </w:r>
    </w:p>
    <w:p w14:paraId="211CD4FD" w14:textId="77777777" w:rsidR="00A57F87" w:rsidRDefault="00A57F87" w:rsidP="0007635C">
      <w:pPr>
        <w:rPr>
          <w:rFonts w:eastAsia="Times New Roman" w:cs="Arial"/>
          <w:color w:val="000000"/>
          <w:lang w:eastAsia="bg-BG"/>
        </w:rPr>
      </w:pPr>
    </w:p>
    <w:p w14:paraId="46A831E2" w14:textId="6A23C4D3" w:rsidR="0007635C" w:rsidRDefault="0007635C" w:rsidP="0007635C">
      <w:pPr>
        <w:rPr>
          <w:rFonts w:eastAsia="Times New Roman" w:cs="Arial"/>
          <w:color w:val="000000"/>
          <w:lang w:eastAsia="bg-BG"/>
        </w:rPr>
      </w:pPr>
      <w:r w:rsidRPr="0007635C">
        <w:rPr>
          <w:rFonts w:eastAsia="Times New Roman" w:cs="Arial"/>
          <w:color w:val="000000"/>
          <w:lang w:eastAsia="bg-BG"/>
        </w:rPr>
        <w:t>Съобщава се за поява на менингиом (единичен или множествен) във връзка с употреба на ципротеронов ацетат (вж. точка 4.4).</w:t>
      </w:r>
    </w:p>
    <w:p w14:paraId="7942C776" w14:textId="11EB00E4" w:rsidR="00A57F87" w:rsidRDefault="00A57F87" w:rsidP="0007635C">
      <w:pPr>
        <w:rPr>
          <w:rFonts w:eastAsia="Times New Roman" w:cs="Arial"/>
          <w:color w:val="000000"/>
          <w:lang w:eastAsia="bg-BG"/>
        </w:rPr>
      </w:pPr>
    </w:p>
    <w:p w14:paraId="21EBA40F" w14:textId="77777777" w:rsidR="00A57F87" w:rsidRPr="00A57F87" w:rsidRDefault="00A57F87" w:rsidP="00A57F87">
      <w:pPr>
        <w:spacing w:line="240" w:lineRule="auto"/>
        <w:rPr>
          <w:rFonts w:eastAsia="Times New Roman" w:cs="Arial"/>
        </w:rPr>
      </w:pPr>
      <w:r w:rsidRPr="00A57F87">
        <w:rPr>
          <w:rFonts w:eastAsia="Times New Roman" w:cs="Arial"/>
          <w:color w:val="000000"/>
          <w:lang w:eastAsia="bg-BG"/>
        </w:rPr>
        <w:lastRenderedPageBreak/>
        <w:t xml:space="preserve">Използвана е най-подходящата </w:t>
      </w:r>
      <w:proofErr w:type="spellStart"/>
      <w:r w:rsidRPr="00A57F87">
        <w:rPr>
          <w:rFonts w:eastAsia="Times New Roman" w:cs="Arial"/>
          <w:color w:val="000000"/>
          <w:lang w:val="en-US"/>
        </w:rPr>
        <w:t>MedDRA</w:t>
      </w:r>
      <w:proofErr w:type="spellEnd"/>
      <w:r w:rsidRPr="00A57F87">
        <w:rPr>
          <w:rFonts w:eastAsia="Times New Roman" w:cs="Arial"/>
          <w:color w:val="000000"/>
          <w:lang w:val="ru-RU"/>
        </w:rPr>
        <w:t xml:space="preserve"> </w:t>
      </w:r>
      <w:r w:rsidRPr="00A57F87">
        <w:rPr>
          <w:rFonts w:eastAsia="Times New Roman" w:cs="Arial"/>
          <w:color w:val="000000"/>
          <w:lang w:eastAsia="bg-BG"/>
        </w:rPr>
        <w:t>терминологична версия (в.8.0) за описване на определени реакции. Техните синоними и свързани състояния не са изброени, но трябва да се имат също в предвид.</w:t>
      </w:r>
    </w:p>
    <w:p w14:paraId="05788469" w14:textId="77777777" w:rsidR="00A57F87" w:rsidRPr="00A57F87" w:rsidRDefault="00A57F87" w:rsidP="00A57F87">
      <w:pPr>
        <w:spacing w:line="240" w:lineRule="auto"/>
        <w:rPr>
          <w:rFonts w:eastAsia="Times New Roman" w:cs="Arial"/>
          <w:color w:val="000000"/>
          <w:u w:val="single"/>
          <w:lang w:eastAsia="bg-BG"/>
        </w:rPr>
      </w:pPr>
    </w:p>
    <w:p w14:paraId="68018F17" w14:textId="48732C55" w:rsidR="00A57F87" w:rsidRPr="00A57F87" w:rsidRDefault="00A57F87" w:rsidP="00A57F87">
      <w:pPr>
        <w:spacing w:line="240" w:lineRule="auto"/>
        <w:rPr>
          <w:rFonts w:eastAsia="Times New Roman" w:cs="Arial"/>
        </w:rPr>
      </w:pPr>
      <w:r w:rsidRPr="00A57F87">
        <w:rPr>
          <w:rFonts w:eastAsia="Times New Roman" w:cs="Arial"/>
          <w:color w:val="000000"/>
          <w:u w:val="single"/>
          <w:lang w:eastAsia="bg-BG"/>
        </w:rPr>
        <w:t>Съобщаване на подозирани нежелани реакции</w:t>
      </w:r>
    </w:p>
    <w:p w14:paraId="1EDB55AD" w14:textId="77777777" w:rsidR="00A57F87" w:rsidRPr="00A57F87" w:rsidRDefault="00A57F87" w:rsidP="00A57F87">
      <w:pPr>
        <w:spacing w:line="240" w:lineRule="auto"/>
        <w:rPr>
          <w:rFonts w:eastAsia="Times New Roman" w:cs="Arial"/>
        </w:rPr>
      </w:pPr>
      <w:r w:rsidRPr="00A57F87">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w:t>
      </w:r>
    </w:p>
    <w:p w14:paraId="25CA8903" w14:textId="77777777" w:rsidR="00A57F87" w:rsidRDefault="00A57F87" w:rsidP="00A57F87">
      <w:pPr>
        <w:spacing w:line="240" w:lineRule="auto"/>
        <w:rPr>
          <w:rFonts w:eastAsia="Times New Roman" w:cs="Arial"/>
          <w:color w:val="000000"/>
          <w:lang w:eastAsia="bg-BG"/>
        </w:rPr>
      </w:pPr>
      <w:r w:rsidRPr="00A57F87">
        <w:rPr>
          <w:rFonts w:eastAsia="Times New Roman" w:cs="Arial"/>
          <w:color w:val="000000"/>
          <w:lang w:eastAsia="bg-BG"/>
        </w:rPr>
        <w:t xml:space="preserve">Изпълнителна агенция по лекарствата </w:t>
      </w:r>
    </w:p>
    <w:p w14:paraId="4EC033F0" w14:textId="77777777" w:rsidR="00A57F87" w:rsidRDefault="00A57F87" w:rsidP="00A57F87">
      <w:pPr>
        <w:spacing w:line="240" w:lineRule="auto"/>
        <w:rPr>
          <w:rFonts w:eastAsia="Times New Roman" w:cs="Arial"/>
          <w:color w:val="000000"/>
          <w:lang w:eastAsia="bg-BG"/>
        </w:rPr>
      </w:pPr>
      <w:r w:rsidRPr="00A57F87">
        <w:rPr>
          <w:rFonts w:eastAsia="Times New Roman" w:cs="Arial"/>
          <w:color w:val="000000"/>
          <w:lang w:eastAsia="bg-BG"/>
        </w:rPr>
        <w:t xml:space="preserve">ул. „Дамян Груев” № 8 </w:t>
      </w:r>
    </w:p>
    <w:p w14:paraId="0580D223" w14:textId="77777777" w:rsidR="00A57F87" w:rsidRDefault="00A57F87" w:rsidP="00A57F87">
      <w:pPr>
        <w:spacing w:line="240" w:lineRule="auto"/>
        <w:rPr>
          <w:rFonts w:eastAsia="Times New Roman" w:cs="Arial"/>
          <w:color w:val="000000"/>
          <w:lang w:eastAsia="bg-BG"/>
        </w:rPr>
      </w:pPr>
      <w:r w:rsidRPr="00A57F87">
        <w:rPr>
          <w:rFonts w:eastAsia="Times New Roman" w:cs="Arial"/>
          <w:color w:val="000000"/>
          <w:lang w:eastAsia="bg-BG"/>
        </w:rPr>
        <w:t xml:space="preserve">1303 София </w:t>
      </w:r>
    </w:p>
    <w:p w14:paraId="35CDD44F" w14:textId="77777777" w:rsidR="00A57F87" w:rsidRDefault="00A57F87" w:rsidP="00A57F87">
      <w:pPr>
        <w:spacing w:line="240" w:lineRule="auto"/>
        <w:rPr>
          <w:rFonts w:eastAsia="Times New Roman" w:cs="Arial"/>
          <w:color w:val="000000"/>
          <w:lang w:eastAsia="bg-BG"/>
        </w:rPr>
      </w:pPr>
      <w:r w:rsidRPr="00A57F87">
        <w:rPr>
          <w:rFonts w:eastAsia="Times New Roman" w:cs="Arial"/>
          <w:color w:val="000000"/>
          <w:lang w:eastAsia="bg-BG"/>
        </w:rPr>
        <w:t xml:space="preserve">тел.:+359 2 8903417 </w:t>
      </w:r>
    </w:p>
    <w:p w14:paraId="5F728C09" w14:textId="3A0A3CDE" w:rsidR="00A57F87" w:rsidRPr="00A57F87" w:rsidRDefault="00A57F87" w:rsidP="00A57F87">
      <w:pPr>
        <w:spacing w:line="240" w:lineRule="auto"/>
        <w:rPr>
          <w:rFonts w:eastAsia="Times New Roman" w:cs="Arial"/>
        </w:rPr>
      </w:pPr>
      <w:r w:rsidRPr="00A57F87">
        <w:rPr>
          <w:rFonts w:eastAsia="Times New Roman" w:cs="Arial"/>
          <w:color w:val="000000"/>
          <w:lang w:eastAsia="bg-BG"/>
        </w:rPr>
        <w:t xml:space="preserve">уебсайт: </w:t>
      </w:r>
      <w:r w:rsidRPr="00A57F87">
        <w:rPr>
          <w:rFonts w:eastAsia="Times New Roman" w:cs="Arial"/>
        </w:rPr>
        <w:fldChar w:fldCharType="begin"/>
      </w:r>
      <w:r w:rsidRPr="00A57F87">
        <w:rPr>
          <w:rFonts w:eastAsia="Times New Roman" w:cs="Arial"/>
        </w:rPr>
        <w:instrText xml:space="preserve"> HYPERLINK "http://www.bda.bg" </w:instrText>
      </w:r>
      <w:r w:rsidRPr="00A57F87">
        <w:rPr>
          <w:rFonts w:eastAsia="Times New Roman" w:cs="Arial"/>
        </w:rPr>
      </w:r>
      <w:r w:rsidRPr="00A57F87">
        <w:rPr>
          <w:rFonts w:eastAsia="Times New Roman" w:cs="Arial"/>
        </w:rPr>
        <w:fldChar w:fldCharType="separate"/>
      </w:r>
      <w:r w:rsidRPr="00A57F87">
        <w:rPr>
          <w:rFonts w:eastAsia="Times New Roman" w:cs="Arial"/>
          <w:color w:val="000000"/>
          <w:u w:val="single"/>
          <w:lang w:val="en-US"/>
        </w:rPr>
        <w:t>www</w:t>
      </w:r>
      <w:r w:rsidRPr="00A57F87">
        <w:rPr>
          <w:rFonts w:eastAsia="Times New Roman" w:cs="Arial"/>
          <w:color w:val="000000"/>
          <w:u w:val="single"/>
          <w:lang w:val="ru-RU"/>
        </w:rPr>
        <w:t>.</w:t>
      </w:r>
      <w:proofErr w:type="spellStart"/>
      <w:r w:rsidRPr="00A57F87">
        <w:rPr>
          <w:rFonts w:eastAsia="Times New Roman" w:cs="Arial"/>
          <w:color w:val="000000"/>
          <w:u w:val="single"/>
          <w:lang w:val="en-US"/>
        </w:rPr>
        <w:t>bda</w:t>
      </w:r>
      <w:proofErr w:type="spellEnd"/>
      <w:r w:rsidRPr="00A57F87">
        <w:rPr>
          <w:rFonts w:eastAsia="Times New Roman" w:cs="Arial"/>
          <w:color w:val="000000"/>
          <w:u w:val="single"/>
          <w:lang w:val="ru-RU"/>
        </w:rPr>
        <w:t>.</w:t>
      </w:r>
      <w:proofErr w:type="spellStart"/>
      <w:r w:rsidRPr="00A57F87">
        <w:rPr>
          <w:rFonts w:eastAsia="Times New Roman" w:cs="Arial"/>
          <w:color w:val="000000"/>
          <w:u w:val="single"/>
          <w:lang w:val="en-US"/>
        </w:rPr>
        <w:t>bg</w:t>
      </w:r>
      <w:proofErr w:type="spellEnd"/>
      <w:r w:rsidRPr="00A57F87">
        <w:rPr>
          <w:rFonts w:eastAsia="Times New Roman" w:cs="Arial"/>
        </w:rPr>
        <w:fldChar w:fldCharType="end"/>
      </w:r>
    </w:p>
    <w:p w14:paraId="7F8DEA97" w14:textId="77777777" w:rsidR="00A57F87" w:rsidRPr="0007635C" w:rsidRDefault="00A57F87" w:rsidP="0007635C">
      <w:pPr>
        <w:rPr>
          <w:rFonts w:cs="Arial"/>
        </w:rPr>
      </w:pPr>
    </w:p>
    <w:p w14:paraId="5B0378B8" w14:textId="3456B55D" w:rsidR="00426E5F" w:rsidRDefault="002C50EE" w:rsidP="00A65A81">
      <w:pPr>
        <w:pStyle w:val="Heading2"/>
      </w:pPr>
      <w:r>
        <w:t>4.9. Предозиране</w:t>
      </w:r>
    </w:p>
    <w:p w14:paraId="7D788261" w14:textId="132EBC07" w:rsidR="00A57F87" w:rsidRDefault="00A57F87" w:rsidP="00A57F87"/>
    <w:p w14:paraId="68EA3149" w14:textId="77777777" w:rsidR="00A57F87" w:rsidRPr="00A57F87" w:rsidRDefault="00A57F87" w:rsidP="00A57F87">
      <w:pPr>
        <w:rPr>
          <w:sz w:val="24"/>
          <w:szCs w:val="24"/>
        </w:rPr>
      </w:pPr>
      <w:r w:rsidRPr="00A57F87">
        <w:rPr>
          <w:lang w:eastAsia="bg-BG"/>
        </w:rPr>
        <w:t>Изпитвания за остра токсичност след прилагане на единична доза ципротеронов ацетат, активното вещество на Андрокур показват, че той е практически нетоксичен. Не се очаква риск от остро отравяне след единичен инцидентен прием на доза, многократно превишаваща препоръчаната терапевтична доза.</w:t>
      </w:r>
    </w:p>
    <w:p w14:paraId="02F00488" w14:textId="77777777" w:rsidR="00A57F87" w:rsidRPr="00A57F87" w:rsidRDefault="00A57F87" w:rsidP="00A57F87"/>
    <w:p w14:paraId="02081B24" w14:textId="1F46E296" w:rsidR="00395555" w:rsidRPr="00395555" w:rsidRDefault="002C50EE" w:rsidP="008A6AF2">
      <w:pPr>
        <w:pStyle w:val="Heading1"/>
      </w:pPr>
      <w:r>
        <w:t>5. ФАРМАКОЛОГИЧНИ СВОЙСТВА</w:t>
      </w:r>
    </w:p>
    <w:p w14:paraId="5279C268" w14:textId="7B71A78A" w:rsidR="00426E5F" w:rsidRDefault="002C50EE" w:rsidP="00A65A81">
      <w:pPr>
        <w:pStyle w:val="Heading2"/>
      </w:pPr>
      <w:r>
        <w:t>5.1. Фармакодинамични свойства</w:t>
      </w:r>
    </w:p>
    <w:p w14:paraId="52355A29" w14:textId="63D0A8A4" w:rsidR="00A57F87" w:rsidRDefault="00A57F87" w:rsidP="00A57F87"/>
    <w:p w14:paraId="4478852A" w14:textId="77777777" w:rsidR="00A57F87" w:rsidRPr="00A57F87" w:rsidRDefault="00A57F87" w:rsidP="00A57F87">
      <w:pPr>
        <w:spacing w:line="240" w:lineRule="auto"/>
        <w:rPr>
          <w:rFonts w:eastAsia="Times New Roman" w:cs="Arial"/>
        </w:rPr>
      </w:pPr>
      <w:r w:rsidRPr="00A57F87">
        <w:rPr>
          <w:rFonts w:eastAsia="Times New Roman" w:cs="Arial"/>
          <w:color w:val="000000"/>
          <w:lang w:eastAsia="bg-BG"/>
        </w:rPr>
        <w:t xml:space="preserve">Фармакотерапевтична група: Антиандрогени, АТС код: </w:t>
      </w:r>
      <w:r w:rsidRPr="00A57F87">
        <w:rPr>
          <w:rFonts w:eastAsia="Times New Roman" w:cs="Arial"/>
          <w:color w:val="000000"/>
          <w:lang w:val="en-US"/>
        </w:rPr>
        <w:t>G</w:t>
      </w:r>
      <w:r w:rsidRPr="00A57F87">
        <w:rPr>
          <w:rFonts w:eastAsia="Times New Roman" w:cs="Arial"/>
          <w:color w:val="000000"/>
          <w:lang w:val="ru-RU"/>
        </w:rPr>
        <w:t>03</w:t>
      </w:r>
      <w:r w:rsidRPr="00A57F87">
        <w:rPr>
          <w:rFonts w:eastAsia="Times New Roman" w:cs="Arial"/>
          <w:color w:val="000000"/>
          <w:lang w:val="en-US"/>
        </w:rPr>
        <w:t>HA</w:t>
      </w:r>
      <w:r w:rsidRPr="00A57F87">
        <w:rPr>
          <w:rFonts w:eastAsia="Times New Roman" w:cs="Arial"/>
          <w:color w:val="000000"/>
          <w:lang w:val="ru-RU"/>
        </w:rPr>
        <w:t>01</w:t>
      </w:r>
    </w:p>
    <w:p w14:paraId="4DB8BFBA" w14:textId="77777777" w:rsidR="00A57F87" w:rsidRPr="00A57F87" w:rsidRDefault="00A57F87" w:rsidP="00A57F87">
      <w:pPr>
        <w:spacing w:line="240" w:lineRule="auto"/>
        <w:rPr>
          <w:rFonts w:eastAsia="Times New Roman" w:cs="Arial"/>
          <w:color w:val="000000"/>
          <w:lang w:eastAsia="bg-BG"/>
        </w:rPr>
      </w:pPr>
    </w:p>
    <w:p w14:paraId="5E99847B" w14:textId="75977036" w:rsidR="00A57F87" w:rsidRPr="00A57F87" w:rsidRDefault="00A57F87" w:rsidP="00A57F87">
      <w:pPr>
        <w:spacing w:line="240" w:lineRule="auto"/>
        <w:rPr>
          <w:rFonts w:eastAsia="Times New Roman" w:cs="Arial"/>
        </w:rPr>
      </w:pPr>
      <w:r w:rsidRPr="00A57F87">
        <w:rPr>
          <w:rFonts w:eastAsia="Times New Roman" w:cs="Arial"/>
          <w:color w:val="000000"/>
          <w:lang w:eastAsia="bg-BG"/>
        </w:rPr>
        <w:t>Андрокур е антиандрогенен хормонален продукт.</w:t>
      </w:r>
    </w:p>
    <w:p w14:paraId="716BAE6F" w14:textId="77777777" w:rsidR="00A57F87" w:rsidRPr="00A57F87" w:rsidRDefault="00A57F87" w:rsidP="00A57F87">
      <w:pPr>
        <w:spacing w:line="240" w:lineRule="auto"/>
        <w:rPr>
          <w:rFonts w:eastAsia="Times New Roman" w:cs="Arial"/>
          <w:color w:val="000000"/>
          <w:lang w:eastAsia="bg-BG"/>
        </w:rPr>
      </w:pPr>
    </w:p>
    <w:p w14:paraId="427C55EC" w14:textId="43A02301" w:rsidR="00A57F87" w:rsidRPr="00A57F87" w:rsidRDefault="00A57F87" w:rsidP="00A57F87">
      <w:pPr>
        <w:spacing w:line="240" w:lineRule="auto"/>
        <w:rPr>
          <w:rFonts w:eastAsia="Times New Roman" w:cs="Arial"/>
        </w:rPr>
      </w:pPr>
      <w:r w:rsidRPr="00A57F87">
        <w:rPr>
          <w:rFonts w:eastAsia="Times New Roman" w:cs="Arial"/>
          <w:color w:val="000000"/>
          <w:lang w:eastAsia="bg-BG"/>
        </w:rPr>
        <w:t>При жени намалява хирзутизма, както и андрогенно обусловената алопеция и засилената функция на мастните жлези при акне и себорея, които се влияят от конкурентното изместване на андрогени в таргетните органи. В резултат на антиандрогенните свойства на ципротеронов ацетат намалява андрогенната концентрация, което има допълнителен терапевтичен ефект,</w:t>
      </w:r>
    </w:p>
    <w:p w14:paraId="37466392" w14:textId="77777777" w:rsidR="00A57F87" w:rsidRPr="00A57F87" w:rsidRDefault="00A57F87" w:rsidP="00A57F87">
      <w:pPr>
        <w:spacing w:line="240" w:lineRule="auto"/>
        <w:rPr>
          <w:rFonts w:eastAsia="Times New Roman" w:cs="Arial"/>
          <w:color w:val="000000"/>
          <w:lang w:eastAsia="bg-BG"/>
        </w:rPr>
      </w:pPr>
    </w:p>
    <w:p w14:paraId="36F92683" w14:textId="4B0FC6B1" w:rsidR="00A57F87" w:rsidRPr="00A57F87" w:rsidRDefault="00A57F87" w:rsidP="00A57F87">
      <w:pPr>
        <w:spacing w:line="240" w:lineRule="auto"/>
        <w:rPr>
          <w:rFonts w:eastAsia="Times New Roman" w:cs="Arial"/>
        </w:rPr>
      </w:pPr>
      <w:r w:rsidRPr="00A57F87">
        <w:rPr>
          <w:rFonts w:eastAsia="Times New Roman" w:cs="Arial"/>
          <w:color w:val="000000"/>
          <w:lang w:eastAsia="bg-BG"/>
        </w:rPr>
        <w:t>Тези промени са обратими при преустановяване на терапията.</w:t>
      </w:r>
    </w:p>
    <w:p w14:paraId="573EC7DE" w14:textId="77777777" w:rsidR="00A57F87" w:rsidRPr="00A57F87" w:rsidRDefault="00A57F87" w:rsidP="00A57F87">
      <w:pPr>
        <w:spacing w:line="240" w:lineRule="auto"/>
        <w:rPr>
          <w:rFonts w:eastAsia="Times New Roman" w:cs="Arial"/>
          <w:color w:val="000000"/>
          <w:lang w:eastAsia="bg-BG"/>
        </w:rPr>
      </w:pPr>
    </w:p>
    <w:p w14:paraId="0F473906" w14:textId="2266A7C4" w:rsidR="00A57F87" w:rsidRPr="00A57F87" w:rsidRDefault="00A57F87" w:rsidP="00A57F87">
      <w:pPr>
        <w:spacing w:line="240" w:lineRule="auto"/>
        <w:rPr>
          <w:rFonts w:eastAsia="Times New Roman" w:cs="Arial"/>
        </w:rPr>
      </w:pPr>
      <w:r w:rsidRPr="00A57F87">
        <w:rPr>
          <w:rFonts w:eastAsia="Times New Roman" w:cs="Arial"/>
          <w:color w:val="000000"/>
          <w:lang w:eastAsia="bg-BG"/>
        </w:rPr>
        <w:t>По време на комбинирано приложение с Диане 35 е подтисната овариалната функция.</w:t>
      </w:r>
    </w:p>
    <w:p w14:paraId="285B319F" w14:textId="77777777" w:rsidR="00A57F87" w:rsidRPr="00A57F87" w:rsidRDefault="00A57F87" w:rsidP="00A57F87">
      <w:pPr>
        <w:spacing w:line="240" w:lineRule="auto"/>
        <w:rPr>
          <w:rFonts w:eastAsia="Times New Roman" w:cs="Arial"/>
          <w:color w:val="000000"/>
          <w:lang w:eastAsia="bg-BG"/>
        </w:rPr>
      </w:pPr>
    </w:p>
    <w:p w14:paraId="3A634EF5" w14:textId="1E867C4C" w:rsidR="00A57F87" w:rsidRPr="00A57F87" w:rsidRDefault="00A57F87" w:rsidP="00A57F87">
      <w:pPr>
        <w:spacing w:line="240" w:lineRule="auto"/>
        <w:rPr>
          <w:rFonts w:eastAsia="Times New Roman" w:cs="Arial"/>
        </w:rPr>
      </w:pPr>
      <w:r w:rsidRPr="00A57F87">
        <w:rPr>
          <w:rFonts w:eastAsia="Times New Roman" w:cs="Arial"/>
          <w:color w:val="000000"/>
          <w:lang w:eastAsia="bg-BG"/>
        </w:rPr>
        <w:t>При мъже, лекувани с Андрокур, намалява либидото и потентността, а гонадната функция е инхибирана. Тези промени са обратими след спиране на лечението.</w:t>
      </w:r>
    </w:p>
    <w:p w14:paraId="417D0365" w14:textId="77777777" w:rsidR="00A57F87" w:rsidRPr="00A57F87" w:rsidRDefault="00A57F87" w:rsidP="00A57F87">
      <w:pPr>
        <w:spacing w:line="240" w:lineRule="auto"/>
        <w:rPr>
          <w:rFonts w:eastAsia="Times New Roman" w:cs="Arial"/>
        </w:rPr>
      </w:pPr>
    </w:p>
    <w:p w14:paraId="513A45B1" w14:textId="4654E25E" w:rsidR="00A57F87" w:rsidRPr="00A57F87" w:rsidRDefault="00A57F87" w:rsidP="00A57F87">
      <w:pPr>
        <w:spacing w:line="240" w:lineRule="auto"/>
        <w:rPr>
          <w:rFonts w:eastAsia="Times New Roman" w:cs="Arial"/>
        </w:rPr>
      </w:pPr>
      <w:r w:rsidRPr="00A57F87">
        <w:rPr>
          <w:rFonts w:eastAsia="Times New Roman" w:cs="Arial"/>
          <w:color w:val="000000"/>
          <w:lang w:eastAsia="bg-BG"/>
        </w:rPr>
        <w:t>Ципротеронов ацетат конкурентно потиска ефекта на андрогените в таргетните органите, напр. има защитен ефект върху простатата от действието на андрогените, произлизащи от гонадите и/или от кората на надбъбречните жлези.</w:t>
      </w:r>
    </w:p>
    <w:p w14:paraId="0DEFC725" w14:textId="77777777" w:rsidR="00A57F87" w:rsidRPr="00A57F87" w:rsidRDefault="00A57F87" w:rsidP="00A57F87">
      <w:pPr>
        <w:spacing w:line="240" w:lineRule="auto"/>
        <w:rPr>
          <w:rFonts w:eastAsia="Times New Roman" w:cs="Arial"/>
          <w:color w:val="000000"/>
          <w:lang w:eastAsia="bg-BG"/>
        </w:rPr>
      </w:pPr>
    </w:p>
    <w:p w14:paraId="2287C93D" w14:textId="77777777" w:rsidR="00A57F87" w:rsidRPr="00A57F87" w:rsidRDefault="00A57F87" w:rsidP="00A57F87">
      <w:pPr>
        <w:spacing w:line="240" w:lineRule="auto"/>
        <w:rPr>
          <w:rFonts w:eastAsia="Times New Roman" w:cs="Arial"/>
        </w:rPr>
      </w:pPr>
      <w:r w:rsidRPr="00A57F87">
        <w:rPr>
          <w:rFonts w:eastAsia="Times New Roman" w:cs="Arial"/>
          <w:color w:val="000000"/>
          <w:lang w:eastAsia="bg-BG"/>
        </w:rPr>
        <w:lastRenderedPageBreak/>
        <w:t>Ципротеронов ацетат има централен инхибиращ ефект. Антигонадотропният ефект води до намаляване на тестостероновата синтеза в тестисите и съответно до редукция на серумната концентрация на тестостерона.</w:t>
      </w:r>
    </w:p>
    <w:p w14:paraId="04089EFE" w14:textId="77777777" w:rsidR="00A57F87" w:rsidRPr="00A57F87" w:rsidRDefault="00A57F87" w:rsidP="00A57F87">
      <w:pPr>
        <w:spacing w:line="240" w:lineRule="auto"/>
        <w:rPr>
          <w:rFonts w:eastAsia="Times New Roman" w:cs="Arial"/>
        </w:rPr>
      </w:pPr>
    </w:p>
    <w:p w14:paraId="56E27BEF" w14:textId="59C82DCB" w:rsidR="00A57F87" w:rsidRPr="00A57F87" w:rsidRDefault="00A57F87" w:rsidP="00A57F87">
      <w:pPr>
        <w:spacing w:line="240" w:lineRule="auto"/>
        <w:rPr>
          <w:rFonts w:eastAsia="Times New Roman" w:cs="Arial"/>
          <w:color w:val="000000"/>
          <w:lang w:eastAsia="bg-BG"/>
        </w:rPr>
      </w:pPr>
      <w:r w:rsidRPr="00A57F87">
        <w:rPr>
          <w:rFonts w:eastAsia="Times New Roman" w:cs="Arial"/>
          <w:color w:val="000000"/>
          <w:lang w:eastAsia="bg-BG"/>
        </w:rPr>
        <w:t xml:space="preserve">Антигонадотропната ефективност на ципротеронов ацетат се проявява и в комбинация с </w:t>
      </w:r>
      <w:proofErr w:type="spellStart"/>
      <w:r w:rsidRPr="00A57F87">
        <w:rPr>
          <w:rFonts w:eastAsia="Times New Roman" w:cs="Arial"/>
          <w:color w:val="000000"/>
          <w:lang w:val="en-US"/>
        </w:rPr>
        <w:t>GnRH</w:t>
      </w:r>
      <w:proofErr w:type="spellEnd"/>
      <w:r w:rsidRPr="00A57F87">
        <w:rPr>
          <w:rFonts w:eastAsia="Times New Roman" w:cs="Arial"/>
          <w:color w:val="000000"/>
          <w:lang w:val="ru-RU"/>
        </w:rPr>
        <w:t xml:space="preserve"> </w:t>
      </w:r>
      <w:r w:rsidRPr="00A57F87">
        <w:rPr>
          <w:rFonts w:eastAsia="Times New Roman" w:cs="Arial"/>
          <w:color w:val="000000"/>
          <w:lang w:eastAsia="bg-BG"/>
        </w:rPr>
        <w:t xml:space="preserve"> агонисти. Първоначалното увеличение на тестостерона, провокирано от тази група вещества, намалява под влияние на ципротеронов ацетат.</w:t>
      </w:r>
    </w:p>
    <w:p w14:paraId="6F91B570" w14:textId="43EA6AB8" w:rsidR="00A57F87" w:rsidRPr="00A57F87" w:rsidRDefault="00A57F87" w:rsidP="00A57F87">
      <w:pPr>
        <w:spacing w:line="240" w:lineRule="auto"/>
        <w:rPr>
          <w:rFonts w:eastAsia="Times New Roman" w:cs="Arial"/>
          <w:color w:val="000000"/>
          <w:lang w:eastAsia="bg-BG"/>
        </w:rPr>
      </w:pPr>
    </w:p>
    <w:p w14:paraId="6C9FC308" w14:textId="77777777" w:rsidR="00A57F87" w:rsidRPr="00A57F87" w:rsidRDefault="00A57F87" w:rsidP="00A57F87">
      <w:pPr>
        <w:rPr>
          <w:rFonts w:cs="Arial"/>
        </w:rPr>
      </w:pPr>
      <w:r w:rsidRPr="00A57F87">
        <w:rPr>
          <w:rFonts w:cs="Arial"/>
        </w:rPr>
        <w:t>При приложение на високи дози ципротеронов ацетат, се наблюдава тенденция към слабо повишение на нивата на пролактина.</w:t>
      </w:r>
    </w:p>
    <w:p w14:paraId="6669042A" w14:textId="77777777" w:rsidR="00A57F87" w:rsidRPr="00A57F87" w:rsidRDefault="00A57F87" w:rsidP="00A57F87">
      <w:pPr>
        <w:rPr>
          <w:rFonts w:cs="Arial"/>
          <w:u w:val="single"/>
        </w:rPr>
      </w:pPr>
    </w:p>
    <w:p w14:paraId="480A02C4" w14:textId="2F1F7F72" w:rsidR="00A57F87" w:rsidRPr="00A57F87" w:rsidRDefault="00A57F87" w:rsidP="00A57F87">
      <w:pPr>
        <w:rPr>
          <w:rFonts w:cs="Arial"/>
        </w:rPr>
      </w:pPr>
      <w:r w:rsidRPr="00A57F87">
        <w:rPr>
          <w:rFonts w:cs="Arial"/>
          <w:u w:val="single"/>
        </w:rPr>
        <w:t>Менингиом</w:t>
      </w:r>
    </w:p>
    <w:p w14:paraId="130CF761" w14:textId="4318F298" w:rsidR="00A57F87" w:rsidRPr="00A57F87" w:rsidRDefault="00A57F87" w:rsidP="00A57F87">
      <w:pPr>
        <w:spacing w:line="240" w:lineRule="auto"/>
        <w:rPr>
          <w:rFonts w:eastAsia="Times New Roman" w:cs="Arial"/>
        </w:rPr>
      </w:pPr>
      <w:r w:rsidRPr="00A57F87">
        <w:rPr>
          <w:rFonts w:cs="Arial"/>
        </w:rPr>
        <w:t xml:space="preserve">Въз основа на резултати от кохортно епидемиологично проучване, проведено във Франция, се наблюдава връзка между ципротеронов ацетат и случаи на менингиом, която е в зависимост от кумулативната доза. Това проучване е базирано на данни от френския здравноосигурителен фонд </w:t>
      </w:r>
      <w:r w:rsidRPr="00A57F87">
        <w:rPr>
          <w:rFonts w:cs="Arial"/>
          <w:lang w:val="ru-RU"/>
        </w:rPr>
        <w:t>(</w:t>
      </w:r>
      <w:r w:rsidRPr="00A57F87">
        <w:rPr>
          <w:rFonts w:cs="Arial"/>
          <w:lang w:val="en-US"/>
        </w:rPr>
        <w:t>CNAM</w:t>
      </w:r>
      <w:r w:rsidRPr="00A57F87">
        <w:rPr>
          <w:rFonts w:cs="Arial"/>
          <w:lang w:val="ru-RU"/>
        </w:rPr>
        <w:t xml:space="preserve">) </w:t>
      </w:r>
      <w:r w:rsidRPr="00A57F87">
        <w:rPr>
          <w:rFonts w:cs="Arial"/>
        </w:rPr>
        <w:t xml:space="preserve">и включва популация от 253 777 жени, използващи 50 - 100 </w:t>
      </w:r>
      <w:r w:rsidRPr="00A57F87">
        <w:rPr>
          <w:rFonts w:cs="Arial"/>
          <w:lang w:val="en-US"/>
        </w:rPr>
        <w:t>mg</w:t>
      </w:r>
      <w:r w:rsidRPr="00A57F87">
        <w:rPr>
          <w:rFonts w:cs="Arial"/>
          <w:lang w:val="ru-RU"/>
        </w:rPr>
        <w:t xml:space="preserve"> </w:t>
      </w:r>
      <w:r w:rsidRPr="00A57F87">
        <w:rPr>
          <w:rFonts w:cs="Arial"/>
        </w:rPr>
        <w:t xml:space="preserve">таблетки ципротерон. Случаите на менингиом, лекувани хиургично или чрез лъчелечение, са сравнени между жени с експозиция на високи дози ципротеронов ацетат (кумулативна доза ≥3 </w:t>
      </w:r>
      <w:r w:rsidRPr="00A57F87">
        <w:rPr>
          <w:rFonts w:cs="Arial"/>
          <w:lang w:val="en-US"/>
        </w:rPr>
        <w:t>g</w:t>
      </w:r>
      <w:r w:rsidRPr="00A57F87">
        <w:rPr>
          <w:rFonts w:cs="Arial"/>
          <w:lang w:val="ru-RU"/>
        </w:rPr>
        <w:t xml:space="preserve">) </w:t>
      </w:r>
      <w:r w:rsidRPr="00A57F87">
        <w:rPr>
          <w:rFonts w:cs="Arial"/>
        </w:rPr>
        <w:t xml:space="preserve">и жени, които са имали ниска експозиция на ципротеронов ацетат (кумулативна доза&lt;3 </w:t>
      </w:r>
      <w:r w:rsidRPr="00A57F87">
        <w:rPr>
          <w:rFonts w:cs="Arial"/>
          <w:lang w:val="en-US"/>
        </w:rPr>
        <w:t>g</w:t>
      </w:r>
      <w:r w:rsidRPr="00A57F87">
        <w:rPr>
          <w:rFonts w:cs="Arial"/>
          <w:lang w:val="ru-RU"/>
        </w:rPr>
        <w:t xml:space="preserve">). </w:t>
      </w:r>
      <w:r w:rsidRPr="00A57F87">
        <w:rPr>
          <w:rFonts w:cs="Arial"/>
        </w:rPr>
        <w:t xml:space="preserve">Демонстрирана е връзка между </w:t>
      </w:r>
      <w:r w:rsidRPr="00A57F87">
        <w:rPr>
          <w:rFonts w:cs="Arial"/>
          <w:u w:val="single"/>
        </w:rPr>
        <w:t>кумулативната доза и отговора.</w:t>
      </w:r>
    </w:p>
    <w:p w14:paraId="154718A7" w14:textId="65D1B199" w:rsidR="00A57F87" w:rsidRDefault="00A57F87" w:rsidP="00A57F87"/>
    <w:tbl>
      <w:tblPr>
        <w:tblStyle w:val="TableGrid"/>
        <w:tblW w:w="0" w:type="auto"/>
        <w:tblLook w:val="04A0" w:firstRow="1" w:lastRow="0" w:firstColumn="1" w:lastColumn="0" w:noHBand="0" w:noVBand="1"/>
      </w:tblPr>
      <w:tblGrid>
        <w:gridCol w:w="3192"/>
        <w:gridCol w:w="3192"/>
        <w:gridCol w:w="3192"/>
      </w:tblGrid>
      <w:tr w:rsidR="00A57F87" w14:paraId="2884414D" w14:textId="77777777" w:rsidTr="00A57F87">
        <w:tc>
          <w:tcPr>
            <w:tcW w:w="3192" w:type="dxa"/>
          </w:tcPr>
          <w:p w14:paraId="33F7DDB6" w14:textId="3E6D07C2" w:rsidR="00A57F87" w:rsidRPr="00A57F87" w:rsidRDefault="00A57F87" w:rsidP="00A57F87">
            <w:r w:rsidRPr="00A57F87">
              <w:rPr>
                <w:b/>
                <w:bCs/>
              </w:rPr>
              <w:t>Кумулативна доза ципротеронов ацетат</w:t>
            </w:r>
          </w:p>
        </w:tc>
        <w:tc>
          <w:tcPr>
            <w:tcW w:w="3192" w:type="dxa"/>
          </w:tcPr>
          <w:p w14:paraId="470166DC" w14:textId="77CF6435" w:rsidR="00A57F87" w:rsidRPr="00A57F87" w:rsidRDefault="00A57F87" w:rsidP="00A57F87">
            <w:r w:rsidRPr="00A57F87">
              <w:rPr>
                <w:b/>
                <w:bCs/>
              </w:rPr>
              <w:t>Честота на заболеваемост (в пациент-години)</w:t>
            </w:r>
          </w:p>
        </w:tc>
        <w:tc>
          <w:tcPr>
            <w:tcW w:w="3192" w:type="dxa"/>
          </w:tcPr>
          <w:p w14:paraId="1BD3D44D" w14:textId="7E29D9DB" w:rsidR="00A57F87" w:rsidRPr="00A57F87" w:rsidRDefault="00A57F87" w:rsidP="00A57F87">
            <w:proofErr w:type="spellStart"/>
            <w:r w:rsidRPr="00A57F87">
              <w:rPr>
                <w:b/>
                <w:bCs/>
                <w:lang w:val="en-US"/>
              </w:rPr>
              <w:t>HRadj</w:t>
            </w:r>
            <w:proofErr w:type="spellEnd"/>
            <w:r w:rsidRPr="00A57F87">
              <w:rPr>
                <w:b/>
                <w:bCs/>
                <w:lang w:val="en-US"/>
              </w:rPr>
              <w:t xml:space="preserve"> </w:t>
            </w:r>
            <w:r w:rsidRPr="00A57F87">
              <w:rPr>
                <w:b/>
                <w:bCs/>
              </w:rPr>
              <w:t xml:space="preserve">(95% </w:t>
            </w:r>
            <w:r w:rsidRPr="00A57F87">
              <w:rPr>
                <w:b/>
                <w:bCs/>
                <w:lang w:val="en-US"/>
              </w:rPr>
              <w:t>CI)</w:t>
            </w:r>
            <w:r>
              <w:rPr>
                <w:b/>
                <w:bCs/>
                <w:vertAlign w:val="superscript"/>
              </w:rPr>
              <w:t>а</w:t>
            </w:r>
          </w:p>
        </w:tc>
      </w:tr>
      <w:tr w:rsidR="00A57F87" w14:paraId="0D4433B9" w14:textId="77777777" w:rsidTr="00A57F87">
        <w:tc>
          <w:tcPr>
            <w:tcW w:w="3192" w:type="dxa"/>
          </w:tcPr>
          <w:p w14:paraId="74C9EAB4" w14:textId="551B8E6D" w:rsidR="00A57F87" w:rsidRPr="00A57F87" w:rsidRDefault="00A57F87" w:rsidP="00A57F87">
            <w:r w:rsidRPr="00A57F87">
              <w:t xml:space="preserve">Ниска експозиция (&lt;3 </w:t>
            </w:r>
            <w:r w:rsidRPr="00A57F87">
              <w:rPr>
                <w:lang w:val="en-US"/>
              </w:rPr>
              <w:t>g)</w:t>
            </w:r>
          </w:p>
        </w:tc>
        <w:tc>
          <w:tcPr>
            <w:tcW w:w="3192" w:type="dxa"/>
          </w:tcPr>
          <w:p w14:paraId="013E0364" w14:textId="1D33D45A" w:rsidR="00A57F87" w:rsidRPr="00A57F87" w:rsidRDefault="00A57F87" w:rsidP="00A57F87">
            <w:r w:rsidRPr="00A57F87">
              <w:t>4,5/100 000</w:t>
            </w:r>
          </w:p>
        </w:tc>
        <w:tc>
          <w:tcPr>
            <w:tcW w:w="3192" w:type="dxa"/>
          </w:tcPr>
          <w:p w14:paraId="4314BA84" w14:textId="6866319F" w:rsidR="00A57F87" w:rsidRPr="00A57F87" w:rsidRDefault="00A57F87" w:rsidP="00A57F87">
            <w:r w:rsidRPr="00A57F87">
              <w:rPr>
                <w:lang w:val="en-US"/>
              </w:rPr>
              <w:t>Ref.</w:t>
            </w:r>
          </w:p>
        </w:tc>
      </w:tr>
      <w:tr w:rsidR="00A57F87" w14:paraId="3EB45C15" w14:textId="77777777" w:rsidTr="00A57F87">
        <w:tc>
          <w:tcPr>
            <w:tcW w:w="3192" w:type="dxa"/>
          </w:tcPr>
          <w:p w14:paraId="0C80F004" w14:textId="338A920E" w:rsidR="00A57F87" w:rsidRPr="00A57F87" w:rsidRDefault="00A57F87" w:rsidP="00A57F87">
            <w:r w:rsidRPr="00A57F87">
              <w:t xml:space="preserve">Експозиция ≥3 </w:t>
            </w:r>
            <w:r w:rsidRPr="00A57F87">
              <w:rPr>
                <w:lang w:val="en-US"/>
              </w:rPr>
              <w:t>g</w:t>
            </w:r>
          </w:p>
        </w:tc>
        <w:tc>
          <w:tcPr>
            <w:tcW w:w="3192" w:type="dxa"/>
          </w:tcPr>
          <w:p w14:paraId="49847895" w14:textId="6611EF23" w:rsidR="00A57F87" w:rsidRPr="00A57F87" w:rsidRDefault="00A57F87" w:rsidP="00A57F87">
            <w:r w:rsidRPr="00A57F87">
              <w:t>23,8/100 000</w:t>
            </w:r>
          </w:p>
        </w:tc>
        <w:tc>
          <w:tcPr>
            <w:tcW w:w="3192" w:type="dxa"/>
          </w:tcPr>
          <w:p w14:paraId="7A12CFA1" w14:textId="590FF990" w:rsidR="00A57F87" w:rsidRPr="00A57F87" w:rsidRDefault="00A57F87" w:rsidP="00A57F87">
            <w:r w:rsidRPr="00A57F87">
              <w:t>6,6 [4,0-11,1]</w:t>
            </w:r>
          </w:p>
        </w:tc>
      </w:tr>
      <w:tr w:rsidR="00A57F87" w14:paraId="2F8362BC" w14:textId="77777777" w:rsidTr="00A57F87">
        <w:tc>
          <w:tcPr>
            <w:tcW w:w="3192" w:type="dxa"/>
          </w:tcPr>
          <w:p w14:paraId="283D7091" w14:textId="54E60013" w:rsidR="00A57F87" w:rsidRPr="00A57F87" w:rsidRDefault="00A57F87" w:rsidP="00A57F87">
            <w:r w:rsidRPr="00A57F87">
              <w:t xml:space="preserve">12 до 36 </w:t>
            </w:r>
            <w:r w:rsidRPr="00A57F87">
              <w:rPr>
                <w:lang w:val="en-US"/>
              </w:rPr>
              <w:t>g</w:t>
            </w:r>
          </w:p>
        </w:tc>
        <w:tc>
          <w:tcPr>
            <w:tcW w:w="3192" w:type="dxa"/>
          </w:tcPr>
          <w:p w14:paraId="58142378" w14:textId="169DAEEC" w:rsidR="00A57F87" w:rsidRPr="00A57F87" w:rsidRDefault="00A57F87" w:rsidP="00A57F87">
            <w:r w:rsidRPr="00A57F87">
              <w:t>26/100 000</w:t>
            </w:r>
          </w:p>
        </w:tc>
        <w:tc>
          <w:tcPr>
            <w:tcW w:w="3192" w:type="dxa"/>
          </w:tcPr>
          <w:p w14:paraId="17A1A6A9" w14:textId="3A4C5B4B" w:rsidR="00A57F87" w:rsidRPr="00A57F87" w:rsidRDefault="00A57F87" w:rsidP="00A57F87">
            <w:r w:rsidRPr="00A57F87">
              <w:t>6,4 [3,6-11,5]</w:t>
            </w:r>
          </w:p>
        </w:tc>
      </w:tr>
      <w:tr w:rsidR="00A57F87" w14:paraId="7F4DF518" w14:textId="77777777" w:rsidTr="00A57F87">
        <w:tc>
          <w:tcPr>
            <w:tcW w:w="3192" w:type="dxa"/>
          </w:tcPr>
          <w:p w14:paraId="5E6F88C2" w14:textId="1E5711A2" w:rsidR="00A57F87" w:rsidRPr="00A57F87" w:rsidRDefault="00A57F87" w:rsidP="00A57F87">
            <w:r w:rsidRPr="00A57F87">
              <w:t xml:space="preserve">36 до 60 </w:t>
            </w:r>
            <w:r w:rsidRPr="00A57F87">
              <w:rPr>
                <w:lang w:val="en-US"/>
              </w:rPr>
              <w:t>g</w:t>
            </w:r>
          </w:p>
        </w:tc>
        <w:tc>
          <w:tcPr>
            <w:tcW w:w="3192" w:type="dxa"/>
          </w:tcPr>
          <w:p w14:paraId="77DE58BC" w14:textId="0D4C2EF9" w:rsidR="00A57F87" w:rsidRPr="00A57F87" w:rsidRDefault="00A57F87" w:rsidP="00A57F87">
            <w:r w:rsidRPr="00A57F87">
              <w:t>54,4/100 000</w:t>
            </w:r>
          </w:p>
        </w:tc>
        <w:tc>
          <w:tcPr>
            <w:tcW w:w="3192" w:type="dxa"/>
          </w:tcPr>
          <w:p w14:paraId="27FF1178" w14:textId="3EB2C5FF" w:rsidR="00A57F87" w:rsidRPr="00A57F87" w:rsidRDefault="00A57F87" w:rsidP="00A57F87">
            <w:r w:rsidRPr="00A57F87">
              <w:t>11,3 [5,8-22,2]</w:t>
            </w:r>
          </w:p>
        </w:tc>
      </w:tr>
      <w:tr w:rsidR="00A57F87" w14:paraId="438C1482" w14:textId="77777777" w:rsidTr="00A57F87">
        <w:tc>
          <w:tcPr>
            <w:tcW w:w="3192" w:type="dxa"/>
          </w:tcPr>
          <w:p w14:paraId="6CC08503" w14:textId="6B62A2AC" w:rsidR="00A57F87" w:rsidRPr="00A57F87" w:rsidRDefault="00A57F87" w:rsidP="00A57F87">
            <w:r w:rsidRPr="00A57F87">
              <w:t xml:space="preserve">повече от 60 </w:t>
            </w:r>
            <w:r w:rsidRPr="00A57F87">
              <w:rPr>
                <w:lang w:val="en-US"/>
              </w:rPr>
              <w:t>g</w:t>
            </w:r>
          </w:p>
        </w:tc>
        <w:tc>
          <w:tcPr>
            <w:tcW w:w="3192" w:type="dxa"/>
          </w:tcPr>
          <w:p w14:paraId="30BBC87D" w14:textId="420794EC" w:rsidR="00A57F87" w:rsidRPr="00A57F87" w:rsidRDefault="00A57F87" w:rsidP="00A57F87">
            <w:r w:rsidRPr="00A57F87">
              <w:t>129,1/100 000</w:t>
            </w:r>
          </w:p>
        </w:tc>
        <w:tc>
          <w:tcPr>
            <w:tcW w:w="3192" w:type="dxa"/>
          </w:tcPr>
          <w:p w14:paraId="2F073BC1" w14:textId="37E90610" w:rsidR="00A57F87" w:rsidRPr="00A57F87" w:rsidRDefault="00A57F87" w:rsidP="00A57F87">
            <w:r w:rsidRPr="00A57F87">
              <w:t>21,7 [10,8-43,5]</w:t>
            </w:r>
          </w:p>
        </w:tc>
      </w:tr>
    </w:tbl>
    <w:p w14:paraId="00D7D11B" w14:textId="141A7AA2" w:rsidR="00A57F87" w:rsidRPr="00A57F87" w:rsidRDefault="00A57F87" w:rsidP="00A57F87">
      <w:pPr>
        <w:rPr>
          <w:sz w:val="24"/>
          <w:szCs w:val="24"/>
        </w:rPr>
      </w:pPr>
      <w:r w:rsidRPr="00A57F87">
        <w:rPr>
          <w:vertAlign w:val="superscript"/>
          <w:lang w:eastAsia="bg-BG"/>
        </w:rPr>
        <w:t>а</w:t>
      </w:r>
      <w:r w:rsidRPr="00A57F87">
        <w:rPr>
          <w:lang w:eastAsia="bg-BG"/>
        </w:rPr>
        <w:t>Коригирана въз основа на възрастта, като зависима от времето променлива и наличието на естроген при включване</w:t>
      </w:r>
    </w:p>
    <w:p w14:paraId="727D9EA5" w14:textId="77777777" w:rsidR="00A57F87" w:rsidRPr="00A57F87" w:rsidRDefault="00A57F87" w:rsidP="00A57F87">
      <w:pPr>
        <w:rPr>
          <w:sz w:val="24"/>
          <w:szCs w:val="24"/>
        </w:rPr>
      </w:pPr>
      <w:r w:rsidRPr="00A57F87">
        <w:rPr>
          <w:lang w:eastAsia="bg-BG"/>
        </w:rPr>
        <w:t xml:space="preserve">Кумулативна доза 12 </w:t>
      </w:r>
      <w:r w:rsidRPr="00A57F87">
        <w:rPr>
          <w:lang w:val="en-US"/>
        </w:rPr>
        <w:t>g</w:t>
      </w:r>
      <w:r w:rsidRPr="00A57F87">
        <w:rPr>
          <w:lang w:val="ru-RU"/>
        </w:rPr>
        <w:t xml:space="preserve"> </w:t>
      </w:r>
      <w:r w:rsidRPr="00A57F87">
        <w:rPr>
          <w:lang w:eastAsia="bg-BG"/>
        </w:rPr>
        <w:t xml:space="preserve">например може да отговаря на една година лечение с 50 </w:t>
      </w:r>
      <w:r w:rsidRPr="00A57F87">
        <w:rPr>
          <w:lang w:val="en-US"/>
        </w:rPr>
        <w:t>mg</w:t>
      </w:r>
      <w:r w:rsidRPr="00A57F87">
        <w:rPr>
          <w:lang w:eastAsia="bg-BG"/>
        </w:rPr>
        <w:t>/ден за 20 дни всеки месец.</w:t>
      </w:r>
    </w:p>
    <w:p w14:paraId="38971B77" w14:textId="77777777" w:rsidR="00A57F87" w:rsidRPr="00A57F87" w:rsidRDefault="00A57F87" w:rsidP="00A57F87"/>
    <w:p w14:paraId="5C51B4CC" w14:textId="56DF4835" w:rsidR="00426E5F" w:rsidRDefault="002C50EE" w:rsidP="00A65A81">
      <w:pPr>
        <w:pStyle w:val="Heading2"/>
      </w:pPr>
      <w:r>
        <w:t>5.2. Фармакокинетични свойства</w:t>
      </w:r>
    </w:p>
    <w:p w14:paraId="4EE1EB4D" w14:textId="4C0CBED7" w:rsidR="00A57F87" w:rsidRDefault="00A57F87" w:rsidP="00A57F87"/>
    <w:p w14:paraId="26387F52" w14:textId="77777777" w:rsidR="00A57F87" w:rsidRPr="00A57F87" w:rsidRDefault="00A57F87" w:rsidP="00A57F87">
      <w:pPr>
        <w:pStyle w:val="Heading3"/>
        <w:rPr>
          <w:rFonts w:eastAsia="Times New Roman"/>
          <w:u w:val="single"/>
        </w:rPr>
      </w:pPr>
      <w:r w:rsidRPr="00A57F87">
        <w:rPr>
          <w:rFonts w:eastAsia="Times New Roman"/>
          <w:u w:val="single"/>
          <w:lang w:eastAsia="bg-BG"/>
        </w:rPr>
        <w:t>Абсорбция</w:t>
      </w:r>
    </w:p>
    <w:p w14:paraId="60793C96" w14:textId="77777777" w:rsidR="00A57F87" w:rsidRPr="00A57F87" w:rsidRDefault="00A57F87" w:rsidP="00A57F87">
      <w:pPr>
        <w:spacing w:line="240" w:lineRule="auto"/>
        <w:rPr>
          <w:rFonts w:eastAsia="Times New Roman" w:cs="Arial"/>
        </w:rPr>
      </w:pPr>
      <w:r w:rsidRPr="00A57F87">
        <w:rPr>
          <w:rFonts w:eastAsia="Times New Roman" w:cs="Arial"/>
          <w:color w:val="000000"/>
          <w:lang w:eastAsia="bg-BG"/>
        </w:rPr>
        <w:t>След перорално приложение ципротеронов ацетат напълно се абсорбира в широк дозов диапазон. Абсолютната бионаличност на ципротеронов ацетат е почти пълна (88% от дозата).</w:t>
      </w:r>
    </w:p>
    <w:p w14:paraId="77481082" w14:textId="77777777" w:rsidR="00A57F87" w:rsidRPr="00A57F87" w:rsidRDefault="00A57F87" w:rsidP="00A57F87">
      <w:pPr>
        <w:spacing w:line="240" w:lineRule="auto"/>
        <w:rPr>
          <w:rFonts w:eastAsia="Times New Roman" w:cs="Arial"/>
          <w:color w:val="000000"/>
          <w:u w:val="single"/>
          <w:lang w:eastAsia="bg-BG"/>
        </w:rPr>
      </w:pPr>
    </w:p>
    <w:p w14:paraId="2616317E" w14:textId="13C49300" w:rsidR="00A57F87" w:rsidRPr="00A57F87" w:rsidRDefault="00A57F87" w:rsidP="00A57F87">
      <w:pPr>
        <w:pStyle w:val="Heading3"/>
        <w:rPr>
          <w:rFonts w:eastAsia="Times New Roman"/>
          <w:u w:val="single"/>
        </w:rPr>
      </w:pPr>
      <w:r w:rsidRPr="00A57F87">
        <w:rPr>
          <w:rFonts w:eastAsia="Times New Roman"/>
          <w:u w:val="single"/>
          <w:lang w:eastAsia="bg-BG"/>
        </w:rPr>
        <w:t>Разпределение</w:t>
      </w:r>
    </w:p>
    <w:p w14:paraId="3C7570F0" w14:textId="77777777" w:rsidR="00A57F87" w:rsidRPr="00A57F87" w:rsidRDefault="00A57F87" w:rsidP="00A57F87">
      <w:pPr>
        <w:spacing w:line="240" w:lineRule="auto"/>
        <w:rPr>
          <w:rFonts w:eastAsia="Times New Roman" w:cs="Arial"/>
        </w:rPr>
      </w:pPr>
      <w:r w:rsidRPr="00A57F87">
        <w:rPr>
          <w:rFonts w:eastAsia="Times New Roman" w:cs="Arial"/>
          <w:color w:val="000000"/>
          <w:lang w:eastAsia="bg-BG"/>
        </w:rPr>
        <w:t xml:space="preserve">След прием на 50 </w:t>
      </w:r>
      <w:r w:rsidRPr="00A57F87">
        <w:rPr>
          <w:rFonts w:eastAsia="Times New Roman" w:cs="Arial"/>
          <w:color w:val="000000"/>
          <w:lang w:val="en-US"/>
        </w:rPr>
        <w:t>mg</w:t>
      </w:r>
      <w:r w:rsidRPr="00A57F87">
        <w:rPr>
          <w:rFonts w:eastAsia="Times New Roman" w:cs="Arial"/>
          <w:color w:val="000000"/>
          <w:lang w:val="ru-RU"/>
        </w:rPr>
        <w:t xml:space="preserve"> </w:t>
      </w:r>
      <w:r w:rsidRPr="00A57F87">
        <w:rPr>
          <w:rFonts w:eastAsia="Times New Roman" w:cs="Arial"/>
          <w:color w:val="000000"/>
          <w:lang w:eastAsia="bg-BG"/>
        </w:rPr>
        <w:t xml:space="preserve">ципротеронов ацетат се получава максимална серумна концентрация от 140 </w:t>
      </w:r>
      <w:r w:rsidRPr="00A57F87">
        <w:rPr>
          <w:rFonts w:eastAsia="Times New Roman" w:cs="Arial"/>
          <w:color w:val="000000"/>
          <w:lang w:val="en-US"/>
        </w:rPr>
        <w:t>ng</w:t>
      </w:r>
      <w:r w:rsidRPr="00A57F87">
        <w:rPr>
          <w:rFonts w:eastAsia="Times New Roman" w:cs="Arial"/>
          <w:color w:val="000000"/>
          <w:lang w:val="ru-RU"/>
        </w:rPr>
        <w:t>/</w:t>
      </w:r>
      <w:r w:rsidRPr="00A57F87">
        <w:rPr>
          <w:rFonts w:eastAsia="Times New Roman" w:cs="Arial"/>
          <w:color w:val="000000"/>
          <w:lang w:val="en-US"/>
        </w:rPr>
        <w:t>ml</w:t>
      </w:r>
      <w:r w:rsidRPr="00A57F87">
        <w:rPr>
          <w:rFonts w:eastAsia="Times New Roman" w:cs="Arial"/>
          <w:color w:val="000000"/>
          <w:lang w:val="ru-RU"/>
        </w:rPr>
        <w:t xml:space="preserve"> </w:t>
      </w:r>
      <w:r w:rsidRPr="00A57F87">
        <w:rPr>
          <w:rFonts w:eastAsia="Times New Roman" w:cs="Arial"/>
          <w:color w:val="000000"/>
          <w:lang w:eastAsia="bg-BG"/>
        </w:rPr>
        <w:t xml:space="preserve">за около 3 часа. След това серумните концентрации се понижават в интервал обикновено 24 до 120 часа с терминален полуживот </w:t>
      </w:r>
      <w:r w:rsidRPr="00A57F87">
        <w:rPr>
          <w:rFonts w:eastAsia="Times New Roman" w:cs="Arial"/>
          <w:color w:val="000000"/>
          <w:lang w:val="ru-RU"/>
        </w:rPr>
        <w:t>43.9±12.8</w:t>
      </w:r>
      <w:r w:rsidRPr="00A57F87">
        <w:rPr>
          <w:rFonts w:eastAsia="Times New Roman" w:cs="Arial"/>
          <w:color w:val="000000"/>
          <w:lang w:val="en-US"/>
        </w:rPr>
        <w:t>h</w:t>
      </w:r>
      <w:r w:rsidRPr="00A57F87">
        <w:rPr>
          <w:rFonts w:eastAsia="Times New Roman" w:cs="Arial"/>
          <w:color w:val="000000"/>
          <w:lang w:val="ru-RU"/>
        </w:rPr>
        <w:t xml:space="preserve">. </w:t>
      </w:r>
      <w:r w:rsidRPr="00A57F87">
        <w:rPr>
          <w:rFonts w:eastAsia="Times New Roman" w:cs="Arial"/>
          <w:color w:val="000000"/>
          <w:lang w:eastAsia="bg-BG"/>
        </w:rPr>
        <w:t xml:space="preserve">Общият клирънс на ципротеронов ацетат в серума е 3.5±1.5 </w:t>
      </w:r>
      <w:r w:rsidRPr="00A57F87">
        <w:rPr>
          <w:rFonts w:eastAsia="Times New Roman" w:cs="Arial"/>
          <w:color w:val="000000"/>
          <w:lang w:val="en-US"/>
        </w:rPr>
        <w:t>ml</w:t>
      </w:r>
      <w:r w:rsidRPr="00A57F87">
        <w:rPr>
          <w:rFonts w:eastAsia="Times New Roman" w:cs="Arial"/>
          <w:color w:val="000000"/>
          <w:lang w:val="ru-RU"/>
        </w:rPr>
        <w:t>/</w:t>
      </w:r>
      <w:r w:rsidRPr="00A57F87">
        <w:rPr>
          <w:rFonts w:eastAsia="Times New Roman" w:cs="Arial"/>
          <w:color w:val="000000"/>
          <w:lang w:val="en-US"/>
        </w:rPr>
        <w:t>min</w:t>
      </w:r>
      <w:r w:rsidRPr="00A57F87">
        <w:rPr>
          <w:rFonts w:eastAsia="Times New Roman" w:cs="Arial"/>
          <w:color w:val="000000"/>
          <w:lang w:val="ru-RU"/>
        </w:rPr>
        <w:t>/</w:t>
      </w:r>
      <w:r w:rsidRPr="00A57F87">
        <w:rPr>
          <w:rFonts w:eastAsia="Times New Roman" w:cs="Arial"/>
          <w:color w:val="000000"/>
          <w:lang w:val="en-US"/>
        </w:rPr>
        <w:t>kg</w:t>
      </w:r>
      <w:r w:rsidRPr="00A57F87">
        <w:rPr>
          <w:rFonts w:eastAsia="Times New Roman" w:cs="Arial"/>
          <w:color w:val="000000"/>
          <w:lang w:val="ru-RU"/>
        </w:rPr>
        <w:t>.</w:t>
      </w:r>
    </w:p>
    <w:p w14:paraId="116E6548" w14:textId="77777777" w:rsidR="00A57F87" w:rsidRPr="00A57F87" w:rsidRDefault="00A57F87" w:rsidP="00A57F87">
      <w:pPr>
        <w:spacing w:line="240" w:lineRule="auto"/>
        <w:rPr>
          <w:rFonts w:eastAsia="Times New Roman" w:cs="Arial"/>
          <w:color w:val="000000"/>
          <w:lang w:eastAsia="bg-BG"/>
        </w:rPr>
      </w:pPr>
    </w:p>
    <w:p w14:paraId="007A6994" w14:textId="22AE3D32" w:rsidR="00A57F87" w:rsidRPr="00A57F87" w:rsidRDefault="00A57F87" w:rsidP="00A57F87">
      <w:pPr>
        <w:spacing w:line="240" w:lineRule="auto"/>
        <w:rPr>
          <w:rFonts w:eastAsia="Times New Roman" w:cs="Arial"/>
        </w:rPr>
      </w:pPr>
      <w:r w:rsidRPr="00A57F87">
        <w:rPr>
          <w:rFonts w:eastAsia="Times New Roman" w:cs="Arial"/>
          <w:color w:val="000000"/>
          <w:lang w:eastAsia="bg-BG"/>
        </w:rPr>
        <w:t xml:space="preserve">Ципротеронов ацетат е почти изцяло свързан с плазмения албумин. Около 3.5-4% остава несвързан. Тъй като протеинното свързване е неспецифично, промените в </w:t>
      </w:r>
      <w:r w:rsidRPr="00A57F87">
        <w:rPr>
          <w:rFonts w:eastAsia="Times New Roman" w:cs="Arial"/>
          <w:color w:val="000000"/>
          <w:lang w:eastAsia="bg-BG"/>
        </w:rPr>
        <w:lastRenderedPageBreak/>
        <w:t xml:space="preserve">концентрацията на </w:t>
      </w:r>
      <w:r w:rsidRPr="00A57F87">
        <w:rPr>
          <w:rFonts w:eastAsia="Times New Roman" w:cs="Arial"/>
          <w:color w:val="000000"/>
          <w:lang w:val="en-US"/>
        </w:rPr>
        <w:t>SHBG</w:t>
      </w:r>
      <w:r w:rsidRPr="00A57F87">
        <w:rPr>
          <w:rFonts w:eastAsia="Times New Roman" w:cs="Arial"/>
          <w:color w:val="000000"/>
          <w:lang w:val="ru-RU"/>
        </w:rPr>
        <w:t xml:space="preserve"> </w:t>
      </w:r>
      <w:r w:rsidRPr="00A57F87">
        <w:rPr>
          <w:rFonts w:eastAsia="Times New Roman" w:cs="Arial"/>
          <w:color w:val="000000"/>
          <w:lang w:eastAsia="bg-BG"/>
        </w:rPr>
        <w:t>(глобулин свързващ половите хормони) не влияят върху фармакокинетиката на ципротеронов ацетат.</w:t>
      </w:r>
    </w:p>
    <w:p w14:paraId="733103B1" w14:textId="77777777" w:rsidR="00A57F87" w:rsidRPr="00A57F87" w:rsidRDefault="00A57F87" w:rsidP="00A57F87">
      <w:pPr>
        <w:spacing w:line="240" w:lineRule="auto"/>
        <w:rPr>
          <w:rFonts w:eastAsia="Times New Roman" w:cs="Arial"/>
        </w:rPr>
      </w:pPr>
    </w:p>
    <w:p w14:paraId="3A678E98" w14:textId="77777777" w:rsidR="00A57F87" w:rsidRPr="00A57F87" w:rsidRDefault="00A57F87" w:rsidP="00A57F87">
      <w:pPr>
        <w:pStyle w:val="Heading3"/>
        <w:rPr>
          <w:rFonts w:eastAsia="Times New Roman"/>
          <w:u w:val="single"/>
        </w:rPr>
      </w:pPr>
      <w:r w:rsidRPr="00A57F87">
        <w:rPr>
          <w:rFonts w:eastAsia="Times New Roman"/>
          <w:u w:val="single"/>
          <w:lang w:eastAsia="bg-BG"/>
        </w:rPr>
        <w:t>Биотрансформация</w:t>
      </w:r>
    </w:p>
    <w:p w14:paraId="31D634D0" w14:textId="77777777" w:rsidR="00A57F87" w:rsidRPr="00A57F87" w:rsidRDefault="00A57F87" w:rsidP="00A57F87">
      <w:pPr>
        <w:spacing w:line="240" w:lineRule="auto"/>
        <w:rPr>
          <w:rFonts w:eastAsia="Times New Roman" w:cs="Arial"/>
        </w:rPr>
      </w:pPr>
      <w:r w:rsidRPr="00A57F87">
        <w:rPr>
          <w:rFonts w:eastAsia="Times New Roman" w:cs="Arial"/>
          <w:color w:val="000000"/>
          <w:lang w:eastAsia="bg-BG"/>
        </w:rPr>
        <w:t xml:space="preserve">Ципротеронов ацетат се метаболизира по различни начини, включително чрез хидроксилиране и конюгиране. Основният метаболит в човешката плазма е 15 </w:t>
      </w:r>
      <w:r w:rsidRPr="00A57F87">
        <w:rPr>
          <w:rFonts w:eastAsia="Times New Roman" w:cs="Arial"/>
          <w:color w:val="000000"/>
          <w:lang w:val="en-US"/>
        </w:rPr>
        <w:t>p</w:t>
      </w:r>
      <w:r w:rsidRPr="00A57F87">
        <w:rPr>
          <w:rFonts w:eastAsia="Times New Roman" w:cs="Arial"/>
          <w:color w:val="000000"/>
          <w:lang w:eastAsia="bg-BG"/>
        </w:rPr>
        <w:t xml:space="preserve">-хидрокси съединение. През фаза 1 ципротеронов ацетат преминава през каталитичен метаболизъм с участие на цитохром Р450 ензима </w:t>
      </w:r>
      <w:r w:rsidRPr="00A57F87">
        <w:rPr>
          <w:rFonts w:eastAsia="Times New Roman" w:cs="Arial"/>
          <w:color w:val="000000"/>
          <w:lang w:val="en-US"/>
        </w:rPr>
        <w:t>CYP</w:t>
      </w:r>
      <w:r w:rsidRPr="00A57F87">
        <w:rPr>
          <w:rFonts w:eastAsia="Times New Roman" w:cs="Arial"/>
          <w:color w:val="000000"/>
          <w:lang w:val="ru-RU"/>
        </w:rPr>
        <w:t>3</w:t>
      </w:r>
      <w:r w:rsidRPr="00A57F87">
        <w:rPr>
          <w:rFonts w:eastAsia="Times New Roman" w:cs="Arial"/>
          <w:color w:val="000000"/>
          <w:lang w:val="en-US"/>
        </w:rPr>
        <w:t>A</w:t>
      </w:r>
      <w:r w:rsidRPr="00A57F87">
        <w:rPr>
          <w:rFonts w:eastAsia="Times New Roman" w:cs="Arial"/>
          <w:color w:val="000000"/>
          <w:lang w:val="ru-RU"/>
        </w:rPr>
        <w:t>4.</w:t>
      </w:r>
    </w:p>
    <w:p w14:paraId="01B4D001" w14:textId="77777777" w:rsidR="00A57F87" w:rsidRPr="00A57F87" w:rsidRDefault="00A57F87" w:rsidP="00A57F87">
      <w:pPr>
        <w:spacing w:line="240" w:lineRule="auto"/>
        <w:rPr>
          <w:rFonts w:eastAsia="Times New Roman" w:cs="Arial"/>
        </w:rPr>
      </w:pPr>
    </w:p>
    <w:p w14:paraId="5CCBA0D0" w14:textId="533044E3" w:rsidR="00A57F87" w:rsidRPr="00A57F87" w:rsidRDefault="00A57F87" w:rsidP="00A57F87">
      <w:pPr>
        <w:pStyle w:val="Heading3"/>
        <w:rPr>
          <w:rFonts w:eastAsia="Times New Roman"/>
          <w:u w:val="single"/>
        </w:rPr>
      </w:pPr>
      <w:r w:rsidRPr="00A57F87">
        <w:rPr>
          <w:rFonts w:eastAsia="Times New Roman"/>
          <w:u w:val="single"/>
          <w:lang w:eastAsia="bg-BG"/>
        </w:rPr>
        <w:t>Елиминиране</w:t>
      </w:r>
    </w:p>
    <w:p w14:paraId="20021E17" w14:textId="7DCF881C" w:rsidR="00A57F87" w:rsidRPr="00A57F87" w:rsidRDefault="00A57F87" w:rsidP="00A57F87">
      <w:pPr>
        <w:rPr>
          <w:rFonts w:eastAsia="Times New Roman" w:cs="Arial"/>
          <w:color w:val="000000"/>
          <w:lang w:eastAsia="bg-BG"/>
        </w:rPr>
      </w:pPr>
      <w:r w:rsidRPr="00A57F87">
        <w:rPr>
          <w:rFonts w:eastAsia="Times New Roman" w:cs="Arial"/>
          <w:color w:val="000000"/>
          <w:lang w:eastAsia="bg-BG"/>
        </w:rPr>
        <w:t>Част от приетата доза се екскретира непроменена чрез жлъчката. По-голямата част се екскретира под форма на метаболити в урината и жлъчката, като съотношението е 3:7. Полуживотът на бъбречното и жлъчно екскретиране е 1.9 дни. Метаболитите от плазмата се елиминират с подобна скорост (полуживот 1.7 дни).</w:t>
      </w:r>
    </w:p>
    <w:p w14:paraId="1DA59D99" w14:textId="759BC122" w:rsidR="00A57F87" w:rsidRPr="00A57F87" w:rsidRDefault="00A57F87" w:rsidP="00A57F87">
      <w:pPr>
        <w:rPr>
          <w:rFonts w:eastAsia="Times New Roman" w:cs="Arial"/>
          <w:color w:val="000000"/>
          <w:lang w:eastAsia="bg-BG"/>
        </w:rPr>
      </w:pPr>
    </w:p>
    <w:p w14:paraId="75EABFF5" w14:textId="77777777" w:rsidR="00A57F87" w:rsidRPr="00A57F87" w:rsidRDefault="00A57F87" w:rsidP="00A57F87">
      <w:pPr>
        <w:spacing w:line="240" w:lineRule="auto"/>
        <w:rPr>
          <w:rFonts w:eastAsia="Times New Roman" w:cs="Arial"/>
        </w:rPr>
      </w:pPr>
      <w:r w:rsidRPr="00A57F87">
        <w:rPr>
          <w:rFonts w:eastAsia="Times New Roman" w:cs="Arial"/>
          <w:i/>
          <w:iCs/>
          <w:color w:val="000000"/>
          <w:lang w:eastAsia="bg-BG"/>
        </w:rPr>
        <w:t>Състояние на равновесие</w:t>
      </w:r>
    </w:p>
    <w:p w14:paraId="734D2B49" w14:textId="465CE489" w:rsidR="00A57F87" w:rsidRDefault="00A57F87" w:rsidP="00A57F87">
      <w:pPr>
        <w:rPr>
          <w:rFonts w:eastAsia="Times New Roman" w:cs="Arial"/>
          <w:color w:val="000000"/>
          <w:lang w:eastAsia="bg-BG"/>
        </w:rPr>
      </w:pPr>
      <w:r w:rsidRPr="00A57F87">
        <w:rPr>
          <w:rFonts w:eastAsia="Times New Roman" w:cs="Arial"/>
          <w:color w:val="000000"/>
          <w:lang w:eastAsia="bg-BG"/>
        </w:rPr>
        <w:t>Поради дългият полуживот на терминалната диспозиционна фаза в плазмата (серума) и ежедневният прием може да се очаква акумулиране на ципротеронов ацетат и приблизително трикратно увеличение на концентрацията му в серума след повторен ежедневен прием.</w:t>
      </w:r>
    </w:p>
    <w:p w14:paraId="74B841AB" w14:textId="77777777" w:rsidR="00A57F87" w:rsidRPr="00A57F87" w:rsidRDefault="00A57F87" w:rsidP="00A57F87"/>
    <w:p w14:paraId="028E658A" w14:textId="5BBC3E85" w:rsidR="00395555" w:rsidRDefault="002C50EE" w:rsidP="008A6AF2">
      <w:pPr>
        <w:pStyle w:val="Heading2"/>
      </w:pPr>
      <w:r>
        <w:t>5.3. Предклинични данни за безопасност</w:t>
      </w:r>
    </w:p>
    <w:p w14:paraId="5FB768D4" w14:textId="1A3D782A" w:rsidR="00A57F87" w:rsidRDefault="00A57F87" w:rsidP="00A57F87"/>
    <w:p w14:paraId="6303280D" w14:textId="77777777" w:rsidR="00A57F87" w:rsidRPr="00A57F87" w:rsidRDefault="00A57F87" w:rsidP="00A57F87">
      <w:pPr>
        <w:spacing w:line="240" w:lineRule="auto"/>
        <w:rPr>
          <w:rFonts w:eastAsia="Times New Roman" w:cs="Arial"/>
        </w:rPr>
      </w:pPr>
      <w:r w:rsidRPr="00A57F87">
        <w:rPr>
          <w:rFonts w:eastAsia="Times New Roman" w:cs="Arial"/>
          <w:i/>
          <w:iCs/>
          <w:color w:val="000000"/>
          <w:lang w:eastAsia="bg-BG"/>
        </w:rPr>
        <w:t>Системна токсичност</w:t>
      </w:r>
    </w:p>
    <w:p w14:paraId="0B247349" w14:textId="77777777" w:rsidR="00A57F87" w:rsidRPr="00A57F87" w:rsidRDefault="00A57F87" w:rsidP="00A57F87">
      <w:pPr>
        <w:spacing w:line="240" w:lineRule="auto"/>
        <w:rPr>
          <w:rFonts w:eastAsia="Times New Roman" w:cs="Arial"/>
        </w:rPr>
      </w:pPr>
      <w:r w:rsidRPr="00A57F87">
        <w:rPr>
          <w:rFonts w:eastAsia="Times New Roman" w:cs="Arial"/>
          <w:color w:val="000000"/>
          <w:lang w:eastAsia="bg-BG"/>
        </w:rPr>
        <w:t>Изхождайки от предклинични данни, базирани на клинични проучвания за токсичност при многократно приложение, няма специфичен риск при хора.</w:t>
      </w:r>
    </w:p>
    <w:p w14:paraId="155A7062" w14:textId="77777777" w:rsidR="00A57F87" w:rsidRPr="00A57F87" w:rsidRDefault="00A57F87" w:rsidP="00A57F87">
      <w:pPr>
        <w:spacing w:line="240" w:lineRule="auto"/>
        <w:rPr>
          <w:rFonts w:eastAsia="Times New Roman" w:cs="Arial"/>
          <w:i/>
          <w:iCs/>
          <w:color w:val="000000"/>
          <w:lang w:eastAsia="bg-BG"/>
        </w:rPr>
      </w:pPr>
    </w:p>
    <w:p w14:paraId="106774F7" w14:textId="0BE96F2B" w:rsidR="00A57F87" w:rsidRPr="00A57F87" w:rsidRDefault="00A57F87" w:rsidP="00A57F87">
      <w:pPr>
        <w:spacing w:line="240" w:lineRule="auto"/>
        <w:rPr>
          <w:rFonts w:eastAsia="Times New Roman" w:cs="Arial"/>
        </w:rPr>
      </w:pPr>
      <w:r w:rsidRPr="00A57F87">
        <w:rPr>
          <w:rFonts w:eastAsia="Times New Roman" w:cs="Arial"/>
          <w:i/>
          <w:iCs/>
          <w:color w:val="000000"/>
          <w:lang w:eastAsia="bg-BG"/>
        </w:rPr>
        <w:t>Репродуктивна токсичност</w:t>
      </w:r>
    </w:p>
    <w:p w14:paraId="1DD9B2C4" w14:textId="77777777" w:rsidR="00A57F87" w:rsidRPr="00A57F87" w:rsidRDefault="00A57F87" w:rsidP="00A57F87">
      <w:pPr>
        <w:spacing w:line="240" w:lineRule="auto"/>
        <w:rPr>
          <w:rFonts w:eastAsia="Times New Roman" w:cs="Arial"/>
          <w:color w:val="000000"/>
          <w:lang w:eastAsia="bg-BG"/>
        </w:rPr>
      </w:pPr>
      <w:r w:rsidRPr="00A57F87">
        <w:rPr>
          <w:rFonts w:eastAsia="Times New Roman" w:cs="Arial"/>
          <w:color w:val="000000"/>
          <w:lang w:eastAsia="bg-BG"/>
        </w:rPr>
        <w:t xml:space="preserve">Временното потискане на фертилитета на мъжки плъхове, предизвикано от ежедневно перорално третиране в никакъв случай не показва , че лечението с Андрокур води до промени в сперматозоидите, които биха могли да доведат до малформации или понижаване на фертилитета в </w:t>
      </w:r>
    </w:p>
    <w:p w14:paraId="6BFED91B" w14:textId="49961613" w:rsidR="00A57F87" w:rsidRPr="00A57F87" w:rsidRDefault="00A57F87" w:rsidP="00A57F87">
      <w:pPr>
        <w:spacing w:line="240" w:lineRule="auto"/>
        <w:rPr>
          <w:rFonts w:eastAsia="Times New Roman" w:cs="Arial"/>
        </w:rPr>
      </w:pPr>
      <w:r w:rsidRPr="00A57F87">
        <w:rPr>
          <w:rFonts w:eastAsia="Times New Roman" w:cs="Arial"/>
          <w:color w:val="000000"/>
          <w:lang w:eastAsia="bg-BG"/>
        </w:rPr>
        <w:t>котилото.</w:t>
      </w:r>
    </w:p>
    <w:p w14:paraId="326BC31A" w14:textId="77777777" w:rsidR="00A57F87" w:rsidRPr="00A57F87" w:rsidRDefault="00A57F87" w:rsidP="00A57F87">
      <w:pPr>
        <w:spacing w:line="240" w:lineRule="auto"/>
        <w:rPr>
          <w:rFonts w:eastAsia="Times New Roman" w:cs="Arial"/>
          <w:i/>
          <w:iCs/>
          <w:color w:val="000000"/>
          <w:lang w:eastAsia="bg-BG"/>
        </w:rPr>
      </w:pPr>
    </w:p>
    <w:p w14:paraId="2ADBD58C" w14:textId="43ABD734" w:rsidR="00A57F87" w:rsidRPr="00A57F87" w:rsidRDefault="00A57F87" w:rsidP="00A57F87">
      <w:pPr>
        <w:spacing w:line="240" w:lineRule="auto"/>
        <w:rPr>
          <w:rFonts w:eastAsia="Times New Roman" w:cs="Arial"/>
        </w:rPr>
      </w:pPr>
      <w:r w:rsidRPr="00A57F87">
        <w:rPr>
          <w:rFonts w:eastAsia="Times New Roman" w:cs="Arial"/>
          <w:i/>
          <w:iCs/>
          <w:color w:val="000000"/>
          <w:lang w:eastAsia="bg-BG"/>
        </w:rPr>
        <w:t>Ембриотоксичност и тератогенност</w:t>
      </w:r>
    </w:p>
    <w:p w14:paraId="4E9C35B3" w14:textId="77777777" w:rsidR="00A57F87" w:rsidRPr="00A57F87" w:rsidRDefault="00A57F87" w:rsidP="00A57F87">
      <w:pPr>
        <w:spacing w:line="240" w:lineRule="auto"/>
        <w:rPr>
          <w:rFonts w:eastAsia="Times New Roman" w:cs="Arial"/>
        </w:rPr>
      </w:pPr>
      <w:r w:rsidRPr="00A57F87">
        <w:rPr>
          <w:rFonts w:eastAsia="Times New Roman" w:cs="Arial"/>
          <w:color w:val="000000"/>
          <w:lang w:eastAsia="bg-BG"/>
        </w:rPr>
        <w:t>Ембриотоксикологични проучвания не дават данни за тератогенен ефект след третирането по време на органогенезата на плода преди развитието на външните полови органи. Прилагането на високи дози ципротеронов ацетат по време на чувствителната към хормони фаза на диференциране на половите органи предизвиква феминизиране на мъжките фетуси. Наблюденията върху новородени от мъжки пол, които са били изложени на влиянието на ципротеронов ацетат в матката не показват признаци на феминизиране. Въпреки това употребата на Андрокур по време на бременност е противопоказана.</w:t>
      </w:r>
    </w:p>
    <w:p w14:paraId="0EE0C2C8" w14:textId="77777777" w:rsidR="00A57F87" w:rsidRPr="00A57F87" w:rsidRDefault="00A57F87" w:rsidP="00A57F87">
      <w:pPr>
        <w:spacing w:line="240" w:lineRule="auto"/>
        <w:rPr>
          <w:rFonts w:eastAsia="Times New Roman" w:cs="Arial"/>
          <w:i/>
          <w:iCs/>
          <w:color w:val="000000"/>
          <w:lang w:eastAsia="bg-BG"/>
        </w:rPr>
      </w:pPr>
    </w:p>
    <w:p w14:paraId="59C4E5B3" w14:textId="6B2894C9" w:rsidR="00A57F87" w:rsidRPr="00A57F87" w:rsidRDefault="00A57F87" w:rsidP="00A57F87">
      <w:pPr>
        <w:spacing w:line="240" w:lineRule="auto"/>
        <w:rPr>
          <w:rFonts w:eastAsia="Times New Roman" w:cs="Arial"/>
        </w:rPr>
      </w:pPr>
      <w:r w:rsidRPr="00A57F87">
        <w:rPr>
          <w:rFonts w:eastAsia="Times New Roman" w:cs="Arial"/>
          <w:i/>
          <w:iCs/>
          <w:color w:val="000000"/>
          <w:lang w:eastAsia="bg-BG"/>
        </w:rPr>
        <w:t>Генотоксичност и карциногенност</w:t>
      </w:r>
    </w:p>
    <w:p w14:paraId="71ACDD6A" w14:textId="77777777" w:rsidR="00A57F87" w:rsidRPr="00A57F87" w:rsidRDefault="00A57F87" w:rsidP="00A57F87">
      <w:pPr>
        <w:spacing w:line="240" w:lineRule="auto"/>
        <w:rPr>
          <w:rFonts w:eastAsia="Times New Roman" w:cs="Arial"/>
        </w:rPr>
      </w:pPr>
      <w:r w:rsidRPr="00A57F87">
        <w:rPr>
          <w:rFonts w:eastAsia="Times New Roman" w:cs="Arial"/>
          <w:color w:val="000000"/>
          <w:lang w:eastAsia="bg-BG"/>
        </w:rPr>
        <w:t>Първите признати тестове за генотоксичност, проведени с ципротеронов ацетат дават отрицателен резултат, но по-нататъшни изпитвания показват, че ципротеронов ацетат може да предизвика отклонения в ДНК (и увеличение на удвояването на ДНК) в чернодробни клетки на плъхове и маймуни, а също в прясно изолирани човешки хепатоцити. В хепатоцити на кучета нивото на ДНК разклоненията е много ниско.</w:t>
      </w:r>
    </w:p>
    <w:p w14:paraId="0FB72019" w14:textId="77777777" w:rsidR="00A57F87" w:rsidRPr="00A57F87" w:rsidRDefault="00A57F87" w:rsidP="00A57F87">
      <w:pPr>
        <w:spacing w:line="240" w:lineRule="auto"/>
        <w:rPr>
          <w:rFonts w:eastAsia="Times New Roman" w:cs="Arial"/>
        </w:rPr>
      </w:pPr>
    </w:p>
    <w:p w14:paraId="7F572AD5" w14:textId="77777777" w:rsidR="00A57F87" w:rsidRPr="00A57F87" w:rsidRDefault="00A57F87" w:rsidP="00A57F87">
      <w:pPr>
        <w:spacing w:line="240" w:lineRule="auto"/>
        <w:rPr>
          <w:rFonts w:eastAsia="Times New Roman" w:cs="Arial"/>
        </w:rPr>
      </w:pPr>
    </w:p>
    <w:p w14:paraId="2B9BAEB7" w14:textId="77777777" w:rsidR="00A57F87" w:rsidRPr="00A57F87" w:rsidRDefault="00A57F87" w:rsidP="00A57F87">
      <w:pPr>
        <w:spacing w:line="240" w:lineRule="auto"/>
        <w:rPr>
          <w:rFonts w:eastAsia="Times New Roman" w:cs="Arial"/>
          <w:color w:val="000000"/>
          <w:lang w:eastAsia="bg-BG"/>
        </w:rPr>
      </w:pPr>
    </w:p>
    <w:p w14:paraId="4E131FB8" w14:textId="5F9D2B86" w:rsidR="00A57F87" w:rsidRPr="00A57F87" w:rsidRDefault="00A57F87" w:rsidP="00A57F87">
      <w:pPr>
        <w:spacing w:line="240" w:lineRule="auto"/>
        <w:rPr>
          <w:rFonts w:eastAsia="Times New Roman" w:cs="Arial"/>
        </w:rPr>
      </w:pPr>
      <w:r w:rsidRPr="00A57F87">
        <w:rPr>
          <w:rFonts w:eastAsia="Times New Roman" w:cs="Arial"/>
          <w:color w:val="000000"/>
          <w:lang w:eastAsia="bg-BG"/>
        </w:rPr>
        <w:t xml:space="preserve">Образуването на разклонения в ДНК се получава при системно приложение на концентрации и могат да се очакват при препоръчания режим на дозиране на ципротеронов ацетат. Едно от последствията на лечението с ципротеронов ацетат </w:t>
      </w:r>
      <w:r w:rsidRPr="00A57F87">
        <w:rPr>
          <w:rFonts w:eastAsia="Times New Roman" w:cs="Arial"/>
          <w:color w:val="000000"/>
          <w:lang w:val="en-US"/>
        </w:rPr>
        <w:t>in</w:t>
      </w:r>
      <w:r w:rsidRPr="00A57F87">
        <w:rPr>
          <w:rFonts w:eastAsia="Times New Roman" w:cs="Arial"/>
          <w:color w:val="000000"/>
          <w:lang w:val="ru-RU"/>
        </w:rPr>
        <w:t xml:space="preserve"> </w:t>
      </w:r>
      <w:r w:rsidRPr="00A57F87">
        <w:rPr>
          <w:rFonts w:eastAsia="Times New Roman" w:cs="Arial"/>
          <w:color w:val="000000"/>
          <w:lang w:val="en-US"/>
        </w:rPr>
        <w:t>vivo</w:t>
      </w:r>
      <w:r w:rsidRPr="00A57F87">
        <w:rPr>
          <w:rFonts w:eastAsia="Times New Roman" w:cs="Arial"/>
          <w:color w:val="000000"/>
          <w:lang w:val="ru-RU"/>
        </w:rPr>
        <w:t xml:space="preserve"> </w:t>
      </w:r>
      <w:r w:rsidRPr="00A57F87">
        <w:rPr>
          <w:rFonts w:eastAsia="Times New Roman" w:cs="Arial"/>
          <w:color w:val="000000"/>
          <w:lang w:eastAsia="bg-BG"/>
        </w:rPr>
        <w:t>е увеличената честота на поява на фокални, възможно пренеопластични чернодробни лезии с променени клетъчни ензими при женски плъхове и повишена мутационна честота.</w:t>
      </w:r>
    </w:p>
    <w:p w14:paraId="6D8618DC" w14:textId="77777777" w:rsidR="00A57F87" w:rsidRPr="00A57F87" w:rsidRDefault="00A57F87" w:rsidP="00A57F87">
      <w:pPr>
        <w:spacing w:line="240" w:lineRule="auto"/>
        <w:rPr>
          <w:rFonts w:eastAsia="Times New Roman" w:cs="Arial"/>
          <w:color w:val="000000"/>
          <w:lang w:eastAsia="bg-BG"/>
        </w:rPr>
      </w:pPr>
    </w:p>
    <w:p w14:paraId="4EB4B6E0" w14:textId="0E8A5FB3" w:rsidR="00A57F87" w:rsidRPr="00A57F87" w:rsidRDefault="00A57F87" w:rsidP="00A57F87">
      <w:pPr>
        <w:spacing w:line="240" w:lineRule="auto"/>
        <w:rPr>
          <w:rFonts w:eastAsia="Times New Roman" w:cs="Arial"/>
        </w:rPr>
      </w:pPr>
      <w:r w:rsidRPr="00A57F87">
        <w:rPr>
          <w:rFonts w:eastAsia="Times New Roman" w:cs="Arial"/>
          <w:color w:val="000000"/>
          <w:lang w:eastAsia="bg-BG"/>
        </w:rPr>
        <w:t>Клиничният опит както и надеждно проведени епидемиологични проучвания не са в подкрепа на увеличаване броя на хепаталните тумори при хора. Изпитвания за туморогенен потенциал на ципротеронов ацетат при гризачи също не показват данни за специфичен туморогенен потенциал.</w:t>
      </w:r>
    </w:p>
    <w:p w14:paraId="33B80BD2" w14:textId="77777777" w:rsidR="00A57F87" w:rsidRPr="00A57F87" w:rsidRDefault="00A57F87" w:rsidP="00A57F87">
      <w:pPr>
        <w:spacing w:line="240" w:lineRule="auto"/>
        <w:rPr>
          <w:rFonts w:eastAsia="Times New Roman" w:cs="Arial"/>
          <w:color w:val="000000"/>
          <w:lang w:eastAsia="bg-BG"/>
        </w:rPr>
      </w:pPr>
    </w:p>
    <w:p w14:paraId="05D891D6" w14:textId="4C74B106" w:rsidR="00A57F87" w:rsidRPr="00A57F87" w:rsidRDefault="00A57F87" w:rsidP="00A57F87">
      <w:pPr>
        <w:spacing w:line="240" w:lineRule="auto"/>
        <w:rPr>
          <w:rFonts w:eastAsia="Times New Roman" w:cs="Arial"/>
        </w:rPr>
      </w:pPr>
      <w:r w:rsidRPr="00A57F87">
        <w:rPr>
          <w:rFonts w:eastAsia="Times New Roman" w:cs="Arial"/>
          <w:color w:val="000000"/>
          <w:lang w:eastAsia="bg-BG"/>
        </w:rPr>
        <w:t>Все пак трябва да се има предвид, че половите хормони могат да предизвикат разрастване на някои хормонално зависими тъкани и тумори.</w:t>
      </w:r>
    </w:p>
    <w:p w14:paraId="3E47D88D" w14:textId="77777777" w:rsidR="00A57F87" w:rsidRPr="00A57F87" w:rsidRDefault="00A57F87" w:rsidP="00A57F87">
      <w:pPr>
        <w:spacing w:line="240" w:lineRule="auto"/>
        <w:rPr>
          <w:rFonts w:eastAsia="Times New Roman" w:cs="Arial"/>
          <w:color w:val="000000"/>
          <w:lang w:eastAsia="bg-BG"/>
        </w:rPr>
      </w:pPr>
    </w:p>
    <w:p w14:paraId="605F65C7" w14:textId="36AA4C8F" w:rsidR="00A57F87" w:rsidRPr="00A57F87" w:rsidRDefault="00A57F87" w:rsidP="00A57F87">
      <w:pPr>
        <w:spacing w:line="240" w:lineRule="auto"/>
        <w:rPr>
          <w:rFonts w:eastAsia="Times New Roman" w:cs="Arial"/>
        </w:rPr>
      </w:pPr>
      <w:r w:rsidRPr="00A57F87">
        <w:rPr>
          <w:rFonts w:eastAsia="Times New Roman" w:cs="Arial"/>
          <w:color w:val="000000"/>
          <w:lang w:eastAsia="bg-BG"/>
        </w:rPr>
        <w:t>Като цяло наличните данни не дават основание за отхвърляне на употребата на Андрокур при хора, ако се използва съобразно показанията и в препоръчаните дози.</w:t>
      </w:r>
    </w:p>
    <w:p w14:paraId="17E67CE1" w14:textId="77777777" w:rsidR="00A57F87" w:rsidRPr="00A57F87" w:rsidRDefault="00A57F87" w:rsidP="00A57F87">
      <w:pPr>
        <w:rPr>
          <w:rFonts w:eastAsia="Times New Roman" w:cs="Arial"/>
          <w:color w:val="000000"/>
          <w:lang w:eastAsia="bg-BG"/>
        </w:rPr>
      </w:pPr>
    </w:p>
    <w:p w14:paraId="4337B35B" w14:textId="654B6174" w:rsidR="00A57F87" w:rsidRPr="00A57F87" w:rsidRDefault="00A57F87" w:rsidP="00A57F87">
      <w:pPr>
        <w:rPr>
          <w:rFonts w:eastAsia="Times New Roman" w:cs="Arial"/>
          <w:color w:val="000000"/>
          <w:lang w:eastAsia="bg-BG"/>
        </w:rPr>
      </w:pPr>
      <w:r w:rsidRPr="00A57F87">
        <w:rPr>
          <w:rFonts w:eastAsia="Times New Roman" w:cs="Arial"/>
          <w:color w:val="000000"/>
          <w:lang w:eastAsia="bg-BG"/>
        </w:rPr>
        <w:t xml:space="preserve">Експерименталните тестове показват ефект, подобен на този на кортикоидите върху надбъбречните жлези на плъхове и кучета след по-високи дози, което подсказва възможността от подобни ефекти при хора, третирани с максимална доза 300 </w:t>
      </w:r>
      <w:r w:rsidRPr="00A57F87">
        <w:rPr>
          <w:rFonts w:eastAsia="Times New Roman" w:cs="Arial"/>
          <w:color w:val="000000"/>
          <w:lang w:val="en-US"/>
        </w:rPr>
        <w:t>mg</w:t>
      </w:r>
      <w:r w:rsidRPr="00A57F87">
        <w:rPr>
          <w:rFonts w:eastAsia="Times New Roman" w:cs="Arial"/>
          <w:color w:val="000000"/>
          <w:lang w:val="ru-RU"/>
        </w:rPr>
        <w:t xml:space="preserve"> </w:t>
      </w:r>
      <w:r w:rsidRPr="00A57F87">
        <w:rPr>
          <w:rFonts w:eastAsia="Times New Roman" w:cs="Arial"/>
          <w:color w:val="000000"/>
          <w:lang w:eastAsia="bg-BG"/>
        </w:rPr>
        <w:t>дневно.</w:t>
      </w:r>
    </w:p>
    <w:p w14:paraId="69F23508" w14:textId="77777777" w:rsidR="00A57F87" w:rsidRPr="00A57F87" w:rsidRDefault="00A57F87" w:rsidP="00A57F87"/>
    <w:p w14:paraId="6A7820AB" w14:textId="0292FB0D" w:rsidR="008A6AF2" w:rsidRDefault="002C50EE" w:rsidP="00395555">
      <w:pPr>
        <w:pStyle w:val="Heading1"/>
      </w:pPr>
      <w:r>
        <w:t>7. ПРИТЕЖАТЕЛ НА РАЗРЕШЕНИЕТО ЗА УПОТРЕБА</w:t>
      </w:r>
    </w:p>
    <w:p w14:paraId="5BB5DE30" w14:textId="6B19C7AE" w:rsidR="00A57F87" w:rsidRDefault="00A57F87" w:rsidP="00A57F87"/>
    <w:p w14:paraId="1D1B1DCC" w14:textId="77777777" w:rsidR="00A57F87" w:rsidRPr="00A57F87" w:rsidRDefault="00A57F87" w:rsidP="00A57F87">
      <w:pPr>
        <w:rPr>
          <w:sz w:val="24"/>
          <w:szCs w:val="24"/>
          <w:lang w:val="en-US"/>
        </w:rPr>
      </w:pPr>
      <w:r w:rsidRPr="00A57F87">
        <w:rPr>
          <w:lang w:val="en-US"/>
        </w:rPr>
        <w:t>Bayer AG</w:t>
      </w:r>
    </w:p>
    <w:p w14:paraId="3452D135" w14:textId="77777777" w:rsidR="00A57F87" w:rsidRPr="00A57F87" w:rsidRDefault="00A57F87" w:rsidP="00A57F87">
      <w:pPr>
        <w:rPr>
          <w:sz w:val="24"/>
          <w:szCs w:val="24"/>
          <w:lang w:val="en-US"/>
        </w:rPr>
      </w:pPr>
      <w:r w:rsidRPr="00A57F87">
        <w:rPr>
          <w:lang w:val="en-US"/>
        </w:rPr>
        <w:t>Kaiser-Wilhelm-</w:t>
      </w:r>
      <w:proofErr w:type="spellStart"/>
      <w:r w:rsidRPr="00A57F87">
        <w:rPr>
          <w:lang w:val="en-US"/>
        </w:rPr>
        <w:t>Allee</w:t>
      </w:r>
      <w:proofErr w:type="spellEnd"/>
      <w:r w:rsidRPr="00A57F87">
        <w:rPr>
          <w:lang w:val="en-US"/>
        </w:rPr>
        <w:t xml:space="preserve"> </w:t>
      </w:r>
      <w:r w:rsidRPr="00A57F87">
        <w:rPr>
          <w:lang w:eastAsia="bg-BG"/>
        </w:rPr>
        <w:t>1</w:t>
      </w:r>
    </w:p>
    <w:p w14:paraId="570E52CC" w14:textId="6830BDA3" w:rsidR="00A57F87" w:rsidRPr="00A57F87" w:rsidRDefault="00A57F87" w:rsidP="00A57F87">
      <w:r w:rsidRPr="00A57F87">
        <w:rPr>
          <w:lang w:eastAsia="bg-BG"/>
        </w:rPr>
        <w:t xml:space="preserve">51373 </w:t>
      </w:r>
      <w:r w:rsidRPr="00A57F87">
        <w:rPr>
          <w:lang w:val="en-US"/>
        </w:rPr>
        <w:t>Leverkusen</w:t>
      </w:r>
      <w:r w:rsidRPr="00A57F87">
        <w:rPr>
          <w:lang w:val="ru-RU"/>
        </w:rPr>
        <w:t xml:space="preserve">, </w:t>
      </w:r>
      <w:r w:rsidRPr="00A57F87">
        <w:rPr>
          <w:lang w:eastAsia="bg-BG"/>
        </w:rPr>
        <w:t>Германия</w:t>
      </w:r>
    </w:p>
    <w:p w14:paraId="04840D59" w14:textId="30E7F8D2" w:rsidR="002C50EE" w:rsidRDefault="002C50EE" w:rsidP="00395555">
      <w:pPr>
        <w:pStyle w:val="Heading1"/>
      </w:pPr>
      <w:r>
        <w:t>8. НОМЕР НА РАЗРЕШЕНИЕТО ЗА УПОТРЕБА</w:t>
      </w:r>
    </w:p>
    <w:p w14:paraId="4E416BA0" w14:textId="3ECAC313" w:rsidR="00A57F87" w:rsidRDefault="00A57F87" w:rsidP="00A57F87"/>
    <w:p w14:paraId="03AA839A" w14:textId="068EAB8F" w:rsidR="00A57F87" w:rsidRPr="00A57F87" w:rsidRDefault="00A57F87" w:rsidP="00A57F87">
      <w:r>
        <w:t>Регистрационен номер: 20000272</w:t>
      </w:r>
    </w:p>
    <w:p w14:paraId="2CCB5832" w14:textId="2A58436C" w:rsidR="007C605B" w:rsidRDefault="002C50EE" w:rsidP="007C605B">
      <w:pPr>
        <w:pStyle w:val="Heading1"/>
      </w:pPr>
      <w:r>
        <w:t>9. ДАТА НА ПЪРВО РАЗРЕШАВАНЕ/ПОДНОВЯВАНЕ НА РАЗРЕШЕНИЕТО ЗА УПОТРЕБА</w:t>
      </w:r>
    </w:p>
    <w:p w14:paraId="54D4C72F" w14:textId="77777777" w:rsidR="00A57F87" w:rsidRPr="00A57F87" w:rsidRDefault="00A57F87" w:rsidP="00A57F87">
      <w:pPr>
        <w:rPr>
          <w:sz w:val="24"/>
          <w:szCs w:val="24"/>
        </w:rPr>
      </w:pPr>
      <w:r w:rsidRPr="00A57F87">
        <w:rPr>
          <w:lang w:eastAsia="bg-BG"/>
        </w:rPr>
        <w:t>Дата на първо разрешаване: 08 юни 2000 г.</w:t>
      </w:r>
    </w:p>
    <w:p w14:paraId="01EA4A24" w14:textId="77777777" w:rsidR="00A57F87" w:rsidRPr="00A57F87" w:rsidRDefault="00A57F87" w:rsidP="00A57F87">
      <w:pPr>
        <w:rPr>
          <w:sz w:val="24"/>
          <w:szCs w:val="24"/>
        </w:rPr>
      </w:pPr>
      <w:r w:rsidRPr="00A57F87">
        <w:rPr>
          <w:lang w:eastAsia="bg-BG"/>
        </w:rPr>
        <w:t>Дата на последно подновяване: 12 май 2011 г.</w:t>
      </w:r>
    </w:p>
    <w:p w14:paraId="171F6219" w14:textId="77777777" w:rsidR="00A57F87" w:rsidRPr="00A57F87" w:rsidRDefault="00A57F87" w:rsidP="00A57F87"/>
    <w:p w14:paraId="0E9D0119" w14:textId="0245C6D7" w:rsidR="002C50EE" w:rsidRDefault="002C50EE" w:rsidP="002C50EE">
      <w:pPr>
        <w:pStyle w:val="Heading1"/>
      </w:pPr>
      <w:r>
        <w:t>10. ДАТА НА АКТУАЛИЗИРАНЕ НА ТЕКСТА</w:t>
      </w:r>
    </w:p>
    <w:bookmarkEnd w:id="0"/>
    <w:p w14:paraId="43FB38A2" w14:textId="0730EE45" w:rsidR="007C605B" w:rsidRPr="00A57F87" w:rsidRDefault="00A57F87" w:rsidP="00A57F87">
      <w:pPr>
        <w:rPr>
          <w:lang w:val="en-US"/>
        </w:rPr>
      </w:pPr>
      <w:r>
        <w:t>05/2020</w:t>
      </w:r>
      <w:bookmarkStart w:id="2" w:name="_GoBack"/>
      <w:bookmarkEnd w:id="2"/>
    </w:p>
    <w:sectPr w:rsidR="007C605B" w:rsidRPr="00A57F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2A0F36"/>
    <w:multiLevelType w:val="hybridMultilevel"/>
    <w:tmpl w:val="D6E4A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844A24"/>
    <w:multiLevelType w:val="hybridMultilevel"/>
    <w:tmpl w:val="22709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9"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1A2DAF"/>
    <w:multiLevelType w:val="hybridMultilevel"/>
    <w:tmpl w:val="99CA6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8"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3"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F80660"/>
    <w:multiLevelType w:val="hybridMultilevel"/>
    <w:tmpl w:val="6B923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9"/>
  </w:num>
  <w:num w:numId="2">
    <w:abstractNumId w:val="0"/>
  </w:num>
  <w:num w:numId="3">
    <w:abstractNumId w:val="14"/>
  </w:num>
  <w:num w:numId="4">
    <w:abstractNumId w:val="3"/>
  </w:num>
  <w:num w:numId="5">
    <w:abstractNumId w:val="1"/>
  </w:num>
  <w:num w:numId="6">
    <w:abstractNumId w:val="18"/>
  </w:num>
  <w:num w:numId="7">
    <w:abstractNumId w:val="12"/>
  </w:num>
  <w:num w:numId="8">
    <w:abstractNumId w:val="17"/>
  </w:num>
  <w:num w:numId="9">
    <w:abstractNumId w:val="2"/>
  </w:num>
  <w:num w:numId="10">
    <w:abstractNumId w:val="4"/>
  </w:num>
  <w:num w:numId="11">
    <w:abstractNumId w:val="32"/>
  </w:num>
  <w:num w:numId="12">
    <w:abstractNumId w:val="15"/>
  </w:num>
  <w:num w:numId="13">
    <w:abstractNumId w:val="21"/>
  </w:num>
  <w:num w:numId="14">
    <w:abstractNumId w:val="13"/>
  </w:num>
  <w:num w:numId="15">
    <w:abstractNumId w:val="30"/>
  </w:num>
  <w:num w:numId="16">
    <w:abstractNumId w:val="11"/>
  </w:num>
  <w:num w:numId="17">
    <w:abstractNumId w:val="26"/>
  </w:num>
  <w:num w:numId="18">
    <w:abstractNumId w:val="9"/>
  </w:num>
  <w:num w:numId="19">
    <w:abstractNumId w:val="28"/>
  </w:num>
  <w:num w:numId="20">
    <w:abstractNumId w:val="25"/>
  </w:num>
  <w:num w:numId="21">
    <w:abstractNumId w:val="19"/>
  </w:num>
  <w:num w:numId="22">
    <w:abstractNumId w:val="27"/>
  </w:num>
  <w:num w:numId="23">
    <w:abstractNumId w:val="20"/>
  </w:num>
  <w:num w:numId="24">
    <w:abstractNumId w:val="10"/>
  </w:num>
  <w:num w:numId="25">
    <w:abstractNumId w:val="24"/>
  </w:num>
  <w:num w:numId="26">
    <w:abstractNumId w:val="23"/>
  </w:num>
  <w:num w:numId="27">
    <w:abstractNumId w:val="33"/>
  </w:num>
  <w:num w:numId="28">
    <w:abstractNumId w:val="8"/>
  </w:num>
  <w:num w:numId="29">
    <w:abstractNumId w:val="22"/>
  </w:num>
  <w:num w:numId="30">
    <w:abstractNumId w:val="35"/>
  </w:num>
  <w:num w:numId="31">
    <w:abstractNumId w:val="5"/>
  </w:num>
  <w:num w:numId="32">
    <w:abstractNumId w:val="34"/>
  </w:num>
  <w:num w:numId="33">
    <w:abstractNumId w:val="6"/>
  </w:num>
  <w:num w:numId="34">
    <w:abstractNumId w:val="7"/>
  </w:num>
  <w:num w:numId="35">
    <w:abstractNumId w:val="31"/>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07635C"/>
    <w:rsid w:val="00185A46"/>
    <w:rsid w:val="001915B6"/>
    <w:rsid w:val="001D1B23"/>
    <w:rsid w:val="002B3C38"/>
    <w:rsid w:val="002B4DBB"/>
    <w:rsid w:val="002C50EE"/>
    <w:rsid w:val="00340A0A"/>
    <w:rsid w:val="003765DC"/>
    <w:rsid w:val="00395555"/>
    <w:rsid w:val="003E3126"/>
    <w:rsid w:val="00426E5F"/>
    <w:rsid w:val="004D4D6B"/>
    <w:rsid w:val="00517A5B"/>
    <w:rsid w:val="00593A00"/>
    <w:rsid w:val="005A66D9"/>
    <w:rsid w:val="00605BCA"/>
    <w:rsid w:val="006158A1"/>
    <w:rsid w:val="00617B1F"/>
    <w:rsid w:val="00672487"/>
    <w:rsid w:val="00672600"/>
    <w:rsid w:val="00681D4A"/>
    <w:rsid w:val="00685882"/>
    <w:rsid w:val="0075649D"/>
    <w:rsid w:val="007C605B"/>
    <w:rsid w:val="00814073"/>
    <w:rsid w:val="00826F0D"/>
    <w:rsid w:val="008347B7"/>
    <w:rsid w:val="00893B92"/>
    <w:rsid w:val="008A6AF2"/>
    <w:rsid w:val="008C70A2"/>
    <w:rsid w:val="009773E4"/>
    <w:rsid w:val="009B171C"/>
    <w:rsid w:val="009F1313"/>
    <w:rsid w:val="00A20351"/>
    <w:rsid w:val="00A57F87"/>
    <w:rsid w:val="00A65A81"/>
    <w:rsid w:val="00AA23EC"/>
    <w:rsid w:val="00AC63CE"/>
    <w:rsid w:val="00AE2107"/>
    <w:rsid w:val="00B275A8"/>
    <w:rsid w:val="00BF2600"/>
    <w:rsid w:val="00C0049F"/>
    <w:rsid w:val="00C07B84"/>
    <w:rsid w:val="00C33464"/>
    <w:rsid w:val="00C809A7"/>
    <w:rsid w:val="00C83063"/>
    <w:rsid w:val="00C87E90"/>
    <w:rsid w:val="00CA1B57"/>
    <w:rsid w:val="00D142F0"/>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4468</Words>
  <Characters>25471</Characters>
  <Application>Microsoft Office Word</Application>
  <DocSecurity>0</DocSecurity>
  <Lines>212</Lines>
  <Paragraphs>59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2022-02-22T01:12:00Z</dcterms:created>
  <dcterms:modified xsi:type="dcterms:W3CDTF">2022-02-22T01:12:00Z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