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3F0F09FD" w:rsidR="00F53FB7" w:rsidRDefault="00DD466D" w:rsidP="00A93499">
      <w:pPr>
        <w:pStyle w:val="Heading1"/>
      </w:pPr>
      <w:r>
        <w:t>1.ИМЕ НА ЛЕКАРСТВЕНИЯ ПРОДУКТ</w:t>
      </w:r>
    </w:p>
    <w:p w14:paraId="3EFF035B" w14:textId="583088BB" w:rsidR="00474DE0" w:rsidRDefault="00474DE0" w:rsidP="00474DE0"/>
    <w:p w14:paraId="54A0F120" w14:textId="77777777" w:rsidR="00474DE0" w:rsidRPr="00474DE0" w:rsidRDefault="00474DE0" w:rsidP="00474DE0">
      <w:pPr>
        <w:rPr>
          <w:sz w:val="24"/>
          <w:szCs w:val="24"/>
          <w:lang w:eastAsia="bg-BG"/>
        </w:rPr>
      </w:pPr>
      <w:r w:rsidRPr="00474DE0">
        <w:rPr>
          <w:lang w:eastAsia="bg-BG"/>
        </w:rPr>
        <w:t xml:space="preserve">Апири 100 </w:t>
      </w:r>
      <w:r w:rsidRPr="00474DE0">
        <w:rPr>
          <w:lang w:val="en-US"/>
        </w:rPr>
        <w:t xml:space="preserve">mg </w:t>
      </w:r>
      <w:r w:rsidRPr="00474DE0">
        <w:rPr>
          <w:lang w:eastAsia="bg-BG"/>
        </w:rPr>
        <w:t>стомашно-устойчиви таблетки</w:t>
      </w:r>
    </w:p>
    <w:p w14:paraId="58FA637F" w14:textId="3D4F4A4B" w:rsidR="00474DE0" w:rsidRPr="00474DE0" w:rsidRDefault="00474DE0" w:rsidP="00474DE0">
      <w:proofErr w:type="spellStart"/>
      <w:r w:rsidRPr="00474DE0">
        <w:rPr>
          <w:lang w:val="en-US"/>
        </w:rPr>
        <w:t>Apiri</w:t>
      </w:r>
      <w:proofErr w:type="spellEnd"/>
      <w:r w:rsidRPr="00474DE0">
        <w:rPr>
          <w:lang w:val="en-US"/>
        </w:rPr>
        <w:t xml:space="preserve"> </w:t>
      </w:r>
      <w:r w:rsidRPr="00474DE0">
        <w:rPr>
          <w:lang w:eastAsia="bg-BG"/>
        </w:rPr>
        <w:t xml:space="preserve">100 </w:t>
      </w:r>
      <w:r w:rsidRPr="00474DE0">
        <w:rPr>
          <w:lang w:val="en-US"/>
        </w:rPr>
        <w:t>mg gastro-resistant tablets</w:t>
      </w:r>
    </w:p>
    <w:p w14:paraId="0DF202EC" w14:textId="4647491E" w:rsidR="00F53FB7" w:rsidRDefault="00DD466D" w:rsidP="00A93499">
      <w:pPr>
        <w:pStyle w:val="Heading1"/>
      </w:pPr>
      <w:r>
        <w:t>2. КАЧЕСТВЕН И КОЛИЧЕСТВЕН СЪСТАВ</w:t>
      </w:r>
    </w:p>
    <w:p w14:paraId="37CCDD97" w14:textId="495DAD97" w:rsidR="00474DE0" w:rsidRDefault="00474DE0" w:rsidP="00474DE0"/>
    <w:p w14:paraId="29D95B7D" w14:textId="02A7CFB8" w:rsidR="00474DE0" w:rsidRPr="00474DE0" w:rsidRDefault="00474DE0" w:rsidP="00474DE0">
      <w:r>
        <w:t xml:space="preserve">Всяка стомашно-устойчива таблетка съдържа 100 </w:t>
      </w:r>
      <w:r>
        <w:rPr>
          <w:lang w:val="en-US"/>
        </w:rPr>
        <w:t xml:space="preserve">mg </w:t>
      </w:r>
      <w:r>
        <w:t xml:space="preserve">ацетилсалицилова киселина </w:t>
      </w:r>
      <w:r>
        <w:rPr>
          <w:lang w:val="en-US"/>
        </w:rPr>
        <w:t>(acetylsalicylic acid).</w:t>
      </w:r>
    </w:p>
    <w:p w14:paraId="4CABB9ED" w14:textId="5F1D631B" w:rsidR="00F53FB7" w:rsidRDefault="00DD466D" w:rsidP="00A93499">
      <w:pPr>
        <w:pStyle w:val="Heading1"/>
      </w:pPr>
      <w:r>
        <w:t>3. ЛЕКАРСТВЕНА ФОРМА</w:t>
      </w:r>
    </w:p>
    <w:p w14:paraId="056FFAB3" w14:textId="33F14A1E" w:rsidR="00474DE0" w:rsidRDefault="00474DE0" w:rsidP="00474DE0"/>
    <w:p w14:paraId="02D269E2" w14:textId="77777777" w:rsidR="00474DE0" w:rsidRPr="00474DE0" w:rsidRDefault="00474DE0" w:rsidP="00474DE0">
      <w:pPr>
        <w:rPr>
          <w:sz w:val="24"/>
          <w:szCs w:val="24"/>
          <w:lang w:eastAsia="bg-BG"/>
        </w:rPr>
      </w:pPr>
      <w:r w:rsidRPr="00474DE0">
        <w:rPr>
          <w:lang w:eastAsia="bg-BG"/>
        </w:rPr>
        <w:t>Стомашно-устойчива таблетка.</w:t>
      </w:r>
    </w:p>
    <w:p w14:paraId="4AB5375E" w14:textId="664FD1E1" w:rsidR="00474DE0" w:rsidRPr="00474DE0" w:rsidRDefault="00474DE0" w:rsidP="00474DE0">
      <w:pPr>
        <w:rPr>
          <w:sz w:val="24"/>
          <w:szCs w:val="24"/>
          <w:lang w:eastAsia="bg-BG"/>
        </w:rPr>
      </w:pPr>
      <w:r w:rsidRPr="00474DE0">
        <w:rPr>
          <w:lang w:eastAsia="bg-BG"/>
        </w:rPr>
        <w:t>Бели, кръгли, двойно изпъкнали стомашно-устойчиви таблетки.</w:t>
      </w:r>
    </w:p>
    <w:p w14:paraId="490FC2C4" w14:textId="6899DE43" w:rsidR="002C50EE" w:rsidRDefault="002C50EE" w:rsidP="002C50EE">
      <w:pPr>
        <w:pStyle w:val="Heading1"/>
      </w:pPr>
      <w:r>
        <w:t>4. КЛИНИЧНИ ДАННИ</w:t>
      </w:r>
    </w:p>
    <w:p w14:paraId="1AEF7FB6" w14:textId="32BBBFEB" w:rsidR="00A428B7" w:rsidRDefault="002C50EE" w:rsidP="00340E8D">
      <w:pPr>
        <w:pStyle w:val="Heading2"/>
      </w:pPr>
      <w:r>
        <w:t>4.1. Терапевтични показания</w:t>
      </w:r>
    </w:p>
    <w:p w14:paraId="67BE5F14" w14:textId="0D5271C3" w:rsidR="00474DE0" w:rsidRDefault="00474DE0" w:rsidP="00474DE0"/>
    <w:p w14:paraId="745433D2"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Ацетилсалицилова киселина е показана при възрастни за употреба при следните сърдечно</w:t>
      </w:r>
      <w:r w:rsidRPr="00474DE0">
        <w:rPr>
          <w:rFonts w:eastAsia="Times New Roman" w:cs="Arial"/>
          <w:color w:val="000000"/>
          <w:lang w:eastAsia="bg-BG"/>
        </w:rPr>
        <w:softHyphen/>
        <w:t>съдови състояния:</w:t>
      </w:r>
    </w:p>
    <w:p w14:paraId="482619BA"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намаляване на риска от смъртност при пациенти със съмнение за остър миокарден инфаркт;</w:t>
      </w:r>
    </w:p>
    <w:p w14:paraId="7B943B47"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намаляване риска от заболеваемост и смъртност при пациенти с прекаран миокарден инфаркт;</w:t>
      </w:r>
    </w:p>
    <w:p w14:paraId="6B9F6B12"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вторична профилактика на инсулт;</w:t>
      </w:r>
    </w:p>
    <w:p w14:paraId="7B76DB56"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намаляване риска от преходни исхемични атаки (ПИА) и инсулт при пациенти с ПИА;</w:t>
      </w:r>
    </w:p>
    <w:p w14:paraId="08B2724C"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намаляване риска от заболеваемост и смъртност при пациенти със стабилна и нестабилна стенокардия;</w:t>
      </w:r>
    </w:p>
    <w:p w14:paraId="50692A56"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превенция на тромбоемболизъм след съдова хирургия или други интервенции, напр.</w:t>
      </w:r>
      <w:r w:rsidRPr="00474DE0">
        <w:rPr>
          <w:rFonts w:eastAsia="Times New Roman" w:cs="Arial"/>
          <w:color w:val="000000"/>
          <w:lang w:eastAsia="bg-BG"/>
        </w:rPr>
        <w:t xml:space="preserve"> </w:t>
      </w:r>
      <w:r w:rsidRPr="00474DE0">
        <w:rPr>
          <w:rFonts w:eastAsia="Times New Roman" w:cs="Arial"/>
          <w:color w:val="000000"/>
          <w:lang w:eastAsia="bg-BG"/>
        </w:rPr>
        <w:t xml:space="preserve">РТСА, </w:t>
      </w:r>
      <w:r w:rsidRPr="00474DE0">
        <w:rPr>
          <w:rFonts w:eastAsia="Times New Roman" w:cs="Arial"/>
          <w:color w:val="000000"/>
          <w:lang w:val="en-US"/>
        </w:rPr>
        <w:t xml:space="preserve">CABG, </w:t>
      </w:r>
      <w:r w:rsidRPr="00474DE0">
        <w:rPr>
          <w:rFonts w:eastAsia="Times New Roman" w:cs="Arial"/>
          <w:color w:val="000000"/>
          <w:lang w:eastAsia="bg-BG"/>
        </w:rPr>
        <w:t>каротидна ендартеректомия, артериовенозни шънтове;</w:t>
      </w:r>
    </w:p>
    <w:p w14:paraId="2C535B32"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профилактика на дълбока венозна тромбоза и белодробна емболия след продължителна имобилизация, напр. след голяма хирургична интервенция;</w:t>
      </w:r>
    </w:p>
    <w:p w14:paraId="1C71F890" w14:textId="4C31C4AF"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за намаляване на риска от първичен миокарден инфаркт при лица със сърдечно-съдов риск, като захарен диабет, хиперлипидемия, артериална хипертония, затлъстяване, тютюнопушене, напреднала възраст.</w:t>
      </w:r>
    </w:p>
    <w:p w14:paraId="2EE3041B" w14:textId="77777777" w:rsidR="00474DE0" w:rsidRPr="00474DE0" w:rsidRDefault="00474DE0" w:rsidP="00474DE0"/>
    <w:p w14:paraId="4EC58B12" w14:textId="148ECD2A" w:rsidR="00A428B7" w:rsidRDefault="002C50EE" w:rsidP="00340E8D">
      <w:pPr>
        <w:pStyle w:val="Heading2"/>
      </w:pPr>
      <w:r>
        <w:t>4.2. Дозировка и начин на приложение</w:t>
      </w:r>
    </w:p>
    <w:p w14:paraId="45617B8E" w14:textId="47CDD25F" w:rsidR="00474DE0" w:rsidRDefault="00474DE0" w:rsidP="00474DE0"/>
    <w:p w14:paraId="3142CEEF" w14:textId="77777777" w:rsidR="00474DE0" w:rsidRPr="00474DE0" w:rsidRDefault="00474DE0" w:rsidP="00474DE0">
      <w:pPr>
        <w:pStyle w:val="Heading3"/>
        <w:rPr>
          <w:rFonts w:eastAsia="Times New Roman"/>
          <w:sz w:val="28"/>
          <w:szCs w:val="28"/>
          <w:u w:val="single"/>
          <w:lang w:eastAsia="bg-BG"/>
        </w:rPr>
      </w:pPr>
      <w:r w:rsidRPr="00474DE0">
        <w:rPr>
          <w:rFonts w:eastAsia="Times New Roman"/>
          <w:u w:val="single"/>
          <w:lang w:eastAsia="bg-BG"/>
        </w:rPr>
        <w:t>Дозировка</w:t>
      </w:r>
    </w:p>
    <w:p w14:paraId="6A9BBDF7" w14:textId="77777777" w:rsidR="00474DE0" w:rsidRPr="00474DE0" w:rsidRDefault="00474DE0" w:rsidP="00474DE0">
      <w:pPr>
        <w:rPr>
          <w:rFonts w:eastAsia="Times New Roman" w:cs="Arial"/>
          <w:sz w:val="28"/>
          <w:szCs w:val="28"/>
          <w:lang w:eastAsia="bg-BG"/>
        </w:rPr>
      </w:pPr>
      <w:r w:rsidRPr="00474DE0">
        <w:rPr>
          <w:rFonts w:eastAsia="Times New Roman" w:cs="Arial"/>
          <w:color w:val="000000"/>
          <w:lang w:eastAsia="bg-BG"/>
        </w:rPr>
        <w:t xml:space="preserve">Остър миокарден инфаркт: приема се първоначалната доза от 162 до 325 </w:t>
      </w:r>
      <w:r w:rsidRPr="00474DE0">
        <w:rPr>
          <w:rFonts w:eastAsia="Times New Roman" w:cs="Arial"/>
          <w:color w:val="000000"/>
          <w:lang w:val="en-US"/>
        </w:rPr>
        <w:t xml:space="preserve">mg </w:t>
      </w:r>
      <w:r w:rsidRPr="00474DE0">
        <w:rPr>
          <w:rFonts w:eastAsia="Times New Roman" w:cs="Arial"/>
          <w:color w:val="000000"/>
          <w:lang w:eastAsia="bg-BG"/>
        </w:rPr>
        <w:t xml:space="preserve">веднага при подозрение за миокарден инфаркт. Поддържащата доза от 162 </w:t>
      </w:r>
      <w:r w:rsidRPr="00474DE0">
        <w:rPr>
          <w:rFonts w:eastAsia="Times New Roman" w:cs="Arial"/>
          <w:color w:val="000000"/>
          <w:lang w:val="en-US"/>
        </w:rPr>
        <w:t xml:space="preserve">mg </w:t>
      </w:r>
      <w:r w:rsidRPr="00474DE0">
        <w:rPr>
          <w:rFonts w:eastAsia="Times New Roman" w:cs="Arial"/>
          <w:color w:val="000000"/>
          <w:lang w:eastAsia="bg-BG"/>
        </w:rPr>
        <w:t xml:space="preserve">до 325 </w:t>
      </w:r>
      <w:r w:rsidRPr="00474DE0">
        <w:rPr>
          <w:rFonts w:eastAsia="Times New Roman" w:cs="Arial"/>
          <w:color w:val="000000"/>
          <w:lang w:val="en-US"/>
        </w:rPr>
        <w:t xml:space="preserve">mg </w:t>
      </w:r>
      <w:r w:rsidRPr="00474DE0">
        <w:rPr>
          <w:rFonts w:eastAsia="Times New Roman" w:cs="Arial"/>
          <w:color w:val="000000"/>
          <w:lang w:eastAsia="bg-BG"/>
        </w:rPr>
        <w:t>продължава да се</w:t>
      </w:r>
      <w:r w:rsidRPr="00474DE0">
        <w:rPr>
          <w:rFonts w:eastAsia="Times New Roman" w:cs="Arial"/>
          <w:color w:val="000000"/>
          <w:lang w:eastAsia="bg-BG"/>
        </w:rPr>
        <w:t xml:space="preserve"> </w:t>
      </w:r>
      <w:r w:rsidRPr="00474DE0">
        <w:rPr>
          <w:rFonts w:eastAsia="Times New Roman" w:cs="Arial"/>
          <w:color w:val="000000"/>
          <w:lang w:eastAsia="bg-BG"/>
        </w:rPr>
        <w:t xml:space="preserve">приема 30 дни след инфаркта. След 30 дни следва да се обмисли допълнителна </w:t>
      </w:r>
      <w:r w:rsidRPr="00474DE0">
        <w:rPr>
          <w:rFonts w:eastAsia="Times New Roman" w:cs="Arial"/>
          <w:color w:val="000000"/>
          <w:lang w:eastAsia="bg-BG"/>
        </w:rPr>
        <w:lastRenderedPageBreak/>
        <w:t>терапия за превенция на повторен миокарден инфаркт. Първоначалната доза на всички лекарствени форми, включително стомашно-устойчиви таблетки за тази индикация трябва да се смачка или сдъвче и погълне, за да се постигне бърза абсорбция.</w:t>
      </w:r>
    </w:p>
    <w:p w14:paraId="3A1081DC" w14:textId="77777777" w:rsidR="00474DE0" w:rsidRPr="00474DE0" w:rsidRDefault="00474DE0" w:rsidP="00474DE0">
      <w:pPr>
        <w:spacing w:line="240" w:lineRule="auto"/>
        <w:rPr>
          <w:rFonts w:eastAsia="Times New Roman" w:cs="Arial"/>
          <w:color w:val="000000"/>
          <w:lang w:eastAsia="bg-BG"/>
        </w:rPr>
      </w:pPr>
    </w:p>
    <w:p w14:paraId="73D393E7" w14:textId="63D6949F"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Предишен миокарден инфаркт: 81 до 325 </w:t>
      </w:r>
      <w:r w:rsidRPr="00474DE0">
        <w:rPr>
          <w:rFonts w:eastAsia="Times New Roman" w:cs="Arial"/>
          <w:color w:val="000000"/>
          <w:lang w:val="en-US"/>
        </w:rPr>
        <w:t xml:space="preserve">mg </w:t>
      </w:r>
      <w:r w:rsidRPr="00474DE0">
        <w:rPr>
          <w:rFonts w:eastAsia="Times New Roman" w:cs="Arial"/>
          <w:color w:val="000000"/>
          <w:lang w:eastAsia="bg-BG"/>
        </w:rPr>
        <w:t>дневно.</w:t>
      </w:r>
    </w:p>
    <w:p w14:paraId="4E323310" w14:textId="77777777" w:rsidR="00474DE0" w:rsidRPr="00474DE0" w:rsidRDefault="00474DE0" w:rsidP="00474DE0">
      <w:pPr>
        <w:spacing w:line="240" w:lineRule="auto"/>
        <w:rPr>
          <w:rFonts w:eastAsia="Times New Roman" w:cs="Arial"/>
          <w:color w:val="000000"/>
          <w:lang w:eastAsia="bg-BG"/>
        </w:rPr>
      </w:pPr>
    </w:p>
    <w:p w14:paraId="16DE09B2" w14:textId="2652B68E"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Вторична профилактика на инсулт: 81 до 325 </w:t>
      </w:r>
      <w:r w:rsidRPr="00474DE0">
        <w:rPr>
          <w:rFonts w:eastAsia="Times New Roman" w:cs="Arial"/>
          <w:color w:val="000000"/>
          <w:lang w:val="en-US"/>
        </w:rPr>
        <w:t xml:space="preserve">mg </w:t>
      </w:r>
      <w:r w:rsidRPr="00474DE0">
        <w:rPr>
          <w:rFonts w:eastAsia="Times New Roman" w:cs="Arial"/>
          <w:color w:val="000000"/>
          <w:lang w:eastAsia="bg-BG"/>
        </w:rPr>
        <w:t>дневно.</w:t>
      </w:r>
    </w:p>
    <w:p w14:paraId="340C927F" w14:textId="77777777" w:rsidR="00474DE0" w:rsidRPr="00474DE0" w:rsidRDefault="00474DE0" w:rsidP="00474DE0">
      <w:pPr>
        <w:spacing w:line="240" w:lineRule="auto"/>
        <w:rPr>
          <w:rFonts w:eastAsia="Times New Roman" w:cs="Arial"/>
          <w:color w:val="000000"/>
          <w:lang w:eastAsia="bg-BG"/>
        </w:rPr>
      </w:pPr>
    </w:p>
    <w:p w14:paraId="5F26A00B" w14:textId="76DDBF9B"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При пациенти с ПИА: 81 до 325 </w:t>
      </w:r>
      <w:r w:rsidRPr="00474DE0">
        <w:rPr>
          <w:rFonts w:eastAsia="Times New Roman" w:cs="Arial"/>
          <w:color w:val="000000"/>
          <w:lang w:val="en-US"/>
        </w:rPr>
        <w:t xml:space="preserve">mg </w:t>
      </w:r>
      <w:r w:rsidRPr="00474DE0">
        <w:rPr>
          <w:rFonts w:eastAsia="Times New Roman" w:cs="Arial"/>
          <w:color w:val="000000"/>
          <w:lang w:eastAsia="bg-BG"/>
        </w:rPr>
        <w:t>дневно.</w:t>
      </w:r>
    </w:p>
    <w:p w14:paraId="1D84F068" w14:textId="77777777" w:rsidR="00474DE0" w:rsidRPr="00474DE0" w:rsidRDefault="00474DE0" w:rsidP="00474DE0">
      <w:pPr>
        <w:spacing w:line="240" w:lineRule="auto"/>
        <w:rPr>
          <w:rFonts w:eastAsia="Times New Roman" w:cs="Arial"/>
          <w:color w:val="000000"/>
          <w:lang w:eastAsia="bg-BG"/>
        </w:rPr>
      </w:pPr>
    </w:p>
    <w:p w14:paraId="67D6B08B" w14:textId="47A1995A"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При пациенти със стабилна и нестабилна стенокардия: 81 до 325 </w:t>
      </w:r>
      <w:r w:rsidRPr="00474DE0">
        <w:rPr>
          <w:rFonts w:eastAsia="Times New Roman" w:cs="Arial"/>
          <w:color w:val="000000"/>
          <w:lang w:val="en-US"/>
        </w:rPr>
        <w:t xml:space="preserve">mg </w:t>
      </w:r>
      <w:r w:rsidRPr="00474DE0">
        <w:rPr>
          <w:rFonts w:eastAsia="Times New Roman" w:cs="Arial"/>
          <w:color w:val="000000"/>
          <w:lang w:eastAsia="bg-BG"/>
        </w:rPr>
        <w:t>дневно.</w:t>
      </w:r>
    </w:p>
    <w:p w14:paraId="455421CD" w14:textId="77777777" w:rsidR="00474DE0" w:rsidRPr="00474DE0" w:rsidRDefault="00474DE0" w:rsidP="00474DE0">
      <w:pPr>
        <w:spacing w:line="240" w:lineRule="auto"/>
        <w:rPr>
          <w:rFonts w:eastAsia="Times New Roman" w:cs="Arial"/>
          <w:color w:val="000000"/>
          <w:lang w:eastAsia="bg-BG"/>
        </w:rPr>
      </w:pPr>
    </w:p>
    <w:p w14:paraId="323FA993" w14:textId="615CEF45"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Превенция на тромбоемболизъм след съдова хирургия или други интервенции: 81 до 325 </w:t>
      </w:r>
      <w:r w:rsidRPr="00474DE0">
        <w:rPr>
          <w:rFonts w:eastAsia="Times New Roman" w:cs="Arial"/>
          <w:color w:val="000000"/>
          <w:lang w:val="en-US"/>
        </w:rPr>
        <w:t xml:space="preserve">mg </w:t>
      </w:r>
      <w:r w:rsidRPr="00474DE0">
        <w:rPr>
          <w:rFonts w:eastAsia="Times New Roman" w:cs="Arial"/>
          <w:color w:val="000000"/>
          <w:lang w:eastAsia="bg-BG"/>
        </w:rPr>
        <w:t>дневно.</w:t>
      </w:r>
    </w:p>
    <w:p w14:paraId="0D2D8356" w14:textId="77777777" w:rsidR="00474DE0" w:rsidRPr="00474DE0" w:rsidRDefault="00474DE0" w:rsidP="00474DE0">
      <w:pPr>
        <w:spacing w:line="240" w:lineRule="auto"/>
        <w:rPr>
          <w:rFonts w:eastAsia="Times New Roman" w:cs="Arial"/>
          <w:color w:val="000000"/>
          <w:lang w:eastAsia="bg-BG"/>
        </w:rPr>
      </w:pPr>
    </w:p>
    <w:p w14:paraId="4F594784" w14:textId="1007900A"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Профилактика на дълбока венозна тромбоза и белодробна емболия: 81 до 200 </w:t>
      </w:r>
      <w:r w:rsidRPr="00474DE0">
        <w:rPr>
          <w:rFonts w:eastAsia="Times New Roman" w:cs="Arial"/>
          <w:color w:val="000000"/>
          <w:lang w:val="en-US"/>
        </w:rPr>
        <w:t xml:space="preserve">mg </w:t>
      </w:r>
      <w:r w:rsidRPr="00474DE0">
        <w:rPr>
          <w:rFonts w:eastAsia="Times New Roman" w:cs="Arial"/>
          <w:color w:val="000000"/>
          <w:lang w:eastAsia="bg-BG"/>
        </w:rPr>
        <w:t xml:space="preserve">дневно или 300 до 325 </w:t>
      </w:r>
      <w:r w:rsidRPr="00474DE0">
        <w:rPr>
          <w:rFonts w:eastAsia="Times New Roman" w:cs="Arial"/>
          <w:color w:val="000000"/>
          <w:lang w:val="en-US"/>
        </w:rPr>
        <w:t xml:space="preserve">mg </w:t>
      </w:r>
      <w:r w:rsidRPr="00474DE0">
        <w:rPr>
          <w:rFonts w:eastAsia="Times New Roman" w:cs="Arial"/>
          <w:color w:val="000000"/>
          <w:lang w:eastAsia="bg-BG"/>
        </w:rPr>
        <w:t>през ден.</w:t>
      </w:r>
    </w:p>
    <w:p w14:paraId="71136787" w14:textId="77777777" w:rsidR="00474DE0" w:rsidRPr="00474DE0" w:rsidRDefault="00474DE0" w:rsidP="00474DE0">
      <w:pPr>
        <w:spacing w:line="240" w:lineRule="auto"/>
        <w:rPr>
          <w:rFonts w:eastAsia="Times New Roman" w:cs="Arial"/>
          <w:color w:val="000000"/>
          <w:lang w:eastAsia="bg-BG"/>
        </w:rPr>
      </w:pPr>
    </w:p>
    <w:p w14:paraId="2F196800" w14:textId="26143A75"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Намаляване риска от първичен миокарден инфакт: 81 до 100 </w:t>
      </w:r>
      <w:r w:rsidRPr="00474DE0">
        <w:rPr>
          <w:rFonts w:eastAsia="Times New Roman" w:cs="Arial"/>
          <w:color w:val="000000"/>
          <w:lang w:val="en-US"/>
        </w:rPr>
        <w:t xml:space="preserve">mg </w:t>
      </w:r>
      <w:r w:rsidRPr="00474DE0">
        <w:rPr>
          <w:rFonts w:eastAsia="Times New Roman" w:cs="Arial"/>
          <w:color w:val="000000"/>
          <w:lang w:eastAsia="bg-BG"/>
        </w:rPr>
        <w:t xml:space="preserve">дневно или 300 до 325 </w:t>
      </w:r>
      <w:r w:rsidRPr="00474DE0">
        <w:rPr>
          <w:rFonts w:eastAsia="Times New Roman" w:cs="Arial"/>
          <w:color w:val="000000"/>
          <w:lang w:val="en-US"/>
        </w:rPr>
        <w:t xml:space="preserve">mg </w:t>
      </w:r>
      <w:r w:rsidRPr="00474DE0">
        <w:rPr>
          <w:rFonts w:eastAsia="Times New Roman" w:cs="Arial"/>
          <w:color w:val="000000"/>
          <w:lang w:eastAsia="bg-BG"/>
        </w:rPr>
        <w:t>през ден.</w:t>
      </w:r>
    </w:p>
    <w:p w14:paraId="579F22BD" w14:textId="77777777" w:rsidR="00474DE0" w:rsidRPr="00474DE0" w:rsidRDefault="00474DE0" w:rsidP="00474DE0">
      <w:pPr>
        <w:spacing w:line="240" w:lineRule="auto"/>
        <w:rPr>
          <w:rFonts w:eastAsia="Times New Roman" w:cs="Arial"/>
          <w:i/>
          <w:iCs/>
          <w:color w:val="000000"/>
          <w:lang w:eastAsia="bg-BG"/>
        </w:rPr>
      </w:pPr>
    </w:p>
    <w:p w14:paraId="7CB781B1" w14:textId="10779BC2" w:rsidR="00474DE0" w:rsidRPr="00474DE0" w:rsidRDefault="00474DE0" w:rsidP="00474DE0">
      <w:pPr>
        <w:spacing w:line="240" w:lineRule="auto"/>
        <w:rPr>
          <w:rFonts w:eastAsia="Times New Roman" w:cs="Arial"/>
          <w:sz w:val="28"/>
          <w:szCs w:val="28"/>
          <w:lang w:eastAsia="bg-BG"/>
        </w:rPr>
      </w:pPr>
      <w:r w:rsidRPr="00474DE0">
        <w:rPr>
          <w:rFonts w:eastAsia="Times New Roman" w:cs="Arial"/>
          <w:i/>
          <w:iCs/>
          <w:color w:val="000000"/>
          <w:lang w:eastAsia="bg-BG"/>
        </w:rPr>
        <w:t>Педиатрична популация</w:t>
      </w:r>
    </w:p>
    <w:p w14:paraId="3CDC4056" w14:textId="77777777" w:rsidR="00474DE0" w:rsidRPr="00474DE0" w:rsidRDefault="00474DE0" w:rsidP="00474DE0">
      <w:pPr>
        <w:spacing w:line="240" w:lineRule="auto"/>
        <w:rPr>
          <w:rFonts w:eastAsia="Times New Roman" w:cs="Arial"/>
          <w:color w:val="000000"/>
          <w:lang w:eastAsia="bg-BG"/>
        </w:rPr>
      </w:pPr>
    </w:p>
    <w:p w14:paraId="26F75E43" w14:textId="0F048E85"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Безопасността и ефикасността на Ацетилсалицилова киселина при деца на възраст под 18 години не е установена. Липсват данни. Ето защо ацетилсалициловата киселина не се препоръчва за употреба при деца под 18 години.</w:t>
      </w:r>
    </w:p>
    <w:p w14:paraId="66BD61CB" w14:textId="77777777" w:rsidR="00474DE0" w:rsidRPr="00474DE0" w:rsidRDefault="00474DE0" w:rsidP="00474DE0">
      <w:pPr>
        <w:spacing w:line="240" w:lineRule="auto"/>
        <w:rPr>
          <w:rFonts w:eastAsia="Times New Roman" w:cs="Arial"/>
          <w:b/>
          <w:bCs/>
          <w:color w:val="000000"/>
          <w:lang w:eastAsia="bg-BG"/>
        </w:rPr>
      </w:pPr>
      <w:bookmarkStart w:id="1" w:name="bookmark0"/>
    </w:p>
    <w:p w14:paraId="7AE7E6A9" w14:textId="689CE9AC" w:rsidR="00474DE0" w:rsidRPr="00474DE0" w:rsidRDefault="00474DE0" w:rsidP="00474DE0">
      <w:pPr>
        <w:spacing w:line="240" w:lineRule="auto"/>
        <w:rPr>
          <w:rFonts w:eastAsia="Times New Roman" w:cs="Arial"/>
          <w:sz w:val="28"/>
          <w:szCs w:val="28"/>
          <w:lang w:eastAsia="bg-BG"/>
        </w:rPr>
      </w:pPr>
      <w:r w:rsidRPr="00474DE0">
        <w:rPr>
          <w:rFonts w:eastAsia="Times New Roman" w:cs="Arial"/>
          <w:b/>
          <w:bCs/>
          <w:color w:val="000000"/>
          <w:lang w:eastAsia="bg-BG"/>
        </w:rPr>
        <w:t>Пациенти с чернодробно увреждане</w:t>
      </w:r>
      <w:bookmarkEnd w:id="1"/>
    </w:p>
    <w:p w14:paraId="2D88D5AF"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Ацетилсалицилова киселина е противопоказана при пациенти с тежка чернодробна недостатъчност (вж. точка 4.3). Ацетилсалицилова киселина трябва да се използва с особено внимание при пациенти с нарушена чернодробна функия (вж. точка 4,4).</w:t>
      </w:r>
    </w:p>
    <w:p w14:paraId="4510707E" w14:textId="77777777" w:rsidR="00474DE0" w:rsidRPr="00474DE0" w:rsidRDefault="00474DE0" w:rsidP="00474DE0">
      <w:pPr>
        <w:spacing w:line="240" w:lineRule="auto"/>
        <w:rPr>
          <w:rFonts w:eastAsia="Times New Roman" w:cs="Arial"/>
          <w:b/>
          <w:bCs/>
          <w:color w:val="000000"/>
          <w:lang w:eastAsia="bg-BG"/>
        </w:rPr>
      </w:pPr>
      <w:bookmarkStart w:id="2" w:name="bookmark2"/>
    </w:p>
    <w:p w14:paraId="757A70D0" w14:textId="0A5DA1AF" w:rsidR="00474DE0" w:rsidRPr="00474DE0" w:rsidRDefault="00474DE0" w:rsidP="00474DE0">
      <w:pPr>
        <w:spacing w:line="240" w:lineRule="auto"/>
        <w:rPr>
          <w:rFonts w:eastAsia="Times New Roman" w:cs="Arial"/>
          <w:sz w:val="28"/>
          <w:szCs w:val="28"/>
          <w:lang w:eastAsia="bg-BG"/>
        </w:rPr>
      </w:pPr>
      <w:r w:rsidRPr="00474DE0">
        <w:rPr>
          <w:rFonts w:eastAsia="Times New Roman" w:cs="Arial"/>
          <w:b/>
          <w:bCs/>
          <w:color w:val="000000"/>
          <w:lang w:eastAsia="bg-BG"/>
        </w:rPr>
        <w:t>Пациенти с бъбречно увреждане</w:t>
      </w:r>
      <w:bookmarkEnd w:id="2"/>
    </w:p>
    <w:p w14:paraId="7546DE62"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Ацетилсалицилова киселина е противопоказана при пациенти с тежка бъбречна недостатъчност (вж. точка 4.3). Ацетилсалицилова киселина трябва да се използва с особено внимание при пациенти с нарушена бъбречна функция, тъй като ацетилсалициловата киселина може допълнително да увеличи риска от бъбречно увреждане и остра бъбречна недостатъчност (вж. точка 4.4).</w:t>
      </w:r>
    </w:p>
    <w:p w14:paraId="1A5DFCAE" w14:textId="77777777" w:rsidR="00474DE0" w:rsidRPr="00474DE0" w:rsidRDefault="00474DE0" w:rsidP="00474DE0">
      <w:pPr>
        <w:spacing w:line="240" w:lineRule="auto"/>
        <w:rPr>
          <w:rFonts w:eastAsia="Times New Roman" w:cs="Arial"/>
          <w:color w:val="000000"/>
          <w:u w:val="single"/>
          <w:lang w:eastAsia="bg-BG"/>
        </w:rPr>
      </w:pPr>
    </w:p>
    <w:p w14:paraId="3ACE5B80" w14:textId="22B87B46" w:rsidR="00474DE0" w:rsidRPr="00474DE0" w:rsidRDefault="00474DE0" w:rsidP="00474DE0">
      <w:pPr>
        <w:pStyle w:val="Heading3"/>
        <w:rPr>
          <w:rFonts w:eastAsia="Times New Roman"/>
          <w:sz w:val="28"/>
          <w:szCs w:val="28"/>
          <w:u w:val="single"/>
          <w:lang w:eastAsia="bg-BG"/>
        </w:rPr>
      </w:pPr>
      <w:r w:rsidRPr="00474DE0">
        <w:rPr>
          <w:rFonts w:eastAsia="Times New Roman"/>
          <w:u w:val="single"/>
          <w:lang w:eastAsia="bg-BG"/>
        </w:rPr>
        <w:t>Начин на приложение</w:t>
      </w:r>
    </w:p>
    <w:p w14:paraId="199907C2"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Таблетките се приемат преди хранене с голямо количество течност. Стомашно-устойчивите таблетки не трябва да се мачкат, чупят или дъвчат, за да се осигури освобождаване в алкалната среда на червата.</w:t>
      </w:r>
    </w:p>
    <w:p w14:paraId="1ECB512E"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Остър миокарден инфаркт: първоначалната доза трябва да бъде смачкана или сдъвкана и погълната.</w:t>
      </w:r>
    </w:p>
    <w:p w14:paraId="3E0C73E8" w14:textId="77777777" w:rsidR="00474DE0" w:rsidRPr="00474DE0" w:rsidRDefault="00474DE0" w:rsidP="00474DE0"/>
    <w:p w14:paraId="6158ADF5" w14:textId="60967024" w:rsidR="00A428B7" w:rsidRDefault="002C50EE" w:rsidP="00340E8D">
      <w:pPr>
        <w:pStyle w:val="Heading2"/>
      </w:pPr>
      <w:r>
        <w:t>4.3. Противопоказания</w:t>
      </w:r>
    </w:p>
    <w:p w14:paraId="06590F4A" w14:textId="21AC472D" w:rsidR="00474DE0" w:rsidRDefault="00474DE0" w:rsidP="00474DE0"/>
    <w:p w14:paraId="69335326" w14:textId="4CC673BA" w:rsidR="00474DE0" w:rsidRPr="00474DE0" w:rsidRDefault="00474DE0" w:rsidP="00474DE0">
      <w:pPr>
        <w:rPr>
          <w:rFonts w:cs="Arial"/>
        </w:rPr>
      </w:pPr>
      <w:r w:rsidRPr="00474DE0">
        <w:rPr>
          <w:rFonts w:cs="Arial"/>
        </w:rPr>
        <w:t>Ацетилсалициловата киселина не трябва да се използва в следните случаи:</w:t>
      </w:r>
    </w:p>
    <w:p w14:paraId="4C92AD20"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lastRenderedPageBreak/>
        <w:t>свръхчувствителност към активното вещество, други салицилати или към някое от помощните вещества, изброени в точка 6.1;</w:t>
      </w:r>
    </w:p>
    <w:p w14:paraId="6539258E"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анамнеза за бронхиална астма, предизвикана от прием на салицилати или вещества с подобно действие, особено НСПВС;</w:t>
      </w:r>
    </w:p>
    <w:p w14:paraId="3E624180"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активна стомашна и дуоденална язва и/или анамнеза за скорошна гастроинтестинална хеморагия;</w:t>
      </w:r>
    </w:p>
    <w:p w14:paraId="57A35769"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хеморагична диатеза, хемофилия, тромбоцитопения;</w:t>
      </w:r>
    </w:p>
    <w:p w14:paraId="354BC1F4"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тежка бъбречна недостатъчност;</w:t>
      </w:r>
    </w:p>
    <w:p w14:paraId="12881159"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тежка чернодробна недостатъчност;</w:t>
      </w:r>
    </w:p>
    <w:p w14:paraId="39425755"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тежка сърдечна недостатъчност;</w:t>
      </w:r>
    </w:p>
    <w:p w14:paraId="396E852E" w14:textId="7352598C"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 xml:space="preserve">едновременното приложение с метотрексат, прилаган в доза ≥15 </w:t>
      </w:r>
      <w:r w:rsidRPr="00474DE0">
        <w:rPr>
          <w:rFonts w:eastAsia="Times New Roman" w:cs="Arial"/>
          <w:color w:val="000000"/>
          <w:lang w:val="en-US"/>
        </w:rPr>
        <w:t>mg</w:t>
      </w:r>
      <w:r w:rsidRPr="00474DE0">
        <w:rPr>
          <w:rFonts w:eastAsia="Times New Roman" w:cs="Arial"/>
          <w:color w:val="000000"/>
          <w:lang w:eastAsia="bg-BG"/>
        </w:rPr>
        <w:t>/седмично (вижте точка 4.5), последен триместър на бременността (вижте точка 4.6).</w:t>
      </w:r>
    </w:p>
    <w:p w14:paraId="745293D0" w14:textId="77777777" w:rsidR="00474DE0" w:rsidRPr="00474DE0" w:rsidRDefault="00474DE0" w:rsidP="00474DE0"/>
    <w:p w14:paraId="45176B5B" w14:textId="51ED625C" w:rsidR="00A428B7" w:rsidRDefault="002C50EE" w:rsidP="00340E8D">
      <w:pPr>
        <w:pStyle w:val="Heading2"/>
      </w:pPr>
      <w:r>
        <w:t>4.4. Специални предупреждения и предпазни мерки при употреба</w:t>
      </w:r>
    </w:p>
    <w:p w14:paraId="1AE3432F" w14:textId="1B951ACC" w:rsidR="00474DE0" w:rsidRDefault="00474DE0" w:rsidP="00474DE0"/>
    <w:p w14:paraId="161C3034" w14:textId="77777777" w:rsidR="00474DE0" w:rsidRPr="00474DE0" w:rsidRDefault="00474DE0" w:rsidP="00474DE0">
      <w:pPr>
        <w:spacing w:line="240" w:lineRule="auto"/>
        <w:rPr>
          <w:rFonts w:eastAsia="Times New Roman" w:cs="Arial"/>
          <w:color w:val="000000"/>
          <w:lang w:eastAsia="bg-BG"/>
        </w:rPr>
      </w:pPr>
      <w:r w:rsidRPr="00474DE0">
        <w:rPr>
          <w:rFonts w:eastAsia="Times New Roman" w:cs="Arial"/>
          <w:color w:val="000000"/>
          <w:lang w:eastAsia="bg-BG"/>
        </w:rPr>
        <w:t>Ацетилсалициловата киселина трябва да се прилага с особено внимание в следните случаи:</w:t>
      </w:r>
    </w:p>
    <w:p w14:paraId="190ADA80"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свръхчуствителност към аналгетици/противовъзпалителни или антиревматични лекарства и в присъствие на други алергени;</w:t>
      </w:r>
    </w:p>
    <w:p w14:paraId="1D037E4E"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пациенти с анамнеза за стомашно-чревни язви, вкл. хронична или рецидивираща язвена болест, или гастроинтестинални кръвоизливи;</w:t>
      </w:r>
    </w:p>
    <w:p w14:paraId="01E5699B"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едновременно лечение с антикоагуланти (вж. точка 4.5);</w:t>
      </w:r>
    </w:p>
    <w:p w14:paraId="35705847"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при пациенти с нарушена бъбречна функция или пациенти с нарушена сърдечно-съдова циркулация (напр. бъбречно съдово заболяване, застойна сърдечна недостатъчност, хиповолемия, голяма хирургична операция, сепсис или големи хеморагични събития), тъй като ацетилсалициловата киселина може допълнително да увеличи риска от бъбречно увреждане и остра бъбречна недостатъчност;</w:t>
      </w:r>
    </w:p>
    <w:p w14:paraId="5982EE21"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 xml:space="preserve">при пациенти страдащи от тежка глюкозо-6-фосфат дехидрогеназна </w:t>
      </w:r>
      <w:r w:rsidRPr="00474DE0">
        <w:rPr>
          <w:rFonts w:eastAsia="Times New Roman" w:cs="Arial"/>
          <w:color w:val="000000"/>
          <w:lang w:val="en-US"/>
        </w:rPr>
        <w:t xml:space="preserve">(G6PD) </w:t>
      </w:r>
      <w:r w:rsidRPr="00474DE0">
        <w:rPr>
          <w:rFonts w:eastAsia="Times New Roman" w:cs="Arial"/>
          <w:color w:val="000000"/>
          <w:lang w:eastAsia="bg-BG"/>
        </w:rPr>
        <w:t>недостатъчност, ацетилсалициловата киселина може да индуцира хемолиза или хемолитична анемия. Фактори, които могат да увеличат риска от хемолиза са напр. висока дозировка, треска или остри инфекции;</w:t>
      </w:r>
    </w:p>
    <w:p w14:paraId="27D1FF6D"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увредена чернодробна функция;</w:t>
      </w:r>
    </w:p>
    <w:p w14:paraId="7C6FD132"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някои нестероидни противовъзпалителни средства (НСПВС), като ибупрофен и напроксен, може да отслабят инхибиращия ефект на ацетилсалициловата киселина върху тромбоцитната агрегация. Пациентите трябва да бъдат посъветвани да говорят с техния лекар, ако са на лечение с ацетилсалицилова киселина и планират да приемат НСПВС (вж. точка 4.5);</w:t>
      </w:r>
    </w:p>
    <w:p w14:paraId="7CF8CA1C"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ацетилсалициловата киселина може да причини бронхоспазъм и индуцира астматични атаки или други реакции на свръхчувствителност. Рискови фактори са съществуваща бронхиална астма, сенна хрема, назални полипи или хронично белодробно заболяване. Това се отнася също и за пациенти с алергични реакции (напр. кожни реакции, сърбеж, уртикария) към други вещества;</w:t>
      </w:r>
    </w:p>
    <w:p w14:paraId="66ADB9DB" w14:textId="77777777"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поради инхибиторният ефект върху тромбоцитната агрегация, който може да продължи до няколко дни след приложение, ацетилсалициловата киселина може да доведе до повишена тенденция от кръвоизливи по време и след хирургични операции (включително малка хирургия, напр. зъбни екстракции);</w:t>
      </w:r>
    </w:p>
    <w:p w14:paraId="2AFE08E5" w14:textId="56ED3F99" w:rsidR="00474DE0" w:rsidRPr="00474DE0" w:rsidRDefault="00474DE0" w:rsidP="00474DE0">
      <w:pPr>
        <w:pStyle w:val="ListParagraph"/>
        <w:numPr>
          <w:ilvl w:val="0"/>
          <w:numId w:val="40"/>
        </w:numPr>
        <w:spacing w:line="240" w:lineRule="auto"/>
        <w:rPr>
          <w:rFonts w:eastAsia="Times New Roman" w:cs="Arial"/>
          <w:sz w:val="28"/>
          <w:szCs w:val="28"/>
          <w:lang w:eastAsia="bg-BG"/>
        </w:rPr>
      </w:pPr>
      <w:r w:rsidRPr="00474DE0">
        <w:rPr>
          <w:rFonts w:eastAsia="Times New Roman" w:cs="Arial"/>
          <w:color w:val="000000"/>
          <w:lang w:eastAsia="bg-BG"/>
        </w:rPr>
        <w:t>в ниски дози ацетилсалициловата киселина редуцира екскрецията на пикочната киселина Това може да провокира подагра при предразположени пациенти.</w:t>
      </w:r>
    </w:p>
    <w:p w14:paraId="2A3E4D26" w14:textId="77777777" w:rsidR="00474DE0" w:rsidRPr="00474DE0" w:rsidRDefault="00474DE0" w:rsidP="00474DE0">
      <w:pPr>
        <w:spacing w:line="240" w:lineRule="auto"/>
        <w:rPr>
          <w:rFonts w:eastAsia="Times New Roman" w:cs="Arial"/>
          <w:color w:val="000000"/>
          <w:u w:val="single"/>
          <w:lang w:eastAsia="bg-BG"/>
        </w:rPr>
      </w:pPr>
    </w:p>
    <w:p w14:paraId="6EA80910" w14:textId="31BFE844"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u w:val="single"/>
          <w:lang w:eastAsia="bg-BG"/>
        </w:rPr>
        <w:lastRenderedPageBreak/>
        <w:t>Педиатрична популация</w:t>
      </w:r>
    </w:p>
    <w:p w14:paraId="4231CAD8" w14:textId="3322797B" w:rsidR="00474DE0" w:rsidRPr="00474DE0" w:rsidRDefault="00474DE0" w:rsidP="00474DE0">
      <w:pPr>
        <w:rPr>
          <w:rFonts w:eastAsia="Times New Roman" w:cs="Arial"/>
          <w:color w:val="000000"/>
          <w:lang w:eastAsia="bg-BG"/>
        </w:rPr>
      </w:pPr>
      <w:r w:rsidRPr="00474DE0">
        <w:rPr>
          <w:rFonts w:eastAsia="Times New Roman" w:cs="Arial"/>
          <w:color w:val="000000"/>
          <w:lang w:eastAsia="bg-BG"/>
        </w:rPr>
        <w:t>Лекарствени продукти, съдържащи ацетилсалицилова киселина не трябва да се използват при деца и юноши с вирусни инфекции, със или без висока температура, без консултация с лекар.</w:t>
      </w:r>
    </w:p>
    <w:p w14:paraId="4C9B32E2" w14:textId="78FBE1B6" w:rsidR="00474DE0" w:rsidRPr="00474DE0" w:rsidRDefault="00474DE0" w:rsidP="00474DE0">
      <w:pPr>
        <w:rPr>
          <w:rFonts w:eastAsia="Times New Roman" w:cs="Arial"/>
          <w:color w:val="000000"/>
          <w:lang w:eastAsia="bg-BG"/>
        </w:rPr>
      </w:pPr>
    </w:p>
    <w:p w14:paraId="0DF9C3DD"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При определени вирусни заболявания, особено грип тип А и В и варицела, съществува риск за развитие на синдром на </w:t>
      </w:r>
      <w:r w:rsidRPr="00474DE0">
        <w:rPr>
          <w:rFonts w:eastAsia="Times New Roman" w:cs="Arial"/>
          <w:color w:val="000000"/>
          <w:lang w:val="en-US"/>
        </w:rPr>
        <w:t xml:space="preserve">Reye, </w:t>
      </w:r>
      <w:r w:rsidRPr="00474DE0">
        <w:rPr>
          <w:rFonts w:eastAsia="Times New Roman" w:cs="Arial"/>
          <w:color w:val="000000"/>
          <w:lang w:eastAsia="bg-BG"/>
        </w:rPr>
        <w:t xml:space="preserve">много рядко, но възможно животозастрашаващо заболяване, което изисква незабавна медицинска помощ. Рискът може да се увеличи, когато ацетилсалициловата киселина се прилага едновременно, въпреки че не е доказана причинно-следствена връзка. Ако при такива заболявания се появи продължително повръщане, това може да е признак на синдрома на </w:t>
      </w:r>
      <w:r w:rsidRPr="00474DE0">
        <w:rPr>
          <w:rFonts w:eastAsia="Times New Roman" w:cs="Arial"/>
          <w:color w:val="000000"/>
          <w:lang w:val="en-US"/>
        </w:rPr>
        <w:t>Reye.</w:t>
      </w:r>
    </w:p>
    <w:p w14:paraId="4039C7AE" w14:textId="77777777" w:rsidR="00474DE0" w:rsidRPr="00474DE0" w:rsidRDefault="00474DE0" w:rsidP="00474DE0">
      <w:pPr>
        <w:spacing w:line="240" w:lineRule="auto"/>
        <w:rPr>
          <w:rFonts w:eastAsia="Times New Roman" w:cs="Arial"/>
          <w:color w:val="000000"/>
          <w:lang w:eastAsia="bg-BG"/>
        </w:rPr>
      </w:pPr>
    </w:p>
    <w:p w14:paraId="41DBA730" w14:textId="0739673A"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 xml:space="preserve">Това лекарство съдържа по-малко от 1 </w:t>
      </w:r>
      <w:r w:rsidRPr="00474DE0">
        <w:rPr>
          <w:rFonts w:eastAsia="Times New Roman" w:cs="Arial"/>
          <w:color w:val="000000"/>
          <w:lang w:val="en-US"/>
        </w:rPr>
        <w:t xml:space="preserve">mmol </w:t>
      </w:r>
      <w:r w:rsidRPr="00474DE0">
        <w:rPr>
          <w:rFonts w:eastAsia="Times New Roman" w:cs="Arial"/>
          <w:color w:val="000000"/>
          <w:lang w:eastAsia="bg-BG"/>
        </w:rPr>
        <w:t xml:space="preserve">натрий (23 </w:t>
      </w:r>
      <w:r w:rsidRPr="00474DE0">
        <w:rPr>
          <w:rFonts w:eastAsia="Times New Roman" w:cs="Arial"/>
          <w:color w:val="000000"/>
          <w:lang w:val="en-US"/>
        </w:rPr>
        <w:t xml:space="preserve">mg) </w:t>
      </w:r>
      <w:r w:rsidRPr="00474DE0">
        <w:rPr>
          <w:rFonts w:eastAsia="Times New Roman" w:cs="Arial"/>
          <w:color w:val="000000"/>
          <w:lang w:eastAsia="bg-BG"/>
        </w:rPr>
        <w:t>на таблетка, т.е. може да се каже, че практически не съдържа натрий.</w:t>
      </w:r>
    </w:p>
    <w:p w14:paraId="720F0C9C" w14:textId="77777777" w:rsidR="00474DE0" w:rsidRPr="00474DE0" w:rsidRDefault="00474DE0" w:rsidP="00474DE0"/>
    <w:p w14:paraId="3A35B3F5" w14:textId="49F86000"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887BD49" w14:textId="6A7578D3" w:rsidR="00474DE0" w:rsidRDefault="00474DE0" w:rsidP="00474DE0"/>
    <w:p w14:paraId="6E793385"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u w:val="single"/>
          <w:lang w:eastAsia="bg-BG"/>
        </w:rPr>
        <w:t>Противопоказани комбинации:</w:t>
      </w:r>
    </w:p>
    <w:p w14:paraId="72EFEB1B" w14:textId="77777777" w:rsidR="00474DE0" w:rsidRPr="00474DE0" w:rsidRDefault="00474DE0" w:rsidP="00474DE0">
      <w:pPr>
        <w:spacing w:line="240" w:lineRule="auto"/>
        <w:rPr>
          <w:rFonts w:eastAsia="Times New Roman" w:cs="Arial"/>
          <w:i/>
          <w:iCs/>
          <w:color w:val="000000"/>
          <w:lang w:eastAsia="bg-BG"/>
        </w:rPr>
      </w:pPr>
    </w:p>
    <w:p w14:paraId="3ABA57C6" w14:textId="7A9CF856"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 xml:space="preserve">Метотрексат, прилаган в дози ≥ 15 </w:t>
      </w:r>
      <w:r w:rsidRPr="00474DE0">
        <w:rPr>
          <w:rFonts w:eastAsia="Times New Roman" w:cs="Arial"/>
          <w:i/>
          <w:iCs/>
          <w:color w:val="000000"/>
          <w:lang w:val="en-US"/>
        </w:rPr>
        <w:t>mg</w:t>
      </w:r>
      <w:r w:rsidRPr="00474DE0">
        <w:rPr>
          <w:rFonts w:eastAsia="Times New Roman" w:cs="Arial"/>
          <w:i/>
          <w:iCs/>
          <w:color w:val="000000"/>
          <w:lang w:eastAsia="bg-BG"/>
        </w:rPr>
        <w:t>/седмично или повече</w:t>
      </w:r>
    </w:p>
    <w:p w14:paraId="19C6147C"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Противовъзпалителните лекарства понижават бъбречния клирънс на метотрексат, а ацетилсалициловата киселина го измества от местата на свързване с плазмените протеини, което води до повишаване на неговите плазмени концентрации и хемотоксичност (вж. точка 4.3).</w:t>
      </w:r>
    </w:p>
    <w:p w14:paraId="2CFED72A" w14:textId="77777777" w:rsidR="00474DE0" w:rsidRPr="00474DE0" w:rsidRDefault="00474DE0" w:rsidP="00474DE0">
      <w:pPr>
        <w:spacing w:line="240" w:lineRule="auto"/>
        <w:rPr>
          <w:rFonts w:eastAsia="Times New Roman" w:cs="Arial"/>
          <w:color w:val="000000"/>
          <w:u w:val="single"/>
          <w:lang w:eastAsia="bg-BG"/>
        </w:rPr>
      </w:pPr>
    </w:p>
    <w:p w14:paraId="5F0C8C72" w14:textId="791B725A" w:rsidR="00474DE0" w:rsidRPr="00474DE0" w:rsidRDefault="00474DE0" w:rsidP="00474DE0">
      <w:pPr>
        <w:spacing w:line="240" w:lineRule="auto"/>
        <w:rPr>
          <w:rFonts w:eastAsia="Times New Roman" w:cs="Arial"/>
          <w:lang w:eastAsia="bg-BG"/>
        </w:rPr>
      </w:pPr>
      <w:r w:rsidRPr="00474DE0">
        <w:rPr>
          <w:rFonts w:eastAsia="Times New Roman" w:cs="Arial"/>
          <w:color w:val="000000"/>
          <w:u w:val="single"/>
          <w:lang w:eastAsia="bg-BG"/>
        </w:rPr>
        <w:t>Лекарствени комбинации, изискващи повишено внимание</w:t>
      </w:r>
    </w:p>
    <w:p w14:paraId="2849A84B" w14:textId="77777777" w:rsidR="00474DE0" w:rsidRPr="00474DE0" w:rsidRDefault="00474DE0" w:rsidP="00474DE0">
      <w:pPr>
        <w:spacing w:line="240" w:lineRule="auto"/>
        <w:rPr>
          <w:rFonts w:eastAsia="Times New Roman" w:cs="Arial"/>
          <w:i/>
          <w:iCs/>
          <w:color w:val="000000"/>
          <w:lang w:eastAsia="bg-BG"/>
        </w:rPr>
      </w:pPr>
    </w:p>
    <w:p w14:paraId="7F74E27A" w14:textId="47913276"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 xml:space="preserve">Метотрексат, прилаган в дози &lt;15 </w:t>
      </w:r>
      <w:r w:rsidRPr="00474DE0">
        <w:rPr>
          <w:rFonts w:eastAsia="Times New Roman" w:cs="Arial"/>
          <w:i/>
          <w:iCs/>
          <w:color w:val="000000"/>
          <w:lang w:val="en-US"/>
        </w:rPr>
        <w:t xml:space="preserve">mg </w:t>
      </w:r>
      <w:r w:rsidRPr="00474DE0">
        <w:rPr>
          <w:rFonts w:eastAsia="Times New Roman" w:cs="Arial"/>
          <w:i/>
          <w:iCs/>
          <w:color w:val="000000"/>
          <w:lang w:eastAsia="bg-BG"/>
        </w:rPr>
        <w:t>седмично</w:t>
      </w:r>
    </w:p>
    <w:p w14:paraId="42216632"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Противовъзпалителните лекарства понижават бъбречния клирънс на метотрексат, а ацетилсалициловата киселина го измества от местата на свързване с плазмените протеини, в резултат на което се повишават плазмените му концентрации, а рискът от хемотоксичност нараства.</w:t>
      </w:r>
    </w:p>
    <w:p w14:paraId="5E70FF2F" w14:textId="77777777" w:rsidR="00474DE0" w:rsidRPr="00474DE0" w:rsidRDefault="00474DE0" w:rsidP="00474DE0">
      <w:pPr>
        <w:spacing w:line="240" w:lineRule="auto"/>
        <w:rPr>
          <w:rFonts w:eastAsia="Times New Roman" w:cs="Arial"/>
          <w:i/>
          <w:iCs/>
          <w:color w:val="000000"/>
          <w:lang w:eastAsia="bg-BG"/>
        </w:rPr>
      </w:pPr>
    </w:p>
    <w:p w14:paraId="165A5A04" w14:textId="2CCA0D67"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Нестероидни противовъзпалителни средства (НСПВС)</w:t>
      </w:r>
    </w:p>
    <w:p w14:paraId="233C1ABB"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Приложението на някои НСПВС, като ибупрофен и напроксен може да отслаби необратимо тромбоцитното инхибиране, индуцирано от ацетилсалициловата киселина. Клиничното значение на тези взаимодействия не е известно. Лечението с някои НСПВС, като ибупрофен или напроксен, при пациенти с повишен сърдечно-съдов риск, може да ограничи сърдечно-съдовата защита на ацетилсалициловата киселина (вж. точка 4.4).</w:t>
      </w:r>
    </w:p>
    <w:p w14:paraId="3BFD3674" w14:textId="77777777" w:rsidR="00474DE0" w:rsidRPr="00474DE0" w:rsidRDefault="00474DE0" w:rsidP="00474DE0">
      <w:pPr>
        <w:spacing w:line="240" w:lineRule="auto"/>
        <w:rPr>
          <w:rFonts w:eastAsia="Times New Roman" w:cs="Arial"/>
          <w:color w:val="000000"/>
          <w:lang w:eastAsia="bg-BG"/>
        </w:rPr>
      </w:pPr>
    </w:p>
    <w:p w14:paraId="53DA3227" w14:textId="6552FE93"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 xml:space="preserve">Експериментални данни показват, че ибупрофен може да инхибира ефекта на ниски дози ацетилсалицилова киселина върху тромбоцитната агрегация, когато се прилагат едновременно. Поради ограничеността на тези данни и несигурността относно екстраполацията на данните </w:t>
      </w:r>
      <w:r w:rsidRPr="00474DE0">
        <w:rPr>
          <w:rFonts w:eastAsia="Times New Roman" w:cs="Arial"/>
          <w:i/>
          <w:iCs/>
          <w:color w:val="000000"/>
          <w:lang w:eastAsia="bg-BG"/>
        </w:rPr>
        <w:t xml:space="preserve">ех </w:t>
      </w:r>
      <w:r w:rsidRPr="00474DE0">
        <w:rPr>
          <w:rFonts w:eastAsia="Times New Roman" w:cs="Arial"/>
          <w:i/>
          <w:iCs/>
          <w:color w:val="000000"/>
          <w:lang w:val="en-US"/>
        </w:rPr>
        <w:t>vivo</w:t>
      </w:r>
      <w:r w:rsidRPr="00474DE0">
        <w:rPr>
          <w:rFonts w:eastAsia="Times New Roman" w:cs="Arial"/>
          <w:color w:val="000000"/>
          <w:lang w:val="en-US"/>
        </w:rPr>
        <w:t xml:space="preserve"> </w:t>
      </w:r>
      <w:r w:rsidRPr="00474DE0">
        <w:rPr>
          <w:rFonts w:eastAsia="Times New Roman" w:cs="Arial"/>
          <w:color w:val="000000"/>
          <w:lang w:eastAsia="bg-BG"/>
        </w:rPr>
        <w:t>към клиничните ефекти не могат да се направят категорични заключения за редовната употреба на ибупрофен, и няма клинично значим ефект, който да се счита за вероятен при нередовна употреба на ибупрофен (вж. точка 5.1).</w:t>
      </w:r>
    </w:p>
    <w:p w14:paraId="3B31172D" w14:textId="77777777" w:rsidR="00474DE0" w:rsidRPr="00474DE0" w:rsidRDefault="00474DE0" w:rsidP="00474DE0">
      <w:pPr>
        <w:spacing w:line="240" w:lineRule="auto"/>
        <w:rPr>
          <w:rFonts w:eastAsia="Times New Roman" w:cs="Arial"/>
          <w:i/>
          <w:iCs/>
          <w:color w:val="000000"/>
          <w:lang w:eastAsia="bg-BG"/>
        </w:rPr>
      </w:pPr>
    </w:p>
    <w:p w14:paraId="74C2E12D" w14:textId="2FFA94F4"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lastRenderedPageBreak/>
        <w:t>Кумаринови антикоагуланти, хепарин, тромболитици/други инхибитори на тромбоцитната агрегация/хемостаза</w:t>
      </w:r>
    </w:p>
    <w:p w14:paraId="73456179"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Повишен риск от кръвоизливи в резултат на адитивен инхибиторен ефект върху тромбоцитната агрегация и изместване на пероралните антикоагуланти от местата на свързване с плазмените протеини.</w:t>
      </w:r>
    </w:p>
    <w:p w14:paraId="44A91A5C" w14:textId="77777777" w:rsidR="00474DE0" w:rsidRPr="00474DE0" w:rsidRDefault="00474DE0" w:rsidP="00474DE0">
      <w:pPr>
        <w:spacing w:line="240" w:lineRule="auto"/>
        <w:rPr>
          <w:rFonts w:eastAsia="Times New Roman" w:cs="Arial"/>
          <w:i/>
          <w:iCs/>
          <w:color w:val="000000"/>
          <w:lang w:eastAsia="bg-BG"/>
        </w:rPr>
      </w:pPr>
    </w:p>
    <w:p w14:paraId="47B94EFA" w14:textId="7C1ECCF0"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 xml:space="preserve">Други нестероидни противовъзпалителни средства със салицилати във високи дози </w:t>
      </w:r>
      <w:r w:rsidRPr="00474DE0">
        <w:rPr>
          <w:rFonts w:eastAsia="Times New Roman" w:cs="Arial"/>
          <w:color w:val="000000"/>
          <w:lang w:eastAsia="bg-BG"/>
        </w:rPr>
        <w:t>Повишен риск от язви и стомашно-чревно кървене поради синергичния ефект.</w:t>
      </w:r>
    </w:p>
    <w:p w14:paraId="0D161239" w14:textId="77777777" w:rsidR="00474DE0" w:rsidRPr="00474DE0" w:rsidRDefault="00474DE0" w:rsidP="00474DE0">
      <w:pPr>
        <w:spacing w:line="240" w:lineRule="auto"/>
        <w:rPr>
          <w:rFonts w:eastAsia="Times New Roman" w:cs="Arial"/>
          <w:i/>
          <w:iCs/>
          <w:color w:val="000000"/>
          <w:lang w:eastAsia="bg-BG"/>
        </w:rPr>
      </w:pPr>
    </w:p>
    <w:p w14:paraId="2B179594" w14:textId="22C5DF6A" w:rsidR="00474DE0" w:rsidRPr="00474DE0" w:rsidRDefault="00474DE0" w:rsidP="00474DE0">
      <w:pPr>
        <w:spacing w:line="240" w:lineRule="auto"/>
        <w:rPr>
          <w:rFonts w:eastAsia="Times New Roman" w:cs="Arial"/>
          <w:i/>
          <w:iCs/>
          <w:color w:val="000000"/>
          <w:lang w:eastAsia="bg-BG"/>
        </w:rPr>
      </w:pPr>
      <w:r w:rsidRPr="00474DE0">
        <w:rPr>
          <w:rFonts w:eastAsia="Times New Roman" w:cs="Arial"/>
          <w:i/>
          <w:iCs/>
          <w:color w:val="000000"/>
          <w:lang w:eastAsia="bg-BG"/>
        </w:rPr>
        <w:t>Метамизол</w:t>
      </w:r>
    </w:p>
    <w:p w14:paraId="77870F41"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При едновременен прием метамизол може да намали ефекта на ацетилсалициловата киселина върху тромбоцитната агрегация. Следователно, тази комбинация трябва да се използва с повишено внимание при пациенти, приемащи ниска доза аспирин за кардиопротекция.</w:t>
      </w:r>
    </w:p>
    <w:p w14:paraId="377492BE" w14:textId="77777777" w:rsidR="00474DE0" w:rsidRPr="00474DE0" w:rsidRDefault="00474DE0" w:rsidP="00474DE0">
      <w:pPr>
        <w:spacing w:line="240" w:lineRule="auto"/>
        <w:rPr>
          <w:rFonts w:eastAsia="Times New Roman" w:cs="Arial"/>
          <w:i/>
          <w:iCs/>
          <w:color w:val="000000"/>
          <w:lang w:eastAsia="bg-BG"/>
        </w:rPr>
      </w:pPr>
    </w:p>
    <w:p w14:paraId="13612C3F" w14:textId="6F62AC30"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Селективни инхибитори на обратното захващане на серотонина:</w:t>
      </w:r>
    </w:p>
    <w:p w14:paraId="11EB3BA4"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Повишен риск от кървене в горните части на стомашно-чревния тракт поради възможен синергичен ефект.</w:t>
      </w:r>
    </w:p>
    <w:p w14:paraId="214077E5" w14:textId="77777777" w:rsidR="00474DE0" w:rsidRPr="00474DE0" w:rsidRDefault="00474DE0" w:rsidP="00474DE0">
      <w:pPr>
        <w:spacing w:line="240" w:lineRule="auto"/>
        <w:rPr>
          <w:rFonts w:eastAsia="Times New Roman" w:cs="Arial"/>
          <w:i/>
          <w:iCs/>
          <w:color w:val="000000"/>
          <w:lang w:eastAsia="bg-BG"/>
        </w:rPr>
      </w:pPr>
    </w:p>
    <w:p w14:paraId="085BB263" w14:textId="0E2E4CAE"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Дигоксин</w:t>
      </w:r>
    </w:p>
    <w:p w14:paraId="40D72F18"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Повишаване на плазмените нива на дигоксин вследствие намаляване на бъбречната екскреция.</w:t>
      </w:r>
    </w:p>
    <w:p w14:paraId="7365081E" w14:textId="77777777" w:rsidR="00474DE0" w:rsidRPr="00474DE0" w:rsidRDefault="00474DE0" w:rsidP="00474DE0">
      <w:pPr>
        <w:spacing w:line="240" w:lineRule="auto"/>
        <w:rPr>
          <w:rFonts w:eastAsia="Times New Roman" w:cs="Arial"/>
          <w:i/>
          <w:iCs/>
          <w:color w:val="000000"/>
          <w:lang w:eastAsia="bg-BG"/>
        </w:rPr>
      </w:pPr>
    </w:p>
    <w:p w14:paraId="1A368F3A" w14:textId="41444703"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Орални антидиабетни продукти и инсулин</w:t>
      </w:r>
    </w:p>
    <w:p w14:paraId="3A215FF0"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Усилване на хипогликемичния им ефект в резултат на аналогичен ефект от страна на ацетилсалициловата киселина и изместване на сулфанилурейните средства от местата на свързване с плазмените протеини.</w:t>
      </w:r>
    </w:p>
    <w:p w14:paraId="2F67C5E3" w14:textId="77777777" w:rsidR="00474DE0" w:rsidRPr="00474DE0" w:rsidRDefault="00474DE0" w:rsidP="00474DE0">
      <w:pPr>
        <w:spacing w:line="240" w:lineRule="auto"/>
        <w:rPr>
          <w:rFonts w:eastAsia="Times New Roman" w:cs="Arial"/>
          <w:i/>
          <w:iCs/>
          <w:color w:val="000000"/>
          <w:lang w:eastAsia="bg-BG"/>
        </w:rPr>
      </w:pPr>
    </w:p>
    <w:p w14:paraId="2D6A590C" w14:textId="05F5526D"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Диуретици в комбинация с ацетилсалицилова киселина във високи дози</w:t>
      </w:r>
    </w:p>
    <w:p w14:paraId="63E6F98C"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Намалена гломерулна филтрация посредством намалена бъбречна синтеза на простагландини.</w:t>
      </w:r>
    </w:p>
    <w:p w14:paraId="3EF28109" w14:textId="77777777" w:rsidR="00474DE0" w:rsidRPr="00474DE0" w:rsidRDefault="00474DE0" w:rsidP="00474DE0">
      <w:pPr>
        <w:spacing w:line="240" w:lineRule="auto"/>
        <w:rPr>
          <w:rFonts w:eastAsia="Times New Roman" w:cs="Arial"/>
          <w:i/>
          <w:iCs/>
          <w:color w:val="000000"/>
          <w:lang w:eastAsia="bg-BG"/>
        </w:rPr>
      </w:pPr>
    </w:p>
    <w:p w14:paraId="2F00680C" w14:textId="3B1F6856"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Системни глюкокортикоиди (с изключение на случаите, в които се прилагат за заместващо лечение при Адисонова болест)</w:t>
      </w:r>
    </w:p>
    <w:p w14:paraId="3DA45553"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Повишаване клирънса на хронично прилаганата във високи дози ацетилсалицилова киселина. Това може да доведе до понижение на серумните нива на салицилата или да повиши риска от салицилова токсичност при прекратяване приема на кортикостероида.</w:t>
      </w:r>
    </w:p>
    <w:p w14:paraId="5713D9C9" w14:textId="77777777" w:rsidR="00474DE0" w:rsidRPr="00474DE0" w:rsidRDefault="00474DE0" w:rsidP="00474DE0">
      <w:pPr>
        <w:spacing w:line="240" w:lineRule="auto"/>
        <w:rPr>
          <w:rFonts w:eastAsia="Times New Roman" w:cs="Arial"/>
          <w:color w:val="000000"/>
          <w:lang w:eastAsia="bg-BG"/>
        </w:rPr>
      </w:pPr>
    </w:p>
    <w:p w14:paraId="646A1722" w14:textId="03185224"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Ацетилсалициловата киселина трябва да се прилага с особено внимание при едновременна употреба с глюкокортикостероиди при пациентите, страдащи от хипопротромбинемия.</w:t>
      </w:r>
    </w:p>
    <w:p w14:paraId="55066637"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При едновременен прием на системни глюкокортикоиди и ацетилсалицилова киселина се повишава рискът от стомашно-чревни улцерации и хеморагии.</w:t>
      </w:r>
    </w:p>
    <w:p w14:paraId="3F503544" w14:textId="77777777" w:rsidR="00474DE0" w:rsidRPr="00474DE0" w:rsidRDefault="00474DE0" w:rsidP="00474DE0">
      <w:pPr>
        <w:spacing w:line="240" w:lineRule="auto"/>
        <w:rPr>
          <w:rFonts w:eastAsia="Times New Roman" w:cs="Arial"/>
          <w:i/>
          <w:iCs/>
          <w:color w:val="000000"/>
          <w:lang w:eastAsia="bg-BG"/>
        </w:rPr>
      </w:pPr>
    </w:p>
    <w:p w14:paraId="718C3746" w14:textId="784D0F48"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Инхибитори на ангиотензин конвертиращия ензим (АСЕ) в комбинация с ацетилсалицилова киселина във високи дози</w:t>
      </w:r>
    </w:p>
    <w:p w14:paraId="2B317CD4"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Намалена гломерулна филтрация посредством потискане на съдоразширяващи простагландини. Освен това се намалява антихипертензивния ефект.</w:t>
      </w:r>
    </w:p>
    <w:p w14:paraId="4A77F629" w14:textId="77777777" w:rsidR="00474DE0" w:rsidRPr="00474DE0" w:rsidRDefault="00474DE0" w:rsidP="00474DE0">
      <w:pPr>
        <w:spacing w:line="240" w:lineRule="auto"/>
        <w:rPr>
          <w:rFonts w:eastAsia="Times New Roman" w:cs="Arial"/>
          <w:i/>
          <w:iCs/>
          <w:color w:val="000000"/>
          <w:lang w:eastAsia="bg-BG"/>
        </w:rPr>
      </w:pPr>
    </w:p>
    <w:p w14:paraId="248EA95C" w14:textId="2F96E264"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Валпроева киселина</w:t>
      </w:r>
    </w:p>
    <w:p w14:paraId="1003E7D2"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lastRenderedPageBreak/>
        <w:t>Повишена токсичност на валпроева киселина, поради изместването й от местата на свързване с плазмените протеини.</w:t>
      </w:r>
    </w:p>
    <w:p w14:paraId="5765F4E3" w14:textId="77777777" w:rsidR="00474DE0" w:rsidRPr="00474DE0" w:rsidRDefault="00474DE0" w:rsidP="00474DE0">
      <w:pPr>
        <w:spacing w:line="240" w:lineRule="auto"/>
        <w:rPr>
          <w:rFonts w:eastAsia="Times New Roman" w:cs="Arial"/>
          <w:i/>
          <w:iCs/>
          <w:color w:val="000000"/>
          <w:lang w:eastAsia="bg-BG"/>
        </w:rPr>
      </w:pPr>
    </w:p>
    <w:p w14:paraId="00E11C04" w14:textId="772B68F2"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Алкохол</w:t>
      </w:r>
    </w:p>
    <w:p w14:paraId="56FC65D2"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Повишен риск от увреждане на стомашната лигавица и удължаване времето на кървене в резултат на адитивен ефект.</w:t>
      </w:r>
    </w:p>
    <w:p w14:paraId="6306DC31" w14:textId="77777777" w:rsidR="00474DE0" w:rsidRPr="00474DE0" w:rsidRDefault="00474DE0" w:rsidP="00474DE0">
      <w:pPr>
        <w:spacing w:line="240" w:lineRule="auto"/>
        <w:rPr>
          <w:rFonts w:eastAsia="Times New Roman" w:cs="Arial"/>
          <w:i/>
          <w:iCs/>
          <w:color w:val="000000"/>
          <w:lang w:eastAsia="bg-BG"/>
        </w:rPr>
      </w:pPr>
    </w:p>
    <w:p w14:paraId="2BDB151D" w14:textId="7D7094BC" w:rsidR="00474DE0" w:rsidRPr="00474DE0" w:rsidRDefault="00474DE0" w:rsidP="00474DE0">
      <w:pPr>
        <w:spacing w:line="240" w:lineRule="auto"/>
        <w:rPr>
          <w:rFonts w:eastAsia="Times New Roman" w:cs="Arial"/>
          <w:lang w:eastAsia="bg-BG"/>
        </w:rPr>
      </w:pPr>
      <w:r w:rsidRPr="00474DE0">
        <w:rPr>
          <w:rFonts w:eastAsia="Times New Roman" w:cs="Arial"/>
          <w:i/>
          <w:iCs/>
          <w:color w:val="000000"/>
          <w:lang w:eastAsia="bg-BG"/>
        </w:rPr>
        <w:t>Урикозурични средства като бензбромарон, пробенецид</w:t>
      </w:r>
    </w:p>
    <w:p w14:paraId="0EC5C717" w14:textId="77777777" w:rsidR="00474DE0" w:rsidRPr="00474DE0" w:rsidRDefault="00474DE0" w:rsidP="00474DE0">
      <w:pPr>
        <w:spacing w:line="240" w:lineRule="auto"/>
        <w:rPr>
          <w:rFonts w:eastAsia="Times New Roman" w:cs="Arial"/>
          <w:lang w:eastAsia="bg-BG"/>
        </w:rPr>
      </w:pPr>
      <w:r w:rsidRPr="00474DE0">
        <w:rPr>
          <w:rFonts w:eastAsia="Times New Roman" w:cs="Arial"/>
          <w:color w:val="000000"/>
          <w:lang w:eastAsia="bg-BG"/>
        </w:rPr>
        <w:t>Понижен урикозуричен ефект в резултат на конкурентни взаимодействия с пикочната киселина на ниво бъбречна екскреция.</w:t>
      </w:r>
    </w:p>
    <w:p w14:paraId="37A938A7" w14:textId="77777777" w:rsidR="00474DE0" w:rsidRPr="00474DE0" w:rsidRDefault="00474DE0" w:rsidP="00474DE0"/>
    <w:p w14:paraId="6085D4F7" w14:textId="2D87DC64" w:rsidR="00A428B7" w:rsidRDefault="002C50EE" w:rsidP="00340E8D">
      <w:pPr>
        <w:pStyle w:val="Heading2"/>
      </w:pPr>
      <w:r>
        <w:t>4.6. Фертилитет, бременност и кърмене</w:t>
      </w:r>
    </w:p>
    <w:p w14:paraId="501EBCFF" w14:textId="46456637" w:rsidR="00474DE0" w:rsidRDefault="00474DE0" w:rsidP="00474DE0"/>
    <w:p w14:paraId="6F6F352D" w14:textId="622C678C" w:rsidR="00474DE0" w:rsidRPr="00474DE0" w:rsidRDefault="00474DE0" w:rsidP="00474DE0">
      <w:pPr>
        <w:pStyle w:val="Heading3"/>
        <w:rPr>
          <w:u w:val="single"/>
        </w:rPr>
      </w:pPr>
      <w:r w:rsidRPr="00474DE0">
        <w:rPr>
          <w:u w:val="single"/>
        </w:rPr>
        <w:t>Бременност</w:t>
      </w:r>
    </w:p>
    <w:p w14:paraId="4F26A7C4"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Инхибирането на простагландиновата синтеза може да повлияе неблагоприятно на бременността и/или ембрионалното/феталното развитие. Данни от епидемиологични проучвания предполагат увеличен риск от аборт и малформации след употребата на инхибитор на простагландиновата синтеза в ранна бременност. Счита се, че рискът се увеличава с дозата и продължителността на лечение. Наличните данни не подкрепят връзката между приема на ацетилсалицилова киселина и повишен риск от помятане.</w:t>
      </w:r>
    </w:p>
    <w:p w14:paraId="18FEF953" w14:textId="77777777"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За ацетилсалициловата киселина наличните епидемиологични данни относно малформации не са еднозначни, но повишен риск от гастрохизис не може да се изключи. Едно проспективно изпитване с експозиция при ранна бременност (1-ви - 4-ти месец) на около 14 800 двойки майка- дете не установява никаква връзка с повишена честота на малформации.</w:t>
      </w:r>
    </w:p>
    <w:p w14:paraId="6A1ADD1A" w14:textId="77777777" w:rsidR="00474DE0" w:rsidRPr="00474DE0" w:rsidRDefault="00474DE0" w:rsidP="00474DE0">
      <w:pPr>
        <w:spacing w:line="240" w:lineRule="auto"/>
        <w:rPr>
          <w:rFonts w:eastAsia="Times New Roman" w:cs="Arial"/>
          <w:color w:val="000000"/>
          <w:lang w:eastAsia="bg-BG"/>
        </w:rPr>
      </w:pPr>
    </w:p>
    <w:p w14:paraId="08AFA6F1" w14:textId="6FB411C6"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Изпитвания с животни не показват репродуктивна токсичност (вж. точка 5.3).</w:t>
      </w:r>
    </w:p>
    <w:p w14:paraId="76290EC5" w14:textId="77777777" w:rsidR="00474DE0" w:rsidRPr="00474DE0" w:rsidRDefault="00474DE0" w:rsidP="00474DE0">
      <w:pPr>
        <w:spacing w:line="240" w:lineRule="auto"/>
        <w:rPr>
          <w:rFonts w:eastAsia="Times New Roman" w:cs="Arial"/>
          <w:color w:val="000000"/>
          <w:lang w:eastAsia="bg-BG"/>
        </w:rPr>
      </w:pPr>
    </w:p>
    <w:p w14:paraId="55A43175" w14:textId="23A1182C"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Лекарствени продукти, съдържащи ацетилсалицилова киселина не трябва да се използват по време на първо и второ тримесечие на бременността, освен ако не е абсолютно необходимо. Ако лекарствени продукти, съдържащи ацетилсалицилова киселина се използват от жена, опитваща се да забременее, или по време на първо и второ тримесечие на бременността, дозата трябва да е възможно най-ниска и продължителността на лечение да е възможно най-кратка.</w:t>
      </w:r>
    </w:p>
    <w:p w14:paraId="5228D816" w14:textId="77777777" w:rsidR="00474DE0" w:rsidRPr="00474DE0" w:rsidRDefault="00474DE0" w:rsidP="00474DE0">
      <w:pPr>
        <w:spacing w:line="240" w:lineRule="auto"/>
        <w:rPr>
          <w:rFonts w:eastAsia="Times New Roman" w:cs="Arial"/>
          <w:color w:val="000000"/>
          <w:lang w:eastAsia="bg-BG"/>
        </w:rPr>
      </w:pPr>
    </w:p>
    <w:p w14:paraId="170A4167" w14:textId="2028A403"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По време на третото тримесечие всички инхибитори на простагландиновата синтеза може да причинят на фетуса:</w:t>
      </w:r>
    </w:p>
    <w:p w14:paraId="3400E77F" w14:textId="77777777" w:rsidR="00474DE0" w:rsidRPr="00474DE0" w:rsidRDefault="00474DE0" w:rsidP="00474DE0">
      <w:pPr>
        <w:pStyle w:val="ListParagraph"/>
        <w:numPr>
          <w:ilvl w:val="0"/>
          <w:numId w:val="41"/>
        </w:numPr>
        <w:spacing w:line="240" w:lineRule="auto"/>
        <w:rPr>
          <w:rFonts w:eastAsia="Times New Roman" w:cs="Arial"/>
          <w:sz w:val="28"/>
          <w:szCs w:val="28"/>
          <w:lang w:eastAsia="bg-BG"/>
        </w:rPr>
      </w:pPr>
      <w:r w:rsidRPr="00474DE0">
        <w:rPr>
          <w:rFonts w:eastAsia="Times New Roman" w:cs="Arial"/>
          <w:color w:val="000000"/>
          <w:lang w:eastAsia="bg-BG"/>
        </w:rPr>
        <w:t>кардиопулмонална токсичност (с преждевременно затваряне на дуктус артериозус и белодробна хипертония);</w:t>
      </w:r>
    </w:p>
    <w:p w14:paraId="4CB9609E" w14:textId="7932FC2B" w:rsidR="00474DE0" w:rsidRPr="00474DE0" w:rsidRDefault="00474DE0" w:rsidP="00474DE0">
      <w:pPr>
        <w:pStyle w:val="ListParagraph"/>
        <w:numPr>
          <w:ilvl w:val="0"/>
          <w:numId w:val="41"/>
        </w:numPr>
        <w:spacing w:line="240" w:lineRule="auto"/>
        <w:rPr>
          <w:rFonts w:eastAsia="Times New Roman" w:cs="Arial"/>
          <w:sz w:val="28"/>
          <w:szCs w:val="28"/>
          <w:lang w:eastAsia="bg-BG"/>
        </w:rPr>
      </w:pPr>
      <w:r w:rsidRPr="00474DE0">
        <w:rPr>
          <w:rFonts w:eastAsia="Times New Roman" w:cs="Arial"/>
          <w:color w:val="000000"/>
          <w:lang w:eastAsia="bg-BG"/>
        </w:rPr>
        <w:t>бъбречна дисфункция, която може да прогресира до бъбречна недостатъчност с олигохидроамниоза;</w:t>
      </w:r>
    </w:p>
    <w:p w14:paraId="07793B00" w14:textId="77777777" w:rsidR="00474DE0" w:rsidRPr="00474DE0" w:rsidRDefault="00474DE0" w:rsidP="00474DE0">
      <w:pPr>
        <w:spacing w:line="240" w:lineRule="auto"/>
        <w:rPr>
          <w:rFonts w:eastAsia="Times New Roman" w:cs="Arial"/>
          <w:color w:val="000000"/>
          <w:lang w:eastAsia="bg-BG"/>
        </w:rPr>
      </w:pPr>
    </w:p>
    <w:p w14:paraId="7EBC6955" w14:textId="21BDBFF1"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майката и детето, в края на бременността, на:</w:t>
      </w:r>
    </w:p>
    <w:p w14:paraId="193DEF5C" w14:textId="77777777" w:rsidR="00474DE0" w:rsidRPr="00474DE0" w:rsidRDefault="00474DE0" w:rsidP="00474DE0">
      <w:pPr>
        <w:pStyle w:val="ListParagraph"/>
        <w:numPr>
          <w:ilvl w:val="0"/>
          <w:numId w:val="42"/>
        </w:numPr>
        <w:spacing w:line="240" w:lineRule="auto"/>
        <w:rPr>
          <w:rFonts w:eastAsia="Times New Roman" w:cs="Arial"/>
          <w:sz w:val="28"/>
          <w:szCs w:val="28"/>
          <w:lang w:eastAsia="bg-BG"/>
        </w:rPr>
      </w:pPr>
      <w:r w:rsidRPr="00474DE0">
        <w:rPr>
          <w:rFonts w:eastAsia="Times New Roman" w:cs="Arial"/>
          <w:color w:val="000000"/>
          <w:lang w:eastAsia="bg-BG"/>
        </w:rPr>
        <w:t>възможно удължаване на времето за кървене, антикоагулационен ефект, който може да се появи дори след много ниски дози;</w:t>
      </w:r>
    </w:p>
    <w:p w14:paraId="373039DC" w14:textId="0904D3CC" w:rsidR="00474DE0" w:rsidRPr="00474DE0" w:rsidRDefault="00474DE0" w:rsidP="00474DE0">
      <w:pPr>
        <w:pStyle w:val="ListParagraph"/>
        <w:numPr>
          <w:ilvl w:val="0"/>
          <w:numId w:val="42"/>
        </w:numPr>
        <w:spacing w:line="240" w:lineRule="auto"/>
        <w:rPr>
          <w:rFonts w:eastAsia="Times New Roman" w:cs="Arial"/>
          <w:sz w:val="28"/>
          <w:szCs w:val="28"/>
          <w:lang w:eastAsia="bg-BG"/>
        </w:rPr>
      </w:pPr>
      <w:r w:rsidRPr="00474DE0">
        <w:rPr>
          <w:rFonts w:eastAsia="Times New Roman" w:cs="Arial"/>
          <w:color w:val="000000"/>
          <w:lang w:eastAsia="bg-BG"/>
        </w:rPr>
        <w:t>потискане на маточните контракции, което да доведе до забавено и продължително раждане.</w:t>
      </w:r>
    </w:p>
    <w:p w14:paraId="41355A9A" w14:textId="77777777" w:rsidR="00474DE0" w:rsidRPr="00474DE0" w:rsidRDefault="00474DE0" w:rsidP="00474DE0">
      <w:pPr>
        <w:spacing w:line="240" w:lineRule="auto"/>
        <w:rPr>
          <w:rFonts w:eastAsia="Times New Roman" w:cs="Arial"/>
          <w:color w:val="000000"/>
          <w:lang w:eastAsia="bg-BG"/>
        </w:rPr>
      </w:pPr>
    </w:p>
    <w:p w14:paraId="50286D36" w14:textId="78146360"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lastRenderedPageBreak/>
        <w:t>Следователно ацетилсалициловата киселина е противопоказана по време на третото тримесечие на бременността.</w:t>
      </w:r>
    </w:p>
    <w:p w14:paraId="0917AF8E" w14:textId="77777777" w:rsidR="00474DE0" w:rsidRPr="00474DE0" w:rsidRDefault="00474DE0" w:rsidP="00474DE0">
      <w:pPr>
        <w:spacing w:line="240" w:lineRule="auto"/>
        <w:rPr>
          <w:rFonts w:eastAsia="Times New Roman" w:cs="Arial"/>
          <w:color w:val="000000"/>
          <w:u w:val="single"/>
          <w:lang w:eastAsia="bg-BG"/>
        </w:rPr>
      </w:pPr>
    </w:p>
    <w:p w14:paraId="39F2849D" w14:textId="36E1A22F" w:rsidR="00474DE0" w:rsidRPr="00474DE0" w:rsidRDefault="00474DE0" w:rsidP="00474DE0">
      <w:pPr>
        <w:pStyle w:val="Heading3"/>
        <w:rPr>
          <w:rFonts w:eastAsia="Times New Roman"/>
          <w:sz w:val="28"/>
          <w:szCs w:val="28"/>
          <w:u w:val="single"/>
          <w:lang w:eastAsia="bg-BG"/>
        </w:rPr>
      </w:pPr>
      <w:r w:rsidRPr="00474DE0">
        <w:rPr>
          <w:rFonts w:eastAsia="Times New Roman"/>
          <w:u w:val="single"/>
          <w:lang w:eastAsia="bg-BG"/>
        </w:rPr>
        <w:t>Кърмене</w:t>
      </w:r>
    </w:p>
    <w:p w14:paraId="27D64644" w14:textId="30173B2C" w:rsidR="00474DE0" w:rsidRPr="00474DE0" w:rsidRDefault="00474DE0" w:rsidP="00474DE0">
      <w:pPr>
        <w:spacing w:line="240" w:lineRule="auto"/>
        <w:rPr>
          <w:rFonts w:eastAsia="Times New Roman" w:cs="Arial"/>
          <w:sz w:val="28"/>
          <w:szCs w:val="28"/>
          <w:lang w:eastAsia="bg-BG"/>
        </w:rPr>
      </w:pPr>
      <w:r w:rsidRPr="00474DE0">
        <w:rPr>
          <w:rFonts w:eastAsia="Times New Roman" w:cs="Arial"/>
          <w:color w:val="000000"/>
          <w:lang w:eastAsia="bg-BG"/>
        </w:rPr>
        <w:t>Салицилатите и техните метаболити се екскретират в майчиното мляко в малки количества. До момента не са установени нежелани реакции при новородени след случайна употреба, обикновено не е наложително прекъсване на кърменето.</w:t>
      </w:r>
      <w:r w:rsidR="007606F8">
        <w:rPr>
          <w:rFonts w:eastAsia="Times New Roman" w:cs="Arial"/>
          <w:color w:val="000000"/>
          <w:lang w:eastAsia="bg-BG"/>
        </w:rPr>
        <w:t xml:space="preserve"> </w:t>
      </w:r>
      <w:r w:rsidRPr="00474DE0">
        <w:rPr>
          <w:rFonts w:eastAsia="Times New Roman" w:cs="Arial"/>
          <w:color w:val="000000"/>
          <w:lang w:eastAsia="bg-BG"/>
        </w:rPr>
        <w:t>При редовен прием или прием на високи дози е необходимо преустановяване на кърменето.</w:t>
      </w:r>
    </w:p>
    <w:p w14:paraId="5C8D5CEB" w14:textId="77777777" w:rsidR="00474DE0" w:rsidRPr="00474DE0" w:rsidRDefault="00474DE0" w:rsidP="00474DE0"/>
    <w:p w14:paraId="4CE899F3" w14:textId="0645CD1F" w:rsidR="00A428B7" w:rsidRDefault="002C50EE" w:rsidP="00340E8D">
      <w:pPr>
        <w:pStyle w:val="Heading2"/>
      </w:pPr>
      <w:r>
        <w:t>4.7. Ефекти върху способността за шофиране и работа с машини</w:t>
      </w:r>
    </w:p>
    <w:p w14:paraId="3EDAD256" w14:textId="6BC4104C" w:rsidR="007606F8" w:rsidRDefault="007606F8" w:rsidP="007606F8"/>
    <w:p w14:paraId="6C0AD060" w14:textId="77777777" w:rsidR="007606F8" w:rsidRPr="007606F8" w:rsidRDefault="007606F8" w:rsidP="007606F8">
      <w:pPr>
        <w:rPr>
          <w:sz w:val="24"/>
          <w:szCs w:val="24"/>
          <w:lang w:eastAsia="bg-BG"/>
        </w:rPr>
      </w:pPr>
      <w:r w:rsidRPr="007606F8">
        <w:rPr>
          <w:lang w:eastAsia="bg-BG"/>
        </w:rPr>
        <w:t>Ацетилсалициловата киселина не повлиява способността за шофиране и работа с машини.</w:t>
      </w:r>
    </w:p>
    <w:p w14:paraId="4A0D98D4" w14:textId="77777777" w:rsidR="007606F8" w:rsidRPr="007606F8" w:rsidRDefault="007606F8" w:rsidP="007606F8"/>
    <w:p w14:paraId="6D9C6606" w14:textId="06ACDAE8" w:rsidR="00A428B7" w:rsidRDefault="002C50EE" w:rsidP="00340E8D">
      <w:pPr>
        <w:pStyle w:val="Heading2"/>
      </w:pPr>
      <w:r>
        <w:t>4.8. Нежелани лекарствени реакции</w:t>
      </w:r>
    </w:p>
    <w:p w14:paraId="30569A40" w14:textId="056843EC" w:rsidR="007606F8" w:rsidRDefault="007606F8" w:rsidP="007606F8"/>
    <w:p w14:paraId="24EA7AE5"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Нежеланите реакции са групирани на базата система-орган-клас. В рамките на всяка органова система честотата на нежеланите реакции се определя, като: много чести (≥ 1/10), чести (≥1/100до &lt; 1/10), нечести (≥ 1/1000 до &lt; 1/100), редки (≥1/10 000 до &lt; 1/1000), много редки (&lt; 1/10,000) и с</w:t>
      </w:r>
      <w:r w:rsidRPr="007606F8">
        <w:rPr>
          <w:rFonts w:eastAsia="Times New Roman" w:cs="Arial"/>
          <w:color w:val="000000"/>
          <w:vertAlign w:val="subscript"/>
          <w:lang w:eastAsia="bg-BG"/>
        </w:rPr>
        <w:t xml:space="preserve"> </w:t>
      </w:r>
      <w:r w:rsidRPr="007606F8">
        <w:rPr>
          <w:rFonts w:eastAsia="Times New Roman" w:cs="Arial"/>
          <w:color w:val="000000"/>
          <w:lang w:eastAsia="bg-BG"/>
        </w:rPr>
        <w:t>неизвестна честота (не може да се определи от наличните данни).</w:t>
      </w:r>
    </w:p>
    <w:p w14:paraId="0C0270D5" w14:textId="06BA9FEF" w:rsidR="007606F8" w:rsidRDefault="007606F8" w:rsidP="007606F8"/>
    <w:tbl>
      <w:tblPr>
        <w:tblStyle w:val="TableGrid"/>
        <w:tblW w:w="0" w:type="auto"/>
        <w:tblLook w:val="04A0" w:firstRow="1" w:lastRow="0" w:firstColumn="1" w:lastColumn="0" w:noHBand="0" w:noVBand="1"/>
      </w:tblPr>
      <w:tblGrid>
        <w:gridCol w:w="4670"/>
        <w:gridCol w:w="4680"/>
      </w:tblGrid>
      <w:tr w:rsidR="007606F8" w14:paraId="2A657E65" w14:textId="77777777" w:rsidTr="00A4206D">
        <w:tc>
          <w:tcPr>
            <w:tcW w:w="4750" w:type="dxa"/>
          </w:tcPr>
          <w:p w14:paraId="68C7664D" w14:textId="1F0C2993" w:rsidR="007606F8" w:rsidRPr="007606F8" w:rsidRDefault="007606F8" w:rsidP="007606F8">
            <w:r w:rsidRPr="007606F8">
              <w:t>Нарушения на кръвта и лимфната система</w:t>
            </w:r>
          </w:p>
        </w:tc>
        <w:tc>
          <w:tcPr>
            <w:tcW w:w="4750" w:type="dxa"/>
            <w:vAlign w:val="bottom"/>
          </w:tcPr>
          <w:p w14:paraId="30A3B05D" w14:textId="77777777" w:rsidR="007606F8" w:rsidRPr="007606F8" w:rsidRDefault="007606F8" w:rsidP="007606F8">
            <w:r w:rsidRPr="007606F8">
              <w:rPr>
                <w:i/>
                <w:iCs/>
              </w:rPr>
              <w:t>Чести:</w:t>
            </w:r>
          </w:p>
          <w:p w14:paraId="12B1AFF6" w14:textId="77777777" w:rsidR="007606F8" w:rsidRPr="007606F8" w:rsidRDefault="007606F8" w:rsidP="007606F8">
            <w:r w:rsidRPr="007606F8">
              <w:t>Засилена склонност към кървене</w:t>
            </w:r>
          </w:p>
          <w:p w14:paraId="45B8317B" w14:textId="77777777" w:rsidR="007606F8" w:rsidRPr="007606F8" w:rsidRDefault="007606F8" w:rsidP="007606F8">
            <w:r w:rsidRPr="007606F8">
              <w:rPr>
                <w:i/>
                <w:iCs/>
              </w:rPr>
              <w:t>Редки:</w:t>
            </w:r>
          </w:p>
          <w:p w14:paraId="464F0F9A" w14:textId="77777777" w:rsidR="007606F8" w:rsidRPr="007606F8" w:rsidRDefault="007606F8" w:rsidP="007606F8">
            <w:r w:rsidRPr="007606F8">
              <w:t>Тромбоцитопения, гранулоцитоза, апластична анемия</w:t>
            </w:r>
          </w:p>
          <w:p w14:paraId="62167191" w14:textId="77777777" w:rsidR="007606F8" w:rsidRPr="007606F8" w:rsidRDefault="007606F8" w:rsidP="007606F8">
            <w:r w:rsidRPr="007606F8">
              <w:rPr>
                <w:i/>
                <w:iCs/>
              </w:rPr>
              <w:t>С неизвестна честота:</w:t>
            </w:r>
          </w:p>
          <w:p w14:paraId="120FB3BA" w14:textId="77777777" w:rsidR="007606F8" w:rsidRPr="007606F8" w:rsidRDefault="007606F8" w:rsidP="007606F8">
            <w:r w:rsidRPr="007606F8">
              <w:t>Случаи на кървене с удължено време на кървене, като епистаксис, гингивално кървене. Симптомите могат да персистират за един период от 4-8 дни след прекратяване приема на ацетилсалицилова киселина. В резултат може да се наблюдава повишен риск от кървене при хирургични процедури.</w:t>
            </w:r>
          </w:p>
          <w:p w14:paraId="44AC8B36" w14:textId="7F6E9732" w:rsidR="007606F8" w:rsidRPr="007606F8" w:rsidRDefault="007606F8" w:rsidP="007606F8">
            <w:r w:rsidRPr="007606F8">
              <w:t>Съществуващо (хематемеза, мелена) или окултно гастроинтестинално кървене, което може да доведе до желязодефицитна анемия (по-често при по-високи дози).</w:t>
            </w:r>
          </w:p>
        </w:tc>
      </w:tr>
      <w:tr w:rsidR="007606F8" w14:paraId="7BE51B99" w14:textId="77777777" w:rsidTr="00A4206D">
        <w:tc>
          <w:tcPr>
            <w:tcW w:w="4750" w:type="dxa"/>
          </w:tcPr>
          <w:p w14:paraId="12AEB220" w14:textId="50AB54F2" w:rsidR="007606F8" w:rsidRPr="007606F8" w:rsidRDefault="007606F8" w:rsidP="007606F8">
            <w:r w:rsidRPr="007606F8">
              <w:t>Нарушения на имунната система</w:t>
            </w:r>
          </w:p>
        </w:tc>
        <w:tc>
          <w:tcPr>
            <w:tcW w:w="4750" w:type="dxa"/>
            <w:vAlign w:val="bottom"/>
          </w:tcPr>
          <w:p w14:paraId="57E6A473" w14:textId="77777777" w:rsidR="007606F8" w:rsidRPr="007606F8" w:rsidRDefault="007606F8" w:rsidP="007606F8">
            <w:r w:rsidRPr="007606F8">
              <w:rPr>
                <w:i/>
                <w:iCs/>
              </w:rPr>
              <w:t>Редки:</w:t>
            </w:r>
          </w:p>
          <w:p w14:paraId="52F42966" w14:textId="463FB621" w:rsidR="007606F8" w:rsidRPr="007606F8" w:rsidRDefault="007606F8" w:rsidP="007606F8">
            <w:r w:rsidRPr="007606F8">
              <w:t>Реакции на свръхчувствителност, ангиоедем, алергичен оток, анафилактични реакции, включително шок.</w:t>
            </w:r>
          </w:p>
        </w:tc>
      </w:tr>
      <w:tr w:rsidR="007606F8" w14:paraId="50F99045" w14:textId="77777777" w:rsidTr="00A4206D">
        <w:tc>
          <w:tcPr>
            <w:tcW w:w="4750" w:type="dxa"/>
            <w:vAlign w:val="bottom"/>
          </w:tcPr>
          <w:p w14:paraId="1F60ABDA" w14:textId="153AEE7A" w:rsidR="007606F8" w:rsidRPr="007606F8" w:rsidRDefault="007606F8" w:rsidP="007606F8">
            <w:r w:rsidRPr="007606F8">
              <w:t>Метаболизъм и нарушения на храносмилателната система</w:t>
            </w:r>
          </w:p>
        </w:tc>
        <w:tc>
          <w:tcPr>
            <w:tcW w:w="4750" w:type="dxa"/>
            <w:vAlign w:val="bottom"/>
          </w:tcPr>
          <w:p w14:paraId="10DB73AC" w14:textId="77777777" w:rsidR="007606F8" w:rsidRPr="007606F8" w:rsidRDefault="007606F8" w:rsidP="007606F8">
            <w:r w:rsidRPr="007606F8">
              <w:rPr>
                <w:i/>
                <w:iCs/>
              </w:rPr>
              <w:t>С неизвестна честота:</w:t>
            </w:r>
          </w:p>
          <w:p w14:paraId="5AAD99FE" w14:textId="4DF14D8C" w:rsidR="007606F8" w:rsidRPr="007606F8" w:rsidRDefault="007606F8" w:rsidP="007606F8">
            <w:r w:rsidRPr="007606F8">
              <w:t>Хиперурикемия</w:t>
            </w:r>
          </w:p>
        </w:tc>
      </w:tr>
      <w:tr w:rsidR="007606F8" w14:paraId="6A861D99" w14:textId="77777777" w:rsidTr="00A4206D">
        <w:tc>
          <w:tcPr>
            <w:tcW w:w="4750" w:type="dxa"/>
          </w:tcPr>
          <w:p w14:paraId="11208F98" w14:textId="3D38D950" w:rsidR="007606F8" w:rsidRPr="007606F8" w:rsidRDefault="007606F8" w:rsidP="007606F8">
            <w:r w:rsidRPr="007606F8">
              <w:t>Нарушения на нервната система</w:t>
            </w:r>
          </w:p>
        </w:tc>
        <w:tc>
          <w:tcPr>
            <w:tcW w:w="4750" w:type="dxa"/>
            <w:vAlign w:val="bottom"/>
          </w:tcPr>
          <w:p w14:paraId="48F5A9A7" w14:textId="77777777" w:rsidR="007606F8" w:rsidRPr="007606F8" w:rsidRDefault="007606F8" w:rsidP="007606F8">
            <w:r w:rsidRPr="007606F8">
              <w:rPr>
                <w:i/>
                <w:iCs/>
              </w:rPr>
              <w:t>Редки:</w:t>
            </w:r>
          </w:p>
          <w:p w14:paraId="137A5279" w14:textId="77777777" w:rsidR="007606F8" w:rsidRPr="007606F8" w:rsidRDefault="007606F8" w:rsidP="007606F8">
            <w:r w:rsidRPr="007606F8">
              <w:lastRenderedPageBreak/>
              <w:t>Вътречерепен кръвоизлив</w:t>
            </w:r>
          </w:p>
          <w:p w14:paraId="29317C9B" w14:textId="56BAA786" w:rsidR="007606F8" w:rsidRPr="007606F8" w:rsidRDefault="007606F8" w:rsidP="007606F8">
            <w:r w:rsidRPr="007606F8">
              <w:rPr>
                <w:i/>
                <w:iCs/>
              </w:rPr>
              <w:t xml:space="preserve">С неизвестна честота: </w:t>
            </w:r>
            <w:r w:rsidRPr="007606F8">
              <w:t>Главоболие, световъртеж</w:t>
            </w:r>
          </w:p>
        </w:tc>
      </w:tr>
      <w:tr w:rsidR="007606F8" w14:paraId="0B18E574" w14:textId="77777777" w:rsidTr="00A4206D">
        <w:tc>
          <w:tcPr>
            <w:tcW w:w="4750" w:type="dxa"/>
          </w:tcPr>
          <w:p w14:paraId="362A67E0" w14:textId="51B9A907" w:rsidR="007606F8" w:rsidRPr="007606F8" w:rsidRDefault="007606F8" w:rsidP="007606F8">
            <w:r w:rsidRPr="007606F8">
              <w:lastRenderedPageBreak/>
              <w:t>Нарушения на ухото и лабиринта</w:t>
            </w:r>
          </w:p>
        </w:tc>
        <w:tc>
          <w:tcPr>
            <w:tcW w:w="4750" w:type="dxa"/>
            <w:vAlign w:val="bottom"/>
          </w:tcPr>
          <w:p w14:paraId="13DFC86E" w14:textId="5A965A37" w:rsidR="007606F8" w:rsidRPr="007606F8" w:rsidRDefault="007606F8" w:rsidP="007606F8">
            <w:r w:rsidRPr="007606F8">
              <w:rPr>
                <w:i/>
                <w:iCs/>
              </w:rPr>
              <w:t xml:space="preserve">С неизвестна честота: </w:t>
            </w:r>
            <w:r w:rsidRPr="007606F8">
              <w:t>Намален слух; тинитус</w:t>
            </w:r>
          </w:p>
        </w:tc>
      </w:tr>
      <w:tr w:rsidR="007606F8" w14:paraId="300786B5" w14:textId="77777777" w:rsidTr="00A4206D">
        <w:tc>
          <w:tcPr>
            <w:tcW w:w="4750" w:type="dxa"/>
          </w:tcPr>
          <w:p w14:paraId="55273D2D" w14:textId="550FE6AA" w:rsidR="007606F8" w:rsidRPr="007606F8" w:rsidRDefault="007606F8" w:rsidP="007606F8">
            <w:r w:rsidRPr="007606F8">
              <w:t>Съдови нарушения</w:t>
            </w:r>
          </w:p>
        </w:tc>
        <w:tc>
          <w:tcPr>
            <w:tcW w:w="4750" w:type="dxa"/>
            <w:vAlign w:val="bottom"/>
          </w:tcPr>
          <w:p w14:paraId="5E10FD2B" w14:textId="77777777" w:rsidR="007606F8" w:rsidRPr="007606F8" w:rsidRDefault="007606F8" w:rsidP="007606F8">
            <w:r w:rsidRPr="007606F8">
              <w:rPr>
                <w:i/>
                <w:iCs/>
              </w:rPr>
              <w:t>Редки:</w:t>
            </w:r>
          </w:p>
          <w:p w14:paraId="5D62BD5D" w14:textId="4CCD4CA9" w:rsidR="007606F8" w:rsidRPr="007606F8" w:rsidRDefault="007606F8" w:rsidP="007606F8">
            <w:r w:rsidRPr="007606F8">
              <w:t>Хеморагичен васкулит</w:t>
            </w:r>
          </w:p>
        </w:tc>
      </w:tr>
      <w:tr w:rsidR="007606F8" w14:paraId="05A36F12" w14:textId="77777777" w:rsidTr="00A4206D">
        <w:tc>
          <w:tcPr>
            <w:tcW w:w="4750" w:type="dxa"/>
          </w:tcPr>
          <w:p w14:paraId="2BC79324" w14:textId="7B02DAC3" w:rsidR="007606F8" w:rsidRPr="007606F8" w:rsidRDefault="007606F8" w:rsidP="007606F8">
            <w:r w:rsidRPr="007606F8">
              <w:t>Респираторни, торакални и медиастинални нарушения</w:t>
            </w:r>
          </w:p>
        </w:tc>
        <w:tc>
          <w:tcPr>
            <w:tcW w:w="4750" w:type="dxa"/>
            <w:vAlign w:val="bottom"/>
          </w:tcPr>
          <w:p w14:paraId="378F7635" w14:textId="77777777" w:rsidR="007606F8" w:rsidRPr="007606F8" w:rsidRDefault="007606F8" w:rsidP="007606F8">
            <w:r w:rsidRPr="007606F8">
              <w:rPr>
                <w:i/>
                <w:iCs/>
              </w:rPr>
              <w:t>Нечести:</w:t>
            </w:r>
          </w:p>
          <w:p w14:paraId="15B6A367" w14:textId="77777777" w:rsidR="007606F8" w:rsidRPr="007606F8" w:rsidRDefault="007606F8" w:rsidP="007606F8">
            <w:r w:rsidRPr="007606F8">
              <w:t>Ринит, диспнея</w:t>
            </w:r>
          </w:p>
          <w:p w14:paraId="1AA75939" w14:textId="77777777" w:rsidR="007606F8" w:rsidRPr="007606F8" w:rsidRDefault="007606F8" w:rsidP="007606F8">
            <w:r w:rsidRPr="007606F8">
              <w:rPr>
                <w:i/>
                <w:iCs/>
              </w:rPr>
              <w:t>Редки:</w:t>
            </w:r>
          </w:p>
          <w:p w14:paraId="22648733" w14:textId="21169908" w:rsidR="007606F8" w:rsidRPr="007606F8" w:rsidRDefault="007606F8" w:rsidP="007606F8">
            <w:r w:rsidRPr="007606F8">
              <w:t>Бронхоспазъм, пристъпи на астма</w:t>
            </w:r>
          </w:p>
        </w:tc>
      </w:tr>
      <w:tr w:rsidR="007606F8" w14:paraId="50886344" w14:textId="77777777" w:rsidTr="00A4206D">
        <w:tc>
          <w:tcPr>
            <w:tcW w:w="4750" w:type="dxa"/>
            <w:vAlign w:val="bottom"/>
          </w:tcPr>
          <w:p w14:paraId="69E8BA36" w14:textId="7AF979A8" w:rsidR="007606F8" w:rsidRPr="007606F8" w:rsidRDefault="007606F8" w:rsidP="007606F8">
            <w:r w:rsidRPr="007606F8">
              <w:t>Нарушения на репродуктивната система и млечната жлеза</w:t>
            </w:r>
          </w:p>
        </w:tc>
        <w:tc>
          <w:tcPr>
            <w:tcW w:w="4750" w:type="dxa"/>
            <w:vAlign w:val="bottom"/>
          </w:tcPr>
          <w:p w14:paraId="4FBD133F" w14:textId="77777777" w:rsidR="007606F8" w:rsidRPr="007606F8" w:rsidRDefault="007606F8" w:rsidP="007606F8">
            <w:r w:rsidRPr="007606F8">
              <w:rPr>
                <w:i/>
                <w:iCs/>
              </w:rPr>
              <w:t>Редки:</w:t>
            </w:r>
          </w:p>
          <w:p w14:paraId="203C9E0F" w14:textId="23984369" w:rsidR="007606F8" w:rsidRPr="007606F8" w:rsidRDefault="007606F8" w:rsidP="007606F8">
            <w:r w:rsidRPr="007606F8">
              <w:t>Менорагия</w:t>
            </w:r>
          </w:p>
        </w:tc>
      </w:tr>
      <w:tr w:rsidR="007606F8" w14:paraId="1CCA5C37" w14:textId="77777777" w:rsidTr="00A4206D">
        <w:tc>
          <w:tcPr>
            <w:tcW w:w="4750" w:type="dxa"/>
          </w:tcPr>
          <w:p w14:paraId="1B54FBED" w14:textId="235EDFB9" w:rsidR="007606F8" w:rsidRPr="007606F8" w:rsidRDefault="007606F8" w:rsidP="007606F8">
            <w:r w:rsidRPr="007606F8">
              <w:t>Нарушения на стомашно- чревния тракт</w:t>
            </w:r>
          </w:p>
        </w:tc>
        <w:tc>
          <w:tcPr>
            <w:tcW w:w="4750" w:type="dxa"/>
            <w:vAlign w:val="bottom"/>
          </w:tcPr>
          <w:p w14:paraId="09B9881D" w14:textId="77777777" w:rsidR="007606F8" w:rsidRPr="007606F8" w:rsidRDefault="007606F8" w:rsidP="007606F8">
            <w:r w:rsidRPr="007606F8">
              <w:rPr>
                <w:i/>
                <w:iCs/>
              </w:rPr>
              <w:t>Чести:</w:t>
            </w:r>
          </w:p>
          <w:p w14:paraId="2DA77416" w14:textId="77777777" w:rsidR="007606F8" w:rsidRPr="007606F8" w:rsidRDefault="007606F8" w:rsidP="007606F8">
            <w:r w:rsidRPr="007606F8">
              <w:t>Диспепсия</w:t>
            </w:r>
          </w:p>
          <w:p w14:paraId="0C1D48A3" w14:textId="77777777" w:rsidR="007606F8" w:rsidRPr="007606F8" w:rsidRDefault="007606F8" w:rsidP="007606F8">
            <w:r w:rsidRPr="007606F8">
              <w:rPr>
                <w:i/>
                <w:iCs/>
              </w:rPr>
              <w:t>Редки:</w:t>
            </w:r>
          </w:p>
          <w:p w14:paraId="5A78441E" w14:textId="77777777" w:rsidR="007606F8" w:rsidRPr="007606F8" w:rsidRDefault="007606F8" w:rsidP="007606F8">
            <w:r w:rsidRPr="007606F8">
              <w:t>Тежък гастроинтестинален кръвоизлив, гадене, повръщане</w:t>
            </w:r>
          </w:p>
          <w:p w14:paraId="52DA27DC" w14:textId="77777777" w:rsidR="007606F8" w:rsidRPr="007606F8" w:rsidRDefault="007606F8" w:rsidP="007606F8">
            <w:r w:rsidRPr="007606F8">
              <w:rPr>
                <w:i/>
                <w:iCs/>
              </w:rPr>
              <w:t>С неизвестна честота:</w:t>
            </w:r>
          </w:p>
          <w:p w14:paraId="26516CDF" w14:textId="16381185" w:rsidR="007606F8" w:rsidRPr="007606F8" w:rsidRDefault="007606F8" w:rsidP="007606F8">
            <w:r w:rsidRPr="007606F8">
              <w:t>Язва на стомаха или дванадесетопръстника и перфорация</w:t>
            </w:r>
          </w:p>
        </w:tc>
      </w:tr>
      <w:tr w:rsidR="007606F8" w14:paraId="39B4DCB5" w14:textId="77777777" w:rsidTr="00A4206D">
        <w:tc>
          <w:tcPr>
            <w:tcW w:w="4750" w:type="dxa"/>
          </w:tcPr>
          <w:p w14:paraId="1A405C1C" w14:textId="0004D2B1" w:rsidR="007606F8" w:rsidRPr="007606F8" w:rsidRDefault="007606F8" w:rsidP="007606F8">
            <w:r w:rsidRPr="007606F8">
              <w:t>Хепатобилиарни нарушения</w:t>
            </w:r>
          </w:p>
        </w:tc>
        <w:tc>
          <w:tcPr>
            <w:tcW w:w="4750" w:type="dxa"/>
            <w:vAlign w:val="bottom"/>
          </w:tcPr>
          <w:p w14:paraId="321A6581" w14:textId="54138CB1" w:rsidR="007606F8" w:rsidRPr="007606F8" w:rsidRDefault="007606F8" w:rsidP="007606F8">
            <w:r w:rsidRPr="007606F8">
              <w:rPr>
                <w:i/>
                <w:iCs/>
              </w:rPr>
              <w:t xml:space="preserve">С неизвестна честота: </w:t>
            </w:r>
            <w:r w:rsidRPr="007606F8">
              <w:t>Чернодробна недостатъчност</w:t>
            </w:r>
          </w:p>
        </w:tc>
      </w:tr>
      <w:tr w:rsidR="007606F8" w14:paraId="12E9B202" w14:textId="77777777" w:rsidTr="00A4206D">
        <w:tc>
          <w:tcPr>
            <w:tcW w:w="4750" w:type="dxa"/>
          </w:tcPr>
          <w:p w14:paraId="6A83D33C" w14:textId="0D094B94" w:rsidR="007606F8" w:rsidRPr="007606F8" w:rsidRDefault="007606F8" w:rsidP="007606F8">
            <w:r w:rsidRPr="007606F8">
              <w:t>Нарушения на кожата и подкожната тъкан</w:t>
            </w:r>
          </w:p>
        </w:tc>
        <w:tc>
          <w:tcPr>
            <w:tcW w:w="4750" w:type="dxa"/>
            <w:vAlign w:val="bottom"/>
          </w:tcPr>
          <w:p w14:paraId="38A535F9" w14:textId="77777777" w:rsidR="007606F8" w:rsidRPr="007606F8" w:rsidRDefault="007606F8" w:rsidP="007606F8">
            <w:r w:rsidRPr="007606F8">
              <w:rPr>
                <w:i/>
                <w:iCs/>
              </w:rPr>
              <w:t>Нечести:</w:t>
            </w:r>
          </w:p>
          <w:p w14:paraId="351456B1" w14:textId="77777777" w:rsidR="007606F8" w:rsidRPr="007606F8" w:rsidRDefault="007606F8" w:rsidP="007606F8">
            <w:r w:rsidRPr="007606F8">
              <w:t>Уртикария</w:t>
            </w:r>
          </w:p>
          <w:p w14:paraId="684E97D8" w14:textId="77777777" w:rsidR="007606F8" w:rsidRPr="007606F8" w:rsidRDefault="007606F8" w:rsidP="007606F8">
            <w:r w:rsidRPr="007606F8">
              <w:rPr>
                <w:i/>
                <w:iCs/>
              </w:rPr>
              <w:t>Редки:</w:t>
            </w:r>
          </w:p>
          <w:p w14:paraId="5E4B8993" w14:textId="2A24279D" w:rsidR="007606F8" w:rsidRPr="007606F8" w:rsidRDefault="007606F8" w:rsidP="007606F8">
            <w:r w:rsidRPr="007606F8">
              <w:t xml:space="preserve">Синдром на </w:t>
            </w:r>
            <w:r w:rsidRPr="007606F8">
              <w:rPr>
                <w:lang w:val="en-US"/>
              </w:rPr>
              <w:t xml:space="preserve">Steven-Johnsons, </w:t>
            </w:r>
            <w:r w:rsidRPr="007606F8">
              <w:t xml:space="preserve">синдром на </w:t>
            </w:r>
            <w:r w:rsidRPr="007606F8">
              <w:rPr>
                <w:lang w:val="en-US"/>
              </w:rPr>
              <w:t xml:space="preserve">Lyell, </w:t>
            </w:r>
            <w:r w:rsidRPr="007606F8">
              <w:t>пурпура, еритема нодозум, еритема мултиформе</w:t>
            </w:r>
          </w:p>
        </w:tc>
      </w:tr>
      <w:tr w:rsidR="007606F8" w14:paraId="31851AA6" w14:textId="77777777" w:rsidTr="007606F8">
        <w:tc>
          <w:tcPr>
            <w:tcW w:w="4750" w:type="dxa"/>
          </w:tcPr>
          <w:p w14:paraId="2A5EB5E5" w14:textId="48108C53" w:rsidR="007606F8" w:rsidRPr="007606F8" w:rsidRDefault="007606F8" w:rsidP="007606F8">
            <w:r w:rsidRPr="007606F8">
              <w:t>Нарушения на бъбреците и пикочните пътища</w:t>
            </w:r>
          </w:p>
        </w:tc>
        <w:tc>
          <w:tcPr>
            <w:tcW w:w="4750" w:type="dxa"/>
          </w:tcPr>
          <w:p w14:paraId="3DE42145" w14:textId="77777777" w:rsidR="007606F8" w:rsidRPr="007606F8" w:rsidRDefault="007606F8" w:rsidP="007606F8">
            <w:r w:rsidRPr="007606F8">
              <w:rPr>
                <w:i/>
                <w:iCs/>
              </w:rPr>
              <w:t>С неизвестна честота:</w:t>
            </w:r>
          </w:p>
          <w:p w14:paraId="0E74CA64" w14:textId="73DD3B17" w:rsidR="007606F8" w:rsidRPr="007606F8" w:rsidRDefault="007606F8" w:rsidP="007606F8">
            <w:r w:rsidRPr="007606F8">
              <w:t>Нарушена бъбречна функция</w:t>
            </w:r>
          </w:p>
        </w:tc>
      </w:tr>
    </w:tbl>
    <w:p w14:paraId="6C1352DE" w14:textId="77777777" w:rsidR="007606F8" w:rsidRDefault="007606F8" w:rsidP="007606F8">
      <w:pPr>
        <w:spacing w:line="240" w:lineRule="auto"/>
        <w:rPr>
          <w:rFonts w:ascii="Times New Roman" w:eastAsia="Times New Roman" w:hAnsi="Times New Roman" w:cs="Times New Roman"/>
          <w:color w:val="000000"/>
          <w:sz w:val="20"/>
          <w:szCs w:val="20"/>
          <w:u w:val="single"/>
          <w:lang w:eastAsia="bg-BG"/>
        </w:rPr>
      </w:pPr>
    </w:p>
    <w:p w14:paraId="7650CE40" w14:textId="782CDC7B" w:rsidR="007606F8" w:rsidRPr="007606F8" w:rsidRDefault="007606F8" w:rsidP="007606F8">
      <w:pPr>
        <w:spacing w:line="240" w:lineRule="auto"/>
        <w:rPr>
          <w:rFonts w:eastAsia="Times New Roman" w:cs="Arial"/>
          <w:lang w:eastAsia="bg-BG"/>
        </w:rPr>
      </w:pPr>
      <w:r w:rsidRPr="007606F8">
        <w:rPr>
          <w:rFonts w:eastAsia="Times New Roman" w:cs="Arial"/>
          <w:color w:val="000000"/>
          <w:u w:val="single"/>
          <w:lang w:eastAsia="bg-BG"/>
        </w:rPr>
        <w:t>Съобщаване на подозирани нежелани реакции</w:t>
      </w:r>
    </w:p>
    <w:p w14:paraId="1505612B" w14:textId="77777777" w:rsidR="007606F8" w:rsidRPr="007606F8" w:rsidRDefault="007606F8" w:rsidP="007606F8">
      <w:pPr>
        <w:spacing w:line="240" w:lineRule="auto"/>
        <w:rPr>
          <w:rFonts w:eastAsia="Times New Roman" w:cs="Arial"/>
          <w:lang w:eastAsia="bg-BG"/>
        </w:rPr>
      </w:pPr>
      <w:r w:rsidRPr="007606F8">
        <w:rPr>
          <w:rFonts w:eastAsia="Times New Roman" w:cs="Arial"/>
          <w:color w:val="000000"/>
          <w:lang w:eastAsia="bg-BG"/>
        </w:rPr>
        <w:t xml:space="preserve">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Изпълнителната агенция по лекарствата,ул.,Дамян Груев” № 8, 1303 София, тел: +35 928903417, уебсайт: </w:t>
      </w:r>
      <w:hyperlink r:id="rId5" w:history="1">
        <w:r w:rsidRPr="007606F8">
          <w:rPr>
            <w:rFonts w:eastAsia="Times New Roman" w:cs="Arial"/>
            <w:color w:val="000000"/>
            <w:lang w:val="en-US"/>
          </w:rPr>
          <w:t>www.bda.bg</w:t>
        </w:r>
      </w:hyperlink>
      <w:r w:rsidRPr="007606F8">
        <w:rPr>
          <w:rFonts w:eastAsia="Times New Roman" w:cs="Arial"/>
          <w:color w:val="000000"/>
          <w:lang w:val="en-US"/>
        </w:rPr>
        <w:t>.</w:t>
      </w:r>
    </w:p>
    <w:p w14:paraId="40963D09" w14:textId="77777777" w:rsidR="007606F8" w:rsidRPr="007606F8" w:rsidRDefault="007606F8" w:rsidP="007606F8"/>
    <w:p w14:paraId="378A0F20" w14:textId="6B881145" w:rsidR="001D095A" w:rsidRDefault="002C50EE" w:rsidP="00340E8D">
      <w:pPr>
        <w:pStyle w:val="Heading2"/>
      </w:pPr>
      <w:r>
        <w:t>4.9. Предозиране</w:t>
      </w:r>
    </w:p>
    <w:p w14:paraId="5E0B707C" w14:textId="77E73EF4" w:rsidR="007606F8" w:rsidRDefault="007606F8" w:rsidP="007606F8"/>
    <w:p w14:paraId="7BB8E9D4"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 xml:space="preserve">Салицилатната токсичност (&gt; 100 </w:t>
      </w:r>
      <w:r w:rsidRPr="007606F8">
        <w:rPr>
          <w:rFonts w:eastAsia="Times New Roman" w:cs="Arial"/>
          <w:color w:val="000000"/>
          <w:lang w:val="en-US"/>
        </w:rPr>
        <w:t>mg/kg</w:t>
      </w:r>
      <w:r w:rsidRPr="007606F8">
        <w:rPr>
          <w:rFonts w:eastAsia="Times New Roman" w:cs="Arial"/>
          <w:color w:val="000000"/>
          <w:lang w:eastAsia="bg-BG"/>
        </w:rPr>
        <w:t>/дневно в продължение на 2 дни може да предизвика токсичност) може да е резултат от хронична, терапевтично придобита интоксикация и от потенциално животозастрашаващи остри интоксикации (предозиране), вариращи от случайно поглъщане при деца до случайни интоксикации.</w:t>
      </w:r>
    </w:p>
    <w:p w14:paraId="59BA02B5" w14:textId="77777777" w:rsidR="007606F8" w:rsidRPr="007606F8" w:rsidRDefault="007606F8" w:rsidP="007606F8">
      <w:pPr>
        <w:spacing w:line="240" w:lineRule="auto"/>
        <w:rPr>
          <w:rFonts w:eastAsia="Times New Roman" w:cs="Arial"/>
          <w:color w:val="000000"/>
          <w:lang w:eastAsia="bg-BG"/>
        </w:rPr>
      </w:pPr>
    </w:p>
    <w:p w14:paraId="7FEF5A41" w14:textId="09AD559C"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lastRenderedPageBreak/>
        <w:t>Хроничното отравяне със салицилати може да бъде скрито, тъй като признаците и симптомите са неспецифични. Лека хронична салицилатна интоксикация, или салицилизъм, обикновено се появява едва след многократна употреба на големи дози. Симптомите включват замайване, световъртеж, шум в ушите, глухота, изпотяване, гадене и повръщане, главоболие и объркване, и могат да се контролират чрез намаляване на дозата. Шум в ушите може да се появи при плазмени концентрации от 150 до 300 μ</w:t>
      </w:r>
      <w:r w:rsidRPr="007606F8">
        <w:rPr>
          <w:rFonts w:eastAsia="Times New Roman" w:cs="Arial"/>
          <w:color w:val="000000"/>
          <w:lang w:val="en-US"/>
        </w:rPr>
        <w:t xml:space="preserve">g/ml. </w:t>
      </w:r>
      <w:r w:rsidRPr="007606F8">
        <w:rPr>
          <w:rFonts w:eastAsia="Times New Roman" w:cs="Arial"/>
          <w:color w:val="000000"/>
          <w:lang w:eastAsia="bg-BG"/>
        </w:rPr>
        <w:t>По-сериозни нежелани реакции се появяват при концентрации над 300 μ</w:t>
      </w:r>
      <w:r w:rsidRPr="007606F8">
        <w:rPr>
          <w:rFonts w:eastAsia="Times New Roman" w:cs="Arial"/>
          <w:color w:val="000000"/>
          <w:lang w:val="en-US"/>
        </w:rPr>
        <w:t>g/ml.</w:t>
      </w:r>
    </w:p>
    <w:p w14:paraId="2A400283" w14:textId="77777777" w:rsidR="007606F8" w:rsidRPr="007606F8" w:rsidRDefault="007606F8" w:rsidP="007606F8">
      <w:pPr>
        <w:spacing w:line="240" w:lineRule="auto"/>
        <w:rPr>
          <w:rFonts w:eastAsia="Times New Roman" w:cs="Arial"/>
          <w:color w:val="000000"/>
          <w:lang w:eastAsia="bg-BG"/>
        </w:rPr>
      </w:pPr>
    </w:p>
    <w:p w14:paraId="1C6673B7" w14:textId="099B6A0C"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Типичната характеристика на остра интоксикация е тежко нарушение на киселинно-алкалния баланс, който може да варира с възрастта и тежестта на интоксикацията. Най-честата проява при деца е метаболитна ацидоза. Тежестта на отравяне не може да бъде оценена само от плазмената концентрация. Абсорбцията на ацетилсалициловата киселина може да бъде забавена поради намалено изпразване на стомаха, образуване на конкреции в стомаха, или в резултат на поглъщане на стомашно-устойчиви таблетки. Мерките, които трябва да се вземат при интоксикация с ацетилсалицилова киселина се определят от степента, етапа и клиничните симптоми и в съответствие със стандартните техники при отравяне. Първите мерки трябва да бъдат ускорено отделяне на лекарството, както и възстановяване на електролитния и киселинно- алкалния метаболизъм.</w:t>
      </w:r>
    </w:p>
    <w:p w14:paraId="2FF5F3EC" w14:textId="77777777" w:rsidR="007606F8" w:rsidRPr="007606F8" w:rsidRDefault="007606F8" w:rsidP="007606F8">
      <w:pPr>
        <w:spacing w:line="240" w:lineRule="auto"/>
        <w:rPr>
          <w:rFonts w:eastAsia="Times New Roman" w:cs="Arial"/>
          <w:color w:val="000000"/>
          <w:lang w:eastAsia="bg-BG"/>
        </w:rPr>
      </w:pPr>
    </w:p>
    <w:p w14:paraId="2171EFF3" w14:textId="5006CD11"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Поради комплексните патофизиологични ефекти на салицилатното отравяне, признаците и симптомите/открития при клинични изпитвания могат да включват:</w:t>
      </w:r>
    </w:p>
    <w:tbl>
      <w:tblPr>
        <w:tblStyle w:val="TableGrid"/>
        <w:tblW w:w="0" w:type="auto"/>
        <w:tblLook w:val="04A0" w:firstRow="1" w:lastRow="0" w:firstColumn="1" w:lastColumn="0" w:noHBand="0" w:noVBand="1"/>
      </w:tblPr>
      <w:tblGrid>
        <w:gridCol w:w="3135"/>
        <w:gridCol w:w="3124"/>
        <w:gridCol w:w="3091"/>
      </w:tblGrid>
      <w:tr w:rsidR="007606F8" w14:paraId="5DAE87DD" w14:textId="77777777" w:rsidTr="007606F8">
        <w:tc>
          <w:tcPr>
            <w:tcW w:w="3166" w:type="dxa"/>
          </w:tcPr>
          <w:p w14:paraId="5D03456E" w14:textId="291041FC" w:rsidR="007606F8" w:rsidRPr="007606F8" w:rsidRDefault="007606F8" w:rsidP="007606F8">
            <w:r w:rsidRPr="007606F8">
              <w:t>Признаци и симптоми</w:t>
            </w:r>
          </w:p>
        </w:tc>
        <w:tc>
          <w:tcPr>
            <w:tcW w:w="3167" w:type="dxa"/>
          </w:tcPr>
          <w:p w14:paraId="618B6CF1" w14:textId="6FC030F1" w:rsidR="007606F8" w:rsidRPr="007606F8" w:rsidRDefault="007606F8" w:rsidP="007606F8">
            <w:r w:rsidRPr="007606F8">
              <w:t>Открития при клинични изпитвания</w:t>
            </w:r>
          </w:p>
        </w:tc>
        <w:tc>
          <w:tcPr>
            <w:tcW w:w="3167" w:type="dxa"/>
          </w:tcPr>
          <w:p w14:paraId="3CDF4D8A" w14:textId="3B2289EF" w:rsidR="007606F8" w:rsidRPr="007606F8" w:rsidRDefault="007606F8" w:rsidP="007606F8">
            <w:r w:rsidRPr="007606F8">
              <w:t>Терапевтични мерки</w:t>
            </w:r>
          </w:p>
        </w:tc>
      </w:tr>
      <w:tr w:rsidR="007606F8" w14:paraId="271D2EEF" w14:textId="77777777" w:rsidTr="007606F8">
        <w:tc>
          <w:tcPr>
            <w:tcW w:w="3166" w:type="dxa"/>
          </w:tcPr>
          <w:p w14:paraId="0B9F163C" w14:textId="37125D62" w:rsidR="007606F8" w:rsidRPr="007606F8" w:rsidRDefault="007606F8" w:rsidP="007606F8">
            <w:r w:rsidRPr="007606F8">
              <w:rPr>
                <w:b/>
                <w:bCs/>
              </w:rPr>
              <w:t>Лека до средна интоксикация</w:t>
            </w:r>
          </w:p>
        </w:tc>
        <w:tc>
          <w:tcPr>
            <w:tcW w:w="3167" w:type="dxa"/>
          </w:tcPr>
          <w:p w14:paraId="7124B351" w14:textId="77777777" w:rsidR="007606F8" w:rsidRPr="007606F8" w:rsidRDefault="007606F8" w:rsidP="007606F8"/>
        </w:tc>
        <w:tc>
          <w:tcPr>
            <w:tcW w:w="3167" w:type="dxa"/>
          </w:tcPr>
          <w:p w14:paraId="28001B1F" w14:textId="56953DFC" w:rsidR="007606F8" w:rsidRPr="007606F8" w:rsidRDefault="007606F8" w:rsidP="007606F8">
            <w:r w:rsidRPr="007606F8">
              <w:t>Стомашна промивка, многократно приложение на активен въглен, форсирана алкална диуреза</w:t>
            </w:r>
          </w:p>
        </w:tc>
      </w:tr>
      <w:tr w:rsidR="007606F8" w14:paraId="548F8E6C" w14:textId="77777777" w:rsidTr="007606F8">
        <w:tc>
          <w:tcPr>
            <w:tcW w:w="3166" w:type="dxa"/>
          </w:tcPr>
          <w:p w14:paraId="259E42EB" w14:textId="3677CE08" w:rsidR="007606F8" w:rsidRPr="007606F8" w:rsidRDefault="007606F8" w:rsidP="007606F8">
            <w:r w:rsidRPr="007606F8">
              <w:t>Тахипнея, хипервентилация, респираторна алкалоза</w:t>
            </w:r>
          </w:p>
        </w:tc>
        <w:tc>
          <w:tcPr>
            <w:tcW w:w="3167" w:type="dxa"/>
          </w:tcPr>
          <w:p w14:paraId="4379FEC6" w14:textId="2D27C872" w:rsidR="007606F8" w:rsidRPr="007606F8" w:rsidRDefault="007606F8" w:rsidP="007606F8">
            <w:r w:rsidRPr="007606F8">
              <w:t>Алкалемия, алкалурия</w:t>
            </w:r>
          </w:p>
        </w:tc>
        <w:tc>
          <w:tcPr>
            <w:tcW w:w="3167" w:type="dxa"/>
          </w:tcPr>
          <w:p w14:paraId="3A2FBDC2" w14:textId="6A419873" w:rsidR="007606F8" w:rsidRPr="007606F8" w:rsidRDefault="007606F8" w:rsidP="007606F8">
            <w:r w:rsidRPr="007606F8">
              <w:t>Възстановяване на водно електролитния баланс</w:t>
            </w:r>
          </w:p>
        </w:tc>
      </w:tr>
      <w:tr w:rsidR="007606F8" w14:paraId="777366E0" w14:textId="77777777" w:rsidTr="007606F8">
        <w:tc>
          <w:tcPr>
            <w:tcW w:w="3166" w:type="dxa"/>
          </w:tcPr>
          <w:p w14:paraId="2257A1FF" w14:textId="71826837" w:rsidR="007606F8" w:rsidRPr="007606F8" w:rsidRDefault="007606F8" w:rsidP="007606F8">
            <w:r w:rsidRPr="007606F8">
              <w:t>Диафореза</w:t>
            </w:r>
          </w:p>
        </w:tc>
        <w:tc>
          <w:tcPr>
            <w:tcW w:w="3167" w:type="dxa"/>
          </w:tcPr>
          <w:p w14:paraId="16EE8889" w14:textId="77777777" w:rsidR="007606F8" w:rsidRPr="007606F8" w:rsidRDefault="007606F8" w:rsidP="007606F8"/>
        </w:tc>
        <w:tc>
          <w:tcPr>
            <w:tcW w:w="3167" w:type="dxa"/>
          </w:tcPr>
          <w:p w14:paraId="57F89B87" w14:textId="77777777" w:rsidR="007606F8" w:rsidRPr="007606F8" w:rsidRDefault="007606F8" w:rsidP="007606F8"/>
        </w:tc>
      </w:tr>
      <w:tr w:rsidR="007606F8" w14:paraId="15A742E6" w14:textId="77777777" w:rsidTr="007606F8">
        <w:tc>
          <w:tcPr>
            <w:tcW w:w="3166" w:type="dxa"/>
          </w:tcPr>
          <w:p w14:paraId="213EA19A" w14:textId="32E4EA29" w:rsidR="007606F8" w:rsidRPr="007606F8" w:rsidRDefault="007606F8" w:rsidP="007606F8">
            <w:r w:rsidRPr="007606F8">
              <w:t>Гадене, повръщане</w:t>
            </w:r>
          </w:p>
        </w:tc>
        <w:tc>
          <w:tcPr>
            <w:tcW w:w="3167" w:type="dxa"/>
          </w:tcPr>
          <w:p w14:paraId="7ACA5F18" w14:textId="77777777" w:rsidR="007606F8" w:rsidRPr="007606F8" w:rsidRDefault="007606F8" w:rsidP="007606F8"/>
        </w:tc>
        <w:tc>
          <w:tcPr>
            <w:tcW w:w="3167" w:type="dxa"/>
          </w:tcPr>
          <w:p w14:paraId="40AF06DE" w14:textId="77777777" w:rsidR="007606F8" w:rsidRPr="007606F8" w:rsidRDefault="007606F8" w:rsidP="007606F8"/>
        </w:tc>
      </w:tr>
      <w:tr w:rsidR="007606F8" w14:paraId="53645C84" w14:textId="77777777" w:rsidTr="007606F8">
        <w:tc>
          <w:tcPr>
            <w:tcW w:w="3166" w:type="dxa"/>
          </w:tcPr>
          <w:p w14:paraId="4CBE39A3" w14:textId="12F7FB31" w:rsidR="007606F8" w:rsidRPr="007606F8" w:rsidRDefault="007606F8" w:rsidP="007606F8">
            <w:r w:rsidRPr="007606F8">
              <w:rPr>
                <w:b/>
                <w:bCs/>
              </w:rPr>
              <w:t>Средна до тежка интоксикация</w:t>
            </w:r>
          </w:p>
        </w:tc>
        <w:tc>
          <w:tcPr>
            <w:tcW w:w="3167" w:type="dxa"/>
          </w:tcPr>
          <w:p w14:paraId="38B5F204" w14:textId="77777777" w:rsidR="007606F8" w:rsidRPr="007606F8" w:rsidRDefault="007606F8" w:rsidP="007606F8"/>
        </w:tc>
        <w:tc>
          <w:tcPr>
            <w:tcW w:w="3167" w:type="dxa"/>
          </w:tcPr>
          <w:p w14:paraId="4E6C478A" w14:textId="77777777" w:rsidR="007606F8" w:rsidRPr="007606F8" w:rsidRDefault="007606F8" w:rsidP="007606F8">
            <w:r w:rsidRPr="007606F8">
              <w:t xml:space="preserve">Стомашна промивка, многократно приложение на активен въглен, форсирана алкална диуреза, </w:t>
            </w:r>
          </w:p>
          <w:p w14:paraId="37124817" w14:textId="2B015093" w:rsidR="007606F8" w:rsidRPr="007606F8" w:rsidRDefault="007606F8" w:rsidP="007606F8">
            <w:r w:rsidRPr="007606F8">
              <w:t>хемодиапиза в тежки случаи</w:t>
            </w:r>
          </w:p>
        </w:tc>
      </w:tr>
      <w:tr w:rsidR="007606F8" w14:paraId="40CD70EA" w14:textId="77777777" w:rsidTr="007606F8">
        <w:tc>
          <w:tcPr>
            <w:tcW w:w="3166" w:type="dxa"/>
          </w:tcPr>
          <w:p w14:paraId="4C3E1CB4" w14:textId="0E4B2D35" w:rsidR="007606F8" w:rsidRPr="007606F8" w:rsidRDefault="007606F8" w:rsidP="007606F8">
            <w:r w:rsidRPr="007606F8">
              <w:t>Респираторна алкалоза с компенсаторна метаболитна ацидоза</w:t>
            </w:r>
          </w:p>
        </w:tc>
        <w:tc>
          <w:tcPr>
            <w:tcW w:w="3167" w:type="dxa"/>
          </w:tcPr>
          <w:p w14:paraId="05DFFCB0" w14:textId="7511F7F5" w:rsidR="007606F8" w:rsidRPr="007606F8" w:rsidRDefault="007606F8" w:rsidP="007606F8">
            <w:r w:rsidRPr="007606F8">
              <w:t>Ацидемия, ацидурия</w:t>
            </w:r>
          </w:p>
        </w:tc>
        <w:tc>
          <w:tcPr>
            <w:tcW w:w="3167" w:type="dxa"/>
          </w:tcPr>
          <w:p w14:paraId="7CED9080" w14:textId="4D626A90" w:rsidR="007606F8" w:rsidRPr="007606F8" w:rsidRDefault="007606F8" w:rsidP="007606F8">
            <w:r w:rsidRPr="007606F8">
              <w:t>Възстановяване на водно- електролитния баланс</w:t>
            </w:r>
          </w:p>
        </w:tc>
      </w:tr>
      <w:tr w:rsidR="007606F8" w14:paraId="0644AFF6" w14:textId="77777777" w:rsidTr="007606F8">
        <w:tc>
          <w:tcPr>
            <w:tcW w:w="3166" w:type="dxa"/>
          </w:tcPr>
          <w:p w14:paraId="2471A8EF" w14:textId="539EFA31" w:rsidR="007606F8" w:rsidRPr="007606F8" w:rsidRDefault="007606F8" w:rsidP="007606F8">
            <w:r w:rsidRPr="007606F8">
              <w:t>Хиперпирексия</w:t>
            </w:r>
          </w:p>
        </w:tc>
        <w:tc>
          <w:tcPr>
            <w:tcW w:w="3167" w:type="dxa"/>
          </w:tcPr>
          <w:p w14:paraId="376AB031" w14:textId="77777777" w:rsidR="007606F8" w:rsidRPr="007606F8" w:rsidRDefault="007606F8" w:rsidP="007606F8"/>
        </w:tc>
        <w:tc>
          <w:tcPr>
            <w:tcW w:w="3167" w:type="dxa"/>
          </w:tcPr>
          <w:p w14:paraId="12F619B3" w14:textId="14F10883" w:rsidR="007606F8" w:rsidRPr="007606F8" w:rsidRDefault="007606F8" w:rsidP="007606F8">
            <w:r w:rsidRPr="007606F8">
              <w:t>Възстановяване на водно- електролитния баланс</w:t>
            </w:r>
          </w:p>
        </w:tc>
      </w:tr>
      <w:tr w:rsidR="007606F8" w14:paraId="330DD5C0" w14:textId="77777777" w:rsidTr="007606F8">
        <w:tc>
          <w:tcPr>
            <w:tcW w:w="3166" w:type="dxa"/>
          </w:tcPr>
          <w:p w14:paraId="141F323B" w14:textId="7DE053D7" w:rsidR="007606F8" w:rsidRPr="007606F8" w:rsidRDefault="007606F8" w:rsidP="007606F8">
            <w:r w:rsidRPr="007606F8">
              <w:t>Респираторни: варират от хипервентилация, некардиогенен белодробен оток до респираторен арест, асфиксия</w:t>
            </w:r>
          </w:p>
        </w:tc>
        <w:tc>
          <w:tcPr>
            <w:tcW w:w="3167" w:type="dxa"/>
          </w:tcPr>
          <w:p w14:paraId="0BD6CE50" w14:textId="77777777" w:rsidR="007606F8" w:rsidRPr="007606F8" w:rsidRDefault="007606F8" w:rsidP="007606F8"/>
        </w:tc>
        <w:tc>
          <w:tcPr>
            <w:tcW w:w="3167" w:type="dxa"/>
          </w:tcPr>
          <w:p w14:paraId="4AB59479" w14:textId="77777777" w:rsidR="007606F8" w:rsidRPr="007606F8" w:rsidRDefault="007606F8" w:rsidP="007606F8"/>
        </w:tc>
      </w:tr>
      <w:tr w:rsidR="007606F8" w14:paraId="6C4F775C" w14:textId="77777777" w:rsidTr="007606F8">
        <w:tc>
          <w:tcPr>
            <w:tcW w:w="3166" w:type="dxa"/>
          </w:tcPr>
          <w:p w14:paraId="34CE00E4" w14:textId="21FD5F89" w:rsidR="007606F8" w:rsidRPr="007606F8" w:rsidRDefault="007606F8" w:rsidP="007606F8">
            <w:r w:rsidRPr="007606F8">
              <w:lastRenderedPageBreak/>
              <w:t>Сърдечно-съдови: варират от дисритмия, хипотония до сърдечно-съдов арест</w:t>
            </w:r>
          </w:p>
        </w:tc>
        <w:tc>
          <w:tcPr>
            <w:tcW w:w="3167" w:type="dxa"/>
          </w:tcPr>
          <w:p w14:paraId="5E04F202" w14:textId="1046CB23" w:rsidR="007606F8" w:rsidRPr="007606F8" w:rsidRDefault="007606F8" w:rsidP="007606F8">
            <w:r w:rsidRPr="007606F8">
              <w:t>напр. кръвно налягане, промяна в ЕКГ</w:t>
            </w:r>
          </w:p>
        </w:tc>
        <w:tc>
          <w:tcPr>
            <w:tcW w:w="3167" w:type="dxa"/>
          </w:tcPr>
          <w:p w14:paraId="7EC525FE" w14:textId="77777777" w:rsidR="007606F8" w:rsidRPr="007606F8" w:rsidRDefault="007606F8" w:rsidP="007606F8"/>
        </w:tc>
      </w:tr>
      <w:tr w:rsidR="007606F8" w14:paraId="5609F060" w14:textId="77777777" w:rsidTr="007606F8">
        <w:tc>
          <w:tcPr>
            <w:tcW w:w="3166" w:type="dxa"/>
          </w:tcPr>
          <w:p w14:paraId="3FA2E874" w14:textId="06EBB251" w:rsidR="007606F8" w:rsidRPr="007606F8" w:rsidRDefault="007606F8" w:rsidP="007606F8">
            <w:r w:rsidRPr="007606F8">
              <w:t>Водно-електролитна загуба: дехидратация, олигурия до бъбречна недостатъчност</w:t>
            </w:r>
          </w:p>
        </w:tc>
        <w:tc>
          <w:tcPr>
            <w:tcW w:w="3167" w:type="dxa"/>
          </w:tcPr>
          <w:p w14:paraId="67BC707F" w14:textId="1B249489" w:rsidR="007606F8" w:rsidRPr="007606F8" w:rsidRDefault="007606F8" w:rsidP="007606F8">
            <w:r w:rsidRPr="007606F8">
              <w:t>напр. хипокалиемия, хипернатриемия, хипонатриемия, променена бъбречна функция</w:t>
            </w:r>
          </w:p>
        </w:tc>
        <w:tc>
          <w:tcPr>
            <w:tcW w:w="3167" w:type="dxa"/>
          </w:tcPr>
          <w:p w14:paraId="4334A77B" w14:textId="65630DB4" w:rsidR="007606F8" w:rsidRPr="007606F8" w:rsidRDefault="007606F8" w:rsidP="007606F8">
            <w:r w:rsidRPr="007606F8">
              <w:t>Възстановяване на водно- електролитния баланс</w:t>
            </w:r>
          </w:p>
        </w:tc>
      </w:tr>
      <w:tr w:rsidR="007606F8" w14:paraId="0CCBB3C0" w14:textId="77777777" w:rsidTr="007606F8">
        <w:tc>
          <w:tcPr>
            <w:tcW w:w="3166" w:type="dxa"/>
          </w:tcPr>
          <w:p w14:paraId="565772C8" w14:textId="2411AC9A" w:rsidR="007606F8" w:rsidRPr="007606F8" w:rsidRDefault="007606F8" w:rsidP="007606F8">
            <w:r w:rsidRPr="007606F8">
              <w:t>Нарушем глюкозен мтаболизъм, кетоза</w:t>
            </w:r>
          </w:p>
        </w:tc>
        <w:tc>
          <w:tcPr>
            <w:tcW w:w="3167" w:type="dxa"/>
          </w:tcPr>
          <w:p w14:paraId="55174D3C" w14:textId="77777777" w:rsidR="007606F8" w:rsidRPr="007606F8" w:rsidRDefault="007606F8" w:rsidP="007606F8">
            <w:r w:rsidRPr="007606F8">
              <w:t>Хипергликемия, хипогликемия (особено при деца).</w:t>
            </w:r>
          </w:p>
          <w:p w14:paraId="73DB4FAD" w14:textId="79FAE6F6" w:rsidR="007606F8" w:rsidRPr="007606F8" w:rsidRDefault="007606F8" w:rsidP="007606F8">
            <w:r w:rsidRPr="007606F8">
              <w:t>Повишени нива на кетони</w:t>
            </w:r>
          </w:p>
        </w:tc>
        <w:tc>
          <w:tcPr>
            <w:tcW w:w="3167" w:type="dxa"/>
          </w:tcPr>
          <w:p w14:paraId="3F8C84B4" w14:textId="77777777" w:rsidR="007606F8" w:rsidRPr="007606F8" w:rsidRDefault="007606F8" w:rsidP="007606F8"/>
        </w:tc>
      </w:tr>
      <w:tr w:rsidR="007606F8" w14:paraId="6162D6CC" w14:textId="77777777" w:rsidTr="007606F8">
        <w:tc>
          <w:tcPr>
            <w:tcW w:w="3166" w:type="dxa"/>
          </w:tcPr>
          <w:p w14:paraId="7DBB95BA" w14:textId="297B6859" w:rsidR="007606F8" w:rsidRPr="007606F8" w:rsidRDefault="007606F8" w:rsidP="007606F8">
            <w:r w:rsidRPr="007606F8">
              <w:t>Шум в ушите, глухота</w:t>
            </w:r>
          </w:p>
        </w:tc>
        <w:tc>
          <w:tcPr>
            <w:tcW w:w="3167" w:type="dxa"/>
          </w:tcPr>
          <w:p w14:paraId="206BFDA1" w14:textId="77777777" w:rsidR="007606F8" w:rsidRPr="007606F8" w:rsidRDefault="007606F8" w:rsidP="007606F8"/>
        </w:tc>
        <w:tc>
          <w:tcPr>
            <w:tcW w:w="3167" w:type="dxa"/>
          </w:tcPr>
          <w:p w14:paraId="69EDC31B" w14:textId="77777777" w:rsidR="007606F8" w:rsidRPr="007606F8" w:rsidRDefault="007606F8" w:rsidP="007606F8"/>
        </w:tc>
      </w:tr>
      <w:tr w:rsidR="007606F8" w14:paraId="5CDCB800" w14:textId="77777777" w:rsidTr="007606F8">
        <w:tc>
          <w:tcPr>
            <w:tcW w:w="3166" w:type="dxa"/>
          </w:tcPr>
          <w:p w14:paraId="7E5EF745" w14:textId="77777777" w:rsidR="007606F8" w:rsidRPr="007606F8" w:rsidRDefault="007606F8" w:rsidP="007606F8">
            <w:r w:rsidRPr="007606F8">
              <w:t>Стомашно-чревни:</w:t>
            </w:r>
          </w:p>
          <w:p w14:paraId="27D730D8" w14:textId="1C410336" w:rsidR="007606F8" w:rsidRPr="007606F8" w:rsidRDefault="007606F8" w:rsidP="007606F8">
            <w:r w:rsidRPr="007606F8">
              <w:t>стомашно-чревно кървене</w:t>
            </w:r>
          </w:p>
        </w:tc>
        <w:tc>
          <w:tcPr>
            <w:tcW w:w="3167" w:type="dxa"/>
          </w:tcPr>
          <w:p w14:paraId="0579950E" w14:textId="77777777" w:rsidR="007606F8" w:rsidRPr="007606F8" w:rsidRDefault="007606F8" w:rsidP="007606F8"/>
        </w:tc>
        <w:tc>
          <w:tcPr>
            <w:tcW w:w="3167" w:type="dxa"/>
          </w:tcPr>
          <w:p w14:paraId="2457F19C" w14:textId="77777777" w:rsidR="007606F8" w:rsidRPr="007606F8" w:rsidRDefault="007606F8" w:rsidP="007606F8"/>
        </w:tc>
      </w:tr>
      <w:tr w:rsidR="007606F8" w14:paraId="62AAC057" w14:textId="77777777" w:rsidTr="007606F8">
        <w:tc>
          <w:tcPr>
            <w:tcW w:w="3166" w:type="dxa"/>
          </w:tcPr>
          <w:p w14:paraId="1A8BB909" w14:textId="0524ECE3" w:rsidR="007606F8" w:rsidRPr="007606F8" w:rsidRDefault="007606F8" w:rsidP="007606F8">
            <w:r w:rsidRPr="007606F8">
              <w:t>Хемотологични: варират от тромбоцитно инхибиране до коагулопатия</w:t>
            </w:r>
          </w:p>
        </w:tc>
        <w:tc>
          <w:tcPr>
            <w:tcW w:w="3167" w:type="dxa"/>
          </w:tcPr>
          <w:p w14:paraId="7D464A5C" w14:textId="74A071C4" w:rsidR="007606F8" w:rsidRPr="007606F8" w:rsidRDefault="007606F8" w:rsidP="007606F8">
            <w:r w:rsidRPr="007606F8">
              <w:t>напр. удължаване на РТ, хипопротромбинемия</w:t>
            </w:r>
          </w:p>
        </w:tc>
        <w:tc>
          <w:tcPr>
            <w:tcW w:w="3167" w:type="dxa"/>
          </w:tcPr>
          <w:p w14:paraId="0C9F9F31" w14:textId="77777777" w:rsidR="007606F8" w:rsidRPr="007606F8" w:rsidRDefault="007606F8" w:rsidP="007606F8"/>
        </w:tc>
      </w:tr>
      <w:tr w:rsidR="007606F8" w14:paraId="2A48CD08" w14:textId="77777777" w:rsidTr="007606F8">
        <w:tc>
          <w:tcPr>
            <w:tcW w:w="3166" w:type="dxa"/>
          </w:tcPr>
          <w:p w14:paraId="4BA1A385" w14:textId="4A3959F9" w:rsidR="007606F8" w:rsidRPr="007606F8" w:rsidRDefault="007606F8" w:rsidP="007606F8">
            <w:r w:rsidRPr="007606F8">
              <w:t>Неврологични:токсична енцефалопатия и депресия на ЦНС с прояви вариращи от сънливост, обърканост до кома и гърчове</w:t>
            </w:r>
          </w:p>
        </w:tc>
        <w:tc>
          <w:tcPr>
            <w:tcW w:w="3167" w:type="dxa"/>
          </w:tcPr>
          <w:p w14:paraId="130AFDF6" w14:textId="77777777" w:rsidR="007606F8" w:rsidRPr="007606F8" w:rsidRDefault="007606F8" w:rsidP="007606F8"/>
        </w:tc>
        <w:tc>
          <w:tcPr>
            <w:tcW w:w="3167" w:type="dxa"/>
          </w:tcPr>
          <w:p w14:paraId="27BD7546" w14:textId="77777777" w:rsidR="007606F8" w:rsidRPr="007606F8" w:rsidRDefault="007606F8" w:rsidP="007606F8"/>
        </w:tc>
      </w:tr>
    </w:tbl>
    <w:p w14:paraId="7D6704C8" w14:textId="77777777" w:rsidR="007606F8" w:rsidRPr="007606F8" w:rsidRDefault="007606F8" w:rsidP="007606F8"/>
    <w:p w14:paraId="02081B24" w14:textId="36FE76F4" w:rsidR="00395555" w:rsidRPr="00395555" w:rsidRDefault="002C50EE" w:rsidP="008A6AF2">
      <w:pPr>
        <w:pStyle w:val="Heading1"/>
      </w:pPr>
      <w:r>
        <w:t>5. ФАРМАКОЛОГИЧНИ СВОЙСТВА</w:t>
      </w:r>
    </w:p>
    <w:p w14:paraId="1A152A95" w14:textId="153D8358" w:rsidR="001D095A" w:rsidRDefault="002C50EE" w:rsidP="00340E8D">
      <w:pPr>
        <w:pStyle w:val="Heading2"/>
      </w:pPr>
      <w:r>
        <w:t>5.1. Фармакодинамични свойства</w:t>
      </w:r>
    </w:p>
    <w:p w14:paraId="73E4914B" w14:textId="22A6F1A5" w:rsidR="007606F8" w:rsidRDefault="007606F8" w:rsidP="007606F8"/>
    <w:p w14:paraId="38A8F50A"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Фармакотерапевтична група: Инхибитор на тромбоцитната агрегация, с изключение на хепарин, АТС код: В01 АС 06.</w:t>
      </w:r>
    </w:p>
    <w:p w14:paraId="0158B673" w14:textId="77777777" w:rsidR="007606F8" w:rsidRPr="007606F8" w:rsidRDefault="007606F8" w:rsidP="007606F8">
      <w:pPr>
        <w:spacing w:line="240" w:lineRule="auto"/>
        <w:rPr>
          <w:rFonts w:eastAsia="Times New Roman" w:cs="Arial"/>
          <w:color w:val="000000"/>
          <w:u w:val="single"/>
          <w:lang w:eastAsia="bg-BG"/>
        </w:rPr>
      </w:pPr>
    </w:p>
    <w:p w14:paraId="44CD4498" w14:textId="1493B378"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u w:val="single"/>
          <w:lang w:eastAsia="bg-BG"/>
        </w:rPr>
        <w:t>Механизъм на действие</w:t>
      </w:r>
    </w:p>
    <w:p w14:paraId="11CD4B65"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Ацетилсалициловата киселина инхибира тромбоцитната агрегация, блокирайки синтеза на тромбоксан А</w:t>
      </w:r>
      <w:r w:rsidRPr="007606F8">
        <w:rPr>
          <w:rFonts w:eastAsia="Times New Roman" w:cs="Arial"/>
          <w:color w:val="000000"/>
          <w:vertAlign w:val="subscript"/>
          <w:lang w:eastAsia="bg-BG"/>
        </w:rPr>
        <w:t>2</w:t>
      </w:r>
      <w:r w:rsidRPr="007606F8">
        <w:rPr>
          <w:rFonts w:eastAsia="Times New Roman" w:cs="Arial"/>
          <w:color w:val="000000"/>
          <w:lang w:eastAsia="bg-BG"/>
        </w:rPr>
        <w:t xml:space="preserve"> в тромбоцитите. Този механизъм на действие се основава на необратимото инхибиране на циклооксигеназа </w:t>
      </w:r>
      <w:r w:rsidRPr="007606F8">
        <w:rPr>
          <w:rFonts w:eastAsia="Times New Roman" w:cs="Arial"/>
          <w:color w:val="000000"/>
          <w:lang w:val="en-US"/>
        </w:rPr>
        <w:t xml:space="preserve">(COX-1). </w:t>
      </w:r>
      <w:r w:rsidRPr="007606F8">
        <w:rPr>
          <w:rFonts w:eastAsia="Times New Roman" w:cs="Arial"/>
          <w:color w:val="000000"/>
          <w:lang w:eastAsia="bg-BG"/>
        </w:rPr>
        <w:t>Този инхибиторен ефект е особено изразен при тромбоцитите, тъй като тромбоцитите не могат да ресинтезират този ензим. Ацетилсалициловата киселина притежава и други инхибиторни ефекти върху тромбоцитите. Поради това се използва за различни съдови показания.</w:t>
      </w:r>
    </w:p>
    <w:p w14:paraId="7991031B" w14:textId="435C0190" w:rsidR="007606F8" w:rsidRPr="007606F8" w:rsidRDefault="007606F8" w:rsidP="007606F8">
      <w:pPr>
        <w:rPr>
          <w:rFonts w:cs="Arial"/>
          <w:sz w:val="24"/>
          <w:szCs w:val="24"/>
        </w:rPr>
      </w:pPr>
    </w:p>
    <w:p w14:paraId="715F1D49"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u w:val="single"/>
          <w:lang w:eastAsia="bg-BG"/>
        </w:rPr>
        <w:t>Фармакодинамични ефекти</w:t>
      </w:r>
    </w:p>
    <w:p w14:paraId="68F37B71"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Ацетилсалициловата киселина принадлежи към групата на киселинните нестероидни противовъзпалителни лекарства с аналгетични, антипиретични и противовъзпалителни свойства. По-високи перорални дози се използват за облекчаване на болка и при леки фебрилни състояния, като простуда или грип, за понижаване на температурата и облекчаване на ставни и мускулни болки, и при остри и хронични възпалителни нарушения, като ревматоиден артрит, остеоартрит и анкилозиращ спондилит.</w:t>
      </w:r>
    </w:p>
    <w:p w14:paraId="5A74D9BA" w14:textId="77777777" w:rsidR="007606F8" w:rsidRPr="007606F8" w:rsidRDefault="007606F8" w:rsidP="007606F8">
      <w:pPr>
        <w:spacing w:line="240" w:lineRule="auto"/>
        <w:rPr>
          <w:rFonts w:eastAsia="Times New Roman" w:cs="Arial"/>
          <w:color w:val="000000"/>
          <w:u w:val="single"/>
          <w:lang w:eastAsia="bg-BG"/>
        </w:rPr>
      </w:pPr>
    </w:p>
    <w:p w14:paraId="5FD39D0D" w14:textId="59BD9E75"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u w:val="single"/>
          <w:lang w:eastAsia="bg-BG"/>
        </w:rPr>
        <w:t>Клинична ефикасност и безопасност</w:t>
      </w:r>
    </w:p>
    <w:p w14:paraId="543CF75A"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lastRenderedPageBreak/>
        <w:t xml:space="preserve">Експериментални данни показват, че ибупрофен може да инхибира ефекта на ацетилсалициловата киселина в ниски дози върху тромбоцитната агрегация, когато се прилагат едновременно. В едно изпитване, при което единична доза ибупрофен 400 </w:t>
      </w:r>
      <w:r w:rsidRPr="007606F8">
        <w:rPr>
          <w:rFonts w:eastAsia="Times New Roman" w:cs="Arial"/>
          <w:color w:val="000000"/>
          <w:lang w:val="en-US"/>
        </w:rPr>
        <w:t xml:space="preserve">mg </w:t>
      </w:r>
      <w:r w:rsidRPr="007606F8">
        <w:rPr>
          <w:rFonts w:eastAsia="Times New Roman" w:cs="Arial"/>
          <w:color w:val="000000"/>
          <w:lang w:eastAsia="bg-BG"/>
        </w:rPr>
        <w:t xml:space="preserve">е приета 8 часа преди или 30 минути след приема на ацетилсалициловата киселина с незабавно освобождаване (81 </w:t>
      </w:r>
      <w:r w:rsidRPr="007606F8">
        <w:rPr>
          <w:rFonts w:eastAsia="Times New Roman" w:cs="Arial"/>
          <w:color w:val="000000"/>
          <w:lang w:val="en-US"/>
        </w:rPr>
        <w:t xml:space="preserve">mg), </w:t>
      </w:r>
      <w:r w:rsidRPr="007606F8">
        <w:rPr>
          <w:rFonts w:eastAsia="Times New Roman" w:cs="Arial"/>
          <w:color w:val="000000"/>
          <w:lang w:eastAsia="bg-BG"/>
        </w:rPr>
        <w:t xml:space="preserve">е наблюдавано понижение на ефекта на ацетилсалициловата киселина върху образуването на тромбоксан или на тромбоцитната агрегация. Поради ограничеността на тези данни и несигурността относно екстраполацията на данните </w:t>
      </w:r>
      <w:r w:rsidRPr="007606F8">
        <w:rPr>
          <w:rFonts w:eastAsia="Times New Roman" w:cs="Arial"/>
          <w:i/>
          <w:iCs/>
          <w:color w:val="000000"/>
          <w:lang w:val="en-US"/>
        </w:rPr>
        <w:t>ex vivo</w:t>
      </w:r>
      <w:r w:rsidRPr="007606F8">
        <w:rPr>
          <w:rFonts w:eastAsia="Times New Roman" w:cs="Arial"/>
          <w:color w:val="000000"/>
          <w:lang w:val="en-US"/>
        </w:rPr>
        <w:t xml:space="preserve"> </w:t>
      </w:r>
      <w:r w:rsidRPr="007606F8">
        <w:rPr>
          <w:rFonts w:eastAsia="Times New Roman" w:cs="Arial"/>
          <w:color w:val="000000"/>
          <w:lang w:eastAsia="bg-BG"/>
        </w:rPr>
        <w:t>към клиничните данни не могат да се направят категорични заключения за редовната употреба на ибупрофен, и няма клинично значим ефект, който да се счита за вероятен при нередовна употреба на ибупрофен.</w:t>
      </w:r>
    </w:p>
    <w:p w14:paraId="3BB4DC76" w14:textId="77777777" w:rsidR="007606F8" w:rsidRPr="007606F8" w:rsidRDefault="007606F8" w:rsidP="007606F8"/>
    <w:p w14:paraId="7C8C9C46" w14:textId="7558E80E" w:rsidR="00E9184E" w:rsidRDefault="002C50EE" w:rsidP="00340E8D">
      <w:pPr>
        <w:pStyle w:val="Heading2"/>
      </w:pPr>
      <w:r>
        <w:t>5.2. Фармакокинетични свойства</w:t>
      </w:r>
    </w:p>
    <w:p w14:paraId="6ECB5E10" w14:textId="0AE48B1F" w:rsidR="007606F8" w:rsidRDefault="007606F8" w:rsidP="007606F8"/>
    <w:p w14:paraId="1D7A382A" w14:textId="77777777" w:rsidR="007606F8" w:rsidRPr="007606F8" w:rsidRDefault="007606F8" w:rsidP="007606F8">
      <w:pPr>
        <w:pStyle w:val="Heading3"/>
        <w:rPr>
          <w:rFonts w:eastAsia="Times New Roman"/>
          <w:sz w:val="28"/>
          <w:szCs w:val="28"/>
          <w:u w:val="single"/>
          <w:lang w:eastAsia="bg-BG"/>
        </w:rPr>
      </w:pPr>
      <w:r w:rsidRPr="007606F8">
        <w:rPr>
          <w:rFonts w:eastAsia="Times New Roman"/>
          <w:u w:val="single"/>
          <w:lang w:eastAsia="bg-BG"/>
        </w:rPr>
        <w:t>Абсорбция</w:t>
      </w:r>
    </w:p>
    <w:p w14:paraId="74C96A70"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 xml:space="preserve">Ацетилсалициловата киселина се резорбира бързо и изцяло от гастроинтестиналния тракт след перорално приложение. По време на и след абсорция ацетилсалициловата киселина се конвертира в своя основен метаболит салицилова киселина. Поради принципа на киселинно- устойчивата форма на Апири 100 </w:t>
      </w:r>
      <w:r w:rsidRPr="007606F8">
        <w:rPr>
          <w:rFonts w:eastAsia="Times New Roman" w:cs="Arial"/>
          <w:color w:val="000000"/>
          <w:lang w:val="en-US"/>
        </w:rPr>
        <w:t xml:space="preserve">mg </w:t>
      </w:r>
      <w:r w:rsidRPr="007606F8">
        <w:rPr>
          <w:rFonts w:eastAsia="Times New Roman" w:cs="Arial"/>
          <w:color w:val="000000"/>
          <w:lang w:eastAsia="bg-BG"/>
        </w:rPr>
        <w:t>стомашно-устойчиви таблетки, ацетилсалициловата киселина не се освобождава в стомаха, а в алкалната среда на червата. Следователно С</w:t>
      </w:r>
      <w:r w:rsidRPr="007606F8">
        <w:rPr>
          <w:rFonts w:eastAsia="Times New Roman" w:cs="Arial"/>
          <w:color w:val="000000"/>
          <w:vertAlign w:val="subscript"/>
          <w:lang w:val="en-US"/>
        </w:rPr>
        <w:t>max</w:t>
      </w:r>
      <w:r w:rsidRPr="007606F8">
        <w:rPr>
          <w:rFonts w:eastAsia="Times New Roman" w:cs="Arial"/>
          <w:color w:val="000000"/>
          <w:lang w:eastAsia="bg-BG"/>
        </w:rPr>
        <w:t xml:space="preserve"> на ацетилсалициловата киселина се достига 2-7 часа след приложение на стомашно-устойчиви таблетки, т.е. забавено в сравнение с незабавно освобождаващите се таблетки. Едновременното приемане на храна води до забавено, но пълно усвояване на ацетилсалициловата киселина, което означава, че скоростта й на усвояване, но не и степента на абсорбция, се влияе от храната. Благодарение на механичната връзка между общата плазмена експозиция на ацетилсалициловата киселина и нейния инхибиращ ефект върху тромбоцитната агрегация, забавянето на абсорбцията за Апири стомашно-устойчиви таблетки не се смята за свързано с хронична терапия с ниска доза ацетилсалицилова киселина, за да се постигне адекватно инхибиране на тромбоцитната агрегация. Въпреки това, с цел да се осигури благоприятно действие на стомашно-устойчивата форма, Апири стомашно-устойчиви таблетки трябва да се приема за предпочитане (30 или повече минути) преди хранене, с голямо количество течност (вж. точка 4.2).</w:t>
      </w:r>
    </w:p>
    <w:p w14:paraId="64E051F9" w14:textId="77777777" w:rsidR="007606F8" w:rsidRPr="007606F8" w:rsidRDefault="007606F8" w:rsidP="007606F8">
      <w:pPr>
        <w:spacing w:line="240" w:lineRule="auto"/>
        <w:rPr>
          <w:rFonts w:eastAsia="Times New Roman" w:cs="Arial"/>
          <w:color w:val="000000"/>
          <w:u w:val="single"/>
          <w:lang w:eastAsia="bg-BG"/>
        </w:rPr>
      </w:pPr>
    </w:p>
    <w:p w14:paraId="6E0539F4" w14:textId="230DD63B" w:rsidR="007606F8" w:rsidRPr="007606F8" w:rsidRDefault="007606F8" w:rsidP="007606F8">
      <w:pPr>
        <w:pStyle w:val="Heading3"/>
        <w:rPr>
          <w:rFonts w:eastAsia="Times New Roman"/>
          <w:sz w:val="28"/>
          <w:szCs w:val="28"/>
          <w:u w:val="single"/>
          <w:lang w:eastAsia="bg-BG"/>
        </w:rPr>
      </w:pPr>
      <w:r w:rsidRPr="007606F8">
        <w:rPr>
          <w:rFonts w:eastAsia="Times New Roman"/>
          <w:u w:val="single"/>
          <w:lang w:eastAsia="bg-BG"/>
        </w:rPr>
        <w:t>Разпределение</w:t>
      </w:r>
    </w:p>
    <w:p w14:paraId="598D3BCD"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Ацетилсалициловата и салициловата киселина се свързват здраво и в значителна степен с плазмените протеини (50-80%) и се разпределят бързо в телесните тъкани и течности. Салициловата киселина се открива в кърмата и преминава през плацентарната бариера (вж. точка 4.6).</w:t>
      </w:r>
    </w:p>
    <w:p w14:paraId="31E0DD96" w14:textId="77777777" w:rsidR="007606F8" w:rsidRPr="007606F8" w:rsidRDefault="007606F8" w:rsidP="007606F8">
      <w:pPr>
        <w:spacing w:line="240" w:lineRule="auto"/>
        <w:rPr>
          <w:rFonts w:eastAsia="Times New Roman" w:cs="Arial"/>
          <w:color w:val="000000"/>
          <w:u w:val="single"/>
          <w:lang w:eastAsia="bg-BG"/>
        </w:rPr>
      </w:pPr>
    </w:p>
    <w:p w14:paraId="1A3C128C" w14:textId="0CB5B4AC" w:rsidR="007606F8" w:rsidRPr="007606F8" w:rsidRDefault="007606F8" w:rsidP="007606F8">
      <w:pPr>
        <w:pStyle w:val="Heading3"/>
        <w:rPr>
          <w:rFonts w:eastAsia="Times New Roman"/>
          <w:sz w:val="28"/>
          <w:szCs w:val="28"/>
          <w:u w:val="single"/>
          <w:lang w:eastAsia="bg-BG"/>
        </w:rPr>
      </w:pPr>
      <w:r w:rsidRPr="007606F8">
        <w:rPr>
          <w:rFonts w:eastAsia="Times New Roman"/>
          <w:u w:val="single"/>
          <w:lang w:eastAsia="bg-BG"/>
        </w:rPr>
        <w:t>Метаболизъм/Биотрансформация</w:t>
      </w:r>
    </w:p>
    <w:p w14:paraId="277C68B2" w14:textId="77777777" w:rsidR="007606F8" w:rsidRPr="007606F8" w:rsidRDefault="007606F8" w:rsidP="007606F8">
      <w:pPr>
        <w:rPr>
          <w:rFonts w:eastAsia="Times New Roman" w:cs="Arial"/>
          <w:sz w:val="28"/>
          <w:szCs w:val="28"/>
          <w:lang w:eastAsia="bg-BG"/>
        </w:rPr>
      </w:pPr>
      <w:r w:rsidRPr="007606F8">
        <w:rPr>
          <w:rFonts w:eastAsia="Times New Roman" w:cs="Arial"/>
          <w:color w:val="000000"/>
          <w:lang w:eastAsia="bg-BG"/>
        </w:rPr>
        <w:t>Активното вещество ацетилсалицилова киселина се превръща в неговия основен метаболит салицилова киселина. Ацетилната група на ацетилсалициловата киселина започва да се отцепва хидролитично дори по време на преминаване през чревната лигавица, но този процес се извършва най-вече в черния дроб. Основния метаболит салицилова киселина се елиминира</w:t>
      </w:r>
      <w:r w:rsidRPr="007606F8">
        <w:rPr>
          <w:rFonts w:eastAsia="Times New Roman" w:cs="Arial"/>
          <w:i/>
          <w:iCs/>
          <w:color w:val="000000"/>
          <w:lang w:eastAsia="bg-BG"/>
        </w:rPr>
        <w:t xml:space="preserve"> </w:t>
      </w:r>
      <w:r w:rsidRPr="007606F8">
        <w:rPr>
          <w:rFonts w:eastAsia="Times New Roman" w:cs="Arial"/>
          <w:color w:val="000000"/>
          <w:lang w:eastAsia="bg-BG"/>
        </w:rPr>
        <w:t>основно чрез чернодробен метаболизъм. Метаболитите й включват салицилпикочна киселина,</w:t>
      </w:r>
      <w:r w:rsidRPr="007606F8">
        <w:rPr>
          <w:rFonts w:eastAsia="Times New Roman" w:cs="Arial"/>
          <w:color w:val="000000"/>
          <w:lang w:eastAsia="bg-BG"/>
        </w:rPr>
        <w:t xml:space="preserve"> </w:t>
      </w:r>
      <w:r w:rsidRPr="007606F8">
        <w:rPr>
          <w:rFonts w:eastAsia="Times New Roman" w:cs="Arial"/>
          <w:color w:val="000000"/>
          <w:lang w:eastAsia="bg-BG"/>
        </w:rPr>
        <w:t>салицил фенолов глюкуронид, салицилглюкорунид, гентизинова киселина и гентизинпикочна киселина.</w:t>
      </w:r>
    </w:p>
    <w:p w14:paraId="5DE72655" w14:textId="77777777" w:rsidR="007606F8" w:rsidRPr="007606F8" w:rsidRDefault="007606F8" w:rsidP="007606F8">
      <w:pPr>
        <w:spacing w:line="240" w:lineRule="auto"/>
        <w:rPr>
          <w:rFonts w:eastAsia="Times New Roman" w:cs="Arial"/>
          <w:color w:val="000000"/>
          <w:u w:val="single"/>
          <w:lang w:eastAsia="bg-BG"/>
        </w:rPr>
      </w:pPr>
    </w:p>
    <w:p w14:paraId="6AC9297C" w14:textId="6E1605BD" w:rsidR="007606F8" w:rsidRPr="007606F8" w:rsidRDefault="007606F8" w:rsidP="007606F8">
      <w:pPr>
        <w:pStyle w:val="Heading3"/>
        <w:rPr>
          <w:rFonts w:eastAsia="Times New Roman"/>
          <w:sz w:val="28"/>
          <w:szCs w:val="28"/>
          <w:u w:val="single"/>
          <w:lang w:eastAsia="bg-BG"/>
        </w:rPr>
      </w:pPr>
      <w:r w:rsidRPr="007606F8">
        <w:rPr>
          <w:rFonts w:eastAsia="Times New Roman"/>
          <w:u w:val="single"/>
          <w:lang w:eastAsia="bg-BG"/>
        </w:rPr>
        <w:lastRenderedPageBreak/>
        <w:t>Елиминиране</w:t>
      </w:r>
    </w:p>
    <w:p w14:paraId="42497C6C" w14:textId="77777777" w:rsidR="007606F8" w:rsidRPr="007606F8" w:rsidRDefault="007606F8" w:rsidP="007606F8">
      <w:pPr>
        <w:spacing w:line="240" w:lineRule="auto"/>
        <w:rPr>
          <w:rFonts w:eastAsia="Times New Roman" w:cs="Arial"/>
          <w:sz w:val="28"/>
          <w:szCs w:val="28"/>
          <w:lang w:eastAsia="bg-BG"/>
        </w:rPr>
      </w:pPr>
      <w:r w:rsidRPr="007606F8">
        <w:rPr>
          <w:rFonts w:eastAsia="Times New Roman" w:cs="Arial"/>
          <w:color w:val="000000"/>
          <w:lang w:eastAsia="bg-BG"/>
        </w:rPr>
        <w:t>Кинетиката на елиминиране на салициловата киселина показва зависимост от приложената доза, поради това, че метаболизмът се лимитра от капацитета на чернодробните ензими. Времето на полуживот е между 2 и 3 часа след прием на ниски дози и до около 15 часа при прием на високи дози. Салициловата киселина и нейните метаболити се екскретират главно чрез гломерулна филтрация, активна тубулна секреция и пасивна тубулна реабсорбция. Алкализирането на урината води до увеличаване на уринната екскреция.</w:t>
      </w:r>
    </w:p>
    <w:p w14:paraId="7CB9C8C0" w14:textId="7CC21342" w:rsidR="007606F8" w:rsidRDefault="007606F8" w:rsidP="007606F8">
      <w:pPr>
        <w:rPr>
          <w:rFonts w:eastAsia="Times New Roman" w:cs="Arial"/>
          <w:color w:val="000000"/>
          <w:lang w:val="en-US"/>
        </w:rPr>
      </w:pPr>
      <w:r w:rsidRPr="007606F8">
        <w:rPr>
          <w:rFonts w:eastAsia="Times New Roman" w:cs="Arial"/>
          <w:color w:val="000000"/>
          <w:lang w:eastAsia="bg-BG"/>
        </w:rPr>
        <w:t xml:space="preserve">Налични фармакокинетични данни на ацетилсалициловата киселена не показват клинично значимо отклонение от дозовата пропорционалност при дози от 100 </w:t>
      </w:r>
      <w:r w:rsidRPr="007606F8">
        <w:rPr>
          <w:rFonts w:eastAsia="Times New Roman" w:cs="Arial"/>
          <w:color w:val="000000"/>
          <w:lang w:val="en-US"/>
        </w:rPr>
        <w:t xml:space="preserve">g </w:t>
      </w:r>
      <w:r w:rsidRPr="007606F8">
        <w:rPr>
          <w:rFonts w:eastAsia="Times New Roman" w:cs="Arial"/>
          <w:color w:val="000000"/>
          <w:lang w:eastAsia="bg-BG"/>
        </w:rPr>
        <w:t xml:space="preserve">до 500 </w:t>
      </w:r>
      <w:r w:rsidRPr="007606F8">
        <w:rPr>
          <w:rFonts w:eastAsia="Times New Roman" w:cs="Arial"/>
          <w:color w:val="000000"/>
          <w:lang w:val="en-US"/>
        </w:rPr>
        <w:t>g.</w:t>
      </w:r>
    </w:p>
    <w:p w14:paraId="3C69BBBF" w14:textId="77777777" w:rsidR="007606F8" w:rsidRPr="007606F8" w:rsidRDefault="007606F8" w:rsidP="007606F8">
      <w:pPr>
        <w:rPr>
          <w:rFonts w:cs="Arial"/>
          <w:sz w:val="24"/>
          <w:szCs w:val="24"/>
        </w:rPr>
      </w:pPr>
    </w:p>
    <w:p w14:paraId="0BD5B037" w14:textId="3F545019" w:rsidR="008F7F23" w:rsidRDefault="002C50EE" w:rsidP="00340E8D">
      <w:pPr>
        <w:pStyle w:val="Heading2"/>
      </w:pPr>
      <w:r>
        <w:t>5.3. Предклинични данни за безопасност</w:t>
      </w:r>
    </w:p>
    <w:p w14:paraId="2091B463" w14:textId="10C2039F" w:rsidR="007606F8" w:rsidRDefault="007606F8" w:rsidP="007606F8"/>
    <w:p w14:paraId="7867AC7B" w14:textId="77777777" w:rsidR="007606F8" w:rsidRPr="007606F8" w:rsidRDefault="007606F8" w:rsidP="007606F8">
      <w:pPr>
        <w:rPr>
          <w:sz w:val="24"/>
          <w:szCs w:val="24"/>
          <w:lang w:eastAsia="bg-BG"/>
        </w:rPr>
      </w:pPr>
      <w:r w:rsidRPr="007606F8">
        <w:rPr>
          <w:lang w:eastAsia="bg-BG"/>
        </w:rPr>
        <w:t>Предклиничните данни за безопасност на ацетилсалициловата киселина са добре документирани. В проучвания при животни салицилатите причиняват увреждане на бъбреците при високи дози без други органични увреждания.</w:t>
      </w:r>
    </w:p>
    <w:p w14:paraId="3C50D5C2" w14:textId="77777777" w:rsidR="007606F8" w:rsidRPr="007606F8" w:rsidRDefault="007606F8" w:rsidP="007606F8">
      <w:pPr>
        <w:rPr>
          <w:sz w:val="24"/>
          <w:szCs w:val="24"/>
          <w:lang w:eastAsia="bg-BG"/>
        </w:rPr>
      </w:pPr>
      <w:r w:rsidRPr="007606F8">
        <w:rPr>
          <w:lang w:eastAsia="bg-BG"/>
        </w:rPr>
        <w:t xml:space="preserve">Ацетилсалициловата киселина е широко изследвана </w:t>
      </w:r>
      <w:r w:rsidRPr="007606F8">
        <w:rPr>
          <w:i/>
          <w:iCs/>
          <w:lang w:val="en-US"/>
        </w:rPr>
        <w:t>in vitro</w:t>
      </w:r>
      <w:r w:rsidRPr="007606F8">
        <w:rPr>
          <w:lang w:val="en-US"/>
        </w:rPr>
        <w:t xml:space="preserve"> </w:t>
      </w:r>
      <w:r w:rsidRPr="007606F8">
        <w:rPr>
          <w:lang w:eastAsia="bg-BG"/>
        </w:rPr>
        <w:t xml:space="preserve">и </w:t>
      </w:r>
      <w:r w:rsidRPr="007606F8">
        <w:rPr>
          <w:i/>
          <w:iCs/>
          <w:lang w:val="en-US"/>
        </w:rPr>
        <w:t>in vivo</w:t>
      </w:r>
      <w:r w:rsidRPr="007606F8">
        <w:rPr>
          <w:lang w:val="en-US"/>
        </w:rPr>
        <w:t xml:space="preserve"> </w:t>
      </w:r>
      <w:r w:rsidRPr="007606F8">
        <w:rPr>
          <w:lang w:eastAsia="bg-BG"/>
        </w:rPr>
        <w:t>за мутагенност и канцерогенност, не е установено значимо доказателство за мутагенен или канцерогенен потенциал.</w:t>
      </w:r>
    </w:p>
    <w:p w14:paraId="7E11B370" w14:textId="007F9138" w:rsidR="007606F8" w:rsidRDefault="007606F8" w:rsidP="007606F8">
      <w:pPr>
        <w:rPr>
          <w:sz w:val="24"/>
          <w:szCs w:val="24"/>
          <w:lang w:eastAsia="bg-BG"/>
        </w:rPr>
      </w:pPr>
      <w:r w:rsidRPr="007606F8">
        <w:rPr>
          <w:lang w:eastAsia="bg-BG"/>
        </w:rPr>
        <w:t>Салицилатите проявяват тератогенни ефекти при изследвания върху различни видове животни. Описани са случаи на нарушения при имплантация, ембриотоксични и фетотоксични ефекти и увреждане на способността за учене в поколението след парентерална експозиция.</w:t>
      </w:r>
    </w:p>
    <w:p w14:paraId="38F2BFA6" w14:textId="77777777" w:rsidR="007606F8" w:rsidRPr="007606F8" w:rsidRDefault="007606F8" w:rsidP="007606F8">
      <w:pPr>
        <w:spacing w:line="240" w:lineRule="auto"/>
        <w:rPr>
          <w:rFonts w:ascii="Times New Roman" w:eastAsia="Times New Roman" w:hAnsi="Times New Roman" w:cs="Times New Roman"/>
          <w:sz w:val="24"/>
          <w:szCs w:val="24"/>
          <w:lang w:eastAsia="bg-BG"/>
        </w:rPr>
      </w:pPr>
    </w:p>
    <w:p w14:paraId="357049A8" w14:textId="18834835" w:rsidR="00BB22B4" w:rsidRDefault="002C50EE" w:rsidP="00471F10">
      <w:pPr>
        <w:pStyle w:val="Heading1"/>
      </w:pPr>
      <w:r>
        <w:t>7. ПРИТЕЖАТЕЛ НА РАЗРЕШЕНИЕТО ЗА УПОТРЕБА</w:t>
      </w:r>
    </w:p>
    <w:p w14:paraId="7F75D425" w14:textId="665886CD" w:rsidR="007606F8" w:rsidRDefault="007606F8" w:rsidP="007606F8"/>
    <w:p w14:paraId="31508E25" w14:textId="77777777" w:rsidR="007606F8" w:rsidRPr="007606F8" w:rsidRDefault="007606F8" w:rsidP="007606F8">
      <w:pPr>
        <w:rPr>
          <w:sz w:val="24"/>
          <w:szCs w:val="24"/>
          <w:lang w:eastAsia="bg-BG"/>
        </w:rPr>
      </w:pPr>
      <w:r w:rsidRPr="007606F8">
        <w:rPr>
          <w:lang w:eastAsia="bg-BG"/>
        </w:rPr>
        <w:t>“Чайкафарма Висококачествените Лекарства” АД</w:t>
      </w:r>
    </w:p>
    <w:p w14:paraId="7A69E480" w14:textId="77777777" w:rsidR="007606F8" w:rsidRPr="007606F8" w:rsidRDefault="007606F8" w:rsidP="007606F8">
      <w:pPr>
        <w:rPr>
          <w:sz w:val="24"/>
          <w:szCs w:val="24"/>
          <w:lang w:eastAsia="bg-BG"/>
        </w:rPr>
      </w:pPr>
      <w:r w:rsidRPr="007606F8">
        <w:rPr>
          <w:lang w:eastAsia="bg-BG"/>
        </w:rPr>
        <w:t>бул.” Г. М. Димитров” № 1</w:t>
      </w:r>
    </w:p>
    <w:p w14:paraId="4B6FF225" w14:textId="77777777" w:rsidR="007606F8" w:rsidRPr="007606F8" w:rsidRDefault="007606F8" w:rsidP="007606F8">
      <w:pPr>
        <w:rPr>
          <w:sz w:val="24"/>
          <w:szCs w:val="24"/>
          <w:lang w:eastAsia="bg-BG"/>
        </w:rPr>
      </w:pPr>
      <w:r w:rsidRPr="007606F8">
        <w:rPr>
          <w:lang w:eastAsia="bg-BG"/>
        </w:rPr>
        <w:t>гр. София 1172, България</w:t>
      </w:r>
    </w:p>
    <w:p w14:paraId="20A941CC" w14:textId="77777777" w:rsidR="007606F8" w:rsidRPr="007606F8" w:rsidRDefault="007606F8" w:rsidP="007606F8">
      <w:pPr>
        <w:rPr>
          <w:sz w:val="24"/>
          <w:szCs w:val="24"/>
          <w:lang w:eastAsia="bg-BG"/>
        </w:rPr>
      </w:pPr>
      <w:r w:rsidRPr="007606F8">
        <w:rPr>
          <w:lang w:eastAsia="bg-BG"/>
        </w:rPr>
        <w:t>тел.: 02/ 962 54 54</w:t>
      </w:r>
    </w:p>
    <w:p w14:paraId="184DE61C" w14:textId="77777777" w:rsidR="007606F8" w:rsidRPr="007606F8" w:rsidRDefault="007606F8" w:rsidP="007606F8">
      <w:pPr>
        <w:rPr>
          <w:sz w:val="24"/>
          <w:szCs w:val="24"/>
          <w:lang w:eastAsia="bg-BG"/>
        </w:rPr>
      </w:pPr>
      <w:r w:rsidRPr="007606F8">
        <w:rPr>
          <w:lang w:eastAsia="bg-BG"/>
        </w:rPr>
        <w:t>факс: 02/ 960 37 03</w:t>
      </w:r>
    </w:p>
    <w:p w14:paraId="6D384DF2" w14:textId="7F818015" w:rsidR="007606F8" w:rsidRPr="007606F8" w:rsidRDefault="007606F8" w:rsidP="007606F8">
      <w:r w:rsidRPr="007606F8">
        <w:rPr>
          <w:lang w:eastAsia="bg-BG"/>
        </w:rPr>
        <w:t xml:space="preserve">имейл: </w:t>
      </w:r>
      <w:hyperlink r:id="rId6" w:history="1">
        <w:r w:rsidRPr="007606F8">
          <w:rPr>
            <w:lang w:val="en-US"/>
          </w:rPr>
          <w:t>info@tchaikapharma.com</w:t>
        </w:r>
      </w:hyperlink>
    </w:p>
    <w:p w14:paraId="0A53321D" w14:textId="4CF068F3" w:rsidR="00EE6C97" w:rsidRDefault="00936AD0" w:rsidP="00A93499">
      <w:pPr>
        <w:pStyle w:val="Heading1"/>
      </w:pPr>
      <w:r>
        <w:t>8.</w:t>
      </w:r>
      <w:r w:rsidR="002C50EE">
        <w:t>НОМЕР НА РАЗРЕШЕНИЕТО ЗА УПОТРЕБА</w:t>
      </w:r>
    </w:p>
    <w:p w14:paraId="3DF71DA6" w14:textId="4C394E4F" w:rsidR="007606F8" w:rsidRDefault="007606F8" w:rsidP="007606F8"/>
    <w:p w14:paraId="4D7E00D8" w14:textId="2D32ECA0" w:rsidR="007606F8" w:rsidRPr="007606F8" w:rsidRDefault="007606F8" w:rsidP="007606F8">
      <w:pPr>
        <w:rPr>
          <w:sz w:val="24"/>
          <w:szCs w:val="24"/>
          <w:lang w:eastAsia="bg-BG"/>
        </w:rPr>
      </w:pPr>
      <w:r w:rsidRPr="007606F8">
        <w:rPr>
          <w:lang w:eastAsia="bg-BG"/>
        </w:rPr>
        <w:t>Рег.номер: 20110729</w:t>
      </w:r>
    </w:p>
    <w:p w14:paraId="3715C10B" w14:textId="7783400E" w:rsidR="00BB22B4" w:rsidRDefault="002C50EE" w:rsidP="00471F10">
      <w:pPr>
        <w:pStyle w:val="Heading1"/>
      </w:pPr>
      <w:r>
        <w:t>9. ДАТА НА ПЪРВО РАЗРЕШАВАНЕ/ПОДНОВЯВАНЕ НА РАЗРЕШЕНИЕТО ЗА УПОТРЕБА</w:t>
      </w:r>
    </w:p>
    <w:p w14:paraId="013D5F10" w14:textId="2A749399" w:rsidR="007606F8" w:rsidRDefault="007606F8" w:rsidP="007606F8"/>
    <w:p w14:paraId="554F238F" w14:textId="6855866F" w:rsidR="007606F8" w:rsidRPr="007606F8" w:rsidRDefault="007606F8" w:rsidP="007606F8">
      <w:r>
        <w:t>Дата на първо разрешаване: 08.12.2011 г.</w:t>
      </w:r>
    </w:p>
    <w:p w14:paraId="43FB38A2" w14:textId="0C18A683" w:rsidR="007C605B" w:rsidRDefault="002C50EE" w:rsidP="005726E3">
      <w:pPr>
        <w:pStyle w:val="Heading1"/>
      </w:pPr>
      <w:r>
        <w:t>10. ДАТА НА АКТУАЛИЗИРАНЕ НА ТЕКСТА</w:t>
      </w:r>
      <w:bookmarkEnd w:id="0"/>
    </w:p>
    <w:p w14:paraId="472617BD" w14:textId="5DA06E17" w:rsidR="00BB22B4" w:rsidRPr="007606F8" w:rsidRDefault="007606F8" w:rsidP="007606F8">
      <w:pPr>
        <w:rPr>
          <w:sz w:val="24"/>
          <w:szCs w:val="24"/>
          <w:lang w:eastAsia="bg-BG"/>
        </w:rPr>
      </w:pPr>
      <w:r w:rsidRPr="007606F8">
        <w:rPr>
          <w:lang w:eastAsia="bg-BG"/>
        </w:rPr>
        <w:t>Януари/2020</w:t>
      </w:r>
    </w:p>
    <w:sectPr w:rsidR="00BB22B4" w:rsidRPr="0076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93195"/>
    <w:multiLevelType w:val="hybridMultilevel"/>
    <w:tmpl w:val="C90C6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F5CD2"/>
    <w:multiLevelType w:val="hybridMultilevel"/>
    <w:tmpl w:val="25A458A6"/>
    <w:lvl w:ilvl="0" w:tplc="E67A8B58">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E7677"/>
    <w:multiLevelType w:val="hybridMultilevel"/>
    <w:tmpl w:val="EE549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5"/>
  </w:num>
  <w:num w:numId="12" w16cid:durableId="1434934028">
    <w:abstractNumId w:val="16"/>
  </w:num>
  <w:num w:numId="13" w16cid:durableId="479157895">
    <w:abstractNumId w:val="22"/>
  </w:num>
  <w:num w:numId="14" w16cid:durableId="1670476636">
    <w:abstractNumId w:val="14"/>
  </w:num>
  <w:num w:numId="15" w16cid:durableId="1000155783">
    <w:abstractNumId w:val="34"/>
  </w:num>
  <w:num w:numId="16" w16cid:durableId="2056420707">
    <w:abstractNumId w:val="11"/>
  </w:num>
  <w:num w:numId="17" w16cid:durableId="1787119182">
    <w:abstractNumId w:val="29"/>
  </w:num>
  <w:num w:numId="18" w16cid:durableId="722945139">
    <w:abstractNumId w:val="8"/>
  </w:num>
  <w:num w:numId="19" w16cid:durableId="1678728408">
    <w:abstractNumId w:val="31"/>
  </w:num>
  <w:num w:numId="20" w16cid:durableId="1970816657">
    <w:abstractNumId w:val="28"/>
  </w:num>
  <w:num w:numId="21" w16cid:durableId="1531146514">
    <w:abstractNumId w:val="20"/>
  </w:num>
  <w:num w:numId="22" w16cid:durableId="1276465">
    <w:abstractNumId w:val="30"/>
  </w:num>
  <w:num w:numId="23" w16cid:durableId="1624310558">
    <w:abstractNumId w:val="21"/>
  </w:num>
  <w:num w:numId="24" w16cid:durableId="1692877547">
    <w:abstractNumId w:val="9"/>
  </w:num>
  <w:num w:numId="25" w16cid:durableId="50930855">
    <w:abstractNumId w:val="27"/>
  </w:num>
  <w:num w:numId="26" w16cid:durableId="176701536">
    <w:abstractNumId w:val="25"/>
  </w:num>
  <w:num w:numId="27" w16cid:durableId="2050564750">
    <w:abstractNumId w:val="36"/>
  </w:num>
  <w:num w:numId="28" w16cid:durableId="1820733422">
    <w:abstractNumId w:val="6"/>
  </w:num>
  <w:num w:numId="29" w16cid:durableId="973678124">
    <w:abstractNumId w:val="24"/>
  </w:num>
  <w:num w:numId="30" w16cid:durableId="154884452">
    <w:abstractNumId w:val="41"/>
  </w:num>
  <w:num w:numId="31" w16cid:durableId="1053964910">
    <w:abstractNumId w:val="5"/>
  </w:num>
  <w:num w:numId="32" w16cid:durableId="2073575793">
    <w:abstractNumId w:val="39"/>
  </w:num>
  <w:num w:numId="33" w16cid:durableId="1566643170">
    <w:abstractNumId w:val="33"/>
  </w:num>
  <w:num w:numId="34" w16cid:durableId="2060787732">
    <w:abstractNumId w:val="37"/>
  </w:num>
  <w:num w:numId="35" w16cid:durableId="34161354">
    <w:abstractNumId w:val="7"/>
  </w:num>
  <w:num w:numId="36" w16cid:durableId="1976908676">
    <w:abstractNumId w:val="10"/>
  </w:num>
  <w:num w:numId="37" w16cid:durableId="758528303">
    <w:abstractNumId w:val="17"/>
  </w:num>
  <w:num w:numId="38" w16cid:durableId="178396561">
    <w:abstractNumId w:val="40"/>
  </w:num>
  <w:num w:numId="39" w16cid:durableId="934825996">
    <w:abstractNumId w:val="13"/>
  </w:num>
  <w:num w:numId="40" w16cid:durableId="1665432934">
    <w:abstractNumId w:val="26"/>
  </w:num>
  <w:num w:numId="41" w16cid:durableId="1785494972">
    <w:abstractNumId w:val="38"/>
  </w:num>
  <w:num w:numId="42" w16cid:durableId="19942915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74DE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606F8"/>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3946</Words>
  <Characters>22495</Characters>
  <Application>Microsoft Office Word</Application>
  <DocSecurity>0</DocSecurity>
  <Lines>187</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2023-01-29T17:09:00Z</dcterms:created>
  <dcterms:modified xsi:type="dcterms:W3CDTF">2023-01-29T17:09:00Z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