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000F91D4" w:rsidR="007122AD" w:rsidRDefault="00DD466D" w:rsidP="00936AD0">
      <w:pPr>
        <w:pStyle w:val="Heading1"/>
      </w:pPr>
      <w:r>
        <w:t>1.ИМЕ НА ЛЕКАРСТВЕНИЯ ПРОДУКТ</w:t>
      </w:r>
    </w:p>
    <w:p w14:paraId="705A10A9" w14:textId="4A3E0866" w:rsidR="004E363A" w:rsidRDefault="004E363A" w:rsidP="004E363A"/>
    <w:p w14:paraId="240CD8F3" w14:textId="77777777" w:rsidR="004E363A" w:rsidRPr="004E363A" w:rsidRDefault="004E363A" w:rsidP="004E363A">
      <w:pPr>
        <w:rPr>
          <w:sz w:val="24"/>
          <w:szCs w:val="24"/>
        </w:rPr>
      </w:pPr>
      <w:r w:rsidRPr="004E363A">
        <w:rPr>
          <w:lang w:eastAsia="bg-BG"/>
        </w:rPr>
        <w:t xml:space="preserve">АПРЕДОНАВ 5 </w:t>
      </w:r>
      <w:r w:rsidRPr="004E363A">
        <w:rPr>
          <w:lang w:val="en-US"/>
        </w:rPr>
        <w:t>mg</w:t>
      </w:r>
      <w:r w:rsidRPr="004E363A">
        <w:t xml:space="preserve"> </w:t>
      </w:r>
      <w:r w:rsidRPr="004E363A">
        <w:rPr>
          <w:lang w:eastAsia="bg-BG"/>
        </w:rPr>
        <w:t>филмирани таблетки</w:t>
      </w:r>
    </w:p>
    <w:p w14:paraId="1BEBB0CE" w14:textId="77777777" w:rsidR="004E363A" w:rsidRPr="004E363A" w:rsidRDefault="004E363A" w:rsidP="004E363A">
      <w:pPr>
        <w:rPr>
          <w:sz w:val="24"/>
          <w:szCs w:val="24"/>
        </w:rPr>
      </w:pPr>
      <w:r w:rsidRPr="004E363A">
        <w:rPr>
          <w:lang w:val="en-US"/>
        </w:rPr>
        <w:t>APREDONAV</w:t>
      </w:r>
      <w:r w:rsidRPr="004E363A">
        <w:t xml:space="preserve"> </w:t>
      </w:r>
      <w:r w:rsidRPr="004E363A">
        <w:rPr>
          <w:lang w:eastAsia="bg-BG"/>
        </w:rPr>
        <w:t xml:space="preserve">5 </w:t>
      </w:r>
      <w:r w:rsidRPr="004E363A">
        <w:rPr>
          <w:lang w:val="en-US"/>
        </w:rPr>
        <w:t>mg</w:t>
      </w:r>
      <w:r w:rsidRPr="004E363A">
        <w:t xml:space="preserve"> </w:t>
      </w:r>
      <w:r w:rsidRPr="004E363A">
        <w:rPr>
          <w:lang w:val="en-US"/>
        </w:rPr>
        <w:t>film</w:t>
      </w:r>
      <w:r w:rsidRPr="004E363A">
        <w:t>-</w:t>
      </w:r>
      <w:r w:rsidRPr="004E363A">
        <w:rPr>
          <w:lang w:val="en-US"/>
        </w:rPr>
        <w:t>coated</w:t>
      </w:r>
      <w:r w:rsidRPr="004E363A">
        <w:t xml:space="preserve"> </w:t>
      </w:r>
      <w:r w:rsidRPr="004E363A">
        <w:rPr>
          <w:lang w:val="en-US"/>
        </w:rPr>
        <w:t>tablets</w:t>
      </w:r>
    </w:p>
    <w:p w14:paraId="3E59EC79" w14:textId="77777777" w:rsidR="004E363A" w:rsidRDefault="004E363A" w:rsidP="004E363A">
      <w:pPr>
        <w:rPr>
          <w:lang w:eastAsia="bg-BG"/>
        </w:rPr>
      </w:pPr>
    </w:p>
    <w:p w14:paraId="3BEA9019" w14:textId="0F760992" w:rsidR="004E363A" w:rsidRPr="004E363A" w:rsidRDefault="004E363A" w:rsidP="004E363A">
      <w:pPr>
        <w:rPr>
          <w:sz w:val="24"/>
          <w:szCs w:val="24"/>
        </w:rPr>
      </w:pPr>
      <w:r w:rsidRPr="004E363A">
        <w:rPr>
          <w:lang w:eastAsia="bg-BG"/>
        </w:rPr>
        <w:t xml:space="preserve">АПРЕДОНАВ 7,5 </w:t>
      </w:r>
      <w:r w:rsidRPr="004E363A">
        <w:rPr>
          <w:lang w:val="en-US"/>
        </w:rPr>
        <w:t>mg</w:t>
      </w:r>
      <w:r w:rsidRPr="004E363A">
        <w:t xml:space="preserve"> </w:t>
      </w:r>
      <w:r w:rsidRPr="004E363A">
        <w:rPr>
          <w:lang w:eastAsia="bg-BG"/>
        </w:rPr>
        <w:t>филмирани таблетки</w:t>
      </w:r>
    </w:p>
    <w:p w14:paraId="30A6F0F1" w14:textId="77777777" w:rsidR="004E363A" w:rsidRPr="004E363A" w:rsidRDefault="004E363A" w:rsidP="004E363A">
      <w:pPr>
        <w:rPr>
          <w:sz w:val="24"/>
          <w:szCs w:val="24"/>
        </w:rPr>
      </w:pPr>
      <w:r w:rsidRPr="004E363A">
        <w:rPr>
          <w:lang w:val="en-US"/>
        </w:rPr>
        <w:t>APREDONAV</w:t>
      </w:r>
      <w:r w:rsidRPr="004E363A">
        <w:t xml:space="preserve"> </w:t>
      </w:r>
      <w:r w:rsidRPr="004E363A">
        <w:rPr>
          <w:lang w:eastAsia="bg-BG"/>
        </w:rPr>
        <w:t xml:space="preserve">7.5 </w:t>
      </w:r>
      <w:r w:rsidRPr="004E363A">
        <w:rPr>
          <w:lang w:val="en-US"/>
        </w:rPr>
        <w:t>mg</w:t>
      </w:r>
      <w:r w:rsidRPr="004E363A">
        <w:t xml:space="preserve"> </w:t>
      </w:r>
      <w:r w:rsidRPr="004E363A">
        <w:rPr>
          <w:lang w:val="en-US"/>
        </w:rPr>
        <w:t>film</w:t>
      </w:r>
      <w:r w:rsidRPr="004E363A">
        <w:t>-</w:t>
      </w:r>
      <w:r w:rsidRPr="004E363A">
        <w:rPr>
          <w:lang w:val="en-US"/>
        </w:rPr>
        <w:t>coated</w:t>
      </w:r>
      <w:r w:rsidRPr="004E363A">
        <w:t xml:space="preserve"> </w:t>
      </w:r>
      <w:r w:rsidRPr="004E363A">
        <w:rPr>
          <w:lang w:val="en-US"/>
        </w:rPr>
        <w:t>tablets</w:t>
      </w:r>
    </w:p>
    <w:p w14:paraId="181018B0" w14:textId="3C8FC798" w:rsidR="004E363A" w:rsidRPr="004E363A" w:rsidRDefault="004E363A" w:rsidP="004E363A"/>
    <w:p w14:paraId="6920A680" w14:textId="1AD1ADE8" w:rsidR="00C40420" w:rsidRDefault="00DD466D" w:rsidP="004A448E">
      <w:pPr>
        <w:pStyle w:val="Heading1"/>
      </w:pPr>
      <w:r>
        <w:t>2. КАЧЕСТВЕН И КОЛИЧЕСТВЕН СЪСТАВ</w:t>
      </w:r>
    </w:p>
    <w:p w14:paraId="0DA7D7E6" w14:textId="06B3B6FB" w:rsidR="004E363A" w:rsidRDefault="004E363A" w:rsidP="004E363A"/>
    <w:p w14:paraId="74D63B2F"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u w:val="single"/>
          <w:lang w:eastAsia="bg-BG"/>
        </w:rPr>
        <w:t xml:space="preserve">АПРЕДОНАВ 5 </w:t>
      </w:r>
      <w:r w:rsidRPr="004E363A">
        <w:rPr>
          <w:rFonts w:eastAsia="Times New Roman" w:cs="Arial"/>
          <w:color w:val="000000"/>
          <w:szCs w:val="20"/>
          <w:u w:val="single"/>
          <w:lang w:val="en-US"/>
        </w:rPr>
        <w:t>mg</w:t>
      </w:r>
      <w:r w:rsidRPr="004E363A">
        <w:rPr>
          <w:rFonts w:eastAsia="Times New Roman" w:cs="Arial"/>
          <w:color w:val="000000"/>
          <w:szCs w:val="20"/>
          <w:u w:val="single"/>
          <w:lang w:val="ru-RU"/>
        </w:rPr>
        <w:t xml:space="preserve"> </w:t>
      </w:r>
      <w:r w:rsidRPr="004E363A">
        <w:rPr>
          <w:rFonts w:eastAsia="Times New Roman" w:cs="Arial"/>
          <w:color w:val="000000"/>
          <w:szCs w:val="20"/>
          <w:u w:val="single"/>
          <w:lang w:eastAsia="bg-BG"/>
        </w:rPr>
        <w:t>филмирани таблетки</w:t>
      </w:r>
    </w:p>
    <w:p w14:paraId="59A97627"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Една филмирана таблетка съдържа 5 </w:t>
      </w:r>
      <w:r w:rsidRPr="004E363A">
        <w:rPr>
          <w:rFonts w:eastAsia="Times New Roman" w:cs="Arial"/>
          <w:color w:val="000000"/>
          <w:szCs w:val="20"/>
          <w:lang w:val="en-US"/>
        </w:rPr>
        <w:t>mg</w:t>
      </w:r>
      <w:r w:rsidRPr="004E363A">
        <w:rPr>
          <w:rFonts w:eastAsia="Times New Roman" w:cs="Arial"/>
          <w:color w:val="000000"/>
          <w:szCs w:val="20"/>
        </w:rPr>
        <w:t xml:space="preserve"> </w:t>
      </w:r>
      <w:r w:rsidRPr="004E363A">
        <w:rPr>
          <w:rFonts w:eastAsia="Times New Roman" w:cs="Arial"/>
          <w:color w:val="000000"/>
          <w:szCs w:val="20"/>
          <w:lang w:eastAsia="bg-BG"/>
        </w:rPr>
        <w:t xml:space="preserve">ивабрадин </w:t>
      </w:r>
      <w:r w:rsidRPr="004E363A">
        <w:rPr>
          <w:rFonts w:eastAsia="Times New Roman" w:cs="Arial"/>
          <w:color w:val="000000"/>
          <w:szCs w:val="20"/>
        </w:rPr>
        <w:t>(</w:t>
      </w:r>
      <w:proofErr w:type="spellStart"/>
      <w:r w:rsidRPr="004E363A">
        <w:rPr>
          <w:rFonts w:eastAsia="Times New Roman" w:cs="Arial"/>
          <w:color w:val="000000"/>
          <w:szCs w:val="20"/>
          <w:lang w:val="en-US"/>
        </w:rPr>
        <w:t>ivabradine</w:t>
      </w:r>
      <w:proofErr w:type="spellEnd"/>
      <w:r w:rsidRPr="004E363A">
        <w:rPr>
          <w:rFonts w:eastAsia="Times New Roman" w:cs="Arial"/>
          <w:color w:val="000000"/>
          <w:szCs w:val="20"/>
        </w:rPr>
        <w:t xml:space="preserve">) </w:t>
      </w:r>
      <w:r w:rsidRPr="004E363A">
        <w:rPr>
          <w:rFonts w:eastAsia="Times New Roman" w:cs="Arial"/>
          <w:color w:val="000000"/>
          <w:szCs w:val="20"/>
          <w:lang w:eastAsia="bg-BG"/>
        </w:rPr>
        <w:t xml:space="preserve">(еквивалентно на 5,390 </w:t>
      </w:r>
      <w:r w:rsidRPr="004E363A">
        <w:rPr>
          <w:rFonts w:eastAsia="Times New Roman" w:cs="Arial"/>
          <w:color w:val="000000"/>
          <w:szCs w:val="20"/>
          <w:lang w:val="en-US"/>
        </w:rPr>
        <w:t>mg</w:t>
      </w:r>
      <w:r w:rsidRPr="004E363A">
        <w:rPr>
          <w:rFonts w:eastAsia="Times New Roman" w:cs="Arial"/>
          <w:color w:val="000000"/>
          <w:szCs w:val="20"/>
        </w:rPr>
        <w:t xml:space="preserve"> </w:t>
      </w:r>
      <w:r w:rsidRPr="004E363A">
        <w:rPr>
          <w:rFonts w:eastAsia="Times New Roman" w:cs="Arial"/>
          <w:color w:val="000000"/>
          <w:szCs w:val="20"/>
          <w:lang w:eastAsia="bg-BG"/>
        </w:rPr>
        <w:t>ивабрадин като хидрохлорид).</w:t>
      </w:r>
    </w:p>
    <w:p w14:paraId="5526AE94"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u w:val="single"/>
          <w:lang w:eastAsia="bg-BG"/>
        </w:rPr>
        <w:t>Помощно вещество с известно действие:</w:t>
      </w:r>
      <w:r w:rsidRPr="004E363A">
        <w:rPr>
          <w:rFonts w:eastAsia="Times New Roman" w:cs="Arial"/>
          <w:color w:val="000000"/>
          <w:szCs w:val="20"/>
          <w:lang w:eastAsia="bg-BG"/>
        </w:rPr>
        <w:t xml:space="preserve"> 62,61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безводна лактоза.</w:t>
      </w:r>
    </w:p>
    <w:p w14:paraId="4A2760AF" w14:textId="77777777" w:rsidR="004E363A" w:rsidRPr="004E363A" w:rsidRDefault="004E363A" w:rsidP="004E363A">
      <w:pPr>
        <w:spacing w:line="240" w:lineRule="auto"/>
        <w:rPr>
          <w:rFonts w:eastAsia="Times New Roman" w:cs="Arial"/>
          <w:color w:val="000000"/>
          <w:szCs w:val="20"/>
          <w:u w:val="single"/>
          <w:lang w:eastAsia="bg-BG"/>
        </w:rPr>
      </w:pPr>
    </w:p>
    <w:p w14:paraId="480439A2" w14:textId="6A57ECE1"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u w:val="single"/>
          <w:lang w:eastAsia="bg-BG"/>
        </w:rPr>
        <w:t xml:space="preserve">АПРЕДОНАВ 7,5 </w:t>
      </w:r>
      <w:r w:rsidRPr="004E363A">
        <w:rPr>
          <w:rFonts w:eastAsia="Times New Roman" w:cs="Arial"/>
          <w:color w:val="000000"/>
          <w:szCs w:val="20"/>
          <w:u w:val="single"/>
          <w:lang w:val="en-US"/>
        </w:rPr>
        <w:t>mg</w:t>
      </w:r>
      <w:r w:rsidRPr="004E363A">
        <w:rPr>
          <w:rFonts w:eastAsia="Times New Roman" w:cs="Arial"/>
          <w:color w:val="000000"/>
          <w:szCs w:val="20"/>
          <w:u w:val="single"/>
        </w:rPr>
        <w:t xml:space="preserve"> </w:t>
      </w:r>
      <w:r w:rsidRPr="004E363A">
        <w:rPr>
          <w:rFonts w:eastAsia="Times New Roman" w:cs="Arial"/>
          <w:color w:val="000000"/>
          <w:szCs w:val="20"/>
          <w:u w:val="single"/>
          <w:lang w:eastAsia="bg-BG"/>
        </w:rPr>
        <w:t>Филмирани таблетки</w:t>
      </w:r>
    </w:p>
    <w:p w14:paraId="6523DBD5"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Една филмирана таблетка съдържа 7,5 </w:t>
      </w:r>
      <w:r w:rsidRPr="004E363A">
        <w:rPr>
          <w:rFonts w:eastAsia="Times New Roman" w:cs="Arial"/>
          <w:color w:val="000000"/>
          <w:szCs w:val="20"/>
          <w:lang w:val="en-US"/>
        </w:rPr>
        <w:t>mg</w:t>
      </w:r>
      <w:r w:rsidRPr="004E363A">
        <w:rPr>
          <w:rFonts w:eastAsia="Times New Roman" w:cs="Arial"/>
          <w:color w:val="000000"/>
          <w:szCs w:val="20"/>
        </w:rPr>
        <w:t xml:space="preserve"> </w:t>
      </w:r>
      <w:r w:rsidRPr="004E363A">
        <w:rPr>
          <w:rFonts w:eastAsia="Times New Roman" w:cs="Arial"/>
          <w:color w:val="000000"/>
          <w:szCs w:val="20"/>
          <w:lang w:eastAsia="bg-BG"/>
        </w:rPr>
        <w:t xml:space="preserve">ивабрадин </w:t>
      </w:r>
      <w:r w:rsidRPr="004E363A">
        <w:rPr>
          <w:rFonts w:eastAsia="Times New Roman" w:cs="Arial"/>
          <w:color w:val="000000"/>
          <w:szCs w:val="20"/>
        </w:rPr>
        <w:t>(</w:t>
      </w:r>
      <w:proofErr w:type="spellStart"/>
      <w:r w:rsidRPr="004E363A">
        <w:rPr>
          <w:rFonts w:eastAsia="Times New Roman" w:cs="Arial"/>
          <w:color w:val="000000"/>
          <w:szCs w:val="20"/>
          <w:lang w:val="en-US"/>
        </w:rPr>
        <w:t>ivabradine</w:t>
      </w:r>
      <w:proofErr w:type="spellEnd"/>
      <w:r w:rsidRPr="004E363A">
        <w:rPr>
          <w:rFonts w:eastAsia="Times New Roman" w:cs="Arial"/>
          <w:color w:val="000000"/>
          <w:szCs w:val="20"/>
        </w:rPr>
        <w:t xml:space="preserve">) </w:t>
      </w:r>
      <w:r w:rsidRPr="004E363A">
        <w:rPr>
          <w:rFonts w:eastAsia="Times New Roman" w:cs="Arial"/>
          <w:color w:val="000000"/>
          <w:szCs w:val="20"/>
          <w:lang w:eastAsia="bg-BG"/>
        </w:rPr>
        <w:t xml:space="preserve">(еквивалентно на 8,085 </w:t>
      </w:r>
      <w:r w:rsidRPr="004E363A">
        <w:rPr>
          <w:rFonts w:eastAsia="Times New Roman" w:cs="Arial"/>
          <w:color w:val="000000"/>
          <w:szCs w:val="20"/>
          <w:lang w:val="en-US"/>
        </w:rPr>
        <w:t>mg</w:t>
      </w:r>
      <w:r w:rsidRPr="004E363A">
        <w:rPr>
          <w:rFonts w:eastAsia="Times New Roman" w:cs="Arial"/>
          <w:color w:val="000000"/>
          <w:szCs w:val="20"/>
        </w:rPr>
        <w:t xml:space="preserve"> </w:t>
      </w:r>
      <w:r w:rsidRPr="004E363A">
        <w:rPr>
          <w:rFonts w:eastAsia="Times New Roman" w:cs="Arial"/>
          <w:color w:val="000000"/>
          <w:szCs w:val="20"/>
          <w:lang w:eastAsia="bg-BG"/>
        </w:rPr>
        <w:t>ивабрадин като хидрохлорид).</w:t>
      </w:r>
    </w:p>
    <w:p w14:paraId="2BB56E5F"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u w:val="single"/>
          <w:lang w:eastAsia="bg-BG"/>
        </w:rPr>
        <w:t>Помощно вещество с известно действие:</w:t>
      </w:r>
      <w:r w:rsidRPr="004E363A">
        <w:rPr>
          <w:rFonts w:eastAsia="Times New Roman" w:cs="Arial"/>
          <w:color w:val="000000"/>
          <w:szCs w:val="20"/>
          <w:lang w:eastAsia="bg-BG"/>
        </w:rPr>
        <w:t xml:space="preserve"> 93,915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безводна лактоза.</w:t>
      </w:r>
    </w:p>
    <w:p w14:paraId="377F60E0" w14:textId="77777777" w:rsidR="004E363A" w:rsidRPr="004E363A" w:rsidRDefault="004E363A" w:rsidP="004E363A"/>
    <w:p w14:paraId="614984C4" w14:textId="4D2C1C2A" w:rsidR="008A6AF2" w:rsidRDefault="00DD466D" w:rsidP="002C50EE">
      <w:pPr>
        <w:pStyle w:val="Heading1"/>
      </w:pPr>
      <w:r>
        <w:t>3. ЛЕКАРСТВЕНА ФОРМА</w:t>
      </w:r>
    </w:p>
    <w:p w14:paraId="30414329" w14:textId="52BA55CF" w:rsidR="004E363A" w:rsidRDefault="004E363A" w:rsidP="004E363A"/>
    <w:p w14:paraId="6553A160" w14:textId="77777777" w:rsidR="004E363A" w:rsidRPr="004E363A" w:rsidRDefault="004E363A" w:rsidP="004E363A">
      <w:pPr>
        <w:rPr>
          <w:sz w:val="24"/>
          <w:szCs w:val="24"/>
        </w:rPr>
      </w:pPr>
      <w:r w:rsidRPr="004E363A">
        <w:rPr>
          <w:lang w:eastAsia="bg-BG"/>
        </w:rPr>
        <w:t>Филмирана таблетка.</w:t>
      </w:r>
    </w:p>
    <w:p w14:paraId="4928C62A" w14:textId="77777777" w:rsidR="004E363A" w:rsidRDefault="004E363A" w:rsidP="004E363A">
      <w:pPr>
        <w:rPr>
          <w:u w:val="single"/>
          <w:lang w:eastAsia="bg-BG"/>
        </w:rPr>
      </w:pPr>
    </w:p>
    <w:p w14:paraId="5462D6B6" w14:textId="608E2B87" w:rsidR="004E363A" w:rsidRPr="004E363A" w:rsidRDefault="004E363A" w:rsidP="004E363A">
      <w:pPr>
        <w:rPr>
          <w:sz w:val="24"/>
          <w:szCs w:val="24"/>
        </w:rPr>
      </w:pPr>
      <w:r w:rsidRPr="004E363A">
        <w:rPr>
          <w:u w:val="single"/>
          <w:lang w:eastAsia="bg-BG"/>
        </w:rPr>
        <w:t xml:space="preserve">АПРЕДОНАВ 5 </w:t>
      </w:r>
      <w:r w:rsidRPr="004E363A">
        <w:rPr>
          <w:u w:val="single"/>
          <w:lang w:val="en-US"/>
        </w:rPr>
        <w:t>mg</w:t>
      </w:r>
      <w:r w:rsidRPr="004E363A">
        <w:rPr>
          <w:u w:val="single"/>
          <w:lang w:val="ru-RU"/>
        </w:rPr>
        <w:t xml:space="preserve"> </w:t>
      </w:r>
      <w:r w:rsidRPr="004E363A">
        <w:rPr>
          <w:u w:val="single"/>
          <w:lang w:eastAsia="bg-BG"/>
        </w:rPr>
        <w:t>филмирани таблетки</w:t>
      </w:r>
    </w:p>
    <w:p w14:paraId="6ED3E11A" w14:textId="77777777" w:rsidR="004E363A" w:rsidRPr="004E363A" w:rsidRDefault="004E363A" w:rsidP="004E363A">
      <w:pPr>
        <w:rPr>
          <w:sz w:val="24"/>
          <w:szCs w:val="24"/>
        </w:rPr>
      </w:pPr>
      <w:r w:rsidRPr="004E363A">
        <w:rPr>
          <w:lang w:eastAsia="bg-BG"/>
        </w:rPr>
        <w:t xml:space="preserve">Розово-оранжева, овална, двойноизпъкнала филмирана таблетка с делителна черта от двете страни, с размер на ядрото 8,5 </w:t>
      </w:r>
      <w:r w:rsidRPr="004E363A">
        <w:rPr>
          <w:lang w:val="en-US"/>
        </w:rPr>
        <w:t>mm</w:t>
      </w:r>
      <w:r w:rsidRPr="004E363A">
        <w:rPr>
          <w:lang w:val="ru-RU"/>
        </w:rPr>
        <w:t xml:space="preserve"> </w:t>
      </w:r>
      <w:r w:rsidRPr="004E363A">
        <w:rPr>
          <w:lang w:eastAsia="bg-BG"/>
        </w:rPr>
        <w:t xml:space="preserve">х 4 </w:t>
      </w:r>
      <w:r w:rsidRPr="004E363A">
        <w:rPr>
          <w:lang w:val="en-US"/>
        </w:rPr>
        <w:t>mm</w:t>
      </w:r>
      <w:r w:rsidRPr="004E363A">
        <w:rPr>
          <w:lang w:val="ru-RU"/>
        </w:rPr>
        <w:t>.</w:t>
      </w:r>
    </w:p>
    <w:p w14:paraId="516F8C3E" w14:textId="77777777" w:rsidR="004E363A" w:rsidRPr="004E363A" w:rsidRDefault="004E363A" w:rsidP="004E363A">
      <w:pPr>
        <w:rPr>
          <w:sz w:val="24"/>
          <w:szCs w:val="24"/>
        </w:rPr>
      </w:pPr>
      <w:r w:rsidRPr="004E363A">
        <w:rPr>
          <w:lang w:eastAsia="bg-BG"/>
        </w:rPr>
        <w:t>Таблетката може да бъде разделена на равни дози.</w:t>
      </w:r>
    </w:p>
    <w:p w14:paraId="00CD56F8" w14:textId="77777777" w:rsidR="004E363A" w:rsidRDefault="004E363A" w:rsidP="004E363A">
      <w:pPr>
        <w:rPr>
          <w:u w:val="single"/>
          <w:lang w:eastAsia="bg-BG"/>
        </w:rPr>
      </w:pPr>
    </w:p>
    <w:p w14:paraId="3F6412A5" w14:textId="211D6C38" w:rsidR="004E363A" w:rsidRPr="004E363A" w:rsidRDefault="004E363A" w:rsidP="004E363A">
      <w:pPr>
        <w:rPr>
          <w:sz w:val="24"/>
          <w:szCs w:val="24"/>
        </w:rPr>
      </w:pPr>
      <w:r w:rsidRPr="004E363A">
        <w:rPr>
          <w:u w:val="single"/>
          <w:lang w:eastAsia="bg-BG"/>
        </w:rPr>
        <w:t xml:space="preserve">АПРЕДОНАВ 7.5 </w:t>
      </w:r>
      <w:r w:rsidRPr="004E363A">
        <w:rPr>
          <w:u w:val="single"/>
          <w:lang w:val="en-US"/>
        </w:rPr>
        <w:t>mg</w:t>
      </w:r>
      <w:r w:rsidRPr="004E363A">
        <w:rPr>
          <w:u w:val="single"/>
          <w:lang w:val="ru-RU"/>
        </w:rPr>
        <w:t xml:space="preserve"> </w:t>
      </w:r>
      <w:r w:rsidRPr="004E363A">
        <w:rPr>
          <w:u w:val="single"/>
          <w:lang w:eastAsia="bg-BG"/>
        </w:rPr>
        <w:t>филмирани таблетки</w:t>
      </w:r>
    </w:p>
    <w:p w14:paraId="7D2C21E6" w14:textId="77777777" w:rsidR="004E363A" w:rsidRPr="004E363A" w:rsidRDefault="004E363A" w:rsidP="004E363A">
      <w:pPr>
        <w:rPr>
          <w:sz w:val="24"/>
          <w:szCs w:val="24"/>
        </w:rPr>
      </w:pPr>
      <w:r w:rsidRPr="004E363A">
        <w:rPr>
          <w:lang w:eastAsia="bg-BG"/>
        </w:rPr>
        <w:t xml:space="preserve">Розово-оранжева, кръгла, двойноизпъкнала филмирана таблетка гладка от двете страни, с диаметър на ядрото 7 </w:t>
      </w:r>
      <w:r w:rsidRPr="004E363A">
        <w:rPr>
          <w:lang w:val="en-US"/>
        </w:rPr>
        <w:t>mm</w:t>
      </w:r>
      <w:r w:rsidRPr="004E363A">
        <w:rPr>
          <w:lang w:val="ru-RU"/>
        </w:rPr>
        <w:t>.</w:t>
      </w:r>
    </w:p>
    <w:p w14:paraId="517ABED7" w14:textId="77777777" w:rsidR="004E363A" w:rsidRPr="004E363A" w:rsidRDefault="004E363A" w:rsidP="004E363A"/>
    <w:p w14:paraId="490FC2C4" w14:textId="0F4A4A75" w:rsidR="002C50EE" w:rsidRDefault="002C50EE" w:rsidP="002C50EE">
      <w:pPr>
        <w:pStyle w:val="Heading1"/>
      </w:pPr>
      <w:r>
        <w:t>4. КЛИНИЧНИ ДАННИ</w:t>
      </w:r>
    </w:p>
    <w:p w14:paraId="74330405" w14:textId="3C4722AF" w:rsidR="007122AD" w:rsidRDefault="002C50EE" w:rsidP="00936AD0">
      <w:pPr>
        <w:pStyle w:val="Heading2"/>
      </w:pPr>
      <w:r>
        <w:t>4.1. Терапевтични показания</w:t>
      </w:r>
    </w:p>
    <w:p w14:paraId="100A5CDB" w14:textId="789909C2" w:rsidR="004E363A" w:rsidRDefault="004E363A" w:rsidP="004E363A"/>
    <w:p w14:paraId="4EB6DF5C" w14:textId="77777777"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Симптоматично лечение на хронична стабилна стенокардия</w:t>
      </w:r>
    </w:p>
    <w:p w14:paraId="58A3B399"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Ивабрадин е показан за симптоматично лечение на хронична стабилна стенокардия при при възрастни с исхемична болест на сърцето с нормален синусов ритъм и сърдечна честота ≥ 70 удара в минута (уд./ мин.). Ивабрадин е показан:</w:t>
      </w:r>
    </w:p>
    <w:p w14:paraId="5F0558C0" w14:textId="77777777" w:rsidR="004E363A" w:rsidRPr="004E363A" w:rsidRDefault="004E363A" w:rsidP="004E363A">
      <w:pPr>
        <w:pStyle w:val="ListParagraph"/>
        <w:numPr>
          <w:ilvl w:val="0"/>
          <w:numId w:val="37"/>
        </w:numPr>
        <w:spacing w:line="240" w:lineRule="auto"/>
        <w:rPr>
          <w:rFonts w:eastAsia="Times New Roman" w:cs="Arial"/>
          <w:sz w:val="28"/>
          <w:szCs w:val="24"/>
        </w:rPr>
      </w:pPr>
      <w:r w:rsidRPr="004E363A">
        <w:rPr>
          <w:rFonts w:eastAsia="Times New Roman" w:cs="Arial"/>
          <w:color w:val="000000"/>
          <w:szCs w:val="20"/>
          <w:lang w:eastAsia="bg-BG"/>
        </w:rPr>
        <w:lastRenderedPageBreak/>
        <w:t>при възрастни, които имат непоносимост или при които е противопоказана употребата на бета- блокери</w:t>
      </w:r>
    </w:p>
    <w:p w14:paraId="48042F04" w14:textId="1E091F60" w:rsidR="004E363A" w:rsidRPr="004E363A" w:rsidRDefault="004E363A" w:rsidP="004E363A">
      <w:pPr>
        <w:pStyle w:val="ListParagraph"/>
        <w:numPr>
          <w:ilvl w:val="0"/>
          <w:numId w:val="37"/>
        </w:numPr>
        <w:spacing w:line="240" w:lineRule="auto"/>
        <w:rPr>
          <w:rFonts w:eastAsia="Times New Roman" w:cs="Arial"/>
          <w:sz w:val="28"/>
          <w:szCs w:val="24"/>
        </w:rPr>
      </w:pPr>
      <w:r w:rsidRPr="004E363A">
        <w:rPr>
          <w:rFonts w:eastAsia="Times New Roman" w:cs="Arial"/>
          <w:color w:val="000000"/>
          <w:szCs w:val="20"/>
          <w:lang w:eastAsia="bg-BG"/>
        </w:rPr>
        <w:t>или в комбинация с бета-блокери при пациенти, при които не е постигнат достатъчен контрол при оптимална доза бета-блокер.</w:t>
      </w:r>
    </w:p>
    <w:p w14:paraId="24215049" w14:textId="77777777" w:rsidR="004E363A" w:rsidRPr="004E363A" w:rsidRDefault="004E363A" w:rsidP="004E363A">
      <w:pPr>
        <w:spacing w:line="240" w:lineRule="auto"/>
        <w:rPr>
          <w:rFonts w:eastAsia="Times New Roman" w:cs="Arial"/>
          <w:color w:val="000000"/>
          <w:szCs w:val="20"/>
          <w:lang w:eastAsia="bg-BG"/>
        </w:rPr>
      </w:pPr>
    </w:p>
    <w:p w14:paraId="638C9700" w14:textId="769A9A60"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Лечение </w:t>
      </w:r>
      <w:r w:rsidRPr="004E363A">
        <w:rPr>
          <w:rFonts w:eastAsia="Times New Roman" w:cs="Arial"/>
          <w:i/>
          <w:iCs/>
          <w:color w:val="000000"/>
          <w:szCs w:val="20"/>
          <w:lang w:eastAsia="bg-BG"/>
        </w:rPr>
        <w:t>на хронична сърдечна недостатъчност</w:t>
      </w:r>
    </w:p>
    <w:p w14:paraId="2389C015" w14:textId="77777777" w:rsidR="004E363A" w:rsidRPr="004E363A" w:rsidRDefault="004E363A" w:rsidP="004E363A">
      <w:pPr>
        <w:spacing w:line="240" w:lineRule="auto"/>
        <w:rPr>
          <w:rFonts w:ascii="Times New Roman" w:eastAsia="Times New Roman" w:hAnsi="Times New Roman" w:cs="Times New Roman"/>
          <w:sz w:val="24"/>
          <w:szCs w:val="24"/>
        </w:rPr>
      </w:pPr>
      <w:r w:rsidRPr="004E363A">
        <w:rPr>
          <w:rFonts w:eastAsia="Times New Roman" w:cs="Arial"/>
          <w:color w:val="000000"/>
          <w:szCs w:val="20"/>
          <w:lang w:eastAsia="bg-BG"/>
        </w:rPr>
        <w:t xml:space="preserve">Ивабрадин е показан при хронична сърдечна недостатъчност клас </w:t>
      </w:r>
      <w:r w:rsidRPr="004E363A">
        <w:rPr>
          <w:rFonts w:eastAsia="Times New Roman" w:cs="Arial"/>
          <w:color w:val="000000"/>
          <w:szCs w:val="20"/>
          <w:lang w:val="en-US"/>
        </w:rPr>
        <w:t>II</w:t>
      </w:r>
      <w:r w:rsidRPr="004E363A">
        <w:rPr>
          <w:rFonts w:eastAsia="Times New Roman" w:cs="Arial"/>
          <w:color w:val="000000"/>
          <w:szCs w:val="20"/>
          <w:lang w:eastAsia="bg-BG"/>
        </w:rPr>
        <w:t xml:space="preserve"> до IV по </w:t>
      </w:r>
      <w:r w:rsidRPr="004E363A">
        <w:rPr>
          <w:rFonts w:eastAsia="Times New Roman" w:cs="Arial"/>
          <w:color w:val="000000"/>
          <w:szCs w:val="20"/>
          <w:lang w:val="en-US"/>
        </w:rPr>
        <w:t>NYHA</w:t>
      </w:r>
      <w:r w:rsidRPr="004E363A">
        <w:rPr>
          <w:rFonts w:eastAsia="Times New Roman" w:cs="Arial"/>
          <w:color w:val="000000"/>
          <w:szCs w:val="20"/>
          <w:lang w:val="ru-RU"/>
        </w:rPr>
        <w:t xml:space="preserve"> </w:t>
      </w:r>
      <w:r w:rsidRPr="004E363A">
        <w:rPr>
          <w:rFonts w:eastAsia="Times New Roman" w:cs="Arial"/>
          <w:color w:val="000000"/>
          <w:szCs w:val="20"/>
          <w:lang w:eastAsia="bg-BG"/>
        </w:rPr>
        <w:t>със систолна дисфункция, при възрастни пациенти в синусов ритъм и чиято сърдечна честота е ≥ 75 уд./ мин., в комбинация със стандартно лечение, включващо лечение с бета-блокер, или когато лечението с бета-блокер е противопоказано или не се понася (вижте точка 5.1).</w:t>
      </w:r>
    </w:p>
    <w:p w14:paraId="22184D44" w14:textId="77777777" w:rsidR="004E363A" w:rsidRPr="004E363A" w:rsidRDefault="004E363A" w:rsidP="004E363A"/>
    <w:p w14:paraId="53F5B866" w14:textId="21E1C8D0" w:rsidR="007122AD" w:rsidRDefault="002C50EE" w:rsidP="00936AD0">
      <w:pPr>
        <w:pStyle w:val="Heading2"/>
      </w:pPr>
      <w:r>
        <w:t>4.2. Дозировка и начин на приложение</w:t>
      </w:r>
    </w:p>
    <w:p w14:paraId="6DE19C17" w14:textId="032E17F8" w:rsidR="004E363A" w:rsidRDefault="004E363A" w:rsidP="004E363A"/>
    <w:p w14:paraId="1E28951E" w14:textId="77777777" w:rsidR="004E363A" w:rsidRPr="004E363A" w:rsidRDefault="004E363A" w:rsidP="004E363A">
      <w:pPr>
        <w:pStyle w:val="Heading3"/>
        <w:rPr>
          <w:rFonts w:eastAsia="Times New Roman"/>
          <w:sz w:val="28"/>
          <w:u w:val="single"/>
        </w:rPr>
      </w:pPr>
      <w:r w:rsidRPr="004E363A">
        <w:rPr>
          <w:rFonts w:eastAsia="Times New Roman"/>
          <w:u w:val="single"/>
          <w:lang w:eastAsia="bg-BG"/>
        </w:rPr>
        <w:t>Дозировка</w:t>
      </w:r>
    </w:p>
    <w:p w14:paraId="716C5A54" w14:textId="77777777" w:rsidR="004E363A" w:rsidRPr="004E363A" w:rsidRDefault="004E363A" w:rsidP="004E363A">
      <w:pPr>
        <w:spacing w:line="240" w:lineRule="auto"/>
        <w:rPr>
          <w:rFonts w:eastAsia="Times New Roman" w:cs="Arial"/>
          <w:i/>
          <w:iCs/>
          <w:color w:val="000000"/>
          <w:szCs w:val="20"/>
          <w:lang w:eastAsia="bg-BG"/>
        </w:rPr>
      </w:pPr>
    </w:p>
    <w:p w14:paraId="15ED580F" w14:textId="3F8BCE0B"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Симптоматично лечение на хронична стабилна стенокардия</w:t>
      </w:r>
    </w:p>
    <w:p w14:paraId="4D580377"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Препоръчва се решението за започване на лечението или титриране на дозата да бъде взето при наличие на поредица от измервания на сърдечната честота, ЕКГ или амбулаторно 24-часово проследяване.</w:t>
      </w:r>
    </w:p>
    <w:p w14:paraId="4489BD6A"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Началната доза ивабрадин не трябва да превишава 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два пъти дневно при пациенти на възраст под 75 години. При пациенти, които приемат 2,5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два пъти дневно или 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два пъти дневно, след три до четири седмици лечение, ако пациентът все още проявява симптоми, ако началната доза се понася добре и, ако сърдечната честота в покой се запазва над 60 уд./ мин., дозата може да се повиши до следващата по-висока доза. Поддържащата доза не трябва да превишава 7,5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два пъти дневно.</w:t>
      </w:r>
    </w:p>
    <w:p w14:paraId="7334711C"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Ако няма подобрение на симптомите на стенокардия в рамките на 3 месеца след започване на лечението, лечението с ивабрадин трябва да се преустанови.</w:t>
      </w:r>
    </w:p>
    <w:p w14:paraId="3DE424B3"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В допълнение, трябва да се обмисли преустановяване на лечението, ако е налице само ог</w:t>
      </w:r>
      <w:r w:rsidRPr="004E363A">
        <w:rPr>
          <w:rFonts w:eastAsia="Times New Roman" w:cs="Arial"/>
          <w:color w:val="000000"/>
          <w:szCs w:val="20"/>
          <w:u w:val="single"/>
          <w:lang w:eastAsia="bg-BG"/>
        </w:rPr>
        <w:t>ранич</w:t>
      </w:r>
      <w:r w:rsidRPr="004E363A">
        <w:rPr>
          <w:rFonts w:eastAsia="Times New Roman" w:cs="Arial"/>
          <w:color w:val="000000"/>
          <w:szCs w:val="20"/>
          <w:lang w:eastAsia="bg-BG"/>
        </w:rPr>
        <w:t>ен симптоматичен отговор и когато няма клинично значимо понижение на сърдечната честота в</w:t>
      </w:r>
      <w:r w:rsidRPr="004E363A">
        <w:rPr>
          <w:rFonts w:eastAsia="Times New Roman" w:cs="Arial"/>
          <w:color w:val="000000"/>
          <w:szCs w:val="20"/>
          <w:vertAlign w:val="superscript"/>
          <w:lang w:eastAsia="bg-BG"/>
        </w:rPr>
        <w:t xml:space="preserve"> </w:t>
      </w:r>
      <w:r w:rsidRPr="004E363A">
        <w:rPr>
          <w:rFonts w:eastAsia="Times New Roman" w:cs="Arial"/>
          <w:color w:val="000000"/>
          <w:szCs w:val="20"/>
          <w:lang w:eastAsia="bg-BG"/>
        </w:rPr>
        <w:t>покой в рамките на три месеца.</w:t>
      </w:r>
    </w:p>
    <w:p w14:paraId="2D18EDD8" w14:textId="77777777" w:rsidR="004E363A" w:rsidRPr="004E363A" w:rsidRDefault="004E363A" w:rsidP="004E363A">
      <w:pPr>
        <w:rPr>
          <w:rFonts w:eastAsia="Times New Roman" w:cs="Arial"/>
          <w:sz w:val="28"/>
          <w:szCs w:val="24"/>
        </w:rPr>
      </w:pPr>
      <w:r w:rsidRPr="004E363A">
        <w:rPr>
          <w:rFonts w:eastAsia="Times New Roman" w:cs="Arial"/>
          <w:color w:val="000000"/>
          <w:szCs w:val="20"/>
          <w:lang w:eastAsia="bg-BG"/>
        </w:rPr>
        <w:t>Ако по време на лечението сърдечната честота се понижи до под 50 уд./мин в покой или пациентът изпита симптоми, свързани с брадикардия, като замаяност, умора или хипотония,</w:t>
      </w:r>
      <w:r w:rsidRPr="004E363A">
        <w:rPr>
          <w:rFonts w:eastAsia="Times New Roman" w:cs="Arial"/>
          <w:sz w:val="28"/>
          <w:szCs w:val="24"/>
          <w:lang w:val="ru-RU"/>
        </w:rPr>
        <w:t xml:space="preserve"> </w:t>
      </w:r>
      <w:r w:rsidRPr="004E363A">
        <w:rPr>
          <w:rFonts w:eastAsia="Times New Roman" w:cs="Arial"/>
          <w:color w:val="000000"/>
          <w:szCs w:val="20"/>
          <w:lang w:eastAsia="bg-BG"/>
        </w:rPr>
        <w:t xml:space="preserve">дозата трябва да бъде постепенно намалена, включително най-ниската доза от 2,5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два пъти дневно (половин таблетка от 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два пъти дневно). След понижаване на дозата сърдечната честота трябва да бъде проследявана (вижте точка 4.4). Лечението трябва да бъде преустановено, ако сърдечната честота се запази под 50 уд./ мин. или симтомите на брадикардия продължат независимо от понижаването на дозата.</w:t>
      </w:r>
    </w:p>
    <w:p w14:paraId="078E924A" w14:textId="77777777" w:rsidR="004E363A" w:rsidRPr="004E363A" w:rsidRDefault="004E363A" w:rsidP="004E363A">
      <w:pPr>
        <w:spacing w:line="240" w:lineRule="auto"/>
        <w:rPr>
          <w:rFonts w:eastAsia="Times New Roman" w:cs="Arial"/>
          <w:i/>
          <w:iCs/>
          <w:color w:val="000000"/>
          <w:szCs w:val="20"/>
          <w:lang w:eastAsia="bg-BG"/>
        </w:rPr>
      </w:pPr>
    </w:p>
    <w:p w14:paraId="30693F8D" w14:textId="7CCE0B25"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Лечение на хронична сърдечна недостатъчност</w:t>
      </w:r>
    </w:p>
    <w:p w14:paraId="50B7D405"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Лечението трябва да бъде започнато само при пациент със стабилна сърдечна недостатъчност. Препоръчва се лекуващият лекар да има опит в лечението на хронична сърдечна недостатъчност. Обичайната препоръчителна начална доза ивабрадин е </w:t>
      </w:r>
      <w:r w:rsidRPr="004E363A">
        <w:rPr>
          <w:rFonts w:eastAsia="Times New Roman" w:cs="Arial"/>
          <w:i/>
          <w:iCs/>
          <w:color w:val="000000"/>
          <w:szCs w:val="20"/>
          <w:lang w:eastAsia="bg-BG"/>
        </w:rPr>
        <w:t xml:space="preserve">5 </w:t>
      </w:r>
      <w:r w:rsidRPr="004E363A">
        <w:rPr>
          <w:rFonts w:eastAsia="Times New Roman" w:cs="Arial"/>
          <w:i/>
          <w:iCs/>
          <w:color w:val="000000"/>
          <w:szCs w:val="20"/>
          <w:lang w:val="en-US"/>
        </w:rPr>
        <w:t>mg</w:t>
      </w:r>
      <w:r w:rsidRPr="004E363A">
        <w:rPr>
          <w:rFonts w:eastAsia="Times New Roman" w:cs="Arial"/>
          <w:i/>
          <w:iCs/>
          <w:color w:val="000000"/>
          <w:szCs w:val="20"/>
          <w:lang w:val="ru-RU"/>
        </w:rPr>
        <w:t xml:space="preserve"> </w:t>
      </w:r>
      <w:r w:rsidRPr="004E363A">
        <w:rPr>
          <w:rFonts w:eastAsia="Times New Roman" w:cs="Arial"/>
          <w:i/>
          <w:iCs/>
          <w:color w:val="000000"/>
          <w:szCs w:val="20"/>
          <w:lang w:eastAsia="bg-BG"/>
        </w:rPr>
        <w:t>два</w:t>
      </w:r>
      <w:r w:rsidRPr="004E363A">
        <w:rPr>
          <w:rFonts w:eastAsia="Times New Roman" w:cs="Arial"/>
          <w:color w:val="000000"/>
          <w:szCs w:val="20"/>
          <w:lang w:eastAsia="bg-BG"/>
        </w:rPr>
        <w:t xml:space="preserve"> пъти дневно. Две седмици след началото на лечението дозата може да бъде повишена до 7,5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два пъти дневно, ако сърдечната честота в покой се запази над 60 уд./ мин., или да бъде понижена до 2,5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два пъти дневно (половин таблетка от 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ако сърдечната честота в покой се запази под 50 уд./ мин. или в случай на симптоми, свързани с брадикардия, като замаяност, умора или хипотония. Ако сърдечната честота е между 50 и 60 уд./ мин., трябва да се поддържа доза от 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два пъти дневно. Ако по </w:t>
      </w:r>
      <w:r w:rsidRPr="004E363A">
        <w:rPr>
          <w:rFonts w:eastAsia="Times New Roman" w:cs="Arial"/>
          <w:color w:val="000000"/>
          <w:szCs w:val="20"/>
          <w:lang w:eastAsia="bg-BG"/>
        </w:rPr>
        <w:lastRenderedPageBreak/>
        <w:t xml:space="preserve">време на лечение сърдечната честота в покой се понижи трайно под 50 уд./ мин. или пациентът изпита симптоми, свързани с брадикардия, дозата трябва да бъде постепенно понижена до следващата по-ниска доза при пациентите, които приемат 7,5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два пъти дневно или 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два пъти дневно. Ако сърдечната честота в покой се повиши трайно над 60 уд./ мин., дозата може да бъде титрирана до следващата по-висока доза при пациенти, които приемат 2,5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два пъти дневно или 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два пъти дневно.</w:t>
      </w:r>
    </w:p>
    <w:p w14:paraId="374DAED1"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Лечението трябва да бъде преустановено, ако сърдечната честота се запази под 50 уд./ мин. или симптомите на брадикардия продължат (вижте точка 4.4).</w:t>
      </w:r>
    </w:p>
    <w:p w14:paraId="4475F893" w14:textId="77777777" w:rsidR="004E363A" w:rsidRPr="004E363A" w:rsidRDefault="004E363A" w:rsidP="004E363A">
      <w:pPr>
        <w:spacing w:line="240" w:lineRule="auto"/>
        <w:rPr>
          <w:rFonts w:eastAsia="Times New Roman" w:cs="Arial"/>
          <w:color w:val="000000"/>
          <w:szCs w:val="20"/>
          <w:u w:val="single"/>
          <w:lang w:eastAsia="bg-BG"/>
        </w:rPr>
      </w:pPr>
    </w:p>
    <w:p w14:paraId="3A384A17" w14:textId="25623AC9"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u w:val="single"/>
          <w:lang w:eastAsia="bg-BG"/>
        </w:rPr>
        <w:t>Специални популации</w:t>
      </w:r>
    </w:p>
    <w:p w14:paraId="1C7F16BF" w14:textId="77777777"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Пациенти в старческа възраст</w:t>
      </w:r>
    </w:p>
    <w:p w14:paraId="52984E50"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При пациенти на възраст 75 години и повече трябва да се обмисли по-ниска начална доза (2,5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два пъти дневно, т.е. половин таблетка от 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два пъти дневно) преди титриране, ако е необходимо.</w:t>
      </w:r>
    </w:p>
    <w:p w14:paraId="1B474A25" w14:textId="77777777" w:rsidR="004E363A" w:rsidRPr="004E363A" w:rsidRDefault="004E363A" w:rsidP="004E363A">
      <w:pPr>
        <w:spacing w:line="240" w:lineRule="auto"/>
        <w:rPr>
          <w:rFonts w:eastAsia="Times New Roman" w:cs="Arial"/>
          <w:i/>
          <w:iCs/>
          <w:color w:val="000000"/>
          <w:szCs w:val="20"/>
          <w:lang w:eastAsia="bg-BG"/>
        </w:rPr>
      </w:pPr>
    </w:p>
    <w:p w14:paraId="3801445B" w14:textId="038EE080"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Бъбречно увреждане</w:t>
      </w:r>
    </w:p>
    <w:p w14:paraId="23A8231D"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Не е необходимо адаптиране на дозата при пациенти с бъбречна недостатъчност и креатининов клирънс над 15 </w:t>
      </w:r>
      <w:r w:rsidRPr="004E363A">
        <w:rPr>
          <w:rFonts w:eastAsia="Times New Roman" w:cs="Arial"/>
          <w:color w:val="000000"/>
          <w:szCs w:val="20"/>
          <w:lang w:val="en-US"/>
        </w:rPr>
        <w:t>ml</w:t>
      </w:r>
      <w:r w:rsidRPr="004E363A">
        <w:rPr>
          <w:rFonts w:eastAsia="Times New Roman" w:cs="Arial"/>
          <w:color w:val="000000"/>
          <w:szCs w:val="20"/>
          <w:lang w:val="ru-RU"/>
        </w:rPr>
        <w:t>/</w:t>
      </w:r>
      <w:r w:rsidRPr="004E363A">
        <w:rPr>
          <w:rFonts w:eastAsia="Times New Roman" w:cs="Arial"/>
          <w:color w:val="000000"/>
          <w:szCs w:val="20"/>
          <w:lang w:val="en-US"/>
        </w:rPr>
        <w:t>min</w:t>
      </w:r>
      <w:r w:rsidRPr="004E363A">
        <w:rPr>
          <w:rFonts w:eastAsia="Times New Roman" w:cs="Arial"/>
          <w:color w:val="000000"/>
          <w:szCs w:val="20"/>
          <w:lang w:val="ru-RU"/>
        </w:rPr>
        <w:t xml:space="preserve"> </w:t>
      </w:r>
      <w:r w:rsidRPr="004E363A">
        <w:rPr>
          <w:rFonts w:eastAsia="Times New Roman" w:cs="Arial"/>
          <w:color w:val="000000"/>
          <w:szCs w:val="20"/>
          <w:lang w:eastAsia="bg-BG"/>
        </w:rPr>
        <w:t>(вижте точка 5.2).</w:t>
      </w:r>
    </w:p>
    <w:p w14:paraId="0457D107"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Няма налични данни при пациенти с креатининов клирънс под 15 </w:t>
      </w:r>
      <w:r w:rsidRPr="004E363A">
        <w:rPr>
          <w:rFonts w:eastAsia="Times New Roman" w:cs="Arial"/>
          <w:color w:val="000000"/>
          <w:szCs w:val="20"/>
          <w:lang w:val="en-US"/>
        </w:rPr>
        <w:t>ml</w:t>
      </w:r>
      <w:r w:rsidRPr="004E363A">
        <w:rPr>
          <w:rFonts w:eastAsia="Times New Roman" w:cs="Arial"/>
          <w:color w:val="000000"/>
          <w:szCs w:val="20"/>
          <w:lang w:val="ru-RU"/>
        </w:rPr>
        <w:t>/</w:t>
      </w:r>
      <w:r w:rsidRPr="004E363A">
        <w:rPr>
          <w:rFonts w:eastAsia="Times New Roman" w:cs="Arial"/>
          <w:color w:val="000000"/>
          <w:szCs w:val="20"/>
          <w:lang w:val="en-US"/>
        </w:rPr>
        <w:t>min</w:t>
      </w:r>
      <w:r w:rsidRPr="004E363A">
        <w:rPr>
          <w:rFonts w:eastAsia="Times New Roman" w:cs="Arial"/>
          <w:color w:val="000000"/>
          <w:szCs w:val="20"/>
          <w:lang w:val="ru-RU"/>
        </w:rPr>
        <w:t xml:space="preserve">. </w:t>
      </w:r>
      <w:r w:rsidRPr="004E363A">
        <w:rPr>
          <w:rFonts w:eastAsia="Times New Roman" w:cs="Arial"/>
          <w:color w:val="000000"/>
          <w:szCs w:val="20"/>
          <w:lang w:eastAsia="bg-BG"/>
        </w:rPr>
        <w:t>Поради това и</w:t>
      </w:r>
      <w:r w:rsidRPr="004E363A">
        <w:rPr>
          <w:rFonts w:eastAsia="Times New Roman" w:cs="Arial"/>
          <w:color w:val="000000"/>
          <w:szCs w:val="20"/>
          <w:u w:val="single"/>
          <w:lang w:eastAsia="bg-BG"/>
        </w:rPr>
        <w:t>вабрад</w:t>
      </w:r>
      <w:r w:rsidRPr="004E363A">
        <w:rPr>
          <w:rFonts w:eastAsia="Times New Roman" w:cs="Arial"/>
          <w:color w:val="000000"/>
          <w:szCs w:val="20"/>
          <w:lang w:eastAsia="bg-BG"/>
        </w:rPr>
        <w:t>ин трябва да се използва с внимание при тази популация.</w:t>
      </w:r>
    </w:p>
    <w:p w14:paraId="6BFE023E" w14:textId="77777777" w:rsidR="004E363A" w:rsidRPr="004E363A" w:rsidRDefault="004E363A" w:rsidP="004E363A">
      <w:pPr>
        <w:spacing w:line="240" w:lineRule="auto"/>
        <w:rPr>
          <w:rFonts w:eastAsia="Times New Roman" w:cs="Arial"/>
          <w:i/>
          <w:iCs/>
          <w:color w:val="000000"/>
          <w:szCs w:val="20"/>
          <w:lang w:eastAsia="bg-BG"/>
        </w:rPr>
      </w:pPr>
    </w:p>
    <w:p w14:paraId="37FAA394" w14:textId="18F43766"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Чернодробно увреждане</w:t>
      </w:r>
    </w:p>
    <w:p w14:paraId="44A0E2EE"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Не е необходимо адаптиране на дозата при пациенти с леко чернодробно увреждане. Необходимо е внимание, когато ивабрадин се прилага при пациенти с умерено чернодробно увреждане. Ивабрадин е противопоказан при пациенти с тежка чернодробна недостатъчност, тъй като не е проучен при тази популация и се очаква голямо повишение в системната експозиция (вижте точки 4.3 и 5.2).</w:t>
      </w:r>
    </w:p>
    <w:p w14:paraId="123D6FA7" w14:textId="77777777" w:rsidR="004E363A" w:rsidRPr="004E363A" w:rsidRDefault="004E363A" w:rsidP="004E363A">
      <w:pPr>
        <w:spacing w:line="240" w:lineRule="auto"/>
        <w:rPr>
          <w:rFonts w:eastAsia="Times New Roman" w:cs="Arial"/>
          <w:i/>
          <w:iCs/>
          <w:color w:val="000000"/>
          <w:szCs w:val="20"/>
          <w:lang w:eastAsia="bg-BG"/>
        </w:rPr>
      </w:pPr>
    </w:p>
    <w:p w14:paraId="6B2EA20B" w14:textId="32CD8A3F"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Педиатрична популация</w:t>
      </w:r>
    </w:p>
    <w:p w14:paraId="770B7B2D"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Безопасността и ефикасността на ивабрадин при деца на възраст под 18 години не са установени. Наличните понастоящем данни за лечение на хронична сърдечна недостатъчност са описани в точки 5.1 и 5.2, но препоръки за дозировката не могат да бъдат дадени.</w:t>
      </w:r>
    </w:p>
    <w:p w14:paraId="0E815EDE"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Няма налични данни за симптоматично лечение на хронична стабилна ангина пекторис.</w:t>
      </w:r>
    </w:p>
    <w:p w14:paraId="2B59E5B1" w14:textId="77777777" w:rsidR="004E363A" w:rsidRPr="004E363A" w:rsidRDefault="004E363A" w:rsidP="004E363A">
      <w:pPr>
        <w:spacing w:line="240" w:lineRule="auto"/>
        <w:rPr>
          <w:rFonts w:eastAsia="Times New Roman" w:cs="Arial"/>
          <w:color w:val="000000"/>
          <w:szCs w:val="20"/>
          <w:u w:val="single"/>
          <w:lang w:eastAsia="bg-BG"/>
        </w:rPr>
      </w:pPr>
    </w:p>
    <w:p w14:paraId="14212552" w14:textId="0B5A8982" w:rsidR="004E363A" w:rsidRPr="004E363A" w:rsidRDefault="004E363A" w:rsidP="004E363A">
      <w:pPr>
        <w:pStyle w:val="Heading3"/>
        <w:rPr>
          <w:rFonts w:eastAsia="Times New Roman"/>
          <w:sz w:val="28"/>
          <w:u w:val="single"/>
        </w:rPr>
      </w:pPr>
      <w:r w:rsidRPr="004E363A">
        <w:rPr>
          <w:rFonts w:eastAsia="Times New Roman"/>
          <w:u w:val="single"/>
          <w:lang w:eastAsia="bg-BG"/>
        </w:rPr>
        <w:t>Начин на приложение</w:t>
      </w:r>
    </w:p>
    <w:p w14:paraId="1A5A3114" w14:textId="26A5020A" w:rsidR="004E363A" w:rsidRDefault="004E363A" w:rsidP="004E363A">
      <w:pPr>
        <w:spacing w:line="240" w:lineRule="auto"/>
        <w:rPr>
          <w:rFonts w:eastAsia="Times New Roman" w:cs="Arial"/>
          <w:color w:val="000000"/>
          <w:szCs w:val="20"/>
          <w:lang w:eastAsia="bg-BG"/>
        </w:rPr>
      </w:pPr>
      <w:r w:rsidRPr="004E363A">
        <w:rPr>
          <w:rFonts w:eastAsia="Times New Roman" w:cs="Arial"/>
          <w:color w:val="000000"/>
          <w:szCs w:val="20"/>
          <w:lang w:eastAsia="bg-BG"/>
        </w:rPr>
        <w:t>Таблетките трябва да се приемат през устата два пъти дневно, т.е. един път сутрин и един път вечер по време на хранене (вижте точка 5.2).</w:t>
      </w:r>
    </w:p>
    <w:p w14:paraId="234C005E" w14:textId="77777777" w:rsidR="004E363A" w:rsidRPr="004E363A" w:rsidRDefault="004E363A" w:rsidP="004E363A">
      <w:pPr>
        <w:spacing w:line="240" w:lineRule="auto"/>
        <w:rPr>
          <w:rFonts w:eastAsia="Times New Roman" w:cs="Arial"/>
          <w:sz w:val="28"/>
          <w:szCs w:val="24"/>
          <w:lang w:val="ru-RU"/>
        </w:rPr>
      </w:pPr>
    </w:p>
    <w:p w14:paraId="0F253247" w14:textId="0412668E" w:rsidR="007122AD" w:rsidRDefault="002C50EE" w:rsidP="00936AD0">
      <w:pPr>
        <w:pStyle w:val="Heading2"/>
      </w:pPr>
      <w:r>
        <w:t>4.3. Противопоказания</w:t>
      </w:r>
    </w:p>
    <w:p w14:paraId="50F50C6F" w14:textId="63EAD6AA" w:rsidR="004E363A" w:rsidRDefault="004E363A" w:rsidP="004E363A"/>
    <w:p w14:paraId="71D21C75"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eastAsia="bg-BG"/>
        </w:rPr>
        <w:t>Свръхчувствителност към активното вещество или към някое от помощните вещества, изброени в точка 6.1</w:t>
      </w:r>
    </w:p>
    <w:p w14:paraId="5D537C36"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eastAsia="bg-BG"/>
        </w:rPr>
        <w:t>Сърдечна честота в покой под 70 уд./ мин. преди лечение</w:t>
      </w:r>
    </w:p>
    <w:p w14:paraId="265C40C9"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eastAsia="bg-BG"/>
        </w:rPr>
        <w:t>Кардиогенен шок</w:t>
      </w:r>
    </w:p>
    <w:p w14:paraId="420390BC"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eastAsia="bg-BG"/>
        </w:rPr>
        <w:t>Остър инфаркт на миокарда</w:t>
      </w:r>
    </w:p>
    <w:p w14:paraId="79FDEF61"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eastAsia="bg-BG"/>
        </w:rPr>
        <w:t xml:space="preserve">Тежка хипотония (&lt; 90/50 </w:t>
      </w:r>
      <w:r w:rsidRPr="004E363A">
        <w:rPr>
          <w:rFonts w:eastAsia="Times New Roman" w:cs="Arial"/>
          <w:color w:val="000000"/>
          <w:szCs w:val="20"/>
          <w:lang w:val="en-US"/>
        </w:rPr>
        <w:t>mmHg</w:t>
      </w:r>
      <w:r w:rsidRPr="004E363A">
        <w:rPr>
          <w:rFonts w:eastAsia="Times New Roman" w:cs="Arial"/>
          <w:color w:val="000000"/>
          <w:szCs w:val="20"/>
          <w:lang w:val="ru-RU"/>
        </w:rPr>
        <w:t>)</w:t>
      </w:r>
    </w:p>
    <w:p w14:paraId="4061AB51"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eastAsia="bg-BG"/>
        </w:rPr>
        <w:t>Тежка чернодробна недостатъчност</w:t>
      </w:r>
    </w:p>
    <w:p w14:paraId="6C7A95C7"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eastAsia="bg-BG"/>
        </w:rPr>
        <w:t>Синдром на болния синусов възел</w:t>
      </w:r>
    </w:p>
    <w:p w14:paraId="2D162AB8"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eastAsia="bg-BG"/>
        </w:rPr>
        <w:t>Сино-атриален блок</w:t>
      </w:r>
    </w:p>
    <w:p w14:paraId="14AA07B7"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eastAsia="bg-BG"/>
        </w:rPr>
        <w:lastRenderedPageBreak/>
        <w:t>Нестабилна или остра сърдечна недостатъчност</w:t>
      </w:r>
    </w:p>
    <w:p w14:paraId="48F70687"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eastAsia="bg-BG"/>
        </w:rPr>
        <w:t>Зависимост от пейсмейкър (сърдечната честота е определена основно от пейсмейкьра)</w:t>
      </w:r>
    </w:p>
    <w:p w14:paraId="0E89284F"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eastAsia="bg-BG"/>
        </w:rPr>
        <w:t>Нестабилна стенокардия</w:t>
      </w:r>
    </w:p>
    <w:p w14:paraId="6666852E"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val="en-US"/>
        </w:rPr>
        <w:t>AV</w:t>
      </w:r>
      <w:r w:rsidRPr="004E363A">
        <w:rPr>
          <w:rFonts w:eastAsia="Times New Roman" w:cs="Arial"/>
          <w:color w:val="000000"/>
          <w:szCs w:val="20"/>
          <w:lang w:eastAsia="bg-BG"/>
        </w:rPr>
        <w:t>-блок 3-та степен</w:t>
      </w:r>
    </w:p>
    <w:p w14:paraId="5D81F729"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eastAsia="bg-BG"/>
        </w:rPr>
        <w:t xml:space="preserve">Комбинация с мощни инхибитори на цитохром Р450 ЗА4 като азолови антимикотици (кетоконазол, итраконазол), макролидни антибиотици (кларитромицин, еритромицин </w:t>
      </w:r>
      <w:r w:rsidRPr="004E363A">
        <w:rPr>
          <w:rFonts w:eastAsia="Times New Roman" w:cs="Arial"/>
          <w:i/>
          <w:iCs/>
          <w:color w:val="000000"/>
          <w:szCs w:val="20"/>
          <w:lang w:val="en-US"/>
        </w:rPr>
        <w:t>per</w:t>
      </w:r>
      <w:r w:rsidRPr="004E363A">
        <w:rPr>
          <w:rFonts w:eastAsia="Times New Roman" w:cs="Arial"/>
          <w:i/>
          <w:iCs/>
          <w:color w:val="000000"/>
          <w:szCs w:val="20"/>
        </w:rPr>
        <w:t xml:space="preserve"> </w:t>
      </w:r>
      <w:proofErr w:type="spellStart"/>
      <w:r w:rsidRPr="004E363A">
        <w:rPr>
          <w:rFonts w:eastAsia="Times New Roman" w:cs="Arial"/>
          <w:i/>
          <w:iCs/>
          <w:color w:val="000000"/>
          <w:szCs w:val="20"/>
          <w:lang w:val="en-US"/>
        </w:rPr>
        <w:t>os</w:t>
      </w:r>
      <w:proofErr w:type="spellEnd"/>
      <w:r w:rsidRPr="004E363A">
        <w:rPr>
          <w:rFonts w:eastAsia="Times New Roman" w:cs="Arial"/>
          <w:i/>
          <w:iCs/>
          <w:color w:val="000000"/>
          <w:szCs w:val="20"/>
        </w:rPr>
        <w:t xml:space="preserve">, </w:t>
      </w:r>
      <w:r w:rsidRPr="004E363A">
        <w:rPr>
          <w:rFonts w:eastAsia="Times New Roman" w:cs="Arial"/>
          <w:color w:val="000000"/>
          <w:szCs w:val="20"/>
          <w:lang w:eastAsia="bg-BG"/>
        </w:rPr>
        <w:t>йозамицин, телитромицин), ХИ В протеазни инхибитори (нелфинавир, ритонавир) и нефазодон (вижте точки 4.5 и 5.2)</w:t>
      </w:r>
    </w:p>
    <w:p w14:paraId="3617E41E" w14:textId="77777777" w:rsidR="004E363A" w:rsidRPr="004E363A" w:rsidRDefault="004E363A" w:rsidP="004E363A">
      <w:pPr>
        <w:pStyle w:val="ListParagraph"/>
        <w:numPr>
          <w:ilvl w:val="0"/>
          <w:numId w:val="38"/>
        </w:numPr>
        <w:spacing w:line="240" w:lineRule="auto"/>
        <w:rPr>
          <w:rFonts w:eastAsia="Times New Roman" w:cs="Arial"/>
          <w:color w:val="000000"/>
          <w:szCs w:val="20"/>
          <w:lang w:eastAsia="bg-BG"/>
        </w:rPr>
      </w:pPr>
      <w:r w:rsidRPr="004E363A">
        <w:rPr>
          <w:rFonts w:eastAsia="Times New Roman" w:cs="Arial"/>
          <w:color w:val="000000"/>
          <w:szCs w:val="20"/>
          <w:lang w:eastAsia="bg-BG"/>
        </w:rPr>
        <w:t xml:space="preserve">Комбинация с верапамил или дилтиазем, които са умерени инхибитори на </w:t>
      </w:r>
      <w:r w:rsidRPr="004E363A">
        <w:rPr>
          <w:rFonts w:eastAsia="Times New Roman" w:cs="Arial"/>
          <w:color w:val="000000"/>
          <w:szCs w:val="20"/>
          <w:lang w:val="en-US"/>
        </w:rPr>
        <w:t>CYP</w:t>
      </w:r>
      <w:r w:rsidRPr="004E363A">
        <w:rPr>
          <w:rFonts w:eastAsia="Times New Roman" w:cs="Arial"/>
          <w:color w:val="000000"/>
          <w:szCs w:val="20"/>
          <w:lang w:val="ru-RU"/>
        </w:rPr>
        <w:t>3</w:t>
      </w:r>
      <w:r w:rsidRPr="004E363A">
        <w:rPr>
          <w:rFonts w:eastAsia="Times New Roman" w:cs="Arial"/>
          <w:color w:val="000000"/>
          <w:szCs w:val="20"/>
          <w:lang w:val="en-US"/>
        </w:rPr>
        <w:t>A</w:t>
      </w:r>
      <w:r w:rsidRPr="004E363A">
        <w:rPr>
          <w:rFonts w:eastAsia="Times New Roman" w:cs="Arial"/>
          <w:color w:val="000000"/>
          <w:szCs w:val="20"/>
          <w:lang w:val="ru-RU"/>
        </w:rPr>
        <w:t xml:space="preserve">4 </w:t>
      </w:r>
      <w:r w:rsidRPr="004E363A">
        <w:rPr>
          <w:rFonts w:eastAsia="Times New Roman" w:cs="Arial"/>
          <w:color w:val="000000"/>
          <w:szCs w:val="20"/>
          <w:lang w:eastAsia="bg-BG"/>
        </w:rPr>
        <w:t>със</w:t>
      </w:r>
      <w:r w:rsidRPr="004E363A">
        <w:rPr>
          <w:rFonts w:eastAsia="Times New Roman" w:cs="Arial"/>
          <w:color w:val="000000"/>
          <w:szCs w:val="20"/>
          <w:lang w:val="ru-RU" w:eastAsia="bg-BG"/>
        </w:rPr>
        <w:t xml:space="preserve"> </w:t>
      </w:r>
      <w:r w:rsidRPr="004E363A">
        <w:rPr>
          <w:rFonts w:eastAsia="Times New Roman" w:cs="Arial"/>
          <w:color w:val="000000"/>
          <w:szCs w:val="20"/>
          <w:lang w:eastAsia="bg-BG"/>
        </w:rPr>
        <w:t>свойство да понижават сърдечната честота (вежте точка 4.5)</w:t>
      </w:r>
    </w:p>
    <w:p w14:paraId="6BE0067A" w14:textId="251B4FEB" w:rsidR="004E363A" w:rsidRPr="004E363A" w:rsidRDefault="004E363A" w:rsidP="004E363A">
      <w:pPr>
        <w:pStyle w:val="ListParagraph"/>
        <w:numPr>
          <w:ilvl w:val="0"/>
          <w:numId w:val="38"/>
        </w:numPr>
        <w:spacing w:line="240" w:lineRule="auto"/>
        <w:rPr>
          <w:rFonts w:ascii="Times New Roman" w:eastAsia="Times New Roman" w:hAnsi="Times New Roman" w:cs="Times New Roman"/>
          <w:color w:val="000000"/>
          <w:sz w:val="20"/>
          <w:szCs w:val="20"/>
          <w:lang w:eastAsia="bg-BG"/>
        </w:rPr>
      </w:pPr>
      <w:r w:rsidRPr="004E363A">
        <w:rPr>
          <w:rFonts w:cs="Arial"/>
          <w:szCs w:val="20"/>
        </w:rPr>
        <w:t>Бременност, кърмене и жени с детероден потенциал, които не използват подходящи методи на контрацепция (вижте точка 4.6)</w:t>
      </w:r>
    </w:p>
    <w:p w14:paraId="23D5BB25" w14:textId="77777777" w:rsidR="004E363A" w:rsidRPr="004E363A" w:rsidRDefault="004E363A" w:rsidP="004E363A">
      <w:pPr>
        <w:spacing w:line="240" w:lineRule="auto"/>
        <w:rPr>
          <w:rFonts w:ascii="Times New Roman" w:eastAsia="Times New Roman" w:hAnsi="Times New Roman" w:cs="Times New Roman"/>
          <w:color w:val="000000"/>
          <w:sz w:val="20"/>
          <w:szCs w:val="20"/>
          <w:lang w:eastAsia="bg-BG"/>
        </w:rPr>
      </w:pPr>
    </w:p>
    <w:p w14:paraId="0E0BDCC7" w14:textId="265E3EE8" w:rsidR="007122AD" w:rsidRDefault="002C50EE" w:rsidP="00936AD0">
      <w:pPr>
        <w:pStyle w:val="Heading2"/>
      </w:pPr>
      <w:r>
        <w:t>4.4. Специални предупреждения и предпазни мерки при употреба</w:t>
      </w:r>
    </w:p>
    <w:p w14:paraId="08A01404" w14:textId="002C86BE" w:rsidR="004E363A" w:rsidRDefault="004E363A" w:rsidP="004E363A"/>
    <w:p w14:paraId="0CFD9F82" w14:textId="77777777"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Липса на полза за клиничния изход при пациенти със симптоматична хронична стабилна стенокардия</w:t>
      </w:r>
    </w:p>
    <w:p w14:paraId="78DD040E"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Ивабрадин е показан само за симптоматично лечение на хронична стабилна стенокардия, тъй като ивабрадин не носи ползи за клиничния изход по отношение на сърдечно-съдовата система, например инфаркт на миокарда или сърдечно-съдова смърт (вижте точка 5.1).</w:t>
      </w:r>
    </w:p>
    <w:p w14:paraId="7A3F8E7B" w14:textId="77777777" w:rsidR="004E363A" w:rsidRPr="004E363A" w:rsidRDefault="004E363A" w:rsidP="004E363A">
      <w:pPr>
        <w:spacing w:line="240" w:lineRule="auto"/>
        <w:rPr>
          <w:rFonts w:eastAsia="Times New Roman" w:cs="Arial"/>
          <w:i/>
          <w:iCs/>
          <w:color w:val="000000"/>
          <w:szCs w:val="20"/>
          <w:lang w:eastAsia="bg-BG"/>
        </w:rPr>
      </w:pPr>
    </w:p>
    <w:p w14:paraId="51F19860" w14:textId="64F3DBAE"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Измерване на сърдечната честота</w:t>
      </w:r>
    </w:p>
    <w:p w14:paraId="3C6F8E7D"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Предвид факта, че сърдечната честота може да варира съществено във времето, трябва да се обмисли извършването на поредица от измервания на сърдечната честота, ЕКГ или амбулаторно 24-часово проследяване, когато се определя сърдечната честота в покой преди започване на лечение с ивабрадин и при пациенти на лечение с ивабрадин, когато се обмисля титриране на дозата. Това се отнася и за пациенти с ниска сърдечна честота, особено когато сърдечната честота се понижи под 50 уд./ мин. или след понижаване на дозата (вижте точка 4.2).</w:t>
      </w:r>
    </w:p>
    <w:p w14:paraId="3CCB7929" w14:textId="77777777" w:rsidR="004E363A" w:rsidRPr="004E363A" w:rsidRDefault="004E363A" w:rsidP="004E363A">
      <w:pPr>
        <w:spacing w:line="240" w:lineRule="auto"/>
        <w:rPr>
          <w:rFonts w:eastAsia="Times New Roman" w:cs="Arial"/>
          <w:i/>
          <w:iCs/>
          <w:color w:val="000000"/>
          <w:szCs w:val="20"/>
          <w:lang w:eastAsia="bg-BG"/>
        </w:rPr>
      </w:pPr>
    </w:p>
    <w:p w14:paraId="1EBA35AB" w14:textId="594EBD92"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Сърдечни аритмии</w:t>
      </w:r>
    </w:p>
    <w:p w14:paraId="68A995F2"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Ивабрадин не е ефективен при лечение или превенция на сърдечни аритмии и вероятно губи своята ефикасност при поява на тахиаритмия (например камерна или надкамерна тахикардия). Поради това, ивабрадин не се препоръчва при пациенти с предсърдно мъждене или друг вид сърдечни аритмии, които пречат на функцията на синусовия възел.</w:t>
      </w:r>
    </w:p>
    <w:p w14:paraId="4CEA40ED"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При пациенти, лекувани с ивабрадин, рискът от развиване на предсърдно мъждене е повишен (вижте точка 4.8). Предсърдното мъждене се среща по-често при пациенти, които приемат съвместно амиодарон или мощни антиаритмици клас I. Препоръчва се регулярно клинично проследяване на пациентите, лекувани с ивабрадин, за поява на предсърдно мъждене (трайно или пристьпно), което трябва да включва също ЕКГ проследяване, ако е клинично показано (например в случай на обострена стенокардия, палпитации, неравномерен пулс).</w:t>
      </w:r>
    </w:p>
    <w:p w14:paraId="51C9A009"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Пациентите трябва да бъда информирани за признаците и симптомите на предсърдно мъждене и да бъдат посъветвани да се свържат с лекуващия лекар, ако такива се появят.</w:t>
      </w:r>
    </w:p>
    <w:p w14:paraId="3F0D4E3D"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Ако по време на лечението се появи предсърдно мъждене, съотношението полза/ риск от лечението с ивабрадин трябва да бъде внимателно преоценено.</w:t>
      </w:r>
    </w:p>
    <w:p w14:paraId="5860E1CF" w14:textId="77777777" w:rsidR="004E363A" w:rsidRPr="004E363A" w:rsidRDefault="004E363A" w:rsidP="004E363A">
      <w:pPr>
        <w:spacing w:line="240" w:lineRule="auto"/>
        <w:rPr>
          <w:rFonts w:eastAsia="Times New Roman" w:cs="Arial"/>
          <w:color w:val="000000"/>
          <w:szCs w:val="20"/>
          <w:lang w:eastAsia="bg-BG"/>
        </w:rPr>
      </w:pPr>
    </w:p>
    <w:p w14:paraId="7C7F533F" w14:textId="769F4D2E"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Пациентите с хронична сърдечна недостатъчност с дефекти на интравентрикуларната</w:t>
      </w:r>
    </w:p>
    <w:p w14:paraId="4739DDB9" w14:textId="17C3A508" w:rsidR="004E363A" w:rsidRPr="004E363A" w:rsidRDefault="004E363A" w:rsidP="004E363A">
      <w:pPr>
        <w:rPr>
          <w:rFonts w:eastAsia="Times New Roman" w:cs="Arial"/>
          <w:color w:val="000000"/>
          <w:szCs w:val="20"/>
          <w:lang w:eastAsia="bg-BG"/>
        </w:rPr>
      </w:pPr>
      <w:r w:rsidRPr="004E363A">
        <w:rPr>
          <w:rFonts w:eastAsia="Times New Roman" w:cs="Arial"/>
          <w:color w:val="000000"/>
          <w:szCs w:val="20"/>
          <w:lang w:eastAsia="bg-BG"/>
        </w:rPr>
        <w:lastRenderedPageBreak/>
        <w:t>проводимост (ляв бедрен блок, десен бедрен блок) и вентрикуларна диссинхрония трябва да бъдат проследявани отблизо.</w:t>
      </w:r>
    </w:p>
    <w:p w14:paraId="479EEDC9" w14:textId="3715159B" w:rsidR="004E363A" w:rsidRPr="004E363A" w:rsidRDefault="004E363A" w:rsidP="004E363A">
      <w:pPr>
        <w:rPr>
          <w:rFonts w:eastAsia="Times New Roman" w:cs="Arial"/>
          <w:color w:val="000000"/>
          <w:szCs w:val="20"/>
          <w:lang w:eastAsia="bg-BG"/>
        </w:rPr>
      </w:pPr>
    </w:p>
    <w:p w14:paraId="77DF67EE" w14:textId="77777777"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 xml:space="preserve">Употреба при пациенти </w:t>
      </w:r>
      <w:r w:rsidRPr="004E363A">
        <w:rPr>
          <w:rFonts w:eastAsia="Times New Roman" w:cs="Arial"/>
          <w:i/>
          <w:iCs/>
          <w:color w:val="000000"/>
          <w:szCs w:val="20"/>
          <w:lang w:val="en-US"/>
        </w:rPr>
        <w:t>c</w:t>
      </w:r>
      <w:r w:rsidRPr="004E363A">
        <w:rPr>
          <w:rFonts w:eastAsia="Times New Roman" w:cs="Arial"/>
          <w:i/>
          <w:iCs/>
          <w:color w:val="000000"/>
          <w:szCs w:val="20"/>
          <w:lang w:eastAsia="bg-BG"/>
        </w:rPr>
        <w:t xml:space="preserve"> </w:t>
      </w:r>
      <w:r w:rsidRPr="004E363A">
        <w:rPr>
          <w:rFonts w:eastAsia="Times New Roman" w:cs="Arial"/>
          <w:i/>
          <w:iCs/>
          <w:color w:val="000000"/>
          <w:szCs w:val="20"/>
          <w:lang w:val="en-US"/>
        </w:rPr>
        <w:t>AV</w:t>
      </w:r>
      <w:r w:rsidRPr="004E363A">
        <w:rPr>
          <w:rFonts w:eastAsia="Times New Roman" w:cs="Arial"/>
          <w:i/>
          <w:iCs/>
          <w:color w:val="000000"/>
          <w:szCs w:val="20"/>
          <w:lang w:eastAsia="bg-BG"/>
        </w:rPr>
        <w:t xml:space="preserve"> блок 2-ра степен</w:t>
      </w:r>
    </w:p>
    <w:p w14:paraId="50A315E3"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Ивабрадин не се препоръчва при пациенти с </w:t>
      </w:r>
      <w:r w:rsidRPr="004E363A">
        <w:rPr>
          <w:rFonts w:eastAsia="Times New Roman" w:cs="Arial"/>
          <w:color w:val="000000"/>
          <w:szCs w:val="20"/>
          <w:lang w:val="en-US"/>
        </w:rPr>
        <w:t>AV</w:t>
      </w:r>
      <w:r w:rsidRPr="004E363A">
        <w:rPr>
          <w:rFonts w:eastAsia="Times New Roman" w:cs="Arial"/>
          <w:color w:val="000000"/>
          <w:szCs w:val="20"/>
          <w:lang w:val="ru-RU"/>
        </w:rPr>
        <w:t xml:space="preserve"> </w:t>
      </w:r>
      <w:r w:rsidRPr="004E363A">
        <w:rPr>
          <w:rFonts w:eastAsia="Times New Roman" w:cs="Arial"/>
          <w:color w:val="000000"/>
          <w:szCs w:val="20"/>
          <w:lang w:eastAsia="bg-BG"/>
        </w:rPr>
        <w:t>блок 2-ра степен.</w:t>
      </w:r>
    </w:p>
    <w:p w14:paraId="6916779F" w14:textId="77777777" w:rsidR="004E363A" w:rsidRPr="004E363A" w:rsidRDefault="004E363A" w:rsidP="004E363A">
      <w:pPr>
        <w:spacing w:line="240" w:lineRule="auto"/>
        <w:rPr>
          <w:rFonts w:eastAsia="Times New Roman" w:cs="Arial"/>
          <w:i/>
          <w:iCs/>
          <w:color w:val="000000"/>
          <w:szCs w:val="20"/>
          <w:lang w:eastAsia="bg-BG"/>
        </w:rPr>
      </w:pPr>
    </w:p>
    <w:p w14:paraId="1B8B8C32" w14:textId="022F3BD1"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Употреба при пациенти с ниска сърдечна честота</w:t>
      </w:r>
    </w:p>
    <w:p w14:paraId="538E0EC3"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Ивабрадин не трябва да се започва при пациенти със сърдечна честота в покой преди лечение под 70 удара в минута (уд./ мин.) (вижте точка 4.3).</w:t>
      </w:r>
    </w:p>
    <w:p w14:paraId="0BD93C50"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Ако по време на лечението сърдечната честота в покой се понижи трайно под 50 уд./ мин. или пациентът изпита симптоми, свързани с брадикардия, като замаяност, умора или хипотония, дозата трябва да бъде постепенно понижена или лечението трябва да бъде преустановено, ако сърдечната честота се запази под 50 уд./мин. или симптомите на брадикардия продължат (вижте точка 4.2).</w:t>
      </w:r>
    </w:p>
    <w:p w14:paraId="4E12DD0C" w14:textId="77777777" w:rsidR="004E363A" w:rsidRPr="004E363A" w:rsidRDefault="004E363A" w:rsidP="004E363A">
      <w:pPr>
        <w:spacing w:line="240" w:lineRule="auto"/>
        <w:rPr>
          <w:rFonts w:eastAsia="Times New Roman" w:cs="Arial"/>
          <w:i/>
          <w:iCs/>
          <w:color w:val="000000"/>
          <w:szCs w:val="20"/>
          <w:lang w:eastAsia="bg-BG"/>
        </w:rPr>
      </w:pPr>
    </w:p>
    <w:p w14:paraId="27EB8B00" w14:textId="1DF7FF89"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Комбинация с блокери на калциевите канали</w:t>
      </w:r>
    </w:p>
    <w:p w14:paraId="124052D9"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Съвместната употреба на ивабрадин с понижаващи сърдечната честота блокери на калциевите канали като верапамил и дилтиазем е противопоказана (вижте точки 4.3 и 4.5). Досега не са повдигани въпроси относно безопасността на комбинацията от ивабрадин и нитрати и дихидропиридинови блокери на калциевите канали като амлодипин. Не е установена допълнителна ефикасност на ивабрадин в комбинация с дихидропиридинови блокери на калциевите канали (вижте точка 5.1).</w:t>
      </w:r>
    </w:p>
    <w:p w14:paraId="3853F117" w14:textId="77777777" w:rsidR="004E363A" w:rsidRPr="004E363A" w:rsidRDefault="004E363A" w:rsidP="004E363A">
      <w:pPr>
        <w:spacing w:line="240" w:lineRule="auto"/>
        <w:rPr>
          <w:rFonts w:eastAsia="Times New Roman" w:cs="Arial"/>
          <w:i/>
          <w:iCs/>
          <w:color w:val="000000"/>
          <w:szCs w:val="20"/>
          <w:lang w:eastAsia="bg-BG"/>
        </w:rPr>
      </w:pPr>
    </w:p>
    <w:p w14:paraId="48B70C20" w14:textId="44B6EAA1"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Хронична сърдечна недостатъчност</w:t>
      </w:r>
    </w:p>
    <w:p w14:paraId="3158F16E"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Сърдечната недостатъчност трябва да е стабилна преди обмисляне на лечение с ивабрадин. Ивабрадин трябва да се използва с внимание при пациенти със сърдечна недостатъчност </w:t>
      </w:r>
      <w:r w:rsidRPr="004E363A">
        <w:rPr>
          <w:rFonts w:eastAsia="Times New Roman" w:cs="Arial"/>
          <w:color w:val="000000"/>
          <w:szCs w:val="20"/>
          <w:lang w:val="en-US"/>
        </w:rPr>
        <w:t>NYHA</w:t>
      </w:r>
      <w:r w:rsidRPr="004E363A">
        <w:rPr>
          <w:rFonts w:eastAsia="Times New Roman" w:cs="Arial"/>
          <w:color w:val="000000"/>
          <w:szCs w:val="20"/>
          <w:lang w:val="ru-RU"/>
        </w:rPr>
        <w:t xml:space="preserve"> </w:t>
      </w:r>
      <w:r w:rsidRPr="004E363A">
        <w:rPr>
          <w:rFonts w:eastAsia="Times New Roman" w:cs="Arial"/>
          <w:color w:val="000000"/>
          <w:szCs w:val="20"/>
          <w:lang w:eastAsia="bg-BG"/>
        </w:rPr>
        <w:t>функционален клас IV, тъй като данните при тази популация са ограничени.</w:t>
      </w:r>
    </w:p>
    <w:p w14:paraId="5A79A33A" w14:textId="77777777" w:rsidR="004E363A" w:rsidRPr="004E363A" w:rsidRDefault="004E363A" w:rsidP="004E363A">
      <w:pPr>
        <w:spacing w:line="240" w:lineRule="auto"/>
        <w:rPr>
          <w:rFonts w:eastAsia="Times New Roman" w:cs="Arial"/>
          <w:i/>
          <w:iCs/>
          <w:color w:val="000000"/>
          <w:szCs w:val="20"/>
          <w:lang w:eastAsia="bg-BG"/>
        </w:rPr>
      </w:pPr>
    </w:p>
    <w:p w14:paraId="3C32DF94" w14:textId="0754C797"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Инсулт</w:t>
      </w:r>
    </w:p>
    <w:p w14:paraId="06B809B6"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Не се препоръчва употребата на ивабрадин след инсулт, тъй като няма налични данни в такива ситуации.</w:t>
      </w:r>
    </w:p>
    <w:p w14:paraId="19ACE9EE" w14:textId="77777777" w:rsidR="004E363A" w:rsidRPr="004E363A" w:rsidRDefault="004E363A" w:rsidP="004E363A">
      <w:pPr>
        <w:spacing w:line="240" w:lineRule="auto"/>
        <w:rPr>
          <w:rFonts w:eastAsia="Times New Roman" w:cs="Arial"/>
          <w:i/>
          <w:iCs/>
          <w:color w:val="000000"/>
          <w:szCs w:val="20"/>
          <w:lang w:eastAsia="bg-BG"/>
        </w:rPr>
      </w:pPr>
    </w:p>
    <w:p w14:paraId="5D592F88" w14:textId="0777CAD4"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Зрителна функция</w:t>
      </w:r>
    </w:p>
    <w:p w14:paraId="418158E3"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Ивабрадин повлиява функцията на ретината. Няма данни за токсичен ефект върху ретината от дългосрочно лечение с ивабрадин (вижте точка 5.1). Трябва да се обмисли преустановяване на лечението, ако се появи неочаквано влошаване на зрителната функция. При п</w:t>
      </w:r>
      <w:r w:rsidRPr="004E363A">
        <w:rPr>
          <w:rFonts w:eastAsia="Times New Roman" w:cs="Arial"/>
          <w:color w:val="000000"/>
          <w:szCs w:val="20"/>
          <w:u w:val="single"/>
          <w:lang w:eastAsia="bg-BG"/>
        </w:rPr>
        <w:t>ациен</w:t>
      </w:r>
      <w:r w:rsidRPr="004E363A">
        <w:rPr>
          <w:rFonts w:eastAsia="Times New Roman" w:cs="Arial"/>
          <w:color w:val="000000"/>
          <w:szCs w:val="20"/>
          <w:lang w:eastAsia="bg-BG"/>
        </w:rPr>
        <w:t>ти с пигментозен ретинит е необходимо повишено внимание.</w:t>
      </w:r>
    </w:p>
    <w:p w14:paraId="52865548" w14:textId="77777777" w:rsidR="004E363A" w:rsidRPr="004E363A" w:rsidRDefault="004E363A" w:rsidP="004E363A">
      <w:pPr>
        <w:spacing w:line="240" w:lineRule="auto"/>
        <w:rPr>
          <w:rFonts w:eastAsia="Times New Roman" w:cs="Arial"/>
          <w:i/>
          <w:iCs/>
          <w:color w:val="000000"/>
          <w:szCs w:val="20"/>
          <w:lang w:eastAsia="bg-BG"/>
        </w:rPr>
      </w:pPr>
    </w:p>
    <w:p w14:paraId="1A3BC632" w14:textId="19970ACF"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Пациенти с хипотония</w:t>
      </w:r>
    </w:p>
    <w:p w14:paraId="07F54591"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Налични са ограничени данни при пациенти с лека до умерена хипотония и поради това ивабрадин трябва да се използва с повишено внимание при тези пациенти. Ивабрадин е противопоказан при пациенти с тежка хипотония (кръвно налягане &lt; 90/50 </w:t>
      </w:r>
      <w:r w:rsidRPr="004E363A">
        <w:rPr>
          <w:rFonts w:eastAsia="Times New Roman" w:cs="Arial"/>
          <w:color w:val="000000"/>
          <w:szCs w:val="20"/>
          <w:lang w:val="en-US"/>
        </w:rPr>
        <w:t>mmHg</w:t>
      </w:r>
      <w:r w:rsidRPr="004E363A">
        <w:rPr>
          <w:rFonts w:eastAsia="Times New Roman" w:cs="Arial"/>
          <w:color w:val="000000"/>
          <w:szCs w:val="20"/>
          <w:lang w:val="ru-RU"/>
        </w:rPr>
        <w:t xml:space="preserve">) </w:t>
      </w:r>
      <w:r w:rsidRPr="004E363A">
        <w:rPr>
          <w:rFonts w:eastAsia="Times New Roman" w:cs="Arial"/>
          <w:color w:val="000000"/>
          <w:szCs w:val="20"/>
          <w:lang w:eastAsia="bg-BG"/>
        </w:rPr>
        <w:t>(вижте точка 4.3).</w:t>
      </w:r>
    </w:p>
    <w:p w14:paraId="318AEE1A" w14:textId="77777777" w:rsidR="004E363A" w:rsidRPr="004E363A" w:rsidRDefault="004E363A" w:rsidP="004E363A">
      <w:pPr>
        <w:spacing w:line="240" w:lineRule="auto"/>
        <w:rPr>
          <w:rFonts w:eastAsia="Times New Roman" w:cs="Arial"/>
          <w:i/>
          <w:iCs/>
          <w:color w:val="000000"/>
          <w:szCs w:val="20"/>
          <w:lang w:eastAsia="bg-BG"/>
        </w:rPr>
      </w:pPr>
    </w:p>
    <w:p w14:paraId="677A73C3" w14:textId="171F945A"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Предсърдно мъждене - сърдечни аритмии</w:t>
      </w:r>
    </w:p>
    <w:p w14:paraId="5FB7E07F"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Няма доказателства за риск от (прекомерна) брадикардия при възстановяване на синусовия ритъм, когато при пациенти, лекувани с ивабрадин е инициирана фармакологична кардиоверсия. Въпреки това, поради липса на достатъчно данни, неспешна кардиоверсия с прав ток трябва да се предвижда 24 часа след последния преим на ивабрадин.</w:t>
      </w:r>
    </w:p>
    <w:p w14:paraId="76BF3E46" w14:textId="77777777" w:rsidR="004E363A" w:rsidRPr="004E363A" w:rsidRDefault="004E363A" w:rsidP="004E363A">
      <w:pPr>
        <w:spacing w:line="240" w:lineRule="auto"/>
        <w:rPr>
          <w:rFonts w:eastAsia="Times New Roman" w:cs="Arial"/>
          <w:i/>
          <w:iCs/>
          <w:color w:val="000000"/>
          <w:szCs w:val="20"/>
          <w:lang w:eastAsia="bg-BG"/>
        </w:rPr>
      </w:pPr>
    </w:p>
    <w:p w14:paraId="2C2C4E1E" w14:textId="39DD3822"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 xml:space="preserve">Употреба при пациенти с вроден </w:t>
      </w:r>
      <w:r w:rsidRPr="004E363A">
        <w:rPr>
          <w:rFonts w:eastAsia="Times New Roman" w:cs="Arial"/>
          <w:i/>
          <w:iCs/>
          <w:color w:val="000000"/>
          <w:szCs w:val="20"/>
          <w:lang w:val="en-US"/>
        </w:rPr>
        <w:t>QT</w:t>
      </w:r>
      <w:r w:rsidRPr="004E363A">
        <w:rPr>
          <w:rFonts w:eastAsia="Times New Roman" w:cs="Arial"/>
          <w:i/>
          <w:iCs/>
          <w:color w:val="000000"/>
          <w:szCs w:val="20"/>
          <w:lang w:val="ru-RU"/>
        </w:rPr>
        <w:t xml:space="preserve"> </w:t>
      </w:r>
      <w:r w:rsidRPr="004E363A">
        <w:rPr>
          <w:rFonts w:eastAsia="Times New Roman" w:cs="Arial"/>
          <w:i/>
          <w:iCs/>
          <w:color w:val="000000"/>
          <w:szCs w:val="20"/>
          <w:lang w:eastAsia="bg-BG"/>
        </w:rPr>
        <w:t xml:space="preserve">синдром или лекувани с лекарствени продукти, които удължават </w:t>
      </w:r>
      <w:r w:rsidRPr="004E363A">
        <w:rPr>
          <w:rFonts w:eastAsia="Times New Roman" w:cs="Arial"/>
          <w:i/>
          <w:iCs/>
          <w:color w:val="000000"/>
          <w:szCs w:val="20"/>
          <w:lang w:val="en-US"/>
        </w:rPr>
        <w:t>QT</w:t>
      </w:r>
      <w:r w:rsidRPr="004E363A">
        <w:rPr>
          <w:rFonts w:eastAsia="Times New Roman" w:cs="Arial"/>
          <w:i/>
          <w:iCs/>
          <w:color w:val="000000"/>
          <w:szCs w:val="20"/>
          <w:lang w:val="ru-RU"/>
        </w:rPr>
        <w:t xml:space="preserve"> </w:t>
      </w:r>
      <w:r w:rsidRPr="004E363A">
        <w:rPr>
          <w:rFonts w:eastAsia="Times New Roman" w:cs="Arial"/>
          <w:i/>
          <w:iCs/>
          <w:color w:val="000000"/>
          <w:szCs w:val="20"/>
          <w:lang w:eastAsia="bg-BG"/>
        </w:rPr>
        <w:t>интервала</w:t>
      </w:r>
    </w:p>
    <w:p w14:paraId="3ABD908B"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Употребата на ивабрадин при пациенти с вроден </w:t>
      </w:r>
      <w:r w:rsidRPr="004E363A">
        <w:rPr>
          <w:rFonts w:eastAsia="Times New Roman" w:cs="Arial"/>
          <w:color w:val="000000"/>
          <w:szCs w:val="20"/>
          <w:lang w:val="en-US"/>
        </w:rPr>
        <w:t>QT</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синдром или лекувани с лекарствени продукти, които удължават </w:t>
      </w:r>
      <w:r w:rsidRPr="004E363A">
        <w:rPr>
          <w:rFonts w:eastAsia="Times New Roman" w:cs="Arial"/>
          <w:color w:val="000000"/>
          <w:szCs w:val="20"/>
          <w:lang w:val="en-US"/>
        </w:rPr>
        <w:t>QT</w:t>
      </w:r>
      <w:r w:rsidRPr="004E363A">
        <w:rPr>
          <w:rFonts w:eastAsia="Times New Roman" w:cs="Arial"/>
          <w:color w:val="000000"/>
          <w:szCs w:val="20"/>
          <w:lang w:val="ru-RU"/>
        </w:rPr>
        <w:t xml:space="preserve"> </w:t>
      </w:r>
      <w:r w:rsidRPr="004E363A">
        <w:rPr>
          <w:rFonts w:eastAsia="Times New Roman" w:cs="Arial"/>
          <w:color w:val="000000"/>
          <w:szCs w:val="20"/>
          <w:lang w:eastAsia="bg-BG"/>
        </w:rPr>
        <w:t>интервала трябва да се избягва (вижте точка 4.5). Ако такава комбинация е необходима, тогава се налага кардиологично проследяване отблизо.</w:t>
      </w:r>
    </w:p>
    <w:p w14:paraId="155EEE74"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Понижаването на сърдечната честота, причинено от ивабрадин, може да засили удължаването на </w:t>
      </w:r>
      <w:r w:rsidRPr="004E363A">
        <w:rPr>
          <w:rFonts w:eastAsia="Times New Roman" w:cs="Arial"/>
          <w:color w:val="000000"/>
          <w:szCs w:val="20"/>
          <w:lang w:val="en-US"/>
        </w:rPr>
        <w:t>QT</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интервала, което може да причини тежки аритмии, в частност полиморфна камерна тахикардия </w:t>
      </w:r>
      <w:r w:rsidRPr="004E363A">
        <w:rPr>
          <w:rFonts w:eastAsia="Times New Roman" w:cs="Arial"/>
          <w:i/>
          <w:iCs/>
          <w:color w:val="000000"/>
          <w:szCs w:val="20"/>
          <w:lang w:val="ru-RU"/>
        </w:rPr>
        <w:t>(</w:t>
      </w:r>
      <w:r w:rsidRPr="004E363A">
        <w:rPr>
          <w:rFonts w:eastAsia="Times New Roman" w:cs="Arial"/>
          <w:i/>
          <w:iCs/>
          <w:color w:val="000000"/>
          <w:szCs w:val="20"/>
          <w:lang w:val="en-US"/>
        </w:rPr>
        <w:t>Torsade</w:t>
      </w:r>
      <w:r w:rsidRPr="004E363A">
        <w:rPr>
          <w:rFonts w:eastAsia="Times New Roman" w:cs="Arial"/>
          <w:i/>
          <w:iCs/>
          <w:color w:val="000000"/>
          <w:szCs w:val="20"/>
          <w:lang w:val="ru-RU"/>
        </w:rPr>
        <w:t xml:space="preserve"> </w:t>
      </w:r>
      <w:r w:rsidRPr="004E363A">
        <w:rPr>
          <w:rFonts w:eastAsia="Times New Roman" w:cs="Arial"/>
          <w:i/>
          <w:iCs/>
          <w:color w:val="000000"/>
          <w:szCs w:val="20"/>
          <w:lang w:val="en-US"/>
        </w:rPr>
        <w:t>de</w:t>
      </w:r>
      <w:r w:rsidRPr="004E363A">
        <w:rPr>
          <w:rFonts w:eastAsia="Times New Roman" w:cs="Arial"/>
          <w:i/>
          <w:iCs/>
          <w:color w:val="000000"/>
          <w:szCs w:val="20"/>
          <w:lang w:val="ru-RU"/>
        </w:rPr>
        <w:t xml:space="preserve"> </w:t>
      </w:r>
      <w:r w:rsidRPr="004E363A">
        <w:rPr>
          <w:rFonts w:eastAsia="Times New Roman" w:cs="Arial"/>
          <w:i/>
          <w:iCs/>
          <w:color w:val="000000"/>
          <w:szCs w:val="20"/>
          <w:lang w:val="en-US"/>
        </w:rPr>
        <w:t>pointes</w:t>
      </w:r>
      <w:r w:rsidRPr="004E363A">
        <w:rPr>
          <w:rFonts w:eastAsia="Times New Roman" w:cs="Arial"/>
          <w:i/>
          <w:iCs/>
          <w:color w:val="000000"/>
          <w:szCs w:val="20"/>
          <w:lang w:val="ru-RU"/>
        </w:rPr>
        <w:t>).</w:t>
      </w:r>
    </w:p>
    <w:p w14:paraId="1D9F35CF" w14:textId="77777777" w:rsidR="004E363A" w:rsidRPr="004E363A" w:rsidRDefault="004E363A" w:rsidP="004E363A">
      <w:pPr>
        <w:spacing w:line="240" w:lineRule="auto"/>
        <w:rPr>
          <w:rFonts w:eastAsia="Times New Roman" w:cs="Arial"/>
          <w:i/>
          <w:iCs/>
          <w:color w:val="000000"/>
          <w:szCs w:val="20"/>
          <w:lang w:eastAsia="bg-BG"/>
        </w:rPr>
      </w:pPr>
    </w:p>
    <w:p w14:paraId="75EE9654" w14:textId="21C5000A"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Пациенти с хипертония, при които се налага промяна в лечението на кръвното налягане</w:t>
      </w:r>
    </w:p>
    <w:p w14:paraId="5D0A0B93"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При промяна на лечението при пациенти с хронична сърдечна недостатъчност, лекувани с ивабрадин, кръвното налягане трябва да бъде проследявано на подходящи интервали (вижте точка 4.8).</w:t>
      </w:r>
    </w:p>
    <w:p w14:paraId="505A3DEC" w14:textId="77777777" w:rsidR="004E363A" w:rsidRPr="004E363A" w:rsidRDefault="004E363A" w:rsidP="004E363A">
      <w:pPr>
        <w:spacing w:line="240" w:lineRule="auto"/>
        <w:rPr>
          <w:rFonts w:eastAsia="Times New Roman" w:cs="Arial"/>
          <w:i/>
          <w:iCs/>
          <w:color w:val="000000"/>
          <w:szCs w:val="20"/>
          <w:lang w:eastAsia="bg-BG"/>
        </w:rPr>
      </w:pPr>
    </w:p>
    <w:p w14:paraId="656AF85E" w14:textId="7FE0062F"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Помощни вещества</w:t>
      </w:r>
    </w:p>
    <w:p w14:paraId="3EEAB021" w14:textId="28F6A873" w:rsidR="004E363A" w:rsidRDefault="004E363A" w:rsidP="004E363A">
      <w:pPr>
        <w:rPr>
          <w:rFonts w:eastAsia="Times New Roman" w:cs="Arial"/>
          <w:color w:val="000000"/>
          <w:szCs w:val="20"/>
          <w:lang w:eastAsia="bg-BG"/>
        </w:rPr>
      </w:pPr>
      <w:r w:rsidRPr="004E363A">
        <w:rPr>
          <w:rFonts w:eastAsia="Times New Roman" w:cs="Arial"/>
          <w:color w:val="000000"/>
          <w:szCs w:val="20"/>
          <w:lang w:eastAsia="bg-BG"/>
        </w:rPr>
        <w:t>Този лекарствен продукт съдържа лактоза. Пациентите с редки наследствени проблеми на галактозна непоносиост, пълен лактазен дефицит или глюкозо-галактозна малабсорбция не трябва да приемат това лекарство.</w:t>
      </w:r>
    </w:p>
    <w:p w14:paraId="19A91BBF" w14:textId="77777777" w:rsidR="004E363A" w:rsidRPr="004E363A" w:rsidRDefault="004E363A" w:rsidP="004E363A">
      <w:pPr>
        <w:rPr>
          <w:rFonts w:cs="Arial"/>
          <w:sz w:val="24"/>
        </w:rPr>
      </w:pPr>
    </w:p>
    <w:p w14:paraId="0734264C" w14:textId="079A2B4F"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07C1CAA" w14:textId="74646A9D" w:rsidR="004E363A" w:rsidRDefault="004E363A" w:rsidP="004E363A"/>
    <w:p w14:paraId="327BB267"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u w:val="single"/>
          <w:lang w:eastAsia="bg-BG"/>
        </w:rPr>
        <w:t>Фармакодинамични взаимодействия</w:t>
      </w:r>
    </w:p>
    <w:p w14:paraId="4E77F847" w14:textId="77777777"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Съвместната употреба не се препоръчва</w:t>
      </w:r>
    </w:p>
    <w:p w14:paraId="6B7C93FB"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Лекарствени продукти, които удължавата </w:t>
      </w:r>
      <w:r w:rsidRPr="004E363A">
        <w:rPr>
          <w:rFonts w:eastAsia="Times New Roman" w:cs="Arial"/>
          <w:color w:val="000000"/>
          <w:szCs w:val="20"/>
          <w:lang w:val="en-US"/>
        </w:rPr>
        <w:t>QT</w:t>
      </w:r>
      <w:r w:rsidRPr="004E363A">
        <w:rPr>
          <w:rFonts w:eastAsia="Times New Roman" w:cs="Arial"/>
          <w:color w:val="000000"/>
          <w:szCs w:val="20"/>
          <w:lang w:val="ru-RU"/>
        </w:rPr>
        <w:t xml:space="preserve"> </w:t>
      </w:r>
      <w:r w:rsidRPr="004E363A">
        <w:rPr>
          <w:rFonts w:eastAsia="Times New Roman" w:cs="Arial"/>
          <w:color w:val="000000"/>
          <w:szCs w:val="20"/>
          <w:lang w:eastAsia="bg-BG"/>
        </w:rPr>
        <w:t>интервала</w:t>
      </w:r>
    </w:p>
    <w:p w14:paraId="3E127ED5" w14:textId="77777777" w:rsidR="004E363A" w:rsidRPr="004E363A" w:rsidRDefault="004E363A" w:rsidP="004E363A">
      <w:pPr>
        <w:pStyle w:val="ListParagraph"/>
        <w:numPr>
          <w:ilvl w:val="0"/>
          <w:numId w:val="39"/>
        </w:numPr>
        <w:spacing w:line="240" w:lineRule="auto"/>
        <w:rPr>
          <w:rFonts w:eastAsia="Times New Roman" w:cs="Arial"/>
          <w:sz w:val="28"/>
          <w:szCs w:val="24"/>
        </w:rPr>
      </w:pPr>
      <w:r w:rsidRPr="004E363A">
        <w:rPr>
          <w:rFonts w:eastAsia="Times New Roman" w:cs="Arial"/>
          <w:color w:val="000000"/>
          <w:szCs w:val="20"/>
          <w:lang w:eastAsia="bg-BG"/>
        </w:rPr>
        <w:t xml:space="preserve">Сърдечно-съдови лекарствени продукти, които удължават </w:t>
      </w:r>
      <w:r w:rsidRPr="004E363A">
        <w:rPr>
          <w:rFonts w:eastAsia="Times New Roman" w:cs="Arial"/>
          <w:color w:val="000000"/>
          <w:szCs w:val="20"/>
          <w:lang w:val="en-US"/>
        </w:rPr>
        <w:t>QT</w:t>
      </w:r>
      <w:r w:rsidRPr="004E363A">
        <w:rPr>
          <w:rFonts w:eastAsia="Times New Roman" w:cs="Arial"/>
          <w:color w:val="000000"/>
          <w:szCs w:val="20"/>
          <w:lang w:val="ru-RU"/>
        </w:rPr>
        <w:t xml:space="preserve"> </w:t>
      </w:r>
      <w:r w:rsidRPr="004E363A">
        <w:rPr>
          <w:rFonts w:eastAsia="Times New Roman" w:cs="Arial"/>
          <w:color w:val="000000"/>
          <w:szCs w:val="20"/>
          <w:lang w:eastAsia="bg-BG"/>
        </w:rPr>
        <w:t>интервала (например хинидин, дизопирамид, бепредил, соталол, ибутилид, амиодарон).</w:t>
      </w:r>
    </w:p>
    <w:p w14:paraId="06B86FA7" w14:textId="2088E052" w:rsidR="004E363A" w:rsidRPr="004E363A" w:rsidRDefault="004E363A" w:rsidP="004E363A">
      <w:pPr>
        <w:pStyle w:val="ListParagraph"/>
        <w:numPr>
          <w:ilvl w:val="0"/>
          <w:numId w:val="39"/>
        </w:numPr>
        <w:spacing w:line="240" w:lineRule="auto"/>
        <w:rPr>
          <w:rFonts w:eastAsia="Times New Roman" w:cs="Arial"/>
          <w:sz w:val="28"/>
          <w:szCs w:val="24"/>
        </w:rPr>
      </w:pPr>
      <w:r w:rsidRPr="004E363A">
        <w:rPr>
          <w:rFonts w:eastAsia="Times New Roman" w:cs="Arial"/>
          <w:color w:val="000000"/>
          <w:szCs w:val="20"/>
          <w:lang w:eastAsia="bg-BG"/>
        </w:rPr>
        <w:t xml:space="preserve">Несърдечно-съдови лекарствени продукти, конто удължават </w:t>
      </w:r>
      <w:r w:rsidRPr="004E363A">
        <w:rPr>
          <w:rFonts w:eastAsia="Times New Roman" w:cs="Arial"/>
          <w:color w:val="000000"/>
          <w:szCs w:val="20"/>
          <w:lang w:val="en-US"/>
        </w:rPr>
        <w:t>QT</w:t>
      </w:r>
      <w:r w:rsidRPr="004E363A">
        <w:rPr>
          <w:rFonts w:eastAsia="Times New Roman" w:cs="Arial"/>
          <w:color w:val="000000"/>
          <w:szCs w:val="20"/>
          <w:lang w:val="ru-RU"/>
        </w:rPr>
        <w:t xml:space="preserve"> </w:t>
      </w:r>
      <w:r w:rsidRPr="004E363A">
        <w:rPr>
          <w:rFonts w:eastAsia="Times New Roman" w:cs="Arial"/>
          <w:color w:val="000000"/>
          <w:szCs w:val="20"/>
          <w:lang w:eastAsia="bg-BG"/>
        </w:rPr>
        <w:t>интервала (например пимозид, зипрасидон, сертиндол, мефлокин, халофантрин, пентамидин, цизаприд, еритромицин интравенозно).</w:t>
      </w:r>
    </w:p>
    <w:p w14:paraId="6CA01D2D"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Съвместното приложение на сърдечно-съдови и несърдечно-съдови лекарствени продукти, които удължават </w:t>
      </w:r>
      <w:r w:rsidRPr="004E363A">
        <w:rPr>
          <w:rFonts w:eastAsia="Times New Roman" w:cs="Arial"/>
          <w:color w:val="000000"/>
          <w:szCs w:val="20"/>
          <w:lang w:val="en-US"/>
        </w:rPr>
        <w:t>QT</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интервала, с ивабрадин трябва да се избягва, тъй като удължаването на </w:t>
      </w:r>
      <w:r w:rsidRPr="004E363A">
        <w:rPr>
          <w:rFonts w:eastAsia="Times New Roman" w:cs="Arial"/>
          <w:color w:val="000000"/>
          <w:szCs w:val="20"/>
          <w:lang w:val="en-US"/>
        </w:rPr>
        <w:t>QT</w:t>
      </w:r>
      <w:r w:rsidRPr="004E363A">
        <w:rPr>
          <w:rFonts w:eastAsia="Times New Roman" w:cs="Arial"/>
          <w:color w:val="000000"/>
          <w:szCs w:val="20"/>
          <w:lang w:val="ru-RU"/>
        </w:rPr>
        <w:t xml:space="preserve"> </w:t>
      </w:r>
      <w:r w:rsidRPr="004E363A">
        <w:rPr>
          <w:rFonts w:eastAsia="Times New Roman" w:cs="Arial"/>
          <w:color w:val="000000"/>
          <w:szCs w:val="20"/>
          <w:lang w:eastAsia="bg-BG"/>
        </w:rPr>
        <w:t>интервала може да се влоши при понижаване на сърдечната честота. Ако комбинацията е необходима, тогава се налага сърдечно проследяване отблизо (вижте точка 4.4).</w:t>
      </w:r>
    </w:p>
    <w:p w14:paraId="6516D2F2" w14:textId="77777777" w:rsidR="004E363A" w:rsidRPr="004E363A" w:rsidRDefault="004E363A" w:rsidP="004E363A">
      <w:pPr>
        <w:spacing w:line="240" w:lineRule="auto"/>
        <w:rPr>
          <w:rFonts w:eastAsia="Times New Roman" w:cs="Arial"/>
          <w:i/>
          <w:iCs/>
          <w:color w:val="000000"/>
          <w:szCs w:val="20"/>
          <w:lang w:eastAsia="bg-BG"/>
        </w:rPr>
      </w:pPr>
    </w:p>
    <w:p w14:paraId="558C3A70" w14:textId="279A4A08"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Съвместната употреба изисква повишено внимание</w:t>
      </w:r>
    </w:p>
    <w:p w14:paraId="7FAAB486" w14:textId="77777777"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Изчерпващи калия диуретици (тиазидни диуретици и бримкови диуретици):</w:t>
      </w:r>
    </w:p>
    <w:p w14:paraId="52DC70B7"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Хипокалиемията може да повиши риска от аритмия. Тъй като ивабрадин може да причини брадикардия, крайната комбинация от хипокалиемия и брадикардия е предразполагащ фактор за отключване на тежки аритмии, особено при пациенти със синдром на удължен </w:t>
      </w:r>
      <w:r w:rsidRPr="004E363A">
        <w:rPr>
          <w:rFonts w:eastAsia="Times New Roman" w:cs="Arial"/>
          <w:color w:val="000000"/>
          <w:szCs w:val="20"/>
          <w:lang w:val="en-US"/>
        </w:rPr>
        <w:t>QT</w:t>
      </w:r>
      <w:r w:rsidRPr="004E363A">
        <w:rPr>
          <w:rFonts w:eastAsia="Times New Roman" w:cs="Arial"/>
          <w:color w:val="000000"/>
          <w:szCs w:val="20"/>
          <w:lang w:val="ru-RU"/>
        </w:rPr>
        <w:t xml:space="preserve"> </w:t>
      </w:r>
      <w:r w:rsidRPr="004E363A">
        <w:rPr>
          <w:rFonts w:eastAsia="Times New Roman" w:cs="Arial"/>
          <w:color w:val="000000"/>
          <w:szCs w:val="20"/>
          <w:lang w:eastAsia="bg-BG"/>
        </w:rPr>
        <w:t>интервал, независимо дали е вроден или предизвикан от вещество.</w:t>
      </w:r>
    </w:p>
    <w:p w14:paraId="2E8E8E67" w14:textId="77777777" w:rsidR="004E363A" w:rsidRPr="004E363A" w:rsidRDefault="004E363A" w:rsidP="004E363A">
      <w:pPr>
        <w:spacing w:line="240" w:lineRule="auto"/>
        <w:rPr>
          <w:rFonts w:eastAsia="Times New Roman" w:cs="Arial"/>
          <w:color w:val="000000"/>
          <w:szCs w:val="20"/>
          <w:u w:val="single"/>
          <w:lang w:eastAsia="bg-BG"/>
        </w:rPr>
      </w:pPr>
    </w:p>
    <w:p w14:paraId="6DDCF604" w14:textId="37A7770A"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u w:val="single"/>
          <w:lang w:eastAsia="bg-BG"/>
        </w:rPr>
        <w:t>Фармакокинетични взаимодействия</w:t>
      </w:r>
    </w:p>
    <w:p w14:paraId="50D6F9FA"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Ивабрадин се метаболизира само от </w:t>
      </w:r>
      <w:r w:rsidRPr="004E363A">
        <w:rPr>
          <w:rFonts w:eastAsia="Times New Roman" w:cs="Arial"/>
          <w:color w:val="000000"/>
          <w:szCs w:val="20"/>
          <w:lang w:val="en-US"/>
        </w:rPr>
        <w:t>CYP</w:t>
      </w:r>
      <w:r w:rsidRPr="004E363A">
        <w:rPr>
          <w:rFonts w:eastAsia="Times New Roman" w:cs="Arial"/>
          <w:color w:val="000000"/>
          <w:szCs w:val="20"/>
          <w:lang w:val="ru-RU"/>
        </w:rPr>
        <w:t>3</w:t>
      </w:r>
      <w:r w:rsidRPr="004E363A">
        <w:rPr>
          <w:rFonts w:eastAsia="Times New Roman" w:cs="Arial"/>
          <w:color w:val="000000"/>
          <w:szCs w:val="20"/>
          <w:lang w:val="en-US"/>
        </w:rPr>
        <w:t>A</w:t>
      </w:r>
      <w:r w:rsidRPr="004E363A">
        <w:rPr>
          <w:rFonts w:eastAsia="Times New Roman" w:cs="Arial"/>
          <w:color w:val="000000"/>
          <w:szCs w:val="20"/>
          <w:lang w:val="ru-RU"/>
        </w:rPr>
        <w:t xml:space="preserve">4 </w:t>
      </w:r>
      <w:r w:rsidRPr="004E363A">
        <w:rPr>
          <w:rFonts w:eastAsia="Times New Roman" w:cs="Arial"/>
          <w:color w:val="000000"/>
          <w:szCs w:val="20"/>
          <w:lang w:eastAsia="bg-BG"/>
        </w:rPr>
        <w:t xml:space="preserve">и е изключително слаб инхибитор на този цитохром. Доказано е, че ивабрадин не повлиява метаболизма и плазмените концентрации на други </w:t>
      </w:r>
      <w:r w:rsidRPr="004E363A">
        <w:rPr>
          <w:rFonts w:eastAsia="Times New Roman" w:cs="Arial"/>
          <w:color w:val="000000"/>
          <w:szCs w:val="20"/>
          <w:lang w:val="en-US"/>
        </w:rPr>
        <w:t>CYP</w:t>
      </w:r>
      <w:r w:rsidRPr="004E363A">
        <w:rPr>
          <w:rFonts w:eastAsia="Times New Roman" w:cs="Arial"/>
          <w:color w:val="000000"/>
          <w:szCs w:val="20"/>
          <w:lang w:val="ru-RU"/>
        </w:rPr>
        <w:t>3</w:t>
      </w:r>
      <w:r w:rsidRPr="004E363A">
        <w:rPr>
          <w:rFonts w:eastAsia="Times New Roman" w:cs="Arial"/>
          <w:color w:val="000000"/>
          <w:szCs w:val="20"/>
          <w:lang w:val="en-US"/>
        </w:rPr>
        <w:t>A</w:t>
      </w:r>
      <w:r w:rsidRPr="004E363A">
        <w:rPr>
          <w:rFonts w:eastAsia="Times New Roman" w:cs="Arial"/>
          <w:color w:val="000000"/>
          <w:szCs w:val="20"/>
          <w:lang w:val="ru-RU"/>
        </w:rPr>
        <w:t xml:space="preserve">4 </w:t>
      </w:r>
      <w:r w:rsidRPr="004E363A">
        <w:rPr>
          <w:rFonts w:eastAsia="Times New Roman" w:cs="Arial"/>
          <w:color w:val="000000"/>
          <w:szCs w:val="20"/>
          <w:lang w:eastAsia="bg-BG"/>
        </w:rPr>
        <w:t xml:space="preserve">субстрати (слаби, умерени и силни инхибитори). </w:t>
      </w:r>
      <w:r w:rsidRPr="004E363A">
        <w:rPr>
          <w:rFonts w:eastAsia="Times New Roman" w:cs="Arial"/>
          <w:color w:val="000000"/>
          <w:szCs w:val="20"/>
          <w:lang w:val="en-US"/>
        </w:rPr>
        <w:t>CYP</w:t>
      </w:r>
      <w:r w:rsidRPr="004E363A">
        <w:rPr>
          <w:rFonts w:eastAsia="Times New Roman" w:cs="Arial"/>
          <w:color w:val="000000"/>
          <w:szCs w:val="20"/>
          <w:lang w:val="ru-RU"/>
        </w:rPr>
        <w:t>3</w:t>
      </w:r>
      <w:r w:rsidRPr="004E363A">
        <w:rPr>
          <w:rFonts w:eastAsia="Times New Roman" w:cs="Arial"/>
          <w:color w:val="000000"/>
          <w:szCs w:val="20"/>
          <w:lang w:val="en-US"/>
        </w:rPr>
        <w:t>A</w:t>
      </w:r>
      <w:r w:rsidRPr="004E363A">
        <w:rPr>
          <w:rFonts w:eastAsia="Times New Roman" w:cs="Arial"/>
          <w:color w:val="000000"/>
          <w:szCs w:val="20"/>
          <w:lang w:val="ru-RU"/>
        </w:rPr>
        <w:t xml:space="preserve">4 </w:t>
      </w:r>
      <w:r w:rsidRPr="004E363A">
        <w:rPr>
          <w:rFonts w:eastAsia="Times New Roman" w:cs="Arial"/>
          <w:color w:val="000000"/>
          <w:szCs w:val="20"/>
          <w:lang w:eastAsia="bg-BG"/>
        </w:rPr>
        <w:t xml:space="preserve">инхибиторите и индукторите имат склонност да взаимодействат с ивабрадин и да </w:t>
      </w:r>
      <w:r w:rsidRPr="004E363A">
        <w:rPr>
          <w:rFonts w:eastAsia="Times New Roman" w:cs="Arial"/>
          <w:color w:val="000000"/>
          <w:szCs w:val="20"/>
          <w:lang w:eastAsia="bg-BG"/>
        </w:rPr>
        <w:lastRenderedPageBreak/>
        <w:t xml:space="preserve">повлияват неговите метаболизъм и фармакокинетика в клинично значима степен. При проучвания за взаимодействия е установено, че </w:t>
      </w:r>
      <w:r w:rsidRPr="004E363A">
        <w:rPr>
          <w:rFonts w:eastAsia="Times New Roman" w:cs="Arial"/>
          <w:color w:val="000000"/>
          <w:szCs w:val="20"/>
          <w:lang w:val="en-US"/>
        </w:rPr>
        <w:t>CYP</w:t>
      </w:r>
      <w:r w:rsidRPr="004E363A">
        <w:rPr>
          <w:rFonts w:eastAsia="Times New Roman" w:cs="Arial"/>
          <w:color w:val="000000"/>
          <w:szCs w:val="20"/>
          <w:lang w:val="ru-RU"/>
        </w:rPr>
        <w:t>3</w:t>
      </w:r>
      <w:r w:rsidRPr="004E363A">
        <w:rPr>
          <w:rFonts w:eastAsia="Times New Roman" w:cs="Arial"/>
          <w:color w:val="000000"/>
          <w:szCs w:val="20"/>
          <w:lang w:val="en-US"/>
        </w:rPr>
        <w:t>A</w:t>
      </w:r>
      <w:r w:rsidRPr="004E363A">
        <w:rPr>
          <w:rFonts w:eastAsia="Times New Roman" w:cs="Arial"/>
          <w:color w:val="000000"/>
          <w:szCs w:val="20"/>
          <w:lang w:val="ru-RU"/>
        </w:rPr>
        <w:t xml:space="preserve">4 </w:t>
      </w:r>
      <w:r w:rsidRPr="004E363A">
        <w:rPr>
          <w:rFonts w:eastAsia="Times New Roman" w:cs="Arial"/>
          <w:color w:val="000000"/>
          <w:szCs w:val="20"/>
          <w:lang w:eastAsia="bg-BG"/>
        </w:rPr>
        <w:t>инхибиторите повишават плазмените концентрации на ивабрадин, докато индукторите ги понижават. Повишените плазмени концентрации на ивабрадин могат да бъдат свързани с риск от прекомерна брадикардия (вижте точка 4.4).</w:t>
      </w:r>
    </w:p>
    <w:p w14:paraId="6663F3BB" w14:textId="77777777" w:rsidR="004E363A" w:rsidRPr="004E363A" w:rsidRDefault="004E363A" w:rsidP="004E363A">
      <w:pPr>
        <w:spacing w:line="240" w:lineRule="auto"/>
        <w:rPr>
          <w:rFonts w:eastAsia="Times New Roman" w:cs="Arial"/>
          <w:i/>
          <w:iCs/>
          <w:color w:val="000000"/>
          <w:szCs w:val="20"/>
          <w:u w:val="single"/>
          <w:lang w:eastAsia="bg-BG"/>
        </w:rPr>
      </w:pPr>
    </w:p>
    <w:p w14:paraId="6240D5D8" w14:textId="2DF9E21B"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u w:val="single"/>
          <w:lang w:eastAsia="bg-BG"/>
        </w:rPr>
        <w:t>Противопоказание за съвместна употреба</w:t>
      </w:r>
    </w:p>
    <w:p w14:paraId="6C589A21" w14:textId="77777777"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 xml:space="preserve">Мощни </w:t>
      </w:r>
      <w:r w:rsidRPr="004E363A">
        <w:rPr>
          <w:rFonts w:eastAsia="Times New Roman" w:cs="Arial"/>
          <w:i/>
          <w:iCs/>
          <w:color w:val="000000"/>
          <w:szCs w:val="20"/>
          <w:lang w:val="en-US"/>
        </w:rPr>
        <w:t>CYP</w:t>
      </w:r>
      <w:r w:rsidRPr="004E363A">
        <w:rPr>
          <w:rFonts w:eastAsia="Times New Roman" w:cs="Arial"/>
          <w:i/>
          <w:iCs/>
          <w:color w:val="000000"/>
          <w:szCs w:val="20"/>
          <w:lang w:val="ru-RU"/>
        </w:rPr>
        <w:t>3</w:t>
      </w:r>
      <w:r w:rsidRPr="004E363A">
        <w:rPr>
          <w:rFonts w:eastAsia="Times New Roman" w:cs="Arial"/>
          <w:i/>
          <w:iCs/>
          <w:color w:val="000000"/>
          <w:szCs w:val="20"/>
          <w:lang w:val="en-US"/>
        </w:rPr>
        <w:t>A</w:t>
      </w:r>
      <w:r w:rsidRPr="004E363A">
        <w:rPr>
          <w:rFonts w:eastAsia="Times New Roman" w:cs="Arial"/>
          <w:i/>
          <w:iCs/>
          <w:color w:val="000000"/>
          <w:szCs w:val="20"/>
          <w:lang w:val="ru-RU"/>
        </w:rPr>
        <w:t xml:space="preserve">4 </w:t>
      </w:r>
      <w:r w:rsidRPr="004E363A">
        <w:rPr>
          <w:rFonts w:eastAsia="Times New Roman" w:cs="Arial"/>
          <w:i/>
          <w:iCs/>
          <w:color w:val="000000"/>
          <w:szCs w:val="20"/>
          <w:lang w:eastAsia="bg-BG"/>
        </w:rPr>
        <w:t>инхибитори</w:t>
      </w:r>
    </w:p>
    <w:p w14:paraId="1E1DDBF3"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Съвместната употреба на мощни </w:t>
      </w:r>
      <w:r w:rsidRPr="004E363A">
        <w:rPr>
          <w:rFonts w:eastAsia="Times New Roman" w:cs="Arial"/>
          <w:color w:val="000000"/>
          <w:szCs w:val="20"/>
          <w:lang w:val="en-US"/>
        </w:rPr>
        <w:t>CYP</w:t>
      </w:r>
      <w:r w:rsidRPr="004E363A">
        <w:rPr>
          <w:rFonts w:eastAsia="Times New Roman" w:cs="Arial"/>
          <w:color w:val="000000"/>
          <w:szCs w:val="20"/>
        </w:rPr>
        <w:t>3</w:t>
      </w:r>
      <w:r w:rsidRPr="004E363A">
        <w:rPr>
          <w:rFonts w:eastAsia="Times New Roman" w:cs="Arial"/>
          <w:color w:val="000000"/>
          <w:szCs w:val="20"/>
          <w:lang w:val="en-US"/>
        </w:rPr>
        <w:t>A</w:t>
      </w:r>
      <w:r w:rsidRPr="004E363A">
        <w:rPr>
          <w:rFonts w:eastAsia="Times New Roman" w:cs="Arial"/>
          <w:color w:val="000000"/>
          <w:szCs w:val="20"/>
        </w:rPr>
        <w:t xml:space="preserve">4 </w:t>
      </w:r>
      <w:r w:rsidRPr="004E363A">
        <w:rPr>
          <w:rFonts w:eastAsia="Times New Roman" w:cs="Arial"/>
          <w:color w:val="000000"/>
          <w:szCs w:val="20"/>
          <w:lang w:eastAsia="bg-BG"/>
        </w:rPr>
        <w:t xml:space="preserve">инхибитори като азолови противогъбични средства (кетоконазол, итраконазол), макролидни антибиотици (кларитромицин, еритромицин перорално, йозамицин, телитромицин), ХИВ-протеазни инхибитори (нелфинавир, ритонавир) и нефазодон е противопоказана (вижте точка 4.3). Мощните </w:t>
      </w:r>
      <w:r w:rsidRPr="004E363A">
        <w:rPr>
          <w:rFonts w:eastAsia="Times New Roman" w:cs="Arial"/>
          <w:color w:val="000000"/>
          <w:szCs w:val="20"/>
          <w:lang w:val="en-US"/>
        </w:rPr>
        <w:t>CYP</w:t>
      </w:r>
      <w:r w:rsidRPr="004E363A">
        <w:rPr>
          <w:rFonts w:eastAsia="Times New Roman" w:cs="Arial"/>
          <w:color w:val="000000"/>
          <w:szCs w:val="20"/>
          <w:lang w:val="ru-RU"/>
        </w:rPr>
        <w:t>3</w:t>
      </w:r>
      <w:r w:rsidRPr="004E363A">
        <w:rPr>
          <w:rFonts w:eastAsia="Times New Roman" w:cs="Arial"/>
          <w:color w:val="000000"/>
          <w:szCs w:val="20"/>
          <w:lang w:val="en-US"/>
        </w:rPr>
        <w:t>A</w:t>
      </w:r>
      <w:r w:rsidRPr="004E363A">
        <w:rPr>
          <w:rFonts w:eastAsia="Times New Roman" w:cs="Arial"/>
          <w:color w:val="000000"/>
          <w:szCs w:val="20"/>
          <w:lang w:val="ru-RU"/>
        </w:rPr>
        <w:t xml:space="preserve">4 </w:t>
      </w:r>
      <w:r w:rsidRPr="004E363A">
        <w:rPr>
          <w:rFonts w:eastAsia="Times New Roman" w:cs="Arial"/>
          <w:color w:val="000000"/>
          <w:szCs w:val="20"/>
          <w:lang w:eastAsia="bg-BG"/>
        </w:rPr>
        <w:t xml:space="preserve">инхибитори кетоконазол (200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веднъж дневно) и йозамицин </w:t>
      </w:r>
      <w:r w:rsidRPr="004E363A">
        <w:rPr>
          <w:rFonts w:eastAsia="Times New Roman" w:cs="Arial"/>
          <w:color w:val="000000"/>
          <w:szCs w:val="20"/>
          <w:lang w:val="ru-RU"/>
        </w:rPr>
        <w:t>(1</w:t>
      </w:r>
      <w:r w:rsidRPr="004E363A">
        <w:rPr>
          <w:rFonts w:eastAsia="Times New Roman" w:cs="Arial"/>
          <w:color w:val="000000"/>
          <w:szCs w:val="20"/>
          <w:lang w:val="en-US"/>
        </w:rPr>
        <w:t>g</w:t>
      </w:r>
      <w:r w:rsidRPr="004E363A">
        <w:rPr>
          <w:rFonts w:eastAsia="Times New Roman" w:cs="Arial"/>
          <w:color w:val="000000"/>
          <w:szCs w:val="20"/>
          <w:lang w:val="ru-RU"/>
        </w:rPr>
        <w:t xml:space="preserve"> </w:t>
      </w:r>
      <w:r w:rsidRPr="004E363A">
        <w:rPr>
          <w:rFonts w:eastAsia="Times New Roman" w:cs="Arial"/>
          <w:color w:val="000000"/>
          <w:szCs w:val="20"/>
          <w:lang w:eastAsia="bg-BG"/>
        </w:rPr>
        <w:t>два пъти дневно) повишават средната плазмена експозиция на ивабрадин 7-8 пъти.</w:t>
      </w:r>
    </w:p>
    <w:p w14:paraId="0B340F99" w14:textId="77777777" w:rsidR="004E363A" w:rsidRPr="004E363A" w:rsidRDefault="004E363A" w:rsidP="004E363A">
      <w:pPr>
        <w:spacing w:line="240" w:lineRule="auto"/>
        <w:rPr>
          <w:rFonts w:eastAsia="Times New Roman" w:cs="Arial"/>
          <w:i/>
          <w:iCs/>
          <w:color w:val="000000"/>
          <w:szCs w:val="20"/>
          <w:lang w:eastAsia="bg-BG"/>
        </w:rPr>
      </w:pPr>
    </w:p>
    <w:p w14:paraId="7A8BCBC5" w14:textId="238A498B"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 xml:space="preserve">Умерени </w:t>
      </w:r>
      <w:r w:rsidRPr="004E363A">
        <w:rPr>
          <w:rFonts w:eastAsia="Times New Roman" w:cs="Arial"/>
          <w:i/>
          <w:iCs/>
          <w:color w:val="000000"/>
          <w:szCs w:val="20"/>
          <w:lang w:val="en-US"/>
        </w:rPr>
        <w:t>CYP</w:t>
      </w:r>
      <w:r w:rsidRPr="004E363A">
        <w:rPr>
          <w:rFonts w:eastAsia="Times New Roman" w:cs="Arial"/>
          <w:i/>
          <w:iCs/>
          <w:color w:val="000000"/>
          <w:szCs w:val="20"/>
          <w:lang w:val="ru-RU"/>
        </w:rPr>
        <w:t>3</w:t>
      </w:r>
      <w:r w:rsidRPr="004E363A">
        <w:rPr>
          <w:rFonts w:eastAsia="Times New Roman" w:cs="Arial"/>
          <w:i/>
          <w:iCs/>
          <w:color w:val="000000"/>
          <w:szCs w:val="20"/>
          <w:lang w:val="en-US"/>
        </w:rPr>
        <w:t>A</w:t>
      </w:r>
      <w:r w:rsidRPr="004E363A">
        <w:rPr>
          <w:rFonts w:eastAsia="Times New Roman" w:cs="Arial"/>
          <w:i/>
          <w:iCs/>
          <w:color w:val="000000"/>
          <w:szCs w:val="20"/>
          <w:lang w:val="ru-RU"/>
        </w:rPr>
        <w:t xml:space="preserve">4 </w:t>
      </w:r>
      <w:r w:rsidRPr="004E363A">
        <w:rPr>
          <w:rFonts w:eastAsia="Times New Roman" w:cs="Arial"/>
          <w:i/>
          <w:iCs/>
          <w:color w:val="000000"/>
          <w:szCs w:val="20"/>
          <w:lang w:eastAsia="bg-BG"/>
        </w:rPr>
        <w:t>инхибитори</w:t>
      </w:r>
    </w:p>
    <w:p w14:paraId="6015443E"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Проучвания за специфично взаимодействие при здрави доброволци и пациенти са показали, че</w:t>
      </w:r>
    </w:p>
    <w:p w14:paraId="2AE7EC25"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комбинацията от ивабрадин с понижаващия сърдечната честота агент дилтиазем или веранамил</w:t>
      </w:r>
    </w:p>
    <w:p w14:paraId="26ED688B" w14:textId="77777777" w:rsidR="004E363A" w:rsidRPr="004E363A" w:rsidRDefault="004E363A" w:rsidP="004E363A">
      <w:pPr>
        <w:rPr>
          <w:rFonts w:eastAsia="Times New Roman" w:cs="Arial"/>
          <w:sz w:val="28"/>
          <w:szCs w:val="24"/>
        </w:rPr>
      </w:pPr>
      <w:r w:rsidRPr="004E363A">
        <w:rPr>
          <w:rFonts w:eastAsia="Times New Roman" w:cs="Arial"/>
          <w:color w:val="000000"/>
          <w:szCs w:val="20"/>
          <w:lang w:eastAsia="bg-BG"/>
        </w:rPr>
        <w:t xml:space="preserve">води до повишена експозиция на ивабрадин (2-3-кратно повишение на </w:t>
      </w:r>
      <w:r w:rsidRPr="004E363A">
        <w:rPr>
          <w:rFonts w:eastAsia="Times New Roman" w:cs="Arial"/>
          <w:color w:val="000000"/>
          <w:szCs w:val="20"/>
          <w:lang w:val="en-US"/>
        </w:rPr>
        <w:t>AUC</w:t>
      </w:r>
      <w:r w:rsidRPr="004E363A">
        <w:rPr>
          <w:rFonts w:eastAsia="Times New Roman" w:cs="Arial"/>
          <w:color w:val="000000"/>
          <w:szCs w:val="20"/>
          <w:lang w:val="ru-RU"/>
        </w:rPr>
        <w:t xml:space="preserve">) </w:t>
      </w:r>
      <w:r w:rsidRPr="004E363A">
        <w:rPr>
          <w:rFonts w:eastAsia="Times New Roman" w:cs="Arial"/>
          <w:color w:val="000000"/>
          <w:szCs w:val="20"/>
          <w:lang w:eastAsia="bg-BG"/>
        </w:rPr>
        <w:t>и допълнително</w:t>
      </w:r>
      <w:r w:rsidRPr="004E363A">
        <w:rPr>
          <w:rFonts w:eastAsia="Times New Roman" w:cs="Arial"/>
          <w:color w:val="000000"/>
          <w:szCs w:val="20"/>
          <w:lang w:val="ru-RU" w:eastAsia="bg-BG"/>
        </w:rPr>
        <w:t xml:space="preserve"> </w:t>
      </w:r>
      <w:r w:rsidRPr="004E363A">
        <w:rPr>
          <w:rFonts w:eastAsia="Times New Roman" w:cs="Arial"/>
          <w:color w:val="000000"/>
          <w:szCs w:val="20"/>
          <w:lang w:eastAsia="bg-BG"/>
        </w:rPr>
        <w:t>понижаване на сърдечната честота с 5 уд./ мин.. Съвместната употреба на ивабрадин с тези лекарствени продукти е противопоказана (вижте точка 4.3).</w:t>
      </w:r>
    </w:p>
    <w:p w14:paraId="5FED5921" w14:textId="77777777" w:rsidR="004E363A" w:rsidRPr="004E363A" w:rsidRDefault="004E363A" w:rsidP="004E363A">
      <w:pPr>
        <w:spacing w:line="240" w:lineRule="auto"/>
        <w:rPr>
          <w:rFonts w:eastAsia="Times New Roman" w:cs="Arial"/>
          <w:i/>
          <w:iCs/>
          <w:color w:val="000000"/>
          <w:szCs w:val="20"/>
          <w:u w:val="single"/>
          <w:lang w:eastAsia="bg-BG"/>
        </w:rPr>
      </w:pPr>
    </w:p>
    <w:p w14:paraId="7CD0726F" w14:textId="7D311B32"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u w:val="single"/>
          <w:lang w:eastAsia="bg-BG"/>
        </w:rPr>
        <w:t>Съвместната употреба не се препоръчва</w:t>
      </w:r>
    </w:p>
    <w:p w14:paraId="63C319A3"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Сок от грейпфрут: експозицията на ивабрадин се повишава 2-кратно след съвместен прием на сок от грейпфрут. Поради това, приемът на сок от грейпфрут трябва да бъде избягван.</w:t>
      </w:r>
    </w:p>
    <w:p w14:paraId="088F515D" w14:textId="77777777" w:rsidR="004E363A" w:rsidRPr="004E363A" w:rsidRDefault="004E363A" w:rsidP="004E363A">
      <w:pPr>
        <w:spacing w:line="240" w:lineRule="auto"/>
        <w:rPr>
          <w:rFonts w:eastAsia="Times New Roman" w:cs="Arial"/>
          <w:i/>
          <w:iCs/>
          <w:color w:val="000000"/>
          <w:szCs w:val="20"/>
          <w:u w:val="single"/>
          <w:lang w:eastAsia="bg-BG"/>
        </w:rPr>
      </w:pPr>
    </w:p>
    <w:p w14:paraId="4EBB723B" w14:textId="7D8C4065"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u w:val="single"/>
          <w:lang w:eastAsia="bg-BG"/>
        </w:rPr>
        <w:t>Съвместната употреба изисква повишено внимание</w:t>
      </w:r>
    </w:p>
    <w:p w14:paraId="081A307B" w14:textId="77777777"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eastAsia="bg-BG"/>
        </w:rPr>
        <w:t xml:space="preserve">Умерени </w:t>
      </w:r>
      <w:r w:rsidRPr="004E363A">
        <w:rPr>
          <w:rFonts w:eastAsia="Times New Roman" w:cs="Arial"/>
          <w:i/>
          <w:iCs/>
          <w:color w:val="000000"/>
          <w:szCs w:val="20"/>
          <w:lang w:val="en-US"/>
        </w:rPr>
        <w:t>CYP</w:t>
      </w:r>
      <w:r w:rsidRPr="004E363A">
        <w:rPr>
          <w:rFonts w:eastAsia="Times New Roman" w:cs="Arial"/>
          <w:i/>
          <w:iCs/>
          <w:color w:val="000000"/>
          <w:szCs w:val="20"/>
          <w:lang w:val="ru-RU"/>
        </w:rPr>
        <w:t>3</w:t>
      </w:r>
      <w:r w:rsidRPr="004E363A">
        <w:rPr>
          <w:rFonts w:eastAsia="Times New Roman" w:cs="Arial"/>
          <w:i/>
          <w:iCs/>
          <w:color w:val="000000"/>
          <w:szCs w:val="20"/>
          <w:lang w:val="en-US"/>
        </w:rPr>
        <w:t>A</w:t>
      </w:r>
      <w:r w:rsidRPr="004E363A">
        <w:rPr>
          <w:rFonts w:eastAsia="Times New Roman" w:cs="Arial"/>
          <w:i/>
          <w:iCs/>
          <w:color w:val="000000"/>
          <w:szCs w:val="20"/>
          <w:lang w:val="ru-RU"/>
        </w:rPr>
        <w:t xml:space="preserve">4 </w:t>
      </w:r>
      <w:r w:rsidRPr="004E363A">
        <w:rPr>
          <w:rFonts w:eastAsia="Times New Roman" w:cs="Arial"/>
          <w:i/>
          <w:iCs/>
          <w:color w:val="000000"/>
          <w:szCs w:val="20"/>
          <w:lang w:eastAsia="bg-BG"/>
        </w:rPr>
        <w:t>инхибитори</w:t>
      </w:r>
    </w:p>
    <w:p w14:paraId="6FC29980"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Съвместната употреба на ивабрадин с други умерени </w:t>
      </w:r>
      <w:r w:rsidRPr="004E363A">
        <w:rPr>
          <w:rFonts w:eastAsia="Times New Roman" w:cs="Arial"/>
          <w:color w:val="000000"/>
          <w:szCs w:val="20"/>
          <w:lang w:val="en-US"/>
        </w:rPr>
        <w:t>CYP</w:t>
      </w:r>
      <w:r w:rsidRPr="004E363A">
        <w:rPr>
          <w:rFonts w:eastAsia="Times New Roman" w:cs="Arial"/>
          <w:color w:val="000000"/>
          <w:szCs w:val="20"/>
          <w:lang w:val="ru-RU"/>
        </w:rPr>
        <w:t>3</w:t>
      </w:r>
      <w:r w:rsidRPr="004E363A">
        <w:rPr>
          <w:rFonts w:eastAsia="Times New Roman" w:cs="Arial"/>
          <w:color w:val="000000"/>
          <w:szCs w:val="20"/>
          <w:lang w:val="en-US"/>
        </w:rPr>
        <w:t>A</w:t>
      </w:r>
      <w:r w:rsidRPr="004E363A">
        <w:rPr>
          <w:rFonts w:eastAsia="Times New Roman" w:cs="Arial"/>
          <w:color w:val="000000"/>
          <w:szCs w:val="20"/>
          <w:lang w:val="ru-RU"/>
        </w:rPr>
        <w:t xml:space="preserve">4 </w:t>
      </w:r>
      <w:r w:rsidRPr="004E363A">
        <w:rPr>
          <w:rFonts w:eastAsia="Times New Roman" w:cs="Arial"/>
          <w:color w:val="000000"/>
          <w:szCs w:val="20"/>
          <w:lang w:eastAsia="bg-BG"/>
        </w:rPr>
        <w:t xml:space="preserve">инхибитори (например флуконазол) може да се обмисли при начална доза от 2,5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два пъти дневно и ако сърдечната честота в покой е над 70 уд./ мин., с проследяване на сърдечната честота.</w:t>
      </w:r>
    </w:p>
    <w:p w14:paraId="1787B3E5" w14:textId="77777777" w:rsidR="004E363A" w:rsidRPr="004E363A" w:rsidRDefault="004E363A" w:rsidP="004E363A">
      <w:pPr>
        <w:spacing w:line="240" w:lineRule="auto"/>
        <w:rPr>
          <w:rFonts w:eastAsia="Times New Roman" w:cs="Arial"/>
          <w:sz w:val="28"/>
          <w:szCs w:val="24"/>
        </w:rPr>
      </w:pPr>
      <w:r w:rsidRPr="004E363A">
        <w:rPr>
          <w:rFonts w:eastAsia="Times New Roman" w:cs="Arial"/>
          <w:i/>
          <w:iCs/>
          <w:color w:val="000000"/>
          <w:szCs w:val="20"/>
          <w:lang w:val="en-US"/>
        </w:rPr>
        <w:t>CYP</w:t>
      </w:r>
      <w:r w:rsidRPr="004E363A">
        <w:rPr>
          <w:rFonts w:eastAsia="Times New Roman" w:cs="Arial"/>
          <w:i/>
          <w:iCs/>
          <w:color w:val="000000"/>
          <w:szCs w:val="20"/>
          <w:lang w:val="ru-RU"/>
        </w:rPr>
        <w:t>3</w:t>
      </w:r>
      <w:r w:rsidRPr="004E363A">
        <w:rPr>
          <w:rFonts w:eastAsia="Times New Roman" w:cs="Arial"/>
          <w:i/>
          <w:iCs/>
          <w:color w:val="000000"/>
          <w:szCs w:val="20"/>
          <w:lang w:val="en-US"/>
        </w:rPr>
        <w:t>A</w:t>
      </w:r>
      <w:r w:rsidRPr="004E363A">
        <w:rPr>
          <w:rFonts w:eastAsia="Times New Roman" w:cs="Arial"/>
          <w:i/>
          <w:iCs/>
          <w:color w:val="000000"/>
          <w:szCs w:val="20"/>
          <w:lang w:val="ru-RU"/>
        </w:rPr>
        <w:t xml:space="preserve">4 </w:t>
      </w:r>
      <w:r w:rsidRPr="004E363A">
        <w:rPr>
          <w:rFonts w:eastAsia="Times New Roman" w:cs="Arial"/>
          <w:i/>
          <w:iCs/>
          <w:color w:val="000000"/>
          <w:szCs w:val="20"/>
          <w:lang w:eastAsia="bg-BG"/>
        </w:rPr>
        <w:t>индуктори</w:t>
      </w:r>
    </w:p>
    <w:p w14:paraId="4C0D1D5A"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val="en-US"/>
        </w:rPr>
        <w:t>CYP</w:t>
      </w:r>
      <w:r w:rsidRPr="004E363A">
        <w:rPr>
          <w:rFonts w:eastAsia="Times New Roman" w:cs="Arial"/>
          <w:color w:val="000000"/>
          <w:szCs w:val="20"/>
          <w:lang w:val="ru-RU"/>
        </w:rPr>
        <w:t>3</w:t>
      </w:r>
      <w:r w:rsidRPr="004E363A">
        <w:rPr>
          <w:rFonts w:eastAsia="Times New Roman" w:cs="Arial"/>
          <w:color w:val="000000"/>
          <w:szCs w:val="20"/>
          <w:lang w:val="en-US"/>
        </w:rPr>
        <w:t>A</w:t>
      </w:r>
      <w:r w:rsidRPr="004E363A">
        <w:rPr>
          <w:rFonts w:eastAsia="Times New Roman" w:cs="Arial"/>
          <w:color w:val="000000"/>
          <w:szCs w:val="20"/>
          <w:lang w:val="ru-RU"/>
        </w:rPr>
        <w:t xml:space="preserve">4 </w:t>
      </w:r>
      <w:r w:rsidRPr="004E363A">
        <w:rPr>
          <w:rFonts w:eastAsia="Times New Roman" w:cs="Arial"/>
          <w:color w:val="000000"/>
          <w:szCs w:val="20"/>
          <w:lang w:eastAsia="bg-BG"/>
        </w:rPr>
        <w:t xml:space="preserve">индукторите (например рифампицин, барбитурати, фенитоин, </w:t>
      </w:r>
      <w:proofErr w:type="spellStart"/>
      <w:r w:rsidRPr="004E363A">
        <w:rPr>
          <w:rFonts w:eastAsia="Times New Roman" w:cs="Arial"/>
          <w:color w:val="000000"/>
          <w:szCs w:val="20"/>
          <w:lang w:val="en-US"/>
        </w:rPr>
        <w:t>Hypericum</w:t>
      </w:r>
      <w:proofErr w:type="spellEnd"/>
      <w:r w:rsidRPr="004E363A">
        <w:rPr>
          <w:rFonts w:eastAsia="Times New Roman" w:cs="Arial"/>
          <w:color w:val="000000"/>
          <w:szCs w:val="20"/>
          <w:lang w:val="ru-RU"/>
        </w:rPr>
        <w:t xml:space="preserve"> </w:t>
      </w:r>
      <w:proofErr w:type="spellStart"/>
      <w:r w:rsidRPr="004E363A">
        <w:rPr>
          <w:rFonts w:eastAsia="Times New Roman" w:cs="Arial"/>
          <w:color w:val="000000"/>
          <w:szCs w:val="20"/>
          <w:lang w:val="en-US"/>
        </w:rPr>
        <w:t>perforatum</w:t>
      </w:r>
      <w:proofErr w:type="spellEnd"/>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[жълт кантарион]) могат да понижат експозицията и активността на ивабрадин. Съвместната употреба на индуциращи </w:t>
      </w:r>
      <w:r w:rsidRPr="004E363A">
        <w:rPr>
          <w:rFonts w:eastAsia="Times New Roman" w:cs="Arial"/>
          <w:color w:val="000000"/>
          <w:szCs w:val="20"/>
          <w:lang w:val="en-US"/>
        </w:rPr>
        <w:t>CYP</w:t>
      </w:r>
      <w:r w:rsidRPr="004E363A">
        <w:rPr>
          <w:rFonts w:eastAsia="Times New Roman" w:cs="Arial"/>
          <w:color w:val="000000"/>
          <w:szCs w:val="20"/>
          <w:lang w:val="ru-RU"/>
        </w:rPr>
        <w:t>3</w:t>
      </w:r>
      <w:r w:rsidRPr="004E363A">
        <w:rPr>
          <w:rFonts w:eastAsia="Times New Roman" w:cs="Arial"/>
          <w:color w:val="000000"/>
          <w:szCs w:val="20"/>
          <w:lang w:val="en-US"/>
        </w:rPr>
        <w:t>A</w:t>
      </w:r>
      <w:r w:rsidRPr="004E363A">
        <w:rPr>
          <w:rFonts w:eastAsia="Times New Roman" w:cs="Arial"/>
          <w:color w:val="000000"/>
          <w:szCs w:val="20"/>
          <w:lang w:val="ru-RU"/>
        </w:rPr>
        <w:t xml:space="preserve">4 </w:t>
      </w:r>
      <w:r w:rsidRPr="004E363A">
        <w:rPr>
          <w:rFonts w:eastAsia="Times New Roman" w:cs="Arial"/>
          <w:color w:val="000000"/>
          <w:szCs w:val="20"/>
          <w:lang w:eastAsia="bg-BG"/>
        </w:rPr>
        <w:t xml:space="preserve">лекарствени продукти може да изисква адаптиране на дозата на ивабрадин. Комбинацията от 10 </w:t>
      </w:r>
      <w:r w:rsidRPr="004E363A">
        <w:rPr>
          <w:rFonts w:eastAsia="Times New Roman" w:cs="Arial"/>
          <w:color w:val="000000"/>
          <w:szCs w:val="20"/>
          <w:lang w:val="en-US"/>
        </w:rPr>
        <w:t>mg</w:t>
      </w:r>
      <w:r w:rsidRPr="004E363A">
        <w:rPr>
          <w:rFonts w:eastAsia="Times New Roman" w:cs="Arial"/>
          <w:color w:val="000000"/>
          <w:szCs w:val="20"/>
          <w:lang w:val="ru-RU"/>
        </w:rPr>
        <w:t xml:space="preserve"> </w:t>
      </w:r>
      <w:r w:rsidRPr="004E363A">
        <w:rPr>
          <w:rFonts w:eastAsia="Times New Roman" w:cs="Arial"/>
          <w:color w:val="000000"/>
          <w:szCs w:val="20"/>
          <w:lang w:eastAsia="bg-BG"/>
        </w:rPr>
        <w:t xml:space="preserve">ивабрадин два пъти дневно и жълт кантарион доказано понижава </w:t>
      </w:r>
      <w:r w:rsidRPr="004E363A">
        <w:rPr>
          <w:rFonts w:eastAsia="Times New Roman" w:cs="Arial"/>
          <w:color w:val="000000"/>
          <w:szCs w:val="20"/>
          <w:lang w:val="en-US"/>
        </w:rPr>
        <w:t>AUC</w:t>
      </w:r>
      <w:r w:rsidRPr="004E363A">
        <w:rPr>
          <w:rFonts w:eastAsia="Times New Roman" w:cs="Arial"/>
          <w:color w:val="000000"/>
          <w:szCs w:val="20"/>
          <w:lang w:val="ru-RU"/>
        </w:rPr>
        <w:t xml:space="preserve"> </w:t>
      </w:r>
      <w:r w:rsidRPr="004E363A">
        <w:rPr>
          <w:rFonts w:eastAsia="Times New Roman" w:cs="Arial"/>
          <w:color w:val="000000"/>
          <w:szCs w:val="20"/>
          <w:lang w:eastAsia="bg-BG"/>
        </w:rPr>
        <w:t>на ивабрадин наполовина. Приемът на жълт кантарион трябва да бъде ограничен по време на лечението с ивабрадин.</w:t>
      </w:r>
    </w:p>
    <w:p w14:paraId="0995A284" w14:textId="77777777" w:rsidR="004E363A" w:rsidRPr="004E363A" w:rsidRDefault="004E363A" w:rsidP="004E363A">
      <w:pPr>
        <w:spacing w:line="240" w:lineRule="auto"/>
        <w:rPr>
          <w:rFonts w:eastAsia="Times New Roman" w:cs="Arial"/>
          <w:color w:val="000000"/>
          <w:szCs w:val="20"/>
          <w:u w:val="single"/>
          <w:lang w:eastAsia="bg-BG"/>
        </w:rPr>
      </w:pPr>
    </w:p>
    <w:p w14:paraId="2E2BD246" w14:textId="2F812C84"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u w:val="single"/>
          <w:lang w:eastAsia="bg-BG"/>
        </w:rPr>
        <w:t>Съвместна употреба с други продукти</w:t>
      </w:r>
    </w:p>
    <w:p w14:paraId="622E9355"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 xml:space="preserve">Проучвания за специфични взаимодействия са показали клинично значими ефекти върху фармакокинетиката и фармакодинамиката на ивабрадин на следните лекарствени продукти: инхибитори на протонната помпа (омепразол, ланзопразол), силденафил, </w:t>
      </w:r>
      <w:r w:rsidRPr="004E363A">
        <w:rPr>
          <w:rFonts w:eastAsia="Times New Roman" w:cs="Arial"/>
          <w:color w:val="000000"/>
          <w:szCs w:val="20"/>
          <w:lang w:val="en-US"/>
        </w:rPr>
        <w:t>HMG</w:t>
      </w:r>
      <w:r w:rsidRPr="004E363A">
        <w:rPr>
          <w:rFonts w:eastAsia="Times New Roman" w:cs="Arial"/>
          <w:color w:val="000000"/>
          <w:szCs w:val="20"/>
          <w:lang w:val="ru-RU"/>
        </w:rPr>
        <w:t xml:space="preserve"> </w:t>
      </w:r>
      <w:r w:rsidRPr="004E363A">
        <w:rPr>
          <w:rFonts w:eastAsia="Times New Roman" w:cs="Arial"/>
          <w:color w:val="000000"/>
          <w:szCs w:val="20"/>
          <w:lang w:val="en-US"/>
        </w:rPr>
        <w:t>Co</w:t>
      </w:r>
      <w:r w:rsidRPr="004E363A">
        <w:rPr>
          <w:rFonts w:eastAsia="Times New Roman" w:cs="Arial"/>
          <w:color w:val="000000"/>
          <w:szCs w:val="20"/>
          <w:lang w:eastAsia="bg-BG"/>
        </w:rPr>
        <w:t>А-редуктазни инхибитори (симвастатин), дихидропиридинови блокери на калциевите канали (амлодипин, ласипидин), дигоксин и варфарин. В допълнение, няма клинично значим ефект на ивабрадин върху фармакокинетиката на симвастатин, амлодипин, ласипидин, върху фармакокинетиката и фармакодинамиката на дигоксин, варфарин и върху фармакодинамиката на аспирин.</w:t>
      </w:r>
    </w:p>
    <w:p w14:paraId="2FD6FDCB"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lastRenderedPageBreak/>
        <w:t>В пивотни клинични изпитвания фаза III следните лекарствени продукти рутинно са прилагани съвместно с ивабрадин без доказателства за проблеми с безопасността: инхибитори на ангиотензин-конвертиращия ензим, антиотензин-</w:t>
      </w:r>
      <w:r w:rsidRPr="004E363A">
        <w:rPr>
          <w:rFonts w:eastAsia="Times New Roman" w:cs="Arial"/>
          <w:color w:val="000000"/>
          <w:szCs w:val="20"/>
          <w:lang w:val="en-US"/>
        </w:rPr>
        <w:t>II</w:t>
      </w:r>
      <w:r w:rsidRPr="004E363A">
        <w:rPr>
          <w:rFonts w:eastAsia="Times New Roman" w:cs="Arial"/>
          <w:color w:val="000000"/>
          <w:szCs w:val="20"/>
          <w:lang w:eastAsia="bg-BG"/>
        </w:rPr>
        <w:t xml:space="preserve"> антагонисти, бета-блокери, диуретици, антиалдостеронови агенти, бързо- и дългодействащи нитрати, </w:t>
      </w:r>
      <w:r w:rsidRPr="004E363A">
        <w:rPr>
          <w:rFonts w:eastAsia="Times New Roman" w:cs="Arial"/>
          <w:color w:val="000000"/>
          <w:szCs w:val="20"/>
          <w:lang w:val="en-US"/>
        </w:rPr>
        <w:t>HMG</w:t>
      </w:r>
      <w:r w:rsidRPr="004E363A">
        <w:rPr>
          <w:rFonts w:eastAsia="Times New Roman" w:cs="Arial"/>
          <w:color w:val="000000"/>
          <w:szCs w:val="20"/>
          <w:lang w:val="ru-RU"/>
        </w:rPr>
        <w:t xml:space="preserve"> </w:t>
      </w:r>
      <w:r w:rsidRPr="004E363A">
        <w:rPr>
          <w:rFonts w:eastAsia="Times New Roman" w:cs="Arial"/>
          <w:color w:val="000000"/>
          <w:szCs w:val="20"/>
          <w:lang w:eastAsia="bg-BG"/>
        </w:rPr>
        <w:t>СоА-редуктазни инхибитори, фибрати, инхибитори на протонната помпа, перорални антидиабетни продукти, аспирин и други противосъсирващи лекарствени продукти.</w:t>
      </w:r>
    </w:p>
    <w:p w14:paraId="26955F60" w14:textId="77777777" w:rsidR="004E363A" w:rsidRPr="004E363A" w:rsidRDefault="004E363A" w:rsidP="004E363A">
      <w:pPr>
        <w:spacing w:line="240" w:lineRule="auto"/>
        <w:rPr>
          <w:rFonts w:eastAsia="Times New Roman" w:cs="Arial"/>
          <w:color w:val="000000"/>
          <w:szCs w:val="20"/>
          <w:u w:val="single"/>
          <w:lang w:eastAsia="bg-BG"/>
        </w:rPr>
      </w:pPr>
    </w:p>
    <w:p w14:paraId="65D32D62" w14:textId="4C885E45"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u w:val="single"/>
          <w:lang w:eastAsia="bg-BG"/>
        </w:rPr>
        <w:t>Педиатрична популация</w:t>
      </w:r>
    </w:p>
    <w:p w14:paraId="1E5B1751" w14:textId="7181043B" w:rsidR="004E363A" w:rsidRPr="004E363A" w:rsidRDefault="004E363A" w:rsidP="004E363A">
      <w:pPr>
        <w:spacing w:line="240" w:lineRule="auto"/>
        <w:rPr>
          <w:rFonts w:eastAsia="Times New Roman" w:cs="Arial"/>
          <w:sz w:val="28"/>
          <w:szCs w:val="24"/>
          <w:lang w:val="ru-RU"/>
        </w:rPr>
      </w:pPr>
      <w:r w:rsidRPr="004E363A">
        <w:rPr>
          <w:rFonts w:eastAsia="Times New Roman" w:cs="Arial"/>
          <w:color w:val="000000"/>
          <w:szCs w:val="20"/>
          <w:lang w:eastAsia="bg-BG"/>
        </w:rPr>
        <w:t>Проучвания за взаимодействия са провеждани само при възрастни.</w:t>
      </w:r>
    </w:p>
    <w:p w14:paraId="4B5B0677" w14:textId="77777777" w:rsidR="004E363A" w:rsidRPr="004E363A" w:rsidRDefault="004E363A" w:rsidP="004E363A"/>
    <w:p w14:paraId="5D9F40EA" w14:textId="38E4950B" w:rsidR="007122AD" w:rsidRDefault="002C50EE" w:rsidP="00936AD0">
      <w:pPr>
        <w:pStyle w:val="Heading2"/>
      </w:pPr>
      <w:r>
        <w:t>4.6. Фертилитет, бременност и кърмене</w:t>
      </w:r>
    </w:p>
    <w:p w14:paraId="3436AAE0" w14:textId="30463216" w:rsidR="004E363A" w:rsidRDefault="004E363A" w:rsidP="004E363A"/>
    <w:p w14:paraId="2FB27463"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u w:val="single"/>
          <w:lang w:eastAsia="bg-BG"/>
        </w:rPr>
        <w:t>Жени с детероден потенциал</w:t>
      </w:r>
    </w:p>
    <w:p w14:paraId="6C27CF88"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Жените с детероден потенциал трябва да използват подходящи методи за контрацепция по време на лечението (вижте точка 4.3).</w:t>
      </w:r>
    </w:p>
    <w:p w14:paraId="6946A8A5" w14:textId="77777777" w:rsidR="004E363A" w:rsidRPr="004E363A" w:rsidRDefault="004E363A" w:rsidP="004E363A">
      <w:pPr>
        <w:spacing w:line="240" w:lineRule="auto"/>
        <w:rPr>
          <w:rFonts w:eastAsia="Times New Roman" w:cs="Arial"/>
          <w:color w:val="000000"/>
          <w:szCs w:val="20"/>
          <w:u w:val="single"/>
          <w:lang w:eastAsia="bg-BG"/>
        </w:rPr>
      </w:pPr>
    </w:p>
    <w:p w14:paraId="4E517EE1" w14:textId="44CC3629" w:rsidR="004E363A" w:rsidRPr="004E363A" w:rsidRDefault="004E363A" w:rsidP="004E363A">
      <w:pPr>
        <w:pStyle w:val="Heading3"/>
        <w:rPr>
          <w:rFonts w:eastAsia="Times New Roman"/>
          <w:sz w:val="28"/>
          <w:u w:val="single"/>
        </w:rPr>
      </w:pPr>
      <w:r w:rsidRPr="004E363A">
        <w:rPr>
          <w:rFonts w:eastAsia="Times New Roman"/>
          <w:u w:val="single"/>
          <w:lang w:eastAsia="bg-BG"/>
        </w:rPr>
        <w:t>Бременност</w:t>
      </w:r>
    </w:p>
    <w:p w14:paraId="277D5BED"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Няма данни или данните за употребата на ивабрадин при бременни жени са ограничени.</w:t>
      </w:r>
    </w:p>
    <w:p w14:paraId="0F3C52F1"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Проучванията при животни показват репродуктивна токсичност. Тези проучвания показват ембриотоксични и тератогенни ефекти (вижте точка 5.3). Потенциалният риск при хора не е известен. Поради това, ивабрадин е противопоказан по време на бременността (вижте точка 4.3).</w:t>
      </w:r>
    </w:p>
    <w:p w14:paraId="39FC2D19" w14:textId="77777777" w:rsidR="004E363A" w:rsidRPr="004E363A" w:rsidRDefault="004E363A" w:rsidP="004E363A">
      <w:pPr>
        <w:spacing w:line="240" w:lineRule="auto"/>
        <w:rPr>
          <w:rFonts w:eastAsia="Times New Roman" w:cs="Arial"/>
          <w:color w:val="000000"/>
          <w:szCs w:val="20"/>
          <w:u w:val="single"/>
          <w:lang w:eastAsia="bg-BG"/>
        </w:rPr>
      </w:pPr>
    </w:p>
    <w:p w14:paraId="184691BD" w14:textId="56C0B568" w:rsidR="004E363A" w:rsidRPr="004E363A" w:rsidRDefault="004E363A" w:rsidP="004E363A">
      <w:pPr>
        <w:pStyle w:val="Heading3"/>
        <w:rPr>
          <w:rFonts w:eastAsia="Times New Roman"/>
          <w:sz w:val="28"/>
          <w:u w:val="single"/>
        </w:rPr>
      </w:pPr>
      <w:r w:rsidRPr="004E363A">
        <w:rPr>
          <w:rFonts w:eastAsia="Times New Roman"/>
          <w:u w:val="single"/>
          <w:lang w:eastAsia="bg-BG"/>
        </w:rPr>
        <w:t>Кърмене</w:t>
      </w:r>
    </w:p>
    <w:p w14:paraId="6651BD40"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Проучванията при животни показват, че ивабрадин се екскретира в млякото. Поради това, ивабрадин е противопоказан при кърмене (вижте точка 4.3).</w:t>
      </w:r>
    </w:p>
    <w:p w14:paraId="68D625ED"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Жените, които се нуждаят от лечение с ивабрадин, трябва да преустановят кърменето и да изберат друг начин за хранене на детето си.</w:t>
      </w:r>
    </w:p>
    <w:p w14:paraId="2F6FABDB" w14:textId="77777777" w:rsidR="004E363A" w:rsidRPr="004E363A" w:rsidRDefault="004E363A" w:rsidP="004E363A">
      <w:pPr>
        <w:spacing w:line="240" w:lineRule="auto"/>
        <w:rPr>
          <w:rFonts w:eastAsia="Times New Roman" w:cs="Arial"/>
          <w:color w:val="000000"/>
          <w:szCs w:val="20"/>
          <w:u w:val="single"/>
          <w:lang w:eastAsia="bg-BG"/>
        </w:rPr>
      </w:pPr>
    </w:p>
    <w:p w14:paraId="7A79E197" w14:textId="1A5AFB84" w:rsidR="004E363A" w:rsidRPr="004E363A" w:rsidRDefault="004E363A" w:rsidP="004E363A">
      <w:pPr>
        <w:pStyle w:val="Heading3"/>
        <w:rPr>
          <w:rFonts w:eastAsia="Times New Roman"/>
          <w:sz w:val="28"/>
          <w:u w:val="single"/>
        </w:rPr>
      </w:pPr>
      <w:r w:rsidRPr="004E363A">
        <w:rPr>
          <w:rFonts w:eastAsia="Times New Roman"/>
          <w:u w:val="single"/>
          <w:lang w:eastAsia="bg-BG"/>
        </w:rPr>
        <w:t>Фертилитет</w:t>
      </w:r>
    </w:p>
    <w:p w14:paraId="30D05EA9"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Проучвания при плъхове не показват ефект върху фертилитета при мъжките и женските (вижте точка 5.3).</w:t>
      </w:r>
    </w:p>
    <w:p w14:paraId="0FFC4040" w14:textId="77777777" w:rsidR="004E363A" w:rsidRPr="004E363A" w:rsidRDefault="004E363A" w:rsidP="004E363A"/>
    <w:p w14:paraId="5DD7A76D" w14:textId="5FD57399" w:rsidR="007122AD" w:rsidRDefault="002C50EE" w:rsidP="00936AD0">
      <w:pPr>
        <w:pStyle w:val="Heading2"/>
      </w:pPr>
      <w:r>
        <w:t>4.7. Ефекти върху способността за шофиране и работа с машини</w:t>
      </w:r>
    </w:p>
    <w:p w14:paraId="1AC0B085" w14:textId="6D409310" w:rsidR="004E363A" w:rsidRDefault="004E363A" w:rsidP="004E363A"/>
    <w:p w14:paraId="6B9801C0" w14:textId="77777777" w:rsidR="004E363A" w:rsidRPr="004E363A" w:rsidRDefault="004E363A" w:rsidP="004E363A">
      <w:pPr>
        <w:rPr>
          <w:sz w:val="24"/>
          <w:szCs w:val="24"/>
        </w:rPr>
      </w:pPr>
      <w:r w:rsidRPr="004E363A">
        <w:rPr>
          <w:lang w:eastAsia="bg-BG"/>
        </w:rPr>
        <w:t>Ивабрадин не повлиява или повлиява пренебрежимо способността за работа с машини.</w:t>
      </w:r>
    </w:p>
    <w:p w14:paraId="6156C838" w14:textId="3B2E0C26" w:rsidR="004E363A" w:rsidRDefault="004E363A" w:rsidP="004E363A">
      <w:pPr>
        <w:rPr>
          <w:lang w:eastAsia="bg-BG"/>
        </w:rPr>
      </w:pPr>
      <w:r w:rsidRPr="004E363A">
        <w:rPr>
          <w:lang w:eastAsia="bg-BG"/>
        </w:rPr>
        <w:t>Специфично проучване за оценка на възможното въздействие на ивабрадин върху способността за шофиране при здрави доброволци не показва нарушение на способността за шофиране. Въпреки това, в постмаркетинговия опит са съобщавани случаи на нарушена способност за шофиране поради зрителни симптоми. Ивабрадин може да причини преходни светлинни възприятия, които се състоят основно от фосфени (вижте точка 4.8). Възможната поява на такива светлинни възприятия трябва да се има предвид при шофиране или работа с машини в ситуации, при които може да има промяна в интензитета на светлината, особено при шофиране през нощта.</w:t>
      </w:r>
    </w:p>
    <w:p w14:paraId="7094F20E" w14:textId="77777777" w:rsidR="004E363A" w:rsidRPr="004E363A" w:rsidRDefault="004E363A" w:rsidP="004E363A"/>
    <w:p w14:paraId="200A314D" w14:textId="4D43C01E" w:rsidR="004E363A" w:rsidRPr="004E363A" w:rsidRDefault="002C50EE" w:rsidP="004E363A">
      <w:pPr>
        <w:pStyle w:val="Heading2"/>
      </w:pPr>
      <w:r>
        <w:t>4.8. Нежелани лекарствени реакции</w:t>
      </w:r>
    </w:p>
    <w:p w14:paraId="47E4DA29" w14:textId="1D1704A4" w:rsidR="004E363A" w:rsidRDefault="004E363A" w:rsidP="004E363A"/>
    <w:p w14:paraId="1719BD4E" w14:textId="19BA37EB" w:rsidR="004E363A" w:rsidRPr="004E363A" w:rsidRDefault="004E363A" w:rsidP="004E363A">
      <w:pPr>
        <w:rPr>
          <w:rFonts w:cs="Arial"/>
          <w:szCs w:val="20"/>
          <w:u w:val="single"/>
        </w:rPr>
      </w:pPr>
      <w:r w:rsidRPr="004E363A">
        <w:rPr>
          <w:rFonts w:cs="Arial"/>
          <w:szCs w:val="20"/>
          <w:u w:val="single"/>
        </w:rPr>
        <w:lastRenderedPageBreak/>
        <w:t>Резюме на профила на безопасност</w:t>
      </w:r>
    </w:p>
    <w:p w14:paraId="33BB5344" w14:textId="77777777"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lang w:eastAsia="bg-BG"/>
        </w:rPr>
        <w:t>Най-често съобщаваните нежелани реакции при ивабрадин са светлинни феномени (фосфени) (14.5%) и брадикардия (3.3%). Те са дозозависими и свързани с фармакологичния ефект на лекарствения продукт.</w:t>
      </w:r>
    </w:p>
    <w:p w14:paraId="3274E607" w14:textId="77777777" w:rsidR="004E363A" w:rsidRPr="004E363A" w:rsidRDefault="004E363A" w:rsidP="004E363A">
      <w:pPr>
        <w:spacing w:line="240" w:lineRule="auto"/>
        <w:rPr>
          <w:rFonts w:eastAsia="Times New Roman" w:cs="Arial"/>
          <w:color w:val="000000"/>
          <w:szCs w:val="20"/>
          <w:u w:val="single"/>
          <w:lang w:eastAsia="bg-BG"/>
        </w:rPr>
      </w:pPr>
    </w:p>
    <w:p w14:paraId="347629AD" w14:textId="3C08A37E" w:rsidR="004E363A" w:rsidRPr="004E363A" w:rsidRDefault="004E363A" w:rsidP="004E363A">
      <w:pPr>
        <w:spacing w:line="240" w:lineRule="auto"/>
        <w:rPr>
          <w:rFonts w:eastAsia="Times New Roman" w:cs="Arial"/>
          <w:sz w:val="28"/>
          <w:szCs w:val="24"/>
        </w:rPr>
      </w:pPr>
      <w:r w:rsidRPr="004E363A">
        <w:rPr>
          <w:rFonts w:eastAsia="Times New Roman" w:cs="Arial"/>
          <w:color w:val="000000"/>
          <w:szCs w:val="20"/>
          <w:u w:val="single"/>
          <w:lang w:eastAsia="bg-BG"/>
        </w:rPr>
        <w:t>Табличен списък на нежеланите лекарствени реакции</w:t>
      </w:r>
    </w:p>
    <w:p w14:paraId="18000279" w14:textId="3429A0C0" w:rsidR="004E363A" w:rsidRPr="004E363A" w:rsidRDefault="004E363A" w:rsidP="004E363A">
      <w:pPr>
        <w:rPr>
          <w:rFonts w:cs="Arial"/>
          <w:sz w:val="24"/>
        </w:rPr>
      </w:pPr>
      <w:r w:rsidRPr="004E363A">
        <w:rPr>
          <w:rFonts w:eastAsia="Times New Roman" w:cs="Arial"/>
          <w:color w:val="000000"/>
          <w:szCs w:val="20"/>
          <w:lang w:eastAsia="bg-BG"/>
        </w:rPr>
        <w:t>Следните нежелани лекарствени реакции са съобщавани по време на клиничните изпитвания и са подредени, като са използвани следните категории за честота: 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50812CAD" w14:textId="5952FE9A" w:rsidR="004E363A" w:rsidRDefault="004E363A" w:rsidP="004E363A"/>
    <w:tbl>
      <w:tblPr>
        <w:tblStyle w:val="TableGrid"/>
        <w:tblW w:w="0" w:type="auto"/>
        <w:tblLook w:val="04A0" w:firstRow="1" w:lastRow="0" w:firstColumn="1" w:lastColumn="0" w:noHBand="0" w:noVBand="1"/>
      </w:tblPr>
      <w:tblGrid>
        <w:gridCol w:w="3128"/>
        <w:gridCol w:w="3092"/>
        <w:gridCol w:w="3130"/>
      </w:tblGrid>
      <w:tr w:rsidR="004E363A" w14:paraId="7ACC0B1C" w14:textId="77777777" w:rsidTr="004E363A">
        <w:tc>
          <w:tcPr>
            <w:tcW w:w="3192" w:type="dxa"/>
          </w:tcPr>
          <w:p w14:paraId="0872898A" w14:textId="3DDBDB64" w:rsidR="004E363A" w:rsidRPr="006547A7" w:rsidRDefault="004E363A" w:rsidP="004E363A">
            <w:pPr>
              <w:rPr>
                <w:rFonts w:cs="Arial"/>
              </w:rPr>
            </w:pPr>
            <w:r w:rsidRPr="006547A7">
              <w:rPr>
                <w:rFonts w:cs="Arial"/>
                <w:b/>
                <w:bCs/>
              </w:rPr>
              <w:t>Система Орган Клас</w:t>
            </w:r>
          </w:p>
        </w:tc>
        <w:tc>
          <w:tcPr>
            <w:tcW w:w="3192" w:type="dxa"/>
          </w:tcPr>
          <w:p w14:paraId="2D13235A" w14:textId="367C659E" w:rsidR="004E363A" w:rsidRPr="006547A7" w:rsidRDefault="004E363A" w:rsidP="004E363A">
            <w:pPr>
              <w:rPr>
                <w:rFonts w:cs="Arial"/>
              </w:rPr>
            </w:pPr>
            <w:r w:rsidRPr="006547A7">
              <w:rPr>
                <w:rFonts w:cs="Arial"/>
                <w:b/>
                <w:bCs/>
              </w:rPr>
              <w:t>Честота</w:t>
            </w:r>
          </w:p>
        </w:tc>
        <w:tc>
          <w:tcPr>
            <w:tcW w:w="3192" w:type="dxa"/>
          </w:tcPr>
          <w:p w14:paraId="523FF5F8" w14:textId="5D533384" w:rsidR="004E363A" w:rsidRPr="006547A7" w:rsidRDefault="004E363A" w:rsidP="004E363A">
            <w:pPr>
              <w:rPr>
                <w:rFonts w:cs="Arial"/>
              </w:rPr>
            </w:pPr>
            <w:r w:rsidRPr="006547A7">
              <w:rPr>
                <w:rFonts w:cs="Arial"/>
                <w:b/>
                <w:bCs/>
              </w:rPr>
              <w:t>Предпочитан термин</w:t>
            </w:r>
          </w:p>
        </w:tc>
      </w:tr>
      <w:tr w:rsidR="004E363A" w14:paraId="31FC9DE8" w14:textId="77777777" w:rsidTr="004E363A">
        <w:tc>
          <w:tcPr>
            <w:tcW w:w="3192" w:type="dxa"/>
          </w:tcPr>
          <w:p w14:paraId="00D33BCB" w14:textId="5BEC35FA" w:rsidR="004E363A" w:rsidRPr="006547A7" w:rsidRDefault="004E363A" w:rsidP="004E363A">
            <w:pPr>
              <w:rPr>
                <w:rFonts w:cs="Arial"/>
              </w:rPr>
            </w:pPr>
            <w:r w:rsidRPr="006547A7">
              <w:rPr>
                <w:rFonts w:cs="Arial"/>
              </w:rPr>
              <w:t>Нарушения на кръвта и лимфната система</w:t>
            </w:r>
          </w:p>
        </w:tc>
        <w:tc>
          <w:tcPr>
            <w:tcW w:w="3192" w:type="dxa"/>
          </w:tcPr>
          <w:p w14:paraId="42A98FB8" w14:textId="0FDFAEA9" w:rsidR="004E363A" w:rsidRPr="006547A7" w:rsidRDefault="004E363A" w:rsidP="004E363A">
            <w:pPr>
              <w:rPr>
                <w:rFonts w:cs="Arial"/>
              </w:rPr>
            </w:pPr>
            <w:r w:rsidRPr="006547A7">
              <w:rPr>
                <w:rFonts w:cs="Arial"/>
              </w:rPr>
              <w:t>Нечести</w:t>
            </w:r>
          </w:p>
        </w:tc>
        <w:tc>
          <w:tcPr>
            <w:tcW w:w="3192" w:type="dxa"/>
          </w:tcPr>
          <w:p w14:paraId="7DFB6FCA" w14:textId="133C4005" w:rsidR="004E363A" w:rsidRPr="006547A7" w:rsidRDefault="004E363A" w:rsidP="004E363A">
            <w:pPr>
              <w:rPr>
                <w:rFonts w:cs="Arial"/>
              </w:rPr>
            </w:pPr>
            <w:r w:rsidRPr="006547A7">
              <w:rPr>
                <w:rFonts w:cs="Arial"/>
              </w:rPr>
              <w:t>Еозинофилия</w:t>
            </w:r>
          </w:p>
        </w:tc>
      </w:tr>
      <w:tr w:rsidR="004E363A" w14:paraId="5BE596D6" w14:textId="77777777" w:rsidTr="004E363A">
        <w:tc>
          <w:tcPr>
            <w:tcW w:w="3192" w:type="dxa"/>
          </w:tcPr>
          <w:p w14:paraId="43429B22" w14:textId="0970C341" w:rsidR="004E363A" w:rsidRPr="006547A7" w:rsidRDefault="004E363A" w:rsidP="004E363A">
            <w:pPr>
              <w:rPr>
                <w:rFonts w:cs="Arial"/>
              </w:rPr>
            </w:pPr>
            <w:r w:rsidRPr="006547A7">
              <w:rPr>
                <w:rFonts w:cs="Arial"/>
              </w:rPr>
              <w:t>Нарушения на метаболизма и храненето</w:t>
            </w:r>
          </w:p>
        </w:tc>
        <w:tc>
          <w:tcPr>
            <w:tcW w:w="3192" w:type="dxa"/>
          </w:tcPr>
          <w:p w14:paraId="6D4636A0" w14:textId="45FF5A5F" w:rsidR="004E363A" w:rsidRPr="006547A7" w:rsidRDefault="004E363A" w:rsidP="004E363A">
            <w:pPr>
              <w:rPr>
                <w:rFonts w:cs="Arial"/>
              </w:rPr>
            </w:pPr>
            <w:r w:rsidRPr="006547A7">
              <w:rPr>
                <w:rFonts w:cs="Arial"/>
              </w:rPr>
              <w:t>Нечести</w:t>
            </w:r>
          </w:p>
        </w:tc>
        <w:tc>
          <w:tcPr>
            <w:tcW w:w="3192" w:type="dxa"/>
          </w:tcPr>
          <w:p w14:paraId="39AA78B5" w14:textId="703ACC78" w:rsidR="004E363A" w:rsidRPr="006547A7" w:rsidRDefault="004E363A" w:rsidP="004E363A">
            <w:pPr>
              <w:rPr>
                <w:rFonts w:cs="Arial"/>
              </w:rPr>
            </w:pPr>
            <w:r w:rsidRPr="006547A7">
              <w:rPr>
                <w:rFonts w:cs="Arial"/>
              </w:rPr>
              <w:t>Хиперурикемия</w:t>
            </w:r>
          </w:p>
        </w:tc>
      </w:tr>
      <w:tr w:rsidR="004E363A" w14:paraId="134F37A0" w14:textId="77777777" w:rsidTr="004E363A">
        <w:tc>
          <w:tcPr>
            <w:tcW w:w="3192" w:type="dxa"/>
            <w:vMerge w:val="restart"/>
          </w:tcPr>
          <w:p w14:paraId="11D87CD7" w14:textId="3ABF554C" w:rsidR="004E363A" w:rsidRPr="006547A7" w:rsidRDefault="004E363A" w:rsidP="004E363A">
            <w:pPr>
              <w:rPr>
                <w:rFonts w:cs="Arial"/>
              </w:rPr>
            </w:pPr>
            <w:r w:rsidRPr="006547A7">
              <w:rPr>
                <w:rFonts w:cs="Arial"/>
              </w:rPr>
              <w:t>Нарушения на нервната система</w:t>
            </w:r>
          </w:p>
        </w:tc>
        <w:tc>
          <w:tcPr>
            <w:tcW w:w="3192" w:type="dxa"/>
            <w:vMerge w:val="restart"/>
          </w:tcPr>
          <w:p w14:paraId="393A0991" w14:textId="59381F92" w:rsidR="004E363A" w:rsidRPr="006547A7" w:rsidRDefault="004E363A" w:rsidP="004E363A">
            <w:pPr>
              <w:rPr>
                <w:rFonts w:cs="Arial"/>
              </w:rPr>
            </w:pPr>
            <w:r w:rsidRPr="006547A7">
              <w:rPr>
                <w:rFonts w:cs="Arial"/>
              </w:rPr>
              <w:t>Чести</w:t>
            </w:r>
          </w:p>
        </w:tc>
        <w:tc>
          <w:tcPr>
            <w:tcW w:w="3192" w:type="dxa"/>
          </w:tcPr>
          <w:p w14:paraId="028DC1C4" w14:textId="59201182" w:rsidR="004E363A" w:rsidRPr="006547A7" w:rsidRDefault="004E363A" w:rsidP="004E363A">
            <w:pPr>
              <w:rPr>
                <w:rFonts w:cs="Arial"/>
              </w:rPr>
            </w:pPr>
            <w:r w:rsidRPr="006547A7">
              <w:rPr>
                <w:rFonts w:cs="Arial"/>
              </w:rPr>
              <w:t>Главоболие, основно през първия месец от лечението</w:t>
            </w:r>
          </w:p>
        </w:tc>
      </w:tr>
      <w:tr w:rsidR="004E363A" w14:paraId="59F3674C" w14:textId="77777777" w:rsidTr="004E363A">
        <w:tc>
          <w:tcPr>
            <w:tcW w:w="3192" w:type="dxa"/>
            <w:vMerge/>
          </w:tcPr>
          <w:p w14:paraId="6115AA2D" w14:textId="77777777" w:rsidR="004E363A" w:rsidRPr="006547A7" w:rsidRDefault="004E363A" w:rsidP="004E363A">
            <w:pPr>
              <w:rPr>
                <w:rFonts w:cs="Arial"/>
              </w:rPr>
            </w:pPr>
          </w:p>
        </w:tc>
        <w:tc>
          <w:tcPr>
            <w:tcW w:w="3192" w:type="dxa"/>
            <w:vMerge/>
          </w:tcPr>
          <w:p w14:paraId="172E61E8" w14:textId="77777777" w:rsidR="004E363A" w:rsidRPr="006547A7" w:rsidRDefault="004E363A" w:rsidP="004E363A">
            <w:pPr>
              <w:rPr>
                <w:rFonts w:cs="Arial"/>
              </w:rPr>
            </w:pPr>
          </w:p>
        </w:tc>
        <w:tc>
          <w:tcPr>
            <w:tcW w:w="3192" w:type="dxa"/>
          </w:tcPr>
          <w:p w14:paraId="696EC7C9" w14:textId="3E4C9087" w:rsidR="004E363A" w:rsidRPr="006547A7" w:rsidRDefault="004E363A" w:rsidP="004E363A">
            <w:pPr>
              <w:rPr>
                <w:rFonts w:cs="Arial"/>
              </w:rPr>
            </w:pPr>
            <w:r w:rsidRPr="006547A7">
              <w:rPr>
                <w:rFonts w:cs="Arial"/>
              </w:rPr>
              <w:t>Замаяност, вероятно свързана с брадикардия</w:t>
            </w:r>
          </w:p>
        </w:tc>
      </w:tr>
      <w:tr w:rsidR="004E363A" w14:paraId="38EA26D8" w14:textId="77777777" w:rsidTr="004E363A">
        <w:tc>
          <w:tcPr>
            <w:tcW w:w="3192" w:type="dxa"/>
            <w:vMerge/>
          </w:tcPr>
          <w:p w14:paraId="69CEC36C" w14:textId="77777777" w:rsidR="004E363A" w:rsidRPr="006547A7" w:rsidRDefault="004E363A" w:rsidP="004E363A">
            <w:pPr>
              <w:rPr>
                <w:rFonts w:cs="Arial"/>
              </w:rPr>
            </w:pPr>
          </w:p>
        </w:tc>
        <w:tc>
          <w:tcPr>
            <w:tcW w:w="3192" w:type="dxa"/>
          </w:tcPr>
          <w:p w14:paraId="3C2BE6E4" w14:textId="1A515EE4" w:rsidR="004E363A" w:rsidRPr="006547A7" w:rsidRDefault="004E363A" w:rsidP="004E363A">
            <w:pPr>
              <w:rPr>
                <w:rFonts w:cs="Arial"/>
              </w:rPr>
            </w:pPr>
            <w:r w:rsidRPr="006547A7">
              <w:rPr>
                <w:rFonts w:cs="Arial"/>
              </w:rPr>
              <w:t>Нечести*</w:t>
            </w:r>
          </w:p>
        </w:tc>
        <w:tc>
          <w:tcPr>
            <w:tcW w:w="3192" w:type="dxa"/>
          </w:tcPr>
          <w:p w14:paraId="7B459ECD" w14:textId="3EB20E1F" w:rsidR="004E363A" w:rsidRPr="006547A7" w:rsidRDefault="004E363A" w:rsidP="004E363A">
            <w:pPr>
              <w:rPr>
                <w:rFonts w:cs="Arial"/>
              </w:rPr>
            </w:pPr>
            <w:r w:rsidRPr="006547A7">
              <w:rPr>
                <w:rFonts w:cs="Arial"/>
              </w:rPr>
              <w:t>Синкоп, вероятно свързан с брадикардия</w:t>
            </w:r>
          </w:p>
        </w:tc>
      </w:tr>
      <w:tr w:rsidR="004E363A" w14:paraId="006AA829" w14:textId="77777777" w:rsidTr="004E363A">
        <w:tc>
          <w:tcPr>
            <w:tcW w:w="3192" w:type="dxa"/>
            <w:vMerge w:val="restart"/>
          </w:tcPr>
          <w:p w14:paraId="09E0F66D" w14:textId="4FD48511" w:rsidR="004E363A" w:rsidRPr="006547A7" w:rsidRDefault="004E363A" w:rsidP="004E363A">
            <w:pPr>
              <w:rPr>
                <w:rFonts w:cs="Arial"/>
              </w:rPr>
            </w:pPr>
            <w:r w:rsidRPr="006547A7">
              <w:rPr>
                <w:rFonts w:cs="Arial"/>
              </w:rPr>
              <w:t>Очни нарушения</w:t>
            </w:r>
          </w:p>
        </w:tc>
        <w:tc>
          <w:tcPr>
            <w:tcW w:w="3192" w:type="dxa"/>
          </w:tcPr>
          <w:p w14:paraId="165A71CA" w14:textId="2701B3CB" w:rsidR="004E363A" w:rsidRPr="006547A7" w:rsidRDefault="004E363A" w:rsidP="004E363A">
            <w:pPr>
              <w:rPr>
                <w:rFonts w:cs="Arial"/>
              </w:rPr>
            </w:pPr>
            <w:r w:rsidRPr="006547A7">
              <w:rPr>
                <w:rFonts w:cs="Arial"/>
              </w:rPr>
              <w:t>Много чести</w:t>
            </w:r>
          </w:p>
        </w:tc>
        <w:tc>
          <w:tcPr>
            <w:tcW w:w="3192" w:type="dxa"/>
          </w:tcPr>
          <w:p w14:paraId="26CC2315" w14:textId="075B4BB1" w:rsidR="004E363A" w:rsidRPr="006547A7" w:rsidRDefault="004E363A" w:rsidP="004E363A">
            <w:pPr>
              <w:rPr>
                <w:rFonts w:cs="Arial"/>
              </w:rPr>
            </w:pPr>
            <w:r w:rsidRPr="006547A7">
              <w:rPr>
                <w:rFonts w:cs="Arial"/>
              </w:rPr>
              <w:t>Светлинни феномени (фосфени)</w:t>
            </w:r>
          </w:p>
        </w:tc>
      </w:tr>
      <w:tr w:rsidR="004E363A" w14:paraId="41961B56" w14:textId="77777777" w:rsidTr="004E363A">
        <w:tc>
          <w:tcPr>
            <w:tcW w:w="3192" w:type="dxa"/>
            <w:vMerge/>
          </w:tcPr>
          <w:p w14:paraId="16C1E3F8" w14:textId="77777777" w:rsidR="004E363A" w:rsidRPr="006547A7" w:rsidRDefault="004E363A" w:rsidP="004E363A">
            <w:pPr>
              <w:rPr>
                <w:rFonts w:cs="Arial"/>
              </w:rPr>
            </w:pPr>
          </w:p>
        </w:tc>
        <w:tc>
          <w:tcPr>
            <w:tcW w:w="3192" w:type="dxa"/>
          </w:tcPr>
          <w:p w14:paraId="275367FB" w14:textId="547369B7" w:rsidR="004E363A" w:rsidRPr="006547A7" w:rsidRDefault="004E363A" w:rsidP="004E363A">
            <w:pPr>
              <w:rPr>
                <w:rFonts w:cs="Arial"/>
              </w:rPr>
            </w:pPr>
            <w:r w:rsidRPr="006547A7">
              <w:rPr>
                <w:rFonts w:cs="Arial"/>
              </w:rPr>
              <w:t>Чести</w:t>
            </w:r>
          </w:p>
        </w:tc>
        <w:tc>
          <w:tcPr>
            <w:tcW w:w="3192" w:type="dxa"/>
          </w:tcPr>
          <w:p w14:paraId="45C8C0B8" w14:textId="6AAB75F5" w:rsidR="004E363A" w:rsidRPr="006547A7" w:rsidRDefault="004E363A" w:rsidP="004E363A">
            <w:pPr>
              <w:rPr>
                <w:rFonts w:cs="Arial"/>
              </w:rPr>
            </w:pPr>
            <w:r w:rsidRPr="006547A7">
              <w:rPr>
                <w:rFonts w:cs="Arial"/>
              </w:rPr>
              <w:t>Замъглено зрение</w:t>
            </w:r>
          </w:p>
        </w:tc>
      </w:tr>
      <w:tr w:rsidR="004E363A" w14:paraId="2D30488C" w14:textId="77777777" w:rsidTr="004E363A">
        <w:tc>
          <w:tcPr>
            <w:tcW w:w="3192" w:type="dxa"/>
            <w:vMerge/>
          </w:tcPr>
          <w:p w14:paraId="36A39526" w14:textId="77777777" w:rsidR="004E363A" w:rsidRPr="006547A7" w:rsidRDefault="004E363A" w:rsidP="004E363A">
            <w:pPr>
              <w:rPr>
                <w:rFonts w:cs="Arial"/>
              </w:rPr>
            </w:pPr>
          </w:p>
        </w:tc>
        <w:tc>
          <w:tcPr>
            <w:tcW w:w="3192" w:type="dxa"/>
            <w:vMerge w:val="restart"/>
          </w:tcPr>
          <w:p w14:paraId="3C9DA3A7" w14:textId="4ED92819" w:rsidR="004E363A" w:rsidRPr="006547A7" w:rsidRDefault="004E363A" w:rsidP="004E363A">
            <w:pPr>
              <w:rPr>
                <w:rFonts w:cs="Arial"/>
              </w:rPr>
            </w:pPr>
            <w:r w:rsidRPr="006547A7">
              <w:rPr>
                <w:rFonts w:cs="Arial"/>
              </w:rPr>
              <w:t>Нечести*</w:t>
            </w:r>
          </w:p>
        </w:tc>
        <w:tc>
          <w:tcPr>
            <w:tcW w:w="3192" w:type="dxa"/>
          </w:tcPr>
          <w:p w14:paraId="069C1723" w14:textId="7BE416BA" w:rsidR="004E363A" w:rsidRPr="006547A7" w:rsidRDefault="004E363A" w:rsidP="004E363A">
            <w:pPr>
              <w:rPr>
                <w:rFonts w:cs="Arial"/>
              </w:rPr>
            </w:pPr>
            <w:r w:rsidRPr="006547A7">
              <w:rPr>
                <w:rFonts w:cs="Arial"/>
              </w:rPr>
              <w:t>Диплопия</w:t>
            </w:r>
          </w:p>
        </w:tc>
      </w:tr>
      <w:tr w:rsidR="004E363A" w14:paraId="2F7DE1D3" w14:textId="77777777" w:rsidTr="004E363A">
        <w:tc>
          <w:tcPr>
            <w:tcW w:w="3192" w:type="dxa"/>
            <w:vMerge/>
          </w:tcPr>
          <w:p w14:paraId="305BEA7E" w14:textId="77777777" w:rsidR="004E363A" w:rsidRPr="006547A7" w:rsidRDefault="004E363A" w:rsidP="004E363A">
            <w:pPr>
              <w:rPr>
                <w:rFonts w:cs="Arial"/>
              </w:rPr>
            </w:pPr>
          </w:p>
        </w:tc>
        <w:tc>
          <w:tcPr>
            <w:tcW w:w="3192" w:type="dxa"/>
            <w:vMerge/>
          </w:tcPr>
          <w:p w14:paraId="513FB020" w14:textId="77777777" w:rsidR="004E363A" w:rsidRPr="006547A7" w:rsidRDefault="004E363A" w:rsidP="004E363A">
            <w:pPr>
              <w:rPr>
                <w:rFonts w:cs="Arial"/>
              </w:rPr>
            </w:pPr>
          </w:p>
        </w:tc>
        <w:tc>
          <w:tcPr>
            <w:tcW w:w="3192" w:type="dxa"/>
          </w:tcPr>
          <w:p w14:paraId="135498FD" w14:textId="7848E0FE" w:rsidR="004E363A" w:rsidRPr="006547A7" w:rsidRDefault="004E363A" w:rsidP="004E363A">
            <w:pPr>
              <w:rPr>
                <w:rFonts w:cs="Arial"/>
              </w:rPr>
            </w:pPr>
            <w:r w:rsidRPr="006547A7">
              <w:rPr>
                <w:rFonts w:cs="Arial"/>
              </w:rPr>
              <w:t>Зрителни нарушения</w:t>
            </w:r>
          </w:p>
        </w:tc>
      </w:tr>
      <w:tr w:rsidR="004E363A" w14:paraId="791600C6" w14:textId="77777777" w:rsidTr="004E363A">
        <w:tc>
          <w:tcPr>
            <w:tcW w:w="3192" w:type="dxa"/>
          </w:tcPr>
          <w:p w14:paraId="0B4D332C" w14:textId="1EEC6131" w:rsidR="004E363A" w:rsidRPr="006547A7" w:rsidRDefault="004E363A" w:rsidP="004E363A">
            <w:pPr>
              <w:rPr>
                <w:rFonts w:cs="Arial"/>
              </w:rPr>
            </w:pPr>
            <w:r w:rsidRPr="006547A7">
              <w:rPr>
                <w:rFonts w:cs="Arial"/>
              </w:rPr>
              <w:t>Нарушения на ухото и лабиринта</w:t>
            </w:r>
          </w:p>
        </w:tc>
        <w:tc>
          <w:tcPr>
            <w:tcW w:w="3192" w:type="dxa"/>
          </w:tcPr>
          <w:p w14:paraId="2BB0D875" w14:textId="6D596472" w:rsidR="004E363A" w:rsidRPr="006547A7" w:rsidRDefault="004E363A" w:rsidP="004E363A">
            <w:pPr>
              <w:rPr>
                <w:rFonts w:cs="Arial"/>
              </w:rPr>
            </w:pPr>
            <w:r w:rsidRPr="006547A7">
              <w:rPr>
                <w:rFonts w:cs="Arial"/>
              </w:rPr>
              <w:t>Нечести</w:t>
            </w:r>
          </w:p>
        </w:tc>
        <w:tc>
          <w:tcPr>
            <w:tcW w:w="3192" w:type="dxa"/>
          </w:tcPr>
          <w:p w14:paraId="3A6CC032" w14:textId="196F6CD7" w:rsidR="004E363A" w:rsidRPr="006547A7" w:rsidRDefault="004E363A" w:rsidP="004E363A">
            <w:pPr>
              <w:rPr>
                <w:rFonts w:cs="Arial"/>
              </w:rPr>
            </w:pPr>
            <w:r w:rsidRPr="006547A7">
              <w:rPr>
                <w:rFonts w:cs="Arial"/>
              </w:rPr>
              <w:t>Вертиго</w:t>
            </w:r>
          </w:p>
        </w:tc>
      </w:tr>
      <w:tr w:rsidR="004E363A" w14:paraId="70E1821F" w14:textId="77777777" w:rsidTr="004E363A">
        <w:tc>
          <w:tcPr>
            <w:tcW w:w="3192" w:type="dxa"/>
            <w:vMerge w:val="restart"/>
          </w:tcPr>
          <w:p w14:paraId="5C289820" w14:textId="5732D8A0" w:rsidR="004E363A" w:rsidRPr="006547A7" w:rsidRDefault="004E363A" w:rsidP="004E363A">
            <w:pPr>
              <w:rPr>
                <w:rFonts w:cs="Arial"/>
              </w:rPr>
            </w:pPr>
            <w:r w:rsidRPr="006547A7">
              <w:rPr>
                <w:rFonts w:cs="Arial"/>
              </w:rPr>
              <w:t>Сърдечни нарушения</w:t>
            </w:r>
          </w:p>
        </w:tc>
        <w:tc>
          <w:tcPr>
            <w:tcW w:w="3192" w:type="dxa"/>
            <w:vMerge w:val="restart"/>
          </w:tcPr>
          <w:p w14:paraId="1C60E88E" w14:textId="54AD66DD" w:rsidR="004E363A" w:rsidRPr="006547A7" w:rsidRDefault="004E363A" w:rsidP="004E363A">
            <w:pPr>
              <w:rPr>
                <w:rFonts w:cs="Arial"/>
              </w:rPr>
            </w:pPr>
            <w:r w:rsidRPr="006547A7">
              <w:rPr>
                <w:rFonts w:cs="Arial"/>
              </w:rPr>
              <w:t>Чести</w:t>
            </w:r>
          </w:p>
        </w:tc>
        <w:tc>
          <w:tcPr>
            <w:tcW w:w="3192" w:type="dxa"/>
          </w:tcPr>
          <w:p w14:paraId="4CC65CC3" w14:textId="1B5005FA" w:rsidR="004E363A" w:rsidRPr="006547A7" w:rsidRDefault="004E363A" w:rsidP="004E363A">
            <w:pPr>
              <w:rPr>
                <w:rFonts w:cs="Arial"/>
              </w:rPr>
            </w:pPr>
            <w:r w:rsidRPr="006547A7">
              <w:rPr>
                <w:rFonts w:cs="Arial"/>
              </w:rPr>
              <w:t>Брадикардия</w:t>
            </w:r>
          </w:p>
        </w:tc>
      </w:tr>
      <w:tr w:rsidR="004E363A" w14:paraId="300B6FBA" w14:textId="77777777" w:rsidTr="004E363A">
        <w:tc>
          <w:tcPr>
            <w:tcW w:w="3192" w:type="dxa"/>
            <w:vMerge/>
          </w:tcPr>
          <w:p w14:paraId="1649E4F0" w14:textId="77777777" w:rsidR="004E363A" w:rsidRPr="006547A7" w:rsidRDefault="004E363A" w:rsidP="004E363A">
            <w:pPr>
              <w:rPr>
                <w:rFonts w:cs="Arial"/>
              </w:rPr>
            </w:pPr>
          </w:p>
        </w:tc>
        <w:tc>
          <w:tcPr>
            <w:tcW w:w="3192" w:type="dxa"/>
            <w:vMerge/>
          </w:tcPr>
          <w:p w14:paraId="2BE08077" w14:textId="77777777" w:rsidR="004E363A" w:rsidRPr="006547A7" w:rsidRDefault="004E363A" w:rsidP="004E363A">
            <w:pPr>
              <w:rPr>
                <w:rFonts w:cs="Arial"/>
              </w:rPr>
            </w:pPr>
          </w:p>
        </w:tc>
        <w:tc>
          <w:tcPr>
            <w:tcW w:w="3192" w:type="dxa"/>
          </w:tcPr>
          <w:p w14:paraId="5EAD0E53" w14:textId="68020B8E" w:rsidR="004E363A" w:rsidRPr="006547A7" w:rsidRDefault="004E363A" w:rsidP="004E363A">
            <w:pPr>
              <w:rPr>
                <w:rFonts w:cs="Arial"/>
              </w:rPr>
            </w:pPr>
            <w:r w:rsidRPr="006547A7">
              <w:rPr>
                <w:rFonts w:cs="Arial"/>
                <w:lang w:val="en-US"/>
              </w:rPr>
              <w:t>AV</w:t>
            </w:r>
            <w:r w:rsidRPr="006547A7">
              <w:rPr>
                <w:rFonts w:cs="Arial"/>
                <w:lang w:val="ru-RU"/>
              </w:rPr>
              <w:t xml:space="preserve"> </w:t>
            </w:r>
            <w:r w:rsidRPr="006547A7">
              <w:rPr>
                <w:rFonts w:cs="Arial"/>
              </w:rPr>
              <w:t xml:space="preserve">блок 1-ва степен (удължен </w:t>
            </w:r>
            <w:r w:rsidRPr="006547A7">
              <w:rPr>
                <w:rFonts w:cs="Arial"/>
                <w:lang w:val="en-US"/>
              </w:rPr>
              <w:t>PQ</w:t>
            </w:r>
            <w:r w:rsidRPr="006547A7">
              <w:rPr>
                <w:rFonts w:cs="Arial"/>
                <w:lang w:val="ru-RU"/>
              </w:rPr>
              <w:t xml:space="preserve"> </w:t>
            </w:r>
            <w:r w:rsidRPr="006547A7">
              <w:rPr>
                <w:rFonts w:cs="Arial"/>
              </w:rPr>
              <w:t>интервал при ЕКГ)</w:t>
            </w:r>
          </w:p>
        </w:tc>
      </w:tr>
      <w:tr w:rsidR="004E363A" w14:paraId="2BED8AB5" w14:textId="77777777" w:rsidTr="004E363A">
        <w:tc>
          <w:tcPr>
            <w:tcW w:w="3192" w:type="dxa"/>
            <w:vMerge/>
          </w:tcPr>
          <w:p w14:paraId="41CA09C9" w14:textId="77777777" w:rsidR="004E363A" w:rsidRPr="006547A7" w:rsidRDefault="004E363A" w:rsidP="004E363A">
            <w:pPr>
              <w:rPr>
                <w:rFonts w:cs="Arial"/>
              </w:rPr>
            </w:pPr>
          </w:p>
        </w:tc>
        <w:tc>
          <w:tcPr>
            <w:tcW w:w="3192" w:type="dxa"/>
            <w:vMerge/>
          </w:tcPr>
          <w:p w14:paraId="7EE64E57" w14:textId="77777777" w:rsidR="004E363A" w:rsidRPr="006547A7" w:rsidRDefault="004E363A" w:rsidP="004E363A">
            <w:pPr>
              <w:rPr>
                <w:rFonts w:cs="Arial"/>
              </w:rPr>
            </w:pPr>
          </w:p>
        </w:tc>
        <w:tc>
          <w:tcPr>
            <w:tcW w:w="3192" w:type="dxa"/>
          </w:tcPr>
          <w:p w14:paraId="64585624" w14:textId="31822838" w:rsidR="004E363A" w:rsidRPr="006547A7" w:rsidRDefault="004E363A" w:rsidP="004E363A">
            <w:pPr>
              <w:rPr>
                <w:rFonts w:cs="Arial"/>
              </w:rPr>
            </w:pPr>
            <w:r w:rsidRPr="006547A7">
              <w:rPr>
                <w:rFonts w:cs="Arial"/>
              </w:rPr>
              <w:t>Камерни екстрасистоли</w:t>
            </w:r>
          </w:p>
        </w:tc>
      </w:tr>
      <w:tr w:rsidR="004E363A" w14:paraId="68F4A372" w14:textId="77777777" w:rsidTr="004E363A">
        <w:tc>
          <w:tcPr>
            <w:tcW w:w="3192" w:type="dxa"/>
            <w:vMerge/>
          </w:tcPr>
          <w:p w14:paraId="52EEFD3F" w14:textId="77777777" w:rsidR="004E363A" w:rsidRPr="006547A7" w:rsidRDefault="004E363A" w:rsidP="004E363A">
            <w:pPr>
              <w:rPr>
                <w:rFonts w:cs="Arial"/>
              </w:rPr>
            </w:pPr>
          </w:p>
        </w:tc>
        <w:tc>
          <w:tcPr>
            <w:tcW w:w="3192" w:type="dxa"/>
            <w:vMerge/>
          </w:tcPr>
          <w:p w14:paraId="35763C45" w14:textId="77777777" w:rsidR="004E363A" w:rsidRPr="006547A7" w:rsidRDefault="004E363A" w:rsidP="004E363A">
            <w:pPr>
              <w:rPr>
                <w:rFonts w:cs="Arial"/>
              </w:rPr>
            </w:pPr>
          </w:p>
        </w:tc>
        <w:tc>
          <w:tcPr>
            <w:tcW w:w="3192" w:type="dxa"/>
          </w:tcPr>
          <w:p w14:paraId="13F2E981" w14:textId="694DB9D1" w:rsidR="004E363A" w:rsidRPr="006547A7" w:rsidRDefault="004E363A" w:rsidP="004E363A">
            <w:pPr>
              <w:rPr>
                <w:rFonts w:cs="Arial"/>
              </w:rPr>
            </w:pPr>
            <w:r w:rsidRPr="006547A7">
              <w:rPr>
                <w:rFonts w:cs="Arial"/>
              </w:rPr>
              <w:t>Предсърдно мъждене</w:t>
            </w:r>
          </w:p>
        </w:tc>
      </w:tr>
      <w:tr w:rsidR="004E363A" w14:paraId="5544C704" w14:textId="77777777" w:rsidTr="004E363A">
        <w:tc>
          <w:tcPr>
            <w:tcW w:w="3192" w:type="dxa"/>
            <w:vMerge/>
          </w:tcPr>
          <w:p w14:paraId="0C2F455A" w14:textId="77777777" w:rsidR="004E363A" w:rsidRPr="006547A7" w:rsidRDefault="004E363A" w:rsidP="004E363A">
            <w:pPr>
              <w:rPr>
                <w:rFonts w:cs="Arial"/>
              </w:rPr>
            </w:pPr>
          </w:p>
        </w:tc>
        <w:tc>
          <w:tcPr>
            <w:tcW w:w="3192" w:type="dxa"/>
          </w:tcPr>
          <w:p w14:paraId="0C84479E" w14:textId="65DE8015" w:rsidR="004E363A" w:rsidRPr="006547A7" w:rsidRDefault="004E363A" w:rsidP="004E363A">
            <w:pPr>
              <w:rPr>
                <w:rFonts w:cs="Arial"/>
              </w:rPr>
            </w:pPr>
            <w:r w:rsidRPr="006547A7">
              <w:rPr>
                <w:rFonts w:cs="Arial"/>
              </w:rPr>
              <w:t>Нечести</w:t>
            </w:r>
          </w:p>
        </w:tc>
        <w:tc>
          <w:tcPr>
            <w:tcW w:w="3192" w:type="dxa"/>
          </w:tcPr>
          <w:p w14:paraId="23E49AD2" w14:textId="77777777" w:rsidR="004E363A" w:rsidRPr="006547A7" w:rsidRDefault="004E363A" w:rsidP="004E363A">
            <w:pPr>
              <w:rPr>
                <w:rFonts w:cs="Arial"/>
              </w:rPr>
            </w:pPr>
            <w:r w:rsidRPr="006547A7">
              <w:rPr>
                <w:rFonts w:cs="Arial"/>
              </w:rPr>
              <w:t>Палпитации, надкамерни екстрасистоли</w:t>
            </w:r>
          </w:p>
          <w:p w14:paraId="49BC3B89" w14:textId="14142111" w:rsidR="004E363A" w:rsidRPr="006547A7" w:rsidRDefault="004E363A" w:rsidP="004E363A">
            <w:pPr>
              <w:rPr>
                <w:rFonts w:cs="Arial"/>
              </w:rPr>
            </w:pPr>
            <w:r w:rsidRPr="006547A7">
              <w:rPr>
                <w:rFonts w:cs="Arial"/>
              </w:rPr>
              <w:t xml:space="preserve">Удължен </w:t>
            </w:r>
            <w:r w:rsidRPr="006547A7">
              <w:rPr>
                <w:rFonts w:cs="Arial"/>
                <w:lang w:val="en-US"/>
              </w:rPr>
              <w:t>QT</w:t>
            </w:r>
            <w:r w:rsidRPr="006547A7">
              <w:rPr>
                <w:rFonts w:cs="Arial"/>
                <w:lang w:val="ru-RU"/>
              </w:rPr>
              <w:t xml:space="preserve"> </w:t>
            </w:r>
            <w:r w:rsidRPr="006547A7">
              <w:rPr>
                <w:rFonts w:cs="Arial"/>
              </w:rPr>
              <w:t>интервал при ЕКГ</w:t>
            </w:r>
          </w:p>
        </w:tc>
      </w:tr>
      <w:tr w:rsidR="004E363A" w14:paraId="1E85B2D4" w14:textId="77777777" w:rsidTr="004E363A">
        <w:tc>
          <w:tcPr>
            <w:tcW w:w="3192" w:type="dxa"/>
            <w:vMerge/>
          </w:tcPr>
          <w:p w14:paraId="4A93D2E6" w14:textId="77777777" w:rsidR="004E363A" w:rsidRPr="006547A7" w:rsidRDefault="004E363A" w:rsidP="004E363A">
            <w:pPr>
              <w:rPr>
                <w:rFonts w:cs="Arial"/>
              </w:rPr>
            </w:pPr>
          </w:p>
        </w:tc>
        <w:tc>
          <w:tcPr>
            <w:tcW w:w="3192" w:type="dxa"/>
            <w:vMerge w:val="restart"/>
          </w:tcPr>
          <w:p w14:paraId="240E915B" w14:textId="6345342F" w:rsidR="004E363A" w:rsidRPr="006547A7" w:rsidRDefault="004E363A" w:rsidP="004E363A">
            <w:pPr>
              <w:rPr>
                <w:rFonts w:cs="Arial"/>
              </w:rPr>
            </w:pPr>
            <w:r w:rsidRPr="006547A7">
              <w:rPr>
                <w:rFonts w:cs="Arial"/>
              </w:rPr>
              <w:t>Много редки</w:t>
            </w:r>
          </w:p>
        </w:tc>
        <w:tc>
          <w:tcPr>
            <w:tcW w:w="3192" w:type="dxa"/>
          </w:tcPr>
          <w:p w14:paraId="5DEB14B1" w14:textId="70EFD2F3" w:rsidR="004E363A" w:rsidRPr="006547A7" w:rsidRDefault="004E363A" w:rsidP="004E363A">
            <w:pPr>
              <w:rPr>
                <w:rFonts w:cs="Arial"/>
              </w:rPr>
            </w:pPr>
            <w:r w:rsidRPr="006547A7">
              <w:rPr>
                <w:rFonts w:cs="Arial"/>
                <w:lang w:val="en-US"/>
              </w:rPr>
              <w:t>AV</w:t>
            </w:r>
            <w:r w:rsidRPr="006547A7">
              <w:rPr>
                <w:rFonts w:cs="Arial"/>
                <w:lang w:val="ru-RU"/>
              </w:rPr>
              <w:t xml:space="preserve"> </w:t>
            </w:r>
            <w:r w:rsidRPr="006547A7">
              <w:rPr>
                <w:rFonts w:cs="Arial"/>
              </w:rPr>
              <w:t xml:space="preserve">блок 2-ра степен, </w:t>
            </w:r>
            <w:r w:rsidRPr="006547A7">
              <w:rPr>
                <w:rFonts w:cs="Arial"/>
                <w:lang w:val="en-US"/>
              </w:rPr>
              <w:t>AV</w:t>
            </w:r>
            <w:r w:rsidRPr="006547A7">
              <w:rPr>
                <w:rFonts w:cs="Arial"/>
                <w:lang w:val="ru-RU"/>
              </w:rPr>
              <w:t xml:space="preserve"> </w:t>
            </w:r>
            <w:r w:rsidRPr="006547A7">
              <w:rPr>
                <w:rFonts w:cs="Arial"/>
              </w:rPr>
              <w:t>блок 3-та степен</w:t>
            </w:r>
          </w:p>
        </w:tc>
      </w:tr>
      <w:tr w:rsidR="004E363A" w14:paraId="5A1EB069" w14:textId="77777777" w:rsidTr="004E363A">
        <w:tc>
          <w:tcPr>
            <w:tcW w:w="3192" w:type="dxa"/>
            <w:vMerge/>
          </w:tcPr>
          <w:p w14:paraId="0A2A3168" w14:textId="77777777" w:rsidR="004E363A" w:rsidRPr="006547A7" w:rsidRDefault="004E363A" w:rsidP="004E363A">
            <w:pPr>
              <w:rPr>
                <w:rFonts w:cs="Arial"/>
              </w:rPr>
            </w:pPr>
          </w:p>
        </w:tc>
        <w:tc>
          <w:tcPr>
            <w:tcW w:w="3192" w:type="dxa"/>
            <w:vMerge/>
          </w:tcPr>
          <w:p w14:paraId="0FB613B6" w14:textId="77777777" w:rsidR="004E363A" w:rsidRPr="006547A7" w:rsidRDefault="004E363A" w:rsidP="004E363A">
            <w:pPr>
              <w:rPr>
                <w:rFonts w:cs="Arial"/>
              </w:rPr>
            </w:pPr>
          </w:p>
        </w:tc>
        <w:tc>
          <w:tcPr>
            <w:tcW w:w="3192" w:type="dxa"/>
          </w:tcPr>
          <w:p w14:paraId="571EF80B" w14:textId="3B7CB95A" w:rsidR="004E363A" w:rsidRPr="006547A7" w:rsidRDefault="004E363A" w:rsidP="004E363A">
            <w:pPr>
              <w:rPr>
                <w:rFonts w:cs="Arial"/>
              </w:rPr>
            </w:pPr>
            <w:r w:rsidRPr="006547A7">
              <w:rPr>
                <w:rFonts w:cs="Arial"/>
              </w:rPr>
              <w:t>Синдром на болния синусов възел</w:t>
            </w:r>
          </w:p>
        </w:tc>
      </w:tr>
      <w:tr w:rsidR="004E363A" w14:paraId="76394F70" w14:textId="77777777" w:rsidTr="004E363A">
        <w:tc>
          <w:tcPr>
            <w:tcW w:w="3192" w:type="dxa"/>
            <w:vMerge w:val="restart"/>
          </w:tcPr>
          <w:p w14:paraId="666293FE" w14:textId="3ADF7BF3" w:rsidR="004E363A" w:rsidRPr="006547A7" w:rsidRDefault="004E363A" w:rsidP="004E363A">
            <w:pPr>
              <w:rPr>
                <w:rFonts w:cs="Arial"/>
              </w:rPr>
            </w:pPr>
            <w:r w:rsidRPr="006547A7">
              <w:rPr>
                <w:rFonts w:cs="Arial"/>
              </w:rPr>
              <w:t>Съдови нарушения</w:t>
            </w:r>
          </w:p>
        </w:tc>
        <w:tc>
          <w:tcPr>
            <w:tcW w:w="3192" w:type="dxa"/>
          </w:tcPr>
          <w:p w14:paraId="6ED46E08" w14:textId="2AA2F358" w:rsidR="004E363A" w:rsidRPr="006547A7" w:rsidRDefault="004E363A" w:rsidP="004E363A">
            <w:pPr>
              <w:rPr>
                <w:rFonts w:cs="Arial"/>
              </w:rPr>
            </w:pPr>
            <w:r w:rsidRPr="006547A7">
              <w:rPr>
                <w:rFonts w:cs="Arial"/>
              </w:rPr>
              <w:t>Чести</w:t>
            </w:r>
          </w:p>
        </w:tc>
        <w:tc>
          <w:tcPr>
            <w:tcW w:w="3192" w:type="dxa"/>
          </w:tcPr>
          <w:p w14:paraId="668E2549" w14:textId="485E372F" w:rsidR="004E363A" w:rsidRPr="006547A7" w:rsidRDefault="004E363A" w:rsidP="004E363A">
            <w:pPr>
              <w:rPr>
                <w:rFonts w:cs="Arial"/>
              </w:rPr>
            </w:pPr>
            <w:r w:rsidRPr="006547A7">
              <w:rPr>
                <w:rFonts w:cs="Arial"/>
              </w:rPr>
              <w:t>Неконтролирано кръвно налягане</w:t>
            </w:r>
          </w:p>
        </w:tc>
      </w:tr>
      <w:tr w:rsidR="004E363A" w14:paraId="325E13A1" w14:textId="77777777" w:rsidTr="004E363A">
        <w:tc>
          <w:tcPr>
            <w:tcW w:w="3192" w:type="dxa"/>
            <w:vMerge/>
          </w:tcPr>
          <w:p w14:paraId="0FA96770" w14:textId="77777777" w:rsidR="004E363A" w:rsidRPr="006547A7" w:rsidRDefault="004E363A" w:rsidP="004E363A">
            <w:pPr>
              <w:rPr>
                <w:rFonts w:cs="Arial"/>
              </w:rPr>
            </w:pPr>
          </w:p>
        </w:tc>
        <w:tc>
          <w:tcPr>
            <w:tcW w:w="3192" w:type="dxa"/>
          </w:tcPr>
          <w:p w14:paraId="70F1EEF4" w14:textId="6177D319" w:rsidR="004E363A" w:rsidRPr="006547A7" w:rsidRDefault="004E363A" w:rsidP="004E363A">
            <w:pPr>
              <w:rPr>
                <w:rFonts w:cs="Arial"/>
              </w:rPr>
            </w:pPr>
            <w:r w:rsidRPr="006547A7">
              <w:rPr>
                <w:rFonts w:cs="Arial"/>
              </w:rPr>
              <w:t>Нечести*</w:t>
            </w:r>
          </w:p>
        </w:tc>
        <w:tc>
          <w:tcPr>
            <w:tcW w:w="3192" w:type="dxa"/>
          </w:tcPr>
          <w:p w14:paraId="0C68FA7C" w14:textId="4CEA5BCB" w:rsidR="004E363A" w:rsidRPr="006547A7" w:rsidRDefault="004E363A" w:rsidP="004E363A">
            <w:pPr>
              <w:rPr>
                <w:rFonts w:cs="Arial"/>
              </w:rPr>
            </w:pPr>
            <w:r w:rsidRPr="006547A7">
              <w:rPr>
                <w:rFonts w:cs="Arial"/>
              </w:rPr>
              <w:t>Хипотония, вероятно свързана с брадикардия</w:t>
            </w:r>
          </w:p>
        </w:tc>
      </w:tr>
      <w:tr w:rsidR="004E363A" w14:paraId="5DC67A26" w14:textId="77777777" w:rsidTr="004E363A">
        <w:tc>
          <w:tcPr>
            <w:tcW w:w="3192" w:type="dxa"/>
          </w:tcPr>
          <w:p w14:paraId="5E23E43F" w14:textId="55D0624C" w:rsidR="004E363A" w:rsidRPr="006547A7" w:rsidRDefault="004E363A" w:rsidP="004E363A">
            <w:pPr>
              <w:rPr>
                <w:rFonts w:cs="Arial"/>
              </w:rPr>
            </w:pPr>
            <w:r w:rsidRPr="006547A7">
              <w:rPr>
                <w:rFonts w:cs="Arial"/>
              </w:rPr>
              <w:t>Респираторни, гръдни и мсдиастинални нарушения</w:t>
            </w:r>
          </w:p>
        </w:tc>
        <w:tc>
          <w:tcPr>
            <w:tcW w:w="3192" w:type="dxa"/>
          </w:tcPr>
          <w:p w14:paraId="21F84025" w14:textId="3657D880" w:rsidR="004E363A" w:rsidRPr="006547A7" w:rsidRDefault="004E363A" w:rsidP="004E363A">
            <w:pPr>
              <w:rPr>
                <w:rFonts w:cs="Arial"/>
              </w:rPr>
            </w:pPr>
            <w:r w:rsidRPr="006547A7">
              <w:rPr>
                <w:rFonts w:cs="Arial"/>
              </w:rPr>
              <w:t>Нечести</w:t>
            </w:r>
          </w:p>
        </w:tc>
        <w:tc>
          <w:tcPr>
            <w:tcW w:w="3192" w:type="dxa"/>
          </w:tcPr>
          <w:p w14:paraId="4BC19D90" w14:textId="631966A3" w:rsidR="004E363A" w:rsidRPr="006547A7" w:rsidRDefault="004E363A" w:rsidP="004E363A">
            <w:pPr>
              <w:rPr>
                <w:rFonts w:cs="Arial"/>
              </w:rPr>
            </w:pPr>
            <w:r w:rsidRPr="006547A7">
              <w:rPr>
                <w:rFonts w:cs="Arial"/>
              </w:rPr>
              <w:t>Диспнея</w:t>
            </w:r>
          </w:p>
        </w:tc>
      </w:tr>
      <w:tr w:rsidR="006547A7" w14:paraId="32CDED4C" w14:textId="77777777" w:rsidTr="004E363A">
        <w:tc>
          <w:tcPr>
            <w:tcW w:w="3192" w:type="dxa"/>
            <w:vMerge w:val="restart"/>
          </w:tcPr>
          <w:p w14:paraId="2248DFAB" w14:textId="079CCDB8" w:rsidR="006547A7" w:rsidRPr="006547A7" w:rsidRDefault="006547A7" w:rsidP="006547A7">
            <w:pPr>
              <w:rPr>
                <w:rFonts w:cs="Arial"/>
              </w:rPr>
            </w:pPr>
            <w:r w:rsidRPr="006547A7">
              <w:rPr>
                <w:rFonts w:cs="Arial"/>
              </w:rPr>
              <w:t>Стомашно-чревни нарушения</w:t>
            </w:r>
          </w:p>
        </w:tc>
        <w:tc>
          <w:tcPr>
            <w:tcW w:w="3192" w:type="dxa"/>
            <w:vMerge w:val="restart"/>
          </w:tcPr>
          <w:p w14:paraId="60B9711F" w14:textId="258CD0A1" w:rsidR="006547A7" w:rsidRPr="006547A7" w:rsidRDefault="006547A7" w:rsidP="006547A7">
            <w:pPr>
              <w:rPr>
                <w:rFonts w:cs="Arial"/>
              </w:rPr>
            </w:pPr>
            <w:r w:rsidRPr="006547A7">
              <w:rPr>
                <w:rFonts w:cs="Arial"/>
              </w:rPr>
              <w:t>Нечести</w:t>
            </w:r>
          </w:p>
        </w:tc>
        <w:tc>
          <w:tcPr>
            <w:tcW w:w="3192" w:type="dxa"/>
          </w:tcPr>
          <w:p w14:paraId="45358F79" w14:textId="262C8097" w:rsidR="006547A7" w:rsidRPr="006547A7" w:rsidRDefault="006547A7" w:rsidP="006547A7">
            <w:pPr>
              <w:rPr>
                <w:rFonts w:cs="Arial"/>
              </w:rPr>
            </w:pPr>
            <w:r w:rsidRPr="006547A7">
              <w:rPr>
                <w:rFonts w:cs="Arial"/>
              </w:rPr>
              <w:t>Гадене</w:t>
            </w:r>
          </w:p>
        </w:tc>
      </w:tr>
      <w:tr w:rsidR="006547A7" w14:paraId="507783DD" w14:textId="77777777" w:rsidTr="004E363A">
        <w:tc>
          <w:tcPr>
            <w:tcW w:w="3192" w:type="dxa"/>
            <w:vMerge/>
          </w:tcPr>
          <w:p w14:paraId="21155C5F" w14:textId="77777777" w:rsidR="006547A7" w:rsidRPr="006547A7" w:rsidRDefault="006547A7" w:rsidP="006547A7">
            <w:pPr>
              <w:rPr>
                <w:rFonts w:cs="Arial"/>
              </w:rPr>
            </w:pPr>
          </w:p>
        </w:tc>
        <w:tc>
          <w:tcPr>
            <w:tcW w:w="3192" w:type="dxa"/>
            <w:vMerge/>
          </w:tcPr>
          <w:p w14:paraId="4B85613B" w14:textId="77777777" w:rsidR="006547A7" w:rsidRPr="006547A7" w:rsidRDefault="006547A7" w:rsidP="006547A7">
            <w:pPr>
              <w:rPr>
                <w:rFonts w:cs="Arial"/>
              </w:rPr>
            </w:pPr>
          </w:p>
        </w:tc>
        <w:tc>
          <w:tcPr>
            <w:tcW w:w="3192" w:type="dxa"/>
          </w:tcPr>
          <w:p w14:paraId="56F00187" w14:textId="144DDB01" w:rsidR="006547A7" w:rsidRPr="006547A7" w:rsidRDefault="006547A7" w:rsidP="006547A7">
            <w:pPr>
              <w:rPr>
                <w:rFonts w:cs="Arial"/>
              </w:rPr>
            </w:pPr>
            <w:r w:rsidRPr="006547A7">
              <w:rPr>
                <w:rFonts w:cs="Arial"/>
              </w:rPr>
              <w:t>Запек</w:t>
            </w:r>
          </w:p>
        </w:tc>
      </w:tr>
      <w:tr w:rsidR="006547A7" w14:paraId="74B41EC3" w14:textId="77777777" w:rsidTr="004E363A">
        <w:tc>
          <w:tcPr>
            <w:tcW w:w="3192" w:type="dxa"/>
            <w:vMerge/>
          </w:tcPr>
          <w:p w14:paraId="140A9DBD" w14:textId="77777777" w:rsidR="006547A7" w:rsidRPr="006547A7" w:rsidRDefault="006547A7" w:rsidP="006547A7">
            <w:pPr>
              <w:rPr>
                <w:rFonts w:cs="Arial"/>
              </w:rPr>
            </w:pPr>
          </w:p>
        </w:tc>
        <w:tc>
          <w:tcPr>
            <w:tcW w:w="3192" w:type="dxa"/>
            <w:vMerge/>
          </w:tcPr>
          <w:p w14:paraId="76521713" w14:textId="77777777" w:rsidR="006547A7" w:rsidRPr="006547A7" w:rsidRDefault="006547A7" w:rsidP="006547A7">
            <w:pPr>
              <w:rPr>
                <w:rFonts w:cs="Arial"/>
              </w:rPr>
            </w:pPr>
          </w:p>
        </w:tc>
        <w:tc>
          <w:tcPr>
            <w:tcW w:w="3192" w:type="dxa"/>
          </w:tcPr>
          <w:p w14:paraId="464C35AE" w14:textId="09D7670B" w:rsidR="006547A7" w:rsidRPr="006547A7" w:rsidRDefault="006547A7" w:rsidP="006547A7">
            <w:pPr>
              <w:rPr>
                <w:rFonts w:cs="Arial"/>
              </w:rPr>
            </w:pPr>
            <w:r w:rsidRPr="006547A7">
              <w:rPr>
                <w:rFonts w:cs="Arial"/>
                <w:u w:val="single"/>
              </w:rPr>
              <w:t>Диа</w:t>
            </w:r>
            <w:r w:rsidRPr="006547A7">
              <w:rPr>
                <w:rFonts w:cs="Arial"/>
              </w:rPr>
              <w:t>рия</w:t>
            </w:r>
          </w:p>
        </w:tc>
      </w:tr>
      <w:tr w:rsidR="006547A7" w14:paraId="7A7656D0" w14:textId="77777777" w:rsidTr="004E363A">
        <w:tc>
          <w:tcPr>
            <w:tcW w:w="3192" w:type="dxa"/>
            <w:vMerge/>
          </w:tcPr>
          <w:p w14:paraId="3D0D14C7" w14:textId="77777777" w:rsidR="006547A7" w:rsidRPr="006547A7" w:rsidRDefault="006547A7" w:rsidP="006547A7">
            <w:pPr>
              <w:rPr>
                <w:rFonts w:cs="Arial"/>
              </w:rPr>
            </w:pPr>
          </w:p>
        </w:tc>
        <w:tc>
          <w:tcPr>
            <w:tcW w:w="3192" w:type="dxa"/>
            <w:vMerge/>
          </w:tcPr>
          <w:p w14:paraId="39E2EC89" w14:textId="77777777" w:rsidR="006547A7" w:rsidRPr="006547A7" w:rsidRDefault="006547A7" w:rsidP="006547A7">
            <w:pPr>
              <w:rPr>
                <w:rFonts w:cs="Arial"/>
              </w:rPr>
            </w:pPr>
          </w:p>
        </w:tc>
        <w:tc>
          <w:tcPr>
            <w:tcW w:w="3192" w:type="dxa"/>
          </w:tcPr>
          <w:p w14:paraId="5199203B" w14:textId="2798D4E2" w:rsidR="006547A7" w:rsidRPr="006547A7" w:rsidRDefault="006547A7" w:rsidP="006547A7">
            <w:pPr>
              <w:rPr>
                <w:rFonts w:cs="Arial"/>
              </w:rPr>
            </w:pPr>
            <w:r w:rsidRPr="006547A7">
              <w:rPr>
                <w:rFonts w:cs="Arial"/>
              </w:rPr>
              <w:t>Болка в корема*</w:t>
            </w:r>
          </w:p>
        </w:tc>
      </w:tr>
      <w:tr w:rsidR="006547A7" w14:paraId="7BDE1426" w14:textId="77777777" w:rsidTr="004E363A">
        <w:tc>
          <w:tcPr>
            <w:tcW w:w="3192" w:type="dxa"/>
            <w:vMerge w:val="restart"/>
          </w:tcPr>
          <w:p w14:paraId="28ED7288" w14:textId="2D2BAB4F" w:rsidR="006547A7" w:rsidRPr="006547A7" w:rsidRDefault="006547A7" w:rsidP="006547A7">
            <w:pPr>
              <w:rPr>
                <w:rFonts w:cs="Arial"/>
              </w:rPr>
            </w:pPr>
            <w:r w:rsidRPr="006547A7">
              <w:rPr>
                <w:rFonts w:cs="Arial"/>
              </w:rPr>
              <w:t>Нарушения на кожата и подкожната тъкан</w:t>
            </w:r>
          </w:p>
        </w:tc>
        <w:tc>
          <w:tcPr>
            <w:tcW w:w="3192" w:type="dxa"/>
            <w:vMerge w:val="restart"/>
          </w:tcPr>
          <w:p w14:paraId="384FA6BF" w14:textId="7F57BAEE" w:rsidR="006547A7" w:rsidRPr="006547A7" w:rsidRDefault="006547A7" w:rsidP="006547A7">
            <w:pPr>
              <w:rPr>
                <w:rFonts w:cs="Arial"/>
              </w:rPr>
            </w:pPr>
            <w:r w:rsidRPr="006547A7">
              <w:rPr>
                <w:rFonts w:cs="Arial"/>
              </w:rPr>
              <w:t>Нечести*</w:t>
            </w:r>
          </w:p>
        </w:tc>
        <w:tc>
          <w:tcPr>
            <w:tcW w:w="3192" w:type="dxa"/>
          </w:tcPr>
          <w:p w14:paraId="62BCB0F8" w14:textId="63AB365E" w:rsidR="006547A7" w:rsidRPr="006547A7" w:rsidRDefault="006547A7" w:rsidP="006547A7">
            <w:pPr>
              <w:rPr>
                <w:rFonts w:cs="Arial"/>
              </w:rPr>
            </w:pPr>
            <w:r w:rsidRPr="006547A7">
              <w:rPr>
                <w:rFonts w:cs="Arial"/>
              </w:rPr>
              <w:t>Ангиоедем</w:t>
            </w:r>
          </w:p>
        </w:tc>
      </w:tr>
      <w:tr w:rsidR="006547A7" w14:paraId="0D375E7E" w14:textId="77777777" w:rsidTr="004E363A">
        <w:tc>
          <w:tcPr>
            <w:tcW w:w="3192" w:type="dxa"/>
            <w:vMerge/>
          </w:tcPr>
          <w:p w14:paraId="11B7F1E4" w14:textId="77777777" w:rsidR="006547A7" w:rsidRPr="006547A7" w:rsidRDefault="006547A7" w:rsidP="006547A7">
            <w:pPr>
              <w:rPr>
                <w:rFonts w:cs="Arial"/>
              </w:rPr>
            </w:pPr>
          </w:p>
        </w:tc>
        <w:tc>
          <w:tcPr>
            <w:tcW w:w="3192" w:type="dxa"/>
            <w:vMerge/>
          </w:tcPr>
          <w:p w14:paraId="58C76383" w14:textId="77777777" w:rsidR="006547A7" w:rsidRPr="006547A7" w:rsidRDefault="006547A7" w:rsidP="006547A7">
            <w:pPr>
              <w:rPr>
                <w:rFonts w:cs="Arial"/>
              </w:rPr>
            </w:pPr>
          </w:p>
        </w:tc>
        <w:tc>
          <w:tcPr>
            <w:tcW w:w="3192" w:type="dxa"/>
          </w:tcPr>
          <w:p w14:paraId="74416E74" w14:textId="3A51A25E" w:rsidR="006547A7" w:rsidRPr="006547A7" w:rsidRDefault="006547A7" w:rsidP="006547A7">
            <w:pPr>
              <w:rPr>
                <w:rFonts w:cs="Arial"/>
              </w:rPr>
            </w:pPr>
            <w:r w:rsidRPr="006547A7">
              <w:rPr>
                <w:rFonts w:cs="Arial"/>
                <w:u w:val="single"/>
              </w:rPr>
              <w:t>Обрив</w:t>
            </w:r>
          </w:p>
        </w:tc>
      </w:tr>
      <w:tr w:rsidR="006547A7" w14:paraId="48E02300" w14:textId="77777777" w:rsidTr="004E363A">
        <w:tc>
          <w:tcPr>
            <w:tcW w:w="3192" w:type="dxa"/>
            <w:vMerge/>
          </w:tcPr>
          <w:p w14:paraId="2030AF1D" w14:textId="77777777" w:rsidR="006547A7" w:rsidRPr="006547A7" w:rsidRDefault="006547A7" w:rsidP="006547A7">
            <w:pPr>
              <w:rPr>
                <w:rFonts w:cs="Arial"/>
              </w:rPr>
            </w:pPr>
          </w:p>
        </w:tc>
        <w:tc>
          <w:tcPr>
            <w:tcW w:w="3192" w:type="dxa"/>
            <w:vMerge w:val="restart"/>
          </w:tcPr>
          <w:p w14:paraId="06BAACE0" w14:textId="406E6FFE" w:rsidR="006547A7" w:rsidRPr="006547A7" w:rsidRDefault="006547A7" w:rsidP="006547A7">
            <w:pPr>
              <w:rPr>
                <w:rFonts w:cs="Arial"/>
              </w:rPr>
            </w:pPr>
            <w:r w:rsidRPr="006547A7">
              <w:rPr>
                <w:rFonts w:cs="Arial"/>
              </w:rPr>
              <w:t>Редки*</w:t>
            </w:r>
          </w:p>
        </w:tc>
        <w:tc>
          <w:tcPr>
            <w:tcW w:w="3192" w:type="dxa"/>
          </w:tcPr>
          <w:p w14:paraId="4286CFD6" w14:textId="67CB2E20" w:rsidR="006547A7" w:rsidRPr="006547A7" w:rsidRDefault="006547A7" w:rsidP="006547A7">
            <w:pPr>
              <w:rPr>
                <w:rFonts w:cs="Arial"/>
              </w:rPr>
            </w:pPr>
            <w:r w:rsidRPr="006547A7">
              <w:rPr>
                <w:rFonts w:cs="Arial"/>
              </w:rPr>
              <w:t>Еритема</w:t>
            </w:r>
          </w:p>
        </w:tc>
      </w:tr>
      <w:tr w:rsidR="006547A7" w14:paraId="67CCDC1C" w14:textId="77777777" w:rsidTr="004E363A">
        <w:tc>
          <w:tcPr>
            <w:tcW w:w="3192" w:type="dxa"/>
            <w:vMerge/>
          </w:tcPr>
          <w:p w14:paraId="59ABA42B" w14:textId="77777777" w:rsidR="006547A7" w:rsidRPr="006547A7" w:rsidRDefault="006547A7" w:rsidP="006547A7">
            <w:pPr>
              <w:rPr>
                <w:rFonts w:cs="Arial"/>
              </w:rPr>
            </w:pPr>
          </w:p>
        </w:tc>
        <w:tc>
          <w:tcPr>
            <w:tcW w:w="3192" w:type="dxa"/>
            <w:vMerge/>
          </w:tcPr>
          <w:p w14:paraId="28C5F86A" w14:textId="77777777" w:rsidR="006547A7" w:rsidRPr="006547A7" w:rsidRDefault="006547A7" w:rsidP="006547A7">
            <w:pPr>
              <w:rPr>
                <w:rFonts w:cs="Arial"/>
              </w:rPr>
            </w:pPr>
          </w:p>
        </w:tc>
        <w:tc>
          <w:tcPr>
            <w:tcW w:w="3192" w:type="dxa"/>
          </w:tcPr>
          <w:p w14:paraId="4DD7B879" w14:textId="78B56D12" w:rsidR="006547A7" w:rsidRPr="006547A7" w:rsidRDefault="006547A7" w:rsidP="006547A7">
            <w:pPr>
              <w:rPr>
                <w:rFonts w:cs="Arial"/>
              </w:rPr>
            </w:pPr>
            <w:r w:rsidRPr="006547A7">
              <w:rPr>
                <w:rFonts w:cs="Arial"/>
              </w:rPr>
              <w:t>Пруритус</w:t>
            </w:r>
          </w:p>
        </w:tc>
      </w:tr>
      <w:tr w:rsidR="006547A7" w14:paraId="2701AE34" w14:textId="77777777" w:rsidTr="004E363A">
        <w:tc>
          <w:tcPr>
            <w:tcW w:w="3192" w:type="dxa"/>
            <w:vMerge/>
          </w:tcPr>
          <w:p w14:paraId="39251C6D" w14:textId="77777777" w:rsidR="006547A7" w:rsidRPr="006547A7" w:rsidRDefault="006547A7" w:rsidP="006547A7">
            <w:pPr>
              <w:rPr>
                <w:rFonts w:cs="Arial"/>
              </w:rPr>
            </w:pPr>
          </w:p>
        </w:tc>
        <w:tc>
          <w:tcPr>
            <w:tcW w:w="3192" w:type="dxa"/>
            <w:vMerge/>
          </w:tcPr>
          <w:p w14:paraId="5FC05DE8" w14:textId="77777777" w:rsidR="006547A7" w:rsidRPr="006547A7" w:rsidRDefault="006547A7" w:rsidP="006547A7">
            <w:pPr>
              <w:rPr>
                <w:rFonts w:cs="Arial"/>
              </w:rPr>
            </w:pPr>
          </w:p>
        </w:tc>
        <w:tc>
          <w:tcPr>
            <w:tcW w:w="3192" w:type="dxa"/>
          </w:tcPr>
          <w:p w14:paraId="71DF8517" w14:textId="63263782" w:rsidR="006547A7" w:rsidRPr="006547A7" w:rsidRDefault="006547A7" w:rsidP="006547A7">
            <w:pPr>
              <w:rPr>
                <w:rFonts w:cs="Arial"/>
              </w:rPr>
            </w:pPr>
            <w:r w:rsidRPr="006547A7">
              <w:rPr>
                <w:rFonts w:cs="Arial"/>
              </w:rPr>
              <w:t>Уртикария</w:t>
            </w:r>
          </w:p>
        </w:tc>
      </w:tr>
      <w:tr w:rsidR="006547A7" w14:paraId="755C5BAF" w14:textId="77777777" w:rsidTr="004E363A">
        <w:tc>
          <w:tcPr>
            <w:tcW w:w="3192" w:type="dxa"/>
          </w:tcPr>
          <w:p w14:paraId="0684DBA2" w14:textId="4053D2D9" w:rsidR="006547A7" w:rsidRPr="006547A7" w:rsidRDefault="006547A7" w:rsidP="006547A7">
            <w:pPr>
              <w:rPr>
                <w:rFonts w:cs="Arial"/>
              </w:rPr>
            </w:pPr>
            <w:r w:rsidRPr="006547A7">
              <w:rPr>
                <w:rFonts w:cs="Arial"/>
              </w:rPr>
              <w:t>Нарушения на мускулно-скелетната система и съединителната тъкан</w:t>
            </w:r>
          </w:p>
        </w:tc>
        <w:tc>
          <w:tcPr>
            <w:tcW w:w="3192" w:type="dxa"/>
          </w:tcPr>
          <w:p w14:paraId="31EA880E" w14:textId="6ACCAD04" w:rsidR="006547A7" w:rsidRPr="006547A7" w:rsidRDefault="006547A7" w:rsidP="006547A7">
            <w:pPr>
              <w:rPr>
                <w:rFonts w:cs="Arial"/>
              </w:rPr>
            </w:pPr>
            <w:r w:rsidRPr="006547A7">
              <w:rPr>
                <w:rFonts w:cs="Arial"/>
              </w:rPr>
              <w:t>Нечести</w:t>
            </w:r>
          </w:p>
        </w:tc>
        <w:tc>
          <w:tcPr>
            <w:tcW w:w="3192" w:type="dxa"/>
          </w:tcPr>
          <w:p w14:paraId="0D724F64" w14:textId="491658A8" w:rsidR="006547A7" w:rsidRPr="006547A7" w:rsidRDefault="006547A7" w:rsidP="006547A7">
            <w:pPr>
              <w:rPr>
                <w:rFonts w:cs="Arial"/>
              </w:rPr>
            </w:pPr>
            <w:r w:rsidRPr="006547A7">
              <w:rPr>
                <w:rFonts w:cs="Arial"/>
              </w:rPr>
              <w:t>Мускулни спазми</w:t>
            </w:r>
          </w:p>
        </w:tc>
      </w:tr>
      <w:tr w:rsidR="006547A7" w14:paraId="25DB3897" w14:textId="77777777" w:rsidTr="004E363A">
        <w:tc>
          <w:tcPr>
            <w:tcW w:w="3192" w:type="dxa"/>
          </w:tcPr>
          <w:p w14:paraId="733636CA" w14:textId="7953F593" w:rsidR="006547A7" w:rsidRPr="006547A7" w:rsidRDefault="006547A7" w:rsidP="006547A7">
            <w:pPr>
              <w:rPr>
                <w:rFonts w:cs="Arial"/>
              </w:rPr>
            </w:pPr>
            <w:r w:rsidRPr="006547A7">
              <w:rPr>
                <w:rFonts w:cs="Arial"/>
              </w:rPr>
              <w:t>Нарушения бъбреците и пикочните пътища</w:t>
            </w:r>
          </w:p>
        </w:tc>
        <w:tc>
          <w:tcPr>
            <w:tcW w:w="3192" w:type="dxa"/>
          </w:tcPr>
          <w:p w14:paraId="01E0EB15" w14:textId="250112B9" w:rsidR="006547A7" w:rsidRPr="006547A7" w:rsidRDefault="006547A7" w:rsidP="006547A7">
            <w:pPr>
              <w:rPr>
                <w:rFonts w:cs="Arial"/>
              </w:rPr>
            </w:pPr>
            <w:r w:rsidRPr="006547A7">
              <w:rPr>
                <w:rFonts w:cs="Arial"/>
              </w:rPr>
              <w:t>Нечести</w:t>
            </w:r>
          </w:p>
        </w:tc>
        <w:tc>
          <w:tcPr>
            <w:tcW w:w="3192" w:type="dxa"/>
          </w:tcPr>
          <w:p w14:paraId="2CA7364F" w14:textId="353802AC" w:rsidR="006547A7" w:rsidRPr="006547A7" w:rsidRDefault="006547A7" w:rsidP="006547A7">
            <w:pPr>
              <w:rPr>
                <w:rFonts w:cs="Arial"/>
              </w:rPr>
            </w:pPr>
            <w:r w:rsidRPr="006547A7">
              <w:rPr>
                <w:rFonts w:cs="Arial"/>
              </w:rPr>
              <w:t>Повишен креатинин в кръвта</w:t>
            </w:r>
          </w:p>
        </w:tc>
      </w:tr>
      <w:tr w:rsidR="006547A7" w14:paraId="29A6A27F" w14:textId="77777777" w:rsidTr="006547A7">
        <w:trPr>
          <w:trHeight w:val="193"/>
        </w:trPr>
        <w:tc>
          <w:tcPr>
            <w:tcW w:w="3192" w:type="dxa"/>
            <w:vMerge w:val="restart"/>
          </w:tcPr>
          <w:p w14:paraId="6616B2B3" w14:textId="40CB548E" w:rsidR="006547A7" w:rsidRPr="006547A7" w:rsidRDefault="006547A7" w:rsidP="006547A7">
            <w:pPr>
              <w:rPr>
                <w:rFonts w:cs="Arial"/>
              </w:rPr>
            </w:pPr>
            <w:r w:rsidRPr="006547A7">
              <w:rPr>
                <w:rFonts w:cs="Arial"/>
              </w:rPr>
              <w:t>Общи нарушения и ефекти на мястото на приложение</w:t>
            </w:r>
          </w:p>
        </w:tc>
        <w:tc>
          <w:tcPr>
            <w:tcW w:w="3192" w:type="dxa"/>
            <w:vMerge w:val="restart"/>
          </w:tcPr>
          <w:p w14:paraId="0FD25F90" w14:textId="53779DC8" w:rsidR="006547A7" w:rsidRPr="006547A7" w:rsidRDefault="006547A7" w:rsidP="006547A7">
            <w:pPr>
              <w:rPr>
                <w:rFonts w:cs="Arial"/>
              </w:rPr>
            </w:pPr>
            <w:r w:rsidRPr="006547A7">
              <w:rPr>
                <w:rFonts w:cs="Arial"/>
              </w:rPr>
              <w:t>Нечести*</w:t>
            </w:r>
          </w:p>
        </w:tc>
        <w:tc>
          <w:tcPr>
            <w:tcW w:w="3192" w:type="dxa"/>
          </w:tcPr>
          <w:p w14:paraId="14A8C552" w14:textId="2EECE576" w:rsidR="006547A7" w:rsidRPr="006547A7" w:rsidRDefault="006547A7" w:rsidP="006547A7">
            <w:pPr>
              <w:rPr>
                <w:rFonts w:cs="Arial"/>
              </w:rPr>
            </w:pPr>
            <w:r w:rsidRPr="006547A7">
              <w:rPr>
                <w:rFonts w:cs="Arial"/>
              </w:rPr>
              <w:t>Астения, вероятно свързана с брадикардия</w:t>
            </w:r>
          </w:p>
        </w:tc>
      </w:tr>
      <w:tr w:rsidR="006547A7" w14:paraId="6CB1D5B6" w14:textId="77777777" w:rsidTr="004E363A">
        <w:tc>
          <w:tcPr>
            <w:tcW w:w="3192" w:type="dxa"/>
            <w:vMerge/>
          </w:tcPr>
          <w:p w14:paraId="78B4B574" w14:textId="77777777" w:rsidR="006547A7" w:rsidRPr="006547A7" w:rsidRDefault="006547A7" w:rsidP="006547A7">
            <w:pPr>
              <w:rPr>
                <w:rFonts w:cs="Arial"/>
              </w:rPr>
            </w:pPr>
          </w:p>
        </w:tc>
        <w:tc>
          <w:tcPr>
            <w:tcW w:w="3192" w:type="dxa"/>
            <w:vMerge/>
          </w:tcPr>
          <w:p w14:paraId="47A222BE" w14:textId="77777777" w:rsidR="006547A7" w:rsidRPr="006547A7" w:rsidRDefault="006547A7" w:rsidP="006547A7">
            <w:pPr>
              <w:rPr>
                <w:rFonts w:cs="Arial"/>
              </w:rPr>
            </w:pPr>
          </w:p>
        </w:tc>
        <w:tc>
          <w:tcPr>
            <w:tcW w:w="3192" w:type="dxa"/>
          </w:tcPr>
          <w:p w14:paraId="321BB9C0" w14:textId="512BB79C" w:rsidR="006547A7" w:rsidRPr="006547A7" w:rsidRDefault="006547A7" w:rsidP="006547A7">
            <w:pPr>
              <w:rPr>
                <w:rFonts w:cs="Arial"/>
              </w:rPr>
            </w:pPr>
            <w:r w:rsidRPr="006547A7">
              <w:rPr>
                <w:rFonts w:cs="Arial"/>
              </w:rPr>
              <w:t>Умора, вероятно свързана с брадикардия</w:t>
            </w:r>
          </w:p>
        </w:tc>
      </w:tr>
      <w:tr w:rsidR="006547A7" w14:paraId="42218759" w14:textId="77777777" w:rsidTr="004E363A">
        <w:tc>
          <w:tcPr>
            <w:tcW w:w="3192" w:type="dxa"/>
            <w:vMerge/>
          </w:tcPr>
          <w:p w14:paraId="7D609496" w14:textId="77777777" w:rsidR="006547A7" w:rsidRPr="006547A7" w:rsidRDefault="006547A7" w:rsidP="006547A7">
            <w:pPr>
              <w:rPr>
                <w:rFonts w:cs="Arial"/>
              </w:rPr>
            </w:pPr>
          </w:p>
        </w:tc>
        <w:tc>
          <w:tcPr>
            <w:tcW w:w="3192" w:type="dxa"/>
          </w:tcPr>
          <w:p w14:paraId="7D3126DD" w14:textId="152FAA0D" w:rsidR="006547A7" w:rsidRPr="006547A7" w:rsidRDefault="006547A7" w:rsidP="006547A7">
            <w:pPr>
              <w:rPr>
                <w:rFonts w:cs="Arial"/>
              </w:rPr>
            </w:pPr>
            <w:r w:rsidRPr="006547A7">
              <w:rPr>
                <w:rFonts w:cs="Arial"/>
              </w:rPr>
              <w:t>Редки*</w:t>
            </w:r>
          </w:p>
        </w:tc>
        <w:tc>
          <w:tcPr>
            <w:tcW w:w="3192" w:type="dxa"/>
          </w:tcPr>
          <w:p w14:paraId="61ACED89" w14:textId="609B680C" w:rsidR="006547A7" w:rsidRPr="006547A7" w:rsidRDefault="006547A7" w:rsidP="006547A7">
            <w:pPr>
              <w:rPr>
                <w:rFonts w:cs="Arial"/>
              </w:rPr>
            </w:pPr>
            <w:r w:rsidRPr="006547A7">
              <w:rPr>
                <w:rFonts w:cs="Arial"/>
              </w:rPr>
              <w:t>Прималяване, вероятно свързано с брадикардия</w:t>
            </w:r>
          </w:p>
        </w:tc>
      </w:tr>
    </w:tbl>
    <w:p w14:paraId="03FC221E" w14:textId="0A79C500" w:rsidR="006547A7" w:rsidRPr="006547A7" w:rsidRDefault="006547A7" w:rsidP="006547A7">
      <w:pPr>
        <w:spacing w:line="240" w:lineRule="auto"/>
        <w:rPr>
          <w:rFonts w:eastAsia="Times New Roman" w:cs="Arial"/>
        </w:rPr>
      </w:pPr>
      <w:r w:rsidRPr="006547A7">
        <w:rPr>
          <w:rFonts w:eastAsia="Times New Roman" w:cs="Arial"/>
          <w:color w:val="000000"/>
          <w:lang w:eastAsia="bg-BG"/>
        </w:rPr>
        <w:t>*Честота на нежелани събития от спонтанни съобщения, изчислена при клинични изпитвания</w:t>
      </w:r>
    </w:p>
    <w:p w14:paraId="669A5904" w14:textId="77777777" w:rsidR="006547A7" w:rsidRPr="006547A7" w:rsidRDefault="006547A7" w:rsidP="006547A7">
      <w:pPr>
        <w:spacing w:line="240" w:lineRule="auto"/>
        <w:rPr>
          <w:rFonts w:eastAsia="Times New Roman" w:cs="Arial"/>
          <w:color w:val="000000"/>
          <w:u w:val="single"/>
          <w:lang w:eastAsia="bg-BG"/>
        </w:rPr>
      </w:pPr>
    </w:p>
    <w:p w14:paraId="7AB57D63" w14:textId="6B84F43B" w:rsidR="006547A7" w:rsidRPr="006547A7" w:rsidRDefault="006547A7" w:rsidP="006547A7">
      <w:pPr>
        <w:spacing w:line="240" w:lineRule="auto"/>
        <w:rPr>
          <w:rFonts w:eastAsia="Times New Roman" w:cs="Arial"/>
        </w:rPr>
      </w:pPr>
      <w:r w:rsidRPr="006547A7">
        <w:rPr>
          <w:rFonts w:eastAsia="Times New Roman" w:cs="Arial"/>
          <w:color w:val="000000"/>
          <w:u w:val="single"/>
          <w:lang w:eastAsia="bg-BG"/>
        </w:rPr>
        <w:t>Описание на избрани нежелани лекарствени реакции</w:t>
      </w:r>
    </w:p>
    <w:p w14:paraId="1F982A6A" w14:textId="77777777" w:rsidR="006547A7" w:rsidRPr="006547A7" w:rsidRDefault="006547A7" w:rsidP="006547A7">
      <w:pPr>
        <w:spacing w:line="240" w:lineRule="auto"/>
        <w:rPr>
          <w:rFonts w:eastAsia="Times New Roman" w:cs="Arial"/>
        </w:rPr>
      </w:pPr>
      <w:r w:rsidRPr="006547A7">
        <w:rPr>
          <w:rFonts w:eastAsia="Times New Roman" w:cs="Arial"/>
          <w:color w:val="000000"/>
          <w:lang w:eastAsia="bg-BG"/>
        </w:rPr>
        <w:t>Светлинни феномени (фосфени) са съобщавани при 14,5% от пациентите, описани като преходна увеличена яркост в ограничена зона от зрителното поле. Те обикновено се отключват от внезапни промени в интензитета на светлината. Фосфените могат също да бъдат описани като ореол, разпадане на изображението (стробоскопски или калейдоскопски ефекти), цветни ярки светлини или двойно виждане (ретинална персистенция). Появата на фосфени обичайно се случва през първите два месеца от лечението, след което те могат да се проявяват многократно. В повечето случаи се съобщава за фосфени с лек до умерен интензитет. Всички фосфени преминават по време на или след лечението, като по-голямата част от тях (77,5%) отшумяват по време на лечението. По-малко от 1% от пациентите са променили ежедневните си навици или са преустановили лечението във връзка с фосфени.</w:t>
      </w:r>
    </w:p>
    <w:p w14:paraId="5CF3BD3D" w14:textId="77777777" w:rsidR="006547A7" w:rsidRPr="006547A7" w:rsidRDefault="006547A7" w:rsidP="006547A7">
      <w:pPr>
        <w:spacing w:line="240" w:lineRule="auto"/>
        <w:rPr>
          <w:rFonts w:eastAsia="Times New Roman" w:cs="Arial"/>
          <w:color w:val="000000"/>
          <w:lang w:eastAsia="bg-BG"/>
        </w:rPr>
      </w:pPr>
    </w:p>
    <w:p w14:paraId="2B9FEA45" w14:textId="4A55E9B6" w:rsidR="006547A7" w:rsidRPr="006547A7" w:rsidRDefault="006547A7" w:rsidP="006547A7">
      <w:pPr>
        <w:spacing w:line="240" w:lineRule="auto"/>
        <w:rPr>
          <w:rFonts w:eastAsia="Times New Roman" w:cs="Arial"/>
        </w:rPr>
      </w:pPr>
      <w:r w:rsidRPr="006547A7">
        <w:rPr>
          <w:rFonts w:eastAsia="Times New Roman" w:cs="Arial"/>
          <w:color w:val="000000"/>
          <w:lang w:eastAsia="bg-BG"/>
        </w:rPr>
        <w:t>Брадикардия е съобщавана при 3,3% от пациетите, особено през първите 2 до 3 месеца от лечението. 0,5% от пациентите са получили тежка брадикардия 40 или по-малко удара/минута.</w:t>
      </w:r>
    </w:p>
    <w:p w14:paraId="27197780" w14:textId="77777777" w:rsidR="006547A7" w:rsidRPr="006547A7" w:rsidRDefault="006547A7" w:rsidP="006547A7">
      <w:pPr>
        <w:spacing w:line="240" w:lineRule="auto"/>
        <w:rPr>
          <w:rFonts w:eastAsia="Times New Roman" w:cs="Arial"/>
          <w:color w:val="000000"/>
          <w:lang w:eastAsia="bg-BG"/>
        </w:rPr>
      </w:pPr>
    </w:p>
    <w:p w14:paraId="7E0006B5" w14:textId="77777777" w:rsidR="006547A7" w:rsidRPr="006547A7" w:rsidRDefault="006547A7" w:rsidP="006547A7">
      <w:pPr>
        <w:spacing w:line="240" w:lineRule="auto"/>
        <w:rPr>
          <w:rFonts w:eastAsia="Times New Roman" w:cs="Arial"/>
          <w:color w:val="000000"/>
          <w:lang w:eastAsia="bg-BG"/>
        </w:rPr>
      </w:pPr>
      <w:r w:rsidRPr="006547A7">
        <w:rPr>
          <w:rFonts w:eastAsia="Times New Roman" w:cs="Arial"/>
          <w:color w:val="000000"/>
          <w:lang w:eastAsia="bg-BG"/>
        </w:rPr>
        <w:t xml:space="preserve">В проучването </w:t>
      </w:r>
      <w:r w:rsidRPr="006547A7">
        <w:rPr>
          <w:rFonts w:eastAsia="Times New Roman" w:cs="Arial"/>
          <w:color w:val="000000"/>
          <w:lang w:val="en-US"/>
        </w:rPr>
        <w:t>SIGNIFY</w:t>
      </w:r>
      <w:r w:rsidRPr="006547A7">
        <w:rPr>
          <w:rFonts w:eastAsia="Times New Roman" w:cs="Arial"/>
          <w:color w:val="000000"/>
          <w:lang w:val="ru-RU"/>
        </w:rPr>
        <w:t xml:space="preserve"> </w:t>
      </w:r>
      <w:r w:rsidRPr="006547A7">
        <w:rPr>
          <w:rFonts w:eastAsia="Times New Roman" w:cs="Arial"/>
          <w:color w:val="000000"/>
          <w:lang w:eastAsia="bg-BG"/>
        </w:rPr>
        <w:t xml:space="preserve">предсърдно мъждене е наблюдавано при 5,3% от пациентите, които приемат ивабрадин, в сравнение с 3,8% </w:t>
      </w:r>
      <w:r w:rsidRPr="006547A7">
        <w:rPr>
          <w:rFonts w:eastAsia="Times New Roman" w:cs="Arial"/>
          <w:i/>
          <w:iCs/>
          <w:color w:val="000000"/>
          <w:lang w:eastAsia="bg-BG"/>
        </w:rPr>
        <w:t>в групата на плацебо.</w:t>
      </w:r>
      <w:r w:rsidRPr="006547A7">
        <w:rPr>
          <w:rFonts w:eastAsia="Times New Roman" w:cs="Arial"/>
          <w:color w:val="000000"/>
          <w:lang w:eastAsia="bg-BG"/>
        </w:rPr>
        <w:t xml:space="preserve"> В сборни анализи на всички двойнослепи контролирани клинични изпитвания Фаза </w:t>
      </w:r>
      <w:r w:rsidRPr="006547A7">
        <w:rPr>
          <w:rFonts w:eastAsia="Times New Roman" w:cs="Arial"/>
          <w:color w:val="000000"/>
          <w:lang w:val="en-US"/>
        </w:rPr>
        <w:t>II</w:t>
      </w:r>
      <w:r w:rsidRPr="006547A7">
        <w:rPr>
          <w:rFonts w:eastAsia="Times New Roman" w:cs="Arial"/>
          <w:color w:val="000000"/>
          <w:lang w:eastAsia="bg-BG"/>
        </w:rPr>
        <w:t>/</w:t>
      </w:r>
      <w:r w:rsidRPr="006547A7">
        <w:rPr>
          <w:rFonts w:eastAsia="Times New Roman" w:cs="Arial"/>
          <w:color w:val="000000"/>
          <w:lang w:val="en-US"/>
        </w:rPr>
        <w:t>III</w:t>
      </w:r>
      <w:r w:rsidRPr="006547A7">
        <w:rPr>
          <w:rFonts w:eastAsia="Times New Roman" w:cs="Arial"/>
          <w:color w:val="000000"/>
          <w:lang w:eastAsia="bg-BG"/>
        </w:rPr>
        <w:t xml:space="preserve"> с продължителност </w:t>
      </w:r>
      <w:r w:rsidRPr="006547A7">
        <w:rPr>
          <w:rFonts w:eastAsia="Times New Roman" w:cs="Arial"/>
          <w:color w:val="000000"/>
          <w:lang w:eastAsia="bg-BG"/>
        </w:rPr>
        <w:lastRenderedPageBreak/>
        <w:t xml:space="preserve">поне 3 месеца, обхващащи повече от 40 000 пациента, честотата на предсърдно мъждене е била 4,86% при пациентите, лекувани с ивабрадин, в </w:t>
      </w:r>
    </w:p>
    <w:p w14:paraId="30EB10AA" w14:textId="170A3781" w:rsidR="006547A7" w:rsidRPr="006547A7" w:rsidRDefault="006547A7" w:rsidP="006547A7">
      <w:pPr>
        <w:spacing w:line="240" w:lineRule="auto"/>
        <w:rPr>
          <w:rFonts w:eastAsia="Times New Roman" w:cs="Arial"/>
        </w:rPr>
      </w:pPr>
      <w:r w:rsidRPr="006547A7">
        <w:rPr>
          <w:rFonts w:eastAsia="Times New Roman" w:cs="Arial"/>
          <w:color w:val="000000"/>
          <w:lang w:eastAsia="bg-BG"/>
        </w:rPr>
        <w:t xml:space="preserve">сравнение с 4,08% при контролите, което съответства на коефициент на риска от 1,26, 95% </w:t>
      </w:r>
      <w:r w:rsidRPr="006547A7">
        <w:rPr>
          <w:rFonts w:eastAsia="Times New Roman" w:cs="Arial"/>
          <w:color w:val="000000"/>
          <w:lang w:val="en-US"/>
        </w:rPr>
        <w:t>CI</w:t>
      </w:r>
      <w:r w:rsidRPr="006547A7">
        <w:rPr>
          <w:rFonts w:eastAsia="Times New Roman" w:cs="Arial"/>
          <w:color w:val="000000"/>
          <w:lang w:val="ru-RU"/>
        </w:rPr>
        <w:t xml:space="preserve"> </w:t>
      </w:r>
      <w:r w:rsidRPr="006547A7">
        <w:rPr>
          <w:rFonts w:eastAsia="Times New Roman" w:cs="Arial"/>
          <w:color w:val="000000"/>
          <w:lang w:eastAsia="bg-BG"/>
        </w:rPr>
        <w:t>[1,15-1,39].</w:t>
      </w:r>
    </w:p>
    <w:p w14:paraId="59980456" w14:textId="77777777" w:rsidR="006547A7" w:rsidRPr="006547A7" w:rsidRDefault="006547A7" w:rsidP="006547A7">
      <w:pPr>
        <w:rPr>
          <w:rFonts w:eastAsia="Times New Roman" w:cs="Arial"/>
          <w:color w:val="000000"/>
          <w:lang w:eastAsia="bg-BG"/>
        </w:rPr>
      </w:pPr>
    </w:p>
    <w:p w14:paraId="4C473023" w14:textId="37EB3D4C" w:rsidR="006547A7" w:rsidRPr="006547A7" w:rsidRDefault="006547A7" w:rsidP="006547A7">
      <w:pPr>
        <w:rPr>
          <w:rFonts w:eastAsia="Times New Roman" w:cs="Arial"/>
          <w:color w:val="000000"/>
          <w:lang w:eastAsia="bg-BG"/>
        </w:rPr>
      </w:pPr>
      <w:r w:rsidRPr="006547A7">
        <w:rPr>
          <w:rFonts w:eastAsia="Times New Roman" w:cs="Arial"/>
          <w:color w:val="000000"/>
          <w:lang w:eastAsia="bg-BG"/>
        </w:rPr>
        <w:t xml:space="preserve">В проучването </w:t>
      </w:r>
      <w:r w:rsidRPr="006547A7">
        <w:rPr>
          <w:rFonts w:eastAsia="Times New Roman" w:cs="Arial"/>
          <w:color w:val="000000"/>
          <w:lang w:val="en-US"/>
        </w:rPr>
        <w:t>SHIFT</w:t>
      </w:r>
      <w:r w:rsidRPr="006547A7">
        <w:rPr>
          <w:rFonts w:eastAsia="Times New Roman" w:cs="Arial"/>
          <w:color w:val="000000"/>
          <w:lang w:val="ru-RU"/>
        </w:rPr>
        <w:t xml:space="preserve"> </w:t>
      </w:r>
      <w:r w:rsidRPr="006547A7">
        <w:rPr>
          <w:rFonts w:eastAsia="Times New Roman" w:cs="Arial"/>
          <w:color w:val="000000"/>
          <w:lang w:eastAsia="bg-BG"/>
        </w:rPr>
        <w:t>повече пациенти са имали епизоди на повишено кръвно налягане по време на лечение с ивабрадин (7,1%) в сравнение с пациентите, лекувани с плацебо (6,1%). Тези епизоди се появяват най-често скоро след промяна на лечението на кръвното налягане, преходни са и не повлияват лечебния ефект на ивабрадин.</w:t>
      </w:r>
    </w:p>
    <w:p w14:paraId="569B4F38" w14:textId="1F3B038B" w:rsidR="006547A7" w:rsidRPr="006547A7" w:rsidRDefault="006547A7" w:rsidP="006547A7">
      <w:pPr>
        <w:rPr>
          <w:rFonts w:eastAsia="Times New Roman" w:cs="Arial"/>
          <w:color w:val="000000"/>
          <w:lang w:eastAsia="bg-BG"/>
        </w:rPr>
      </w:pPr>
    </w:p>
    <w:p w14:paraId="046775A4" w14:textId="77777777" w:rsidR="006547A7" w:rsidRPr="006547A7" w:rsidRDefault="006547A7" w:rsidP="006547A7">
      <w:pPr>
        <w:spacing w:line="240" w:lineRule="auto"/>
        <w:rPr>
          <w:rFonts w:eastAsia="Times New Roman" w:cs="Arial"/>
        </w:rPr>
      </w:pPr>
      <w:r w:rsidRPr="006547A7">
        <w:rPr>
          <w:rFonts w:eastAsia="Times New Roman" w:cs="Arial"/>
          <w:color w:val="000000"/>
          <w:u w:val="single"/>
          <w:lang w:eastAsia="bg-BG"/>
        </w:rPr>
        <w:t>Съобщаване на подозирани нежелани реакции</w:t>
      </w:r>
    </w:p>
    <w:p w14:paraId="1018C7E8" w14:textId="77777777" w:rsidR="006547A7" w:rsidRPr="006547A7" w:rsidRDefault="006547A7" w:rsidP="006547A7">
      <w:pPr>
        <w:spacing w:line="240" w:lineRule="auto"/>
        <w:rPr>
          <w:rFonts w:eastAsia="Times New Roman" w:cs="Arial"/>
        </w:rPr>
      </w:pPr>
      <w:r w:rsidRPr="006547A7">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 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w:t>
      </w:r>
    </w:p>
    <w:p w14:paraId="21B9D305" w14:textId="77777777" w:rsidR="006547A7" w:rsidRPr="006547A7" w:rsidRDefault="006547A7" w:rsidP="006547A7">
      <w:pPr>
        <w:spacing w:line="240" w:lineRule="auto"/>
        <w:rPr>
          <w:rFonts w:eastAsia="Times New Roman" w:cs="Arial"/>
        </w:rPr>
      </w:pPr>
      <w:r w:rsidRPr="006547A7">
        <w:rPr>
          <w:rFonts w:eastAsia="Times New Roman" w:cs="Arial"/>
          <w:color w:val="000000"/>
          <w:lang w:eastAsia="bg-BG"/>
        </w:rPr>
        <w:t>Изпълнителна агенция по лекарствата</w:t>
      </w:r>
    </w:p>
    <w:p w14:paraId="70E12215" w14:textId="77777777" w:rsidR="006547A7" w:rsidRPr="006547A7" w:rsidRDefault="006547A7" w:rsidP="006547A7">
      <w:pPr>
        <w:spacing w:line="240" w:lineRule="auto"/>
        <w:rPr>
          <w:rFonts w:eastAsia="Times New Roman" w:cs="Arial"/>
        </w:rPr>
      </w:pPr>
      <w:r w:rsidRPr="006547A7">
        <w:rPr>
          <w:rFonts w:eastAsia="Times New Roman" w:cs="Arial"/>
          <w:color w:val="000000"/>
          <w:lang w:eastAsia="bg-BG"/>
        </w:rPr>
        <w:t>ул.,Дамян Груев” № 8</w:t>
      </w:r>
    </w:p>
    <w:p w14:paraId="07E57379" w14:textId="77777777" w:rsidR="006547A7" w:rsidRPr="006547A7" w:rsidRDefault="006547A7" w:rsidP="006547A7">
      <w:pPr>
        <w:spacing w:line="240" w:lineRule="auto"/>
        <w:rPr>
          <w:rFonts w:eastAsia="Times New Roman" w:cs="Arial"/>
        </w:rPr>
      </w:pPr>
      <w:r w:rsidRPr="006547A7">
        <w:rPr>
          <w:rFonts w:eastAsia="Times New Roman" w:cs="Arial"/>
          <w:color w:val="000000"/>
          <w:lang w:eastAsia="bg-BG"/>
        </w:rPr>
        <w:t>1303 София</w:t>
      </w:r>
    </w:p>
    <w:p w14:paraId="088B958B" w14:textId="77777777" w:rsidR="006547A7" w:rsidRPr="006547A7" w:rsidRDefault="006547A7" w:rsidP="006547A7">
      <w:pPr>
        <w:spacing w:line="240" w:lineRule="auto"/>
        <w:rPr>
          <w:rFonts w:eastAsia="Times New Roman" w:cs="Arial"/>
        </w:rPr>
      </w:pPr>
      <w:r w:rsidRPr="006547A7">
        <w:rPr>
          <w:rFonts w:eastAsia="Times New Roman" w:cs="Arial"/>
          <w:color w:val="000000"/>
          <w:lang w:eastAsia="bg-BG"/>
        </w:rPr>
        <w:t>Тел.:+359 2 890 3417</w:t>
      </w:r>
    </w:p>
    <w:p w14:paraId="6DF4ABE4" w14:textId="77777777" w:rsidR="006547A7" w:rsidRPr="006547A7" w:rsidRDefault="006547A7" w:rsidP="006547A7">
      <w:pPr>
        <w:spacing w:line="240" w:lineRule="auto"/>
        <w:rPr>
          <w:rFonts w:eastAsia="Times New Roman" w:cs="Arial"/>
        </w:rPr>
      </w:pPr>
      <w:r w:rsidRPr="006547A7">
        <w:rPr>
          <w:rFonts w:eastAsia="Times New Roman" w:cs="Arial"/>
          <w:color w:val="000000"/>
          <w:lang w:eastAsia="bg-BG"/>
        </w:rPr>
        <w:t xml:space="preserve">уебсайт: </w:t>
      </w:r>
      <w:r w:rsidRPr="006547A7">
        <w:rPr>
          <w:rFonts w:eastAsia="Times New Roman" w:cs="Arial"/>
        </w:rPr>
        <w:fldChar w:fldCharType="begin"/>
      </w:r>
      <w:r w:rsidRPr="006547A7">
        <w:rPr>
          <w:rFonts w:eastAsia="Times New Roman" w:cs="Arial"/>
        </w:rPr>
        <w:instrText xml:space="preserve"> HYPERLINK "http://www.bda.bg" </w:instrText>
      </w:r>
      <w:r w:rsidRPr="006547A7">
        <w:rPr>
          <w:rFonts w:eastAsia="Times New Roman" w:cs="Arial"/>
        </w:rPr>
      </w:r>
      <w:r w:rsidRPr="006547A7">
        <w:rPr>
          <w:rFonts w:eastAsia="Times New Roman" w:cs="Arial"/>
        </w:rPr>
        <w:fldChar w:fldCharType="separate"/>
      </w:r>
      <w:r w:rsidRPr="006547A7">
        <w:rPr>
          <w:rFonts w:eastAsia="Times New Roman" w:cs="Arial"/>
          <w:color w:val="000000"/>
          <w:u w:val="single"/>
          <w:lang w:val="en-US"/>
        </w:rPr>
        <w:t>www</w:t>
      </w:r>
      <w:r w:rsidRPr="006547A7">
        <w:rPr>
          <w:rFonts w:eastAsia="Times New Roman" w:cs="Arial"/>
          <w:color w:val="000000"/>
          <w:u w:val="single"/>
          <w:lang w:val="ru-RU"/>
        </w:rPr>
        <w:t>.</w:t>
      </w:r>
      <w:proofErr w:type="spellStart"/>
      <w:r w:rsidRPr="006547A7">
        <w:rPr>
          <w:rFonts w:eastAsia="Times New Roman" w:cs="Arial"/>
          <w:color w:val="000000"/>
          <w:u w:val="single"/>
          <w:lang w:val="en-US"/>
        </w:rPr>
        <w:t>bda</w:t>
      </w:r>
      <w:proofErr w:type="spellEnd"/>
      <w:r w:rsidRPr="006547A7">
        <w:rPr>
          <w:rFonts w:eastAsia="Times New Roman" w:cs="Arial"/>
          <w:color w:val="000000"/>
          <w:u w:val="single"/>
          <w:lang w:val="ru-RU"/>
        </w:rPr>
        <w:t>.</w:t>
      </w:r>
      <w:proofErr w:type="spellStart"/>
      <w:r w:rsidRPr="006547A7">
        <w:rPr>
          <w:rFonts w:eastAsia="Times New Roman" w:cs="Arial"/>
          <w:color w:val="000000"/>
          <w:u w:val="single"/>
          <w:lang w:val="en-US"/>
        </w:rPr>
        <w:t>bg</w:t>
      </w:r>
      <w:proofErr w:type="spellEnd"/>
      <w:r w:rsidRPr="006547A7">
        <w:rPr>
          <w:rFonts w:eastAsia="Times New Roman" w:cs="Arial"/>
        </w:rPr>
        <w:fldChar w:fldCharType="end"/>
      </w:r>
    </w:p>
    <w:p w14:paraId="3603AA10" w14:textId="77777777" w:rsidR="006547A7" w:rsidRPr="004E363A" w:rsidRDefault="006547A7" w:rsidP="006547A7"/>
    <w:p w14:paraId="5A87DBA3" w14:textId="11D5283F" w:rsidR="007122AD" w:rsidRDefault="002C50EE" w:rsidP="00936AD0">
      <w:pPr>
        <w:pStyle w:val="Heading2"/>
      </w:pPr>
      <w:r>
        <w:t>4.9. Предозиране</w:t>
      </w:r>
    </w:p>
    <w:p w14:paraId="3975AA44" w14:textId="7211C113" w:rsidR="006547A7" w:rsidRDefault="006547A7" w:rsidP="006547A7"/>
    <w:p w14:paraId="4DCDAB64" w14:textId="77777777" w:rsidR="006547A7" w:rsidRPr="006547A7" w:rsidRDefault="006547A7" w:rsidP="006547A7">
      <w:pPr>
        <w:pStyle w:val="Heading3"/>
        <w:rPr>
          <w:rFonts w:eastAsia="Times New Roman"/>
          <w:sz w:val="28"/>
          <w:u w:val="single"/>
        </w:rPr>
      </w:pPr>
      <w:r w:rsidRPr="006547A7">
        <w:rPr>
          <w:rFonts w:eastAsia="Times New Roman"/>
          <w:u w:val="single"/>
          <w:lang w:eastAsia="bg-BG"/>
        </w:rPr>
        <w:t>Симптоми</w:t>
      </w:r>
    </w:p>
    <w:p w14:paraId="6634EA86"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Предозирането може да причини тежка и продължителна брадикардия (вижте точка 4.8).</w:t>
      </w:r>
    </w:p>
    <w:p w14:paraId="75DD4D67" w14:textId="77777777" w:rsidR="006547A7" w:rsidRPr="006547A7" w:rsidRDefault="006547A7" w:rsidP="006547A7">
      <w:pPr>
        <w:spacing w:line="240" w:lineRule="auto"/>
        <w:rPr>
          <w:rFonts w:eastAsia="Times New Roman" w:cs="Arial"/>
          <w:color w:val="000000"/>
          <w:szCs w:val="20"/>
          <w:u w:val="single"/>
          <w:lang w:eastAsia="bg-BG"/>
        </w:rPr>
      </w:pPr>
    </w:p>
    <w:p w14:paraId="171616A9" w14:textId="76DC20A5" w:rsidR="006547A7" w:rsidRPr="006547A7" w:rsidRDefault="006547A7" w:rsidP="006547A7">
      <w:pPr>
        <w:pStyle w:val="Heading3"/>
        <w:rPr>
          <w:rFonts w:eastAsia="Times New Roman"/>
          <w:sz w:val="28"/>
          <w:u w:val="single"/>
        </w:rPr>
      </w:pPr>
      <w:r w:rsidRPr="006547A7">
        <w:rPr>
          <w:rFonts w:eastAsia="Times New Roman"/>
          <w:u w:val="single"/>
          <w:lang w:eastAsia="bg-BG"/>
        </w:rPr>
        <w:t>Овладяване на симптомите</w:t>
      </w:r>
    </w:p>
    <w:p w14:paraId="45700E29"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Тежката брадикардия трябва да бъде лекувана симптоматично в специализирани условия. В случай на брадикардия с лоша хемодинамична поносимост може да бъде обсъдено симптоматично лечение, включващо интравенозни бета-стимулиращи лекарствени продукти като изопреналин. При нужда може да се предприеме временна сърдечна електростимулация.</w:t>
      </w:r>
    </w:p>
    <w:p w14:paraId="2E28F5F5" w14:textId="77777777" w:rsidR="006547A7" w:rsidRPr="006547A7" w:rsidRDefault="006547A7" w:rsidP="006547A7"/>
    <w:p w14:paraId="02081B24" w14:textId="1F46E296" w:rsidR="00395555" w:rsidRPr="00395555" w:rsidRDefault="002C50EE" w:rsidP="008A6AF2">
      <w:pPr>
        <w:pStyle w:val="Heading1"/>
      </w:pPr>
      <w:r>
        <w:t>5. ФАРМАКОЛОГИЧНИ СВОЙСТВА</w:t>
      </w:r>
    </w:p>
    <w:p w14:paraId="7DE36AC8" w14:textId="29A64EBD" w:rsidR="00B6672E" w:rsidRDefault="002C50EE" w:rsidP="00936AD0">
      <w:pPr>
        <w:pStyle w:val="Heading2"/>
      </w:pPr>
      <w:r>
        <w:t>5.1. Фармакодинамични свойства</w:t>
      </w:r>
    </w:p>
    <w:p w14:paraId="6C2765E0" w14:textId="3E7C2B93" w:rsidR="006547A7" w:rsidRDefault="006547A7" w:rsidP="006547A7"/>
    <w:p w14:paraId="0D314218"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Фармакотерапевтична група: Лечение на сърдечни заболявалия, други сърдечни препарати, АТС код:С01ЕВ17.</w:t>
      </w:r>
    </w:p>
    <w:p w14:paraId="6814B78D" w14:textId="77777777" w:rsidR="006547A7" w:rsidRPr="006547A7" w:rsidRDefault="006547A7" w:rsidP="006547A7">
      <w:pPr>
        <w:spacing w:line="240" w:lineRule="auto"/>
        <w:rPr>
          <w:rFonts w:eastAsia="Times New Roman" w:cs="Arial"/>
          <w:color w:val="000000"/>
          <w:szCs w:val="20"/>
          <w:u w:val="single"/>
          <w:lang w:eastAsia="bg-BG"/>
        </w:rPr>
      </w:pPr>
    </w:p>
    <w:p w14:paraId="35C14AFE" w14:textId="26500D23"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u w:val="single"/>
          <w:lang w:eastAsia="bg-BG"/>
        </w:rPr>
        <w:t>Механизъм на действие</w:t>
      </w:r>
    </w:p>
    <w:p w14:paraId="3CA08124" w14:textId="7DD29321" w:rsidR="006547A7" w:rsidRPr="006547A7" w:rsidRDefault="006547A7" w:rsidP="006547A7">
      <w:pPr>
        <w:rPr>
          <w:rFonts w:eastAsia="Times New Roman" w:cs="Arial"/>
          <w:color w:val="000000"/>
          <w:szCs w:val="20"/>
          <w:lang w:eastAsia="bg-BG"/>
        </w:rPr>
      </w:pPr>
      <w:r w:rsidRPr="006547A7">
        <w:rPr>
          <w:rFonts w:eastAsia="Times New Roman" w:cs="Arial"/>
          <w:color w:val="000000"/>
          <w:szCs w:val="20"/>
          <w:lang w:eastAsia="bg-BG"/>
        </w:rPr>
        <w:t xml:space="preserve">Ивабрадин е средство единствено за понижаване на сърдечната честота, което действа чрез селективно и специфично инхибиране на електрическия </w:t>
      </w:r>
      <w:r w:rsidRPr="006547A7">
        <w:rPr>
          <w:rFonts w:eastAsia="Times New Roman" w:cs="Arial"/>
          <w:color w:val="000000"/>
          <w:szCs w:val="20"/>
          <w:lang w:val="en-US"/>
        </w:rPr>
        <w:t>I</w:t>
      </w:r>
      <w:r w:rsidRPr="006547A7">
        <w:rPr>
          <w:rFonts w:eastAsia="Times New Roman" w:cs="Arial"/>
          <w:color w:val="000000"/>
          <w:szCs w:val="20"/>
          <w:vertAlign w:val="subscript"/>
          <w:lang w:val="en-US"/>
        </w:rPr>
        <w:t>f</w:t>
      </w:r>
      <w:r w:rsidRPr="006547A7">
        <w:rPr>
          <w:rFonts w:eastAsia="Times New Roman" w:cs="Arial"/>
          <w:color w:val="000000"/>
          <w:szCs w:val="20"/>
          <w:lang w:val="ru-RU"/>
        </w:rPr>
        <w:t xml:space="preserve"> </w:t>
      </w:r>
      <w:r w:rsidRPr="006547A7">
        <w:rPr>
          <w:rFonts w:eastAsia="Times New Roman" w:cs="Arial"/>
          <w:color w:val="000000"/>
          <w:szCs w:val="20"/>
          <w:lang w:eastAsia="bg-BG"/>
        </w:rPr>
        <w:t>поток на сърдечния пейсмейкър, който контролира спонтанната диастолна деполяризация в синусовия възел и регулира сърдечната честота. Сърдечните ефекти са специфични за синусовия възел без ефекти върху интраартериалното, атриовентрикуларното или интравентрикуларното проводно време нито върху миокардния контрактилитет или камерната реполяризация.</w:t>
      </w:r>
    </w:p>
    <w:p w14:paraId="1263634F" w14:textId="09E58D2B" w:rsidR="006547A7" w:rsidRPr="006547A7" w:rsidRDefault="006547A7" w:rsidP="006547A7">
      <w:pPr>
        <w:rPr>
          <w:rFonts w:eastAsia="Times New Roman" w:cs="Arial"/>
          <w:color w:val="000000"/>
          <w:szCs w:val="20"/>
          <w:lang w:eastAsia="bg-BG"/>
        </w:rPr>
      </w:pPr>
    </w:p>
    <w:p w14:paraId="703FECB2"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Ивабрадин може също да взаимодейства с електрическия </w:t>
      </w:r>
      <w:proofErr w:type="spellStart"/>
      <w:r w:rsidRPr="006547A7">
        <w:rPr>
          <w:rFonts w:eastAsia="Times New Roman" w:cs="Arial"/>
          <w:color w:val="000000"/>
          <w:szCs w:val="20"/>
          <w:lang w:val="en-US"/>
        </w:rPr>
        <w:t>I</w:t>
      </w:r>
      <w:r w:rsidRPr="006547A7">
        <w:rPr>
          <w:rFonts w:eastAsia="Times New Roman" w:cs="Arial"/>
          <w:color w:val="000000"/>
          <w:szCs w:val="20"/>
          <w:vertAlign w:val="subscript"/>
          <w:lang w:val="en-US"/>
        </w:rPr>
        <w:t>h</w:t>
      </w:r>
      <w:proofErr w:type="spellEnd"/>
      <w:r w:rsidRPr="006547A7">
        <w:rPr>
          <w:rFonts w:eastAsia="Times New Roman" w:cs="Arial"/>
          <w:color w:val="000000"/>
          <w:szCs w:val="20"/>
          <w:lang w:eastAsia="bg-BG"/>
        </w:rPr>
        <w:t xml:space="preserve"> поток в ретината, който е много сходен със сърдечния </w:t>
      </w:r>
      <w:r w:rsidRPr="006547A7">
        <w:rPr>
          <w:rFonts w:eastAsia="Times New Roman" w:cs="Arial"/>
          <w:color w:val="000000"/>
          <w:szCs w:val="20"/>
          <w:lang w:val="en-US"/>
        </w:rPr>
        <w:t>I</w:t>
      </w:r>
      <w:r w:rsidRPr="006547A7">
        <w:rPr>
          <w:rFonts w:eastAsia="Times New Roman" w:cs="Arial"/>
          <w:color w:val="000000"/>
          <w:szCs w:val="20"/>
          <w:vertAlign w:val="subscript"/>
          <w:lang w:val="en-US"/>
        </w:rPr>
        <w:t>f</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Той участва в темпоралната резолюция на зрителната система чрез скъсяване на ретиналния отговор към ярки светлинни стимули. При провокиращи обстоятелства (например бърза промяна в яркостта) частичната експозиция на </w:t>
      </w:r>
      <w:proofErr w:type="spellStart"/>
      <w:r w:rsidRPr="006547A7">
        <w:rPr>
          <w:rFonts w:eastAsia="Times New Roman" w:cs="Arial"/>
          <w:color w:val="000000"/>
          <w:szCs w:val="20"/>
          <w:lang w:val="en-US"/>
        </w:rPr>
        <w:t>I</w:t>
      </w:r>
      <w:r w:rsidRPr="006547A7">
        <w:rPr>
          <w:rFonts w:eastAsia="Times New Roman" w:cs="Arial"/>
          <w:color w:val="000000"/>
          <w:szCs w:val="20"/>
          <w:vertAlign w:val="subscript"/>
          <w:lang w:val="en-US"/>
        </w:rPr>
        <w:t>h</w:t>
      </w:r>
      <w:proofErr w:type="spellEnd"/>
      <w:r w:rsidRPr="006547A7">
        <w:rPr>
          <w:rFonts w:eastAsia="Times New Roman" w:cs="Arial"/>
          <w:color w:val="000000"/>
          <w:szCs w:val="20"/>
          <w:lang w:eastAsia="bg-BG"/>
        </w:rPr>
        <w:t xml:space="preserve"> от ивабрадин засилва светлинните феномени, които понякога могат да бъдат изпитани от пациентите. Светлинните феномени (фосфени) се описват като преходно увеличаване на яркостта в ограничени зони на зрителното поле (вижте точка 4.8).</w:t>
      </w:r>
    </w:p>
    <w:p w14:paraId="77BCB4C2" w14:textId="77777777" w:rsidR="006547A7" w:rsidRPr="006547A7" w:rsidRDefault="006547A7" w:rsidP="006547A7">
      <w:pPr>
        <w:spacing w:line="240" w:lineRule="auto"/>
        <w:rPr>
          <w:rFonts w:eastAsia="Times New Roman" w:cs="Arial"/>
          <w:color w:val="000000"/>
          <w:szCs w:val="20"/>
          <w:u w:val="single"/>
          <w:lang w:eastAsia="bg-BG"/>
        </w:rPr>
      </w:pPr>
    </w:p>
    <w:p w14:paraId="5F686B56" w14:textId="0257A760"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u w:val="single"/>
          <w:lang w:eastAsia="bg-BG"/>
        </w:rPr>
        <w:t>Фармакодинамични ефекти</w:t>
      </w:r>
    </w:p>
    <w:p w14:paraId="43EABA0D"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Основното фармакодинамично свойство на ивабрадин при хора е специфичното дозозависимо понижение на сърдечната честота. Анализът на пониженията на сърдечната честота при дози до 20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два пъти дневно показва тенденция към плато-ефект, който съответства на понижен риск от тежка брадикардия под 40 уд./ мин. (вижте точка 4.8).</w:t>
      </w:r>
    </w:p>
    <w:p w14:paraId="743581F2" w14:textId="77777777" w:rsidR="006547A7" w:rsidRPr="006547A7" w:rsidRDefault="006547A7" w:rsidP="006547A7">
      <w:pPr>
        <w:spacing w:line="240" w:lineRule="auto"/>
        <w:rPr>
          <w:rFonts w:eastAsia="Times New Roman" w:cs="Arial"/>
          <w:color w:val="000000"/>
          <w:szCs w:val="20"/>
          <w:lang w:eastAsia="bg-BG"/>
        </w:rPr>
      </w:pPr>
      <w:r w:rsidRPr="006547A7">
        <w:rPr>
          <w:rFonts w:eastAsia="Times New Roman" w:cs="Arial"/>
          <w:color w:val="000000"/>
          <w:szCs w:val="20"/>
          <w:lang w:eastAsia="bg-BG"/>
        </w:rPr>
        <w:t>При обичайните препоръчителни дози понижението на сърдечната честота е с приблизително 10 уд./ мин. в покой и при физическо натоварване. Това води до понижение на сърдечното натоварване и консумация на кислород от миокарда. Ивабрадин не повлиява вътресърдечната проводимост, контрактилитета (няма негативен инотропен ефект) или камерната реполяризация:</w:t>
      </w:r>
    </w:p>
    <w:p w14:paraId="61D0AF60" w14:textId="77777777" w:rsidR="006547A7" w:rsidRPr="006547A7" w:rsidRDefault="006547A7" w:rsidP="006547A7">
      <w:pPr>
        <w:pStyle w:val="ListParagraph"/>
        <w:numPr>
          <w:ilvl w:val="0"/>
          <w:numId w:val="40"/>
        </w:numPr>
        <w:spacing w:line="240" w:lineRule="auto"/>
        <w:rPr>
          <w:rFonts w:eastAsia="Times New Roman" w:cs="Arial"/>
          <w:sz w:val="28"/>
          <w:szCs w:val="24"/>
        </w:rPr>
      </w:pPr>
      <w:r w:rsidRPr="006547A7">
        <w:rPr>
          <w:rFonts w:eastAsia="Times New Roman" w:cs="Arial"/>
          <w:color w:val="000000"/>
          <w:szCs w:val="20"/>
          <w:lang w:eastAsia="bg-BG"/>
        </w:rPr>
        <w:t xml:space="preserve">при клинични електрофизиологични проучвания ивабрадин не оказва влияние върху атриовентрикуларното или интравентрикуларното проводно време или коригираните </w:t>
      </w:r>
      <w:r w:rsidRPr="006547A7">
        <w:rPr>
          <w:rFonts w:eastAsia="Times New Roman" w:cs="Arial"/>
          <w:color w:val="000000"/>
          <w:szCs w:val="20"/>
          <w:lang w:val="en-US"/>
        </w:rPr>
        <w:t>QT</w:t>
      </w:r>
      <w:r w:rsidRPr="006547A7">
        <w:rPr>
          <w:rFonts w:eastAsia="Times New Roman" w:cs="Arial"/>
          <w:color w:val="000000"/>
          <w:szCs w:val="20"/>
          <w:lang w:val="ru-RU"/>
        </w:rPr>
        <w:t xml:space="preserve"> </w:t>
      </w:r>
      <w:r w:rsidRPr="006547A7">
        <w:rPr>
          <w:rFonts w:eastAsia="Times New Roman" w:cs="Arial"/>
          <w:color w:val="000000"/>
          <w:szCs w:val="20"/>
          <w:lang w:eastAsia="bg-BG"/>
        </w:rPr>
        <w:t>интервали;</w:t>
      </w:r>
    </w:p>
    <w:p w14:paraId="08F50EA2" w14:textId="7D19CCBF" w:rsidR="006547A7" w:rsidRPr="006547A7" w:rsidRDefault="006547A7" w:rsidP="006547A7">
      <w:pPr>
        <w:pStyle w:val="ListParagraph"/>
        <w:numPr>
          <w:ilvl w:val="0"/>
          <w:numId w:val="40"/>
        </w:numPr>
        <w:spacing w:line="240" w:lineRule="auto"/>
        <w:rPr>
          <w:rFonts w:eastAsia="Times New Roman" w:cs="Arial"/>
          <w:sz w:val="28"/>
          <w:szCs w:val="24"/>
        </w:rPr>
      </w:pPr>
      <w:r w:rsidRPr="006547A7">
        <w:rPr>
          <w:rFonts w:eastAsia="Times New Roman" w:cs="Arial"/>
          <w:color w:val="000000"/>
          <w:szCs w:val="20"/>
          <w:lang w:eastAsia="bg-BG"/>
        </w:rPr>
        <w:t xml:space="preserve">при пациенти с левокармерна дисфункция (левокамерна изтлаксваща фракция </w:t>
      </w:r>
      <w:r w:rsidRPr="006547A7">
        <w:rPr>
          <w:rFonts w:eastAsia="Times New Roman" w:cs="Arial"/>
          <w:color w:val="000000"/>
          <w:szCs w:val="20"/>
          <w:lang w:val="ru-RU"/>
        </w:rPr>
        <w:t>(</w:t>
      </w:r>
      <w:r w:rsidRPr="006547A7">
        <w:rPr>
          <w:rFonts w:eastAsia="Times New Roman" w:cs="Arial"/>
          <w:color w:val="000000"/>
          <w:szCs w:val="20"/>
          <w:lang w:val="en-US"/>
        </w:rPr>
        <w:t>LVEF</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между 30 и 45%) ивабрадин няма неблагоприятен ефект върху </w:t>
      </w:r>
      <w:r w:rsidRPr="006547A7">
        <w:rPr>
          <w:rFonts w:eastAsia="Times New Roman" w:cs="Arial"/>
          <w:color w:val="000000"/>
          <w:szCs w:val="20"/>
          <w:lang w:val="en-US"/>
        </w:rPr>
        <w:t>LVEF</w:t>
      </w:r>
      <w:r w:rsidRPr="006547A7">
        <w:rPr>
          <w:rFonts w:eastAsia="Times New Roman" w:cs="Arial"/>
          <w:color w:val="000000"/>
          <w:szCs w:val="20"/>
          <w:lang w:val="ru-RU"/>
        </w:rPr>
        <w:t>.</w:t>
      </w:r>
    </w:p>
    <w:p w14:paraId="59B867FC" w14:textId="77777777" w:rsidR="006547A7" w:rsidRPr="006547A7" w:rsidRDefault="006547A7" w:rsidP="006547A7">
      <w:pPr>
        <w:spacing w:line="240" w:lineRule="auto"/>
        <w:rPr>
          <w:rFonts w:eastAsia="Times New Roman" w:cs="Arial"/>
          <w:color w:val="000000"/>
          <w:szCs w:val="20"/>
          <w:u w:val="single"/>
          <w:lang w:eastAsia="bg-BG"/>
        </w:rPr>
      </w:pPr>
    </w:p>
    <w:p w14:paraId="3C3F011E" w14:textId="1D6F8119"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u w:val="single"/>
          <w:lang w:eastAsia="bg-BG"/>
        </w:rPr>
        <w:t>Клинична ефикасност и безопасност</w:t>
      </w:r>
    </w:p>
    <w:p w14:paraId="581AB271"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Антиангинозната и антиисхемичната активност на ивабрадин са проучени при пет двойнослепи рандомизирани изпитвания (три спрямо плацебо и по едно спрямо атенолол и амлодипин). Тези изпитвания обхващат общо 4 111 пациента с хронична стабилна стенокардия, от които 2 617 са получавали ивабрадин.</w:t>
      </w:r>
    </w:p>
    <w:p w14:paraId="6EA36F81" w14:textId="77777777" w:rsidR="006547A7" w:rsidRPr="006547A7" w:rsidRDefault="006547A7" w:rsidP="006547A7">
      <w:pPr>
        <w:spacing w:line="240" w:lineRule="auto"/>
        <w:rPr>
          <w:rFonts w:eastAsia="Times New Roman" w:cs="Arial"/>
          <w:color w:val="000000"/>
          <w:szCs w:val="20"/>
          <w:lang w:eastAsia="bg-BG"/>
        </w:rPr>
      </w:pPr>
    </w:p>
    <w:p w14:paraId="1BD53880" w14:textId="77777777" w:rsidR="006547A7" w:rsidRPr="006547A7" w:rsidRDefault="006547A7" w:rsidP="006547A7">
      <w:pPr>
        <w:rPr>
          <w:rFonts w:eastAsia="Times New Roman" w:cs="Arial"/>
          <w:sz w:val="28"/>
          <w:szCs w:val="24"/>
        </w:rPr>
      </w:pPr>
      <w:r w:rsidRPr="006547A7">
        <w:rPr>
          <w:rFonts w:eastAsia="Times New Roman" w:cs="Arial"/>
          <w:color w:val="000000"/>
          <w:szCs w:val="20"/>
          <w:lang w:eastAsia="bg-BG"/>
        </w:rPr>
        <w:t xml:space="preserve">Ивабрадин 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е показал ефективност при изпитваните параметри за натоварване в рамките на 3 до 4 седмици от лечението. Ефикасността е потвърдена при 7,5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По-специално, допълнителната полза спрямо 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е установена в сравнително контролирано проучване спрямо атенолол: общата продължителност на физическото натоварване е била увеличена около 1 минута след един месец лечение с 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и допълнително подобрена с приблизително 25 секунди след допълнителен 3-месечен период на лечение след директно преминаване на 7,5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В това проучване антиангинозните и антиисхемичните ползи от ивабрадин са потвърдени при пациенти на 65 години или повече. Ефикасността на 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и 7,5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два пъти дневно върху параметрите на</w:t>
      </w:r>
      <w:r w:rsidRPr="006547A7">
        <w:rPr>
          <w:rFonts w:eastAsia="Times New Roman" w:cs="Arial"/>
          <w:color w:val="000000"/>
          <w:szCs w:val="20"/>
          <w:lang w:val="ru-RU" w:eastAsia="bg-BG"/>
        </w:rPr>
        <w:t xml:space="preserve"> </w:t>
      </w:r>
      <w:r w:rsidRPr="006547A7">
        <w:rPr>
          <w:rFonts w:eastAsia="Times New Roman" w:cs="Arial"/>
          <w:color w:val="000000"/>
          <w:szCs w:val="20"/>
          <w:lang w:eastAsia="bg-BG"/>
        </w:rPr>
        <w:t xml:space="preserve">теста за натоварване (обща продължителност на натоварването, време до достигане на лимитираща стенокардия, време до начало на стенокардия и време до достигане на </w:t>
      </w:r>
      <w:r w:rsidRPr="006547A7">
        <w:rPr>
          <w:rFonts w:eastAsia="Times New Roman" w:cs="Arial"/>
          <w:color w:val="000000"/>
          <w:szCs w:val="20"/>
          <w:lang w:val="en-US"/>
        </w:rPr>
        <w:t>ST</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депресия от 1 </w:t>
      </w:r>
      <w:r w:rsidRPr="006547A7">
        <w:rPr>
          <w:rFonts w:eastAsia="Times New Roman" w:cs="Arial"/>
          <w:color w:val="000000"/>
          <w:szCs w:val="20"/>
          <w:lang w:val="en-US"/>
        </w:rPr>
        <w:t>mm</w:t>
      </w:r>
      <w:r w:rsidRPr="006547A7">
        <w:rPr>
          <w:rFonts w:eastAsia="Times New Roman" w:cs="Arial"/>
          <w:color w:val="000000"/>
          <w:szCs w:val="20"/>
          <w:lang w:val="ru-RU"/>
        </w:rPr>
        <w:t xml:space="preserve">) </w:t>
      </w:r>
      <w:r w:rsidRPr="006547A7">
        <w:rPr>
          <w:rFonts w:eastAsia="Times New Roman" w:cs="Arial"/>
          <w:color w:val="000000"/>
          <w:szCs w:val="20"/>
          <w:lang w:eastAsia="bg-BG"/>
        </w:rPr>
        <w:t>е постоянна във всички проучвания и е свързана с понижение на ангинозните пристъпи с около 70%. При двукратен дневен прием ивабрадин има постоянна 24-часова активност.</w:t>
      </w:r>
    </w:p>
    <w:p w14:paraId="0EDDF51B" w14:textId="77777777" w:rsidR="006547A7" w:rsidRPr="006547A7" w:rsidRDefault="006547A7" w:rsidP="006547A7">
      <w:pPr>
        <w:spacing w:line="240" w:lineRule="auto"/>
        <w:rPr>
          <w:rFonts w:eastAsia="Times New Roman" w:cs="Arial"/>
          <w:color w:val="000000"/>
          <w:szCs w:val="20"/>
          <w:lang w:eastAsia="bg-BG"/>
        </w:rPr>
      </w:pPr>
    </w:p>
    <w:p w14:paraId="5DE553C0" w14:textId="2EB27276"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При рандомизирано плацебо контролирано проучване, обхващащо 889 пациента, ивабрадин, добавен към 50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атенолол веднъж дневно е показал допълнителна </w:t>
      </w:r>
      <w:r w:rsidRPr="006547A7">
        <w:rPr>
          <w:rFonts w:eastAsia="Times New Roman" w:cs="Arial"/>
          <w:color w:val="000000"/>
          <w:szCs w:val="20"/>
          <w:lang w:eastAsia="bg-BG"/>
        </w:rPr>
        <w:lastRenderedPageBreak/>
        <w:t>ефикасност при всички параметри на стрес-теста в края на дозовия интервал на лекарствената активност (12 часа след перорален прием).</w:t>
      </w:r>
    </w:p>
    <w:p w14:paraId="451FFA7D" w14:textId="77777777" w:rsidR="006547A7" w:rsidRPr="006547A7" w:rsidRDefault="006547A7" w:rsidP="006547A7">
      <w:pPr>
        <w:spacing w:line="240" w:lineRule="auto"/>
        <w:rPr>
          <w:rFonts w:eastAsia="Times New Roman" w:cs="Arial"/>
          <w:color w:val="000000"/>
          <w:szCs w:val="20"/>
          <w:lang w:eastAsia="bg-BG"/>
        </w:rPr>
      </w:pPr>
    </w:p>
    <w:p w14:paraId="41CAD101" w14:textId="7410D749"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При рандомизирано плацебо контролирано проучване, обхващащо 725 пациента, ивабрадин не е показал допълнителна ефикасност, когато е добавен към 10 </w:t>
      </w:r>
      <w:r w:rsidRPr="006547A7">
        <w:rPr>
          <w:rFonts w:eastAsia="Times New Roman" w:cs="Arial"/>
          <w:color w:val="000000"/>
          <w:szCs w:val="20"/>
          <w:lang w:val="en-US"/>
        </w:rPr>
        <w:t>mg</w:t>
      </w:r>
      <w:r w:rsidRPr="006547A7">
        <w:rPr>
          <w:rFonts w:eastAsia="Times New Roman" w:cs="Arial"/>
          <w:color w:val="000000"/>
          <w:szCs w:val="20"/>
          <w:lang w:eastAsia="bg-BG"/>
        </w:rPr>
        <w:t xml:space="preserve"> амлодипин веднъж дневно в края на дозовия интервал на лекарствената активност (12 часа след перорален прием), но е показал допълнителна ефикасност при пика (3-4 часа след перорален прием).</w:t>
      </w:r>
    </w:p>
    <w:p w14:paraId="0D6C1326" w14:textId="77777777" w:rsidR="006547A7" w:rsidRPr="006547A7" w:rsidRDefault="006547A7" w:rsidP="006547A7">
      <w:pPr>
        <w:spacing w:line="240" w:lineRule="auto"/>
        <w:rPr>
          <w:rFonts w:eastAsia="Times New Roman" w:cs="Arial"/>
          <w:color w:val="000000"/>
          <w:szCs w:val="20"/>
          <w:lang w:eastAsia="bg-BG"/>
        </w:rPr>
      </w:pPr>
    </w:p>
    <w:p w14:paraId="1CC0EE8E" w14:textId="76D967B2"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При рандомизирано плацебо контролирано проучване, обхващащо 1277 пациента, ивабрадин демонстрира статистически значима допълнителна ефикасност по отношение отговора към лечението (дефиниран като понижение с най-малко 3 ангинозни пристъпа на седмица и/ или повишение на времето до достигане на </w:t>
      </w:r>
      <w:r w:rsidRPr="006547A7">
        <w:rPr>
          <w:rFonts w:eastAsia="Times New Roman" w:cs="Arial"/>
          <w:color w:val="000000"/>
          <w:szCs w:val="20"/>
          <w:lang w:val="en-US"/>
        </w:rPr>
        <w:t>ST</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депресия от 1 </w:t>
      </w:r>
      <w:r w:rsidRPr="006547A7">
        <w:rPr>
          <w:rFonts w:eastAsia="Times New Roman" w:cs="Arial"/>
          <w:color w:val="000000"/>
          <w:szCs w:val="20"/>
          <w:lang w:val="en-US"/>
        </w:rPr>
        <w:t>mm</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с най-малко 60 секунди по време на стрес-теста с бягаща пътека), когато е добавен към 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амлодипин веднъж дневно или 30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нифедипин </w:t>
      </w:r>
      <w:r w:rsidRPr="006547A7">
        <w:rPr>
          <w:rFonts w:eastAsia="Times New Roman" w:cs="Arial"/>
          <w:color w:val="000000"/>
          <w:szCs w:val="20"/>
          <w:lang w:val="en-US"/>
        </w:rPr>
        <w:t>GITS</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веднъж дневно при най-ниската лекарствена активност (12 часа след перорален прием на ивабрадин) в рамките на 6-седмичен период на лечение </w:t>
      </w:r>
      <w:r w:rsidRPr="006547A7">
        <w:rPr>
          <w:rFonts w:eastAsia="Times New Roman" w:cs="Arial"/>
          <w:color w:val="000000"/>
          <w:szCs w:val="20"/>
          <w:lang w:val="ru-RU"/>
        </w:rPr>
        <w:t>(</w:t>
      </w:r>
      <w:r w:rsidRPr="006547A7">
        <w:rPr>
          <w:rFonts w:eastAsia="Times New Roman" w:cs="Arial"/>
          <w:color w:val="000000"/>
          <w:szCs w:val="20"/>
          <w:lang w:val="en-US"/>
        </w:rPr>
        <w:t>OR</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 1,3, 95% </w:t>
      </w:r>
      <w:r w:rsidRPr="006547A7">
        <w:rPr>
          <w:rFonts w:eastAsia="Times New Roman" w:cs="Arial"/>
          <w:color w:val="000000"/>
          <w:szCs w:val="20"/>
          <w:lang w:val="en-US"/>
        </w:rPr>
        <w:t>CI</w:t>
      </w:r>
      <w:r w:rsidRPr="006547A7">
        <w:rPr>
          <w:rFonts w:eastAsia="Times New Roman" w:cs="Arial"/>
          <w:color w:val="000000"/>
          <w:szCs w:val="20"/>
          <w:lang w:val="ru-RU"/>
        </w:rPr>
        <w:t xml:space="preserve"> </w:t>
      </w:r>
      <w:r w:rsidRPr="006547A7">
        <w:rPr>
          <w:rFonts w:eastAsia="Times New Roman" w:cs="Arial"/>
          <w:color w:val="000000"/>
          <w:szCs w:val="20"/>
          <w:lang w:eastAsia="bg-BG"/>
        </w:rPr>
        <w:t>[1,0-1,7]; р=0,012). Ивабрадин не показва допълнителна ефикасност върху вторичните крайни точки на параметрите на стрес-теста при най-ниската лекарствена активност, но показва допълнителна ефикасност при пика (3-4 часа след перорален прием на ивабрадин).</w:t>
      </w:r>
    </w:p>
    <w:p w14:paraId="2EA02111" w14:textId="77777777" w:rsidR="006547A7" w:rsidRPr="006547A7" w:rsidRDefault="006547A7" w:rsidP="006547A7">
      <w:pPr>
        <w:spacing w:line="240" w:lineRule="auto"/>
        <w:rPr>
          <w:rFonts w:eastAsia="Times New Roman" w:cs="Arial"/>
          <w:color w:val="000000"/>
          <w:szCs w:val="20"/>
          <w:lang w:eastAsia="bg-BG"/>
        </w:rPr>
      </w:pPr>
    </w:p>
    <w:p w14:paraId="308C733C" w14:textId="06275979"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Ефикасността на ивабрадин се запазва изцяло през 3- или 4-месечния период на лечение при изпитванията за ефикасност. Няма данни за развитие на фармакологичен толеранс (загуба на ефикасност) по време на лечението, нито за рефункционален феномен след рязко преустановяване на лечението. Антиангинозните и антиисхемичните ефекти на ивабрадин се свързват с дозозависими понижения на сърдечната честота и със значимо понижение на съотношението честота/ налягане (сърдечна честота х систолично кръвно налягане) в покой и при физическо натоварване. Ефектите върху кръвното налягане и периферното съдово съпротивление са били минимални и без клинично значение.</w:t>
      </w:r>
    </w:p>
    <w:p w14:paraId="71AE9E6B" w14:textId="77777777" w:rsidR="006547A7" w:rsidRPr="006547A7" w:rsidRDefault="006547A7" w:rsidP="006547A7">
      <w:pPr>
        <w:spacing w:line="240" w:lineRule="auto"/>
        <w:rPr>
          <w:rFonts w:eastAsia="Times New Roman" w:cs="Arial"/>
          <w:color w:val="000000"/>
          <w:szCs w:val="20"/>
          <w:lang w:eastAsia="bg-BG"/>
        </w:rPr>
      </w:pPr>
    </w:p>
    <w:p w14:paraId="172DA0BD" w14:textId="2C591CB2"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Трайно понижение на сърдечната честота е демонстрирано при пациенти, лекувани ивабрадин в продължение на поне една година (</w:t>
      </w:r>
      <w:r w:rsidRPr="006547A7">
        <w:rPr>
          <w:rFonts w:eastAsia="Times New Roman" w:cs="Arial"/>
          <w:color w:val="000000"/>
          <w:szCs w:val="20"/>
          <w:lang w:val="en-US"/>
        </w:rPr>
        <w:t>n</w:t>
      </w:r>
      <w:r w:rsidRPr="006547A7">
        <w:rPr>
          <w:rFonts w:eastAsia="Times New Roman" w:cs="Arial"/>
          <w:color w:val="000000"/>
          <w:szCs w:val="20"/>
          <w:lang w:eastAsia="bg-BG"/>
        </w:rPr>
        <w:t xml:space="preserve"> = 713). Не е наблюдаван ефект върху кръвната захар и</w:t>
      </w:r>
    </w:p>
    <w:p w14:paraId="0FE29415" w14:textId="53007332" w:rsidR="006547A7" w:rsidRPr="006547A7" w:rsidRDefault="006547A7" w:rsidP="006547A7">
      <w:pPr>
        <w:spacing w:line="240" w:lineRule="auto"/>
        <w:rPr>
          <w:rFonts w:eastAsia="Times New Roman" w:cs="Arial"/>
          <w:color w:val="000000"/>
          <w:szCs w:val="20"/>
          <w:lang w:eastAsia="bg-BG"/>
        </w:rPr>
      </w:pPr>
      <w:r w:rsidRPr="006547A7">
        <w:rPr>
          <w:rFonts w:eastAsia="Times New Roman" w:cs="Arial"/>
          <w:color w:val="000000"/>
          <w:szCs w:val="20"/>
          <w:lang w:eastAsia="bg-BG"/>
        </w:rPr>
        <w:t>липидния метаболизъм.</w:t>
      </w:r>
    </w:p>
    <w:p w14:paraId="5350169C" w14:textId="42804985" w:rsidR="006547A7" w:rsidRPr="006547A7" w:rsidRDefault="006547A7" w:rsidP="006547A7">
      <w:pPr>
        <w:spacing w:line="240" w:lineRule="auto"/>
        <w:rPr>
          <w:rFonts w:eastAsia="Times New Roman" w:cs="Arial"/>
          <w:color w:val="000000"/>
          <w:szCs w:val="20"/>
          <w:lang w:eastAsia="bg-BG"/>
        </w:rPr>
      </w:pPr>
    </w:p>
    <w:p w14:paraId="07A2FEF5"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Антиангинозната и антиисхемичната ефикасност на ивабрадин се запазват при пациенти с диабет (</w:t>
      </w:r>
      <w:r w:rsidRPr="006547A7">
        <w:rPr>
          <w:rFonts w:eastAsia="Times New Roman" w:cs="Arial"/>
          <w:color w:val="000000"/>
          <w:szCs w:val="20"/>
          <w:lang w:val="en-US"/>
        </w:rPr>
        <w:t>n</w:t>
      </w:r>
      <w:r w:rsidRPr="006547A7">
        <w:rPr>
          <w:rFonts w:eastAsia="Times New Roman" w:cs="Arial"/>
          <w:color w:val="000000"/>
          <w:szCs w:val="20"/>
          <w:lang w:eastAsia="bg-BG"/>
        </w:rPr>
        <w:t xml:space="preserve"> = 457) при сходен профил на безопасност с този в общата популация.</w:t>
      </w:r>
    </w:p>
    <w:p w14:paraId="0457C32D" w14:textId="77777777" w:rsidR="006547A7" w:rsidRPr="006547A7" w:rsidRDefault="006547A7" w:rsidP="006547A7">
      <w:pPr>
        <w:spacing w:line="240" w:lineRule="auto"/>
        <w:rPr>
          <w:rFonts w:eastAsia="Times New Roman" w:cs="Arial"/>
          <w:color w:val="000000"/>
          <w:szCs w:val="20"/>
          <w:lang w:eastAsia="bg-BG"/>
        </w:rPr>
      </w:pPr>
    </w:p>
    <w:p w14:paraId="131BACF6" w14:textId="1F4DBCFC"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Проведено е мащабно проучване на заболеваемост-смъртност </w:t>
      </w:r>
      <w:r w:rsidRPr="006547A7">
        <w:rPr>
          <w:rFonts w:eastAsia="Times New Roman" w:cs="Arial"/>
          <w:color w:val="000000"/>
          <w:szCs w:val="20"/>
          <w:lang w:val="en-US"/>
        </w:rPr>
        <w:t>BEAUTIFUL</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при 10 917 пациенти с исхемична болест на сърцето и левокамерна дисфункция </w:t>
      </w:r>
      <w:r w:rsidRPr="006547A7">
        <w:rPr>
          <w:rFonts w:eastAsia="Times New Roman" w:cs="Arial"/>
          <w:color w:val="000000"/>
          <w:szCs w:val="20"/>
          <w:lang w:val="ru-RU"/>
        </w:rPr>
        <w:t>(</w:t>
      </w:r>
      <w:r w:rsidRPr="006547A7">
        <w:rPr>
          <w:rFonts w:eastAsia="Times New Roman" w:cs="Arial"/>
          <w:color w:val="000000"/>
          <w:szCs w:val="20"/>
          <w:lang w:val="en-US"/>
        </w:rPr>
        <w:t>LVEF</w:t>
      </w:r>
      <w:r w:rsidRPr="006547A7">
        <w:rPr>
          <w:rFonts w:eastAsia="Times New Roman" w:cs="Arial"/>
          <w:color w:val="000000"/>
          <w:szCs w:val="20"/>
          <w:lang w:val="ru-RU"/>
        </w:rPr>
        <w:t xml:space="preserve">&lt;40%) </w:t>
      </w:r>
      <w:r w:rsidRPr="006547A7">
        <w:rPr>
          <w:rFonts w:eastAsia="Times New Roman" w:cs="Arial"/>
          <w:color w:val="000000"/>
          <w:szCs w:val="20"/>
          <w:lang w:eastAsia="bg-BG"/>
        </w:rPr>
        <w:t>на фона на оптимално лечение, като 86,9% от пациентите са получавали бета-блокери. Основният критерий за ефикасност е бил комбинация от сърдечно-съдова смърт, хоспитализация при остър инфаркт на миокарда или хоспитализация при отключване или влошаване на сърдечна недостатъчност. Проучването не показва разлики в честотата на първичния комбиниран краен резултат в групата на ивабрадин в сравнение с плацебо групата (относителен риск ивабрадин:плацебо 1,00, р=0,945).</w:t>
      </w:r>
    </w:p>
    <w:p w14:paraId="27C71670"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При </w:t>
      </w:r>
      <w:r w:rsidRPr="006547A7">
        <w:rPr>
          <w:rFonts w:eastAsia="Times New Roman" w:cs="Arial"/>
          <w:color w:val="000000"/>
          <w:szCs w:val="20"/>
          <w:lang w:val="en-US"/>
        </w:rPr>
        <w:t>post</w:t>
      </w:r>
      <w:r w:rsidRPr="006547A7">
        <w:rPr>
          <w:rFonts w:eastAsia="Times New Roman" w:cs="Arial"/>
          <w:color w:val="000000"/>
          <w:szCs w:val="20"/>
          <w:lang w:val="ru-RU"/>
        </w:rPr>
        <w:t>-</w:t>
      </w:r>
      <w:r w:rsidRPr="006547A7">
        <w:rPr>
          <w:rFonts w:eastAsia="Times New Roman" w:cs="Arial"/>
          <w:color w:val="000000"/>
          <w:szCs w:val="20"/>
          <w:lang w:val="en-US"/>
        </w:rPr>
        <w:t>hoc</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подгрупа пациенти със симптоматична стенокардия при рандомизация </w:t>
      </w:r>
      <w:r w:rsidRPr="006547A7">
        <w:rPr>
          <w:rFonts w:eastAsia="Times New Roman" w:cs="Arial"/>
          <w:color w:val="000000"/>
          <w:szCs w:val="20"/>
          <w:lang w:val="ru-RU"/>
        </w:rPr>
        <w:t>(</w:t>
      </w:r>
      <w:r w:rsidRPr="006547A7">
        <w:rPr>
          <w:rFonts w:eastAsia="Times New Roman" w:cs="Arial"/>
          <w:color w:val="000000"/>
          <w:szCs w:val="20"/>
          <w:lang w:val="en-US"/>
        </w:rPr>
        <w:t>n</w:t>
      </w:r>
      <w:r w:rsidRPr="006547A7">
        <w:rPr>
          <w:rFonts w:eastAsia="Times New Roman" w:cs="Arial"/>
          <w:color w:val="000000"/>
          <w:szCs w:val="20"/>
          <w:lang w:val="ru-RU"/>
        </w:rPr>
        <w:t xml:space="preserve"> </w:t>
      </w:r>
      <w:r w:rsidRPr="006547A7">
        <w:rPr>
          <w:rFonts w:eastAsia="Times New Roman" w:cs="Arial"/>
          <w:color w:val="000000"/>
          <w:szCs w:val="20"/>
          <w:lang w:eastAsia="bg-BG"/>
        </w:rPr>
        <w:t>= 1 507), не са установени сигнали, свързани с безопасността по отношение на сърдечно-съдовата смърт, хоспитализацията при остър инфаркт на миокарда и сърдечната недостатъчност (ивабрадин 12,0% спрямо плацебо 15,5%, р=0,05).</w:t>
      </w:r>
    </w:p>
    <w:p w14:paraId="05BEEE5F" w14:textId="77777777" w:rsidR="006547A7" w:rsidRPr="006547A7" w:rsidRDefault="006547A7" w:rsidP="006547A7">
      <w:pPr>
        <w:spacing w:line="240" w:lineRule="auto"/>
        <w:rPr>
          <w:rFonts w:eastAsia="Times New Roman" w:cs="Arial"/>
          <w:color w:val="000000"/>
          <w:szCs w:val="20"/>
          <w:lang w:eastAsia="bg-BG"/>
        </w:rPr>
      </w:pPr>
    </w:p>
    <w:p w14:paraId="1BB47B97" w14:textId="35E74E98"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lastRenderedPageBreak/>
        <w:t xml:space="preserve">Проведено е мащабно проучване на заболеваемост-смъртност </w:t>
      </w:r>
      <w:r w:rsidRPr="006547A7">
        <w:rPr>
          <w:rFonts w:eastAsia="Times New Roman" w:cs="Arial"/>
          <w:color w:val="000000"/>
          <w:szCs w:val="20"/>
          <w:lang w:val="en-US"/>
        </w:rPr>
        <w:t>SIGNIFY</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при 19 102 пациенти с исхемична болест на сърцето и без клинична сърдечна недостатъчност </w:t>
      </w:r>
      <w:r w:rsidRPr="006547A7">
        <w:rPr>
          <w:rFonts w:eastAsia="Times New Roman" w:cs="Arial"/>
          <w:color w:val="000000"/>
          <w:szCs w:val="20"/>
          <w:lang w:val="ru-RU"/>
        </w:rPr>
        <w:t>(</w:t>
      </w:r>
      <w:r w:rsidRPr="006547A7">
        <w:rPr>
          <w:rFonts w:eastAsia="Times New Roman" w:cs="Arial"/>
          <w:color w:val="000000"/>
          <w:szCs w:val="20"/>
          <w:lang w:val="en-US"/>
        </w:rPr>
        <w:t>LVEF</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&gt; 40%) на фона на оптимално лечение. Използвана е по-висока терапевтична схема от одобрената дозировка (начална доза 7,5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при възраст ≥ 75 години) и титриране до 10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два пъти дневно). Основният критерий за ефикасност е бил комбинация от сърдечно</w:t>
      </w:r>
      <w:r w:rsidRPr="006547A7">
        <w:rPr>
          <w:rFonts w:eastAsia="Times New Roman" w:cs="Arial"/>
          <w:color w:val="000000"/>
          <w:szCs w:val="20"/>
          <w:lang w:eastAsia="bg-BG"/>
        </w:rPr>
        <w:softHyphen/>
        <w:t xml:space="preserve">съдова смърт или нефатален инфаркт на миокарда. Проучването не показва разлики в честотата на първичната комбинирана крайна точка (ПККТ) в групата на ивабрадин в сравнение с плацебо групата (относителен риск ивабрадин/ плацебо 1,08, р=0,197). Брадикардия е съобщавана при 17,9% от пациентите в групата на ивабрадин (2,1% в плацебо групата). По време на проучването 7,1 % от пациентите са приемали верапамил, дилтиазем или силни инхибитори на </w:t>
      </w:r>
      <w:r w:rsidRPr="006547A7">
        <w:rPr>
          <w:rFonts w:eastAsia="Times New Roman" w:cs="Arial"/>
          <w:color w:val="000000"/>
          <w:szCs w:val="20"/>
          <w:lang w:val="en-US"/>
        </w:rPr>
        <w:t>CYP</w:t>
      </w:r>
      <w:r w:rsidRPr="006547A7">
        <w:rPr>
          <w:rFonts w:eastAsia="Times New Roman" w:cs="Arial"/>
          <w:color w:val="000000"/>
          <w:szCs w:val="20"/>
          <w:lang w:val="ru-RU"/>
        </w:rPr>
        <w:t>3</w:t>
      </w:r>
      <w:r w:rsidRPr="006547A7">
        <w:rPr>
          <w:rFonts w:eastAsia="Times New Roman" w:cs="Arial"/>
          <w:color w:val="000000"/>
          <w:szCs w:val="20"/>
          <w:lang w:eastAsia="bg-BG"/>
        </w:rPr>
        <w:t>А4.</w:t>
      </w:r>
    </w:p>
    <w:p w14:paraId="75F60C78"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Малко статистически значимо повишение на ПККТ е наблюдавано при предварително определена подгрупа пациенти със стенокардия клас </w:t>
      </w:r>
      <w:r w:rsidRPr="006547A7">
        <w:rPr>
          <w:rFonts w:eastAsia="Times New Roman" w:cs="Arial"/>
          <w:color w:val="000000"/>
          <w:szCs w:val="20"/>
          <w:lang w:val="en-US"/>
        </w:rPr>
        <w:t>II</w:t>
      </w:r>
      <w:r w:rsidRPr="006547A7">
        <w:rPr>
          <w:rFonts w:eastAsia="Times New Roman" w:cs="Arial"/>
          <w:color w:val="000000"/>
          <w:szCs w:val="20"/>
          <w:lang w:eastAsia="bg-BG"/>
        </w:rPr>
        <w:t xml:space="preserve"> или по-висок по </w:t>
      </w:r>
      <w:r w:rsidRPr="006547A7">
        <w:rPr>
          <w:rFonts w:eastAsia="Times New Roman" w:cs="Arial"/>
          <w:color w:val="000000"/>
          <w:szCs w:val="20"/>
          <w:lang w:val="en-US"/>
        </w:rPr>
        <w:t>CCS</w:t>
      </w:r>
      <w:r w:rsidRPr="006547A7">
        <w:rPr>
          <w:rFonts w:eastAsia="Times New Roman" w:cs="Arial"/>
          <w:color w:val="000000"/>
          <w:szCs w:val="20"/>
          <w:lang w:val="ru-RU"/>
        </w:rPr>
        <w:t xml:space="preserve"> </w:t>
      </w:r>
      <w:r w:rsidRPr="006547A7">
        <w:rPr>
          <w:rFonts w:eastAsia="Times New Roman" w:cs="Arial"/>
          <w:color w:val="000000"/>
          <w:szCs w:val="20"/>
          <w:lang w:eastAsia="bg-BG"/>
        </w:rPr>
        <w:t>при включването (</w:t>
      </w:r>
      <w:r w:rsidRPr="006547A7">
        <w:rPr>
          <w:rFonts w:eastAsia="Times New Roman" w:cs="Arial"/>
          <w:color w:val="000000"/>
          <w:szCs w:val="20"/>
          <w:lang w:val="en-US"/>
        </w:rPr>
        <w:t>n</w:t>
      </w:r>
      <w:r w:rsidRPr="006547A7">
        <w:rPr>
          <w:rFonts w:eastAsia="Times New Roman" w:cs="Arial"/>
          <w:color w:val="000000"/>
          <w:szCs w:val="20"/>
          <w:lang w:val="ru-RU"/>
        </w:rPr>
        <w:t>=1</w:t>
      </w:r>
      <w:r w:rsidRPr="006547A7">
        <w:rPr>
          <w:rFonts w:eastAsia="Times New Roman" w:cs="Arial"/>
          <w:color w:val="000000"/>
          <w:szCs w:val="20"/>
          <w:lang w:eastAsia="bg-BG"/>
        </w:rPr>
        <w:t xml:space="preserve">2049) (честота на поява 3,4% спрямо 2,9% годишно, относителен риск ивабрадин/ плацебо 1,18, р=0,018), но не и в подгрупата на общата популация със стенокардия клас ≥ </w:t>
      </w:r>
      <w:r w:rsidRPr="006547A7">
        <w:rPr>
          <w:rFonts w:eastAsia="Times New Roman" w:cs="Arial"/>
          <w:color w:val="000000"/>
          <w:szCs w:val="20"/>
          <w:lang w:val="en-US"/>
        </w:rPr>
        <w:t>I</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по </w:t>
      </w:r>
      <w:r w:rsidRPr="006547A7">
        <w:rPr>
          <w:rFonts w:eastAsia="Times New Roman" w:cs="Arial"/>
          <w:color w:val="000000"/>
          <w:szCs w:val="20"/>
          <w:lang w:val="en-US"/>
        </w:rPr>
        <w:t>CCS</w:t>
      </w:r>
      <w:r w:rsidRPr="006547A7">
        <w:rPr>
          <w:rFonts w:eastAsia="Times New Roman" w:cs="Arial"/>
          <w:color w:val="000000"/>
          <w:szCs w:val="20"/>
          <w:lang w:val="ru-RU"/>
        </w:rPr>
        <w:t xml:space="preserve"> </w:t>
      </w:r>
      <w:r w:rsidRPr="006547A7">
        <w:rPr>
          <w:rFonts w:eastAsia="Times New Roman" w:cs="Arial"/>
          <w:color w:val="000000"/>
          <w:szCs w:val="20"/>
          <w:lang w:eastAsia="bg-BG"/>
        </w:rPr>
        <w:t>(</w:t>
      </w:r>
      <w:r w:rsidRPr="006547A7">
        <w:rPr>
          <w:rFonts w:eastAsia="Times New Roman" w:cs="Arial"/>
          <w:color w:val="000000"/>
          <w:szCs w:val="20"/>
          <w:lang w:val="en-US"/>
        </w:rPr>
        <w:t>n</w:t>
      </w:r>
      <w:r w:rsidRPr="006547A7">
        <w:rPr>
          <w:rFonts w:eastAsia="Times New Roman" w:cs="Arial"/>
          <w:color w:val="000000"/>
          <w:szCs w:val="20"/>
          <w:lang w:eastAsia="bg-BG"/>
        </w:rPr>
        <w:t>=14286) (относителен риск ивабрадин/ плацебо 1,11, р=0,110).</w:t>
      </w:r>
    </w:p>
    <w:p w14:paraId="7B4955C5"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По-високата от одобрената доза, използвана в проучването, не е обяснява изцяло тези изводи.</w:t>
      </w:r>
    </w:p>
    <w:p w14:paraId="7C739F55" w14:textId="77777777" w:rsidR="006547A7" w:rsidRPr="006547A7" w:rsidRDefault="006547A7" w:rsidP="006547A7">
      <w:pPr>
        <w:spacing w:line="240" w:lineRule="auto"/>
        <w:rPr>
          <w:rFonts w:eastAsia="Times New Roman" w:cs="Arial"/>
          <w:color w:val="000000"/>
          <w:szCs w:val="20"/>
          <w:lang w:eastAsia="bg-BG"/>
        </w:rPr>
      </w:pPr>
    </w:p>
    <w:p w14:paraId="476C6246" w14:textId="08CB5B20"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Проучването </w:t>
      </w:r>
      <w:r w:rsidRPr="006547A7">
        <w:rPr>
          <w:rFonts w:eastAsia="Times New Roman" w:cs="Arial"/>
          <w:color w:val="000000"/>
          <w:szCs w:val="20"/>
          <w:lang w:val="en-US"/>
        </w:rPr>
        <w:t>SHIFT</w:t>
      </w:r>
      <w:r w:rsidRPr="006547A7">
        <w:rPr>
          <w:rFonts w:eastAsia="Times New Roman" w:cs="Arial"/>
          <w:color w:val="000000"/>
          <w:szCs w:val="20"/>
          <w:lang w:val="ru-RU"/>
        </w:rPr>
        <w:t xml:space="preserve"> </w:t>
      </w:r>
      <w:r w:rsidRPr="006547A7">
        <w:rPr>
          <w:rFonts w:eastAsia="Times New Roman" w:cs="Arial"/>
          <w:color w:val="000000"/>
          <w:szCs w:val="20"/>
          <w:lang w:eastAsia="bg-BG"/>
        </w:rPr>
        <w:t>е голямо, многоцентрово, рандомизирано, двойносляпо плацебо</w:t>
      </w:r>
    </w:p>
    <w:p w14:paraId="02C9B26A" w14:textId="77777777" w:rsidR="006547A7" w:rsidRPr="006547A7" w:rsidRDefault="006547A7" w:rsidP="006547A7">
      <w:pPr>
        <w:rPr>
          <w:rFonts w:eastAsia="Times New Roman" w:cs="Arial"/>
          <w:sz w:val="28"/>
          <w:szCs w:val="24"/>
        </w:rPr>
      </w:pPr>
      <w:r w:rsidRPr="006547A7">
        <w:rPr>
          <w:rFonts w:eastAsia="Times New Roman" w:cs="Arial"/>
          <w:color w:val="000000"/>
          <w:szCs w:val="20"/>
          <w:lang w:eastAsia="bg-BG"/>
        </w:rPr>
        <w:t xml:space="preserve">контролирано изпитване на заболеваемост-смъртност, обхващащо 6 505 възрастни пациенти със стабилна хронична исхемична болест на сърцето (ИБС) (за &gt;4 седмици), </w:t>
      </w:r>
      <w:r w:rsidRPr="006547A7">
        <w:rPr>
          <w:rFonts w:eastAsia="Times New Roman" w:cs="Arial"/>
          <w:color w:val="000000"/>
          <w:szCs w:val="20"/>
          <w:lang w:val="en-US"/>
        </w:rPr>
        <w:t>NYHA</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клас </w:t>
      </w:r>
      <w:r w:rsidRPr="006547A7">
        <w:rPr>
          <w:rFonts w:eastAsia="Times New Roman" w:cs="Arial"/>
          <w:color w:val="000000"/>
          <w:szCs w:val="20"/>
          <w:lang w:val="ru-RU"/>
        </w:rPr>
        <w:t xml:space="preserve"> </w:t>
      </w:r>
      <w:r w:rsidRPr="006547A7">
        <w:rPr>
          <w:rFonts w:eastAsia="Times New Roman" w:cs="Arial"/>
          <w:color w:val="000000"/>
          <w:szCs w:val="20"/>
          <w:lang w:val="en-US"/>
        </w:rPr>
        <w:t>II</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до </w:t>
      </w:r>
      <w:r w:rsidRPr="006547A7">
        <w:rPr>
          <w:rFonts w:eastAsia="Times New Roman" w:cs="Arial"/>
          <w:color w:val="000000"/>
          <w:szCs w:val="20"/>
          <w:lang w:val="en-US"/>
        </w:rPr>
        <w:t>IV</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намалена левокамерна функция на изтласкване </w:t>
      </w:r>
      <w:r w:rsidRPr="006547A7">
        <w:rPr>
          <w:rFonts w:eastAsia="Times New Roman" w:cs="Arial"/>
          <w:color w:val="000000"/>
          <w:szCs w:val="20"/>
          <w:lang w:val="ru-RU"/>
        </w:rPr>
        <w:t>(</w:t>
      </w:r>
      <w:r w:rsidRPr="006547A7">
        <w:rPr>
          <w:rFonts w:eastAsia="Times New Roman" w:cs="Arial"/>
          <w:color w:val="000000"/>
          <w:szCs w:val="20"/>
          <w:lang w:val="en-US"/>
        </w:rPr>
        <w:t>LVEF</w:t>
      </w:r>
      <w:r w:rsidRPr="006547A7">
        <w:rPr>
          <w:rFonts w:eastAsia="Times New Roman" w:cs="Arial"/>
          <w:color w:val="000000"/>
          <w:szCs w:val="20"/>
          <w:lang w:val="ru-RU"/>
        </w:rPr>
        <w:t xml:space="preserve"> </w:t>
      </w:r>
      <w:r w:rsidRPr="006547A7">
        <w:rPr>
          <w:rFonts w:eastAsia="Times New Roman" w:cs="Arial"/>
          <w:color w:val="000000"/>
          <w:szCs w:val="20"/>
          <w:lang w:eastAsia="bg-BG"/>
        </w:rPr>
        <w:t>≤ 35%) и сърдечна чесотга в покой ≥ 70 уд./ мин..</w:t>
      </w:r>
    </w:p>
    <w:p w14:paraId="0ECE4B00"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Поциентите са получавали стандартно лечение, включващо бета-блокери (89%), АСЕ инхибитори и/ или ангиотензин </w:t>
      </w:r>
      <w:r w:rsidRPr="006547A7">
        <w:rPr>
          <w:rFonts w:eastAsia="Times New Roman" w:cs="Arial"/>
          <w:color w:val="000000"/>
          <w:szCs w:val="20"/>
          <w:lang w:val="en-US"/>
        </w:rPr>
        <w:t>II</w:t>
      </w:r>
      <w:r w:rsidRPr="006547A7">
        <w:rPr>
          <w:rFonts w:eastAsia="Times New Roman" w:cs="Arial"/>
          <w:color w:val="000000"/>
          <w:szCs w:val="20"/>
          <w:lang w:eastAsia="bg-BG"/>
        </w:rPr>
        <w:t xml:space="preserve"> антагонисти (91%), диуретици (83%) и антиалдостеронови агенти (60%). В групата на ивабрадин 67% от пациентите са лекувани със 7,5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два пъти дневно. Медианата на продължителността на проследяване е била 22,9 месеца. Лечението с ивабрадин се свързва със средно понижение на сърдечната честота от 15 уд./ мин. спрямо изходното ниво от 80 уд./ мин.. Разликата в сърдечната честота между рамената на ивабрадин и плацебо е била 10,8 уд./ мин. на 28-ия ден, 9,1 уд./ мин. на 12-ия месец и 8,3 уд./ мин. на 24-ия месец.</w:t>
      </w:r>
    </w:p>
    <w:p w14:paraId="5CC1971B" w14:textId="77777777" w:rsidR="006547A7" w:rsidRPr="006547A7" w:rsidRDefault="006547A7" w:rsidP="006547A7">
      <w:pPr>
        <w:spacing w:line="240" w:lineRule="auto"/>
        <w:rPr>
          <w:rFonts w:eastAsia="Times New Roman" w:cs="Arial"/>
          <w:color w:val="000000"/>
          <w:szCs w:val="20"/>
          <w:lang w:eastAsia="bg-BG"/>
        </w:rPr>
      </w:pPr>
    </w:p>
    <w:p w14:paraId="1B200536" w14:textId="3729E1A0"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Проучването е показало клинично и статистически значимо понижение на относителния риск с 18% в честотата на първичната съставна крайна точка на сърдечно-съдова смърт и хоспитализация за влошаване на сърдечна недодастьчност (коефициент на риска: 0,82, 95%С</w:t>
      </w:r>
      <w:r w:rsidRPr="006547A7">
        <w:rPr>
          <w:rFonts w:eastAsia="Times New Roman" w:cs="Arial"/>
          <w:color w:val="000000"/>
          <w:szCs w:val="20"/>
          <w:lang w:val="en-US"/>
        </w:rPr>
        <w:t>I</w:t>
      </w:r>
      <w:r w:rsidRPr="006547A7">
        <w:rPr>
          <w:rFonts w:eastAsia="Times New Roman" w:cs="Arial"/>
          <w:color w:val="000000"/>
          <w:szCs w:val="20"/>
          <w:lang w:eastAsia="bg-BG"/>
        </w:rPr>
        <w:t xml:space="preserve"> [0,75;0,90] - р&lt;0,0001), установено в рамките на 3 месеца от започване на лечението. Абсолютният риск се понижава с 4,2%. Резултатите по първичната крайна точка са изведени основно от крайната точка за сърдечна недостатъчност, хоспитализация поради влошаване на сърдечната недостатъчност (понижен абсолютен риск с 4,7%) и смърт поради сърдечна недостатъчност (понижен абсолютен риск с 1,1%).</w:t>
      </w:r>
    </w:p>
    <w:p w14:paraId="5FACA4D7" w14:textId="77777777" w:rsidR="006547A7" w:rsidRPr="006547A7" w:rsidRDefault="006547A7" w:rsidP="006547A7">
      <w:pPr>
        <w:spacing w:line="240" w:lineRule="auto"/>
        <w:rPr>
          <w:rFonts w:eastAsia="Times New Roman" w:cs="Arial"/>
          <w:color w:val="000000"/>
          <w:szCs w:val="20"/>
          <w:lang w:eastAsia="bg-BG"/>
        </w:rPr>
      </w:pPr>
    </w:p>
    <w:p w14:paraId="3674BAAA" w14:textId="09CEDACD"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Ефект от лечението върху първичната съставна крайна точка, нейните компоненти и вторичните крайни точки</w:t>
      </w:r>
    </w:p>
    <w:p w14:paraId="46655854" w14:textId="5C9A1BA2" w:rsidR="006547A7" w:rsidRDefault="006547A7" w:rsidP="006547A7">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440"/>
        <w:gridCol w:w="1731"/>
        <w:gridCol w:w="1742"/>
        <w:gridCol w:w="1764"/>
        <w:gridCol w:w="1673"/>
      </w:tblGrid>
      <w:tr w:rsidR="006547A7" w14:paraId="58DDA770" w14:textId="77777777" w:rsidTr="006547A7">
        <w:tc>
          <w:tcPr>
            <w:tcW w:w="1915" w:type="dxa"/>
          </w:tcPr>
          <w:p w14:paraId="26178890" w14:textId="77777777" w:rsidR="006547A7" w:rsidRDefault="006547A7" w:rsidP="006547A7"/>
        </w:tc>
        <w:tc>
          <w:tcPr>
            <w:tcW w:w="1915" w:type="dxa"/>
          </w:tcPr>
          <w:p w14:paraId="6FDEBB53" w14:textId="49108BE7" w:rsidR="006547A7" w:rsidRDefault="006547A7" w:rsidP="006547A7">
            <w:r>
              <w:rPr>
                <w:sz w:val="20"/>
                <w:szCs w:val="20"/>
              </w:rPr>
              <w:t xml:space="preserve">Ивабрадин </w:t>
            </w:r>
            <w:r>
              <w:rPr>
                <w:sz w:val="20"/>
                <w:szCs w:val="20"/>
                <w:lang w:val="en-US"/>
              </w:rPr>
              <w:t>(N=3241) n (%)</w:t>
            </w:r>
          </w:p>
        </w:tc>
        <w:tc>
          <w:tcPr>
            <w:tcW w:w="1915" w:type="dxa"/>
          </w:tcPr>
          <w:p w14:paraId="4EC55623" w14:textId="1AD3FDBA" w:rsidR="006547A7" w:rsidRDefault="006547A7" w:rsidP="006547A7">
            <w:r>
              <w:rPr>
                <w:sz w:val="20"/>
                <w:szCs w:val="20"/>
              </w:rPr>
              <w:t xml:space="preserve">Плацебо </w:t>
            </w:r>
            <w:r>
              <w:rPr>
                <w:sz w:val="20"/>
                <w:szCs w:val="20"/>
                <w:lang w:val="en-US"/>
              </w:rPr>
              <w:t>(N=3264) n</w:t>
            </w:r>
            <w:r>
              <w:rPr>
                <w:sz w:val="20"/>
                <w:szCs w:val="20"/>
              </w:rPr>
              <w:t xml:space="preserve"> (%)</w:t>
            </w:r>
          </w:p>
        </w:tc>
        <w:tc>
          <w:tcPr>
            <w:tcW w:w="1915" w:type="dxa"/>
          </w:tcPr>
          <w:p w14:paraId="038667A4" w14:textId="51B9961F" w:rsidR="006547A7" w:rsidRDefault="006547A7" w:rsidP="006547A7">
            <w:r>
              <w:rPr>
                <w:sz w:val="20"/>
                <w:szCs w:val="20"/>
              </w:rPr>
              <w:t xml:space="preserve">Коефициент на риска [95% </w:t>
            </w:r>
            <w:r>
              <w:rPr>
                <w:sz w:val="20"/>
                <w:szCs w:val="20"/>
                <w:lang w:val="en-US"/>
              </w:rPr>
              <w:t>CI]</w:t>
            </w:r>
          </w:p>
        </w:tc>
        <w:tc>
          <w:tcPr>
            <w:tcW w:w="1916" w:type="dxa"/>
          </w:tcPr>
          <w:p w14:paraId="5642B9C5" w14:textId="57C0FD06" w:rsidR="006547A7" w:rsidRDefault="006547A7" w:rsidP="006547A7">
            <w:r>
              <w:rPr>
                <w:sz w:val="20"/>
                <w:szCs w:val="20"/>
              </w:rPr>
              <w:t>Р- стойност</w:t>
            </w:r>
          </w:p>
        </w:tc>
      </w:tr>
      <w:tr w:rsidR="006547A7" w14:paraId="7AA9ADA1" w14:textId="77777777" w:rsidTr="006547A7">
        <w:tc>
          <w:tcPr>
            <w:tcW w:w="1915" w:type="dxa"/>
          </w:tcPr>
          <w:p w14:paraId="4A6D4A9B" w14:textId="21B7C040" w:rsidR="006547A7" w:rsidRDefault="006547A7" w:rsidP="006547A7">
            <w:r>
              <w:rPr>
                <w:sz w:val="20"/>
                <w:szCs w:val="20"/>
              </w:rPr>
              <w:lastRenderedPageBreak/>
              <w:t>Първична съставна крайна точка</w:t>
            </w:r>
          </w:p>
        </w:tc>
        <w:tc>
          <w:tcPr>
            <w:tcW w:w="1915" w:type="dxa"/>
          </w:tcPr>
          <w:p w14:paraId="5DD3EAC2" w14:textId="21570E66" w:rsidR="006547A7" w:rsidRDefault="006547A7" w:rsidP="006547A7">
            <w:r>
              <w:rPr>
                <w:sz w:val="20"/>
                <w:szCs w:val="20"/>
              </w:rPr>
              <w:t>793 (24,47)</w:t>
            </w:r>
          </w:p>
        </w:tc>
        <w:tc>
          <w:tcPr>
            <w:tcW w:w="1915" w:type="dxa"/>
          </w:tcPr>
          <w:p w14:paraId="25E1F523" w14:textId="23D02CE8" w:rsidR="006547A7" w:rsidRDefault="006547A7" w:rsidP="006547A7">
            <w:r>
              <w:rPr>
                <w:sz w:val="20"/>
                <w:szCs w:val="20"/>
              </w:rPr>
              <w:t>937 (28,71)</w:t>
            </w:r>
          </w:p>
        </w:tc>
        <w:tc>
          <w:tcPr>
            <w:tcW w:w="1915" w:type="dxa"/>
          </w:tcPr>
          <w:p w14:paraId="6885FF54" w14:textId="04578F8F" w:rsidR="006547A7" w:rsidRDefault="006547A7" w:rsidP="006547A7">
            <w:r>
              <w:rPr>
                <w:sz w:val="20"/>
                <w:szCs w:val="20"/>
              </w:rPr>
              <w:t>0,82 [0,75; 0,90]</w:t>
            </w:r>
          </w:p>
        </w:tc>
        <w:tc>
          <w:tcPr>
            <w:tcW w:w="1916" w:type="dxa"/>
          </w:tcPr>
          <w:p w14:paraId="77A11B85" w14:textId="2E2B1B2B" w:rsidR="006547A7" w:rsidRDefault="006547A7" w:rsidP="006547A7">
            <w:r>
              <w:rPr>
                <w:sz w:val="20"/>
                <w:szCs w:val="20"/>
              </w:rPr>
              <w:t>&lt;0,0001</w:t>
            </w:r>
          </w:p>
        </w:tc>
      </w:tr>
      <w:tr w:rsidR="006547A7" w14:paraId="645673B5" w14:textId="77777777" w:rsidTr="006547A7">
        <w:tc>
          <w:tcPr>
            <w:tcW w:w="1915" w:type="dxa"/>
          </w:tcPr>
          <w:p w14:paraId="46BE1FA1" w14:textId="77777777" w:rsidR="006547A7" w:rsidRDefault="006547A7" w:rsidP="006547A7">
            <w:r>
              <w:rPr>
                <w:sz w:val="20"/>
                <w:szCs w:val="20"/>
              </w:rPr>
              <w:t>Компоненти:</w:t>
            </w:r>
          </w:p>
          <w:p w14:paraId="100D85FD" w14:textId="77777777" w:rsidR="006547A7" w:rsidRPr="006547A7" w:rsidRDefault="006547A7" w:rsidP="006547A7">
            <w:pPr>
              <w:pStyle w:val="ListParagraph"/>
              <w:numPr>
                <w:ilvl w:val="0"/>
                <w:numId w:val="41"/>
              </w:numPr>
            </w:pPr>
            <w:r>
              <w:rPr>
                <w:sz w:val="20"/>
                <w:szCs w:val="20"/>
              </w:rPr>
              <w:t>сърдечно-съдова смърт</w:t>
            </w:r>
          </w:p>
          <w:p w14:paraId="5A77047B" w14:textId="78528036" w:rsidR="006547A7" w:rsidRDefault="006547A7" w:rsidP="006547A7">
            <w:pPr>
              <w:pStyle w:val="ListParagraph"/>
              <w:numPr>
                <w:ilvl w:val="0"/>
                <w:numId w:val="41"/>
              </w:numPr>
            </w:pPr>
            <w:r w:rsidRPr="006547A7">
              <w:rPr>
                <w:sz w:val="20"/>
                <w:szCs w:val="20"/>
              </w:rPr>
              <w:t>хоспитализация поради влошаване на сърдечна недостатъчност</w:t>
            </w:r>
          </w:p>
        </w:tc>
        <w:tc>
          <w:tcPr>
            <w:tcW w:w="1915" w:type="dxa"/>
          </w:tcPr>
          <w:p w14:paraId="22F3BA6D" w14:textId="7FA4FBF9" w:rsidR="006547A7" w:rsidRDefault="006547A7" w:rsidP="006547A7">
            <w:r>
              <w:rPr>
                <w:sz w:val="20"/>
                <w:szCs w:val="20"/>
              </w:rPr>
              <w:t>449 (13,85) 514(15,86)</w:t>
            </w:r>
          </w:p>
        </w:tc>
        <w:tc>
          <w:tcPr>
            <w:tcW w:w="1915" w:type="dxa"/>
          </w:tcPr>
          <w:p w14:paraId="77638DE5" w14:textId="77777777" w:rsidR="006547A7" w:rsidRDefault="006547A7" w:rsidP="006547A7">
            <w:r>
              <w:rPr>
                <w:sz w:val="20"/>
                <w:szCs w:val="20"/>
              </w:rPr>
              <w:t>491 (15,04)</w:t>
            </w:r>
          </w:p>
          <w:p w14:paraId="7B43B5F8" w14:textId="41476F92" w:rsidR="006547A7" w:rsidRDefault="006547A7" w:rsidP="006547A7">
            <w:r>
              <w:rPr>
                <w:sz w:val="20"/>
                <w:szCs w:val="20"/>
              </w:rPr>
              <w:t>672 (20,59)</w:t>
            </w:r>
          </w:p>
        </w:tc>
        <w:tc>
          <w:tcPr>
            <w:tcW w:w="1915" w:type="dxa"/>
          </w:tcPr>
          <w:p w14:paraId="6C9004BC" w14:textId="77777777" w:rsidR="006547A7" w:rsidRDefault="006547A7" w:rsidP="006547A7">
            <w:r>
              <w:rPr>
                <w:sz w:val="20"/>
                <w:szCs w:val="20"/>
              </w:rPr>
              <w:t>0,91 [0,80; 1,03]</w:t>
            </w:r>
          </w:p>
          <w:p w14:paraId="6FA8EB25" w14:textId="6C12922F" w:rsidR="006547A7" w:rsidRDefault="006547A7" w:rsidP="006547A7">
            <w:r>
              <w:rPr>
                <w:sz w:val="20"/>
                <w:szCs w:val="20"/>
              </w:rPr>
              <w:t>0,74 [0,66; 0,83]</w:t>
            </w:r>
          </w:p>
        </w:tc>
        <w:tc>
          <w:tcPr>
            <w:tcW w:w="1916" w:type="dxa"/>
          </w:tcPr>
          <w:p w14:paraId="3154D93C" w14:textId="77777777" w:rsidR="006547A7" w:rsidRDefault="006547A7" w:rsidP="006547A7">
            <w:pPr>
              <w:rPr>
                <w:sz w:val="20"/>
                <w:szCs w:val="20"/>
              </w:rPr>
            </w:pPr>
            <w:r>
              <w:rPr>
                <w:sz w:val="20"/>
                <w:szCs w:val="20"/>
              </w:rPr>
              <w:t xml:space="preserve">0,128 </w:t>
            </w:r>
          </w:p>
          <w:p w14:paraId="3E51D49D" w14:textId="74F33568" w:rsidR="006547A7" w:rsidRDefault="006547A7" w:rsidP="006547A7">
            <w:r>
              <w:rPr>
                <w:sz w:val="20"/>
                <w:szCs w:val="20"/>
              </w:rPr>
              <w:t>&lt;0,0001</w:t>
            </w:r>
          </w:p>
        </w:tc>
      </w:tr>
      <w:tr w:rsidR="006547A7" w14:paraId="44A860A6" w14:textId="77777777" w:rsidTr="006547A7">
        <w:tc>
          <w:tcPr>
            <w:tcW w:w="1915" w:type="dxa"/>
          </w:tcPr>
          <w:p w14:paraId="69EA1054" w14:textId="77777777" w:rsidR="006547A7" w:rsidRDefault="006547A7" w:rsidP="006547A7">
            <w:r>
              <w:rPr>
                <w:sz w:val="20"/>
                <w:szCs w:val="20"/>
              </w:rPr>
              <w:t>Други вторични крайни точки:</w:t>
            </w:r>
          </w:p>
          <w:p w14:paraId="158BCA95" w14:textId="77777777" w:rsidR="006547A7" w:rsidRDefault="006547A7" w:rsidP="006547A7">
            <w:pPr>
              <w:pStyle w:val="ListParagraph"/>
              <w:numPr>
                <w:ilvl w:val="0"/>
                <w:numId w:val="42"/>
              </w:numPr>
              <w:spacing w:line="240" w:lineRule="auto"/>
              <w:rPr>
                <w:sz w:val="20"/>
                <w:szCs w:val="20"/>
              </w:rPr>
            </w:pPr>
            <w:r w:rsidRPr="006547A7">
              <w:rPr>
                <w:sz w:val="20"/>
                <w:szCs w:val="20"/>
              </w:rPr>
              <w:t>обща смъртност</w:t>
            </w:r>
          </w:p>
          <w:p w14:paraId="1164318C" w14:textId="77777777" w:rsidR="006547A7" w:rsidRDefault="006547A7" w:rsidP="006547A7">
            <w:pPr>
              <w:pStyle w:val="ListParagraph"/>
              <w:numPr>
                <w:ilvl w:val="0"/>
                <w:numId w:val="42"/>
              </w:numPr>
              <w:spacing w:line="240" w:lineRule="auto"/>
              <w:rPr>
                <w:sz w:val="20"/>
                <w:szCs w:val="20"/>
              </w:rPr>
            </w:pPr>
            <w:r w:rsidRPr="006547A7">
              <w:rPr>
                <w:sz w:val="20"/>
                <w:szCs w:val="20"/>
              </w:rPr>
              <w:t>смърт поради сърдечна недостатъчност</w:t>
            </w:r>
          </w:p>
          <w:p w14:paraId="248EE716" w14:textId="77777777" w:rsidR="006547A7" w:rsidRDefault="006547A7" w:rsidP="006547A7">
            <w:pPr>
              <w:pStyle w:val="ListParagraph"/>
              <w:numPr>
                <w:ilvl w:val="0"/>
                <w:numId w:val="42"/>
              </w:numPr>
              <w:spacing w:line="240" w:lineRule="auto"/>
              <w:rPr>
                <w:sz w:val="20"/>
                <w:szCs w:val="20"/>
              </w:rPr>
            </w:pPr>
            <w:r>
              <w:rPr>
                <w:sz w:val="20"/>
                <w:szCs w:val="20"/>
              </w:rPr>
              <w:t xml:space="preserve">общ брой хоспитализации </w:t>
            </w:r>
          </w:p>
          <w:p w14:paraId="63A1DD70" w14:textId="71B76AF3" w:rsidR="006547A7" w:rsidRPr="006547A7" w:rsidRDefault="006547A7" w:rsidP="006547A7">
            <w:pPr>
              <w:pStyle w:val="ListParagraph"/>
              <w:numPr>
                <w:ilvl w:val="0"/>
                <w:numId w:val="42"/>
              </w:numPr>
              <w:spacing w:line="240" w:lineRule="auto"/>
              <w:rPr>
                <w:sz w:val="20"/>
                <w:szCs w:val="20"/>
              </w:rPr>
            </w:pPr>
            <w:r w:rsidRPr="006547A7">
              <w:rPr>
                <w:sz w:val="20"/>
                <w:szCs w:val="20"/>
              </w:rPr>
              <w:t>хоспитализации поради сърдечно-съдови причини</w:t>
            </w:r>
          </w:p>
        </w:tc>
        <w:tc>
          <w:tcPr>
            <w:tcW w:w="1915" w:type="dxa"/>
          </w:tcPr>
          <w:p w14:paraId="619D2030" w14:textId="77777777" w:rsidR="006547A7" w:rsidRDefault="006547A7" w:rsidP="006547A7">
            <w:pPr>
              <w:rPr>
                <w:sz w:val="20"/>
                <w:szCs w:val="20"/>
              </w:rPr>
            </w:pPr>
            <w:r>
              <w:rPr>
                <w:sz w:val="20"/>
                <w:szCs w:val="20"/>
              </w:rPr>
              <w:t xml:space="preserve">503 (15,52) </w:t>
            </w:r>
          </w:p>
          <w:p w14:paraId="751899BF" w14:textId="77777777" w:rsidR="006547A7" w:rsidRDefault="006547A7" w:rsidP="006547A7">
            <w:pPr>
              <w:rPr>
                <w:sz w:val="20"/>
                <w:szCs w:val="20"/>
              </w:rPr>
            </w:pPr>
            <w:r>
              <w:rPr>
                <w:sz w:val="20"/>
                <w:szCs w:val="20"/>
              </w:rPr>
              <w:t xml:space="preserve">113 (3,49) </w:t>
            </w:r>
          </w:p>
          <w:p w14:paraId="53B90719" w14:textId="63E8CD4B" w:rsidR="006547A7" w:rsidRDefault="006547A7" w:rsidP="006547A7">
            <w:r>
              <w:rPr>
                <w:sz w:val="20"/>
                <w:szCs w:val="20"/>
              </w:rPr>
              <w:t>1231 (37,98) 977 (30,15)</w:t>
            </w:r>
          </w:p>
        </w:tc>
        <w:tc>
          <w:tcPr>
            <w:tcW w:w="1915" w:type="dxa"/>
          </w:tcPr>
          <w:p w14:paraId="6863481E" w14:textId="77777777" w:rsidR="006547A7" w:rsidRDefault="006547A7" w:rsidP="006547A7">
            <w:pPr>
              <w:rPr>
                <w:sz w:val="20"/>
                <w:szCs w:val="20"/>
              </w:rPr>
            </w:pPr>
            <w:r>
              <w:rPr>
                <w:sz w:val="20"/>
                <w:szCs w:val="20"/>
              </w:rPr>
              <w:t xml:space="preserve">552(16,91) </w:t>
            </w:r>
          </w:p>
          <w:p w14:paraId="7C523C1F" w14:textId="4BCF3CFB" w:rsidR="006547A7" w:rsidRDefault="006547A7" w:rsidP="006547A7">
            <w:r>
              <w:rPr>
                <w:sz w:val="20"/>
                <w:szCs w:val="20"/>
              </w:rPr>
              <w:t>151 (4,63) 1356(41,54) 1122 (34,38)</w:t>
            </w:r>
          </w:p>
        </w:tc>
        <w:tc>
          <w:tcPr>
            <w:tcW w:w="1915" w:type="dxa"/>
          </w:tcPr>
          <w:p w14:paraId="79D95CA1" w14:textId="377301D8" w:rsidR="006547A7" w:rsidRDefault="006547A7" w:rsidP="006547A7">
            <w:r>
              <w:rPr>
                <w:sz w:val="20"/>
                <w:szCs w:val="20"/>
              </w:rPr>
              <w:t>0,90 [0,80; 1,02] 0,74 [0,58;0,94] 0,89 [0,82;0,96] 0,85 [0,78; 0,92]</w:t>
            </w:r>
          </w:p>
        </w:tc>
        <w:tc>
          <w:tcPr>
            <w:tcW w:w="1916" w:type="dxa"/>
          </w:tcPr>
          <w:p w14:paraId="7E6DBB25" w14:textId="77777777" w:rsidR="006547A7" w:rsidRDefault="006547A7" w:rsidP="006547A7">
            <w:pPr>
              <w:rPr>
                <w:sz w:val="20"/>
                <w:szCs w:val="20"/>
              </w:rPr>
            </w:pPr>
            <w:r>
              <w:rPr>
                <w:sz w:val="20"/>
                <w:szCs w:val="20"/>
              </w:rPr>
              <w:t xml:space="preserve">0,092 </w:t>
            </w:r>
          </w:p>
          <w:p w14:paraId="7FCEA5AF" w14:textId="77777777" w:rsidR="006547A7" w:rsidRDefault="006547A7" w:rsidP="006547A7">
            <w:pPr>
              <w:rPr>
                <w:sz w:val="20"/>
                <w:szCs w:val="20"/>
              </w:rPr>
            </w:pPr>
            <w:r>
              <w:rPr>
                <w:sz w:val="20"/>
                <w:szCs w:val="20"/>
              </w:rPr>
              <w:t xml:space="preserve">0,014 </w:t>
            </w:r>
          </w:p>
          <w:p w14:paraId="4F9A7E7C" w14:textId="77777777" w:rsidR="006547A7" w:rsidRDefault="006547A7" w:rsidP="006547A7">
            <w:pPr>
              <w:rPr>
                <w:sz w:val="20"/>
                <w:szCs w:val="20"/>
              </w:rPr>
            </w:pPr>
            <w:r>
              <w:rPr>
                <w:sz w:val="20"/>
                <w:szCs w:val="20"/>
              </w:rPr>
              <w:t xml:space="preserve">0,003 </w:t>
            </w:r>
          </w:p>
          <w:p w14:paraId="22C397EF" w14:textId="35B72F33" w:rsidR="006547A7" w:rsidRDefault="006547A7" w:rsidP="006547A7">
            <w:r>
              <w:rPr>
                <w:sz w:val="20"/>
                <w:szCs w:val="20"/>
              </w:rPr>
              <w:t>0,0002</w:t>
            </w:r>
          </w:p>
        </w:tc>
      </w:tr>
    </w:tbl>
    <w:p w14:paraId="1F22FA8F" w14:textId="1F1E8F6B" w:rsidR="006547A7" w:rsidRDefault="006547A7" w:rsidP="006547A7"/>
    <w:p w14:paraId="217CAAC1"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Понижението на първичната крайна точка е наблюдавано постоянно, независимо от пол, клас по </w:t>
      </w:r>
      <w:r w:rsidRPr="006547A7">
        <w:rPr>
          <w:rFonts w:eastAsia="Times New Roman" w:cs="Arial"/>
          <w:color w:val="000000"/>
          <w:szCs w:val="20"/>
          <w:lang w:val="en-US"/>
        </w:rPr>
        <w:t>NYHA</w:t>
      </w:r>
      <w:r w:rsidRPr="006547A7">
        <w:rPr>
          <w:rFonts w:eastAsia="Times New Roman" w:cs="Arial"/>
          <w:color w:val="000000"/>
          <w:szCs w:val="20"/>
          <w:lang w:val="ru-RU"/>
        </w:rPr>
        <w:t xml:space="preserve">, </w:t>
      </w:r>
      <w:r w:rsidRPr="006547A7">
        <w:rPr>
          <w:rFonts w:eastAsia="Times New Roman" w:cs="Arial"/>
          <w:color w:val="000000"/>
          <w:szCs w:val="20"/>
          <w:lang w:eastAsia="bg-BG"/>
        </w:rPr>
        <w:t>исхемична или неисхемична етиология на сърдечната недостатъчност и анамнеза за съпътстващ диабет или хипертония.</w:t>
      </w:r>
    </w:p>
    <w:p w14:paraId="7270AD52" w14:textId="46AF6808" w:rsidR="006547A7" w:rsidRPr="006547A7" w:rsidRDefault="006547A7" w:rsidP="006547A7">
      <w:pPr>
        <w:rPr>
          <w:rFonts w:cs="Arial"/>
          <w:sz w:val="24"/>
        </w:rPr>
      </w:pPr>
    </w:p>
    <w:p w14:paraId="5AEB5AF1"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В подгрупата пациенти със сърдечна честота ≥75 уд./ мин. (</w:t>
      </w:r>
      <w:r w:rsidRPr="006547A7">
        <w:rPr>
          <w:rFonts w:eastAsia="Times New Roman" w:cs="Arial"/>
          <w:color w:val="000000"/>
          <w:szCs w:val="20"/>
          <w:lang w:val="en-US"/>
        </w:rPr>
        <w:t>n</w:t>
      </w:r>
      <w:r w:rsidRPr="006547A7">
        <w:rPr>
          <w:rFonts w:eastAsia="Times New Roman" w:cs="Arial"/>
          <w:color w:val="000000"/>
          <w:szCs w:val="20"/>
          <w:lang w:eastAsia="bg-BG"/>
        </w:rPr>
        <w:t>=4150) е наблюдавано по-голямо намаление на първичната съставна крайна точка от 24% (коефициент на риска: 0,76, 95%С</w:t>
      </w:r>
      <w:r w:rsidRPr="006547A7">
        <w:rPr>
          <w:rFonts w:eastAsia="Times New Roman" w:cs="Arial"/>
          <w:color w:val="000000"/>
          <w:szCs w:val="20"/>
          <w:lang w:val="en-US"/>
        </w:rPr>
        <w:t>I</w:t>
      </w:r>
      <w:r w:rsidRPr="006547A7">
        <w:rPr>
          <w:rFonts w:eastAsia="Times New Roman" w:cs="Arial"/>
          <w:color w:val="000000"/>
          <w:szCs w:val="20"/>
          <w:lang w:eastAsia="bg-BG"/>
        </w:rPr>
        <w:t xml:space="preserve"> [0,68;0,85] - р&lt;0,0001) и на другите вторични крайни точки, включително обща смъртност (коефициент на риска: 0,83,95%С</w:t>
      </w:r>
      <w:r w:rsidRPr="006547A7">
        <w:rPr>
          <w:rFonts w:eastAsia="Times New Roman" w:cs="Arial"/>
          <w:color w:val="000000"/>
          <w:szCs w:val="20"/>
          <w:lang w:val="en-US"/>
        </w:rPr>
        <w:t>I</w:t>
      </w:r>
      <w:r w:rsidRPr="006547A7">
        <w:rPr>
          <w:rFonts w:eastAsia="Times New Roman" w:cs="Arial"/>
          <w:color w:val="000000"/>
          <w:szCs w:val="20"/>
          <w:lang w:eastAsia="bg-BG"/>
        </w:rPr>
        <w:t xml:space="preserve"> [0,72;0,96] - р=0,0109) и сърдечно-съдова смърт (коефициент на риска: 0,83,</w:t>
      </w:r>
      <w:r w:rsidRPr="006547A7">
        <w:rPr>
          <w:rFonts w:eastAsia="Times New Roman" w:cs="Arial"/>
          <w:color w:val="000000"/>
          <w:szCs w:val="20"/>
          <w:lang w:val="ru-RU"/>
        </w:rPr>
        <w:t xml:space="preserve"> </w:t>
      </w:r>
      <w:r w:rsidRPr="006547A7">
        <w:rPr>
          <w:rFonts w:eastAsia="Times New Roman" w:cs="Arial"/>
          <w:color w:val="000000"/>
          <w:szCs w:val="20"/>
          <w:lang w:eastAsia="bg-BG"/>
        </w:rPr>
        <w:t>95%С</w:t>
      </w:r>
      <w:r w:rsidRPr="006547A7">
        <w:rPr>
          <w:rFonts w:eastAsia="Times New Roman" w:cs="Arial"/>
          <w:color w:val="000000"/>
          <w:szCs w:val="20"/>
          <w:lang w:val="en-US"/>
        </w:rPr>
        <w:t>I</w:t>
      </w:r>
      <w:r w:rsidRPr="006547A7">
        <w:rPr>
          <w:rFonts w:eastAsia="Times New Roman" w:cs="Arial"/>
          <w:color w:val="000000"/>
          <w:szCs w:val="20"/>
          <w:lang w:eastAsia="bg-BG"/>
        </w:rPr>
        <w:t xml:space="preserve"> [0,71;0,97] - р=0,0166). В тази подгрупа пациенти профилът на безопасност на ивабрадин е в съответствие с този в общата популация.</w:t>
      </w:r>
    </w:p>
    <w:p w14:paraId="4B03F0FE" w14:textId="77777777" w:rsidR="006547A7" w:rsidRPr="006547A7" w:rsidRDefault="006547A7" w:rsidP="006547A7">
      <w:pPr>
        <w:spacing w:line="240" w:lineRule="auto"/>
        <w:rPr>
          <w:rFonts w:eastAsia="Times New Roman" w:cs="Arial"/>
          <w:color w:val="000000"/>
          <w:szCs w:val="20"/>
          <w:lang w:eastAsia="bg-BG"/>
        </w:rPr>
      </w:pPr>
    </w:p>
    <w:p w14:paraId="120CAD97" w14:textId="5EADC24D"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Значим ефект е наблюдаван върху първичната съставна крайна точка в общата група пациенти, които са получавали лечение с бета-блокери (коефициент на риска: 0,85, 95%С</w:t>
      </w:r>
      <w:r w:rsidRPr="006547A7">
        <w:rPr>
          <w:rFonts w:eastAsia="Times New Roman" w:cs="Arial"/>
          <w:color w:val="000000"/>
          <w:szCs w:val="20"/>
          <w:lang w:val="en-US"/>
        </w:rPr>
        <w:t>I</w:t>
      </w:r>
      <w:r w:rsidRPr="006547A7">
        <w:rPr>
          <w:rFonts w:eastAsia="Times New Roman" w:cs="Arial"/>
          <w:color w:val="000000"/>
          <w:szCs w:val="20"/>
          <w:lang w:eastAsia="bg-BG"/>
        </w:rPr>
        <w:t xml:space="preserve"> [0,76;0,94]). В подгрупата пациенти със сърдечна честота ≥75 уд./ мин. и на препоръчителната таргетна доза бета-блокер не е наблюдавана статистически значима полза върху първичната съставна крайна точка (коефициент на риска: 0,97, 95%С</w:t>
      </w:r>
      <w:r w:rsidRPr="006547A7">
        <w:rPr>
          <w:rFonts w:eastAsia="Times New Roman" w:cs="Arial"/>
          <w:color w:val="000000"/>
          <w:szCs w:val="20"/>
          <w:lang w:val="en-US"/>
        </w:rPr>
        <w:t>I</w:t>
      </w:r>
      <w:r w:rsidRPr="006547A7">
        <w:rPr>
          <w:rFonts w:eastAsia="Times New Roman" w:cs="Arial"/>
          <w:color w:val="000000"/>
          <w:szCs w:val="20"/>
          <w:lang w:eastAsia="bg-BG"/>
        </w:rPr>
        <w:t xml:space="preserve"> [0,74;</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1,28]) и другите вторични крайни точки, включително хоспитализация поради влошаване на сърдечната недостатъчност (коефициент на риска: 0,79, 95% </w:t>
      </w:r>
      <w:r w:rsidRPr="006547A7">
        <w:rPr>
          <w:rFonts w:eastAsia="Times New Roman" w:cs="Arial"/>
          <w:color w:val="000000"/>
          <w:szCs w:val="20"/>
          <w:lang w:val="en-US"/>
        </w:rPr>
        <w:t>CI</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[0,56;1,10]) или смърт поради сърдечна недостатъчност (коефициент на риска: 0,69,95% </w:t>
      </w:r>
      <w:r w:rsidRPr="006547A7">
        <w:rPr>
          <w:rFonts w:eastAsia="Times New Roman" w:cs="Arial"/>
          <w:color w:val="000000"/>
          <w:szCs w:val="20"/>
          <w:lang w:val="en-US"/>
        </w:rPr>
        <w:t>CI</w:t>
      </w:r>
      <w:r w:rsidRPr="006547A7">
        <w:rPr>
          <w:rFonts w:eastAsia="Times New Roman" w:cs="Arial"/>
          <w:color w:val="000000"/>
          <w:szCs w:val="20"/>
          <w:lang w:val="ru-RU"/>
        </w:rPr>
        <w:t xml:space="preserve"> </w:t>
      </w:r>
      <w:r w:rsidRPr="006547A7">
        <w:rPr>
          <w:rFonts w:eastAsia="Times New Roman" w:cs="Arial"/>
          <w:color w:val="000000"/>
          <w:szCs w:val="20"/>
          <w:lang w:eastAsia="bg-BG"/>
        </w:rPr>
        <w:t>[0,31 ;1,53]).</w:t>
      </w:r>
    </w:p>
    <w:p w14:paraId="6B3A2932" w14:textId="77777777" w:rsidR="006547A7" w:rsidRPr="006547A7" w:rsidRDefault="006547A7" w:rsidP="006547A7">
      <w:pPr>
        <w:spacing w:line="240" w:lineRule="auto"/>
        <w:rPr>
          <w:rFonts w:eastAsia="Times New Roman" w:cs="Arial"/>
          <w:color w:val="000000"/>
          <w:szCs w:val="20"/>
          <w:lang w:eastAsia="bg-BG"/>
        </w:rPr>
      </w:pPr>
    </w:p>
    <w:p w14:paraId="0B6C2BC3" w14:textId="71412520"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Налице е значително подобрение на класа по </w:t>
      </w:r>
      <w:r w:rsidRPr="006547A7">
        <w:rPr>
          <w:rFonts w:eastAsia="Times New Roman" w:cs="Arial"/>
          <w:color w:val="000000"/>
          <w:szCs w:val="20"/>
          <w:lang w:val="en-US"/>
        </w:rPr>
        <w:t>NYHA</w:t>
      </w:r>
      <w:r w:rsidRPr="006547A7">
        <w:rPr>
          <w:rFonts w:eastAsia="Times New Roman" w:cs="Arial"/>
          <w:color w:val="000000"/>
          <w:szCs w:val="20"/>
          <w:lang w:val="ru-RU"/>
        </w:rPr>
        <w:t xml:space="preserve"> </w:t>
      </w:r>
      <w:r w:rsidRPr="006547A7">
        <w:rPr>
          <w:rFonts w:eastAsia="Times New Roman" w:cs="Arial"/>
          <w:color w:val="000000"/>
          <w:szCs w:val="20"/>
          <w:lang w:eastAsia="bg-BG"/>
        </w:rPr>
        <w:t>спрямо последната отчетена стойност: 887 (28%) от пациентите на ивабрадин са с подобрено състояние спрямо 776 (24%) от пациентите на плацебо (р=0.001).</w:t>
      </w:r>
    </w:p>
    <w:p w14:paraId="26CF9332" w14:textId="77777777" w:rsidR="006547A7" w:rsidRPr="006547A7" w:rsidRDefault="006547A7" w:rsidP="006547A7">
      <w:pPr>
        <w:spacing w:line="240" w:lineRule="auto"/>
        <w:rPr>
          <w:rFonts w:eastAsia="Times New Roman" w:cs="Arial"/>
          <w:color w:val="000000"/>
          <w:szCs w:val="20"/>
          <w:lang w:eastAsia="bg-BG"/>
        </w:rPr>
      </w:pPr>
    </w:p>
    <w:p w14:paraId="4FD78A44" w14:textId="0EC14061"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При рандомизирано, плацебо контролирано проучване, обхващащо 97 пациента, данните, събрани при специфични офталмологични прегледи, целящи документиране на функцията на системите от пръчици и колбички и на възходящия зрителен път (например </w:t>
      </w:r>
      <w:r w:rsidRPr="006547A7">
        <w:rPr>
          <w:rFonts w:eastAsia="Times New Roman" w:cs="Arial"/>
          <w:color w:val="000000"/>
          <w:szCs w:val="20"/>
          <w:lang w:eastAsia="bg-BG"/>
        </w:rPr>
        <w:lastRenderedPageBreak/>
        <w:t xml:space="preserve">електроретинограма, статични и кинетични зрителни полета, цветно зрение, зрителна острота), при пациенти, лекувани с ивабрадин за хронична стенокардия за период от повече от </w:t>
      </w:r>
      <w:r w:rsidRPr="006547A7">
        <w:rPr>
          <w:rFonts w:eastAsia="Times New Roman" w:cs="Arial"/>
          <w:i/>
          <w:iCs/>
          <w:color w:val="000000"/>
          <w:szCs w:val="20"/>
          <w:lang w:eastAsia="bg-BG"/>
        </w:rPr>
        <w:t>3</w:t>
      </w:r>
      <w:r w:rsidRPr="006547A7">
        <w:rPr>
          <w:rFonts w:eastAsia="Times New Roman" w:cs="Arial"/>
          <w:color w:val="000000"/>
          <w:szCs w:val="20"/>
          <w:lang w:eastAsia="bg-BG"/>
        </w:rPr>
        <w:t xml:space="preserve"> години, не показват ретинална токсичност.</w:t>
      </w:r>
    </w:p>
    <w:p w14:paraId="2F9553EC" w14:textId="77777777" w:rsidR="006547A7" w:rsidRPr="006547A7" w:rsidRDefault="006547A7" w:rsidP="006547A7">
      <w:pPr>
        <w:spacing w:line="240" w:lineRule="auto"/>
        <w:rPr>
          <w:rFonts w:eastAsia="Times New Roman" w:cs="Arial"/>
          <w:color w:val="000000"/>
          <w:szCs w:val="20"/>
          <w:u w:val="single"/>
          <w:lang w:eastAsia="bg-BG"/>
        </w:rPr>
      </w:pPr>
    </w:p>
    <w:p w14:paraId="1AE035E9" w14:textId="314B44A6"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u w:val="single"/>
          <w:lang w:eastAsia="bg-BG"/>
        </w:rPr>
        <w:t>Педиатрична популация</w:t>
      </w:r>
    </w:p>
    <w:p w14:paraId="2680F201" w14:textId="6DE9DA8E" w:rsidR="006547A7" w:rsidRPr="006547A7" w:rsidRDefault="006547A7" w:rsidP="006547A7">
      <w:pPr>
        <w:spacing w:line="240" w:lineRule="auto"/>
        <w:rPr>
          <w:rFonts w:eastAsia="Times New Roman" w:cs="Arial"/>
          <w:sz w:val="28"/>
          <w:szCs w:val="24"/>
          <w:lang w:val="en-US"/>
        </w:rPr>
      </w:pPr>
      <w:r w:rsidRPr="006547A7">
        <w:rPr>
          <w:rFonts w:eastAsia="Times New Roman" w:cs="Arial"/>
          <w:color w:val="000000"/>
          <w:szCs w:val="20"/>
          <w:lang w:eastAsia="bg-BG"/>
        </w:rPr>
        <w:t xml:space="preserve">Проведено е рандомизирано, двойносляпо, плацебо контролирано проучване, обхващащо 116 педиатрични пациента (17 на възраст 6-12 месеца, 36 на възраст 1-3 години и 63 на възраст 3-18 години) с ИБС и дилатативна кардиомиопатия (ДКМ) на фона на оптимално основно лечение. 74 са получили ивабрадин (съотношение 2:1). Началната доза е била 0,02 </w:t>
      </w:r>
      <w:r w:rsidRPr="006547A7">
        <w:rPr>
          <w:rFonts w:eastAsia="Times New Roman" w:cs="Arial"/>
          <w:color w:val="000000"/>
          <w:szCs w:val="20"/>
          <w:lang w:val="en-US"/>
        </w:rPr>
        <w:t>mg</w:t>
      </w:r>
      <w:r w:rsidRPr="006547A7">
        <w:rPr>
          <w:rFonts w:eastAsia="Times New Roman" w:cs="Arial"/>
          <w:color w:val="000000"/>
          <w:szCs w:val="20"/>
          <w:lang w:val="ru-RU"/>
        </w:rPr>
        <w:t>/</w:t>
      </w:r>
      <w:r w:rsidRPr="006547A7">
        <w:rPr>
          <w:rFonts w:eastAsia="Times New Roman" w:cs="Arial"/>
          <w:color w:val="000000"/>
          <w:szCs w:val="20"/>
          <w:lang w:val="en-US"/>
        </w:rPr>
        <w:t>kg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във възрастовата подгрупа 6-12 месеца, 0,05 </w:t>
      </w:r>
      <w:r w:rsidRPr="006547A7">
        <w:rPr>
          <w:rFonts w:eastAsia="Times New Roman" w:cs="Arial"/>
          <w:color w:val="000000"/>
          <w:szCs w:val="20"/>
          <w:lang w:val="en-US"/>
        </w:rPr>
        <w:t>mg</w:t>
      </w:r>
      <w:r w:rsidRPr="006547A7">
        <w:rPr>
          <w:rFonts w:eastAsia="Times New Roman" w:cs="Arial"/>
          <w:color w:val="000000"/>
          <w:szCs w:val="20"/>
          <w:lang w:val="ru-RU"/>
        </w:rPr>
        <w:t>/</w:t>
      </w:r>
      <w:r w:rsidRPr="006547A7">
        <w:rPr>
          <w:rFonts w:eastAsia="Times New Roman" w:cs="Arial"/>
          <w:color w:val="000000"/>
          <w:szCs w:val="20"/>
          <w:lang w:val="en-US"/>
        </w:rPr>
        <w:t>kg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при 1-3 години и 3-18 години &lt;40 </w:t>
      </w:r>
      <w:r w:rsidRPr="006547A7">
        <w:rPr>
          <w:rFonts w:eastAsia="Times New Roman" w:cs="Arial"/>
          <w:color w:val="000000"/>
          <w:szCs w:val="20"/>
          <w:lang w:val="en-US"/>
        </w:rPr>
        <w:t>kg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и 2,5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при 3-18 години и ≥40 </w:t>
      </w:r>
      <w:r w:rsidRPr="006547A7">
        <w:rPr>
          <w:rFonts w:eastAsia="Times New Roman" w:cs="Arial"/>
          <w:color w:val="000000"/>
          <w:szCs w:val="20"/>
          <w:lang w:val="en-US"/>
        </w:rPr>
        <w:t>kg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Дозата е адаптирана в зависимост от терапевтичния отговор с максимални дози от съответно 0,2 </w:t>
      </w:r>
      <w:r w:rsidRPr="006547A7">
        <w:rPr>
          <w:rFonts w:eastAsia="Times New Roman" w:cs="Arial"/>
          <w:color w:val="000000"/>
          <w:szCs w:val="20"/>
          <w:lang w:val="en-US"/>
        </w:rPr>
        <w:t>mg</w:t>
      </w:r>
      <w:r w:rsidRPr="006547A7">
        <w:rPr>
          <w:rFonts w:eastAsia="Times New Roman" w:cs="Arial"/>
          <w:color w:val="000000"/>
          <w:szCs w:val="20"/>
          <w:lang w:val="ru-RU"/>
        </w:rPr>
        <w:t>/</w:t>
      </w:r>
      <w:r w:rsidRPr="006547A7">
        <w:rPr>
          <w:rFonts w:eastAsia="Times New Roman" w:cs="Arial"/>
          <w:color w:val="000000"/>
          <w:szCs w:val="20"/>
          <w:lang w:val="en-US"/>
        </w:rPr>
        <w:t>kg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0,3 </w:t>
      </w:r>
      <w:r w:rsidRPr="006547A7">
        <w:rPr>
          <w:rFonts w:eastAsia="Times New Roman" w:cs="Arial"/>
          <w:color w:val="000000"/>
          <w:szCs w:val="20"/>
          <w:lang w:val="en-US"/>
        </w:rPr>
        <w:t>mg</w:t>
      </w:r>
      <w:r w:rsidRPr="006547A7">
        <w:rPr>
          <w:rFonts w:eastAsia="Times New Roman" w:cs="Arial"/>
          <w:color w:val="000000"/>
          <w:szCs w:val="20"/>
          <w:lang w:val="ru-RU"/>
        </w:rPr>
        <w:t>/</w:t>
      </w:r>
      <w:r w:rsidRPr="006547A7">
        <w:rPr>
          <w:rFonts w:eastAsia="Times New Roman" w:cs="Arial"/>
          <w:color w:val="000000"/>
          <w:szCs w:val="20"/>
          <w:lang w:val="en-US"/>
        </w:rPr>
        <w:t>kg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и 15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два пъти дневно. При това проучване ивабрадин е приеман под формата на</w:t>
      </w:r>
    </w:p>
    <w:p w14:paraId="3BD0D958" w14:textId="77777777" w:rsidR="006547A7" w:rsidRPr="006547A7" w:rsidRDefault="006547A7" w:rsidP="006547A7">
      <w:pPr>
        <w:spacing w:line="240" w:lineRule="auto"/>
        <w:rPr>
          <w:rFonts w:eastAsia="Times New Roman" w:cs="Arial"/>
          <w:sz w:val="28"/>
          <w:szCs w:val="24"/>
        </w:rPr>
      </w:pPr>
    </w:p>
    <w:p w14:paraId="21302CE4" w14:textId="77777777" w:rsidR="006547A7" w:rsidRPr="006547A7" w:rsidRDefault="006547A7" w:rsidP="006547A7">
      <w:pPr>
        <w:rPr>
          <w:rFonts w:eastAsia="Times New Roman" w:cs="Arial"/>
          <w:sz w:val="28"/>
          <w:szCs w:val="24"/>
        </w:rPr>
      </w:pPr>
      <w:r w:rsidRPr="006547A7">
        <w:rPr>
          <w:rFonts w:eastAsia="Times New Roman" w:cs="Arial"/>
          <w:color w:val="000000"/>
          <w:szCs w:val="20"/>
          <w:lang w:eastAsia="bg-BG"/>
        </w:rPr>
        <w:t>перорален течен разтвор или таблетка два пъти дневно. Отсъствието на фармакокинетични</w:t>
      </w:r>
      <w:r w:rsidRPr="006547A7">
        <w:rPr>
          <w:rFonts w:eastAsia="Times New Roman" w:cs="Arial"/>
          <w:color w:val="000000"/>
          <w:szCs w:val="20"/>
          <w:lang w:val="ru-RU" w:eastAsia="bg-BG"/>
        </w:rPr>
        <w:t xml:space="preserve"> </w:t>
      </w:r>
      <w:r w:rsidRPr="006547A7">
        <w:rPr>
          <w:rFonts w:eastAsia="Times New Roman" w:cs="Arial"/>
          <w:color w:val="000000"/>
          <w:szCs w:val="20"/>
          <w:lang w:eastAsia="bg-BG"/>
        </w:rPr>
        <w:t>разлики между двете форми е доказано при отворено, рандомизирано, кръстосано проучване в два периода, обхващащо 24 здрави възрастни доброволци.</w:t>
      </w:r>
    </w:p>
    <w:p w14:paraId="5036E2D8"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Постигнато е понижение на сърдечната честота с 20% без брадикардия при 69,9% от пациентите в групата на ивабрадин спрямо 12,2% в плацебо групата по време на периода на титриране от 2 до 8 седмица (съотношение на шансовете: Е = 17,24,95% </w:t>
      </w:r>
      <w:r w:rsidRPr="006547A7">
        <w:rPr>
          <w:rFonts w:eastAsia="Times New Roman" w:cs="Arial"/>
          <w:color w:val="000000"/>
          <w:szCs w:val="20"/>
          <w:lang w:val="en-US"/>
        </w:rPr>
        <w:t>CI</w:t>
      </w:r>
      <w:r w:rsidRPr="006547A7">
        <w:rPr>
          <w:rFonts w:eastAsia="Times New Roman" w:cs="Arial"/>
          <w:color w:val="000000"/>
          <w:szCs w:val="20"/>
          <w:lang w:val="ru-RU"/>
        </w:rPr>
        <w:t xml:space="preserve"> </w:t>
      </w:r>
      <w:r w:rsidRPr="006547A7">
        <w:rPr>
          <w:rFonts w:eastAsia="Times New Roman" w:cs="Arial"/>
          <w:color w:val="000000"/>
          <w:szCs w:val="20"/>
          <w:lang w:eastAsia="bg-BG"/>
        </w:rPr>
        <w:t>[5,91; 50,30]).</w:t>
      </w:r>
    </w:p>
    <w:p w14:paraId="64A96543"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Средните дози ивабрадин, които позволяват да се постигне 20% понижение на сърдечната честота са били 0,13 ± 0,04 </w:t>
      </w:r>
      <w:r w:rsidRPr="006547A7">
        <w:rPr>
          <w:rFonts w:eastAsia="Times New Roman" w:cs="Arial"/>
          <w:color w:val="000000"/>
          <w:szCs w:val="20"/>
          <w:lang w:val="en-US"/>
        </w:rPr>
        <w:t>mg</w:t>
      </w:r>
      <w:r w:rsidRPr="006547A7">
        <w:rPr>
          <w:rFonts w:eastAsia="Times New Roman" w:cs="Arial"/>
          <w:color w:val="000000"/>
          <w:szCs w:val="20"/>
          <w:lang w:val="ru-RU"/>
        </w:rPr>
        <w:t>/</w:t>
      </w:r>
      <w:r w:rsidRPr="006547A7">
        <w:rPr>
          <w:rFonts w:eastAsia="Times New Roman" w:cs="Arial"/>
          <w:color w:val="000000"/>
          <w:szCs w:val="20"/>
          <w:lang w:val="en-US"/>
        </w:rPr>
        <w:t>kg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0,10 ± 0,04 </w:t>
      </w:r>
      <w:r w:rsidRPr="006547A7">
        <w:rPr>
          <w:rFonts w:eastAsia="Times New Roman" w:cs="Arial"/>
          <w:color w:val="000000"/>
          <w:szCs w:val="20"/>
          <w:lang w:val="en-US"/>
        </w:rPr>
        <w:t>mg</w:t>
      </w:r>
      <w:r w:rsidRPr="006547A7">
        <w:rPr>
          <w:rFonts w:eastAsia="Times New Roman" w:cs="Arial"/>
          <w:color w:val="000000"/>
          <w:szCs w:val="20"/>
          <w:lang w:val="ru-RU"/>
        </w:rPr>
        <w:t>/</w:t>
      </w:r>
      <w:r w:rsidRPr="006547A7">
        <w:rPr>
          <w:rFonts w:eastAsia="Times New Roman" w:cs="Arial"/>
          <w:color w:val="000000"/>
          <w:szCs w:val="20"/>
          <w:lang w:val="en-US"/>
        </w:rPr>
        <w:t>kg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и 4,1 ± 2,2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съответно в подгрупите 1-3 години, 3-18 години и &lt;40 </w:t>
      </w:r>
      <w:r w:rsidRPr="006547A7">
        <w:rPr>
          <w:rFonts w:eastAsia="Times New Roman" w:cs="Arial"/>
          <w:color w:val="000000"/>
          <w:szCs w:val="20"/>
          <w:lang w:val="en-US"/>
        </w:rPr>
        <w:t>kg</w:t>
      </w:r>
      <w:r w:rsidRPr="006547A7">
        <w:rPr>
          <w:rFonts w:eastAsia="Times New Roman" w:cs="Arial"/>
          <w:color w:val="000000"/>
          <w:szCs w:val="20"/>
          <w:lang w:val="ru-RU"/>
        </w:rPr>
        <w:t xml:space="preserve"> </w:t>
      </w:r>
      <w:r w:rsidRPr="006547A7">
        <w:rPr>
          <w:rFonts w:eastAsia="Times New Roman" w:cs="Arial"/>
          <w:color w:val="000000"/>
          <w:szCs w:val="20"/>
          <w:lang w:eastAsia="bg-BG"/>
        </w:rPr>
        <w:t>и 3-18 години и</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≥40 </w:t>
      </w:r>
      <w:r w:rsidRPr="006547A7">
        <w:rPr>
          <w:rFonts w:eastAsia="Times New Roman" w:cs="Arial"/>
          <w:color w:val="000000"/>
          <w:szCs w:val="20"/>
          <w:lang w:val="en-US"/>
        </w:rPr>
        <w:t>kg</w:t>
      </w:r>
      <w:r w:rsidRPr="006547A7">
        <w:rPr>
          <w:rFonts w:eastAsia="Times New Roman" w:cs="Arial"/>
          <w:color w:val="000000"/>
          <w:szCs w:val="20"/>
          <w:lang w:val="ru-RU"/>
        </w:rPr>
        <w:t>.</w:t>
      </w:r>
    </w:p>
    <w:p w14:paraId="519EB1A7"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Средно </w:t>
      </w:r>
      <w:r w:rsidRPr="006547A7">
        <w:rPr>
          <w:rFonts w:eastAsia="Times New Roman" w:cs="Arial"/>
          <w:color w:val="000000"/>
          <w:szCs w:val="20"/>
          <w:lang w:val="en-US"/>
        </w:rPr>
        <w:t>LVEF</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се е повишила от 31,8% до 45,3% на М012 в групата на ивабрадин спрямо 35,4% до 42,3% в плацебо групата. Наблюдавано е подобрение в класа по </w:t>
      </w:r>
      <w:r w:rsidRPr="006547A7">
        <w:rPr>
          <w:rFonts w:eastAsia="Times New Roman" w:cs="Arial"/>
          <w:color w:val="000000"/>
          <w:szCs w:val="20"/>
          <w:lang w:val="en-US"/>
        </w:rPr>
        <w:t>NYHA</w:t>
      </w:r>
      <w:r w:rsidRPr="006547A7">
        <w:rPr>
          <w:rFonts w:eastAsia="Times New Roman" w:cs="Arial"/>
          <w:color w:val="000000"/>
          <w:szCs w:val="20"/>
          <w:lang w:val="ru-RU"/>
        </w:rPr>
        <w:t xml:space="preserve"> </w:t>
      </w:r>
      <w:r w:rsidRPr="006547A7">
        <w:rPr>
          <w:rFonts w:eastAsia="Times New Roman" w:cs="Arial"/>
          <w:color w:val="000000"/>
          <w:szCs w:val="20"/>
          <w:lang w:eastAsia="bg-BG"/>
        </w:rPr>
        <w:t>при 37,7% от пациентите на ивабрадин спрямо 25,0% в плацебо групата. Тези подобрения нямат статистическа значимост.</w:t>
      </w:r>
    </w:p>
    <w:p w14:paraId="5012263D"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Профилът на безопасност над 1 година е сходен с този, описан при възрастни пациенти с ИБС.</w:t>
      </w:r>
    </w:p>
    <w:p w14:paraId="69BD0B16" w14:textId="77777777" w:rsidR="006547A7" w:rsidRPr="006547A7" w:rsidRDefault="006547A7" w:rsidP="006547A7">
      <w:pPr>
        <w:spacing w:line="240" w:lineRule="auto"/>
        <w:rPr>
          <w:rFonts w:eastAsia="Times New Roman" w:cs="Arial"/>
          <w:color w:val="000000"/>
          <w:szCs w:val="20"/>
          <w:lang w:eastAsia="bg-BG"/>
        </w:rPr>
      </w:pPr>
    </w:p>
    <w:p w14:paraId="6351D271" w14:textId="0618352F"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Дългосрочните ефекти на ивабрадин върху растежа, пубертета и общото развитие, както и дългосрочната ефикасност на лечението с ивабрадин в детска възраст за понижаване на сърдечно-съдовата заболеваемост и смъртност не са проучени.</w:t>
      </w:r>
    </w:p>
    <w:p w14:paraId="5C460AC6" w14:textId="77777777" w:rsidR="006547A7" w:rsidRPr="006547A7" w:rsidRDefault="006547A7" w:rsidP="006547A7">
      <w:pPr>
        <w:spacing w:line="240" w:lineRule="auto"/>
        <w:rPr>
          <w:rFonts w:eastAsia="Times New Roman" w:cs="Arial"/>
          <w:color w:val="000000"/>
          <w:szCs w:val="20"/>
          <w:lang w:eastAsia="bg-BG"/>
        </w:rPr>
      </w:pPr>
    </w:p>
    <w:p w14:paraId="5503228D" w14:textId="59383495"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Европейската агенция по лекарствата освобождава от задължението за предоставяне на</w:t>
      </w:r>
    </w:p>
    <w:p w14:paraId="74514B78"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резултати от проучванията с ивабрадин във всички подгрупи на педиатричната популация лечение на стенокардия.</w:t>
      </w:r>
    </w:p>
    <w:p w14:paraId="562EDBA9" w14:textId="6DC92909" w:rsidR="006547A7" w:rsidRPr="006547A7" w:rsidRDefault="006547A7" w:rsidP="006547A7">
      <w:pPr>
        <w:spacing w:line="240" w:lineRule="auto"/>
        <w:rPr>
          <w:rFonts w:eastAsia="Times New Roman" w:cs="Arial"/>
          <w:sz w:val="28"/>
          <w:szCs w:val="24"/>
          <w:lang w:val="ru-RU"/>
        </w:rPr>
      </w:pPr>
      <w:r w:rsidRPr="006547A7">
        <w:rPr>
          <w:rFonts w:eastAsia="Times New Roman" w:cs="Arial"/>
          <w:color w:val="000000"/>
          <w:szCs w:val="20"/>
          <w:lang w:eastAsia="bg-BG"/>
        </w:rPr>
        <w:t>Европейската агенция по лекарствата освобождава от задължението за предоставяне на резултати от проучванията с ивабрадин при деца на възраст от 0 до б месеца за лечение на хронична сърдечна недостатъчност.</w:t>
      </w:r>
    </w:p>
    <w:p w14:paraId="5236E468" w14:textId="77777777" w:rsidR="006547A7" w:rsidRPr="006547A7" w:rsidRDefault="006547A7" w:rsidP="006547A7"/>
    <w:p w14:paraId="78DD93AA" w14:textId="47A3A094" w:rsidR="00B6672E" w:rsidRDefault="002C50EE" w:rsidP="00936AD0">
      <w:pPr>
        <w:pStyle w:val="Heading2"/>
      </w:pPr>
      <w:r>
        <w:t>5.2. Фармакокинетични свойства</w:t>
      </w:r>
    </w:p>
    <w:p w14:paraId="6B543AA2" w14:textId="195A5622" w:rsidR="006547A7" w:rsidRDefault="006547A7" w:rsidP="006547A7"/>
    <w:p w14:paraId="2D635EDB"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При физиологични условия ивабрадин се освобождава бързо от таблетките и има висока водоразтворимост (&gt;10 </w:t>
      </w:r>
      <w:r w:rsidRPr="006547A7">
        <w:rPr>
          <w:rFonts w:eastAsia="Times New Roman" w:cs="Arial"/>
          <w:color w:val="000000"/>
          <w:szCs w:val="20"/>
          <w:lang w:val="en-US"/>
        </w:rPr>
        <w:t>mg</w:t>
      </w:r>
      <w:r w:rsidRPr="006547A7">
        <w:rPr>
          <w:rFonts w:eastAsia="Times New Roman" w:cs="Arial"/>
          <w:color w:val="000000"/>
          <w:szCs w:val="20"/>
          <w:lang w:val="ru-RU"/>
        </w:rPr>
        <w:t>/</w:t>
      </w:r>
      <w:r w:rsidRPr="006547A7">
        <w:rPr>
          <w:rFonts w:eastAsia="Times New Roman" w:cs="Arial"/>
          <w:color w:val="000000"/>
          <w:szCs w:val="20"/>
          <w:lang w:val="en-US"/>
        </w:rPr>
        <w:t>ml</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Ивабрадин е </w:t>
      </w:r>
      <w:r w:rsidRPr="006547A7">
        <w:rPr>
          <w:rFonts w:eastAsia="Times New Roman" w:cs="Arial"/>
          <w:color w:val="000000"/>
          <w:szCs w:val="20"/>
          <w:lang w:val="en-US"/>
        </w:rPr>
        <w:t>S</w:t>
      </w:r>
      <w:r w:rsidRPr="006547A7">
        <w:rPr>
          <w:rFonts w:eastAsia="Times New Roman" w:cs="Arial"/>
          <w:color w:val="000000"/>
          <w:szCs w:val="20"/>
          <w:lang w:eastAsia="bg-BG"/>
        </w:rPr>
        <w:t xml:space="preserve">-енантиомер, който не претърпява </w:t>
      </w:r>
      <w:r w:rsidRPr="006547A7">
        <w:rPr>
          <w:rFonts w:eastAsia="Times New Roman" w:cs="Arial"/>
          <w:color w:val="000000"/>
          <w:szCs w:val="20"/>
          <w:lang w:eastAsia="bg-BG"/>
        </w:rPr>
        <w:lastRenderedPageBreak/>
        <w:t xml:space="preserve">биоконверсия </w:t>
      </w:r>
      <w:r w:rsidRPr="006547A7">
        <w:rPr>
          <w:rFonts w:eastAsia="Times New Roman" w:cs="Arial"/>
          <w:i/>
          <w:iCs/>
          <w:color w:val="000000"/>
          <w:szCs w:val="20"/>
          <w:lang w:val="en-US"/>
        </w:rPr>
        <w:t>in</w:t>
      </w:r>
      <w:r w:rsidRPr="006547A7">
        <w:rPr>
          <w:rFonts w:eastAsia="Times New Roman" w:cs="Arial"/>
          <w:i/>
          <w:iCs/>
          <w:color w:val="000000"/>
          <w:szCs w:val="20"/>
          <w:lang w:val="ru-RU"/>
        </w:rPr>
        <w:t xml:space="preserve"> </w:t>
      </w:r>
      <w:r w:rsidRPr="006547A7">
        <w:rPr>
          <w:rFonts w:eastAsia="Times New Roman" w:cs="Arial"/>
          <w:i/>
          <w:iCs/>
          <w:color w:val="000000"/>
          <w:szCs w:val="20"/>
          <w:lang w:val="en-US"/>
        </w:rPr>
        <w:t>vivo</w:t>
      </w:r>
      <w:r w:rsidRPr="006547A7">
        <w:rPr>
          <w:rFonts w:eastAsia="Times New Roman" w:cs="Arial"/>
          <w:i/>
          <w:iCs/>
          <w:color w:val="000000"/>
          <w:szCs w:val="20"/>
          <w:lang w:val="ru-RU"/>
        </w:rPr>
        <w:t>,</w:t>
      </w:r>
      <w:r w:rsidRPr="006547A7">
        <w:rPr>
          <w:rFonts w:eastAsia="Times New Roman" w:cs="Arial"/>
          <w:color w:val="000000"/>
          <w:szCs w:val="20"/>
          <w:lang w:val="ru-RU"/>
        </w:rPr>
        <w:t xml:space="preserve"> </w:t>
      </w:r>
      <w:r w:rsidRPr="006547A7">
        <w:rPr>
          <w:rFonts w:eastAsia="Times New Roman" w:cs="Arial"/>
          <w:color w:val="000000"/>
          <w:szCs w:val="20"/>
          <w:lang w:val="en-US"/>
        </w:rPr>
        <w:t>N</w:t>
      </w:r>
      <w:r w:rsidRPr="006547A7">
        <w:rPr>
          <w:rFonts w:eastAsia="Times New Roman" w:cs="Arial"/>
          <w:color w:val="000000"/>
          <w:szCs w:val="20"/>
          <w:lang w:eastAsia="bg-BG"/>
        </w:rPr>
        <w:t>-дезметилираният дериват на ивабрадин е идентифициран като основния активен метаболит при хора.</w:t>
      </w:r>
    </w:p>
    <w:p w14:paraId="15819606" w14:textId="77777777" w:rsidR="006547A7" w:rsidRPr="006547A7" w:rsidRDefault="006547A7" w:rsidP="006547A7">
      <w:pPr>
        <w:spacing w:line="240" w:lineRule="auto"/>
        <w:rPr>
          <w:rFonts w:eastAsia="Times New Roman" w:cs="Arial"/>
          <w:color w:val="000000"/>
          <w:szCs w:val="20"/>
          <w:u w:val="single"/>
          <w:lang w:eastAsia="bg-BG"/>
        </w:rPr>
      </w:pPr>
    </w:p>
    <w:p w14:paraId="583ACCC0" w14:textId="0CA79EBE" w:rsidR="006547A7" w:rsidRPr="006547A7" w:rsidRDefault="006547A7" w:rsidP="006547A7">
      <w:pPr>
        <w:pStyle w:val="Heading3"/>
        <w:rPr>
          <w:rFonts w:eastAsia="Times New Roman"/>
          <w:sz w:val="28"/>
          <w:u w:val="single"/>
        </w:rPr>
      </w:pPr>
      <w:r w:rsidRPr="006547A7">
        <w:rPr>
          <w:rFonts w:eastAsia="Times New Roman"/>
          <w:u w:val="single"/>
          <w:lang w:eastAsia="bg-BG"/>
        </w:rPr>
        <w:t>Абсорбция и бионаличност</w:t>
      </w:r>
    </w:p>
    <w:p w14:paraId="39A724CD" w14:textId="27652418" w:rsidR="006547A7" w:rsidRPr="006547A7" w:rsidRDefault="006547A7" w:rsidP="006547A7">
      <w:pPr>
        <w:rPr>
          <w:rFonts w:eastAsia="Times New Roman" w:cs="Arial"/>
          <w:color w:val="000000"/>
          <w:szCs w:val="20"/>
          <w:lang w:eastAsia="bg-BG"/>
        </w:rPr>
      </w:pPr>
      <w:r w:rsidRPr="006547A7">
        <w:rPr>
          <w:rFonts w:eastAsia="Times New Roman" w:cs="Arial"/>
          <w:color w:val="000000"/>
          <w:szCs w:val="20"/>
          <w:lang w:eastAsia="bg-BG"/>
        </w:rPr>
        <w:t>Ивабрадин се абсорбира бързо и почти изцяло след перорално приложение, а пикови плазмени концентрации се достигат в рамките на около 1 час на гладно. Абсолютната бионаличност на филмираните таблетки е около 40% поради ефекта на първо преминаване в червата и черния дроб.</w:t>
      </w:r>
    </w:p>
    <w:p w14:paraId="6E26843C" w14:textId="56ABD1A1" w:rsidR="006547A7" w:rsidRPr="006547A7" w:rsidRDefault="006547A7" w:rsidP="006547A7">
      <w:pPr>
        <w:rPr>
          <w:rFonts w:eastAsia="Times New Roman" w:cs="Arial"/>
          <w:color w:val="000000"/>
          <w:szCs w:val="20"/>
          <w:lang w:eastAsia="bg-BG"/>
        </w:rPr>
      </w:pPr>
    </w:p>
    <w:p w14:paraId="56C5C8BC"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Храната забавя абсорбцията с приблизително 1 час и повишава плазмената експозиция с 20 до 30%. Прием на таблетките по време на хранене се препоръчва, за да се намали интериндивидуалната вариабилност на експозицията (вижте точка 4.2).</w:t>
      </w:r>
    </w:p>
    <w:p w14:paraId="0D9B8626" w14:textId="77777777" w:rsidR="006547A7" w:rsidRPr="006547A7" w:rsidRDefault="006547A7" w:rsidP="006547A7">
      <w:pPr>
        <w:spacing w:line="240" w:lineRule="auto"/>
        <w:rPr>
          <w:rFonts w:eastAsia="Times New Roman" w:cs="Arial"/>
          <w:color w:val="000000"/>
          <w:szCs w:val="20"/>
          <w:u w:val="single"/>
          <w:lang w:eastAsia="bg-BG"/>
        </w:rPr>
      </w:pPr>
    </w:p>
    <w:p w14:paraId="7CB2C31D" w14:textId="23DDC356" w:rsidR="006547A7" w:rsidRPr="006547A7" w:rsidRDefault="006547A7" w:rsidP="006547A7">
      <w:pPr>
        <w:pStyle w:val="Heading3"/>
        <w:rPr>
          <w:rFonts w:eastAsia="Times New Roman"/>
          <w:sz w:val="28"/>
          <w:u w:val="single"/>
        </w:rPr>
      </w:pPr>
      <w:r w:rsidRPr="006547A7">
        <w:rPr>
          <w:rFonts w:eastAsia="Times New Roman"/>
          <w:u w:val="single"/>
          <w:lang w:eastAsia="bg-BG"/>
        </w:rPr>
        <w:t>Разпределение</w:t>
      </w:r>
    </w:p>
    <w:p w14:paraId="70F4222C"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Ивабрадин се свързва с плазмените протеини приблизително 70%, а обемът на разпределение при пациенти е близък до 100 1. Максималната плазмена концентрация след хронично приложение при препоръчителната доза от 5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е 22 </w:t>
      </w:r>
      <w:r w:rsidRPr="006547A7">
        <w:rPr>
          <w:rFonts w:eastAsia="Times New Roman" w:cs="Arial"/>
          <w:color w:val="000000"/>
          <w:szCs w:val="20"/>
          <w:lang w:val="en-US"/>
        </w:rPr>
        <w:t>ng</w:t>
      </w:r>
      <w:r w:rsidRPr="006547A7">
        <w:rPr>
          <w:rFonts w:eastAsia="Times New Roman" w:cs="Arial"/>
          <w:color w:val="000000"/>
          <w:szCs w:val="20"/>
          <w:lang w:val="ru-RU"/>
        </w:rPr>
        <w:t>/</w:t>
      </w:r>
      <w:r w:rsidRPr="006547A7">
        <w:rPr>
          <w:rFonts w:eastAsia="Times New Roman" w:cs="Arial"/>
          <w:color w:val="000000"/>
          <w:szCs w:val="20"/>
          <w:lang w:val="en-US"/>
        </w:rPr>
        <w:t>ml</w:t>
      </w:r>
      <w:r w:rsidRPr="006547A7">
        <w:rPr>
          <w:rFonts w:eastAsia="Times New Roman" w:cs="Arial"/>
          <w:color w:val="000000"/>
          <w:szCs w:val="20"/>
          <w:lang w:val="ru-RU"/>
        </w:rPr>
        <w:t xml:space="preserve"> (</w:t>
      </w:r>
      <w:r w:rsidRPr="006547A7">
        <w:rPr>
          <w:rFonts w:eastAsia="Times New Roman" w:cs="Arial"/>
          <w:color w:val="000000"/>
          <w:szCs w:val="20"/>
          <w:lang w:val="en-US"/>
        </w:rPr>
        <w:t>CV</w:t>
      </w:r>
      <w:r w:rsidRPr="006547A7">
        <w:rPr>
          <w:rFonts w:eastAsia="Times New Roman" w:cs="Arial"/>
          <w:color w:val="000000"/>
          <w:szCs w:val="20"/>
          <w:lang w:val="ru-RU"/>
        </w:rPr>
        <w:t xml:space="preserve">==29%). </w:t>
      </w:r>
      <w:r w:rsidRPr="006547A7">
        <w:rPr>
          <w:rFonts w:eastAsia="Times New Roman" w:cs="Arial"/>
          <w:color w:val="000000"/>
          <w:szCs w:val="20"/>
          <w:lang w:eastAsia="bg-BG"/>
        </w:rPr>
        <w:t xml:space="preserve">Средната плазмена концентрация в стабилно състояние е 10 </w:t>
      </w:r>
      <w:r w:rsidRPr="006547A7">
        <w:rPr>
          <w:rFonts w:eastAsia="Times New Roman" w:cs="Arial"/>
          <w:color w:val="000000"/>
          <w:szCs w:val="20"/>
          <w:lang w:val="en-US"/>
        </w:rPr>
        <w:t>ng</w:t>
      </w:r>
      <w:r w:rsidRPr="006547A7">
        <w:rPr>
          <w:rFonts w:eastAsia="Times New Roman" w:cs="Arial"/>
          <w:color w:val="000000"/>
          <w:szCs w:val="20"/>
          <w:lang w:val="ru-RU"/>
        </w:rPr>
        <w:t>/</w:t>
      </w:r>
      <w:r w:rsidRPr="006547A7">
        <w:rPr>
          <w:rFonts w:eastAsia="Times New Roman" w:cs="Arial"/>
          <w:color w:val="000000"/>
          <w:szCs w:val="20"/>
          <w:lang w:val="en-US"/>
        </w:rPr>
        <w:t>ml</w:t>
      </w:r>
      <w:r w:rsidRPr="006547A7">
        <w:rPr>
          <w:rFonts w:eastAsia="Times New Roman" w:cs="Arial"/>
          <w:color w:val="000000"/>
          <w:szCs w:val="20"/>
          <w:lang w:val="ru-RU"/>
        </w:rPr>
        <w:t xml:space="preserve"> (</w:t>
      </w:r>
      <w:r w:rsidRPr="006547A7">
        <w:rPr>
          <w:rFonts w:eastAsia="Times New Roman" w:cs="Arial"/>
          <w:color w:val="000000"/>
          <w:szCs w:val="20"/>
          <w:lang w:val="en-US"/>
        </w:rPr>
        <w:t>CV</w:t>
      </w:r>
      <w:r w:rsidRPr="006547A7">
        <w:rPr>
          <w:rFonts w:eastAsia="Times New Roman" w:cs="Arial"/>
          <w:color w:val="000000"/>
          <w:szCs w:val="20"/>
          <w:lang w:val="ru-RU"/>
        </w:rPr>
        <w:t>-38%).</w:t>
      </w:r>
    </w:p>
    <w:p w14:paraId="26D162B3" w14:textId="77777777" w:rsidR="006547A7" w:rsidRPr="006547A7" w:rsidRDefault="006547A7" w:rsidP="006547A7">
      <w:pPr>
        <w:spacing w:line="240" w:lineRule="auto"/>
        <w:rPr>
          <w:rFonts w:eastAsia="Times New Roman" w:cs="Arial"/>
          <w:color w:val="000000"/>
          <w:szCs w:val="20"/>
          <w:u w:val="single"/>
          <w:lang w:eastAsia="bg-BG"/>
        </w:rPr>
      </w:pPr>
    </w:p>
    <w:p w14:paraId="60CFEEE3" w14:textId="2276135C" w:rsidR="006547A7" w:rsidRPr="006547A7" w:rsidRDefault="006547A7" w:rsidP="006547A7">
      <w:pPr>
        <w:pStyle w:val="Heading3"/>
        <w:rPr>
          <w:rFonts w:eastAsia="Times New Roman"/>
          <w:sz w:val="28"/>
          <w:u w:val="single"/>
        </w:rPr>
      </w:pPr>
      <w:r w:rsidRPr="006547A7">
        <w:rPr>
          <w:rFonts w:eastAsia="Times New Roman"/>
          <w:u w:val="single"/>
          <w:lang w:eastAsia="bg-BG"/>
        </w:rPr>
        <w:t>БиотрансФормация</w:t>
      </w:r>
    </w:p>
    <w:p w14:paraId="240C72E0"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Ивабрадин се метаболизира предимно в черния дроб и червата само чрез оксидация с цитохорм Р450 ЗА4 </w:t>
      </w:r>
      <w:r w:rsidRPr="006547A7">
        <w:rPr>
          <w:rFonts w:eastAsia="Times New Roman" w:cs="Arial"/>
          <w:color w:val="000000"/>
          <w:szCs w:val="20"/>
          <w:lang w:val="ru-RU"/>
        </w:rPr>
        <w:t>(</w:t>
      </w:r>
      <w:r w:rsidRPr="006547A7">
        <w:rPr>
          <w:rFonts w:eastAsia="Times New Roman" w:cs="Arial"/>
          <w:color w:val="000000"/>
          <w:szCs w:val="20"/>
          <w:lang w:val="en-US"/>
        </w:rPr>
        <w:t>CYP</w:t>
      </w:r>
      <w:r w:rsidRPr="006547A7">
        <w:rPr>
          <w:rFonts w:eastAsia="Times New Roman" w:cs="Arial"/>
          <w:color w:val="000000"/>
          <w:szCs w:val="20"/>
          <w:lang w:val="ru-RU"/>
        </w:rPr>
        <w:t>3</w:t>
      </w:r>
      <w:r w:rsidRPr="006547A7">
        <w:rPr>
          <w:rFonts w:eastAsia="Times New Roman" w:cs="Arial"/>
          <w:color w:val="000000"/>
          <w:szCs w:val="20"/>
          <w:lang w:val="en-US"/>
        </w:rPr>
        <w:t>A</w:t>
      </w:r>
      <w:r w:rsidRPr="006547A7">
        <w:rPr>
          <w:rFonts w:eastAsia="Times New Roman" w:cs="Arial"/>
          <w:color w:val="000000"/>
          <w:szCs w:val="20"/>
          <w:lang w:val="ru-RU"/>
        </w:rPr>
        <w:t xml:space="preserve">4). </w:t>
      </w:r>
      <w:r w:rsidRPr="006547A7">
        <w:rPr>
          <w:rFonts w:eastAsia="Times New Roman" w:cs="Arial"/>
          <w:color w:val="000000"/>
          <w:szCs w:val="20"/>
          <w:lang w:eastAsia="bg-BG"/>
        </w:rPr>
        <w:t xml:space="preserve">Основният активен метаболит е </w:t>
      </w:r>
      <w:r w:rsidRPr="006547A7">
        <w:rPr>
          <w:rFonts w:eastAsia="Times New Roman" w:cs="Arial"/>
          <w:color w:val="000000"/>
          <w:szCs w:val="20"/>
          <w:lang w:val="en-US"/>
        </w:rPr>
        <w:t>N</w:t>
      </w:r>
      <w:r w:rsidRPr="006547A7">
        <w:rPr>
          <w:rFonts w:eastAsia="Times New Roman" w:cs="Arial"/>
          <w:color w:val="000000"/>
          <w:szCs w:val="20"/>
          <w:lang w:eastAsia="bg-BG"/>
        </w:rPr>
        <w:t xml:space="preserve">-дезметилираният дериват </w:t>
      </w:r>
      <w:r w:rsidRPr="006547A7">
        <w:rPr>
          <w:rFonts w:eastAsia="Times New Roman" w:cs="Arial"/>
          <w:color w:val="000000"/>
          <w:szCs w:val="20"/>
          <w:lang w:val="ru-RU"/>
        </w:rPr>
        <w:t>(</w:t>
      </w:r>
      <w:r w:rsidRPr="006547A7">
        <w:rPr>
          <w:rFonts w:eastAsia="Times New Roman" w:cs="Arial"/>
          <w:color w:val="000000"/>
          <w:szCs w:val="20"/>
          <w:lang w:val="en-US"/>
        </w:rPr>
        <w:t>S</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18982) с експозиция около 40% от тази на изходното вещество. Метаболизмът на този активен метаболит включва също </w:t>
      </w:r>
      <w:r w:rsidRPr="006547A7">
        <w:rPr>
          <w:rFonts w:eastAsia="Times New Roman" w:cs="Arial"/>
          <w:color w:val="000000"/>
          <w:szCs w:val="20"/>
          <w:lang w:val="en-US"/>
        </w:rPr>
        <w:t>CYP</w:t>
      </w:r>
      <w:r w:rsidRPr="006547A7">
        <w:rPr>
          <w:rFonts w:eastAsia="Times New Roman" w:cs="Arial"/>
          <w:color w:val="000000"/>
          <w:szCs w:val="20"/>
          <w:lang w:val="ru-RU"/>
        </w:rPr>
        <w:t>3</w:t>
      </w:r>
      <w:r w:rsidRPr="006547A7">
        <w:rPr>
          <w:rFonts w:eastAsia="Times New Roman" w:cs="Arial"/>
          <w:color w:val="000000"/>
          <w:szCs w:val="20"/>
          <w:lang w:val="en-US"/>
        </w:rPr>
        <w:t>A</w:t>
      </w:r>
      <w:r w:rsidRPr="006547A7">
        <w:rPr>
          <w:rFonts w:eastAsia="Times New Roman" w:cs="Arial"/>
          <w:color w:val="000000"/>
          <w:szCs w:val="20"/>
          <w:lang w:val="ru-RU"/>
        </w:rPr>
        <w:t xml:space="preserve">4. </w:t>
      </w:r>
      <w:r w:rsidRPr="006547A7">
        <w:rPr>
          <w:rFonts w:eastAsia="Times New Roman" w:cs="Arial"/>
          <w:color w:val="000000"/>
          <w:szCs w:val="20"/>
          <w:lang w:eastAsia="bg-BG"/>
        </w:rPr>
        <w:t xml:space="preserve">Ивабрадин има слаб афинитет към </w:t>
      </w:r>
      <w:r w:rsidRPr="006547A7">
        <w:rPr>
          <w:rFonts w:eastAsia="Times New Roman" w:cs="Arial"/>
          <w:color w:val="000000"/>
          <w:szCs w:val="20"/>
          <w:lang w:val="en-US"/>
        </w:rPr>
        <w:t>CYP</w:t>
      </w:r>
      <w:r w:rsidRPr="006547A7">
        <w:rPr>
          <w:rFonts w:eastAsia="Times New Roman" w:cs="Arial"/>
          <w:color w:val="000000"/>
          <w:szCs w:val="20"/>
          <w:lang w:val="ru-RU"/>
        </w:rPr>
        <w:t>3</w:t>
      </w:r>
      <w:r w:rsidRPr="006547A7">
        <w:rPr>
          <w:rFonts w:eastAsia="Times New Roman" w:cs="Arial"/>
          <w:color w:val="000000"/>
          <w:szCs w:val="20"/>
          <w:lang w:val="en-US"/>
        </w:rPr>
        <w:t>A</w:t>
      </w:r>
      <w:r w:rsidRPr="006547A7">
        <w:rPr>
          <w:rFonts w:eastAsia="Times New Roman" w:cs="Arial"/>
          <w:color w:val="000000"/>
          <w:szCs w:val="20"/>
          <w:lang w:val="ru-RU"/>
        </w:rPr>
        <w:t xml:space="preserve">4, </w:t>
      </w:r>
      <w:r w:rsidRPr="006547A7">
        <w:rPr>
          <w:rFonts w:eastAsia="Times New Roman" w:cs="Arial"/>
          <w:color w:val="000000"/>
          <w:szCs w:val="20"/>
          <w:lang w:eastAsia="bg-BG"/>
        </w:rPr>
        <w:t xml:space="preserve">не показва клинично значими </w:t>
      </w:r>
      <w:r w:rsidRPr="006547A7">
        <w:rPr>
          <w:rFonts w:eastAsia="Times New Roman" w:cs="Arial"/>
          <w:color w:val="000000"/>
          <w:szCs w:val="20"/>
          <w:lang w:val="en-US"/>
        </w:rPr>
        <w:t>CYP</w:t>
      </w:r>
      <w:r w:rsidRPr="006547A7">
        <w:rPr>
          <w:rFonts w:eastAsia="Times New Roman" w:cs="Arial"/>
          <w:color w:val="000000"/>
          <w:szCs w:val="20"/>
          <w:lang w:val="ru-RU"/>
        </w:rPr>
        <w:t>3</w:t>
      </w:r>
      <w:r w:rsidRPr="006547A7">
        <w:rPr>
          <w:rFonts w:eastAsia="Times New Roman" w:cs="Arial"/>
          <w:color w:val="000000"/>
          <w:szCs w:val="20"/>
          <w:lang w:val="en-US"/>
        </w:rPr>
        <w:t>A</w:t>
      </w:r>
      <w:r w:rsidRPr="006547A7">
        <w:rPr>
          <w:rFonts w:eastAsia="Times New Roman" w:cs="Arial"/>
          <w:color w:val="000000"/>
          <w:szCs w:val="20"/>
          <w:lang w:val="ru-RU"/>
        </w:rPr>
        <w:t xml:space="preserve">4 </w:t>
      </w:r>
      <w:r w:rsidRPr="006547A7">
        <w:rPr>
          <w:rFonts w:eastAsia="Times New Roman" w:cs="Arial"/>
          <w:color w:val="000000"/>
          <w:szCs w:val="20"/>
          <w:lang w:eastAsia="bg-BG"/>
        </w:rPr>
        <w:t xml:space="preserve">индукция или инхибиране и поради това е малко вероятно да промени метаболизма или плзмените концентрации на </w:t>
      </w:r>
      <w:r w:rsidRPr="006547A7">
        <w:rPr>
          <w:rFonts w:eastAsia="Times New Roman" w:cs="Arial"/>
          <w:color w:val="000000"/>
          <w:szCs w:val="20"/>
          <w:lang w:val="en-US"/>
        </w:rPr>
        <w:t>CYP</w:t>
      </w:r>
      <w:r w:rsidRPr="006547A7">
        <w:rPr>
          <w:rFonts w:eastAsia="Times New Roman" w:cs="Arial"/>
          <w:color w:val="000000"/>
          <w:szCs w:val="20"/>
          <w:lang w:val="ru-RU"/>
        </w:rPr>
        <w:t>3</w:t>
      </w:r>
      <w:r w:rsidRPr="006547A7">
        <w:rPr>
          <w:rFonts w:eastAsia="Times New Roman" w:cs="Arial"/>
          <w:color w:val="000000"/>
          <w:szCs w:val="20"/>
          <w:lang w:val="en-US"/>
        </w:rPr>
        <w:t>A</w:t>
      </w:r>
      <w:r w:rsidRPr="006547A7">
        <w:rPr>
          <w:rFonts w:eastAsia="Times New Roman" w:cs="Arial"/>
          <w:color w:val="000000"/>
          <w:szCs w:val="20"/>
          <w:lang w:val="ru-RU"/>
        </w:rPr>
        <w:t xml:space="preserve">4 </w:t>
      </w:r>
      <w:r w:rsidRPr="006547A7">
        <w:rPr>
          <w:rFonts w:eastAsia="Times New Roman" w:cs="Arial"/>
          <w:color w:val="000000"/>
          <w:szCs w:val="20"/>
          <w:lang w:eastAsia="bg-BG"/>
        </w:rPr>
        <w:t>субстратите. Напротив, мощните инхибитори и индукгори могат значимо да повлияят плазмените концентрации на ивабрадин (вижте точка 4.5).</w:t>
      </w:r>
    </w:p>
    <w:p w14:paraId="09302C36" w14:textId="77777777" w:rsidR="006547A7" w:rsidRPr="006547A7" w:rsidRDefault="006547A7" w:rsidP="006547A7">
      <w:pPr>
        <w:spacing w:line="240" w:lineRule="auto"/>
        <w:rPr>
          <w:rFonts w:eastAsia="Times New Roman" w:cs="Arial"/>
          <w:color w:val="000000"/>
          <w:szCs w:val="20"/>
          <w:u w:val="single"/>
          <w:lang w:eastAsia="bg-BG"/>
        </w:rPr>
      </w:pPr>
    </w:p>
    <w:p w14:paraId="0C9FD13F" w14:textId="49C4424C" w:rsidR="006547A7" w:rsidRPr="006547A7" w:rsidRDefault="006547A7" w:rsidP="006547A7">
      <w:pPr>
        <w:pStyle w:val="Heading3"/>
        <w:rPr>
          <w:rFonts w:eastAsia="Times New Roman"/>
          <w:sz w:val="28"/>
          <w:u w:val="single"/>
        </w:rPr>
      </w:pPr>
      <w:r w:rsidRPr="006547A7">
        <w:rPr>
          <w:rFonts w:eastAsia="Times New Roman"/>
          <w:u w:val="single"/>
          <w:lang w:eastAsia="bg-BG"/>
        </w:rPr>
        <w:t>Елиминиране</w:t>
      </w:r>
    </w:p>
    <w:p w14:paraId="6A2B1781"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Ивабрадин се елиминира с основен полуживот от 2 часа (70-75% от </w:t>
      </w:r>
      <w:r w:rsidRPr="006547A7">
        <w:rPr>
          <w:rFonts w:eastAsia="Times New Roman" w:cs="Arial"/>
          <w:color w:val="000000"/>
          <w:szCs w:val="20"/>
          <w:lang w:val="en-US"/>
        </w:rPr>
        <w:t>AUC</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в плазмата и ефективен полуживот от 11 часа. Общият клирънс е около 400 </w:t>
      </w:r>
      <w:r w:rsidRPr="006547A7">
        <w:rPr>
          <w:rFonts w:eastAsia="Times New Roman" w:cs="Arial"/>
          <w:color w:val="000000"/>
          <w:szCs w:val="20"/>
          <w:lang w:val="en-US"/>
        </w:rPr>
        <w:t>ml</w:t>
      </w:r>
      <w:r w:rsidRPr="006547A7">
        <w:rPr>
          <w:rFonts w:eastAsia="Times New Roman" w:cs="Arial"/>
          <w:color w:val="000000"/>
          <w:szCs w:val="20"/>
          <w:lang w:val="ru-RU"/>
        </w:rPr>
        <w:t>/</w:t>
      </w:r>
      <w:r w:rsidRPr="006547A7">
        <w:rPr>
          <w:rFonts w:eastAsia="Times New Roman" w:cs="Arial"/>
          <w:color w:val="000000"/>
          <w:szCs w:val="20"/>
          <w:lang w:val="en-US"/>
        </w:rPr>
        <w:t>min</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а бъбречният клирънс е около 70 </w:t>
      </w:r>
      <w:r w:rsidRPr="006547A7">
        <w:rPr>
          <w:rFonts w:eastAsia="Times New Roman" w:cs="Arial"/>
          <w:color w:val="000000"/>
          <w:szCs w:val="20"/>
          <w:lang w:val="en-US"/>
        </w:rPr>
        <w:t>ml</w:t>
      </w:r>
      <w:r w:rsidRPr="006547A7">
        <w:rPr>
          <w:rFonts w:eastAsia="Times New Roman" w:cs="Arial"/>
          <w:color w:val="000000"/>
          <w:szCs w:val="20"/>
          <w:lang w:val="ru-RU"/>
        </w:rPr>
        <w:t>/</w:t>
      </w:r>
      <w:r w:rsidRPr="006547A7">
        <w:rPr>
          <w:rFonts w:eastAsia="Times New Roman" w:cs="Arial"/>
          <w:color w:val="000000"/>
          <w:szCs w:val="20"/>
          <w:lang w:val="en-US"/>
        </w:rPr>
        <w:t>min</w:t>
      </w:r>
      <w:r w:rsidRPr="006547A7">
        <w:rPr>
          <w:rFonts w:eastAsia="Times New Roman" w:cs="Arial"/>
          <w:color w:val="000000"/>
          <w:szCs w:val="20"/>
          <w:lang w:val="ru-RU"/>
        </w:rPr>
        <w:t xml:space="preserve">. </w:t>
      </w:r>
      <w:r w:rsidRPr="006547A7">
        <w:rPr>
          <w:rFonts w:eastAsia="Times New Roman" w:cs="Arial"/>
          <w:color w:val="000000"/>
          <w:szCs w:val="20"/>
          <w:lang w:eastAsia="bg-BG"/>
        </w:rPr>
        <w:t>Екскрецията на метаболитите се осъществява в сходна степен чрез изпражненията и урината. Около 4% от пероралната доза се екскретират в непроменен вид в урината.</w:t>
      </w:r>
    </w:p>
    <w:p w14:paraId="262AF192" w14:textId="77777777" w:rsidR="006547A7" w:rsidRPr="006547A7" w:rsidRDefault="006547A7" w:rsidP="006547A7">
      <w:pPr>
        <w:spacing w:line="240" w:lineRule="auto"/>
        <w:rPr>
          <w:rFonts w:eastAsia="Times New Roman" w:cs="Arial"/>
          <w:color w:val="000000"/>
          <w:szCs w:val="20"/>
          <w:u w:val="single"/>
          <w:lang w:eastAsia="bg-BG"/>
        </w:rPr>
      </w:pPr>
    </w:p>
    <w:p w14:paraId="1231A3DB" w14:textId="181CDBDA"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u w:val="single"/>
          <w:lang w:eastAsia="bg-BG"/>
        </w:rPr>
        <w:t>Линейност/ нелинейност</w:t>
      </w:r>
    </w:p>
    <w:p w14:paraId="1567C2EE"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Кинетиката на ивабрадин е линейна в диапазона на перорално дозиране от 0,5 - 24 0.5 - 24 </w:t>
      </w:r>
      <w:r w:rsidRPr="006547A7">
        <w:rPr>
          <w:rFonts w:eastAsia="Times New Roman" w:cs="Arial"/>
          <w:color w:val="000000"/>
          <w:szCs w:val="20"/>
          <w:lang w:val="en-US"/>
        </w:rPr>
        <w:t>mg</w:t>
      </w:r>
      <w:r w:rsidRPr="006547A7">
        <w:rPr>
          <w:rFonts w:eastAsia="Times New Roman" w:cs="Arial"/>
          <w:color w:val="000000"/>
          <w:szCs w:val="20"/>
          <w:lang w:val="ru-RU"/>
        </w:rPr>
        <w:t>.</w:t>
      </w:r>
    </w:p>
    <w:p w14:paraId="14A2A73D" w14:textId="77777777" w:rsidR="006547A7" w:rsidRPr="006547A7" w:rsidRDefault="006547A7" w:rsidP="006547A7">
      <w:pPr>
        <w:spacing w:line="240" w:lineRule="auto"/>
        <w:rPr>
          <w:rFonts w:eastAsia="Times New Roman" w:cs="Arial"/>
          <w:color w:val="000000"/>
          <w:szCs w:val="20"/>
          <w:u w:val="single"/>
          <w:lang w:eastAsia="bg-BG"/>
        </w:rPr>
      </w:pPr>
    </w:p>
    <w:p w14:paraId="48ADEB0B" w14:textId="58822A6E"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u w:val="single"/>
          <w:lang w:eastAsia="bg-BG"/>
        </w:rPr>
        <w:t>Специални популации</w:t>
      </w:r>
    </w:p>
    <w:p w14:paraId="531EE2E1" w14:textId="5BFCE084" w:rsidR="006547A7" w:rsidRPr="006547A7" w:rsidRDefault="006547A7" w:rsidP="006547A7">
      <w:pPr>
        <w:pStyle w:val="ListParagraph"/>
        <w:numPr>
          <w:ilvl w:val="0"/>
          <w:numId w:val="42"/>
        </w:numPr>
        <w:spacing w:line="240" w:lineRule="auto"/>
        <w:rPr>
          <w:rFonts w:eastAsia="Times New Roman" w:cs="Arial"/>
          <w:sz w:val="28"/>
          <w:szCs w:val="24"/>
        </w:rPr>
      </w:pPr>
      <w:r w:rsidRPr="006547A7">
        <w:rPr>
          <w:rFonts w:eastAsia="Times New Roman" w:cs="Arial"/>
          <w:i/>
          <w:iCs/>
          <w:color w:val="000000"/>
          <w:szCs w:val="20"/>
          <w:lang w:eastAsia="bg-BG"/>
        </w:rPr>
        <w:t>Пациенти в старческа възраст</w:t>
      </w:r>
    </w:p>
    <w:p w14:paraId="62F2C26E"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Не са наблюдавани фармакокинетични разлики </w:t>
      </w:r>
      <w:r w:rsidRPr="006547A7">
        <w:rPr>
          <w:rFonts w:eastAsia="Times New Roman" w:cs="Arial"/>
          <w:color w:val="000000"/>
          <w:szCs w:val="20"/>
          <w:lang w:val="ru-RU"/>
        </w:rPr>
        <w:t>(</w:t>
      </w:r>
      <w:r w:rsidRPr="006547A7">
        <w:rPr>
          <w:rFonts w:eastAsia="Times New Roman" w:cs="Arial"/>
          <w:color w:val="000000"/>
          <w:szCs w:val="20"/>
          <w:lang w:val="en-US"/>
        </w:rPr>
        <w:t>AUC</w:t>
      </w:r>
      <w:r w:rsidRPr="006547A7">
        <w:rPr>
          <w:rFonts w:eastAsia="Times New Roman" w:cs="Arial"/>
          <w:color w:val="000000"/>
          <w:szCs w:val="20"/>
          <w:lang w:val="ru-RU"/>
        </w:rPr>
        <w:t xml:space="preserve"> </w:t>
      </w:r>
      <w:r w:rsidRPr="006547A7">
        <w:rPr>
          <w:rFonts w:eastAsia="Times New Roman" w:cs="Arial"/>
          <w:color w:val="000000"/>
          <w:szCs w:val="20"/>
          <w:lang w:eastAsia="bg-BG"/>
        </w:rPr>
        <w:t>и С</w:t>
      </w:r>
      <w:r w:rsidRPr="006547A7">
        <w:rPr>
          <w:rFonts w:eastAsia="Times New Roman" w:cs="Arial"/>
          <w:color w:val="000000"/>
          <w:szCs w:val="20"/>
          <w:vertAlign w:val="subscript"/>
          <w:lang w:val="en-US"/>
        </w:rPr>
        <w:t>max</w:t>
      </w:r>
      <w:r w:rsidRPr="006547A7">
        <w:rPr>
          <w:rFonts w:eastAsia="Times New Roman" w:cs="Arial"/>
          <w:color w:val="000000"/>
          <w:szCs w:val="20"/>
          <w:lang w:eastAsia="bg-BG"/>
        </w:rPr>
        <w:t>) между възрастни пациенти (≥65 години) или пациенти в старческа възраст (≥75 години) и общата популация (вижте точка 4.2).</w:t>
      </w:r>
    </w:p>
    <w:p w14:paraId="5ADA3839" w14:textId="77777777" w:rsidR="006547A7" w:rsidRPr="006547A7" w:rsidRDefault="006547A7" w:rsidP="006547A7">
      <w:pPr>
        <w:spacing w:line="240" w:lineRule="auto"/>
        <w:rPr>
          <w:rFonts w:eastAsia="Times New Roman" w:cs="Arial"/>
          <w:i/>
          <w:iCs/>
          <w:color w:val="000000"/>
          <w:szCs w:val="20"/>
          <w:lang w:eastAsia="bg-BG"/>
        </w:rPr>
      </w:pPr>
    </w:p>
    <w:p w14:paraId="1619D6FF" w14:textId="57971A56" w:rsidR="006547A7" w:rsidRPr="006547A7" w:rsidRDefault="006547A7" w:rsidP="006547A7">
      <w:pPr>
        <w:spacing w:line="240" w:lineRule="auto"/>
        <w:rPr>
          <w:rFonts w:eastAsia="Times New Roman" w:cs="Arial"/>
          <w:sz w:val="28"/>
          <w:szCs w:val="24"/>
        </w:rPr>
      </w:pPr>
      <w:r w:rsidRPr="006547A7">
        <w:rPr>
          <w:rFonts w:eastAsia="Times New Roman" w:cs="Arial"/>
          <w:i/>
          <w:iCs/>
          <w:color w:val="000000"/>
          <w:szCs w:val="20"/>
          <w:lang w:eastAsia="bg-BG"/>
        </w:rPr>
        <w:t>Бъбречно увреждане</w:t>
      </w:r>
    </w:p>
    <w:p w14:paraId="1252EAD0" w14:textId="77777777" w:rsidR="006547A7" w:rsidRPr="006547A7" w:rsidRDefault="006547A7" w:rsidP="006547A7">
      <w:pPr>
        <w:rPr>
          <w:rFonts w:eastAsia="Times New Roman" w:cs="Arial"/>
          <w:sz w:val="28"/>
          <w:szCs w:val="24"/>
        </w:rPr>
      </w:pPr>
      <w:r w:rsidRPr="006547A7">
        <w:rPr>
          <w:rFonts w:eastAsia="Times New Roman" w:cs="Arial"/>
          <w:color w:val="000000"/>
          <w:szCs w:val="20"/>
          <w:lang w:eastAsia="bg-BG"/>
        </w:rPr>
        <w:lastRenderedPageBreak/>
        <w:t>Влиянието на бъбречното увреждане (креатининов клирънс от 15 до 60</w:t>
      </w:r>
      <w:r w:rsidRPr="006547A7">
        <w:rPr>
          <w:rFonts w:eastAsia="Times New Roman" w:cs="Arial"/>
          <w:color w:val="000000"/>
          <w:szCs w:val="20"/>
          <w:lang w:val="ru-RU"/>
        </w:rPr>
        <w:t xml:space="preserve"> </w:t>
      </w:r>
      <w:r w:rsidRPr="006547A7">
        <w:rPr>
          <w:rFonts w:eastAsia="Times New Roman" w:cs="Arial"/>
          <w:color w:val="000000"/>
          <w:szCs w:val="20"/>
          <w:lang w:val="en-US"/>
        </w:rPr>
        <w:t>ml</w:t>
      </w:r>
      <w:r w:rsidRPr="006547A7">
        <w:rPr>
          <w:rFonts w:eastAsia="Times New Roman" w:cs="Arial"/>
          <w:color w:val="000000"/>
          <w:szCs w:val="20"/>
          <w:lang w:val="ru-RU"/>
        </w:rPr>
        <w:t>/</w:t>
      </w:r>
      <w:r w:rsidRPr="006547A7">
        <w:rPr>
          <w:rFonts w:eastAsia="Times New Roman" w:cs="Arial"/>
          <w:color w:val="000000"/>
          <w:szCs w:val="20"/>
          <w:lang w:val="en-US"/>
        </w:rPr>
        <w:t>min</w:t>
      </w:r>
      <w:r w:rsidRPr="006547A7">
        <w:rPr>
          <w:rFonts w:eastAsia="Times New Roman" w:cs="Arial"/>
          <w:color w:val="000000"/>
          <w:szCs w:val="20"/>
          <w:lang w:val="ru-RU"/>
        </w:rPr>
        <w:t xml:space="preserve">) </w:t>
      </w:r>
      <w:r w:rsidRPr="006547A7">
        <w:rPr>
          <w:rFonts w:eastAsia="Times New Roman" w:cs="Arial"/>
          <w:color w:val="000000"/>
          <w:szCs w:val="20"/>
          <w:lang w:eastAsia="bg-BG"/>
        </w:rPr>
        <w:t>върху фармакокинетиката на ивабрадин е минимално, във връзка с ниския принос на бъбречния</w:t>
      </w:r>
      <w:r w:rsidRPr="006547A7">
        <w:rPr>
          <w:rFonts w:eastAsia="Times New Roman" w:cs="Arial"/>
          <w:color w:val="000000"/>
          <w:szCs w:val="20"/>
          <w:lang w:val="ru-RU" w:eastAsia="bg-BG"/>
        </w:rPr>
        <w:t xml:space="preserve"> </w:t>
      </w:r>
      <w:r w:rsidRPr="006547A7">
        <w:rPr>
          <w:rFonts w:eastAsia="Times New Roman" w:cs="Arial"/>
          <w:color w:val="000000"/>
          <w:szCs w:val="20"/>
          <w:lang w:eastAsia="bg-BG"/>
        </w:rPr>
        <w:t xml:space="preserve">клирънс (около 20%) към общата елиминация както на ивабрадин, така и на неговия основен метаболит </w:t>
      </w:r>
      <w:r w:rsidRPr="006547A7">
        <w:rPr>
          <w:rFonts w:eastAsia="Times New Roman" w:cs="Arial"/>
          <w:color w:val="000000"/>
          <w:szCs w:val="20"/>
          <w:lang w:val="en-US"/>
        </w:rPr>
        <w:t>S</w:t>
      </w:r>
      <w:r w:rsidRPr="006547A7">
        <w:rPr>
          <w:rFonts w:eastAsia="Times New Roman" w:cs="Arial"/>
          <w:color w:val="000000"/>
          <w:szCs w:val="20"/>
          <w:lang w:val="ru-RU"/>
        </w:rPr>
        <w:t xml:space="preserve"> </w:t>
      </w:r>
      <w:r w:rsidRPr="006547A7">
        <w:rPr>
          <w:rFonts w:eastAsia="Times New Roman" w:cs="Arial"/>
          <w:color w:val="000000"/>
          <w:szCs w:val="20"/>
          <w:lang w:eastAsia="bg-BG"/>
        </w:rPr>
        <w:t>18982 (вижте точка 4.2).</w:t>
      </w:r>
    </w:p>
    <w:p w14:paraId="44021A74" w14:textId="77777777" w:rsidR="006547A7" w:rsidRPr="006547A7" w:rsidRDefault="006547A7" w:rsidP="006547A7">
      <w:pPr>
        <w:spacing w:line="240" w:lineRule="auto"/>
        <w:rPr>
          <w:rFonts w:eastAsia="Times New Roman" w:cs="Arial"/>
          <w:i/>
          <w:iCs/>
          <w:color w:val="000000"/>
          <w:szCs w:val="20"/>
          <w:lang w:eastAsia="bg-BG"/>
        </w:rPr>
      </w:pPr>
    </w:p>
    <w:p w14:paraId="1206D61A" w14:textId="35B38BAC" w:rsidR="006547A7" w:rsidRPr="006547A7" w:rsidRDefault="006547A7" w:rsidP="006547A7">
      <w:pPr>
        <w:spacing w:line="240" w:lineRule="auto"/>
        <w:rPr>
          <w:rFonts w:eastAsia="Times New Roman" w:cs="Arial"/>
          <w:sz w:val="28"/>
          <w:szCs w:val="24"/>
        </w:rPr>
      </w:pPr>
      <w:r w:rsidRPr="006547A7">
        <w:rPr>
          <w:rFonts w:eastAsia="Times New Roman" w:cs="Arial"/>
          <w:i/>
          <w:iCs/>
          <w:color w:val="000000"/>
          <w:szCs w:val="20"/>
          <w:lang w:eastAsia="bg-BG"/>
        </w:rPr>
        <w:t>Чернодробно увреждане</w:t>
      </w:r>
    </w:p>
    <w:p w14:paraId="2B506130"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При пациенти с леко чернодробно увреждане (резултат по </w:t>
      </w:r>
      <w:r w:rsidRPr="006547A7">
        <w:rPr>
          <w:rFonts w:eastAsia="Times New Roman" w:cs="Arial"/>
          <w:color w:val="000000"/>
          <w:szCs w:val="20"/>
          <w:lang w:val="en-US"/>
        </w:rPr>
        <w:t>Child</w:t>
      </w:r>
      <w:r w:rsidRPr="006547A7">
        <w:rPr>
          <w:rFonts w:eastAsia="Times New Roman" w:cs="Arial"/>
          <w:color w:val="000000"/>
          <w:szCs w:val="20"/>
          <w:lang w:val="ru-RU"/>
        </w:rPr>
        <w:t xml:space="preserve"> </w:t>
      </w:r>
      <w:r w:rsidRPr="006547A7">
        <w:rPr>
          <w:rFonts w:eastAsia="Times New Roman" w:cs="Arial"/>
          <w:color w:val="000000"/>
          <w:szCs w:val="20"/>
          <w:lang w:val="en-US"/>
        </w:rPr>
        <w:t>Pugh</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скалата до 7) </w:t>
      </w:r>
      <w:r w:rsidRPr="006547A7">
        <w:rPr>
          <w:rFonts w:eastAsia="Times New Roman" w:cs="Arial"/>
          <w:color w:val="000000"/>
          <w:szCs w:val="20"/>
          <w:lang w:val="en-US"/>
        </w:rPr>
        <w:t>AUC</w:t>
      </w:r>
      <w:r w:rsidRPr="006547A7">
        <w:rPr>
          <w:rFonts w:eastAsia="Times New Roman" w:cs="Arial"/>
          <w:color w:val="000000"/>
          <w:szCs w:val="20"/>
          <w:lang w:val="ru-RU"/>
        </w:rPr>
        <w:t xml:space="preserve"> </w:t>
      </w:r>
      <w:r w:rsidRPr="006547A7">
        <w:rPr>
          <w:rFonts w:eastAsia="Times New Roman" w:cs="Arial"/>
          <w:color w:val="000000"/>
          <w:szCs w:val="20"/>
          <w:lang w:eastAsia="bg-BG"/>
        </w:rPr>
        <w:t>на несвързания ивабрадин и основния активен метаболит са били около 20% по-високи отколкото при субекти с нормална чернодробна функция. Данните не са достатъчни, за да се направят изводи при пациенти с умерено чернодробно увреждане. Няма налични данни при пациенти с тежко чернодробно увреждане (вижте точки 4.2 и 4.3).</w:t>
      </w:r>
    </w:p>
    <w:p w14:paraId="4AAB8926" w14:textId="77777777" w:rsidR="006547A7" w:rsidRPr="006547A7" w:rsidRDefault="006547A7" w:rsidP="006547A7">
      <w:pPr>
        <w:spacing w:line="240" w:lineRule="auto"/>
        <w:rPr>
          <w:rFonts w:eastAsia="Times New Roman" w:cs="Arial"/>
          <w:i/>
          <w:iCs/>
          <w:color w:val="000000"/>
          <w:szCs w:val="20"/>
          <w:lang w:eastAsia="bg-BG"/>
        </w:rPr>
      </w:pPr>
    </w:p>
    <w:p w14:paraId="45AD3BB0" w14:textId="1FBDAD3C" w:rsidR="006547A7" w:rsidRPr="006547A7" w:rsidRDefault="006547A7" w:rsidP="006547A7">
      <w:pPr>
        <w:spacing w:line="240" w:lineRule="auto"/>
        <w:rPr>
          <w:rFonts w:eastAsia="Times New Roman" w:cs="Arial"/>
          <w:sz w:val="28"/>
          <w:szCs w:val="24"/>
        </w:rPr>
      </w:pPr>
      <w:r w:rsidRPr="006547A7">
        <w:rPr>
          <w:rFonts w:eastAsia="Times New Roman" w:cs="Arial"/>
          <w:i/>
          <w:iCs/>
          <w:color w:val="000000"/>
          <w:szCs w:val="20"/>
          <w:lang w:eastAsia="bg-BG"/>
        </w:rPr>
        <w:t>Педиатрична популация</w:t>
      </w:r>
    </w:p>
    <w:p w14:paraId="21D7B332"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Фармакокинетачният профил на ивабрадин при педиатрични пациенти с хронична сърдечна недостатъчност на възраст от </w:t>
      </w:r>
      <w:r w:rsidRPr="006547A7">
        <w:rPr>
          <w:rFonts w:eastAsia="Times New Roman" w:cs="Arial"/>
          <w:i/>
          <w:iCs/>
          <w:color w:val="000000"/>
          <w:szCs w:val="20"/>
          <w:lang w:eastAsia="bg-BG"/>
        </w:rPr>
        <w:t>6</w:t>
      </w:r>
      <w:r w:rsidRPr="006547A7">
        <w:rPr>
          <w:rFonts w:eastAsia="Times New Roman" w:cs="Arial"/>
          <w:color w:val="000000"/>
          <w:szCs w:val="20"/>
          <w:lang w:eastAsia="bg-BG"/>
        </w:rPr>
        <w:t xml:space="preserve"> месеца до 18 години е сходен с фармакокинетиката, описана при възрастни, когато се прилага схемата на титриране въз основа на възрастта и теглото.</w:t>
      </w:r>
    </w:p>
    <w:p w14:paraId="2DB3977A" w14:textId="77777777" w:rsidR="006547A7" w:rsidRPr="006547A7" w:rsidRDefault="006547A7" w:rsidP="006547A7">
      <w:pPr>
        <w:spacing w:line="240" w:lineRule="auto"/>
        <w:rPr>
          <w:rFonts w:eastAsia="Times New Roman" w:cs="Arial"/>
          <w:color w:val="000000"/>
          <w:szCs w:val="20"/>
          <w:u w:val="single"/>
          <w:lang w:eastAsia="bg-BG"/>
        </w:rPr>
      </w:pPr>
    </w:p>
    <w:p w14:paraId="6B0239FC" w14:textId="31B9530B"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u w:val="single"/>
          <w:lang w:eastAsia="bg-BG"/>
        </w:rPr>
        <w:t>Връзка фармакокинетика-фармакодинамика</w:t>
      </w:r>
    </w:p>
    <w:p w14:paraId="7859B0BA" w14:textId="4F777AEC" w:rsidR="006547A7" w:rsidRPr="006547A7" w:rsidRDefault="006547A7" w:rsidP="006547A7">
      <w:pPr>
        <w:spacing w:line="240" w:lineRule="auto"/>
        <w:rPr>
          <w:rFonts w:eastAsia="Times New Roman" w:cs="Arial"/>
          <w:sz w:val="28"/>
          <w:szCs w:val="24"/>
          <w:lang w:val="ru-RU"/>
        </w:rPr>
      </w:pPr>
      <w:r w:rsidRPr="006547A7">
        <w:rPr>
          <w:rFonts w:eastAsia="Times New Roman" w:cs="Arial"/>
          <w:color w:val="000000"/>
          <w:szCs w:val="20"/>
          <w:lang w:eastAsia="bg-BG"/>
        </w:rPr>
        <w:t xml:space="preserve">Анализът на връзката фармакокинетика-фармакодинамика показва, че сърдечната честота се понижава почти линейно с повишаване на плазмените концентрации на ивабрадин и </w:t>
      </w:r>
      <w:r w:rsidRPr="006547A7">
        <w:rPr>
          <w:rFonts w:eastAsia="Times New Roman" w:cs="Arial"/>
          <w:color w:val="000000"/>
          <w:szCs w:val="20"/>
          <w:lang w:val="en-US"/>
        </w:rPr>
        <w:t>S</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18982 при дози до 15-20 </w:t>
      </w:r>
      <w:r w:rsidRPr="006547A7">
        <w:rPr>
          <w:rFonts w:eastAsia="Times New Roman" w:cs="Arial"/>
          <w:color w:val="000000"/>
          <w:szCs w:val="20"/>
          <w:lang w:val="en-US"/>
        </w:rPr>
        <w:t>mg</w:t>
      </w:r>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два пъти дневно. При по-високи дози понижението на сърдечната честота вече не е пропорционално на плазмените концентрации на ивабрадин и има тенденция към достигане на плато. Високата експозиция на ивабрадин, която може да настъпи, когато ивабрадин се прилага съвместно със силни </w:t>
      </w:r>
      <w:r w:rsidRPr="006547A7">
        <w:rPr>
          <w:rFonts w:eastAsia="Times New Roman" w:cs="Arial"/>
          <w:color w:val="000000"/>
          <w:szCs w:val="20"/>
          <w:lang w:val="en-US"/>
        </w:rPr>
        <w:t>CYP</w:t>
      </w:r>
      <w:r w:rsidRPr="006547A7">
        <w:rPr>
          <w:rFonts w:eastAsia="Times New Roman" w:cs="Arial"/>
          <w:color w:val="000000"/>
          <w:szCs w:val="20"/>
          <w:lang w:val="ru-RU"/>
        </w:rPr>
        <w:t>3</w:t>
      </w:r>
      <w:r w:rsidRPr="006547A7">
        <w:rPr>
          <w:rFonts w:eastAsia="Times New Roman" w:cs="Arial"/>
          <w:color w:val="000000"/>
          <w:szCs w:val="20"/>
          <w:lang w:val="en-US"/>
        </w:rPr>
        <w:t>A</w:t>
      </w:r>
      <w:r w:rsidRPr="006547A7">
        <w:rPr>
          <w:rFonts w:eastAsia="Times New Roman" w:cs="Arial"/>
          <w:color w:val="000000"/>
          <w:szCs w:val="20"/>
          <w:lang w:val="ru-RU"/>
        </w:rPr>
        <w:t xml:space="preserve">4 </w:t>
      </w:r>
      <w:r w:rsidRPr="006547A7">
        <w:rPr>
          <w:rFonts w:eastAsia="Times New Roman" w:cs="Arial"/>
          <w:color w:val="000000"/>
          <w:szCs w:val="20"/>
          <w:lang w:eastAsia="bg-BG"/>
        </w:rPr>
        <w:t xml:space="preserve">инхибитори, може да доведе до прекомерно понижаване на сърдечната честота, въпреки че този риск е по-малък при умерени </w:t>
      </w:r>
      <w:r w:rsidRPr="006547A7">
        <w:rPr>
          <w:rFonts w:eastAsia="Times New Roman" w:cs="Arial"/>
          <w:color w:val="000000"/>
          <w:szCs w:val="20"/>
          <w:lang w:val="en-US"/>
        </w:rPr>
        <w:t>CYP</w:t>
      </w:r>
      <w:r w:rsidRPr="006547A7">
        <w:rPr>
          <w:rFonts w:eastAsia="Times New Roman" w:cs="Arial"/>
          <w:color w:val="000000"/>
          <w:szCs w:val="20"/>
          <w:lang w:val="ru-RU"/>
        </w:rPr>
        <w:t>3</w:t>
      </w:r>
      <w:r w:rsidRPr="006547A7">
        <w:rPr>
          <w:rFonts w:eastAsia="Times New Roman" w:cs="Arial"/>
          <w:color w:val="000000"/>
          <w:szCs w:val="20"/>
          <w:lang w:eastAsia="bg-BG"/>
        </w:rPr>
        <w:t>А4 инхибитори (вижте точка 4.3, 4.4 и 4.5). Връзката фармакокинетика-фармакодинамика на ивабрадин при педиатрични пациенти с хронична сърдечна недостатъчност на възраст от 6 месеца до 18 години е сходна с връзката фармакокинетика-фармакодинамика, описана при възрастни.</w:t>
      </w:r>
    </w:p>
    <w:p w14:paraId="1895F39E" w14:textId="77777777" w:rsidR="006547A7" w:rsidRPr="006547A7" w:rsidRDefault="006547A7" w:rsidP="006547A7"/>
    <w:p w14:paraId="4FB791BE" w14:textId="5CC2FD73" w:rsidR="00B6672E" w:rsidRDefault="002C50EE" w:rsidP="00936AD0">
      <w:pPr>
        <w:pStyle w:val="Heading2"/>
      </w:pPr>
      <w:r>
        <w:t>5.3. Предклинични данни за безопасност</w:t>
      </w:r>
    </w:p>
    <w:p w14:paraId="3F821339" w14:textId="7C284181" w:rsidR="006547A7" w:rsidRDefault="006547A7" w:rsidP="006547A7"/>
    <w:p w14:paraId="188F9A78"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Неклиничните данни не показват особен риск за хора на базата на конвенционалните фармакологични проучвания за безопасност, токсичност при многократно прилагане, генотоксичност, канцерогенен потенциал. Проучванията за репродуктивна токсичност не показват ефект на ивабрадин върху фертилитета при мъжки и женски плъхове. Когато бременни животни са лекувани по време на органогенезата с експозиции близки до терапевтичните дози е наблюдавана по-висока честота на фетуси със сърдечни дефекти при плъхове и малък брой фетуси с ектродиктилия при зайци.</w:t>
      </w:r>
    </w:p>
    <w:p w14:paraId="5825B73F"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При кучета, на които е даден ивабрадин (дози от 2, 7 или 24 </w:t>
      </w:r>
      <w:r w:rsidRPr="006547A7">
        <w:rPr>
          <w:rFonts w:eastAsia="Times New Roman" w:cs="Arial"/>
          <w:color w:val="000000"/>
          <w:szCs w:val="20"/>
          <w:lang w:val="en-US"/>
        </w:rPr>
        <w:t>mg</w:t>
      </w:r>
      <w:r w:rsidRPr="006547A7">
        <w:rPr>
          <w:rFonts w:eastAsia="Times New Roman" w:cs="Arial"/>
          <w:color w:val="000000"/>
          <w:szCs w:val="20"/>
          <w:lang w:val="ru-RU"/>
        </w:rPr>
        <w:t>/</w:t>
      </w:r>
      <w:r w:rsidRPr="006547A7">
        <w:rPr>
          <w:rFonts w:eastAsia="Times New Roman" w:cs="Arial"/>
          <w:color w:val="000000"/>
          <w:szCs w:val="20"/>
          <w:lang w:val="en-US"/>
        </w:rPr>
        <w:t>kg</w:t>
      </w:r>
      <w:r w:rsidRPr="006547A7">
        <w:rPr>
          <w:rFonts w:eastAsia="Times New Roman" w:cs="Arial"/>
          <w:color w:val="000000"/>
          <w:szCs w:val="20"/>
          <w:lang w:eastAsia="bg-BG"/>
        </w:rPr>
        <w:t>/дневно) за една година са</w:t>
      </w:r>
    </w:p>
    <w:p w14:paraId="28D6137A" w14:textId="77777777" w:rsidR="006547A7" w:rsidRPr="006547A7" w:rsidRDefault="006547A7" w:rsidP="006547A7">
      <w:pPr>
        <w:rPr>
          <w:rFonts w:eastAsia="Times New Roman" w:cs="Arial"/>
          <w:sz w:val="28"/>
          <w:szCs w:val="24"/>
        </w:rPr>
      </w:pPr>
      <w:r w:rsidRPr="006547A7">
        <w:rPr>
          <w:rFonts w:eastAsia="Times New Roman" w:cs="Arial"/>
          <w:color w:val="000000"/>
          <w:szCs w:val="20"/>
          <w:lang w:eastAsia="bg-BG"/>
        </w:rPr>
        <w:t>наблюдавани обратими промени в ретиналната функция, но те не са свързани с увреждания на</w:t>
      </w:r>
      <w:r w:rsidRPr="006547A7">
        <w:rPr>
          <w:rFonts w:eastAsia="Times New Roman" w:cs="Arial"/>
          <w:color w:val="000000"/>
          <w:szCs w:val="20"/>
          <w:lang w:val="ru-RU" w:eastAsia="bg-BG"/>
        </w:rPr>
        <w:t xml:space="preserve"> </w:t>
      </w:r>
      <w:r w:rsidRPr="006547A7">
        <w:rPr>
          <w:rFonts w:eastAsia="Times New Roman" w:cs="Arial"/>
          <w:color w:val="000000"/>
          <w:szCs w:val="20"/>
          <w:lang w:eastAsia="bg-BG"/>
        </w:rPr>
        <w:t xml:space="preserve">очните структури. Тези данни съответстват на фармакологичния ефект на ивабрадин, свързан с взаимодействието му с хиперполяризационно активираните </w:t>
      </w:r>
      <w:proofErr w:type="spellStart"/>
      <w:r w:rsidRPr="006547A7">
        <w:rPr>
          <w:rFonts w:eastAsia="Times New Roman" w:cs="Arial"/>
          <w:color w:val="000000"/>
          <w:szCs w:val="20"/>
          <w:lang w:val="en-US"/>
        </w:rPr>
        <w:t>I</w:t>
      </w:r>
      <w:r w:rsidRPr="006547A7">
        <w:rPr>
          <w:rFonts w:eastAsia="Times New Roman" w:cs="Arial"/>
          <w:color w:val="000000"/>
          <w:szCs w:val="20"/>
          <w:vertAlign w:val="subscript"/>
          <w:lang w:val="en-US"/>
        </w:rPr>
        <w:t>h</w:t>
      </w:r>
      <w:proofErr w:type="spellEnd"/>
      <w:r w:rsidRPr="006547A7">
        <w:rPr>
          <w:rFonts w:eastAsia="Times New Roman" w:cs="Arial"/>
          <w:color w:val="000000"/>
          <w:szCs w:val="20"/>
          <w:lang w:val="ru-RU"/>
        </w:rPr>
        <w:t xml:space="preserve"> </w:t>
      </w:r>
      <w:r w:rsidRPr="006547A7">
        <w:rPr>
          <w:rFonts w:eastAsia="Times New Roman" w:cs="Arial"/>
          <w:color w:val="000000"/>
          <w:szCs w:val="20"/>
          <w:lang w:eastAsia="bg-BG"/>
        </w:rPr>
        <w:t xml:space="preserve">токове в ретината, които са много сходни с </w:t>
      </w:r>
      <w:r w:rsidRPr="006547A7">
        <w:rPr>
          <w:rFonts w:eastAsia="Times New Roman" w:cs="Arial"/>
          <w:color w:val="000000"/>
          <w:szCs w:val="20"/>
          <w:lang w:val="en-US"/>
        </w:rPr>
        <w:t>If</w:t>
      </w:r>
      <w:r w:rsidRPr="006547A7">
        <w:rPr>
          <w:rFonts w:eastAsia="Times New Roman" w:cs="Arial"/>
          <w:color w:val="000000"/>
          <w:szCs w:val="20"/>
          <w:lang w:val="ru-RU"/>
        </w:rPr>
        <w:t xml:space="preserve"> </w:t>
      </w:r>
      <w:r w:rsidRPr="006547A7">
        <w:rPr>
          <w:rFonts w:eastAsia="Times New Roman" w:cs="Arial"/>
          <w:color w:val="000000"/>
          <w:szCs w:val="20"/>
          <w:lang w:eastAsia="bg-BG"/>
        </w:rPr>
        <w:t>тока на сърдечния пейсмейкьр.</w:t>
      </w:r>
    </w:p>
    <w:p w14:paraId="37B5FD2C"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Други дългосрочни проучвания с многократни дози и проучвания за карциногенност не са показали клинично значими промени.</w:t>
      </w:r>
    </w:p>
    <w:p w14:paraId="0290BAEF" w14:textId="77777777" w:rsidR="006547A7" w:rsidRPr="006547A7" w:rsidRDefault="006547A7" w:rsidP="006547A7">
      <w:pPr>
        <w:spacing w:line="240" w:lineRule="auto"/>
        <w:rPr>
          <w:rFonts w:eastAsia="Times New Roman" w:cs="Arial"/>
          <w:color w:val="000000"/>
          <w:szCs w:val="20"/>
          <w:u w:val="single"/>
          <w:lang w:eastAsia="bg-BG"/>
        </w:rPr>
      </w:pPr>
    </w:p>
    <w:p w14:paraId="5BBE5042" w14:textId="46BAAD22"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u w:val="single"/>
          <w:lang w:eastAsia="bg-BG"/>
        </w:rPr>
        <w:lastRenderedPageBreak/>
        <w:t xml:space="preserve">Риск за околната среда </w:t>
      </w:r>
      <w:r w:rsidRPr="006547A7">
        <w:rPr>
          <w:rFonts w:eastAsia="Times New Roman" w:cs="Arial"/>
          <w:color w:val="000000"/>
          <w:szCs w:val="20"/>
          <w:u w:val="single"/>
          <w:lang w:val="ru-RU"/>
        </w:rPr>
        <w:t>(</w:t>
      </w:r>
      <w:r w:rsidRPr="006547A7">
        <w:rPr>
          <w:rFonts w:eastAsia="Times New Roman" w:cs="Arial"/>
          <w:color w:val="000000"/>
          <w:szCs w:val="20"/>
          <w:u w:val="single"/>
          <w:lang w:val="en-US"/>
        </w:rPr>
        <w:t>ERA</w:t>
      </w:r>
      <w:r w:rsidRPr="006547A7">
        <w:rPr>
          <w:rFonts w:eastAsia="Times New Roman" w:cs="Arial"/>
          <w:color w:val="000000"/>
          <w:szCs w:val="20"/>
          <w:u w:val="single"/>
          <w:lang w:val="ru-RU"/>
        </w:rPr>
        <w:t>)</w:t>
      </w:r>
    </w:p>
    <w:p w14:paraId="2F19D48F"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 xml:space="preserve">Оценката на риска за околната среда на ивабрадин е проведена в съответствие с европейското ръководство за </w:t>
      </w:r>
      <w:r w:rsidRPr="006547A7">
        <w:rPr>
          <w:rFonts w:eastAsia="Times New Roman" w:cs="Arial"/>
          <w:color w:val="000000"/>
          <w:szCs w:val="20"/>
          <w:lang w:val="en-US"/>
        </w:rPr>
        <w:t>ERA</w:t>
      </w:r>
      <w:r w:rsidRPr="006547A7">
        <w:rPr>
          <w:rFonts w:eastAsia="Times New Roman" w:cs="Arial"/>
          <w:color w:val="000000"/>
          <w:szCs w:val="20"/>
          <w:lang w:val="ru-RU"/>
        </w:rPr>
        <w:t>.</w:t>
      </w:r>
    </w:p>
    <w:p w14:paraId="0CFC50F6" w14:textId="77777777" w:rsidR="006547A7" w:rsidRPr="006547A7" w:rsidRDefault="006547A7" w:rsidP="006547A7">
      <w:pPr>
        <w:spacing w:line="240" w:lineRule="auto"/>
        <w:rPr>
          <w:rFonts w:eastAsia="Times New Roman" w:cs="Arial"/>
          <w:sz w:val="28"/>
          <w:szCs w:val="24"/>
        </w:rPr>
      </w:pPr>
      <w:r w:rsidRPr="006547A7">
        <w:rPr>
          <w:rFonts w:eastAsia="Times New Roman" w:cs="Arial"/>
          <w:color w:val="000000"/>
          <w:szCs w:val="20"/>
          <w:lang w:eastAsia="bg-BG"/>
        </w:rPr>
        <w:t>Резултатите от тези проучвания подкрепят липсата на риск за околната среда от ивабрадин и ивабрадин не представлява заплаха за околната среда.</w:t>
      </w:r>
    </w:p>
    <w:p w14:paraId="2F65DCDD" w14:textId="4014119E" w:rsidR="006547A7" w:rsidRPr="006547A7" w:rsidRDefault="006547A7" w:rsidP="006547A7"/>
    <w:p w14:paraId="1BA6531D" w14:textId="7B72968C" w:rsidR="00B6672E" w:rsidRDefault="002C50EE" w:rsidP="00936AD0">
      <w:pPr>
        <w:pStyle w:val="Heading1"/>
      </w:pPr>
      <w:r>
        <w:t>7. ПРИТЕЖАТЕЛ НА РАЗРЕШЕНИЕТО ЗА УПОТРЕБА</w:t>
      </w:r>
    </w:p>
    <w:p w14:paraId="760675E9" w14:textId="70E671FD" w:rsidR="006547A7" w:rsidRDefault="006547A7" w:rsidP="006547A7"/>
    <w:p w14:paraId="53AFEAF9" w14:textId="4E5CCD23" w:rsidR="006547A7" w:rsidRPr="006547A7" w:rsidRDefault="006547A7" w:rsidP="006547A7">
      <w:r>
        <w:t xml:space="preserve">Medochemie Ltd, </w:t>
      </w:r>
      <w:r>
        <w:rPr>
          <w:lang w:eastAsia="bg-BG"/>
        </w:rPr>
        <w:t xml:space="preserve">1-10 </w:t>
      </w:r>
      <w:r>
        <w:t xml:space="preserve">Constantinoupoleos Street 3011, Limassol, </w:t>
      </w:r>
      <w:r>
        <w:rPr>
          <w:lang w:eastAsia="bg-BG"/>
        </w:rPr>
        <w:t>Кипър</w:t>
      </w:r>
    </w:p>
    <w:p w14:paraId="508F3A54" w14:textId="59368C62" w:rsidR="00B6672E" w:rsidRDefault="00936AD0" w:rsidP="00936AD0">
      <w:pPr>
        <w:pStyle w:val="Heading1"/>
      </w:pPr>
      <w:r>
        <w:t>8.</w:t>
      </w:r>
      <w:r w:rsidR="002C50EE">
        <w:t>НОМЕР НА РАЗРЕШЕНИЕТО ЗА УПОТРЕБА</w:t>
      </w:r>
    </w:p>
    <w:p w14:paraId="1CB46F2F" w14:textId="511A20E9" w:rsidR="006547A7" w:rsidRDefault="006547A7" w:rsidP="006547A7"/>
    <w:p w14:paraId="79720D3D" w14:textId="3B08F79C" w:rsidR="006547A7" w:rsidRPr="006547A7" w:rsidRDefault="006547A7" w:rsidP="006547A7">
      <w:pPr>
        <w:spacing w:line="240" w:lineRule="auto"/>
        <w:rPr>
          <w:rFonts w:ascii="Times New Roman" w:eastAsia="Times New Roman" w:hAnsi="Times New Roman" w:cs="Times New Roman"/>
          <w:sz w:val="24"/>
          <w:szCs w:val="24"/>
        </w:rPr>
      </w:pPr>
      <w:r w:rsidRPr="006547A7">
        <w:rPr>
          <w:rFonts w:ascii="Times New Roman" w:eastAsia="Times New Roman" w:hAnsi="Times New Roman" w:cs="Times New Roman"/>
          <w:color w:val="000000"/>
          <w:sz w:val="20"/>
          <w:szCs w:val="20"/>
          <w:lang w:eastAsia="bg-BG"/>
        </w:rPr>
        <w:t xml:space="preserve">АПРЕДОНАВ 5 </w:t>
      </w:r>
      <w:r w:rsidRPr="006547A7">
        <w:rPr>
          <w:rFonts w:ascii="Times New Roman" w:eastAsia="Times New Roman" w:hAnsi="Times New Roman" w:cs="Times New Roman"/>
          <w:color w:val="000000"/>
          <w:sz w:val="20"/>
          <w:szCs w:val="20"/>
          <w:lang w:val="en-US"/>
        </w:rPr>
        <w:t>mg</w:t>
      </w:r>
      <w:r w:rsidRPr="006547A7">
        <w:rPr>
          <w:rFonts w:ascii="Times New Roman" w:eastAsia="Times New Roman" w:hAnsi="Times New Roman" w:cs="Times New Roman"/>
          <w:color w:val="000000"/>
          <w:sz w:val="20"/>
          <w:szCs w:val="20"/>
          <w:lang w:val="ru-RU"/>
        </w:rPr>
        <w:t xml:space="preserve"> </w:t>
      </w:r>
      <w:r w:rsidRPr="006547A7">
        <w:rPr>
          <w:rFonts w:ascii="Times New Roman" w:eastAsia="Times New Roman" w:hAnsi="Times New Roman" w:cs="Times New Roman"/>
          <w:color w:val="000000"/>
          <w:sz w:val="20"/>
          <w:szCs w:val="20"/>
          <w:lang w:eastAsia="bg-BG"/>
        </w:rPr>
        <w:t xml:space="preserve">филммирани таблетки </w:t>
      </w:r>
      <w:proofErr w:type="spellStart"/>
      <w:r>
        <w:rPr>
          <w:rFonts w:ascii="Times New Roman" w:eastAsia="Times New Roman" w:hAnsi="Times New Roman" w:cs="Times New Roman"/>
          <w:color w:val="000000"/>
          <w:sz w:val="20"/>
          <w:szCs w:val="20"/>
          <w:lang w:val="en-US"/>
        </w:rPr>
        <w:t>Pe</w:t>
      </w:r>
      <w:proofErr w:type="spellEnd"/>
      <w:r>
        <w:rPr>
          <w:rFonts w:ascii="Times New Roman" w:eastAsia="Times New Roman" w:hAnsi="Times New Roman" w:cs="Times New Roman"/>
          <w:color w:val="000000"/>
          <w:sz w:val="20"/>
          <w:szCs w:val="20"/>
        </w:rPr>
        <w:t>г</w:t>
      </w:r>
      <w:r w:rsidRPr="006547A7">
        <w:rPr>
          <w:rFonts w:ascii="Times New Roman" w:eastAsia="Times New Roman" w:hAnsi="Times New Roman" w:cs="Times New Roman"/>
          <w:color w:val="000000"/>
          <w:sz w:val="20"/>
          <w:szCs w:val="20"/>
          <w:lang w:val="ru-RU"/>
        </w:rPr>
        <w:t xml:space="preserve">. </w:t>
      </w:r>
      <w:r w:rsidRPr="006547A7">
        <w:rPr>
          <w:rFonts w:ascii="Times New Roman" w:eastAsia="Times New Roman" w:hAnsi="Times New Roman" w:cs="Times New Roman"/>
          <w:color w:val="000000"/>
          <w:sz w:val="20"/>
          <w:szCs w:val="20"/>
          <w:lang w:eastAsia="bg-BG"/>
        </w:rPr>
        <w:t>№:</w:t>
      </w:r>
    </w:p>
    <w:p w14:paraId="726D6561" w14:textId="0F4F9105" w:rsidR="006547A7" w:rsidRPr="006547A7" w:rsidRDefault="006547A7" w:rsidP="006547A7">
      <w:pPr>
        <w:spacing w:line="240" w:lineRule="auto"/>
        <w:rPr>
          <w:rFonts w:ascii="Times New Roman" w:eastAsia="Times New Roman" w:hAnsi="Times New Roman" w:cs="Times New Roman"/>
          <w:sz w:val="24"/>
          <w:szCs w:val="24"/>
        </w:rPr>
      </w:pPr>
      <w:r w:rsidRPr="006547A7">
        <w:rPr>
          <w:rFonts w:ascii="Times New Roman" w:eastAsia="Times New Roman" w:hAnsi="Times New Roman" w:cs="Times New Roman"/>
          <w:color w:val="000000"/>
          <w:sz w:val="20"/>
          <w:szCs w:val="20"/>
          <w:lang w:eastAsia="bg-BG"/>
        </w:rPr>
        <w:t xml:space="preserve">АПРЕДОНАВ 7,5 </w:t>
      </w:r>
      <w:r w:rsidRPr="006547A7">
        <w:rPr>
          <w:rFonts w:ascii="Times New Roman" w:eastAsia="Times New Roman" w:hAnsi="Times New Roman" w:cs="Times New Roman"/>
          <w:color w:val="000000"/>
          <w:sz w:val="20"/>
          <w:szCs w:val="20"/>
          <w:lang w:val="en-US"/>
        </w:rPr>
        <w:t>mg</w:t>
      </w:r>
      <w:r w:rsidRPr="006547A7">
        <w:rPr>
          <w:rFonts w:ascii="Times New Roman" w:eastAsia="Times New Roman" w:hAnsi="Times New Roman" w:cs="Times New Roman"/>
          <w:color w:val="000000"/>
          <w:sz w:val="20"/>
          <w:szCs w:val="20"/>
          <w:lang w:val="ru-RU"/>
        </w:rPr>
        <w:t xml:space="preserve"> </w:t>
      </w:r>
      <w:r w:rsidRPr="006547A7">
        <w:rPr>
          <w:rFonts w:ascii="Times New Roman" w:eastAsia="Times New Roman" w:hAnsi="Times New Roman" w:cs="Times New Roman"/>
          <w:color w:val="000000"/>
          <w:sz w:val="20"/>
          <w:szCs w:val="20"/>
          <w:lang w:eastAsia="bg-BG"/>
        </w:rPr>
        <w:t xml:space="preserve">филмирани таблетки </w:t>
      </w:r>
      <w:proofErr w:type="spellStart"/>
      <w:r>
        <w:rPr>
          <w:rFonts w:ascii="Times New Roman" w:eastAsia="Times New Roman" w:hAnsi="Times New Roman" w:cs="Times New Roman"/>
          <w:color w:val="000000"/>
          <w:sz w:val="20"/>
          <w:szCs w:val="20"/>
          <w:lang w:val="en-US"/>
        </w:rPr>
        <w:t>Pe</w:t>
      </w:r>
      <w:proofErr w:type="spellEnd"/>
      <w:r w:rsidRPr="006547A7">
        <w:rPr>
          <w:rFonts w:ascii="Times New Roman" w:eastAsia="Times New Roman" w:hAnsi="Times New Roman" w:cs="Times New Roman"/>
          <w:color w:val="000000"/>
          <w:sz w:val="20"/>
          <w:szCs w:val="20"/>
          <w:lang w:val="ru-RU"/>
        </w:rPr>
        <w:t xml:space="preserve">г. </w:t>
      </w:r>
      <w:r w:rsidRPr="006547A7">
        <w:rPr>
          <w:rFonts w:ascii="Times New Roman" w:eastAsia="Times New Roman" w:hAnsi="Times New Roman" w:cs="Times New Roman"/>
          <w:color w:val="000000"/>
          <w:sz w:val="20"/>
          <w:szCs w:val="20"/>
          <w:lang w:eastAsia="bg-BG"/>
        </w:rPr>
        <w:t>№:</w:t>
      </w:r>
    </w:p>
    <w:p w14:paraId="2CCB5832" w14:textId="7A7B1307" w:rsidR="007C605B" w:rsidRDefault="002C50EE" w:rsidP="007C605B">
      <w:pPr>
        <w:pStyle w:val="Heading1"/>
      </w:pPr>
      <w:r>
        <w:t>9. ДАТА НА ПЪРВО РАЗРЕШАВАНЕ/ПОДНОВЯВАНЕ НА РАЗРЕШЕНИЕТО ЗА УПОТРЕБА</w:t>
      </w:r>
    </w:p>
    <w:p w14:paraId="5E95E5CF" w14:textId="379E1030" w:rsidR="006547A7" w:rsidRDefault="006547A7" w:rsidP="006547A7"/>
    <w:p w14:paraId="45DFE10C" w14:textId="56147EC7" w:rsidR="006547A7" w:rsidRPr="006547A7" w:rsidRDefault="006547A7" w:rsidP="006547A7">
      <w:r>
        <w:t>Дата на първо разрешаване:</w:t>
      </w:r>
    </w:p>
    <w:p w14:paraId="0E9D0119" w14:textId="0245C6D7" w:rsidR="002C50EE" w:rsidRDefault="002C50EE" w:rsidP="002C50EE">
      <w:pPr>
        <w:pStyle w:val="Heading1"/>
      </w:pPr>
      <w:r>
        <w:t>10. ДАТА НА АКТУАЛИЗИРАНЕ НА ТЕКСТА</w:t>
      </w:r>
    </w:p>
    <w:bookmarkEnd w:id="0"/>
    <w:p w14:paraId="43FB38A2" w14:textId="007CDED2" w:rsidR="007C605B" w:rsidRPr="003E3126" w:rsidRDefault="006547A7" w:rsidP="006547A7">
      <w:r>
        <w:t>11/2021</w:t>
      </w:r>
      <w:bookmarkStart w:id="1" w:name="_GoBack"/>
      <w:bookmarkEnd w:id="1"/>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B19F1"/>
    <w:multiLevelType w:val="hybridMultilevel"/>
    <w:tmpl w:val="C6765A86"/>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9345E3B"/>
    <w:multiLevelType w:val="hybridMultilevel"/>
    <w:tmpl w:val="7BECB2FA"/>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919AE"/>
    <w:multiLevelType w:val="hybridMultilevel"/>
    <w:tmpl w:val="BCAEF696"/>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E2457C"/>
    <w:multiLevelType w:val="hybridMultilevel"/>
    <w:tmpl w:val="D28A9FD4"/>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FC2FBC"/>
    <w:multiLevelType w:val="hybridMultilevel"/>
    <w:tmpl w:val="D85E0842"/>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953D0"/>
    <w:multiLevelType w:val="hybridMultilevel"/>
    <w:tmpl w:val="38EC410C"/>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6"/>
  </w:num>
  <w:num w:numId="4">
    <w:abstractNumId w:val="3"/>
  </w:num>
  <w:num w:numId="5">
    <w:abstractNumId w:val="1"/>
  </w:num>
  <w:num w:numId="6">
    <w:abstractNumId w:val="20"/>
  </w:num>
  <w:num w:numId="7">
    <w:abstractNumId w:val="13"/>
  </w:num>
  <w:num w:numId="8">
    <w:abstractNumId w:val="19"/>
  </w:num>
  <w:num w:numId="9">
    <w:abstractNumId w:val="2"/>
  </w:num>
  <w:num w:numId="10">
    <w:abstractNumId w:val="4"/>
  </w:num>
  <w:num w:numId="11">
    <w:abstractNumId w:val="36"/>
  </w:num>
  <w:num w:numId="12">
    <w:abstractNumId w:val="18"/>
  </w:num>
  <w:num w:numId="13">
    <w:abstractNumId w:val="23"/>
  </w:num>
  <w:num w:numId="14">
    <w:abstractNumId w:val="15"/>
  </w:num>
  <w:num w:numId="15">
    <w:abstractNumId w:val="33"/>
  </w:num>
  <w:num w:numId="16">
    <w:abstractNumId w:val="12"/>
  </w:num>
  <w:num w:numId="17">
    <w:abstractNumId w:val="28"/>
  </w:num>
  <w:num w:numId="18">
    <w:abstractNumId w:val="8"/>
  </w:num>
  <w:num w:numId="19">
    <w:abstractNumId w:val="30"/>
  </w:num>
  <w:num w:numId="20">
    <w:abstractNumId w:val="27"/>
  </w:num>
  <w:num w:numId="21">
    <w:abstractNumId w:val="21"/>
  </w:num>
  <w:num w:numId="22">
    <w:abstractNumId w:val="29"/>
  </w:num>
  <w:num w:numId="23">
    <w:abstractNumId w:val="22"/>
  </w:num>
  <w:num w:numId="24">
    <w:abstractNumId w:val="9"/>
  </w:num>
  <w:num w:numId="25">
    <w:abstractNumId w:val="26"/>
  </w:num>
  <w:num w:numId="26">
    <w:abstractNumId w:val="25"/>
  </w:num>
  <w:num w:numId="27">
    <w:abstractNumId w:val="38"/>
  </w:num>
  <w:num w:numId="28">
    <w:abstractNumId w:val="6"/>
  </w:num>
  <w:num w:numId="29">
    <w:abstractNumId w:val="24"/>
  </w:num>
  <w:num w:numId="30">
    <w:abstractNumId w:val="41"/>
  </w:num>
  <w:num w:numId="31">
    <w:abstractNumId w:val="5"/>
  </w:num>
  <w:num w:numId="32">
    <w:abstractNumId w:val="40"/>
  </w:num>
  <w:num w:numId="33">
    <w:abstractNumId w:val="32"/>
  </w:num>
  <w:num w:numId="34">
    <w:abstractNumId w:val="39"/>
  </w:num>
  <w:num w:numId="35">
    <w:abstractNumId w:val="7"/>
  </w:num>
  <w:num w:numId="36">
    <w:abstractNumId w:val="10"/>
  </w:num>
  <w:num w:numId="37">
    <w:abstractNumId w:val="34"/>
  </w:num>
  <w:num w:numId="38">
    <w:abstractNumId w:val="17"/>
  </w:num>
  <w:num w:numId="39">
    <w:abstractNumId w:val="35"/>
  </w:num>
  <w:num w:numId="40">
    <w:abstractNumId w:val="14"/>
  </w:num>
  <w:num w:numId="41">
    <w:abstractNumId w:val="11"/>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E363A"/>
    <w:rsid w:val="004F1CE7"/>
    <w:rsid w:val="004F498A"/>
    <w:rsid w:val="00517A5B"/>
    <w:rsid w:val="00593A00"/>
    <w:rsid w:val="005A66D9"/>
    <w:rsid w:val="00605BCA"/>
    <w:rsid w:val="006158A1"/>
    <w:rsid w:val="00617B1F"/>
    <w:rsid w:val="006547A7"/>
    <w:rsid w:val="00672487"/>
    <w:rsid w:val="00672600"/>
    <w:rsid w:val="00681D4A"/>
    <w:rsid w:val="00685882"/>
    <w:rsid w:val="007122AD"/>
    <w:rsid w:val="0075649D"/>
    <w:rsid w:val="007C3A26"/>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7080</Words>
  <Characters>40359</Characters>
  <Application>Microsoft Office Word</Application>
  <DocSecurity>0</DocSecurity>
  <Lines>336</Lines>
  <Paragraphs>94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2022-06-16T14:18:00Z</dcterms:created>
  <dcterms:modified xsi:type="dcterms:W3CDTF">2022-06-16T14:18:00Z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