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00F91D4" w:rsidR="007122AD" w:rsidRDefault="00DD466D" w:rsidP="00936AD0">
      <w:pPr>
        <w:pStyle w:val="Heading1"/>
      </w:pPr>
      <w:r>
        <w:t>1.ИМЕ НА ЛЕКАРСТВЕНИЯ ПРОДУКТ</w:t>
      </w:r>
    </w:p>
    <w:p w14:paraId="705A10A9" w14:textId="4A3E0866" w:rsidR="004E363A" w:rsidRDefault="004E363A" w:rsidP="004E363A"/>
    <w:p w14:paraId="240CD8F3" w14:textId="77777777" w:rsidR="004E363A" w:rsidRPr="004E363A" w:rsidRDefault="004E363A" w:rsidP="004E363A">
      <w:pPr>
        <w:rPr>
          <w:sz w:val="24"/>
          <w:szCs w:val="24"/>
        </w:rPr>
      </w:pPr>
      <w:r w:rsidRPr="004E363A">
        <w:rPr>
          <w:lang w:eastAsia="bg-BG"/>
        </w:rPr>
        <w:t xml:space="preserve">АПРЕДОНАВ 5 </w:t>
      </w:r>
      <w:r w:rsidRPr="004E363A">
        <w:rPr>
          <w:lang w:val="en-US"/>
        </w:rPr>
        <w:t>mg</w:t>
      </w:r>
      <w:r w:rsidRPr="004E363A">
        <w:t xml:space="preserve"> </w:t>
      </w:r>
      <w:r w:rsidRPr="004E363A">
        <w:rPr>
          <w:lang w:eastAsia="bg-BG"/>
        </w:rPr>
        <w:t>филмирани таблетки</w:t>
      </w:r>
    </w:p>
    <w:p w14:paraId="1BEBB0CE" w14:textId="77777777" w:rsidR="004E363A" w:rsidRPr="004E363A" w:rsidRDefault="004E363A" w:rsidP="004E363A">
      <w:pPr>
        <w:rPr>
          <w:sz w:val="24"/>
          <w:szCs w:val="24"/>
        </w:rPr>
      </w:pPr>
      <w:r w:rsidRPr="004E363A">
        <w:rPr>
          <w:lang w:val="en-US"/>
        </w:rPr>
        <w:t>APREDONAV</w:t>
      </w:r>
      <w:r w:rsidRPr="004E363A">
        <w:t xml:space="preserve"> </w:t>
      </w:r>
      <w:r w:rsidRPr="004E363A">
        <w:rPr>
          <w:lang w:eastAsia="bg-BG"/>
        </w:rPr>
        <w:t xml:space="preserve">5 </w:t>
      </w:r>
      <w:r w:rsidRPr="004E363A">
        <w:rPr>
          <w:lang w:val="en-US"/>
        </w:rPr>
        <w:t>mg</w:t>
      </w:r>
      <w:r w:rsidRPr="004E363A">
        <w:t xml:space="preserve"> </w:t>
      </w:r>
      <w:r w:rsidRPr="004E363A">
        <w:rPr>
          <w:lang w:val="en-US"/>
        </w:rPr>
        <w:t>film</w:t>
      </w:r>
      <w:r w:rsidRPr="004E363A">
        <w:t>-</w:t>
      </w:r>
      <w:r w:rsidRPr="004E363A">
        <w:rPr>
          <w:lang w:val="en-US"/>
        </w:rPr>
        <w:t>coated</w:t>
      </w:r>
      <w:r w:rsidRPr="004E363A">
        <w:t xml:space="preserve"> </w:t>
      </w:r>
      <w:r w:rsidRPr="004E363A">
        <w:rPr>
          <w:lang w:val="en-US"/>
        </w:rPr>
        <w:t>tablets</w:t>
      </w:r>
    </w:p>
    <w:p w14:paraId="3E59EC79" w14:textId="77777777" w:rsidR="004E363A" w:rsidRDefault="004E363A" w:rsidP="004E363A">
      <w:pPr>
        <w:rPr>
          <w:lang w:eastAsia="bg-BG"/>
        </w:rPr>
      </w:pPr>
    </w:p>
    <w:p w14:paraId="3BEA9019" w14:textId="0F760992" w:rsidR="004E363A" w:rsidRPr="004E363A" w:rsidRDefault="004E363A" w:rsidP="004E363A">
      <w:pPr>
        <w:rPr>
          <w:sz w:val="24"/>
          <w:szCs w:val="24"/>
        </w:rPr>
      </w:pPr>
      <w:r w:rsidRPr="004E363A">
        <w:rPr>
          <w:lang w:eastAsia="bg-BG"/>
        </w:rPr>
        <w:t xml:space="preserve">АПРЕДОНАВ 7,5 </w:t>
      </w:r>
      <w:r w:rsidRPr="004E363A">
        <w:rPr>
          <w:lang w:val="en-US"/>
        </w:rPr>
        <w:t>mg</w:t>
      </w:r>
      <w:r w:rsidRPr="004E363A">
        <w:t xml:space="preserve"> </w:t>
      </w:r>
      <w:r w:rsidRPr="004E363A">
        <w:rPr>
          <w:lang w:eastAsia="bg-BG"/>
        </w:rPr>
        <w:t>филмирани таблетки</w:t>
      </w:r>
    </w:p>
    <w:p w14:paraId="30A6F0F1" w14:textId="77777777" w:rsidR="004E363A" w:rsidRPr="004E363A" w:rsidRDefault="004E363A" w:rsidP="004E363A">
      <w:pPr>
        <w:rPr>
          <w:sz w:val="24"/>
          <w:szCs w:val="24"/>
        </w:rPr>
      </w:pPr>
      <w:r w:rsidRPr="004E363A">
        <w:rPr>
          <w:lang w:val="en-US"/>
        </w:rPr>
        <w:t>APREDONAV</w:t>
      </w:r>
      <w:r w:rsidRPr="004E363A">
        <w:t xml:space="preserve"> </w:t>
      </w:r>
      <w:r w:rsidRPr="004E363A">
        <w:rPr>
          <w:lang w:eastAsia="bg-BG"/>
        </w:rPr>
        <w:t xml:space="preserve">7.5 </w:t>
      </w:r>
      <w:r w:rsidRPr="004E363A">
        <w:rPr>
          <w:lang w:val="en-US"/>
        </w:rPr>
        <w:t>mg</w:t>
      </w:r>
      <w:r w:rsidRPr="004E363A">
        <w:t xml:space="preserve"> </w:t>
      </w:r>
      <w:r w:rsidRPr="004E363A">
        <w:rPr>
          <w:lang w:val="en-US"/>
        </w:rPr>
        <w:t>film</w:t>
      </w:r>
      <w:r w:rsidRPr="004E363A">
        <w:t>-</w:t>
      </w:r>
      <w:r w:rsidRPr="004E363A">
        <w:rPr>
          <w:lang w:val="en-US"/>
        </w:rPr>
        <w:t>coated</w:t>
      </w:r>
      <w:r w:rsidRPr="004E363A">
        <w:t xml:space="preserve"> </w:t>
      </w:r>
      <w:r w:rsidRPr="004E363A">
        <w:rPr>
          <w:lang w:val="en-US"/>
        </w:rPr>
        <w:t>tablets</w:t>
      </w:r>
    </w:p>
    <w:p w14:paraId="181018B0" w14:textId="3C8FC798" w:rsidR="004E363A" w:rsidRPr="004E363A" w:rsidRDefault="004E363A" w:rsidP="004E363A"/>
    <w:p w14:paraId="6920A680" w14:textId="1AD1ADE8" w:rsidR="00C40420" w:rsidRDefault="00DD466D" w:rsidP="004A448E">
      <w:pPr>
        <w:pStyle w:val="Heading1"/>
      </w:pPr>
      <w:r>
        <w:t>2. КАЧЕСТВЕН И КОЛИЧЕСТВЕН СЪСТАВ</w:t>
      </w:r>
    </w:p>
    <w:p w14:paraId="0DA7D7E6" w14:textId="06B3B6FB" w:rsidR="004E363A" w:rsidRDefault="004E363A" w:rsidP="004E363A"/>
    <w:p w14:paraId="74D63B2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 xml:space="preserve">АПРЕДОНАВ 5 </w:t>
      </w:r>
      <w:r w:rsidRPr="004E363A">
        <w:rPr>
          <w:rFonts w:eastAsia="Times New Roman" w:cs="Arial"/>
          <w:color w:val="000000"/>
          <w:szCs w:val="20"/>
          <w:u w:val="single"/>
          <w:lang w:val="en-US"/>
        </w:rPr>
        <w:t>mg</w:t>
      </w:r>
      <w:r w:rsidRPr="004E363A">
        <w:rPr>
          <w:rFonts w:eastAsia="Times New Roman" w:cs="Arial"/>
          <w:color w:val="000000"/>
          <w:szCs w:val="20"/>
          <w:u w:val="single"/>
          <w:lang w:val="ru-RU"/>
        </w:rPr>
        <w:t xml:space="preserve"> </w:t>
      </w:r>
      <w:r w:rsidRPr="004E363A">
        <w:rPr>
          <w:rFonts w:eastAsia="Times New Roman" w:cs="Arial"/>
          <w:color w:val="000000"/>
          <w:szCs w:val="20"/>
          <w:u w:val="single"/>
          <w:lang w:eastAsia="bg-BG"/>
        </w:rPr>
        <w:t>филмирани таблетки</w:t>
      </w:r>
    </w:p>
    <w:p w14:paraId="59A9762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Една филмирана таблетка съдържа 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 xml:space="preserve">ивабрадин </w:t>
      </w:r>
      <w:r w:rsidRPr="004E363A">
        <w:rPr>
          <w:rFonts w:eastAsia="Times New Roman" w:cs="Arial"/>
          <w:color w:val="000000"/>
          <w:szCs w:val="20"/>
        </w:rPr>
        <w:t>(</w:t>
      </w:r>
      <w:proofErr w:type="spellStart"/>
      <w:r w:rsidRPr="004E363A">
        <w:rPr>
          <w:rFonts w:eastAsia="Times New Roman" w:cs="Arial"/>
          <w:color w:val="000000"/>
          <w:szCs w:val="20"/>
          <w:lang w:val="en-US"/>
        </w:rPr>
        <w:t>ivabradine</w:t>
      </w:r>
      <w:proofErr w:type="spellEnd"/>
      <w:r w:rsidRPr="004E363A">
        <w:rPr>
          <w:rFonts w:eastAsia="Times New Roman" w:cs="Arial"/>
          <w:color w:val="000000"/>
          <w:szCs w:val="20"/>
        </w:rPr>
        <w:t xml:space="preserve">) </w:t>
      </w:r>
      <w:r w:rsidRPr="004E363A">
        <w:rPr>
          <w:rFonts w:eastAsia="Times New Roman" w:cs="Arial"/>
          <w:color w:val="000000"/>
          <w:szCs w:val="20"/>
          <w:lang w:eastAsia="bg-BG"/>
        </w:rPr>
        <w:t xml:space="preserve">(еквивалентно на 5,390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ивабрадин като хидрохлорид).</w:t>
      </w:r>
    </w:p>
    <w:p w14:paraId="5526AE9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Помощно вещество с известно действие:</w:t>
      </w:r>
      <w:r w:rsidRPr="004E363A">
        <w:rPr>
          <w:rFonts w:eastAsia="Times New Roman" w:cs="Arial"/>
          <w:color w:val="000000"/>
          <w:szCs w:val="20"/>
          <w:lang w:eastAsia="bg-BG"/>
        </w:rPr>
        <w:t xml:space="preserve"> 62,61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безводна лактоза.</w:t>
      </w:r>
    </w:p>
    <w:p w14:paraId="4A2760AF" w14:textId="77777777" w:rsidR="004E363A" w:rsidRPr="004E363A" w:rsidRDefault="004E363A" w:rsidP="004E363A">
      <w:pPr>
        <w:spacing w:line="240" w:lineRule="auto"/>
        <w:rPr>
          <w:rFonts w:eastAsia="Times New Roman" w:cs="Arial"/>
          <w:color w:val="000000"/>
          <w:szCs w:val="20"/>
          <w:u w:val="single"/>
          <w:lang w:eastAsia="bg-BG"/>
        </w:rPr>
      </w:pPr>
    </w:p>
    <w:p w14:paraId="480439A2" w14:textId="6A57ECE1"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 xml:space="preserve">АПРЕДОНАВ 7,5 </w:t>
      </w:r>
      <w:r w:rsidRPr="004E363A">
        <w:rPr>
          <w:rFonts w:eastAsia="Times New Roman" w:cs="Arial"/>
          <w:color w:val="000000"/>
          <w:szCs w:val="20"/>
          <w:u w:val="single"/>
          <w:lang w:val="en-US"/>
        </w:rPr>
        <w:t>mg</w:t>
      </w:r>
      <w:r w:rsidRPr="004E363A">
        <w:rPr>
          <w:rFonts w:eastAsia="Times New Roman" w:cs="Arial"/>
          <w:color w:val="000000"/>
          <w:szCs w:val="20"/>
          <w:u w:val="single"/>
        </w:rPr>
        <w:t xml:space="preserve"> </w:t>
      </w:r>
      <w:r w:rsidRPr="004E363A">
        <w:rPr>
          <w:rFonts w:eastAsia="Times New Roman" w:cs="Arial"/>
          <w:color w:val="000000"/>
          <w:szCs w:val="20"/>
          <w:u w:val="single"/>
          <w:lang w:eastAsia="bg-BG"/>
        </w:rPr>
        <w:t>Филмирани таблетки</w:t>
      </w:r>
    </w:p>
    <w:p w14:paraId="6523DBD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Една филмирана таблетка съдържа 7,5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 xml:space="preserve">ивабрадин </w:t>
      </w:r>
      <w:r w:rsidRPr="004E363A">
        <w:rPr>
          <w:rFonts w:eastAsia="Times New Roman" w:cs="Arial"/>
          <w:color w:val="000000"/>
          <w:szCs w:val="20"/>
        </w:rPr>
        <w:t>(</w:t>
      </w:r>
      <w:proofErr w:type="spellStart"/>
      <w:r w:rsidRPr="004E363A">
        <w:rPr>
          <w:rFonts w:eastAsia="Times New Roman" w:cs="Arial"/>
          <w:color w:val="000000"/>
          <w:szCs w:val="20"/>
          <w:lang w:val="en-US"/>
        </w:rPr>
        <w:t>ivabradine</w:t>
      </w:r>
      <w:proofErr w:type="spellEnd"/>
      <w:r w:rsidRPr="004E363A">
        <w:rPr>
          <w:rFonts w:eastAsia="Times New Roman" w:cs="Arial"/>
          <w:color w:val="000000"/>
          <w:szCs w:val="20"/>
        </w:rPr>
        <w:t xml:space="preserve">) </w:t>
      </w:r>
      <w:r w:rsidRPr="004E363A">
        <w:rPr>
          <w:rFonts w:eastAsia="Times New Roman" w:cs="Arial"/>
          <w:color w:val="000000"/>
          <w:szCs w:val="20"/>
          <w:lang w:eastAsia="bg-BG"/>
        </w:rPr>
        <w:t xml:space="preserve">(еквивалентно на 8,085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ивабрадин като хидрохлорид).</w:t>
      </w:r>
    </w:p>
    <w:p w14:paraId="2BB56E5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Помощно вещество с известно действие:</w:t>
      </w:r>
      <w:r w:rsidRPr="004E363A">
        <w:rPr>
          <w:rFonts w:eastAsia="Times New Roman" w:cs="Arial"/>
          <w:color w:val="000000"/>
          <w:szCs w:val="20"/>
          <w:lang w:eastAsia="bg-BG"/>
        </w:rPr>
        <w:t xml:space="preserve"> 93,915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безводна лактоза.</w:t>
      </w:r>
    </w:p>
    <w:p w14:paraId="377F60E0" w14:textId="77777777" w:rsidR="004E363A" w:rsidRPr="004E363A" w:rsidRDefault="004E363A" w:rsidP="004E363A"/>
    <w:p w14:paraId="614984C4" w14:textId="4D2C1C2A" w:rsidR="008A6AF2" w:rsidRDefault="00DD466D" w:rsidP="002C50EE">
      <w:pPr>
        <w:pStyle w:val="Heading1"/>
      </w:pPr>
      <w:r>
        <w:t>3. ЛЕКАРСТВЕНА ФОРМА</w:t>
      </w:r>
    </w:p>
    <w:p w14:paraId="30414329" w14:textId="52BA55CF" w:rsidR="004E363A" w:rsidRDefault="004E363A" w:rsidP="004E363A"/>
    <w:p w14:paraId="6553A160" w14:textId="77777777" w:rsidR="004E363A" w:rsidRPr="004E363A" w:rsidRDefault="004E363A" w:rsidP="004E363A">
      <w:pPr>
        <w:rPr>
          <w:sz w:val="24"/>
          <w:szCs w:val="24"/>
        </w:rPr>
      </w:pPr>
      <w:r w:rsidRPr="004E363A">
        <w:rPr>
          <w:lang w:eastAsia="bg-BG"/>
        </w:rPr>
        <w:t>Филмирана таблетка.</w:t>
      </w:r>
    </w:p>
    <w:p w14:paraId="4928C62A" w14:textId="77777777" w:rsidR="004E363A" w:rsidRDefault="004E363A" w:rsidP="004E363A">
      <w:pPr>
        <w:rPr>
          <w:u w:val="single"/>
          <w:lang w:eastAsia="bg-BG"/>
        </w:rPr>
      </w:pPr>
    </w:p>
    <w:p w14:paraId="5462D6B6" w14:textId="608E2B87" w:rsidR="004E363A" w:rsidRPr="004E363A" w:rsidRDefault="004E363A" w:rsidP="004E363A">
      <w:pPr>
        <w:rPr>
          <w:sz w:val="24"/>
          <w:szCs w:val="24"/>
        </w:rPr>
      </w:pPr>
      <w:r w:rsidRPr="004E363A">
        <w:rPr>
          <w:u w:val="single"/>
          <w:lang w:eastAsia="bg-BG"/>
        </w:rPr>
        <w:t xml:space="preserve">АПРЕДОНАВ 5 </w:t>
      </w:r>
      <w:r w:rsidRPr="004E363A">
        <w:rPr>
          <w:u w:val="single"/>
          <w:lang w:val="en-US"/>
        </w:rPr>
        <w:t>mg</w:t>
      </w:r>
      <w:r w:rsidRPr="004E363A">
        <w:rPr>
          <w:u w:val="single"/>
          <w:lang w:val="ru-RU"/>
        </w:rPr>
        <w:t xml:space="preserve"> </w:t>
      </w:r>
      <w:r w:rsidRPr="004E363A">
        <w:rPr>
          <w:u w:val="single"/>
          <w:lang w:eastAsia="bg-BG"/>
        </w:rPr>
        <w:t>филмирани таблетки</w:t>
      </w:r>
    </w:p>
    <w:p w14:paraId="6ED3E11A" w14:textId="77777777" w:rsidR="004E363A" w:rsidRPr="004E363A" w:rsidRDefault="004E363A" w:rsidP="004E363A">
      <w:pPr>
        <w:rPr>
          <w:sz w:val="24"/>
          <w:szCs w:val="24"/>
        </w:rPr>
      </w:pPr>
      <w:r w:rsidRPr="004E363A">
        <w:rPr>
          <w:lang w:eastAsia="bg-BG"/>
        </w:rPr>
        <w:t xml:space="preserve">Розово-оранжева, овална, двойноизпъкнала филмирана таблетка с делителна черта от двете страни, с размер на ядрото 8,5 </w:t>
      </w:r>
      <w:r w:rsidRPr="004E363A">
        <w:rPr>
          <w:lang w:val="en-US"/>
        </w:rPr>
        <w:t>mm</w:t>
      </w:r>
      <w:r w:rsidRPr="004E363A">
        <w:rPr>
          <w:lang w:val="ru-RU"/>
        </w:rPr>
        <w:t xml:space="preserve"> </w:t>
      </w:r>
      <w:r w:rsidRPr="004E363A">
        <w:rPr>
          <w:lang w:eastAsia="bg-BG"/>
        </w:rPr>
        <w:t xml:space="preserve">х 4 </w:t>
      </w:r>
      <w:r w:rsidRPr="004E363A">
        <w:rPr>
          <w:lang w:val="en-US"/>
        </w:rPr>
        <w:t>mm</w:t>
      </w:r>
      <w:r w:rsidRPr="004E363A">
        <w:rPr>
          <w:lang w:val="ru-RU"/>
        </w:rPr>
        <w:t>.</w:t>
      </w:r>
    </w:p>
    <w:p w14:paraId="516F8C3E" w14:textId="77777777" w:rsidR="004E363A" w:rsidRPr="004E363A" w:rsidRDefault="004E363A" w:rsidP="004E363A">
      <w:pPr>
        <w:rPr>
          <w:sz w:val="24"/>
          <w:szCs w:val="24"/>
        </w:rPr>
      </w:pPr>
      <w:r w:rsidRPr="004E363A">
        <w:rPr>
          <w:lang w:eastAsia="bg-BG"/>
        </w:rPr>
        <w:t>Таблетката може да бъде разделена на равни дози.</w:t>
      </w:r>
    </w:p>
    <w:p w14:paraId="00CD56F8" w14:textId="77777777" w:rsidR="004E363A" w:rsidRDefault="004E363A" w:rsidP="004E363A">
      <w:pPr>
        <w:rPr>
          <w:u w:val="single"/>
          <w:lang w:eastAsia="bg-BG"/>
        </w:rPr>
      </w:pPr>
    </w:p>
    <w:p w14:paraId="3F6412A5" w14:textId="211D6C38" w:rsidR="004E363A" w:rsidRPr="004E363A" w:rsidRDefault="004E363A" w:rsidP="004E363A">
      <w:pPr>
        <w:rPr>
          <w:sz w:val="24"/>
          <w:szCs w:val="24"/>
        </w:rPr>
      </w:pPr>
      <w:r w:rsidRPr="004E363A">
        <w:rPr>
          <w:u w:val="single"/>
          <w:lang w:eastAsia="bg-BG"/>
        </w:rPr>
        <w:t xml:space="preserve">АПРЕДОНАВ 7.5 </w:t>
      </w:r>
      <w:r w:rsidRPr="004E363A">
        <w:rPr>
          <w:u w:val="single"/>
          <w:lang w:val="en-US"/>
        </w:rPr>
        <w:t>mg</w:t>
      </w:r>
      <w:r w:rsidRPr="004E363A">
        <w:rPr>
          <w:u w:val="single"/>
          <w:lang w:val="ru-RU"/>
        </w:rPr>
        <w:t xml:space="preserve"> </w:t>
      </w:r>
      <w:r w:rsidRPr="004E363A">
        <w:rPr>
          <w:u w:val="single"/>
          <w:lang w:eastAsia="bg-BG"/>
        </w:rPr>
        <w:t>филмирани таблетки</w:t>
      </w:r>
    </w:p>
    <w:p w14:paraId="7D2C21E6" w14:textId="77777777" w:rsidR="004E363A" w:rsidRPr="004E363A" w:rsidRDefault="004E363A" w:rsidP="004E363A">
      <w:pPr>
        <w:rPr>
          <w:sz w:val="24"/>
          <w:szCs w:val="24"/>
        </w:rPr>
      </w:pPr>
      <w:r w:rsidRPr="004E363A">
        <w:rPr>
          <w:lang w:eastAsia="bg-BG"/>
        </w:rPr>
        <w:t xml:space="preserve">Розово-оранжева, кръгла, двойноизпъкнала филмирана таблетка гладка от двете страни, с диаметър на ядрото 7 </w:t>
      </w:r>
      <w:r w:rsidRPr="004E363A">
        <w:rPr>
          <w:lang w:val="en-US"/>
        </w:rPr>
        <w:t>mm</w:t>
      </w:r>
      <w:r w:rsidRPr="004E363A">
        <w:rPr>
          <w:lang w:val="ru-RU"/>
        </w:rPr>
        <w:t>.</w:t>
      </w:r>
    </w:p>
    <w:p w14:paraId="517ABED7" w14:textId="77777777" w:rsidR="004E363A" w:rsidRPr="004E363A" w:rsidRDefault="004E363A" w:rsidP="004E363A"/>
    <w:p w14:paraId="490FC2C4" w14:textId="0F4A4A75" w:rsidR="002C50EE" w:rsidRDefault="002C50EE" w:rsidP="002C50EE">
      <w:pPr>
        <w:pStyle w:val="Heading1"/>
      </w:pPr>
      <w:r>
        <w:t>4. КЛИНИЧНИ ДАННИ</w:t>
      </w:r>
    </w:p>
    <w:p w14:paraId="74330405" w14:textId="3C4722AF" w:rsidR="007122AD" w:rsidRDefault="002C50EE" w:rsidP="00936AD0">
      <w:pPr>
        <w:pStyle w:val="Heading2"/>
      </w:pPr>
      <w:r>
        <w:t>4.1. Терапевтични показания</w:t>
      </w:r>
    </w:p>
    <w:p w14:paraId="100A5CDB" w14:textId="789909C2" w:rsidR="004E363A" w:rsidRDefault="004E363A" w:rsidP="004E363A"/>
    <w:p w14:paraId="4EB6DF5C"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Симптоматично лечение на хронична стабилна стенокардия</w:t>
      </w:r>
    </w:p>
    <w:p w14:paraId="58A3B39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е показан за симптоматично лечение на хронична стабилна стенокардия при при възрастни с исхемична болест на сърцето с нормален синусов ритъм и сърдечна честота ≥ 70 удара в минута (уд./ мин.). Ивабрадин е показан:</w:t>
      </w:r>
    </w:p>
    <w:p w14:paraId="5F0558C0" w14:textId="77777777" w:rsidR="004E363A" w:rsidRPr="004E363A" w:rsidRDefault="004E363A" w:rsidP="004E363A">
      <w:pPr>
        <w:pStyle w:val="ListParagraph"/>
        <w:numPr>
          <w:ilvl w:val="0"/>
          <w:numId w:val="37"/>
        </w:numPr>
        <w:spacing w:line="240" w:lineRule="auto"/>
        <w:rPr>
          <w:rFonts w:eastAsia="Times New Roman" w:cs="Arial"/>
          <w:sz w:val="28"/>
          <w:szCs w:val="24"/>
        </w:rPr>
      </w:pPr>
      <w:r w:rsidRPr="004E363A">
        <w:rPr>
          <w:rFonts w:eastAsia="Times New Roman" w:cs="Arial"/>
          <w:color w:val="000000"/>
          <w:szCs w:val="20"/>
          <w:lang w:eastAsia="bg-BG"/>
        </w:rPr>
        <w:lastRenderedPageBreak/>
        <w:t>при възрастни, които имат непоносимост или при които е противопоказана употребата на бета- блокери</w:t>
      </w:r>
    </w:p>
    <w:p w14:paraId="48042F04" w14:textId="1E091F60" w:rsidR="004E363A" w:rsidRPr="004E363A" w:rsidRDefault="004E363A" w:rsidP="004E363A">
      <w:pPr>
        <w:pStyle w:val="ListParagraph"/>
        <w:numPr>
          <w:ilvl w:val="0"/>
          <w:numId w:val="37"/>
        </w:numPr>
        <w:spacing w:line="240" w:lineRule="auto"/>
        <w:rPr>
          <w:rFonts w:eastAsia="Times New Roman" w:cs="Arial"/>
          <w:sz w:val="28"/>
          <w:szCs w:val="24"/>
        </w:rPr>
      </w:pPr>
      <w:r w:rsidRPr="004E363A">
        <w:rPr>
          <w:rFonts w:eastAsia="Times New Roman" w:cs="Arial"/>
          <w:color w:val="000000"/>
          <w:szCs w:val="20"/>
          <w:lang w:eastAsia="bg-BG"/>
        </w:rPr>
        <w:t>или в комбинация с бета-блокери при пациенти, при които не е постигнат достатъчен контрол при оптимална доза бета-блокер.</w:t>
      </w:r>
    </w:p>
    <w:p w14:paraId="24215049" w14:textId="77777777" w:rsidR="004E363A" w:rsidRPr="004E363A" w:rsidRDefault="004E363A" w:rsidP="004E363A">
      <w:pPr>
        <w:spacing w:line="240" w:lineRule="auto"/>
        <w:rPr>
          <w:rFonts w:eastAsia="Times New Roman" w:cs="Arial"/>
          <w:color w:val="000000"/>
          <w:szCs w:val="20"/>
          <w:lang w:eastAsia="bg-BG"/>
        </w:rPr>
      </w:pPr>
    </w:p>
    <w:p w14:paraId="638C9700" w14:textId="769A9A60"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Лечение </w:t>
      </w:r>
      <w:r w:rsidRPr="004E363A">
        <w:rPr>
          <w:rFonts w:eastAsia="Times New Roman" w:cs="Arial"/>
          <w:i/>
          <w:iCs/>
          <w:color w:val="000000"/>
          <w:szCs w:val="20"/>
          <w:lang w:eastAsia="bg-BG"/>
        </w:rPr>
        <w:t>на хронична сърдечна недостатъчност</w:t>
      </w:r>
    </w:p>
    <w:p w14:paraId="2389C015" w14:textId="77777777" w:rsidR="004E363A" w:rsidRPr="004E363A" w:rsidRDefault="004E363A" w:rsidP="004E363A">
      <w:pPr>
        <w:spacing w:line="240" w:lineRule="auto"/>
        <w:rPr>
          <w:rFonts w:ascii="Times New Roman" w:eastAsia="Times New Roman" w:hAnsi="Times New Roman" w:cs="Times New Roman"/>
          <w:sz w:val="24"/>
          <w:szCs w:val="24"/>
        </w:rPr>
      </w:pPr>
      <w:r w:rsidRPr="004E363A">
        <w:rPr>
          <w:rFonts w:eastAsia="Times New Roman" w:cs="Arial"/>
          <w:color w:val="000000"/>
          <w:szCs w:val="20"/>
          <w:lang w:eastAsia="bg-BG"/>
        </w:rPr>
        <w:t xml:space="preserve">Ивабрадин е показан при хронична сърдечна недостатъчност клас </w:t>
      </w:r>
      <w:r w:rsidRPr="004E363A">
        <w:rPr>
          <w:rFonts w:eastAsia="Times New Roman" w:cs="Arial"/>
          <w:color w:val="000000"/>
          <w:szCs w:val="20"/>
          <w:lang w:val="en-US"/>
        </w:rPr>
        <w:t>II</w:t>
      </w:r>
      <w:r w:rsidRPr="004E363A">
        <w:rPr>
          <w:rFonts w:eastAsia="Times New Roman" w:cs="Arial"/>
          <w:color w:val="000000"/>
          <w:szCs w:val="20"/>
          <w:lang w:eastAsia="bg-BG"/>
        </w:rPr>
        <w:t xml:space="preserve"> до IV по </w:t>
      </w:r>
      <w:r w:rsidRPr="004E363A">
        <w:rPr>
          <w:rFonts w:eastAsia="Times New Roman" w:cs="Arial"/>
          <w:color w:val="000000"/>
          <w:szCs w:val="20"/>
          <w:lang w:val="en-US"/>
        </w:rPr>
        <w:t>NYHA</w:t>
      </w:r>
      <w:r w:rsidRPr="004E363A">
        <w:rPr>
          <w:rFonts w:eastAsia="Times New Roman" w:cs="Arial"/>
          <w:color w:val="000000"/>
          <w:szCs w:val="20"/>
          <w:lang w:val="ru-RU"/>
        </w:rPr>
        <w:t xml:space="preserve"> </w:t>
      </w:r>
      <w:r w:rsidRPr="004E363A">
        <w:rPr>
          <w:rFonts w:eastAsia="Times New Roman" w:cs="Arial"/>
          <w:color w:val="000000"/>
          <w:szCs w:val="20"/>
          <w:lang w:eastAsia="bg-BG"/>
        </w:rPr>
        <w:t>със систолна дисфункция, при възрастни пациенти в синусов ритъм и чиято сърдечна честота е ≥ 75 уд./ мин., в комбинация със стандартно лечение, включващо лечение с бета-блокер, или когато лечението с бета-блокер е противопоказано или не се понася (вижте точка 5.1).</w:t>
      </w:r>
    </w:p>
    <w:p w14:paraId="22184D44" w14:textId="77777777" w:rsidR="004E363A" w:rsidRPr="004E363A" w:rsidRDefault="004E363A" w:rsidP="004E363A"/>
    <w:p w14:paraId="53F5B866" w14:textId="21E1C8D0" w:rsidR="007122AD" w:rsidRDefault="002C50EE" w:rsidP="00936AD0">
      <w:pPr>
        <w:pStyle w:val="Heading2"/>
      </w:pPr>
      <w:r>
        <w:t>4.2. Дозировка и начин на приложение</w:t>
      </w:r>
    </w:p>
    <w:p w14:paraId="6DE19C17" w14:textId="032E17F8" w:rsidR="004E363A" w:rsidRDefault="004E363A" w:rsidP="004E363A"/>
    <w:p w14:paraId="1E28951E" w14:textId="77777777" w:rsidR="004E363A" w:rsidRPr="004E363A" w:rsidRDefault="004E363A" w:rsidP="004E363A">
      <w:pPr>
        <w:pStyle w:val="Heading3"/>
        <w:rPr>
          <w:rFonts w:eastAsia="Times New Roman"/>
          <w:sz w:val="28"/>
          <w:u w:val="single"/>
        </w:rPr>
      </w:pPr>
      <w:r w:rsidRPr="004E363A">
        <w:rPr>
          <w:rFonts w:eastAsia="Times New Roman"/>
          <w:u w:val="single"/>
          <w:lang w:eastAsia="bg-BG"/>
        </w:rPr>
        <w:t>Дозировка</w:t>
      </w:r>
    </w:p>
    <w:p w14:paraId="716C5A54" w14:textId="77777777" w:rsidR="004E363A" w:rsidRPr="004E363A" w:rsidRDefault="004E363A" w:rsidP="004E363A">
      <w:pPr>
        <w:spacing w:line="240" w:lineRule="auto"/>
        <w:rPr>
          <w:rFonts w:eastAsia="Times New Roman" w:cs="Arial"/>
          <w:i/>
          <w:iCs/>
          <w:color w:val="000000"/>
          <w:szCs w:val="20"/>
          <w:lang w:eastAsia="bg-BG"/>
        </w:rPr>
      </w:pPr>
    </w:p>
    <w:p w14:paraId="15ED580F" w14:textId="3F8BCE0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Симптоматично лечение на хронична стабилна стенокардия</w:t>
      </w:r>
    </w:p>
    <w:p w14:paraId="4D58037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Препоръчва се решението за започване на лечението или титриране на дозата да бъде взето при наличие на поредица от измервания на сърдечната честота, ЕКГ или амбулаторно 24-часово проследяване.</w:t>
      </w:r>
    </w:p>
    <w:p w14:paraId="4489BD6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Началната доза ивабрадин не трябва да превишава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при пациенти на възраст под 75 години. При пациенти, които приемат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след три до четири седмици лечение, ако пациентът все още проявява симптоми, ако началната доза се понася добре и, ако сърдечната честота в покой се запазва над 60 уд./ мин., дозата може да се повиши до следващата по-висока доза. Поддържащата доза не трябва да превишава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w:t>
      </w:r>
    </w:p>
    <w:p w14:paraId="7334711C"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няма подобрение на симптомите на стенокардия в рамките на 3 месеца след започване на лечението, лечението с ивабрадин трябва да се преустанови.</w:t>
      </w:r>
    </w:p>
    <w:p w14:paraId="3DE424B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В допълнение, трябва да се обмисли преустановяване на лечението, ако е налице само ог</w:t>
      </w:r>
      <w:r w:rsidRPr="004E363A">
        <w:rPr>
          <w:rFonts w:eastAsia="Times New Roman" w:cs="Arial"/>
          <w:color w:val="000000"/>
          <w:szCs w:val="20"/>
          <w:u w:val="single"/>
          <w:lang w:eastAsia="bg-BG"/>
        </w:rPr>
        <w:t>ранич</w:t>
      </w:r>
      <w:r w:rsidRPr="004E363A">
        <w:rPr>
          <w:rFonts w:eastAsia="Times New Roman" w:cs="Arial"/>
          <w:color w:val="000000"/>
          <w:szCs w:val="20"/>
          <w:lang w:eastAsia="bg-BG"/>
        </w:rPr>
        <w:t>ен симптоматичен отговор и когато няма клинично значимо понижение на сърдечната честота в</w:t>
      </w:r>
      <w:r w:rsidRPr="004E363A">
        <w:rPr>
          <w:rFonts w:eastAsia="Times New Roman" w:cs="Arial"/>
          <w:color w:val="000000"/>
          <w:szCs w:val="20"/>
          <w:vertAlign w:val="superscript"/>
          <w:lang w:eastAsia="bg-BG"/>
        </w:rPr>
        <w:t xml:space="preserve"> </w:t>
      </w:r>
      <w:r w:rsidRPr="004E363A">
        <w:rPr>
          <w:rFonts w:eastAsia="Times New Roman" w:cs="Arial"/>
          <w:color w:val="000000"/>
          <w:szCs w:val="20"/>
          <w:lang w:eastAsia="bg-BG"/>
        </w:rPr>
        <w:t>покой в рамките на три месеца.</w:t>
      </w:r>
    </w:p>
    <w:p w14:paraId="2D18EDD8" w14:textId="77777777" w:rsidR="004E363A" w:rsidRPr="004E363A" w:rsidRDefault="004E363A" w:rsidP="004E363A">
      <w:pPr>
        <w:rPr>
          <w:rFonts w:eastAsia="Times New Roman" w:cs="Arial"/>
          <w:sz w:val="28"/>
          <w:szCs w:val="24"/>
        </w:rPr>
      </w:pPr>
      <w:r w:rsidRPr="004E363A">
        <w:rPr>
          <w:rFonts w:eastAsia="Times New Roman" w:cs="Arial"/>
          <w:color w:val="000000"/>
          <w:szCs w:val="20"/>
          <w:lang w:eastAsia="bg-BG"/>
        </w:rPr>
        <w:t>Ако по време на лечението сърдечната честота се понижи до под 50 уд./мин в покой или пациентът изпита симптоми, свързани с брадикардия, като замаяност, умора или хипотония,</w:t>
      </w:r>
      <w:r w:rsidRPr="004E363A">
        <w:rPr>
          <w:rFonts w:eastAsia="Times New Roman" w:cs="Arial"/>
          <w:sz w:val="28"/>
          <w:szCs w:val="24"/>
          <w:lang w:val="ru-RU"/>
        </w:rPr>
        <w:t xml:space="preserve"> </w:t>
      </w:r>
      <w:r w:rsidRPr="004E363A">
        <w:rPr>
          <w:rFonts w:eastAsia="Times New Roman" w:cs="Arial"/>
          <w:color w:val="000000"/>
          <w:szCs w:val="20"/>
          <w:lang w:eastAsia="bg-BG"/>
        </w:rPr>
        <w:t xml:space="preserve">дозата трябва да бъде постепенно намалена, включително най-ниската доза от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След понижаване на дозата сърдечната честота трябва да бъде проследявана (вижте точка 4.4). Лечението трябва да бъде преустановено, ако сърдечната честота се запази под 50 уд./ мин. или симтомите на брадикардия продължат независимо от понижаването на дозата.</w:t>
      </w:r>
    </w:p>
    <w:p w14:paraId="078E924A" w14:textId="77777777" w:rsidR="004E363A" w:rsidRPr="004E363A" w:rsidRDefault="004E363A" w:rsidP="004E363A">
      <w:pPr>
        <w:spacing w:line="240" w:lineRule="auto"/>
        <w:rPr>
          <w:rFonts w:eastAsia="Times New Roman" w:cs="Arial"/>
          <w:i/>
          <w:iCs/>
          <w:color w:val="000000"/>
          <w:szCs w:val="20"/>
          <w:lang w:eastAsia="bg-BG"/>
        </w:rPr>
      </w:pPr>
    </w:p>
    <w:p w14:paraId="30693F8D" w14:textId="7CCE0B25"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Лечение на хронична сърдечна недостатъчност</w:t>
      </w:r>
    </w:p>
    <w:p w14:paraId="50B7D40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Лечението трябва да бъде започнато само при пациент със стабилна сърдечна недостатъчност. Препоръчва се лекуващият лекар да има опит в лечението на хронична сърдечна недостатъчност. Обичайната препоръчителна начална доза ивабрадин е </w:t>
      </w:r>
      <w:r w:rsidRPr="004E363A">
        <w:rPr>
          <w:rFonts w:eastAsia="Times New Roman" w:cs="Arial"/>
          <w:i/>
          <w:iCs/>
          <w:color w:val="000000"/>
          <w:szCs w:val="20"/>
          <w:lang w:eastAsia="bg-BG"/>
        </w:rPr>
        <w:t xml:space="preserve">5 </w:t>
      </w:r>
      <w:r w:rsidRPr="004E363A">
        <w:rPr>
          <w:rFonts w:eastAsia="Times New Roman" w:cs="Arial"/>
          <w:i/>
          <w:iCs/>
          <w:color w:val="000000"/>
          <w:szCs w:val="20"/>
          <w:lang w:val="en-US"/>
        </w:rPr>
        <w:t>mg</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два</w:t>
      </w:r>
      <w:r w:rsidRPr="004E363A">
        <w:rPr>
          <w:rFonts w:eastAsia="Times New Roman" w:cs="Arial"/>
          <w:color w:val="000000"/>
          <w:szCs w:val="20"/>
          <w:lang w:eastAsia="bg-BG"/>
        </w:rPr>
        <w:t xml:space="preserve"> пъти дневно. Две седмици след началото на лечението дозата може да бъде повишена до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сърдечната честота в покой се запази над 60 уд./ мин., или да бъде понижена до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ако сърдечната честота в покой се запази под 50 уд./ мин. или в случай на симптоми, свързани с брадикардия, като замаяност, умора или хипотония. Ако сърдечната честота е между 50 и 60 уд./ мин., трябва да се поддържа доза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по </w:t>
      </w:r>
      <w:r w:rsidRPr="004E363A">
        <w:rPr>
          <w:rFonts w:eastAsia="Times New Roman" w:cs="Arial"/>
          <w:color w:val="000000"/>
          <w:szCs w:val="20"/>
          <w:lang w:eastAsia="bg-BG"/>
        </w:rPr>
        <w:lastRenderedPageBreak/>
        <w:t xml:space="preserve">време на лечение сърдечната честота в покой се понижи трайно под 50 уд./ мин. или пациентът изпита симптоми, свързани с брадикардия, дозата трябва да бъде постепенно понижена до следващата по-ниска доза при пациентите, които приемат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сърдечната честота в покой се повиши трайно над 60 уд./ мин., дозата може да бъде титрирана до следващата по-висока доза при пациенти, които приемат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w:t>
      </w:r>
    </w:p>
    <w:p w14:paraId="374DAED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Лечението трябва да бъде преустановено, ако сърдечната честота се запази под 50 уд./ мин. или симптомите на брадикардия продължат (вижте точка 4.4).</w:t>
      </w:r>
    </w:p>
    <w:p w14:paraId="4475F893" w14:textId="77777777" w:rsidR="004E363A" w:rsidRPr="004E363A" w:rsidRDefault="004E363A" w:rsidP="004E363A">
      <w:pPr>
        <w:spacing w:line="240" w:lineRule="auto"/>
        <w:rPr>
          <w:rFonts w:eastAsia="Times New Roman" w:cs="Arial"/>
          <w:color w:val="000000"/>
          <w:szCs w:val="20"/>
          <w:u w:val="single"/>
          <w:lang w:eastAsia="bg-BG"/>
        </w:rPr>
      </w:pPr>
    </w:p>
    <w:p w14:paraId="3A384A17" w14:textId="25623AC9"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Специални популации</w:t>
      </w:r>
    </w:p>
    <w:p w14:paraId="1C7F16BF"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в старческа възраст</w:t>
      </w:r>
    </w:p>
    <w:p w14:paraId="52984E5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При пациенти на възраст 75 години и повече трябва да се обмисли по-ниска начална доза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т.е.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преди титриране, ако е необходимо.</w:t>
      </w:r>
    </w:p>
    <w:p w14:paraId="1B474A25" w14:textId="77777777" w:rsidR="004E363A" w:rsidRPr="004E363A" w:rsidRDefault="004E363A" w:rsidP="004E363A">
      <w:pPr>
        <w:spacing w:line="240" w:lineRule="auto"/>
        <w:rPr>
          <w:rFonts w:eastAsia="Times New Roman" w:cs="Arial"/>
          <w:i/>
          <w:iCs/>
          <w:color w:val="000000"/>
          <w:szCs w:val="20"/>
          <w:lang w:eastAsia="bg-BG"/>
        </w:rPr>
      </w:pPr>
    </w:p>
    <w:p w14:paraId="3801445B" w14:textId="038EE080"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Бъбречно увреждане</w:t>
      </w:r>
    </w:p>
    <w:p w14:paraId="23A8231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Не е необходимо адаптиране на дозата при пациенти с бъбречна недостатъчност и креатининов клирънс над 15 </w:t>
      </w:r>
      <w:r w:rsidRPr="004E363A">
        <w:rPr>
          <w:rFonts w:eastAsia="Times New Roman" w:cs="Arial"/>
          <w:color w:val="000000"/>
          <w:szCs w:val="20"/>
          <w:lang w:val="en-US"/>
        </w:rPr>
        <w:t>ml</w:t>
      </w:r>
      <w:r w:rsidRPr="004E363A">
        <w:rPr>
          <w:rFonts w:eastAsia="Times New Roman" w:cs="Arial"/>
          <w:color w:val="000000"/>
          <w:szCs w:val="20"/>
          <w:lang w:val="ru-RU"/>
        </w:rPr>
        <w:t>/</w:t>
      </w:r>
      <w:r w:rsidRPr="004E363A">
        <w:rPr>
          <w:rFonts w:eastAsia="Times New Roman" w:cs="Arial"/>
          <w:color w:val="000000"/>
          <w:szCs w:val="20"/>
          <w:lang w:val="en-US"/>
        </w:rPr>
        <w:t>min</w:t>
      </w:r>
      <w:r w:rsidRPr="004E363A">
        <w:rPr>
          <w:rFonts w:eastAsia="Times New Roman" w:cs="Arial"/>
          <w:color w:val="000000"/>
          <w:szCs w:val="20"/>
          <w:lang w:val="ru-RU"/>
        </w:rPr>
        <w:t xml:space="preserve"> </w:t>
      </w:r>
      <w:r w:rsidRPr="004E363A">
        <w:rPr>
          <w:rFonts w:eastAsia="Times New Roman" w:cs="Arial"/>
          <w:color w:val="000000"/>
          <w:szCs w:val="20"/>
          <w:lang w:eastAsia="bg-BG"/>
        </w:rPr>
        <w:t>(вижте точка 5.2).</w:t>
      </w:r>
    </w:p>
    <w:p w14:paraId="0457D10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Няма налични данни при пациенти с креатининов клирънс под 15 </w:t>
      </w:r>
      <w:r w:rsidRPr="004E363A">
        <w:rPr>
          <w:rFonts w:eastAsia="Times New Roman" w:cs="Arial"/>
          <w:color w:val="000000"/>
          <w:szCs w:val="20"/>
          <w:lang w:val="en-US"/>
        </w:rPr>
        <w:t>ml</w:t>
      </w:r>
      <w:r w:rsidRPr="004E363A">
        <w:rPr>
          <w:rFonts w:eastAsia="Times New Roman" w:cs="Arial"/>
          <w:color w:val="000000"/>
          <w:szCs w:val="20"/>
          <w:lang w:val="ru-RU"/>
        </w:rPr>
        <w:t>/</w:t>
      </w:r>
      <w:r w:rsidRPr="004E363A">
        <w:rPr>
          <w:rFonts w:eastAsia="Times New Roman" w:cs="Arial"/>
          <w:color w:val="000000"/>
          <w:szCs w:val="20"/>
          <w:lang w:val="en-US"/>
        </w:rPr>
        <w:t>min</w:t>
      </w:r>
      <w:r w:rsidRPr="004E363A">
        <w:rPr>
          <w:rFonts w:eastAsia="Times New Roman" w:cs="Arial"/>
          <w:color w:val="000000"/>
          <w:szCs w:val="20"/>
          <w:lang w:val="ru-RU"/>
        </w:rPr>
        <w:t xml:space="preserve">. </w:t>
      </w:r>
      <w:r w:rsidRPr="004E363A">
        <w:rPr>
          <w:rFonts w:eastAsia="Times New Roman" w:cs="Arial"/>
          <w:color w:val="000000"/>
          <w:szCs w:val="20"/>
          <w:lang w:eastAsia="bg-BG"/>
        </w:rPr>
        <w:t>Поради това и</w:t>
      </w:r>
      <w:r w:rsidRPr="004E363A">
        <w:rPr>
          <w:rFonts w:eastAsia="Times New Roman" w:cs="Arial"/>
          <w:color w:val="000000"/>
          <w:szCs w:val="20"/>
          <w:u w:val="single"/>
          <w:lang w:eastAsia="bg-BG"/>
        </w:rPr>
        <w:t>вабрад</w:t>
      </w:r>
      <w:r w:rsidRPr="004E363A">
        <w:rPr>
          <w:rFonts w:eastAsia="Times New Roman" w:cs="Arial"/>
          <w:color w:val="000000"/>
          <w:szCs w:val="20"/>
          <w:lang w:eastAsia="bg-BG"/>
        </w:rPr>
        <w:t>ин трябва да се използва с внимание при тази популация.</w:t>
      </w:r>
    </w:p>
    <w:p w14:paraId="6BFE023E" w14:textId="77777777" w:rsidR="004E363A" w:rsidRPr="004E363A" w:rsidRDefault="004E363A" w:rsidP="004E363A">
      <w:pPr>
        <w:spacing w:line="240" w:lineRule="auto"/>
        <w:rPr>
          <w:rFonts w:eastAsia="Times New Roman" w:cs="Arial"/>
          <w:i/>
          <w:iCs/>
          <w:color w:val="000000"/>
          <w:szCs w:val="20"/>
          <w:lang w:eastAsia="bg-BG"/>
        </w:rPr>
      </w:pPr>
    </w:p>
    <w:p w14:paraId="37FAA394" w14:textId="18F43766"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Чернодробно увреждане</w:t>
      </w:r>
    </w:p>
    <w:p w14:paraId="44A0E2E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Не е необходимо адаптиране на дозата при пациенти с леко чернодробно увреждане. Необходимо е внимание, когато ивабрадин се прилага при пациенти с умерено чернодробно увреждане. Ивабрадин е противопоказан при пациенти с тежка чернодробна недостатъчност, тъй като не е проучен при тази популация и се очаква голямо повишение в системната експозиция (вижте точки 4.3 и 5.2).</w:t>
      </w:r>
    </w:p>
    <w:p w14:paraId="123D6FA7" w14:textId="77777777" w:rsidR="004E363A" w:rsidRPr="004E363A" w:rsidRDefault="004E363A" w:rsidP="004E363A">
      <w:pPr>
        <w:spacing w:line="240" w:lineRule="auto"/>
        <w:rPr>
          <w:rFonts w:eastAsia="Times New Roman" w:cs="Arial"/>
          <w:i/>
          <w:iCs/>
          <w:color w:val="000000"/>
          <w:szCs w:val="20"/>
          <w:lang w:eastAsia="bg-BG"/>
        </w:rPr>
      </w:pPr>
    </w:p>
    <w:p w14:paraId="6B2EA20B" w14:textId="32CD8A3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Педиатрична популация</w:t>
      </w:r>
    </w:p>
    <w:p w14:paraId="770B7B2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Безопасността и ефикасността на ивабрадин при деца на възраст под 18 години не са установени. Наличните понастоящем данни за лечение на хронична сърдечна недостатъчност са описани в точки 5.1 и 5.2, но препоръки за дозировката не могат да бъдат дадени.</w:t>
      </w:r>
    </w:p>
    <w:p w14:paraId="0E815ED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налични данни за симптоматично лечение на хронична стабилна ангина пекторис.</w:t>
      </w:r>
    </w:p>
    <w:p w14:paraId="2B59E5B1" w14:textId="77777777" w:rsidR="004E363A" w:rsidRPr="004E363A" w:rsidRDefault="004E363A" w:rsidP="004E363A">
      <w:pPr>
        <w:spacing w:line="240" w:lineRule="auto"/>
        <w:rPr>
          <w:rFonts w:eastAsia="Times New Roman" w:cs="Arial"/>
          <w:color w:val="000000"/>
          <w:szCs w:val="20"/>
          <w:u w:val="single"/>
          <w:lang w:eastAsia="bg-BG"/>
        </w:rPr>
      </w:pPr>
    </w:p>
    <w:p w14:paraId="14212552" w14:textId="0B5A8982" w:rsidR="004E363A" w:rsidRPr="004E363A" w:rsidRDefault="004E363A" w:rsidP="004E363A">
      <w:pPr>
        <w:pStyle w:val="Heading3"/>
        <w:rPr>
          <w:rFonts w:eastAsia="Times New Roman"/>
          <w:sz w:val="28"/>
          <w:u w:val="single"/>
        </w:rPr>
      </w:pPr>
      <w:r w:rsidRPr="004E363A">
        <w:rPr>
          <w:rFonts w:eastAsia="Times New Roman"/>
          <w:u w:val="single"/>
          <w:lang w:eastAsia="bg-BG"/>
        </w:rPr>
        <w:t>Начин на приложение</w:t>
      </w:r>
    </w:p>
    <w:p w14:paraId="1A5A3114" w14:textId="26A5020A" w:rsidR="004E363A" w:rsidRDefault="004E363A" w:rsidP="004E363A">
      <w:pPr>
        <w:spacing w:line="240" w:lineRule="auto"/>
        <w:rPr>
          <w:rFonts w:eastAsia="Times New Roman" w:cs="Arial"/>
          <w:color w:val="000000"/>
          <w:szCs w:val="20"/>
          <w:lang w:eastAsia="bg-BG"/>
        </w:rPr>
      </w:pPr>
      <w:r w:rsidRPr="004E363A">
        <w:rPr>
          <w:rFonts w:eastAsia="Times New Roman" w:cs="Arial"/>
          <w:color w:val="000000"/>
          <w:szCs w:val="20"/>
          <w:lang w:eastAsia="bg-BG"/>
        </w:rPr>
        <w:t>Таблетките трябва да се приемат през устата два пъти дневно, т.е. един път сутрин и един път вечер по време на хранене (вижте точка 5.2).</w:t>
      </w:r>
    </w:p>
    <w:p w14:paraId="234C005E" w14:textId="77777777" w:rsidR="004E363A" w:rsidRPr="004E363A" w:rsidRDefault="004E363A" w:rsidP="004E363A">
      <w:pPr>
        <w:spacing w:line="240" w:lineRule="auto"/>
        <w:rPr>
          <w:rFonts w:eastAsia="Times New Roman" w:cs="Arial"/>
          <w:sz w:val="28"/>
          <w:szCs w:val="24"/>
          <w:lang w:val="ru-RU"/>
        </w:rPr>
      </w:pPr>
    </w:p>
    <w:p w14:paraId="0F253247" w14:textId="0412668E" w:rsidR="007122AD" w:rsidRDefault="002C50EE" w:rsidP="00936AD0">
      <w:pPr>
        <w:pStyle w:val="Heading2"/>
      </w:pPr>
      <w:r>
        <w:t>4.3. Противопоказания</w:t>
      </w:r>
    </w:p>
    <w:p w14:paraId="50F50C6F" w14:textId="63EAD6AA" w:rsidR="004E363A" w:rsidRDefault="004E363A" w:rsidP="004E363A"/>
    <w:p w14:paraId="71D21C75"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5D537C36"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Сърдечна честота в покой под 70 уд./ мин. преди лечение</w:t>
      </w:r>
    </w:p>
    <w:p w14:paraId="265C40C9"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Кардиогенен шок</w:t>
      </w:r>
    </w:p>
    <w:p w14:paraId="420390BC"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Остър инфаркт на миокарда</w:t>
      </w:r>
    </w:p>
    <w:p w14:paraId="79FDEF61"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Тежка хипотония (&lt; 90/50 </w:t>
      </w:r>
      <w:r w:rsidRPr="004E363A">
        <w:rPr>
          <w:rFonts w:eastAsia="Times New Roman" w:cs="Arial"/>
          <w:color w:val="000000"/>
          <w:szCs w:val="20"/>
          <w:lang w:val="en-US"/>
        </w:rPr>
        <w:t>mmHg</w:t>
      </w:r>
      <w:r w:rsidRPr="004E363A">
        <w:rPr>
          <w:rFonts w:eastAsia="Times New Roman" w:cs="Arial"/>
          <w:color w:val="000000"/>
          <w:szCs w:val="20"/>
          <w:lang w:val="ru-RU"/>
        </w:rPr>
        <w:t>)</w:t>
      </w:r>
    </w:p>
    <w:p w14:paraId="4061AB51"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Тежка чернодробна недостатъчност</w:t>
      </w:r>
    </w:p>
    <w:p w14:paraId="6C7A95C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Синдром на болния синусов възел</w:t>
      </w:r>
    </w:p>
    <w:p w14:paraId="2D162AB8"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Сино-атриален блок</w:t>
      </w:r>
    </w:p>
    <w:p w14:paraId="14AA07B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lastRenderedPageBreak/>
        <w:t>Нестабилна или остра сърдечна недостатъчност</w:t>
      </w:r>
    </w:p>
    <w:p w14:paraId="48F7068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Зависимост от пейсмейкър (сърдечната честота е определена основно от пейсмейкьра)</w:t>
      </w:r>
    </w:p>
    <w:p w14:paraId="0E89284F"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Нестабилна стенокардия</w:t>
      </w:r>
    </w:p>
    <w:p w14:paraId="6666852E"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val="en-US"/>
        </w:rPr>
        <w:t>AV</w:t>
      </w:r>
      <w:r w:rsidRPr="004E363A">
        <w:rPr>
          <w:rFonts w:eastAsia="Times New Roman" w:cs="Arial"/>
          <w:color w:val="000000"/>
          <w:szCs w:val="20"/>
          <w:lang w:eastAsia="bg-BG"/>
        </w:rPr>
        <w:t>-блок 3-та степен</w:t>
      </w:r>
    </w:p>
    <w:p w14:paraId="5D81F729"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Комбинация с мощни инхибитори на цитохром Р450 ЗА4 като азолови антимикотици (кетоконазол, итраконазол), макролидни антибиотици (кларитромицин, еритромицин </w:t>
      </w:r>
      <w:r w:rsidRPr="004E363A">
        <w:rPr>
          <w:rFonts w:eastAsia="Times New Roman" w:cs="Arial"/>
          <w:i/>
          <w:iCs/>
          <w:color w:val="000000"/>
          <w:szCs w:val="20"/>
          <w:lang w:val="en-US"/>
        </w:rPr>
        <w:t>per</w:t>
      </w:r>
      <w:r w:rsidRPr="004E363A">
        <w:rPr>
          <w:rFonts w:eastAsia="Times New Roman" w:cs="Arial"/>
          <w:i/>
          <w:iCs/>
          <w:color w:val="000000"/>
          <w:szCs w:val="20"/>
        </w:rPr>
        <w:t xml:space="preserve"> </w:t>
      </w:r>
      <w:proofErr w:type="spellStart"/>
      <w:r w:rsidRPr="004E363A">
        <w:rPr>
          <w:rFonts w:eastAsia="Times New Roman" w:cs="Arial"/>
          <w:i/>
          <w:iCs/>
          <w:color w:val="000000"/>
          <w:szCs w:val="20"/>
          <w:lang w:val="en-US"/>
        </w:rPr>
        <w:t>os</w:t>
      </w:r>
      <w:proofErr w:type="spellEnd"/>
      <w:r w:rsidRPr="004E363A">
        <w:rPr>
          <w:rFonts w:eastAsia="Times New Roman" w:cs="Arial"/>
          <w:i/>
          <w:iCs/>
          <w:color w:val="000000"/>
          <w:szCs w:val="20"/>
        </w:rPr>
        <w:t xml:space="preserve">, </w:t>
      </w:r>
      <w:r w:rsidRPr="004E363A">
        <w:rPr>
          <w:rFonts w:eastAsia="Times New Roman" w:cs="Arial"/>
          <w:color w:val="000000"/>
          <w:szCs w:val="20"/>
          <w:lang w:eastAsia="bg-BG"/>
        </w:rPr>
        <w:t>йозамицин, телитромицин), ХИ В протеазни инхибитори (нелфинавир, ритонавир) и нефазодон (вижте точки 4.5 и 5.2)</w:t>
      </w:r>
    </w:p>
    <w:p w14:paraId="3617E41E"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Комбинация с верапамил или дилтиазем, които са умерени инхибитори на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със</w:t>
      </w:r>
      <w:r w:rsidRPr="004E363A">
        <w:rPr>
          <w:rFonts w:eastAsia="Times New Roman" w:cs="Arial"/>
          <w:color w:val="000000"/>
          <w:szCs w:val="20"/>
          <w:lang w:val="ru-RU" w:eastAsia="bg-BG"/>
        </w:rPr>
        <w:t xml:space="preserve"> </w:t>
      </w:r>
      <w:r w:rsidRPr="004E363A">
        <w:rPr>
          <w:rFonts w:eastAsia="Times New Roman" w:cs="Arial"/>
          <w:color w:val="000000"/>
          <w:szCs w:val="20"/>
          <w:lang w:eastAsia="bg-BG"/>
        </w:rPr>
        <w:t>свойство да понижават сърдечната честота (вежте точка 4.5)</w:t>
      </w:r>
    </w:p>
    <w:p w14:paraId="6BE0067A" w14:textId="251B4FEB" w:rsidR="004E363A" w:rsidRPr="004E363A" w:rsidRDefault="004E363A" w:rsidP="004E363A">
      <w:pPr>
        <w:pStyle w:val="ListParagraph"/>
        <w:numPr>
          <w:ilvl w:val="0"/>
          <w:numId w:val="38"/>
        </w:numPr>
        <w:spacing w:line="240" w:lineRule="auto"/>
        <w:rPr>
          <w:rFonts w:ascii="Times New Roman" w:eastAsia="Times New Roman" w:hAnsi="Times New Roman" w:cs="Times New Roman"/>
          <w:color w:val="000000"/>
          <w:sz w:val="20"/>
          <w:szCs w:val="20"/>
          <w:lang w:eastAsia="bg-BG"/>
        </w:rPr>
      </w:pPr>
      <w:r w:rsidRPr="004E363A">
        <w:rPr>
          <w:rFonts w:cs="Arial"/>
          <w:szCs w:val="20"/>
        </w:rPr>
        <w:t>Бременност, кърмене и жени с детероден потенциал, които не използват подходящи методи на контрацепция (вижте точка 4.6)</w:t>
      </w:r>
    </w:p>
    <w:p w14:paraId="23D5BB25" w14:textId="77777777" w:rsidR="004E363A" w:rsidRPr="004E363A" w:rsidRDefault="004E363A" w:rsidP="004E363A">
      <w:pPr>
        <w:spacing w:line="240" w:lineRule="auto"/>
        <w:rPr>
          <w:rFonts w:ascii="Times New Roman" w:eastAsia="Times New Roman" w:hAnsi="Times New Roman" w:cs="Times New Roman"/>
          <w:color w:val="000000"/>
          <w:sz w:val="20"/>
          <w:szCs w:val="20"/>
          <w:lang w:eastAsia="bg-BG"/>
        </w:rPr>
      </w:pPr>
    </w:p>
    <w:p w14:paraId="0E0BDCC7" w14:textId="265E3EE8" w:rsidR="007122AD" w:rsidRDefault="002C50EE" w:rsidP="00936AD0">
      <w:pPr>
        <w:pStyle w:val="Heading2"/>
      </w:pPr>
      <w:r>
        <w:t>4.4. Специални предупреждения и предпазни мерки при употреба</w:t>
      </w:r>
    </w:p>
    <w:p w14:paraId="08A01404" w14:textId="002C86BE" w:rsidR="004E363A" w:rsidRDefault="004E363A" w:rsidP="004E363A"/>
    <w:p w14:paraId="0CFD9F82"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Липса на полза за клиничния изход при пациенти със симптоматична хронична стабилна стенокардия</w:t>
      </w:r>
    </w:p>
    <w:p w14:paraId="78DD040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е показан само за симптоматично лечение на хронична стабилна стенокардия, тъй като ивабрадин не носи ползи за клиничния изход по отношение на сърдечно-съдовата система, например инфаркт на миокарда или сърдечно-съдова смърт (вижте точка 5.1).</w:t>
      </w:r>
    </w:p>
    <w:p w14:paraId="7A3F8E7B" w14:textId="77777777" w:rsidR="004E363A" w:rsidRPr="004E363A" w:rsidRDefault="004E363A" w:rsidP="004E363A">
      <w:pPr>
        <w:spacing w:line="240" w:lineRule="auto"/>
        <w:rPr>
          <w:rFonts w:eastAsia="Times New Roman" w:cs="Arial"/>
          <w:i/>
          <w:iCs/>
          <w:color w:val="000000"/>
          <w:szCs w:val="20"/>
          <w:lang w:eastAsia="bg-BG"/>
        </w:rPr>
      </w:pPr>
    </w:p>
    <w:p w14:paraId="51F19860" w14:textId="64F3DBAE"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Измерване на сърдечната честота</w:t>
      </w:r>
    </w:p>
    <w:p w14:paraId="3C6F8E7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Предвид факта, че сърдечната честота може да варира съществено във времето, трябва да се обмисли извършването на поредица от измервания на сърдечната честота, ЕКГ или амбулаторно 24-часово проследяване, когато се определя сърдечната честота в покой преди започване на лечение с ивабрадин и при пациенти на лечение с ивабрадин, когато се обмисля титриране на дозата. Това се отнася и за пациенти с ниска сърдечна честота, особено когато сърдечната честота се понижи под 50 уд./ мин. или след понижаване на дозата (вижте точка 4.2).</w:t>
      </w:r>
    </w:p>
    <w:p w14:paraId="3CCB7929" w14:textId="77777777" w:rsidR="004E363A" w:rsidRPr="004E363A" w:rsidRDefault="004E363A" w:rsidP="004E363A">
      <w:pPr>
        <w:spacing w:line="240" w:lineRule="auto"/>
        <w:rPr>
          <w:rFonts w:eastAsia="Times New Roman" w:cs="Arial"/>
          <w:i/>
          <w:iCs/>
          <w:color w:val="000000"/>
          <w:szCs w:val="20"/>
          <w:lang w:eastAsia="bg-BG"/>
        </w:rPr>
      </w:pPr>
    </w:p>
    <w:p w14:paraId="1EBA35AB" w14:textId="594EBD9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Сърдечни аритмии</w:t>
      </w:r>
    </w:p>
    <w:p w14:paraId="68A995F2"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не е ефективен при лечение или превенция на сърдечни аритмии и вероятно губи своята ефикасност при поява на тахиаритмия (например камерна или надкамерна тахикардия). Поради това, ивабрадин не се препоръчва при пациенти с предсърдно мъждене или друг вид сърдечни аритмии, които пречат на функцията на синусовия възел.</w:t>
      </w:r>
    </w:p>
    <w:p w14:paraId="4CEA40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При пациенти, лекувани с ивабрадин, рискът от развиване на предсърдно мъждене е повишен (вижте точка 4.8). Предсърдното мъждене се среща по-често при пациенти, които приемат съвместно амиодарон или мощни антиаритмици клас I. Препоръчва се регулярно клинично проследяване на пациентите, лекувани с ивабрадин, за поява на предсърдно мъждене (трайно или пристьпно), което трябва да включва също ЕКГ проследяване, ако е клинично показано (например в случай на обострена стенокардия, палпитации, неравномерен пулс).</w:t>
      </w:r>
    </w:p>
    <w:p w14:paraId="51C9A00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Пациентите трябва да бъда информирани за признаците и симптомите на предсърдно мъждене и да бъдат посъветвани да се свържат с лекуващия лекар, ако такива се появят.</w:t>
      </w:r>
    </w:p>
    <w:p w14:paraId="3F0D4E3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по време на лечението се появи предсърдно мъждене, съотношението полза/ риск от лечението с ивабрадин трябва да бъде внимателно преоценено.</w:t>
      </w:r>
    </w:p>
    <w:p w14:paraId="5860E1CF" w14:textId="77777777" w:rsidR="004E363A" w:rsidRPr="004E363A" w:rsidRDefault="004E363A" w:rsidP="004E363A">
      <w:pPr>
        <w:spacing w:line="240" w:lineRule="auto"/>
        <w:rPr>
          <w:rFonts w:eastAsia="Times New Roman" w:cs="Arial"/>
          <w:color w:val="000000"/>
          <w:szCs w:val="20"/>
          <w:lang w:eastAsia="bg-BG"/>
        </w:rPr>
      </w:pPr>
    </w:p>
    <w:p w14:paraId="7C7F533F" w14:textId="769F4D2E"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Пациентите с хронична сърдечна недостатъчност с дефекти на интравентрикуларната</w:t>
      </w:r>
    </w:p>
    <w:p w14:paraId="4739DDB9" w14:textId="17C3A508" w:rsidR="004E363A" w:rsidRPr="004E363A" w:rsidRDefault="004E363A" w:rsidP="004E363A">
      <w:pPr>
        <w:rPr>
          <w:rFonts w:eastAsia="Times New Roman" w:cs="Arial"/>
          <w:color w:val="000000"/>
          <w:szCs w:val="20"/>
          <w:lang w:eastAsia="bg-BG"/>
        </w:rPr>
      </w:pPr>
      <w:r w:rsidRPr="004E363A">
        <w:rPr>
          <w:rFonts w:eastAsia="Times New Roman" w:cs="Arial"/>
          <w:color w:val="000000"/>
          <w:szCs w:val="20"/>
          <w:lang w:eastAsia="bg-BG"/>
        </w:rPr>
        <w:lastRenderedPageBreak/>
        <w:t>проводимост (ляв бедрен блок, десен бедрен блок) и вентрикуларна диссинхрония трябва да бъдат проследявани отблизо.</w:t>
      </w:r>
    </w:p>
    <w:p w14:paraId="479EEDC9" w14:textId="3715159B" w:rsidR="004E363A" w:rsidRPr="004E363A" w:rsidRDefault="004E363A" w:rsidP="004E363A">
      <w:pPr>
        <w:rPr>
          <w:rFonts w:eastAsia="Times New Roman" w:cs="Arial"/>
          <w:color w:val="000000"/>
          <w:szCs w:val="20"/>
          <w:lang w:eastAsia="bg-BG"/>
        </w:rPr>
      </w:pPr>
    </w:p>
    <w:p w14:paraId="77DF67EE"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Употреба при пациенти </w:t>
      </w:r>
      <w:r w:rsidRPr="004E363A">
        <w:rPr>
          <w:rFonts w:eastAsia="Times New Roman" w:cs="Arial"/>
          <w:i/>
          <w:iCs/>
          <w:color w:val="000000"/>
          <w:szCs w:val="20"/>
          <w:lang w:val="en-US"/>
        </w:rPr>
        <w:t>c</w:t>
      </w:r>
      <w:r w:rsidRPr="004E363A">
        <w:rPr>
          <w:rFonts w:eastAsia="Times New Roman" w:cs="Arial"/>
          <w:i/>
          <w:iCs/>
          <w:color w:val="000000"/>
          <w:szCs w:val="20"/>
          <w:lang w:eastAsia="bg-BG"/>
        </w:rPr>
        <w:t xml:space="preserve"> </w:t>
      </w:r>
      <w:r w:rsidRPr="004E363A">
        <w:rPr>
          <w:rFonts w:eastAsia="Times New Roman" w:cs="Arial"/>
          <w:i/>
          <w:iCs/>
          <w:color w:val="000000"/>
          <w:szCs w:val="20"/>
          <w:lang w:val="en-US"/>
        </w:rPr>
        <w:t>AV</w:t>
      </w:r>
      <w:r w:rsidRPr="004E363A">
        <w:rPr>
          <w:rFonts w:eastAsia="Times New Roman" w:cs="Arial"/>
          <w:i/>
          <w:iCs/>
          <w:color w:val="000000"/>
          <w:szCs w:val="20"/>
          <w:lang w:eastAsia="bg-BG"/>
        </w:rPr>
        <w:t xml:space="preserve"> блок 2-ра степен</w:t>
      </w:r>
    </w:p>
    <w:p w14:paraId="50A315E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Ивабрадин не се препоръчва при пациенти с </w:t>
      </w:r>
      <w:r w:rsidRPr="004E363A">
        <w:rPr>
          <w:rFonts w:eastAsia="Times New Roman" w:cs="Arial"/>
          <w:color w:val="000000"/>
          <w:szCs w:val="20"/>
          <w:lang w:val="en-US"/>
        </w:rPr>
        <w:t>AV</w:t>
      </w:r>
      <w:r w:rsidRPr="004E363A">
        <w:rPr>
          <w:rFonts w:eastAsia="Times New Roman" w:cs="Arial"/>
          <w:color w:val="000000"/>
          <w:szCs w:val="20"/>
          <w:lang w:val="ru-RU"/>
        </w:rPr>
        <w:t xml:space="preserve"> </w:t>
      </w:r>
      <w:r w:rsidRPr="004E363A">
        <w:rPr>
          <w:rFonts w:eastAsia="Times New Roman" w:cs="Arial"/>
          <w:color w:val="000000"/>
          <w:szCs w:val="20"/>
          <w:lang w:eastAsia="bg-BG"/>
        </w:rPr>
        <w:t>блок 2-ра степен.</w:t>
      </w:r>
    </w:p>
    <w:p w14:paraId="6916779F" w14:textId="77777777" w:rsidR="004E363A" w:rsidRPr="004E363A" w:rsidRDefault="004E363A" w:rsidP="004E363A">
      <w:pPr>
        <w:spacing w:line="240" w:lineRule="auto"/>
        <w:rPr>
          <w:rFonts w:eastAsia="Times New Roman" w:cs="Arial"/>
          <w:i/>
          <w:iCs/>
          <w:color w:val="000000"/>
          <w:szCs w:val="20"/>
          <w:lang w:eastAsia="bg-BG"/>
        </w:rPr>
      </w:pPr>
    </w:p>
    <w:p w14:paraId="1B8B8C32" w14:textId="022F3BD1"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Употреба при пациенти с ниска сърдечна честота</w:t>
      </w:r>
    </w:p>
    <w:p w14:paraId="538E0EC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не трябва да се започва при пациенти със сърдечна честота в покой преди лечение под 70 удара в минута (уд./ мин.) (вижте точка 4.3).</w:t>
      </w:r>
    </w:p>
    <w:p w14:paraId="0BD93C5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по време на лечението сърдечната честота в покой се понижи трайно под 50 уд./ мин. или пациентът изпита симптоми, свързани с брадикардия, като замаяност, умора или хипотония, дозата трябва да бъде постепенно понижена или лечението трябва да бъде преустановено, ако сърдечната честота се запази под 50 уд./мин. или симптомите на брадикардия продължат (вижте точка 4.2).</w:t>
      </w:r>
    </w:p>
    <w:p w14:paraId="4E12DD0C" w14:textId="77777777" w:rsidR="004E363A" w:rsidRPr="004E363A" w:rsidRDefault="004E363A" w:rsidP="004E363A">
      <w:pPr>
        <w:spacing w:line="240" w:lineRule="auto"/>
        <w:rPr>
          <w:rFonts w:eastAsia="Times New Roman" w:cs="Arial"/>
          <w:i/>
          <w:iCs/>
          <w:color w:val="000000"/>
          <w:szCs w:val="20"/>
          <w:lang w:eastAsia="bg-BG"/>
        </w:rPr>
      </w:pPr>
    </w:p>
    <w:p w14:paraId="27EB8B00" w14:textId="1DF7FF89"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Комбинация с блокери на калциевите канали</w:t>
      </w:r>
    </w:p>
    <w:p w14:paraId="124052D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Съвместната употреба на ивабрадин с понижаващи сърдечната честота блокери на калциевите канали като верапамил и дилтиазем е противопоказана (вижте точки 4.3 и 4.5). Досега не са повдигани въпроси относно безопасността на комбинацията от ивабрадин и нитрати и дихидропиридинови блокери на калциевите канали като амлодипин. Не е установена допълнителна ефикасност на ивабрадин в комбинация с дихидропиридинови блокери на калциевите канали (вижте точка 5.1).</w:t>
      </w:r>
    </w:p>
    <w:p w14:paraId="3853F117" w14:textId="77777777" w:rsidR="004E363A" w:rsidRPr="004E363A" w:rsidRDefault="004E363A" w:rsidP="004E363A">
      <w:pPr>
        <w:spacing w:line="240" w:lineRule="auto"/>
        <w:rPr>
          <w:rFonts w:eastAsia="Times New Roman" w:cs="Arial"/>
          <w:i/>
          <w:iCs/>
          <w:color w:val="000000"/>
          <w:szCs w:val="20"/>
          <w:lang w:eastAsia="bg-BG"/>
        </w:rPr>
      </w:pPr>
    </w:p>
    <w:p w14:paraId="48B70C20" w14:textId="44B6EAA1"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Хронична сърдечна недостатъчност</w:t>
      </w:r>
    </w:p>
    <w:p w14:paraId="3158F16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Сърдечната недостатъчност трябва да е стабилна преди обмисляне на лечение с ивабрадин. Ивабрадин трябва да се използва с внимание при пациенти със сърдечна недостатъчност </w:t>
      </w:r>
      <w:r w:rsidRPr="004E363A">
        <w:rPr>
          <w:rFonts w:eastAsia="Times New Roman" w:cs="Arial"/>
          <w:color w:val="000000"/>
          <w:szCs w:val="20"/>
          <w:lang w:val="en-US"/>
        </w:rPr>
        <w:t>NYHA</w:t>
      </w:r>
      <w:r w:rsidRPr="004E363A">
        <w:rPr>
          <w:rFonts w:eastAsia="Times New Roman" w:cs="Arial"/>
          <w:color w:val="000000"/>
          <w:szCs w:val="20"/>
          <w:lang w:val="ru-RU"/>
        </w:rPr>
        <w:t xml:space="preserve"> </w:t>
      </w:r>
      <w:r w:rsidRPr="004E363A">
        <w:rPr>
          <w:rFonts w:eastAsia="Times New Roman" w:cs="Arial"/>
          <w:color w:val="000000"/>
          <w:szCs w:val="20"/>
          <w:lang w:eastAsia="bg-BG"/>
        </w:rPr>
        <w:t>функционален клас IV, тъй като данните при тази популация са ограничени.</w:t>
      </w:r>
    </w:p>
    <w:p w14:paraId="5A79A33A" w14:textId="77777777" w:rsidR="004E363A" w:rsidRPr="004E363A" w:rsidRDefault="004E363A" w:rsidP="004E363A">
      <w:pPr>
        <w:spacing w:line="240" w:lineRule="auto"/>
        <w:rPr>
          <w:rFonts w:eastAsia="Times New Roman" w:cs="Arial"/>
          <w:i/>
          <w:iCs/>
          <w:color w:val="000000"/>
          <w:szCs w:val="20"/>
          <w:lang w:eastAsia="bg-BG"/>
        </w:rPr>
      </w:pPr>
    </w:p>
    <w:p w14:paraId="3C32DF94" w14:textId="0754C79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Инсулт</w:t>
      </w:r>
    </w:p>
    <w:p w14:paraId="06B809B6"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Не се препоръчва употребата на ивабрадин след инсулт, тъй като няма налични данни в такива ситуации.</w:t>
      </w:r>
    </w:p>
    <w:p w14:paraId="19ACE9EE" w14:textId="77777777" w:rsidR="004E363A" w:rsidRPr="004E363A" w:rsidRDefault="004E363A" w:rsidP="004E363A">
      <w:pPr>
        <w:spacing w:line="240" w:lineRule="auto"/>
        <w:rPr>
          <w:rFonts w:eastAsia="Times New Roman" w:cs="Arial"/>
          <w:i/>
          <w:iCs/>
          <w:color w:val="000000"/>
          <w:szCs w:val="20"/>
          <w:lang w:eastAsia="bg-BG"/>
        </w:rPr>
      </w:pPr>
    </w:p>
    <w:p w14:paraId="5D592F88" w14:textId="0777CAD4"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Зрителна функция</w:t>
      </w:r>
    </w:p>
    <w:p w14:paraId="418158E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повлиява функцията на ретината. Няма данни за токсичен ефект върху ретината от дългосрочно лечение с ивабрадин (вижте точка 5.1). Трябва да се обмисли преустановяване на лечението, ако се появи неочаквано влошаване на зрителната функция. При п</w:t>
      </w:r>
      <w:r w:rsidRPr="004E363A">
        <w:rPr>
          <w:rFonts w:eastAsia="Times New Roman" w:cs="Arial"/>
          <w:color w:val="000000"/>
          <w:szCs w:val="20"/>
          <w:u w:val="single"/>
          <w:lang w:eastAsia="bg-BG"/>
        </w:rPr>
        <w:t>ациен</w:t>
      </w:r>
      <w:r w:rsidRPr="004E363A">
        <w:rPr>
          <w:rFonts w:eastAsia="Times New Roman" w:cs="Arial"/>
          <w:color w:val="000000"/>
          <w:szCs w:val="20"/>
          <w:lang w:eastAsia="bg-BG"/>
        </w:rPr>
        <w:t>ти с пигментозен ретинит е необходимо повишено внимание.</w:t>
      </w:r>
    </w:p>
    <w:p w14:paraId="52865548" w14:textId="77777777" w:rsidR="004E363A" w:rsidRPr="004E363A" w:rsidRDefault="004E363A" w:rsidP="004E363A">
      <w:pPr>
        <w:spacing w:line="240" w:lineRule="auto"/>
        <w:rPr>
          <w:rFonts w:eastAsia="Times New Roman" w:cs="Arial"/>
          <w:i/>
          <w:iCs/>
          <w:color w:val="000000"/>
          <w:szCs w:val="20"/>
          <w:lang w:eastAsia="bg-BG"/>
        </w:rPr>
      </w:pPr>
    </w:p>
    <w:p w14:paraId="1A3BC632" w14:textId="19970AC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с хипотония</w:t>
      </w:r>
    </w:p>
    <w:p w14:paraId="07F5459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Налични са ограничени данни при пациенти с лека до умерена хипотония и поради това ивабрадин трябва да се използва с повишено внимание при тези пациенти. Ивабрадин е противопоказан при пациенти с тежка хипотония (кръвно налягане &lt; 90/50 </w:t>
      </w:r>
      <w:r w:rsidRPr="004E363A">
        <w:rPr>
          <w:rFonts w:eastAsia="Times New Roman" w:cs="Arial"/>
          <w:color w:val="000000"/>
          <w:szCs w:val="20"/>
          <w:lang w:val="en-US"/>
        </w:rPr>
        <w:t>mmHg</w:t>
      </w:r>
      <w:r w:rsidRPr="004E363A">
        <w:rPr>
          <w:rFonts w:eastAsia="Times New Roman" w:cs="Arial"/>
          <w:color w:val="000000"/>
          <w:szCs w:val="20"/>
          <w:lang w:val="ru-RU"/>
        </w:rPr>
        <w:t xml:space="preserve">) </w:t>
      </w:r>
      <w:r w:rsidRPr="004E363A">
        <w:rPr>
          <w:rFonts w:eastAsia="Times New Roman" w:cs="Arial"/>
          <w:color w:val="000000"/>
          <w:szCs w:val="20"/>
          <w:lang w:eastAsia="bg-BG"/>
        </w:rPr>
        <w:t>(вижте точка 4.3).</w:t>
      </w:r>
    </w:p>
    <w:p w14:paraId="318AEE1A" w14:textId="77777777" w:rsidR="004E363A" w:rsidRPr="004E363A" w:rsidRDefault="004E363A" w:rsidP="004E363A">
      <w:pPr>
        <w:spacing w:line="240" w:lineRule="auto"/>
        <w:rPr>
          <w:rFonts w:eastAsia="Times New Roman" w:cs="Arial"/>
          <w:i/>
          <w:iCs/>
          <w:color w:val="000000"/>
          <w:szCs w:val="20"/>
          <w:lang w:eastAsia="bg-BG"/>
        </w:rPr>
      </w:pPr>
    </w:p>
    <w:p w14:paraId="677A73C3" w14:textId="171F945A"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Предсърдно мъждене - сърдечни аритмии</w:t>
      </w:r>
    </w:p>
    <w:p w14:paraId="5FB7E07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доказателства за риск от (прекомерна) брадикардия при възстановяване на синусовия ритъм, когато при пациенти, лекувани с ивабрадин е инициирана фармакологична кардиоверсия. Въпреки това, поради липса на достатъчно данни, неспешна кардиоверсия с прав ток трябва да се предвижда 24 часа след последния преим на ивабрадин.</w:t>
      </w:r>
    </w:p>
    <w:p w14:paraId="76BF3E46" w14:textId="77777777" w:rsidR="004E363A" w:rsidRPr="004E363A" w:rsidRDefault="004E363A" w:rsidP="004E363A">
      <w:pPr>
        <w:spacing w:line="240" w:lineRule="auto"/>
        <w:rPr>
          <w:rFonts w:eastAsia="Times New Roman" w:cs="Arial"/>
          <w:i/>
          <w:iCs/>
          <w:color w:val="000000"/>
          <w:szCs w:val="20"/>
          <w:lang w:eastAsia="bg-BG"/>
        </w:rPr>
      </w:pPr>
    </w:p>
    <w:p w14:paraId="2C2C4E1E" w14:textId="39DD382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Употреба при пациенти с вроден </w:t>
      </w:r>
      <w:r w:rsidRPr="004E363A">
        <w:rPr>
          <w:rFonts w:eastAsia="Times New Roman" w:cs="Arial"/>
          <w:i/>
          <w:iCs/>
          <w:color w:val="000000"/>
          <w:szCs w:val="20"/>
          <w:lang w:val="en-US"/>
        </w:rPr>
        <w:t>QT</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 xml:space="preserve">синдром или лекувани с лекарствени продукти, които удължават </w:t>
      </w:r>
      <w:r w:rsidRPr="004E363A">
        <w:rPr>
          <w:rFonts w:eastAsia="Times New Roman" w:cs="Arial"/>
          <w:i/>
          <w:iCs/>
          <w:color w:val="000000"/>
          <w:szCs w:val="20"/>
          <w:lang w:val="en-US"/>
        </w:rPr>
        <w:t>QT</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интервала</w:t>
      </w:r>
    </w:p>
    <w:p w14:paraId="3ABD908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Употребата на ивабрадин при пациенти с вроден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синдром или лекувани с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трябва да се избягва (вижте точка 4.5). Ако такава комбинация е необходима, тогава се налага кардиологично проследяване отблизо.</w:t>
      </w:r>
    </w:p>
    <w:p w14:paraId="155EEE7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Понижаването на сърдечната честота, причинено от ивабрадин, може да засили удължаването на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интервала, което може да причини тежки аритмии, в частност полиморфна камерна тахикардия </w:t>
      </w:r>
      <w:r w:rsidRPr="004E363A">
        <w:rPr>
          <w:rFonts w:eastAsia="Times New Roman" w:cs="Arial"/>
          <w:i/>
          <w:iCs/>
          <w:color w:val="000000"/>
          <w:szCs w:val="20"/>
          <w:lang w:val="ru-RU"/>
        </w:rPr>
        <w:t>(</w:t>
      </w:r>
      <w:r w:rsidRPr="004E363A">
        <w:rPr>
          <w:rFonts w:eastAsia="Times New Roman" w:cs="Arial"/>
          <w:i/>
          <w:iCs/>
          <w:color w:val="000000"/>
          <w:szCs w:val="20"/>
          <w:lang w:val="en-US"/>
        </w:rPr>
        <w:t>Torsade</w:t>
      </w:r>
      <w:r w:rsidRPr="004E363A">
        <w:rPr>
          <w:rFonts w:eastAsia="Times New Roman" w:cs="Arial"/>
          <w:i/>
          <w:iCs/>
          <w:color w:val="000000"/>
          <w:szCs w:val="20"/>
          <w:lang w:val="ru-RU"/>
        </w:rPr>
        <w:t xml:space="preserve"> </w:t>
      </w:r>
      <w:r w:rsidRPr="004E363A">
        <w:rPr>
          <w:rFonts w:eastAsia="Times New Roman" w:cs="Arial"/>
          <w:i/>
          <w:iCs/>
          <w:color w:val="000000"/>
          <w:szCs w:val="20"/>
          <w:lang w:val="en-US"/>
        </w:rPr>
        <w:t>de</w:t>
      </w:r>
      <w:r w:rsidRPr="004E363A">
        <w:rPr>
          <w:rFonts w:eastAsia="Times New Roman" w:cs="Arial"/>
          <w:i/>
          <w:iCs/>
          <w:color w:val="000000"/>
          <w:szCs w:val="20"/>
          <w:lang w:val="ru-RU"/>
        </w:rPr>
        <w:t xml:space="preserve"> </w:t>
      </w:r>
      <w:r w:rsidRPr="004E363A">
        <w:rPr>
          <w:rFonts w:eastAsia="Times New Roman" w:cs="Arial"/>
          <w:i/>
          <w:iCs/>
          <w:color w:val="000000"/>
          <w:szCs w:val="20"/>
          <w:lang w:val="en-US"/>
        </w:rPr>
        <w:t>pointes</w:t>
      </w:r>
      <w:r w:rsidRPr="004E363A">
        <w:rPr>
          <w:rFonts w:eastAsia="Times New Roman" w:cs="Arial"/>
          <w:i/>
          <w:iCs/>
          <w:color w:val="000000"/>
          <w:szCs w:val="20"/>
          <w:lang w:val="ru-RU"/>
        </w:rPr>
        <w:t>).</w:t>
      </w:r>
    </w:p>
    <w:p w14:paraId="1D9F35CF" w14:textId="77777777" w:rsidR="004E363A" w:rsidRPr="004E363A" w:rsidRDefault="004E363A" w:rsidP="004E363A">
      <w:pPr>
        <w:spacing w:line="240" w:lineRule="auto"/>
        <w:rPr>
          <w:rFonts w:eastAsia="Times New Roman" w:cs="Arial"/>
          <w:i/>
          <w:iCs/>
          <w:color w:val="000000"/>
          <w:szCs w:val="20"/>
          <w:lang w:eastAsia="bg-BG"/>
        </w:rPr>
      </w:pPr>
    </w:p>
    <w:p w14:paraId="75EE9654" w14:textId="21C5000A"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с хипертония, при които се налага промяна в лечението на кръвното налягане</w:t>
      </w:r>
    </w:p>
    <w:p w14:paraId="5D0A0B9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При промяна на лечението при пациенти с хронична сърдечна недостатъчност, лекувани с ивабрадин, кръвното налягане трябва да бъде проследявано на подходящи интервали (вижте точка 4.8).</w:t>
      </w:r>
    </w:p>
    <w:p w14:paraId="505A3DEC" w14:textId="77777777" w:rsidR="004E363A" w:rsidRPr="004E363A" w:rsidRDefault="004E363A" w:rsidP="004E363A">
      <w:pPr>
        <w:spacing w:line="240" w:lineRule="auto"/>
        <w:rPr>
          <w:rFonts w:eastAsia="Times New Roman" w:cs="Arial"/>
          <w:i/>
          <w:iCs/>
          <w:color w:val="000000"/>
          <w:szCs w:val="20"/>
          <w:lang w:eastAsia="bg-BG"/>
        </w:rPr>
      </w:pPr>
    </w:p>
    <w:p w14:paraId="656AF85E" w14:textId="7FE0062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Помощни вещества</w:t>
      </w:r>
    </w:p>
    <w:p w14:paraId="3EEAB021" w14:textId="28F6A873" w:rsidR="004E363A" w:rsidRDefault="004E363A" w:rsidP="004E363A">
      <w:pPr>
        <w:rPr>
          <w:rFonts w:eastAsia="Times New Roman" w:cs="Arial"/>
          <w:color w:val="000000"/>
          <w:szCs w:val="20"/>
          <w:lang w:eastAsia="bg-BG"/>
        </w:rPr>
      </w:pPr>
      <w:r w:rsidRPr="004E363A">
        <w:rPr>
          <w:rFonts w:eastAsia="Times New Roman" w:cs="Arial"/>
          <w:color w:val="000000"/>
          <w:szCs w:val="20"/>
          <w:lang w:eastAsia="bg-BG"/>
        </w:rPr>
        <w:t>Този лекарствен продукт съдържа лактоза. Пациентите с редки наследствени проблеми на галактозна непоносиост, пълен лактазен дефицит или глюкозо-галактозна малабсорбция не трябва да приемат това лекарство.</w:t>
      </w:r>
    </w:p>
    <w:p w14:paraId="19A91BBF" w14:textId="77777777" w:rsidR="004E363A" w:rsidRPr="004E363A" w:rsidRDefault="004E363A" w:rsidP="004E363A">
      <w:pPr>
        <w:rPr>
          <w:rFonts w:cs="Arial"/>
          <w:sz w:val="24"/>
        </w:rPr>
      </w:pPr>
    </w:p>
    <w:p w14:paraId="0734264C" w14:textId="079A2B4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07C1CAA" w14:textId="74646A9D" w:rsidR="004E363A" w:rsidRDefault="004E363A" w:rsidP="004E363A"/>
    <w:p w14:paraId="327BB26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Фармакодинамични взаимодействия</w:t>
      </w:r>
    </w:p>
    <w:p w14:paraId="4E77F847"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Съвместната употреба не се препоръчва</w:t>
      </w:r>
    </w:p>
    <w:p w14:paraId="6B7C93F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Лекарствени продукти, които удължавата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w:t>
      </w:r>
    </w:p>
    <w:p w14:paraId="3E127ED5" w14:textId="77777777" w:rsidR="004E363A" w:rsidRPr="004E363A" w:rsidRDefault="004E363A" w:rsidP="004E363A">
      <w:pPr>
        <w:pStyle w:val="ListParagraph"/>
        <w:numPr>
          <w:ilvl w:val="0"/>
          <w:numId w:val="39"/>
        </w:numPr>
        <w:spacing w:line="240" w:lineRule="auto"/>
        <w:rPr>
          <w:rFonts w:eastAsia="Times New Roman" w:cs="Arial"/>
          <w:sz w:val="28"/>
          <w:szCs w:val="24"/>
        </w:rPr>
      </w:pPr>
      <w:r w:rsidRPr="004E363A">
        <w:rPr>
          <w:rFonts w:eastAsia="Times New Roman" w:cs="Arial"/>
          <w:color w:val="000000"/>
          <w:szCs w:val="20"/>
          <w:lang w:eastAsia="bg-BG"/>
        </w:rPr>
        <w:t xml:space="preserve">Сърдечно-съдови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(например хинидин, дизопирамид, бепредил, соталол, ибутилид, амиодарон).</w:t>
      </w:r>
    </w:p>
    <w:p w14:paraId="06B86FA7" w14:textId="2088E052" w:rsidR="004E363A" w:rsidRPr="004E363A" w:rsidRDefault="004E363A" w:rsidP="004E363A">
      <w:pPr>
        <w:pStyle w:val="ListParagraph"/>
        <w:numPr>
          <w:ilvl w:val="0"/>
          <w:numId w:val="39"/>
        </w:numPr>
        <w:spacing w:line="240" w:lineRule="auto"/>
        <w:rPr>
          <w:rFonts w:eastAsia="Times New Roman" w:cs="Arial"/>
          <w:sz w:val="28"/>
          <w:szCs w:val="24"/>
        </w:rPr>
      </w:pPr>
      <w:r w:rsidRPr="004E363A">
        <w:rPr>
          <w:rFonts w:eastAsia="Times New Roman" w:cs="Arial"/>
          <w:color w:val="000000"/>
          <w:szCs w:val="20"/>
          <w:lang w:eastAsia="bg-BG"/>
        </w:rPr>
        <w:t xml:space="preserve">Несърдечно-съдови лекарствени продукти, конто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(например пимозид, зипрасидон, сертиндол, мефлокин, халофантрин, пентамидин, цизаприд, еритромицин интравенозно).</w:t>
      </w:r>
    </w:p>
    <w:p w14:paraId="6CA01D2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Съвместното приложение на сърдечно-съдови и несърдечно-съдови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интервала, с ивабрадин трябва да се избягва, тъй като удължаването на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може да се влоши при понижаване на сърдечната честота. Ако комбинацията е необходима, тогава се налага сърдечно проследяване отблизо (вижте точка 4.4).</w:t>
      </w:r>
    </w:p>
    <w:p w14:paraId="6516D2F2" w14:textId="77777777" w:rsidR="004E363A" w:rsidRPr="004E363A" w:rsidRDefault="004E363A" w:rsidP="004E363A">
      <w:pPr>
        <w:spacing w:line="240" w:lineRule="auto"/>
        <w:rPr>
          <w:rFonts w:eastAsia="Times New Roman" w:cs="Arial"/>
          <w:i/>
          <w:iCs/>
          <w:color w:val="000000"/>
          <w:szCs w:val="20"/>
          <w:lang w:eastAsia="bg-BG"/>
        </w:rPr>
      </w:pPr>
    </w:p>
    <w:p w14:paraId="558C3A70" w14:textId="279A4A08"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Съвместната употреба изисква повишено внимание</w:t>
      </w:r>
    </w:p>
    <w:p w14:paraId="7FAAB486"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Изчерпващи калия диуретици (тиазидни диуретици и бримкови диуретици):</w:t>
      </w:r>
    </w:p>
    <w:p w14:paraId="52DC70B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Хипокалиемията може да повиши риска от аритмия. Тъй като ивабрадин може да причини брадикардия, крайната комбинация от хипокалиемия и брадикардия е предразполагащ фактор за отключване на тежки аритмии, особено при пациенти със синдром на удължен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 независимо дали е вроден или предизвикан от вещество.</w:t>
      </w:r>
    </w:p>
    <w:p w14:paraId="2E8E8E67" w14:textId="77777777" w:rsidR="004E363A" w:rsidRPr="004E363A" w:rsidRDefault="004E363A" w:rsidP="004E363A">
      <w:pPr>
        <w:spacing w:line="240" w:lineRule="auto"/>
        <w:rPr>
          <w:rFonts w:eastAsia="Times New Roman" w:cs="Arial"/>
          <w:color w:val="000000"/>
          <w:szCs w:val="20"/>
          <w:u w:val="single"/>
          <w:lang w:eastAsia="bg-BG"/>
        </w:rPr>
      </w:pPr>
    </w:p>
    <w:p w14:paraId="6DDCF604" w14:textId="37A7770A"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Фармакокинетични взаимодействия</w:t>
      </w:r>
    </w:p>
    <w:p w14:paraId="50D6F9F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Ивабрадин се метаболизира само от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 е изключително слаб инхибитор на този цитохром. Доказано е, че ивабрадин не повлиява метаболизма и плазмените концентрации на други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субстрати (слаби, умерени и силни инхибитори).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инхибиторите и индукторите имат склонност да взаимодействат с ивабрадин и да </w:t>
      </w:r>
      <w:r w:rsidRPr="004E363A">
        <w:rPr>
          <w:rFonts w:eastAsia="Times New Roman" w:cs="Arial"/>
          <w:color w:val="000000"/>
          <w:szCs w:val="20"/>
          <w:lang w:eastAsia="bg-BG"/>
        </w:rPr>
        <w:lastRenderedPageBreak/>
        <w:t xml:space="preserve">повлияват неговите метаболизъм и фармакокинетика в клинично значима степен. При проучвания за взаимодействия е установено, че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(вижте точка 4.4).</w:t>
      </w:r>
    </w:p>
    <w:p w14:paraId="6663F3BB" w14:textId="77777777" w:rsidR="004E363A" w:rsidRPr="004E363A" w:rsidRDefault="004E363A" w:rsidP="004E363A">
      <w:pPr>
        <w:spacing w:line="240" w:lineRule="auto"/>
        <w:rPr>
          <w:rFonts w:eastAsia="Times New Roman" w:cs="Arial"/>
          <w:i/>
          <w:iCs/>
          <w:color w:val="000000"/>
          <w:szCs w:val="20"/>
          <w:u w:val="single"/>
          <w:lang w:eastAsia="bg-BG"/>
        </w:rPr>
      </w:pPr>
    </w:p>
    <w:p w14:paraId="6240D5D8" w14:textId="2DF9E21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Противопоказание за съвместна употреба</w:t>
      </w:r>
    </w:p>
    <w:p w14:paraId="6C589A21"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Мощни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1E1DDBF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Съвместната употреба на мощни </w:t>
      </w:r>
      <w:r w:rsidRPr="004E363A">
        <w:rPr>
          <w:rFonts w:eastAsia="Times New Roman" w:cs="Arial"/>
          <w:color w:val="000000"/>
          <w:szCs w:val="20"/>
          <w:lang w:val="en-US"/>
        </w:rPr>
        <w:t>CYP</w:t>
      </w:r>
      <w:r w:rsidRPr="004E363A">
        <w:rPr>
          <w:rFonts w:eastAsia="Times New Roman" w:cs="Arial"/>
          <w:color w:val="000000"/>
          <w:szCs w:val="20"/>
        </w:rPr>
        <w:t>3</w:t>
      </w:r>
      <w:r w:rsidRPr="004E363A">
        <w:rPr>
          <w:rFonts w:eastAsia="Times New Roman" w:cs="Arial"/>
          <w:color w:val="000000"/>
          <w:szCs w:val="20"/>
          <w:lang w:val="en-US"/>
        </w:rPr>
        <w:t>A</w:t>
      </w:r>
      <w:r w:rsidRPr="004E363A">
        <w:rPr>
          <w:rFonts w:eastAsia="Times New Roman" w:cs="Arial"/>
          <w:color w:val="000000"/>
          <w:szCs w:val="20"/>
        </w:rPr>
        <w:t xml:space="preserve">4 </w:t>
      </w:r>
      <w:r w:rsidRPr="004E363A">
        <w:rPr>
          <w:rFonts w:eastAsia="Times New Roman" w:cs="Arial"/>
          <w:color w:val="000000"/>
          <w:szCs w:val="20"/>
          <w:lang w:eastAsia="bg-BG"/>
        </w:rPr>
        <w:t xml:space="preserve">инхибитори като азолови противогъбични средства (кетоконазол, итраконазол), макролидни антибиотици (кларитромицин, еритромицин перорално, йозамицин, телитромицин), ХИВ-протеазни инхибитори (нелфинавир, ритонавир) и нефазодон е противопоказана (вижте точка 4.3). Мощните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 кетоконазол (200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веднъж дневно) и йозамицин </w:t>
      </w:r>
      <w:r w:rsidRPr="004E363A">
        <w:rPr>
          <w:rFonts w:eastAsia="Times New Roman" w:cs="Arial"/>
          <w:color w:val="000000"/>
          <w:szCs w:val="20"/>
          <w:lang w:val="ru-RU"/>
        </w:rPr>
        <w:t>(1</w:t>
      </w:r>
      <w:r w:rsidRPr="004E363A">
        <w:rPr>
          <w:rFonts w:eastAsia="Times New Roman" w:cs="Arial"/>
          <w:color w:val="000000"/>
          <w:szCs w:val="20"/>
          <w:lang w:val="en-US"/>
        </w:rPr>
        <w:t>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повишават средната плазмена експозиция на ивабрадин 7-8 пъти.</w:t>
      </w:r>
    </w:p>
    <w:p w14:paraId="0B340F99" w14:textId="77777777" w:rsidR="004E363A" w:rsidRPr="004E363A" w:rsidRDefault="004E363A" w:rsidP="004E363A">
      <w:pPr>
        <w:spacing w:line="240" w:lineRule="auto"/>
        <w:rPr>
          <w:rFonts w:eastAsia="Times New Roman" w:cs="Arial"/>
          <w:i/>
          <w:iCs/>
          <w:color w:val="000000"/>
          <w:szCs w:val="20"/>
          <w:lang w:eastAsia="bg-BG"/>
        </w:rPr>
      </w:pPr>
    </w:p>
    <w:p w14:paraId="7A8BCBC5" w14:textId="238A498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Умерени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6015443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 за специфично взаимодействие при здрави доброволци и пациенти са показали, че</w:t>
      </w:r>
    </w:p>
    <w:p w14:paraId="2AE7EC2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комбинацията от ивабрадин с понижаващия сърдечната честота агент дилтиазем или веранамил</w:t>
      </w:r>
    </w:p>
    <w:p w14:paraId="26ED688B" w14:textId="77777777" w:rsidR="004E363A" w:rsidRPr="004E363A" w:rsidRDefault="004E363A" w:rsidP="004E363A">
      <w:pPr>
        <w:rPr>
          <w:rFonts w:eastAsia="Times New Roman" w:cs="Arial"/>
          <w:sz w:val="28"/>
          <w:szCs w:val="24"/>
        </w:rPr>
      </w:pPr>
      <w:r w:rsidRPr="004E363A">
        <w:rPr>
          <w:rFonts w:eastAsia="Times New Roman" w:cs="Arial"/>
          <w:color w:val="000000"/>
          <w:szCs w:val="20"/>
          <w:lang w:eastAsia="bg-BG"/>
        </w:rPr>
        <w:t xml:space="preserve">води до повишена експозиция на ивабрадин (2-3-кратно повишение на </w:t>
      </w:r>
      <w:r w:rsidRPr="004E363A">
        <w:rPr>
          <w:rFonts w:eastAsia="Times New Roman" w:cs="Arial"/>
          <w:color w:val="000000"/>
          <w:szCs w:val="20"/>
          <w:lang w:val="en-US"/>
        </w:rPr>
        <w:t>AUC</w:t>
      </w:r>
      <w:r w:rsidRPr="004E363A">
        <w:rPr>
          <w:rFonts w:eastAsia="Times New Roman" w:cs="Arial"/>
          <w:color w:val="000000"/>
          <w:szCs w:val="20"/>
          <w:lang w:val="ru-RU"/>
        </w:rPr>
        <w:t xml:space="preserve">) </w:t>
      </w:r>
      <w:r w:rsidRPr="004E363A">
        <w:rPr>
          <w:rFonts w:eastAsia="Times New Roman" w:cs="Arial"/>
          <w:color w:val="000000"/>
          <w:szCs w:val="20"/>
          <w:lang w:eastAsia="bg-BG"/>
        </w:rPr>
        <w:t>и допълнително</w:t>
      </w:r>
      <w:r w:rsidRPr="004E363A">
        <w:rPr>
          <w:rFonts w:eastAsia="Times New Roman" w:cs="Arial"/>
          <w:color w:val="000000"/>
          <w:szCs w:val="20"/>
          <w:lang w:val="ru-RU" w:eastAsia="bg-BG"/>
        </w:rPr>
        <w:t xml:space="preserve"> </w:t>
      </w:r>
      <w:r w:rsidRPr="004E363A">
        <w:rPr>
          <w:rFonts w:eastAsia="Times New Roman" w:cs="Arial"/>
          <w:color w:val="000000"/>
          <w:szCs w:val="20"/>
          <w:lang w:eastAsia="bg-BG"/>
        </w:rPr>
        <w:t>понижаване на сърдечната честота с 5 уд./ мин.. Съвместната употреба на ивабрадин с тези лекарствени продукти е противопоказана (вижте точка 4.3).</w:t>
      </w:r>
    </w:p>
    <w:p w14:paraId="5FED5921" w14:textId="77777777" w:rsidR="004E363A" w:rsidRPr="004E363A" w:rsidRDefault="004E363A" w:rsidP="004E363A">
      <w:pPr>
        <w:spacing w:line="240" w:lineRule="auto"/>
        <w:rPr>
          <w:rFonts w:eastAsia="Times New Roman" w:cs="Arial"/>
          <w:i/>
          <w:iCs/>
          <w:color w:val="000000"/>
          <w:szCs w:val="20"/>
          <w:u w:val="single"/>
          <w:lang w:eastAsia="bg-BG"/>
        </w:rPr>
      </w:pPr>
    </w:p>
    <w:p w14:paraId="7CD0726F" w14:textId="7D311B3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Съвместната употреба не се препоръчва</w:t>
      </w:r>
    </w:p>
    <w:p w14:paraId="63C319A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Сок от грейпфрут: експозицията на ивабрадин се повишава 2-кратно след съвместен прием на сок от грейпфрут. Поради това, приемът на сок от грейпфрут трябва да бъде избягван.</w:t>
      </w:r>
    </w:p>
    <w:p w14:paraId="088F515D" w14:textId="77777777" w:rsidR="004E363A" w:rsidRPr="004E363A" w:rsidRDefault="004E363A" w:rsidP="004E363A">
      <w:pPr>
        <w:spacing w:line="240" w:lineRule="auto"/>
        <w:rPr>
          <w:rFonts w:eastAsia="Times New Roman" w:cs="Arial"/>
          <w:i/>
          <w:iCs/>
          <w:color w:val="000000"/>
          <w:szCs w:val="20"/>
          <w:u w:val="single"/>
          <w:lang w:eastAsia="bg-BG"/>
        </w:rPr>
      </w:pPr>
    </w:p>
    <w:p w14:paraId="4EBB723B" w14:textId="7D8C4065"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Съвместната употреба изисква повишено внимание</w:t>
      </w:r>
    </w:p>
    <w:p w14:paraId="081A307B"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Умерени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6FC2998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Съвместната употреба на ивабрадин с други умерени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 (например флуконазол) може да се обмисли при начална доза от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и ако сърдечната честота в покой е над 70 уд./ мин., с проследяване на сърдечната честота.</w:t>
      </w:r>
    </w:p>
    <w:p w14:paraId="1787B3E5"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индуктори</w:t>
      </w:r>
    </w:p>
    <w:p w14:paraId="4C0D1D5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индукторите (например рифампицин, барбитурати, фенитоин, </w:t>
      </w:r>
      <w:proofErr w:type="spellStart"/>
      <w:r w:rsidRPr="004E363A">
        <w:rPr>
          <w:rFonts w:eastAsia="Times New Roman" w:cs="Arial"/>
          <w:color w:val="000000"/>
          <w:szCs w:val="20"/>
          <w:lang w:val="en-US"/>
        </w:rPr>
        <w:t>Hypericum</w:t>
      </w:r>
      <w:proofErr w:type="spellEnd"/>
      <w:r w:rsidRPr="004E363A">
        <w:rPr>
          <w:rFonts w:eastAsia="Times New Roman" w:cs="Arial"/>
          <w:color w:val="000000"/>
          <w:szCs w:val="20"/>
          <w:lang w:val="ru-RU"/>
        </w:rPr>
        <w:t xml:space="preserve"> </w:t>
      </w:r>
      <w:proofErr w:type="spellStart"/>
      <w:r w:rsidRPr="004E363A">
        <w:rPr>
          <w:rFonts w:eastAsia="Times New Roman" w:cs="Arial"/>
          <w:color w:val="000000"/>
          <w:szCs w:val="20"/>
          <w:lang w:val="en-US"/>
        </w:rPr>
        <w:t>perforatum</w:t>
      </w:r>
      <w:proofErr w:type="spellEnd"/>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[жълт кантарион]) могат да понижат експозицията и активността на ивабрадин. Съвместната употреба на индуциращи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лекарствени продукти може да изисква адаптиране на дозата на ивабрадин. Комбинацията от 10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ивабрадин два пъти дневно и жълт кантарион доказано понижава </w:t>
      </w:r>
      <w:r w:rsidRPr="004E363A">
        <w:rPr>
          <w:rFonts w:eastAsia="Times New Roman" w:cs="Arial"/>
          <w:color w:val="000000"/>
          <w:szCs w:val="20"/>
          <w:lang w:val="en-US"/>
        </w:rPr>
        <w:t>AUC</w:t>
      </w:r>
      <w:r w:rsidRPr="004E363A">
        <w:rPr>
          <w:rFonts w:eastAsia="Times New Roman" w:cs="Arial"/>
          <w:color w:val="000000"/>
          <w:szCs w:val="20"/>
          <w:lang w:val="ru-RU"/>
        </w:rPr>
        <w:t xml:space="preserve"> </w:t>
      </w:r>
      <w:r w:rsidRPr="004E363A">
        <w:rPr>
          <w:rFonts w:eastAsia="Times New Roman" w:cs="Arial"/>
          <w:color w:val="000000"/>
          <w:szCs w:val="20"/>
          <w:lang w:eastAsia="bg-BG"/>
        </w:rPr>
        <w:t>на ивабрадин наполовина. Приемът на жълт кантарион трябва да бъде ограничен по време на лечението с ивабрадин.</w:t>
      </w:r>
    </w:p>
    <w:p w14:paraId="0995A284" w14:textId="77777777" w:rsidR="004E363A" w:rsidRPr="004E363A" w:rsidRDefault="004E363A" w:rsidP="004E363A">
      <w:pPr>
        <w:spacing w:line="240" w:lineRule="auto"/>
        <w:rPr>
          <w:rFonts w:eastAsia="Times New Roman" w:cs="Arial"/>
          <w:color w:val="000000"/>
          <w:szCs w:val="20"/>
          <w:u w:val="single"/>
          <w:lang w:eastAsia="bg-BG"/>
        </w:rPr>
      </w:pPr>
    </w:p>
    <w:p w14:paraId="2E2BD246" w14:textId="2F812C84"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Съвместна употреба с други продукти</w:t>
      </w:r>
    </w:p>
    <w:p w14:paraId="622E935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Проучвания за специфични взаимодействия са показали клинично значими ефекти върху фармакокинетиката и фармакодинамиката на ивабрадин на следните лекарствени продукти: инхибитори на протонната помпа (омепразол, ланзопразол), силденафил, </w:t>
      </w:r>
      <w:r w:rsidRPr="004E363A">
        <w:rPr>
          <w:rFonts w:eastAsia="Times New Roman" w:cs="Arial"/>
          <w:color w:val="000000"/>
          <w:szCs w:val="20"/>
          <w:lang w:val="en-US"/>
        </w:rPr>
        <w:t>HMG</w:t>
      </w:r>
      <w:r w:rsidRPr="004E363A">
        <w:rPr>
          <w:rFonts w:eastAsia="Times New Roman" w:cs="Arial"/>
          <w:color w:val="000000"/>
          <w:szCs w:val="20"/>
          <w:lang w:val="ru-RU"/>
        </w:rPr>
        <w:t xml:space="preserve"> </w:t>
      </w:r>
      <w:r w:rsidRPr="004E363A">
        <w:rPr>
          <w:rFonts w:eastAsia="Times New Roman" w:cs="Arial"/>
          <w:color w:val="000000"/>
          <w:szCs w:val="20"/>
          <w:lang w:val="en-US"/>
        </w:rPr>
        <w:t>Co</w:t>
      </w:r>
      <w:r w:rsidRPr="004E363A">
        <w:rPr>
          <w:rFonts w:eastAsia="Times New Roman" w:cs="Arial"/>
          <w:color w:val="000000"/>
          <w:szCs w:val="20"/>
          <w:lang w:eastAsia="bg-BG"/>
        </w:rPr>
        <w:t>А-редуктазни инхибитори (симвастатин), дихидропиридинови блокери на калциевите канали (амлодипин, ласипидин), дигоксин и варфарин. В допълнение, няма клинично значим ефект на ивабрадин върху фармакокинетиката на симвастатин, амлодипин, ласипидин, върху фармакокинетиката и фармакодинамиката на дигоксин, варфарин и върху фармакодинамиката на аспирин.</w:t>
      </w:r>
    </w:p>
    <w:p w14:paraId="2FD6FDC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lastRenderedPageBreak/>
        <w:t>В пивотни клинични изпитвания фаза III следните лекарствени продукти рутинно са прилагани съвместно с ивабрадин без доказателства за проблеми с безопасността: инхибитори на ангиотензин-конвертиращия ензим, антиотензин-</w:t>
      </w:r>
      <w:r w:rsidRPr="004E363A">
        <w:rPr>
          <w:rFonts w:eastAsia="Times New Roman" w:cs="Arial"/>
          <w:color w:val="000000"/>
          <w:szCs w:val="20"/>
          <w:lang w:val="en-US"/>
        </w:rPr>
        <w:t>II</w:t>
      </w:r>
      <w:r w:rsidRPr="004E363A">
        <w:rPr>
          <w:rFonts w:eastAsia="Times New Roman" w:cs="Arial"/>
          <w:color w:val="000000"/>
          <w:szCs w:val="20"/>
          <w:lang w:eastAsia="bg-BG"/>
        </w:rPr>
        <w:t xml:space="preserve"> антагонисти, бета-блокери, диуретици, антиалдостеронови агенти, бързо- и дългодействащи нитрати, </w:t>
      </w:r>
      <w:r w:rsidRPr="004E363A">
        <w:rPr>
          <w:rFonts w:eastAsia="Times New Roman" w:cs="Arial"/>
          <w:color w:val="000000"/>
          <w:szCs w:val="20"/>
          <w:lang w:val="en-US"/>
        </w:rPr>
        <w:t>HMG</w:t>
      </w:r>
      <w:r w:rsidRPr="004E363A">
        <w:rPr>
          <w:rFonts w:eastAsia="Times New Roman" w:cs="Arial"/>
          <w:color w:val="000000"/>
          <w:szCs w:val="20"/>
          <w:lang w:val="ru-RU"/>
        </w:rPr>
        <w:t xml:space="preserve"> </w:t>
      </w:r>
      <w:r w:rsidRPr="004E363A">
        <w:rPr>
          <w:rFonts w:eastAsia="Times New Roman" w:cs="Arial"/>
          <w:color w:val="000000"/>
          <w:szCs w:val="20"/>
          <w:lang w:eastAsia="bg-BG"/>
        </w:rPr>
        <w:t>СоА-редуктазни инхибитори, фибрати, инхибитори на протонната помпа, перорални антидиабетни продукти, аспирин и други противосъсирващи лекарствени продукти.</w:t>
      </w:r>
    </w:p>
    <w:p w14:paraId="26955F60" w14:textId="77777777" w:rsidR="004E363A" w:rsidRPr="004E363A" w:rsidRDefault="004E363A" w:rsidP="004E363A">
      <w:pPr>
        <w:spacing w:line="240" w:lineRule="auto"/>
        <w:rPr>
          <w:rFonts w:eastAsia="Times New Roman" w:cs="Arial"/>
          <w:color w:val="000000"/>
          <w:szCs w:val="20"/>
          <w:u w:val="single"/>
          <w:lang w:eastAsia="bg-BG"/>
        </w:rPr>
      </w:pPr>
    </w:p>
    <w:p w14:paraId="65D32D62" w14:textId="4C885E45"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Педиатрична популация</w:t>
      </w:r>
    </w:p>
    <w:p w14:paraId="1E5B1751" w14:textId="7181043B" w:rsidR="004E363A" w:rsidRPr="004E363A" w:rsidRDefault="004E363A" w:rsidP="004E363A">
      <w:pPr>
        <w:spacing w:line="240" w:lineRule="auto"/>
        <w:rPr>
          <w:rFonts w:eastAsia="Times New Roman" w:cs="Arial"/>
          <w:sz w:val="28"/>
          <w:szCs w:val="24"/>
          <w:lang w:val="ru-RU"/>
        </w:rPr>
      </w:pPr>
      <w:r w:rsidRPr="004E363A">
        <w:rPr>
          <w:rFonts w:eastAsia="Times New Roman" w:cs="Arial"/>
          <w:color w:val="000000"/>
          <w:szCs w:val="20"/>
          <w:lang w:eastAsia="bg-BG"/>
        </w:rPr>
        <w:t>Проучвания за взаимодействия са провеждани само при възрастни.</w:t>
      </w:r>
    </w:p>
    <w:p w14:paraId="4B5B0677" w14:textId="77777777" w:rsidR="004E363A" w:rsidRPr="004E363A" w:rsidRDefault="004E363A" w:rsidP="004E363A"/>
    <w:p w14:paraId="5D9F40EA" w14:textId="38E4950B" w:rsidR="007122AD" w:rsidRDefault="002C50EE" w:rsidP="00936AD0">
      <w:pPr>
        <w:pStyle w:val="Heading2"/>
      </w:pPr>
      <w:r>
        <w:t>4.6. Фертилитет, бременност и кърмене</w:t>
      </w:r>
    </w:p>
    <w:p w14:paraId="3436AAE0" w14:textId="30463216" w:rsidR="004E363A" w:rsidRDefault="004E363A" w:rsidP="004E363A"/>
    <w:p w14:paraId="2FB2746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Жени с детероден потенциал</w:t>
      </w:r>
    </w:p>
    <w:p w14:paraId="6C27CF88"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Жените с детероден потенциал трябва да използват подходящи методи за контрацепция по време на лечението (вижте точка 4.3).</w:t>
      </w:r>
    </w:p>
    <w:p w14:paraId="6946A8A5" w14:textId="77777777" w:rsidR="004E363A" w:rsidRPr="004E363A" w:rsidRDefault="004E363A" w:rsidP="004E363A">
      <w:pPr>
        <w:spacing w:line="240" w:lineRule="auto"/>
        <w:rPr>
          <w:rFonts w:eastAsia="Times New Roman" w:cs="Arial"/>
          <w:color w:val="000000"/>
          <w:szCs w:val="20"/>
          <w:u w:val="single"/>
          <w:lang w:eastAsia="bg-BG"/>
        </w:rPr>
      </w:pPr>
    </w:p>
    <w:p w14:paraId="4E517EE1" w14:textId="44CC3629" w:rsidR="004E363A" w:rsidRPr="004E363A" w:rsidRDefault="004E363A" w:rsidP="004E363A">
      <w:pPr>
        <w:pStyle w:val="Heading3"/>
        <w:rPr>
          <w:rFonts w:eastAsia="Times New Roman"/>
          <w:sz w:val="28"/>
          <w:u w:val="single"/>
        </w:rPr>
      </w:pPr>
      <w:r w:rsidRPr="004E363A">
        <w:rPr>
          <w:rFonts w:eastAsia="Times New Roman"/>
          <w:u w:val="single"/>
          <w:lang w:eastAsia="bg-BG"/>
        </w:rPr>
        <w:t>Бременност</w:t>
      </w:r>
    </w:p>
    <w:p w14:paraId="277D5B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данни или данните за употребата на ивабрадин при бременни жени са ограничени.</w:t>
      </w:r>
    </w:p>
    <w:p w14:paraId="0F3C52F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Проучванията при животни показват репродуктивна токсичност. Тези проучвания показват ембриотоксични и тератогенни ефекти (вижте точка 5.3). Потенциалният риск при хора не е известен. Поради това, ивабрадин е противопоказан по време на бременността (вижте точка 4.3).</w:t>
      </w:r>
    </w:p>
    <w:p w14:paraId="39FC2D19" w14:textId="77777777" w:rsidR="004E363A" w:rsidRPr="004E363A" w:rsidRDefault="004E363A" w:rsidP="004E363A">
      <w:pPr>
        <w:spacing w:line="240" w:lineRule="auto"/>
        <w:rPr>
          <w:rFonts w:eastAsia="Times New Roman" w:cs="Arial"/>
          <w:color w:val="000000"/>
          <w:szCs w:val="20"/>
          <w:u w:val="single"/>
          <w:lang w:eastAsia="bg-BG"/>
        </w:rPr>
      </w:pPr>
    </w:p>
    <w:p w14:paraId="184691BD" w14:textId="56C0B568" w:rsidR="004E363A" w:rsidRPr="004E363A" w:rsidRDefault="004E363A" w:rsidP="004E363A">
      <w:pPr>
        <w:pStyle w:val="Heading3"/>
        <w:rPr>
          <w:rFonts w:eastAsia="Times New Roman"/>
          <w:sz w:val="28"/>
          <w:u w:val="single"/>
        </w:rPr>
      </w:pPr>
      <w:r w:rsidRPr="004E363A">
        <w:rPr>
          <w:rFonts w:eastAsia="Times New Roman"/>
          <w:u w:val="single"/>
          <w:lang w:eastAsia="bg-BG"/>
        </w:rPr>
        <w:t>Кърмене</w:t>
      </w:r>
    </w:p>
    <w:p w14:paraId="6651BD4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Проучванията при животни показват, че ивабрадин се екскретира в млякото. Поради това, ивабрадин е противопоказан при кърмене (вижте точка 4.3).</w:t>
      </w:r>
    </w:p>
    <w:p w14:paraId="68D625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Жените, които се нуждаят от лечение с ивабрадин, трябва да преустановят кърменето и да изберат друг начин за хранене на детето си.</w:t>
      </w:r>
    </w:p>
    <w:p w14:paraId="2F6FABDB" w14:textId="77777777" w:rsidR="004E363A" w:rsidRPr="004E363A" w:rsidRDefault="004E363A" w:rsidP="004E363A">
      <w:pPr>
        <w:spacing w:line="240" w:lineRule="auto"/>
        <w:rPr>
          <w:rFonts w:eastAsia="Times New Roman" w:cs="Arial"/>
          <w:color w:val="000000"/>
          <w:szCs w:val="20"/>
          <w:u w:val="single"/>
          <w:lang w:eastAsia="bg-BG"/>
        </w:rPr>
      </w:pPr>
    </w:p>
    <w:p w14:paraId="7A79E197" w14:textId="1A5AFB84" w:rsidR="004E363A" w:rsidRPr="004E363A" w:rsidRDefault="004E363A" w:rsidP="004E363A">
      <w:pPr>
        <w:pStyle w:val="Heading3"/>
        <w:rPr>
          <w:rFonts w:eastAsia="Times New Roman"/>
          <w:sz w:val="28"/>
          <w:u w:val="single"/>
        </w:rPr>
      </w:pPr>
      <w:r w:rsidRPr="004E363A">
        <w:rPr>
          <w:rFonts w:eastAsia="Times New Roman"/>
          <w:u w:val="single"/>
          <w:lang w:eastAsia="bg-BG"/>
        </w:rPr>
        <w:t>Фертилитет</w:t>
      </w:r>
    </w:p>
    <w:p w14:paraId="30D05EA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 при плъхове не показват ефект върху фертилитета при мъжките и женските (вижте точка 5.3).</w:t>
      </w:r>
    </w:p>
    <w:p w14:paraId="0FFC4040" w14:textId="77777777" w:rsidR="004E363A" w:rsidRPr="004E363A" w:rsidRDefault="004E363A" w:rsidP="004E363A"/>
    <w:p w14:paraId="5DD7A76D" w14:textId="5FD57399" w:rsidR="007122AD" w:rsidRDefault="002C50EE" w:rsidP="00936AD0">
      <w:pPr>
        <w:pStyle w:val="Heading2"/>
      </w:pPr>
      <w:r>
        <w:t>4.7. Ефекти върху способността за шофиране и работа с машини</w:t>
      </w:r>
    </w:p>
    <w:p w14:paraId="1AC0B085" w14:textId="6D409310" w:rsidR="004E363A" w:rsidRDefault="004E363A" w:rsidP="004E363A"/>
    <w:p w14:paraId="6B9801C0" w14:textId="77777777" w:rsidR="004E363A" w:rsidRPr="004E363A" w:rsidRDefault="004E363A" w:rsidP="004E363A">
      <w:pPr>
        <w:rPr>
          <w:sz w:val="24"/>
          <w:szCs w:val="24"/>
        </w:rPr>
      </w:pPr>
      <w:r w:rsidRPr="004E363A">
        <w:rPr>
          <w:lang w:eastAsia="bg-BG"/>
        </w:rPr>
        <w:t>Ивабрадин не повлиява или повлиява пренебрежимо способността за работа с машини.</w:t>
      </w:r>
    </w:p>
    <w:p w14:paraId="6156C838" w14:textId="3B2E0C26" w:rsidR="004E363A" w:rsidRDefault="004E363A" w:rsidP="004E363A">
      <w:pPr>
        <w:rPr>
          <w:lang w:eastAsia="bg-BG"/>
        </w:rPr>
      </w:pPr>
      <w:r w:rsidRPr="004E363A">
        <w:rPr>
          <w:lang w:eastAsia="bg-BG"/>
        </w:rPr>
        <w:t>Специфично проучване за оценка на възможното въздействие на ивабрадин върху способността за шофиране при здрави доброволци не показва нарушение на способността за шофиране. Въпреки това, в постмаркетинговия опит са съобщавани случаи на нарушена способност за шофиране поради зрителни симптоми. Ивабрадин може да причини преходни светлинни възприятия, които се състоят основно от фосфени (вижте точка 4.8). Възможната поява на такива светлинни възприятия трябва да се има предвид при шофиране или работа с машини в ситуации, при които може да има промяна в интензитета на светлината, особено при шофиране през нощта.</w:t>
      </w:r>
    </w:p>
    <w:p w14:paraId="7094F20E" w14:textId="77777777" w:rsidR="004E363A" w:rsidRPr="004E363A" w:rsidRDefault="004E363A" w:rsidP="004E363A"/>
    <w:p w14:paraId="200A314D" w14:textId="4D43C01E" w:rsidR="004E363A" w:rsidRPr="004E363A" w:rsidRDefault="002C50EE" w:rsidP="004E363A">
      <w:pPr>
        <w:pStyle w:val="Heading2"/>
      </w:pPr>
      <w:r>
        <w:t>4.8. Нежелани лекарствени реакции</w:t>
      </w:r>
    </w:p>
    <w:p w14:paraId="47E4DA29" w14:textId="1D1704A4" w:rsidR="004E363A" w:rsidRDefault="004E363A" w:rsidP="004E363A"/>
    <w:p w14:paraId="1719BD4E" w14:textId="19BA37EB" w:rsidR="004E363A" w:rsidRPr="004E363A" w:rsidRDefault="004E363A" w:rsidP="004E363A">
      <w:pPr>
        <w:rPr>
          <w:rFonts w:cs="Arial"/>
          <w:szCs w:val="20"/>
          <w:u w:val="single"/>
        </w:rPr>
      </w:pPr>
      <w:r w:rsidRPr="004E363A">
        <w:rPr>
          <w:rFonts w:cs="Arial"/>
          <w:szCs w:val="20"/>
          <w:u w:val="single"/>
        </w:rPr>
        <w:lastRenderedPageBreak/>
        <w:t>Резюме на профила на безопасност</w:t>
      </w:r>
    </w:p>
    <w:p w14:paraId="33BB534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Най-често съобщаваните нежелани реакции при ивабрадин са светлинни феномени (фосфени) (14.5%) и брадикардия (3.3%). Те са дозозависими и свързани с фармакологичния ефект на лекарствения продукт.</w:t>
      </w:r>
    </w:p>
    <w:p w14:paraId="3274E607" w14:textId="77777777" w:rsidR="004E363A" w:rsidRPr="004E363A" w:rsidRDefault="004E363A" w:rsidP="004E363A">
      <w:pPr>
        <w:spacing w:line="240" w:lineRule="auto"/>
        <w:rPr>
          <w:rFonts w:eastAsia="Times New Roman" w:cs="Arial"/>
          <w:color w:val="000000"/>
          <w:szCs w:val="20"/>
          <w:u w:val="single"/>
          <w:lang w:eastAsia="bg-BG"/>
        </w:rPr>
      </w:pPr>
    </w:p>
    <w:p w14:paraId="347629AD" w14:textId="3C08A37E"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Табличен списък на нежеланите лекарствени реакции</w:t>
      </w:r>
    </w:p>
    <w:p w14:paraId="18000279" w14:textId="3429A0C0" w:rsidR="004E363A" w:rsidRPr="004E363A" w:rsidRDefault="004E363A" w:rsidP="004E363A">
      <w:pPr>
        <w:rPr>
          <w:rFonts w:cs="Arial"/>
          <w:sz w:val="24"/>
        </w:rPr>
      </w:pPr>
      <w:r w:rsidRPr="004E363A">
        <w:rPr>
          <w:rFonts w:eastAsia="Times New Roman" w:cs="Arial"/>
          <w:color w:val="000000"/>
          <w:szCs w:val="20"/>
          <w:lang w:eastAsia="bg-BG"/>
        </w:rPr>
        <w:t>Следните нежелани лекарствени реакции са съобщавани по време на клиничните изпитвания и са подредени, като са използвани следните категории за честота: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50812CAD" w14:textId="5952FE9A" w:rsidR="004E363A" w:rsidRDefault="004E363A" w:rsidP="004E363A"/>
    <w:tbl>
      <w:tblPr>
        <w:tblStyle w:val="TableGrid"/>
        <w:tblW w:w="0" w:type="auto"/>
        <w:tblLook w:val="04A0" w:firstRow="1" w:lastRow="0" w:firstColumn="1" w:lastColumn="0" w:noHBand="0" w:noVBand="1"/>
      </w:tblPr>
      <w:tblGrid>
        <w:gridCol w:w="3128"/>
        <w:gridCol w:w="3092"/>
        <w:gridCol w:w="3130"/>
      </w:tblGrid>
      <w:tr w:rsidR="004E363A" w14:paraId="7ACC0B1C" w14:textId="77777777" w:rsidTr="004E363A">
        <w:tc>
          <w:tcPr>
            <w:tcW w:w="3192" w:type="dxa"/>
          </w:tcPr>
          <w:p w14:paraId="0872898A" w14:textId="3DDBDB64" w:rsidR="004E363A" w:rsidRPr="006547A7" w:rsidRDefault="004E363A" w:rsidP="004E363A">
            <w:pPr>
              <w:rPr>
                <w:rFonts w:cs="Arial"/>
              </w:rPr>
            </w:pPr>
            <w:r w:rsidRPr="006547A7">
              <w:rPr>
                <w:rFonts w:cs="Arial"/>
                <w:b/>
                <w:bCs/>
              </w:rPr>
              <w:t>Система Орган Клас</w:t>
            </w:r>
          </w:p>
        </w:tc>
        <w:tc>
          <w:tcPr>
            <w:tcW w:w="3192" w:type="dxa"/>
          </w:tcPr>
          <w:p w14:paraId="2D13235A" w14:textId="367C659E" w:rsidR="004E363A" w:rsidRPr="006547A7" w:rsidRDefault="004E363A" w:rsidP="004E363A">
            <w:pPr>
              <w:rPr>
                <w:rFonts w:cs="Arial"/>
              </w:rPr>
            </w:pPr>
            <w:r w:rsidRPr="006547A7">
              <w:rPr>
                <w:rFonts w:cs="Arial"/>
                <w:b/>
                <w:bCs/>
              </w:rPr>
              <w:t>Честота</w:t>
            </w:r>
          </w:p>
        </w:tc>
        <w:tc>
          <w:tcPr>
            <w:tcW w:w="3192" w:type="dxa"/>
          </w:tcPr>
          <w:p w14:paraId="523FF5F8" w14:textId="5D533384" w:rsidR="004E363A" w:rsidRPr="006547A7" w:rsidRDefault="004E363A" w:rsidP="004E363A">
            <w:pPr>
              <w:rPr>
                <w:rFonts w:cs="Arial"/>
              </w:rPr>
            </w:pPr>
            <w:r w:rsidRPr="006547A7">
              <w:rPr>
                <w:rFonts w:cs="Arial"/>
                <w:b/>
                <w:bCs/>
              </w:rPr>
              <w:t>Предпочитан термин</w:t>
            </w:r>
          </w:p>
        </w:tc>
      </w:tr>
      <w:tr w:rsidR="004E363A" w14:paraId="31FC9DE8" w14:textId="77777777" w:rsidTr="004E363A">
        <w:tc>
          <w:tcPr>
            <w:tcW w:w="3192" w:type="dxa"/>
          </w:tcPr>
          <w:p w14:paraId="00D33BCB" w14:textId="5BEC35FA" w:rsidR="004E363A" w:rsidRPr="006547A7" w:rsidRDefault="004E363A" w:rsidP="004E363A">
            <w:pPr>
              <w:rPr>
                <w:rFonts w:cs="Arial"/>
              </w:rPr>
            </w:pPr>
            <w:r w:rsidRPr="006547A7">
              <w:rPr>
                <w:rFonts w:cs="Arial"/>
              </w:rPr>
              <w:t>Нарушения на кръвта и лимфната система</w:t>
            </w:r>
          </w:p>
        </w:tc>
        <w:tc>
          <w:tcPr>
            <w:tcW w:w="3192" w:type="dxa"/>
          </w:tcPr>
          <w:p w14:paraId="42A98FB8" w14:textId="0FDFAEA9" w:rsidR="004E363A" w:rsidRPr="006547A7" w:rsidRDefault="004E363A" w:rsidP="004E363A">
            <w:pPr>
              <w:rPr>
                <w:rFonts w:cs="Arial"/>
              </w:rPr>
            </w:pPr>
            <w:r w:rsidRPr="006547A7">
              <w:rPr>
                <w:rFonts w:cs="Arial"/>
              </w:rPr>
              <w:t>Нечести</w:t>
            </w:r>
          </w:p>
        </w:tc>
        <w:tc>
          <w:tcPr>
            <w:tcW w:w="3192" w:type="dxa"/>
          </w:tcPr>
          <w:p w14:paraId="7DFB6FCA" w14:textId="133C4005" w:rsidR="004E363A" w:rsidRPr="006547A7" w:rsidRDefault="004E363A" w:rsidP="004E363A">
            <w:pPr>
              <w:rPr>
                <w:rFonts w:cs="Arial"/>
              </w:rPr>
            </w:pPr>
            <w:r w:rsidRPr="006547A7">
              <w:rPr>
                <w:rFonts w:cs="Arial"/>
              </w:rPr>
              <w:t>Еозинофилия</w:t>
            </w:r>
          </w:p>
        </w:tc>
      </w:tr>
      <w:tr w:rsidR="004E363A" w14:paraId="5BE596D6" w14:textId="77777777" w:rsidTr="004E363A">
        <w:tc>
          <w:tcPr>
            <w:tcW w:w="3192" w:type="dxa"/>
          </w:tcPr>
          <w:p w14:paraId="43429B22" w14:textId="0970C341" w:rsidR="004E363A" w:rsidRPr="006547A7" w:rsidRDefault="004E363A" w:rsidP="004E363A">
            <w:pPr>
              <w:rPr>
                <w:rFonts w:cs="Arial"/>
              </w:rPr>
            </w:pPr>
            <w:r w:rsidRPr="006547A7">
              <w:rPr>
                <w:rFonts w:cs="Arial"/>
              </w:rPr>
              <w:t>Нарушения на метаболизма и храненето</w:t>
            </w:r>
          </w:p>
        </w:tc>
        <w:tc>
          <w:tcPr>
            <w:tcW w:w="3192" w:type="dxa"/>
          </w:tcPr>
          <w:p w14:paraId="6D4636A0" w14:textId="45FF5A5F" w:rsidR="004E363A" w:rsidRPr="006547A7" w:rsidRDefault="004E363A" w:rsidP="004E363A">
            <w:pPr>
              <w:rPr>
                <w:rFonts w:cs="Arial"/>
              </w:rPr>
            </w:pPr>
            <w:r w:rsidRPr="006547A7">
              <w:rPr>
                <w:rFonts w:cs="Arial"/>
              </w:rPr>
              <w:t>Нечести</w:t>
            </w:r>
          </w:p>
        </w:tc>
        <w:tc>
          <w:tcPr>
            <w:tcW w:w="3192" w:type="dxa"/>
          </w:tcPr>
          <w:p w14:paraId="39AA78B5" w14:textId="703ACC78" w:rsidR="004E363A" w:rsidRPr="006547A7" w:rsidRDefault="004E363A" w:rsidP="004E363A">
            <w:pPr>
              <w:rPr>
                <w:rFonts w:cs="Arial"/>
              </w:rPr>
            </w:pPr>
            <w:r w:rsidRPr="006547A7">
              <w:rPr>
                <w:rFonts w:cs="Arial"/>
              </w:rPr>
              <w:t>Хиперурикемия</w:t>
            </w:r>
          </w:p>
        </w:tc>
      </w:tr>
      <w:tr w:rsidR="004E363A" w14:paraId="134F37A0" w14:textId="77777777" w:rsidTr="004E363A">
        <w:tc>
          <w:tcPr>
            <w:tcW w:w="3192" w:type="dxa"/>
            <w:vMerge w:val="restart"/>
          </w:tcPr>
          <w:p w14:paraId="11D87CD7" w14:textId="3ABF554C" w:rsidR="004E363A" w:rsidRPr="006547A7" w:rsidRDefault="004E363A" w:rsidP="004E363A">
            <w:pPr>
              <w:rPr>
                <w:rFonts w:cs="Arial"/>
              </w:rPr>
            </w:pPr>
            <w:r w:rsidRPr="006547A7">
              <w:rPr>
                <w:rFonts w:cs="Arial"/>
              </w:rPr>
              <w:t>Нарушения на нервната система</w:t>
            </w:r>
          </w:p>
        </w:tc>
        <w:tc>
          <w:tcPr>
            <w:tcW w:w="3192" w:type="dxa"/>
            <w:vMerge w:val="restart"/>
          </w:tcPr>
          <w:p w14:paraId="393A0991" w14:textId="59381F92" w:rsidR="004E363A" w:rsidRPr="006547A7" w:rsidRDefault="004E363A" w:rsidP="004E363A">
            <w:pPr>
              <w:rPr>
                <w:rFonts w:cs="Arial"/>
              </w:rPr>
            </w:pPr>
            <w:r w:rsidRPr="006547A7">
              <w:rPr>
                <w:rFonts w:cs="Arial"/>
              </w:rPr>
              <w:t>Чести</w:t>
            </w:r>
          </w:p>
        </w:tc>
        <w:tc>
          <w:tcPr>
            <w:tcW w:w="3192" w:type="dxa"/>
          </w:tcPr>
          <w:p w14:paraId="028DC1C4" w14:textId="59201182" w:rsidR="004E363A" w:rsidRPr="006547A7" w:rsidRDefault="004E363A" w:rsidP="004E363A">
            <w:pPr>
              <w:rPr>
                <w:rFonts w:cs="Arial"/>
              </w:rPr>
            </w:pPr>
            <w:r w:rsidRPr="006547A7">
              <w:rPr>
                <w:rFonts w:cs="Arial"/>
              </w:rPr>
              <w:t>Главоболие, основно през първия месец от лечението</w:t>
            </w:r>
          </w:p>
        </w:tc>
      </w:tr>
      <w:tr w:rsidR="004E363A" w14:paraId="59F3674C" w14:textId="77777777" w:rsidTr="004E363A">
        <w:tc>
          <w:tcPr>
            <w:tcW w:w="3192" w:type="dxa"/>
            <w:vMerge/>
          </w:tcPr>
          <w:p w14:paraId="6115AA2D" w14:textId="77777777" w:rsidR="004E363A" w:rsidRPr="006547A7" w:rsidRDefault="004E363A" w:rsidP="004E363A">
            <w:pPr>
              <w:rPr>
                <w:rFonts w:cs="Arial"/>
              </w:rPr>
            </w:pPr>
          </w:p>
        </w:tc>
        <w:tc>
          <w:tcPr>
            <w:tcW w:w="3192" w:type="dxa"/>
            <w:vMerge/>
          </w:tcPr>
          <w:p w14:paraId="172E61E8" w14:textId="77777777" w:rsidR="004E363A" w:rsidRPr="006547A7" w:rsidRDefault="004E363A" w:rsidP="004E363A">
            <w:pPr>
              <w:rPr>
                <w:rFonts w:cs="Arial"/>
              </w:rPr>
            </w:pPr>
          </w:p>
        </w:tc>
        <w:tc>
          <w:tcPr>
            <w:tcW w:w="3192" w:type="dxa"/>
          </w:tcPr>
          <w:p w14:paraId="696EC7C9" w14:textId="3E4C9087" w:rsidR="004E363A" w:rsidRPr="006547A7" w:rsidRDefault="004E363A" w:rsidP="004E363A">
            <w:pPr>
              <w:rPr>
                <w:rFonts w:cs="Arial"/>
              </w:rPr>
            </w:pPr>
            <w:r w:rsidRPr="006547A7">
              <w:rPr>
                <w:rFonts w:cs="Arial"/>
              </w:rPr>
              <w:t>Замаяност, вероятно свързана с брадикардия</w:t>
            </w:r>
          </w:p>
        </w:tc>
      </w:tr>
      <w:tr w:rsidR="004E363A" w14:paraId="38EA26D8" w14:textId="77777777" w:rsidTr="004E363A">
        <w:tc>
          <w:tcPr>
            <w:tcW w:w="3192" w:type="dxa"/>
            <w:vMerge/>
          </w:tcPr>
          <w:p w14:paraId="69CEC36C" w14:textId="77777777" w:rsidR="004E363A" w:rsidRPr="006547A7" w:rsidRDefault="004E363A" w:rsidP="004E363A">
            <w:pPr>
              <w:rPr>
                <w:rFonts w:cs="Arial"/>
              </w:rPr>
            </w:pPr>
          </w:p>
        </w:tc>
        <w:tc>
          <w:tcPr>
            <w:tcW w:w="3192" w:type="dxa"/>
          </w:tcPr>
          <w:p w14:paraId="3C2BE6E4" w14:textId="1A515EE4" w:rsidR="004E363A" w:rsidRPr="006547A7" w:rsidRDefault="004E363A" w:rsidP="004E363A">
            <w:pPr>
              <w:rPr>
                <w:rFonts w:cs="Arial"/>
              </w:rPr>
            </w:pPr>
            <w:r w:rsidRPr="006547A7">
              <w:rPr>
                <w:rFonts w:cs="Arial"/>
              </w:rPr>
              <w:t>Нечести*</w:t>
            </w:r>
          </w:p>
        </w:tc>
        <w:tc>
          <w:tcPr>
            <w:tcW w:w="3192" w:type="dxa"/>
          </w:tcPr>
          <w:p w14:paraId="7B459ECD" w14:textId="3EB20E1F" w:rsidR="004E363A" w:rsidRPr="006547A7" w:rsidRDefault="004E363A" w:rsidP="004E363A">
            <w:pPr>
              <w:rPr>
                <w:rFonts w:cs="Arial"/>
              </w:rPr>
            </w:pPr>
            <w:r w:rsidRPr="006547A7">
              <w:rPr>
                <w:rFonts w:cs="Arial"/>
              </w:rPr>
              <w:t>Синкоп, вероятно свързан с брадикардия</w:t>
            </w:r>
          </w:p>
        </w:tc>
      </w:tr>
      <w:tr w:rsidR="004E363A" w14:paraId="006AA829" w14:textId="77777777" w:rsidTr="004E363A">
        <w:tc>
          <w:tcPr>
            <w:tcW w:w="3192" w:type="dxa"/>
            <w:vMerge w:val="restart"/>
          </w:tcPr>
          <w:p w14:paraId="09E0F66D" w14:textId="4FD48511" w:rsidR="004E363A" w:rsidRPr="006547A7" w:rsidRDefault="004E363A" w:rsidP="004E363A">
            <w:pPr>
              <w:rPr>
                <w:rFonts w:cs="Arial"/>
              </w:rPr>
            </w:pPr>
            <w:r w:rsidRPr="006547A7">
              <w:rPr>
                <w:rFonts w:cs="Arial"/>
              </w:rPr>
              <w:t>Очни нарушения</w:t>
            </w:r>
          </w:p>
        </w:tc>
        <w:tc>
          <w:tcPr>
            <w:tcW w:w="3192" w:type="dxa"/>
          </w:tcPr>
          <w:p w14:paraId="165A71CA" w14:textId="2701B3CB" w:rsidR="004E363A" w:rsidRPr="006547A7" w:rsidRDefault="004E363A" w:rsidP="004E363A">
            <w:pPr>
              <w:rPr>
                <w:rFonts w:cs="Arial"/>
              </w:rPr>
            </w:pPr>
            <w:r w:rsidRPr="006547A7">
              <w:rPr>
                <w:rFonts w:cs="Arial"/>
              </w:rPr>
              <w:t>Много чести</w:t>
            </w:r>
          </w:p>
        </w:tc>
        <w:tc>
          <w:tcPr>
            <w:tcW w:w="3192" w:type="dxa"/>
          </w:tcPr>
          <w:p w14:paraId="26CC2315" w14:textId="075B4BB1" w:rsidR="004E363A" w:rsidRPr="006547A7" w:rsidRDefault="004E363A" w:rsidP="004E363A">
            <w:pPr>
              <w:rPr>
                <w:rFonts w:cs="Arial"/>
              </w:rPr>
            </w:pPr>
            <w:r w:rsidRPr="006547A7">
              <w:rPr>
                <w:rFonts w:cs="Arial"/>
              </w:rPr>
              <w:t>Светлинни феномени (фосфени)</w:t>
            </w:r>
          </w:p>
        </w:tc>
      </w:tr>
      <w:tr w:rsidR="004E363A" w14:paraId="41961B56" w14:textId="77777777" w:rsidTr="004E363A">
        <w:tc>
          <w:tcPr>
            <w:tcW w:w="3192" w:type="dxa"/>
            <w:vMerge/>
          </w:tcPr>
          <w:p w14:paraId="16C1E3F8" w14:textId="77777777" w:rsidR="004E363A" w:rsidRPr="006547A7" w:rsidRDefault="004E363A" w:rsidP="004E363A">
            <w:pPr>
              <w:rPr>
                <w:rFonts w:cs="Arial"/>
              </w:rPr>
            </w:pPr>
          </w:p>
        </w:tc>
        <w:tc>
          <w:tcPr>
            <w:tcW w:w="3192" w:type="dxa"/>
          </w:tcPr>
          <w:p w14:paraId="275367FB" w14:textId="547369B7" w:rsidR="004E363A" w:rsidRPr="006547A7" w:rsidRDefault="004E363A" w:rsidP="004E363A">
            <w:pPr>
              <w:rPr>
                <w:rFonts w:cs="Arial"/>
              </w:rPr>
            </w:pPr>
            <w:r w:rsidRPr="006547A7">
              <w:rPr>
                <w:rFonts w:cs="Arial"/>
              </w:rPr>
              <w:t>Чести</w:t>
            </w:r>
          </w:p>
        </w:tc>
        <w:tc>
          <w:tcPr>
            <w:tcW w:w="3192" w:type="dxa"/>
          </w:tcPr>
          <w:p w14:paraId="45C8C0B8" w14:textId="6AAB75F5" w:rsidR="004E363A" w:rsidRPr="006547A7" w:rsidRDefault="004E363A" w:rsidP="004E363A">
            <w:pPr>
              <w:rPr>
                <w:rFonts w:cs="Arial"/>
              </w:rPr>
            </w:pPr>
            <w:r w:rsidRPr="006547A7">
              <w:rPr>
                <w:rFonts w:cs="Arial"/>
              </w:rPr>
              <w:t>Замъглено зрение</w:t>
            </w:r>
          </w:p>
        </w:tc>
      </w:tr>
      <w:tr w:rsidR="004E363A" w14:paraId="2D30488C" w14:textId="77777777" w:rsidTr="004E363A">
        <w:tc>
          <w:tcPr>
            <w:tcW w:w="3192" w:type="dxa"/>
            <w:vMerge/>
          </w:tcPr>
          <w:p w14:paraId="36A39526" w14:textId="77777777" w:rsidR="004E363A" w:rsidRPr="006547A7" w:rsidRDefault="004E363A" w:rsidP="004E363A">
            <w:pPr>
              <w:rPr>
                <w:rFonts w:cs="Arial"/>
              </w:rPr>
            </w:pPr>
          </w:p>
        </w:tc>
        <w:tc>
          <w:tcPr>
            <w:tcW w:w="3192" w:type="dxa"/>
            <w:vMerge w:val="restart"/>
          </w:tcPr>
          <w:p w14:paraId="3C9DA3A7" w14:textId="4ED92819" w:rsidR="004E363A" w:rsidRPr="006547A7" w:rsidRDefault="004E363A" w:rsidP="004E363A">
            <w:pPr>
              <w:rPr>
                <w:rFonts w:cs="Arial"/>
              </w:rPr>
            </w:pPr>
            <w:r w:rsidRPr="006547A7">
              <w:rPr>
                <w:rFonts w:cs="Arial"/>
              </w:rPr>
              <w:t>Нечести*</w:t>
            </w:r>
          </w:p>
        </w:tc>
        <w:tc>
          <w:tcPr>
            <w:tcW w:w="3192" w:type="dxa"/>
          </w:tcPr>
          <w:p w14:paraId="069C1723" w14:textId="7BE416BA" w:rsidR="004E363A" w:rsidRPr="006547A7" w:rsidRDefault="004E363A" w:rsidP="004E363A">
            <w:pPr>
              <w:rPr>
                <w:rFonts w:cs="Arial"/>
              </w:rPr>
            </w:pPr>
            <w:r w:rsidRPr="006547A7">
              <w:rPr>
                <w:rFonts w:cs="Arial"/>
              </w:rPr>
              <w:t>Диплопия</w:t>
            </w:r>
          </w:p>
        </w:tc>
      </w:tr>
      <w:tr w:rsidR="004E363A" w14:paraId="2F7DE1D3" w14:textId="77777777" w:rsidTr="004E363A">
        <w:tc>
          <w:tcPr>
            <w:tcW w:w="3192" w:type="dxa"/>
            <w:vMerge/>
          </w:tcPr>
          <w:p w14:paraId="305BEA7E" w14:textId="77777777" w:rsidR="004E363A" w:rsidRPr="006547A7" w:rsidRDefault="004E363A" w:rsidP="004E363A">
            <w:pPr>
              <w:rPr>
                <w:rFonts w:cs="Arial"/>
              </w:rPr>
            </w:pPr>
          </w:p>
        </w:tc>
        <w:tc>
          <w:tcPr>
            <w:tcW w:w="3192" w:type="dxa"/>
            <w:vMerge/>
          </w:tcPr>
          <w:p w14:paraId="513FB020" w14:textId="77777777" w:rsidR="004E363A" w:rsidRPr="006547A7" w:rsidRDefault="004E363A" w:rsidP="004E363A">
            <w:pPr>
              <w:rPr>
                <w:rFonts w:cs="Arial"/>
              </w:rPr>
            </w:pPr>
          </w:p>
        </w:tc>
        <w:tc>
          <w:tcPr>
            <w:tcW w:w="3192" w:type="dxa"/>
          </w:tcPr>
          <w:p w14:paraId="135498FD" w14:textId="7848E0FE" w:rsidR="004E363A" w:rsidRPr="006547A7" w:rsidRDefault="004E363A" w:rsidP="004E363A">
            <w:pPr>
              <w:rPr>
                <w:rFonts w:cs="Arial"/>
              </w:rPr>
            </w:pPr>
            <w:r w:rsidRPr="006547A7">
              <w:rPr>
                <w:rFonts w:cs="Arial"/>
              </w:rPr>
              <w:t>Зрителни нарушения</w:t>
            </w:r>
          </w:p>
        </w:tc>
      </w:tr>
      <w:tr w:rsidR="004E363A" w14:paraId="791600C6" w14:textId="77777777" w:rsidTr="004E363A">
        <w:tc>
          <w:tcPr>
            <w:tcW w:w="3192" w:type="dxa"/>
          </w:tcPr>
          <w:p w14:paraId="0B4D332C" w14:textId="1EEC6131" w:rsidR="004E363A" w:rsidRPr="006547A7" w:rsidRDefault="004E363A" w:rsidP="004E363A">
            <w:pPr>
              <w:rPr>
                <w:rFonts w:cs="Arial"/>
              </w:rPr>
            </w:pPr>
            <w:r w:rsidRPr="006547A7">
              <w:rPr>
                <w:rFonts w:cs="Arial"/>
              </w:rPr>
              <w:t>Нарушения на ухото и лабиринта</w:t>
            </w:r>
          </w:p>
        </w:tc>
        <w:tc>
          <w:tcPr>
            <w:tcW w:w="3192" w:type="dxa"/>
          </w:tcPr>
          <w:p w14:paraId="2BB0D875" w14:textId="6D596472" w:rsidR="004E363A" w:rsidRPr="006547A7" w:rsidRDefault="004E363A" w:rsidP="004E363A">
            <w:pPr>
              <w:rPr>
                <w:rFonts w:cs="Arial"/>
              </w:rPr>
            </w:pPr>
            <w:r w:rsidRPr="006547A7">
              <w:rPr>
                <w:rFonts w:cs="Arial"/>
              </w:rPr>
              <w:t>Нечести</w:t>
            </w:r>
          </w:p>
        </w:tc>
        <w:tc>
          <w:tcPr>
            <w:tcW w:w="3192" w:type="dxa"/>
          </w:tcPr>
          <w:p w14:paraId="3A6CC032" w14:textId="196F6CD7" w:rsidR="004E363A" w:rsidRPr="006547A7" w:rsidRDefault="004E363A" w:rsidP="004E363A">
            <w:pPr>
              <w:rPr>
                <w:rFonts w:cs="Arial"/>
              </w:rPr>
            </w:pPr>
            <w:r w:rsidRPr="006547A7">
              <w:rPr>
                <w:rFonts w:cs="Arial"/>
              </w:rPr>
              <w:t>Вертиго</w:t>
            </w:r>
          </w:p>
        </w:tc>
      </w:tr>
      <w:tr w:rsidR="004E363A" w14:paraId="70E1821F" w14:textId="77777777" w:rsidTr="004E363A">
        <w:tc>
          <w:tcPr>
            <w:tcW w:w="3192" w:type="dxa"/>
            <w:vMerge w:val="restart"/>
          </w:tcPr>
          <w:p w14:paraId="5C289820" w14:textId="5732D8A0" w:rsidR="004E363A" w:rsidRPr="006547A7" w:rsidRDefault="004E363A" w:rsidP="004E363A">
            <w:pPr>
              <w:rPr>
                <w:rFonts w:cs="Arial"/>
              </w:rPr>
            </w:pPr>
            <w:r w:rsidRPr="006547A7">
              <w:rPr>
                <w:rFonts w:cs="Arial"/>
              </w:rPr>
              <w:t>Сърдечни нарушения</w:t>
            </w:r>
          </w:p>
        </w:tc>
        <w:tc>
          <w:tcPr>
            <w:tcW w:w="3192" w:type="dxa"/>
            <w:vMerge w:val="restart"/>
          </w:tcPr>
          <w:p w14:paraId="1C60E88E" w14:textId="54AD66DD" w:rsidR="004E363A" w:rsidRPr="006547A7" w:rsidRDefault="004E363A" w:rsidP="004E363A">
            <w:pPr>
              <w:rPr>
                <w:rFonts w:cs="Arial"/>
              </w:rPr>
            </w:pPr>
            <w:r w:rsidRPr="006547A7">
              <w:rPr>
                <w:rFonts w:cs="Arial"/>
              </w:rPr>
              <w:t>Чести</w:t>
            </w:r>
          </w:p>
        </w:tc>
        <w:tc>
          <w:tcPr>
            <w:tcW w:w="3192" w:type="dxa"/>
          </w:tcPr>
          <w:p w14:paraId="4CC65CC3" w14:textId="1B5005FA" w:rsidR="004E363A" w:rsidRPr="006547A7" w:rsidRDefault="004E363A" w:rsidP="004E363A">
            <w:pPr>
              <w:rPr>
                <w:rFonts w:cs="Arial"/>
              </w:rPr>
            </w:pPr>
            <w:r w:rsidRPr="006547A7">
              <w:rPr>
                <w:rFonts w:cs="Arial"/>
              </w:rPr>
              <w:t>Брадикардия</w:t>
            </w:r>
          </w:p>
        </w:tc>
      </w:tr>
      <w:tr w:rsidR="004E363A" w14:paraId="300B6FBA" w14:textId="77777777" w:rsidTr="004E363A">
        <w:tc>
          <w:tcPr>
            <w:tcW w:w="3192" w:type="dxa"/>
            <w:vMerge/>
          </w:tcPr>
          <w:p w14:paraId="1649E4F0" w14:textId="77777777" w:rsidR="004E363A" w:rsidRPr="006547A7" w:rsidRDefault="004E363A" w:rsidP="004E363A">
            <w:pPr>
              <w:rPr>
                <w:rFonts w:cs="Arial"/>
              </w:rPr>
            </w:pPr>
          </w:p>
        </w:tc>
        <w:tc>
          <w:tcPr>
            <w:tcW w:w="3192" w:type="dxa"/>
            <w:vMerge/>
          </w:tcPr>
          <w:p w14:paraId="2BE08077" w14:textId="77777777" w:rsidR="004E363A" w:rsidRPr="006547A7" w:rsidRDefault="004E363A" w:rsidP="004E363A">
            <w:pPr>
              <w:rPr>
                <w:rFonts w:cs="Arial"/>
              </w:rPr>
            </w:pPr>
          </w:p>
        </w:tc>
        <w:tc>
          <w:tcPr>
            <w:tcW w:w="3192" w:type="dxa"/>
          </w:tcPr>
          <w:p w14:paraId="5EAD0E53" w14:textId="68020B8E" w:rsidR="004E363A" w:rsidRPr="006547A7" w:rsidRDefault="004E363A" w:rsidP="004E363A">
            <w:pPr>
              <w:rPr>
                <w:rFonts w:cs="Arial"/>
              </w:rPr>
            </w:pPr>
            <w:r w:rsidRPr="006547A7">
              <w:rPr>
                <w:rFonts w:cs="Arial"/>
                <w:lang w:val="en-US"/>
              </w:rPr>
              <w:t>AV</w:t>
            </w:r>
            <w:r w:rsidRPr="006547A7">
              <w:rPr>
                <w:rFonts w:cs="Arial"/>
                <w:lang w:val="ru-RU"/>
              </w:rPr>
              <w:t xml:space="preserve"> </w:t>
            </w:r>
            <w:r w:rsidRPr="006547A7">
              <w:rPr>
                <w:rFonts w:cs="Arial"/>
              </w:rPr>
              <w:t xml:space="preserve">блок 1-ва степен (удължен </w:t>
            </w:r>
            <w:r w:rsidRPr="006547A7">
              <w:rPr>
                <w:rFonts w:cs="Arial"/>
                <w:lang w:val="en-US"/>
              </w:rPr>
              <w:t>PQ</w:t>
            </w:r>
            <w:r w:rsidRPr="006547A7">
              <w:rPr>
                <w:rFonts w:cs="Arial"/>
                <w:lang w:val="ru-RU"/>
              </w:rPr>
              <w:t xml:space="preserve"> </w:t>
            </w:r>
            <w:r w:rsidRPr="006547A7">
              <w:rPr>
                <w:rFonts w:cs="Arial"/>
              </w:rPr>
              <w:t>интервал при ЕКГ)</w:t>
            </w:r>
          </w:p>
        </w:tc>
      </w:tr>
      <w:tr w:rsidR="004E363A" w14:paraId="2BED8AB5" w14:textId="77777777" w:rsidTr="004E363A">
        <w:tc>
          <w:tcPr>
            <w:tcW w:w="3192" w:type="dxa"/>
            <w:vMerge/>
          </w:tcPr>
          <w:p w14:paraId="41CA09C9" w14:textId="77777777" w:rsidR="004E363A" w:rsidRPr="006547A7" w:rsidRDefault="004E363A" w:rsidP="004E363A">
            <w:pPr>
              <w:rPr>
                <w:rFonts w:cs="Arial"/>
              </w:rPr>
            </w:pPr>
          </w:p>
        </w:tc>
        <w:tc>
          <w:tcPr>
            <w:tcW w:w="3192" w:type="dxa"/>
            <w:vMerge/>
          </w:tcPr>
          <w:p w14:paraId="7EE64E57" w14:textId="77777777" w:rsidR="004E363A" w:rsidRPr="006547A7" w:rsidRDefault="004E363A" w:rsidP="004E363A">
            <w:pPr>
              <w:rPr>
                <w:rFonts w:cs="Arial"/>
              </w:rPr>
            </w:pPr>
          </w:p>
        </w:tc>
        <w:tc>
          <w:tcPr>
            <w:tcW w:w="3192" w:type="dxa"/>
          </w:tcPr>
          <w:p w14:paraId="64585624" w14:textId="31822838" w:rsidR="004E363A" w:rsidRPr="006547A7" w:rsidRDefault="004E363A" w:rsidP="004E363A">
            <w:pPr>
              <w:rPr>
                <w:rFonts w:cs="Arial"/>
              </w:rPr>
            </w:pPr>
            <w:r w:rsidRPr="006547A7">
              <w:rPr>
                <w:rFonts w:cs="Arial"/>
              </w:rPr>
              <w:t>Камерни екстрасистоли</w:t>
            </w:r>
          </w:p>
        </w:tc>
      </w:tr>
      <w:tr w:rsidR="004E363A" w14:paraId="68F4A372" w14:textId="77777777" w:rsidTr="004E363A">
        <w:tc>
          <w:tcPr>
            <w:tcW w:w="3192" w:type="dxa"/>
            <w:vMerge/>
          </w:tcPr>
          <w:p w14:paraId="52EEFD3F" w14:textId="77777777" w:rsidR="004E363A" w:rsidRPr="006547A7" w:rsidRDefault="004E363A" w:rsidP="004E363A">
            <w:pPr>
              <w:rPr>
                <w:rFonts w:cs="Arial"/>
              </w:rPr>
            </w:pPr>
          </w:p>
        </w:tc>
        <w:tc>
          <w:tcPr>
            <w:tcW w:w="3192" w:type="dxa"/>
            <w:vMerge/>
          </w:tcPr>
          <w:p w14:paraId="35763C45" w14:textId="77777777" w:rsidR="004E363A" w:rsidRPr="006547A7" w:rsidRDefault="004E363A" w:rsidP="004E363A">
            <w:pPr>
              <w:rPr>
                <w:rFonts w:cs="Arial"/>
              </w:rPr>
            </w:pPr>
          </w:p>
        </w:tc>
        <w:tc>
          <w:tcPr>
            <w:tcW w:w="3192" w:type="dxa"/>
          </w:tcPr>
          <w:p w14:paraId="13F2E981" w14:textId="694DB9D1" w:rsidR="004E363A" w:rsidRPr="006547A7" w:rsidRDefault="004E363A" w:rsidP="004E363A">
            <w:pPr>
              <w:rPr>
                <w:rFonts w:cs="Arial"/>
              </w:rPr>
            </w:pPr>
            <w:r w:rsidRPr="006547A7">
              <w:rPr>
                <w:rFonts w:cs="Arial"/>
              </w:rPr>
              <w:t>Предсърдно мъждене</w:t>
            </w:r>
          </w:p>
        </w:tc>
      </w:tr>
      <w:tr w:rsidR="004E363A" w14:paraId="5544C704" w14:textId="77777777" w:rsidTr="004E363A">
        <w:tc>
          <w:tcPr>
            <w:tcW w:w="3192" w:type="dxa"/>
            <w:vMerge/>
          </w:tcPr>
          <w:p w14:paraId="0C2F455A" w14:textId="77777777" w:rsidR="004E363A" w:rsidRPr="006547A7" w:rsidRDefault="004E363A" w:rsidP="004E363A">
            <w:pPr>
              <w:rPr>
                <w:rFonts w:cs="Arial"/>
              </w:rPr>
            </w:pPr>
          </w:p>
        </w:tc>
        <w:tc>
          <w:tcPr>
            <w:tcW w:w="3192" w:type="dxa"/>
          </w:tcPr>
          <w:p w14:paraId="0C84479E" w14:textId="65DE8015" w:rsidR="004E363A" w:rsidRPr="006547A7" w:rsidRDefault="004E363A" w:rsidP="004E363A">
            <w:pPr>
              <w:rPr>
                <w:rFonts w:cs="Arial"/>
              </w:rPr>
            </w:pPr>
            <w:r w:rsidRPr="006547A7">
              <w:rPr>
                <w:rFonts w:cs="Arial"/>
              </w:rPr>
              <w:t>Нечести</w:t>
            </w:r>
          </w:p>
        </w:tc>
        <w:tc>
          <w:tcPr>
            <w:tcW w:w="3192" w:type="dxa"/>
          </w:tcPr>
          <w:p w14:paraId="23E49AD2" w14:textId="77777777" w:rsidR="004E363A" w:rsidRPr="006547A7" w:rsidRDefault="004E363A" w:rsidP="004E363A">
            <w:pPr>
              <w:rPr>
                <w:rFonts w:cs="Arial"/>
              </w:rPr>
            </w:pPr>
            <w:r w:rsidRPr="006547A7">
              <w:rPr>
                <w:rFonts w:cs="Arial"/>
              </w:rPr>
              <w:t>Палпитации, надкамерни екстрасистоли</w:t>
            </w:r>
          </w:p>
          <w:p w14:paraId="49BC3B89" w14:textId="14142111" w:rsidR="004E363A" w:rsidRPr="006547A7" w:rsidRDefault="004E363A" w:rsidP="004E363A">
            <w:pPr>
              <w:rPr>
                <w:rFonts w:cs="Arial"/>
              </w:rPr>
            </w:pPr>
            <w:r w:rsidRPr="006547A7">
              <w:rPr>
                <w:rFonts w:cs="Arial"/>
              </w:rPr>
              <w:t xml:space="preserve">Удължен </w:t>
            </w:r>
            <w:r w:rsidRPr="006547A7">
              <w:rPr>
                <w:rFonts w:cs="Arial"/>
                <w:lang w:val="en-US"/>
              </w:rPr>
              <w:t>QT</w:t>
            </w:r>
            <w:r w:rsidRPr="006547A7">
              <w:rPr>
                <w:rFonts w:cs="Arial"/>
                <w:lang w:val="ru-RU"/>
              </w:rPr>
              <w:t xml:space="preserve"> </w:t>
            </w:r>
            <w:r w:rsidRPr="006547A7">
              <w:rPr>
                <w:rFonts w:cs="Arial"/>
              </w:rPr>
              <w:t>интервал при ЕКГ</w:t>
            </w:r>
          </w:p>
        </w:tc>
      </w:tr>
      <w:tr w:rsidR="004E363A" w14:paraId="1E85B2D4" w14:textId="77777777" w:rsidTr="004E363A">
        <w:tc>
          <w:tcPr>
            <w:tcW w:w="3192" w:type="dxa"/>
            <w:vMerge/>
          </w:tcPr>
          <w:p w14:paraId="4A93D2E6" w14:textId="77777777" w:rsidR="004E363A" w:rsidRPr="006547A7" w:rsidRDefault="004E363A" w:rsidP="004E363A">
            <w:pPr>
              <w:rPr>
                <w:rFonts w:cs="Arial"/>
              </w:rPr>
            </w:pPr>
          </w:p>
        </w:tc>
        <w:tc>
          <w:tcPr>
            <w:tcW w:w="3192" w:type="dxa"/>
            <w:vMerge w:val="restart"/>
          </w:tcPr>
          <w:p w14:paraId="240E915B" w14:textId="6345342F" w:rsidR="004E363A" w:rsidRPr="006547A7" w:rsidRDefault="004E363A" w:rsidP="004E363A">
            <w:pPr>
              <w:rPr>
                <w:rFonts w:cs="Arial"/>
              </w:rPr>
            </w:pPr>
            <w:r w:rsidRPr="006547A7">
              <w:rPr>
                <w:rFonts w:cs="Arial"/>
              </w:rPr>
              <w:t>Много редки</w:t>
            </w:r>
          </w:p>
        </w:tc>
        <w:tc>
          <w:tcPr>
            <w:tcW w:w="3192" w:type="dxa"/>
          </w:tcPr>
          <w:p w14:paraId="5DEB14B1" w14:textId="70EFD2F3" w:rsidR="004E363A" w:rsidRPr="006547A7" w:rsidRDefault="004E363A" w:rsidP="004E363A">
            <w:pPr>
              <w:rPr>
                <w:rFonts w:cs="Arial"/>
              </w:rPr>
            </w:pPr>
            <w:r w:rsidRPr="006547A7">
              <w:rPr>
                <w:rFonts w:cs="Arial"/>
                <w:lang w:val="en-US"/>
              </w:rPr>
              <w:t>AV</w:t>
            </w:r>
            <w:r w:rsidRPr="006547A7">
              <w:rPr>
                <w:rFonts w:cs="Arial"/>
                <w:lang w:val="ru-RU"/>
              </w:rPr>
              <w:t xml:space="preserve"> </w:t>
            </w:r>
            <w:r w:rsidRPr="006547A7">
              <w:rPr>
                <w:rFonts w:cs="Arial"/>
              </w:rPr>
              <w:t xml:space="preserve">блок 2-ра степен, </w:t>
            </w:r>
            <w:r w:rsidRPr="006547A7">
              <w:rPr>
                <w:rFonts w:cs="Arial"/>
                <w:lang w:val="en-US"/>
              </w:rPr>
              <w:t>AV</w:t>
            </w:r>
            <w:r w:rsidRPr="006547A7">
              <w:rPr>
                <w:rFonts w:cs="Arial"/>
                <w:lang w:val="ru-RU"/>
              </w:rPr>
              <w:t xml:space="preserve"> </w:t>
            </w:r>
            <w:r w:rsidRPr="006547A7">
              <w:rPr>
                <w:rFonts w:cs="Arial"/>
              </w:rPr>
              <w:t>блок 3-та степен</w:t>
            </w:r>
          </w:p>
        </w:tc>
      </w:tr>
      <w:tr w:rsidR="004E363A" w14:paraId="5A1EB069" w14:textId="77777777" w:rsidTr="004E363A">
        <w:tc>
          <w:tcPr>
            <w:tcW w:w="3192" w:type="dxa"/>
            <w:vMerge/>
          </w:tcPr>
          <w:p w14:paraId="0A2A3168" w14:textId="77777777" w:rsidR="004E363A" w:rsidRPr="006547A7" w:rsidRDefault="004E363A" w:rsidP="004E363A">
            <w:pPr>
              <w:rPr>
                <w:rFonts w:cs="Arial"/>
              </w:rPr>
            </w:pPr>
          </w:p>
        </w:tc>
        <w:tc>
          <w:tcPr>
            <w:tcW w:w="3192" w:type="dxa"/>
            <w:vMerge/>
          </w:tcPr>
          <w:p w14:paraId="0FB613B6" w14:textId="77777777" w:rsidR="004E363A" w:rsidRPr="006547A7" w:rsidRDefault="004E363A" w:rsidP="004E363A">
            <w:pPr>
              <w:rPr>
                <w:rFonts w:cs="Arial"/>
              </w:rPr>
            </w:pPr>
          </w:p>
        </w:tc>
        <w:tc>
          <w:tcPr>
            <w:tcW w:w="3192" w:type="dxa"/>
          </w:tcPr>
          <w:p w14:paraId="571EF80B" w14:textId="3B7CB95A" w:rsidR="004E363A" w:rsidRPr="006547A7" w:rsidRDefault="004E363A" w:rsidP="004E363A">
            <w:pPr>
              <w:rPr>
                <w:rFonts w:cs="Arial"/>
              </w:rPr>
            </w:pPr>
            <w:r w:rsidRPr="006547A7">
              <w:rPr>
                <w:rFonts w:cs="Arial"/>
              </w:rPr>
              <w:t>Синдром на болния синусов възел</w:t>
            </w:r>
          </w:p>
        </w:tc>
      </w:tr>
      <w:tr w:rsidR="004E363A" w14:paraId="76394F70" w14:textId="77777777" w:rsidTr="004E363A">
        <w:tc>
          <w:tcPr>
            <w:tcW w:w="3192" w:type="dxa"/>
            <w:vMerge w:val="restart"/>
          </w:tcPr>
          <w:p w14:paraId="666293FE" w14:textId="3ADF7BF3" w:rsidR="004E363A" w:rsidRPr="006547A7" w:rsidRDefault="004E363A" w:rsidP="004E363A">
            <w:pPr>
              <w:rPr>
                <w:rFonts w:cs="Arial"/>
              </w:rPr>
            </w:pPr>
            <w:r w:rsidRPr="006547A7">
              <w:rPr>
                <w:rFonts w:cs="Arial"/>
              </w:rPr>
              <w:t>Съдови нарушения</w:t>
            </w:r>
          </w:p>
        </w:tc>
        <w:tc>
          <w:tcPr>
            <w:tcW w:w="3192" w:type="dxa"/>
          </w:tcPr>
          <w:p w14:paraId="6ED46E08" w14:textId="2AA2F358" w:rsidR="004E363A" w:rsidRPr="006547A7" w:rsidRDefault="004E363A" w:rsidP="004E363A">
            <w:pPr>
              <w:rPr>
                <w:rFonts w:cs="Arial"/>
              </w:rPr>
            </w:pPr>
            <w:r w:rsidRPr="006547A7">
              <w:rPr>
                <w:rFonts w:cs="Arial"/>
              </w:rPr>
              <w:t>Чести</w:t>
            </w:r>
          </w:p>
        </w:tc>
        <w:tc>
          <w:tcPr>
            <w:tcW w:w="3192" w:type="dxa"/>
          </w:tcPr>
          <w:p w14:paraId="668E2549" w14:textId="485E372F" w:rsidR="004E363A" w:rsidRPr="006547A7" w:rsidRDefault="004E363A" w:rsidP="004E363A">
            <w:pPr>
              <w:rPr>
                <w:rFonts w:cs="Arial"/>
              </w:rPr>
            </w:pPr>
            <w:r w:rsidRPr="006547A7">
              <w:rPr>
                <w:rFonts w:cs="Arial"/>
              </w:rPr>
              <w:t>Неконтролирано кръвно налягане</w:t>
            </w:r>
          </w:p>
        </w:tc>
      </w:tr>
      <w:tr w:rsidR="004E363A" w14:paraId="325E13A1" w14:textId="77777777" w:rsidTr="004E363A">
        <w:tc>
          <w:tcPr>
            <w:tcW w:w="3192" w:type="dxa"/>
            <w:vMerge/>
          </w:tcPr>
          <w:p w14:paraId="0FA96770" w14:textId="77777777" w:rsidR="004E363A" w:rsidRPr="006547A7" w:rsidRDefault="004E363A" w:rsidP="004E363A">
            <w:pPr>
              <w:rPr>
                <w:rFonts w:cs="Arial"/>
              </w:rPr>
            </w:pPr>
          </w:p>
        </w:tc>
        <w:tc>
          <w:tcPr>
            <w:tcW w:w="3192" w:type="dxa"/>
          </w:tcPr>
          <w:p w14:paraId="70F1EEF4" w14:textId="6177D319" w:rsidR="004E363A" w:rsidRPr="006547A7" w:rsidRDefault="004E363A" w:rsidP="004E363A">
            <w:pPr>
              <w:rPr>
                <w:rFonts w:cs="Arial"/>
              </w:rPr>
            </w:pPr>
            <w:r w:rsidRPr="006547A7">
              <w:rPr>
                <w:rFonts w:cs="Arial"/>
              </w:rPr>
              <w:t>Нечести*</w:t>
            </w:r>
          </w:p>
        </w:tc>
        <w:tc>
          <w:tcPr>
            <w:tcW w:w="3192" w:type="dxa"/>
          </w:tcPr>
          <w:p w14:paraId="0C68FA7C" w14:textId="4CEA5BCB" w:rsidR="004E363A" w:rsidRPr="006547A7" w:rsidRDefault="004E363A" w:rsidP="004E363A">
            <w:pPr>
              <w:rPr>
                <w:rFonts w:cs="Arial"/>
              </w:rPr>
            </w:pPr>
            <w:r w:rsidRPr="006547A7">
              <w:rPr>
                <w:rFonts w:cs="Arial"/>
              </w:rPr>
              <w:t>Хипотония, вероятно свързана с брадикардия</w:t>
            </w:r>
          </w:p>
        </w:tc>
      </w:tr>
      <w:tr w:rsidR="004E363A" w14:paraId="5DC67A26" w14:textId="77777777" w:rsidTr="004E363A">
        <w:tc>
          <w:tcPr>
            <w:tcW w:w="3192" w:type="dxa"/>
          </w:tcPr>
          <w:p w14:paraId="5E23E43F" w14:textId="55D0624C" w:rsidR="004E363A" w:rsidRPr="006547A7" w:rsidRDefault="004E363A" w:rsidP="004E363A">
            <w:pPr>
              <w:rPr>
                <w:rFonts w:cs="Arial"/>
              </w:rPr>
            </w:pPr>
            <w:r w:rsidRPr="006547A7">
              <w:rPr>
                <w:rFonts w:cs="Arial"/>
              </w:rPr>
              <w:t>Респираторни, гръдни и мсдиастинални нарушения</w:t>
            </w:r>
          </w:p>
        </w:tc>
        <w:tc>
          <w:tcPr>
            <w:tcW w:w="3192" w:type="dxa"/>
          </w:tcPr>
          <w:p w14:paraId="21F84025" w14:textId="3657D880" w:rsidR="004E363A" w:rsidRPr="006547A7" w:rsidRDefault="004E363A" w:rsidP="004E363A">
            <w:pPr>
              <w:rPr>
                <w:rFonts w:cs="Arial"/>
              </w:rPr>
            </w:pPr>
            <w:r w:rsidRPr="006547A7">
              <w:rPr>
                <w:rFonts w:cs="Arial"/>
              </w:rPr>
              <w:t>Нечести</w:t>
            </w:r>
          </w:p>
        </w:tc>
        <w:tc>
          <w:tcPr>
            <w:tcW w:w="3192" w:type="dxa"/>
          </w:tcPr>
          <w:p w14:paraId="4BC19D90" w14:textId="631966A3" w:rsidR="004E363A" w:rsidRPr="006547A7" w:rsidRDefault="004E363A" w:rsidP="004E363A">
            <w:pPr>
              <w:rPr>
                <w:rFonts w:cs="Arial"/>
              </w:rPr>
            </w:pPr>
            <w:r w:rsidRPr="006547A7">
              <w:rPr>
                <w:rFonts w:cs="Arial"/>
              </w:rPr>
              <w:t>Диспнея</w:t>
            </w:r>
          </w:p>
        </w:tc>
      </w:tr>
      <w:tr w:rsidR="006547A7" w14:paraId="32CDED4C" w14:textId="77777777" w:rsidTr="004E363A">
        <w:tc>
          <w:tcPr>
            <w:tcW w:w="3192" w:type="dxa"/>
            <w:vMerge w:val="restart"/>
          </w:tcPr>
          <w:p w14:paraId="2248DFAB" w14:textId="079CCDB8" w:rsidR="006547A7" w:rsidRPr="006547A7" w:rsidRDefault="006547A7" w:rsidP="006547A7">
            <w:pPr>
              <w:rPr>
                <w:rFonts w:cs="Arial"/>
              </w:rPr>
            </w:pPr>
            <w:r w:rsidRPr="006547A7">
              <w:rPr>
                <w:rFonts w:cs="Arial"/>
              </w:rPr>
              <w:t>Стомашно-чревни нарушения</w:t>
            </w:r>
          </w:p>
        </w:tc>
        <w:tc>
          <w:tcPr>
            <w:tcW w:w="3192" w:type="dxa"/>
            <w:vMerge w:val="restart"/>
          </w:tcPr>
          <w:p w14:paraId="60B9711F" w14:textId="258CD0A1" w:rsidR="006547A7" w:rsidRPr="006547A7" w:rsidRDefault="006547A7" w:rsidP="006547A7">
            <w:pPr>
              <w:rPr>
                <w:rFonts w:cs="Arial"/>
              </w:rPr>
            </w:pPr>
            <w:r w:rsidRPr="006547A7">
              <w:rPr>
                <w:rFonts w:cs="Arial"/>
              </w:rPr>
              <w:t>Нечести</w:t>
            </w:r>
          </w:p>
        </w:tc>
        <w:tc>
          <w:tcPr>
            <w:tcW w:w="3192" w:type="dxa"/>
          </w:tcPr>
          <w:p w14:paraId="45358F79" w14:textId="262C8097" w:rsidR="006547A7" w:rsidRPr="006547A7" w:rsidRDefault="006547A7" w:rsidP="006547A7">
            <w:pPr>
              <w:rPr>
                <w:rFonts w:cs="Arial"/>
              </w:rPr>
            </w:pPr>
            <w:r w:rsidRPr="006547A7">
              <w:rPr>
                <w:rFonts w:cs="Arial"/>
              </w:rPr>
              <w:t>Гадене</w:t>
            </w:r>
          </w:p>
        </w:tc>
      </w:tr>
      <w:tr w:rsidR="006547A7" w14:paraId="507783DD" w14:textId="77777777" w:rsidTr="004E363A">
        <w:tc>
          <w:tcPr>
            <w:tcW w:w="3192" w:type="dxa"/>
            <w:vMerge/>
          </w:tcPr>
          <w:p w14:paraId="21155C5F" w14:textId="77777777" w:rsidR="006547A7" w:rsidRPr="006547A7" w:rsidRDefault="006547A7" w:rsidP="006547A7">
            <w:pPr>
              <w:rPr>
                <w:rFonts w:cs="Arial"/>
              </w:rPr>
            </w:pPr>
          </w:p>
        </w:tc>
        <w:tc>
          <w:tcPr>
            <w:tcW w:w="3192" w:type="dxa"/>
            <w:vMerge/>
          </w:tcPr>
          <w:p w14:paraId="4B85613B" w14:textId="77777777" w:rsidR="006547A7" w:rsidRPr="006547A7" w:rsidRDefault="006547A7" w:rsidP="006547A7">
            <w:pPr>
              <w:rPr>
                <w:rFonts w:cs="Arial"/>
              </w:rPr>
            </w:pPr>
          </w:p>
        </w:tc>
        <w:tc>
          <w:tcPr>
            <w:tcW w:w="3192" w:type="dxa"/>
          </w:tcPr>
          <w:p w14:paraId="56F00187" w14:textId="144DDB01" w:rsidR="006547A7" w:rsidRPr="006547A7" w:rsidRDefault="006547A7" w:rsidP="006547A7">
            <w:pPr>
              <w:rPr>
                <w:rFonts w:cs="Arial"/>
              </w:rPr>
            </w:pPr>
            <w:r w:rsidRPr="006547A7">
              <w:rPr>
                <w:rFonts w:cs="Arial"/>
              </w:rPr>
              <w:t>Запек</w:t>
            </w:r>
          </w:p>
        </w:tc>
      </w:tr>
      <w:tr w:rsidR="006547A7" w14:paraId="74B41EC3" w14:textId="77777777" w:rsidTr="004E363A">
        <w:tc>
          <w:tcPr>
            <w:tcW w:w="3192" w:type="dxa"/>
            <w:vMerge/>
          </w:tcPr>
          <w:p w14:paraId="140A9DBD" w14:textId="77777777" w:rsidR="006547A7" w:rsidRPr="006547A7" w:rsidRDefault="006547A7" w:rsidP="006547A7">
            <w:pPr>
              <w:rPr>
                <w:rFonts w:cs="Arial"/>
              </w:rPr>
            </w:pPr>
          </w:p>
        </w:tc>
        <w:tc>
          <w:tcPr>
            <w:tcW w:w="3192" w:type="dxa"/>
            <w:vMerge/>
          </w:tcPr>
          <w:p w14:paraId="76521713" w14:textId="77777777" w:rsidR="006547A7" w:rsidRPr="006547A7" w:rsidRDefault="006547A7" w:rsidP="006547A7">
            <w:pPr>
              <w:rPr>
                <w:rFonts w:cs="Arial"/>
              </w:rPr>
            </w:pPr>
          </w:p>
        </w:tc>
        <w:tc>
          <w:tcPr>
            <w:tcW w:w="3192" w:type="dxa"/>
          </w:tcPr>
          <w:p w14:paraId="464C35AE" w14:textId="09D7670B" w:rsidR="006547A7" w:rsidRPr="006547A7" w:rsidRDefault="006547A7" w:rsidP="006547A7">
            <w:pPr>
              <w:rPr>
                <w:rFonts w:cs="Arial"/>
              </w:rPr>
            </w:pPr>
            <w:r w:rsidRPr="006547A7">
              <w:rPr>
                <w:rFonts w:cs="Arial"/>
                <w:u w:val="single"/>
              </w:rPr>
              <w:t>Диа</w:t>
            </w:r>
            <w:r w:rsidRPr="006547A7">
              <w:rPr>
                <w:rFonts w:cs="Arial"/>
              </w:rPr>
              <w:t>рия</w:t>
            </w:r>
          </w:p>
        </w:tc>
      </w:tr>
      <w:tr w:rsidR="006547A7" w14:paraId="7A7656D0" w14:textId="77777777" w:rsidTr="004E363A">
        <w:tc>
          <w:tcPr>
            <w:tcW w:w="3192" w:type="dxa"/>
            <w:vMerge/>
          </w:tcPr>
          <w:p w14:paraId="3D0D14C7" w14:textId="77777777" w:rsidR="006547A7" w:rsidRPr="006547A7" w:rsidRDefault="006547A7" w:rsidP="006547A7">
            <w:pPr>
              <w:rPr>
                <w:rFonts w:cs="Arial"/>
              </w:rPr>
            </w:pPr>
          </w:p>
        </w:tc>
        <w:tc>
          <w:tcPr>
            <w:tcW w:w="3192" w:type="dxa"/>
            <w:vMerge/>
          </w:tcPr>
          <w:p w14:paraId="39E2EC89" w14:textId="77777777" w:rsidR="006547A7" w:rsidRPr="006547A7" w:rsidRDefault="006547A7" w:rsidP="006547A7">
            <w:pPr>
              <w:rPr>
                <w:rFonts w:cs="Arial"/>
              </w:rPr>
            </w:pPr>
          </w:p>
        </w:tc>
        <w:tc>
          <w:tcPr>
            <w:tcW w:w="3192" w:type="dxa"/>
          </w:tcPr>
          <w:p w14:paraId="5199203B" w14:textId="2798D4E2" w:rsidR="006547A7" w:rsidRPr="006547A7" w:rsidRDefault="006547A7" w:rsidP="006547A7">
            <w:pPr>
              <w:rPr>
                <w:rFonts w:cs="Arial"/>
              </w:rPr>
            </w:pPr>
            <w:r w:rsidRPr="006547A7">
              <w:rPr>
                <w:rFonts w:cs="Arial"/>
              </w:rPr>
              <w:t>Болка в корема*</w:t>
            </w:r>
          </w:p>
        </w:tc>
      </w:tr>
      <w:tr w:rsidR="006547A7" w14:paraId="7BDE1426" w14:textId="77777777" w:rsidTr="004E363A">
        <w:tc>
          <w:tcPr>
            <w:tcW w:w="3192" w:type="dxa"/>
            <w:vMerge w:val="restart"/>
          </w:tcPr>
          <w:p w14:paraId="28ED7288" w14:textId="2D2BAB4F" w:rsidR="006547A7" w:rsidRPr="006547A7" w:rsidRDefault="006547A7" w:rsidP="006547A7">
            <w:pPr>
              <w:rPr>
                <w:rFonts w:cs="Arial"/>
              </w:rPr>
            </w:pPr>
            <w:r w:rsidRPr="006547A7">
              <w:rPr>
                <w:rFonts w:cs="Arial"/>
              </w:rPr>
              <w:t>Нарушения на кожата и подкожната тъкан</w:t>
            </w:r>
          </w:p>
        </w:tc>
        <w:tc>
          <w:tcPr>
            <w:tcW w:w="3192" w:type="dxa"/>
            <w:vMerge w:val="restart"/>
          </w:tcPr>
          <w:p w14:paraId="384FA6BF" w14:textId="7F57BAEE" w:rsidR="006547A7" w:rsidRPr="006547A7" w:rsidRDefault="006547A7" w:rsidP="006547A7">
            <w:pPr>
              <w:rPr>
                <w:rFonts w:cs="Arial"/>
              </w:rPr>
            </w:pPr>
            <w:r w:rsidRPr="006547A7">
              <w:rPr>
                <w:rFonts w:cs="Arial"/>
              </w:rPr>
              <w:t>Нечести*</w:t>
            </w:r>
          </w:p>
        </w:tc>
        <w:tc>
          <w:tcPr>
            <w:tcW w:w="3192" w:type="dxa"/>
          </w:tcPr>
          <w:p w14:paraId="62BCB0F8" w14:textId="63AB365E" w:rsidR="006547A7" w:rsidRPr="006547A7" w:rsidRDefault="006547A7" w:rsidP="006547A7">
            <w:pPr>
              <w:rPr>
                <w:rFonts w:cs="Arial"/>
              </w:rPr>
            </w:pPr>
            <w:r w:rsidRPr="006547A7">
              <w:rPr>
                <w:rFonts w:cs="Arial"/>
              </w:rPr>
              <w:t>Ангиоедем</w:t>
            </w:r>
          </w:p>
        </w:tc>
      </w:tr>
      <w:tr w:rsidR="006547A7" w14:paraId="0D375E7E" w14:textId="77777777" w:rsidTr="004E363A">
        <w:tc>
          <w:tcPr>
            <w:tcW w:w="3192" w:type="dxa"/>
            <w:vMerge/>
          </w:tcPr>
          <w:p w14:paraId="11B7F1E4" w14:textId="77777777" w:rsidR="006547A7" w:rsidRPr="006547A7" w:rsidRDefault="006547A7" w:rsidP="006547A7">
            <w:pPr>
              <w:rPr>
                <w:rFonts w:cs="Arial"/>
              </w:rPr>
            </w:pPr>
          </w:p>
        </w:tc>
        <w:tc>
          <w:tcPr>
            <w:tcW w:w="3192" w:type="dxa"/>
            <w:vMerge/>
          </w:tcPr>
          <w:p w14:paraId="58C76383" w14:textId="77777777" w:rsidR="006547A7" w:rsidRPr="006547A7" w:rsidRDefault="006547A7" w:rsidP="006547A7">
            <w:pPr>
              <w:rPr>
                <w:rFonts w:cs="Arial"/>
              </w:rPr>
            </w:pPr>
          </w:p>
        </w:tc>
        <w:tc>
          <w:tcPr>
            <w:tcW w:w="3192" w:type="dxa"/>
          </w:tcPr>
          <w:p w14:paraId="74416E74" w14:textId="3A51A25E" w:rsidR="006547A7" w:rsidRPr="006547A7" w:rsidRDefault="006547A7" w:rsidP="006547A7">
            <w:pPr>
              <w:rPr>
                <w:rFonts w:cs="Arial"/>
              </w:rPr>
            </w:pPr>
            <w:r w:rsidRPr="006547A7">
              <w:rPr>
                <w:rFonts w:cs="Arial"/>
                <w:u w:val="single"/>
              </w:rPr>
              <w:t>Обрив</w:t>
            </w:r>
          </w:p>
        </w:tc>
      </w:tr>
      <w:tr w:rsidR="006547A7" w14:paraId="48E02300" w14:textId="77777777" w:rsidTr="004E363A">
        <w:tc>
          <w:tcPr>
            <w:tcW w:w="3192" w:type="dxa"/>
            <w:vMerge/>
          </w:tcPr>
          <w:p w14:paraId="2030AF1D" w14:textId="77777777" w:rsidR="006547A7" w:rsidRPr="006547A7" w:rsidRDefault="006547A7" w:rsidP="006547A7">
            <w:pPr>
              <w:rPr>
                <w:rFonts w:cs="Arial"/>
              </w:rPr>
            </w:pPr>
          </w:p>
        </w:tc>
        <w:tc>
          <w:tcPr>
            <w:tcW w:w="3192" w:type="dxa"/>
            <w:vMerge w:val="restart"/>
          </w:tcPr>
          <w:p w14:paraId="06BAACE0" w14:textId="406E6FFE" w:rsidR="006547A7" w:rsidRPr="006547A7" w:rsidRDefault="006547A7" w:rsidP="006547A7">
            <w:pPr>
              <w:rPr>
                <w:rFonts w:cs="Arial"/>
              </w:rPr>
            </w:pPr>
            <w:r w:rsidRPr="006547A7">
              <w:rPr>
                <w:rFonts w:cs="Arial"/>
              </w:rPr>
              <w:t>Редки*</w:t>
            </w:r>
          </w:p>
        </w:tc>
        <w:tc>
          <w:tcPr>
            <w:tcW w:w="3192" w:type="dxa"/>
          </w:tcPr>
          <w:p w14:paraId="4286CFD6" w14:textId="67CB2E20" w:rsidR="006547A7" w:rsidRPr="006547A7" w:rsidRDefault="006547A7" w:rsidP="006547A7">
            <w:pPr>
              <w:rPr>
                <w:rFonts w:cs="Arial"/>
              </w:rPr>
            </w:pPr>
            <w:r w:rsidRPr="006547A7">
              <w:rPr>
                <w:rFonts w:cs="Arial"/>
              </w:rPr>
              <w:t>Еритема</w:t>
            </w:r>
          </w:p>
        </w:tc>
      </w:tr>
      <w:tr w:rsidR="006547A7" w14:paraId="67CCDC1C" w14:textId="77777777" w:rsidTr="004E363A">
        <w:tc>
          <w:tcPr>
            <w:tcW w:w="3192" w:type="dxa"/>
            <w:vMerge/>
          </w:tcPr>
          <w:p w14:paraId="59ABA42B" w14:textId="77777777" w:rsidR="006547A7" w:rsidRPr="006547A7" w:rsidRDefault="006547A7" w:rsidP="006547A7">
            <w:pPr>
              <w:rPr>
                <w:rFonts w:cs="Arial"/>
              </w:rPr>
            </w:pPr>
          </w:p>
        </w:tc>
        <w:tc>
          <w:tcPr>
            <w:tcW w:w="3192" w:type="dxa"/>
            <w:vMerge/>
          </w:tcPr>
          <w:p w14:paraId="28C5F86A" w14:textId="77777777" w:rsidR="006547A7" w:rsidRPr="006547A7" w:rsidRDefault="006547A7" w:rsidP="006547A7">
            <w:pPr>
              <w:rPr>
                <w:rFonts w:cs="Arial"/>
              </w:rPr>
            </w:pPr>
          </w:p>
        </w:tc>
        <w:tc>
          <w:tcPr>
            <w:tcW w:w="3192" w:type="dxa"/>
          </w:tcPr>
          <w:p w14:paraId="4DD7B879" w14:textId="78B56D12" w:rsidR="006547A7" w:rsidRPr="006547A7" w:rsidRDefault="006547A7" w:rsidP="006547A7">
            <w:pPr>
              <w:rPr>
                <w:rFonts w:cs="Arial"/>
              </w:rPr>
            </w:pPr>
            <w:r w:rsidRPr="006547A7">
              <w:rPr>
                <w:rFonts w:cs="Arial"/>
              </w:rPr>
              <w:t>Пруритус</w:t>
            </w:r>
          </w:p>
        </w:tc>
      </w:tr>
      <w:tr w:rsidR="006547A7" w14:paraId="2701AE34" w14:textId="77777777" w:rsidTr="004E363A">
        <w:tc>
          <w:tcPr>
            <w:tcW w:w="3192" w:type="dxa"/>
            <w:vMerge/>
          </w:tcPr>
          <w:p w14:paraId="39251C6D" w14:textId="77777777" w:rsidR="006547A7" w:rsidRPr="006547A7" w:rsidRDefault="006547A7" w:rsidP="006547A7">
            <w:pPr>
              <w:rPr>
                <w:rFonts w:cs="Arial"/>
              </w:rPr>
            </w:pPr>
          </w:p>
        </w:tc>
        <w:tc>
          <w:tcPr>
            <w:tcW w:w="3192" w:type="dxa"/>
            <w:vMerge/>
          </w:tcPr>
          <w:p w14:paraId="5FC05DE8" w14:textId="77777777" w:rsidR="006547A7" w:rsidRPr="006547A7" w:rsidRDefault="006547A7" w:rsidP="006547A7">
            <w:pPr>
              <w:rPr>
                <w:rFonts w:cs="Arial"/>
              </w:rPr>
            </w:pPr>
          </w:p>
        </w:tc>
        <w:tc>
          <w:tcPr>
            <w:tcW w:w="3192" w:type="dxa"/>
          </w:tcPr>
          <w:p w14:paraId="71DF8517" w14:textId="63263782" w:rsidR="006547A7" w:rsidRPr="006547A7" w:rsidRDefault="006547A7" w:rsidP="006547A7">
            <w:pPr>
              <w:rPr>
                <w:rFonts w:cs="Arial"/>
              </w:rPr>
            </w:pPr>
            <w:r w:rsidRPr="006547A7">
              <w:rPr>
                <w:rFonts w:cs="Arial"/>
              </w:rPr>
              <w:t>Уртикария</w:t>
            </w:r>
          </w:p>
        </w:tc>
      </w:tr>
      <w:tr w:rsidR="006547A7" w14:paraId="755C5BAF" w14:textId="77777777" w:rsidTr="004E363A">
        <w:tc>
          <w:tcPr>
            <w:tcW w:w="3192" w:type="dxa"/>
          </w:tcPr>
          <w:p w14:paraId="0684DBA2" w14:textId="4053D2D9" w:rsidR="006547A7" w:rsidRPr="006547A7" w:rsidRDefault="006547A7" w:rsidP="006547A7">
            <w:pPr>
              <w:rPr>
                <w:rFonts w:cs="Arial"/>
              </w:rPr>
            </w:pPr>
            <w:r w:rsidRPr="006547A7">
              <w:rPr>
                <w:rFonts w:cs="Arial"/>
              </w:rPr>
              <w:t>Нарушения на мускулно-скелетната система и съединителната тъкан</w:t>
            </w:r>
          </w:p>
        </w:tc>
        <w:tc>
          <w:tcPr>
            <w:tcW w:w="3192" w:type="dxa"/>
          </w:tcPr>
          <w:p w14:paraId="31EA880E" w14:textId="6ACCAD04" w:rsidR="006547A7" w:rsidRPr="006547A7" w:rsidRDefault="006547A7" w:rsidP="006547A7">
            <w:pPr>
              <w:rPr>
                <w:rFonts w:cs="Arial"/>
              </w:rPr>
            </w:pPr>
            <w:r w:rsidRPr="006547A7">
              <w:rPr>
                <w:rFonts w:cs="Arial"/>
              </w:rPr>
              <w:t>Нечести</w:t>
            </w:r>
          </w:p>
        </w:tc>
        <w:tc>
          <w:tcPr>
            <w:tcW w:w="3192" w:type="dxa"/>
          </w:tcPr>
          <w:p w14:paraId="0D724F64" w14:textId="491658A8" w:rsidR="006547A7" w:rsidRPr="006547A7" w:rsidRDefault="006547A7" w:rsidP="006547A7">
            <w:pPr>
              <w:rPr>
                <w:rFonts w:cs="Arial"/>
              </w:rPr>
            </w:pPr>
            <w:r w:rsidRPr="006547A7">
              <w:rPr>
                <w:rFonts w:cs="Arial"/>
              </w:rPr>
              <w:t>Мускулни спазми</w:t>
            </w:r>
          </w:p>
        </w:tc>
      </w:tr>
      <w:tr w:rsidR="006547A7" w14:paraId="25DB3897" w14:textId="77777777" w:rsidTr="004E363A">
        <w:tc>
          <w:tcPr>
            <w:tcW w:w="3192" w:type="dxa"/>
          </w:tcPr>
          <w:p w14:paraId="733636CA" w14:textId="7953F593" w:rsidR="006547A7" w:rsidRPr="006547A7" w:rsidRDefault="006547A7" w:rsidP="006547A7">
            <w:pPr>
              <w:rPr>
                <w:rFonts w:cs="Arial"/>
              </w:rPr>
            </w:pPr>
            <w:r w:rsidRPr="006547A7">
              <w:rPr>
                <w:rFonts w:cs="Arial"/>
              </w:rPr>
              <w:t>Нарушения бъбреците и пикочните пътища</w:t>
            </w:r>
          </w:p>
        </w:tc>
        <w:tc>
          <w:tcPr>
            <w:tcW w:w="3192" w:type="dxa"/>
          </w:tcPr>
          <w:p w14:paraId="01E0EB15" w14:textId="250112B9" w:rsidR="006547A7" w:rsidRPr="006547A7" w:rsidRDefault="006547A7" w:rsidP="006547A7">
            <w:pPr>
              <w:rPr>
                <w:rFonts w:cs="Arial"/>
              </w:rPr>
            </w:pPr>
            <w:r w:rsidRPr="006547A7">
              <w:rPr>
                <w:rFonts w:cs="Arial"/>
              </w:rPr>
              <w:t>Нечести</w:t>
            </w:r>
          </w:p>
        </w:tc>
        <w:tc>
          <w:tcPr>
            <w:tcW w:w="3192" w:type="dxa"/>
          </w:tcPr>
          <w:p w14:paraId="2CA7364F" w14:textId="353802AC" w:rsidR="006547A7" w:rsidRPr="006547A7" w:rsidRDefault="006547A7" w:rsidP="006547A7">
            <w:pPr>
              <w:rPr>
                <w:rFonts w:cs="Arial"/>
              </w:rPr>
            </w:pPr>
            <w:r w:rsidRPr="006547A7">
              <w:rPr>
                <w:rFonts w:cs="Arial"/>
              </w:rPr>
              <w:t>Повишен креатинин в кръвта</w:t>
            </w:r>
          </w:p>
        </w:tc>
      </w:tr>
      <w:tr w:rsidR="006547A7" w14:paraId="29A6A27F" w14:textId="77777777" w:rsidTr="006547A7">
        <w:trPr>
          <w:trHeight w:val="193"/>
        </w:trPr>
        <w:tc>
          <w:tcPr>
            <w:tcW w:w="3192" w:type="dxa"/>
            <w:vMerge w:val="restart"/>
          </w:tcPr>
          <w:p w14:paraId="6616B2B3" w14:textId="40CB548E" w:rsidR="006547A7" w:rsidRPr="006547A7" w:rsidRDefault="006547A7" w:rsidP="006547A7">
            <w:pPr>
              <w:rPr>
                <w:rFonts w:cs="Arial"/>
              </w:rPr>
            </w:pPr>
            <w:r w:rsidRPr="006547A7">
              <w:rPr>
                <w:rFonts w:cs="Arial"/>
              </w:rPr>
              <w:t>Общи нарушения и ефекти на мястото на приложение</w:t>
            </w:r>
          </w:p>
        </w:tc>
        <w:tc>
          <w:tcPr>
            <w:tcW w:w="3192" w:type="dxa"/>
            <w:vMerge w:val="restart"/>
          </w:tcPr>
          <w:p w14:paraId="0FD25F90" w14:textId="53779DC8" w:rsidR="006547A7" w:rsidRPr="006547A7" w:rsidRDefault="006547A7" w:rsidP="006547A7">
            <w:pPr>
              <w:rPr>
                <w:rFonts w:cs="Arial"/>
              </w:rPr>
            </w:pPr>
            <w:r w:rsidRPr="006547A7">
              <w:rPr>
                <w:rFonts w:cs="Arial"/>
              </w:rPr>
              <w:t>Нечести*</w:t>
            </w:r>
          </w:p>
        </w:tc>
        <w:tc>
          <w:tcPr>
            <w:tcW w:w="3192" w:type="dxa"/>
          </w:tcPr>
          <w:p w14:paraId="14A8C552" w14:textId="2EECE576" w:rsidR="006547A7" w:rsidRPr="006547A7" w:rsidRDefault="006547A7" w:rsidP="006547A7">
            <w:pPr>
              <w:rPr>
                <w:rFonts w:cs="Arial"/>
              </w:rPr>
            </w:pPr>
            <w:r w:rsidRPr="006547A7">
              <w:rPr>
                <w:rFonts w:cs="Arial"/>
              </w:rPr>
              <w:t>Астения, вероятно свързана с брадикардия</w:t>
            </w:r>
          </w:p>
        </w:tc>
      </w:tr>
      <w:tr w:rsidR="006547A7" w14:paraId="6CB1D5B6" w14:textId="77777777" w:rsidTr="004E363A">
        <w:tc>
          <w:tcPr>
            <w:tcW w:w="3192" w:type="dxa"/>
            <w:vMerge/>
          </w:tcPr>
          <w:p w14:paraId="78B4B574" w14:textId="77777777" w:rsidR="006547A7" w:rsidRPr="006547A7" w:rsidRDefault="006547A7" w:rsidP="006547A7">
            <w:pPr>
              <w:rPr>
                <w:rFonts w:cs="Arial"/>
              </w:rPr>
            </w:pPr>
          </w:p>
        </w:tc>
        <w:tc>
          <w:tcPr>
            <w:tcW w:w="3192" w:type="dxa"/>
            <w:vMerge/>
          </w:tcPr>
          <w:p w14:paraId="47A222BE" w14:textId="77777777" w:rsidR="006547A7" w:rsidRPr="006547A7" w:rsidRDefault="006547A7" w:rsidP="006547A7">
            <w:pPr>
              <w:rPr>
                <w:rFonts w:cs="Arial"/>
              </w:rPr>
            </w:pPr>
          </w:p>
        </w:tc>
        <w:tc>
          <w:tcPr>
            <w:tcW w:w="3192" w:type="dxa"/>
          </w:tcPr>
          <w:p w14:paraId="321BB9C0" w14:textId="512BB79C" w:rsidR="006547A7" w:rsidRPr="006547A7" w:rsidRDefault="006547A7" w:rsidP="006547A7">
            <w:pPr>
              <w:rPr>
                <w:rFonts w:cs="Arial"/>
              </w:rPr>
            </w:pPr>
            <w:r w:rsidRPr="006547A7">
              <w:rPr>
                <w:rFonts w:cs="Arial"/>
              </w:rPr>
              <w:t>Умора, вероятно свързана с брадикардия</w:t>
            </w:r>
          </w:p>
        </w:tc>
      </w:tr>
      <w:tr w:rsidR="006547A7" w14:paraId="42218759" w14:textId="77777777" w:rsidTr="004E363A">
        <w:tc>
          <w:tcPr>
            <w:tcW w:w="3192" w:type="dxa"/>
            <w:vMerge/>
          </w:tcPr>
          <w:p w14:paraId="7D609496" w14:textId="77777777" w:rsidR="006547A7" w:rsidRPr="006547A7" w:rsidRDefault="006547A7" w:rsidP="006547A7">
            <w:pPr>
              <w:rPr>
                <w:rFonts w:cs="Arial"/>
              </w:rPr>
            </w:pPr>
          </w:p>
        </w:tc>
        <w:tc>
          <w:tcPr>
            <w:tcW w:w="3192" w:type="dxa"/>
          </w:tcPr>
          <w:p w14:paraId="7D3126DD" w14:textId="152FAA0D" w:rsidR="006547A7" w:rsidRPr="006547A7" w:rsidRDefault="006547A7" w:rsidP="006547A7">
            <w:pPr>
              <w:rPr>
                <w:rFonts w:cs="Arial"/>
              </w:rPr>
            </w:pPr>
            <w:r w:rsidRPr="006547A7">
              <w:rPr>
                <w:rFonts w:cs="Arial"/>
              </w:rPr>
              <w:t>Редки*</w:t>
            </w:r>
          </w:p>
        </w:tc>
        <w:tc>
          <w:tcPr>
            <w:tcW w:w="3192" w:type="dxa"/>
          </w:tcPr>
          <w:p w14:paraId="61ACED89" w14:textId="609B680C" w:rsidR="006547A7" w:rsidRPr="006547A7" w:rsidRDefault="006547A7" w:rsidP="006547A7">
            <w:pPr>
              <w:rPr>
                <w:rFonts w:cs="Arial"/>
              </w:rPr>
            </w:pPr>
            <w:r w:rsidRPr="006547A7">
              <w:rPr>
                <w:rFonts w:cs="Arial"/>
              </w:rPr>
              <w:t>Прималяване, вероятно свързано с брадикардия</w:t>
            </w:r>
          </w:p>
        </w:tc>
      </w:tr>
    </w:tbl>
    <w:p w14:paraId="03FC221E" w14:textId="0A79C500" w:rsidR="006547A7" w:rsidRPr="006547A7" w:rsidRDefault="006547A7" w:rsidP="006547A7">
      <w:pPr>
        <w:spacing w:line="240" w:lineRule="auto"/>
        <w:rPr>
          <w:rFonts w:eastAsia="Times New Roman" w:cs="Arial"/>
        </w:rPr>
      </w:pPr>
      <w:r w:rsidRPr="006547A7">
        <w:rPr>
          <w:rFonts w:eastAsia="Times New Roman" w:cs="Arial"/>
          <w:color w:val="000000"/>
          <w:lang w:eastAsia="bg-BG"/>
        </w:rPr>
        <w:t>*Честота на нежелани събития от спонтанни съобщения, изчислена при клинични изпитвания</w:t>
      </w:r>
    </w:p>
    <w:p w14:paraId="669A5904" w14:textId="77777777" w:rsidR="006547A7" w:rsidRPr="006547A7" w:rsidRDefault="006547A7" w:rsidP="006547A7">
      <w:pPr>
        <w:spacing w:line="240" w:lineRule="auto"/>
        <w:rPr>
          <w:rFonts w:eastAsia="Times New Roman" w:cs="Arial"/>
          <w:color w:val="000000"/>
          <w:u w:val="single"/>
          <w:lang w:eastAsia="bg-BG"/>
        </w:rPr>
      </w:pPr>
    </w:p>
    <w:p w14:paraId="7AB57D63" w14:textId="6B84F43B" w:rsidR="006547A7" w:rsidRPr="006547A7" w:rsidRDefault="006547A7" w:rsidP="006547A7">
      <w:pPr>
        <w:spacing w:line="240" w:lineRule="auto"/>
        <w:rPr>
          <w:rFonts w:eastAsia="Times New Roman" w:cs="Arial"/>
        </w:rPr>
      </w:pPr>
      <w:r w:rsidRPr="006547A7">
        <w:rPr>
          <w:rFonts w:eastAsia="Times New Roman" w:cs="Arial"/>
          <w:color w:val="000000"/>
          <w:u w:val="single"/>
          <w:lang w:eastAsia="bg-BG"/>
        </w:rPr>
        <w:t>Описание на избрани нежелани лекарствени реакции</w:t>
      </w:r>
    </w:p>
    <w:p w14:paraId="1F982A6A"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Светлинни феномени (фосфени) са съобщавани при 14,5% от пациентите, описани като преходна увеличена яркост в ограничена зона от зрителното поле. Те обикновено се отключват от внезапни промени в интензитета на светлината. Фосфените могат също да бъдат описани като ореол, разпадане на изображението (стробоскопски или калейдоскопски ефекти), цветни ярки светлини или двойно виждане (ретинална персистенция). Появата на фосфени обичайно се случва през първите два месеца от лечението, след което те могат да се проявяват многократно. В повечето случаи се съобщава за фосфени с лек до умерен интензитет. Всички фосфени преминават по време на или след лечението, като по-голямата част от тях (77,5%) отшумяват по време на лечението. По-малко от 1% от пациентите са променили ежедневните си навици или са преустановили лечението във връзка с фосфени.</w:t>
      </w:r>
    </w:p>
    <w:p w14:paraId="5CF3BD3D" w14:textId="77777777" w:rsidR="006547A7" w:rsidRPr="006547A7" w:rsidRDefault="006547A7" w:rsidP="006547A7">
      <w:pPr>
        <w:spacing w:line="240" w:lineRule="auto"/>
        <w:rPr>
          <w:rFonts w:eastAsia="Times New Roman" w:cs="Arial"/>
          <w:color w:val="000000"/>
          <w:lang w:eastAsia="bg-BG"/>
        </w:rPr>
      </w:pPr>
    </w:p>
    <w:p w14:paraId="2B9FEA45" w14:textId="4A55E9B6" w:rsidR="006547A7" w:rsidRPr="006547A7" w:rsidRDefault="006547A7" w:rsidP="006547A7">
      <w:pPr>
        <w:spacing w:line="240" w:lineRule="auto"/>
        <w:rPr>
          <w:rFonts w:eastAsia="Times New Roman" w:cs="Arial"/>
        </w:rPr>
      </w:pPr>
      <w:r w:rsidRPr="006547A7">
        <w:rPr>
          <w:rFonts w:eastAsia="Times New Roman" w:cs="Arial"/>
          <w:color w:val="000000"/>
          <w:lang w:eastAsia="bg-BG"/>
        </w:rPr>
        <w:t>Брадикардия е съобщавана при 3,3% от пациетите, особено през първите 2 до 3 месеца от лечението. 0,5% от пациентите са получили тежка брадикардия 40 или по-малко удара/минута.</w:t>
      </w:r>
    </w:p>
    <w:p w14:paraId="27197780" w14:textId="77777777" w:rsidR="006547A7" w:rsidRPr="006547A7" w:rsidRDefault="006547A7" w:rsidP="006547A7">
      <w:pPr>
        <w:spacing w:line="240" w:lineRule="auto"/>
        <w:rPr>
          <w:rFonts w:eastAsia="Times New Roman" w:cs="Arial"/>
          <w:color w:val="000000"/>
          <w:lang w:eastAsia="bg-BG"/>
        </w:rPr>
      </w:pPr>
    </w:p>
    <w:p w14:paraId="7E0006B5" w14:textId="77777777" w:rsidR="006547A7" w:rsidRPr="006547A7" w:rsidRDefault="006547A7" w:rsidP="006547A7">
      <w:pPr>
        <w:spacing w:line="240" w:lineRule="auto"/>
        <w:rPr>
          <w:rFonts w:eastAsia="Times New Roman" w:cs="Arial"/>
          <w:color w:val="000000"/>
          <w:lang w:eastAsia="bg-BG"/>
        </w:rPr>
      </w:pPr>
      <w:r w:rsidRPr="006547A7">
        <w:rPr>
          <w:rFonts w:eastAsia="Times New Roman" w:cs="Arial"/>
          <w:color w:val="000000"/>
          <w:lang w:eastAsia="bg-BG"/>
        </w:rPr>
        <w:t xml:space="preserve">В проучването </w:t>
      </w:r>
      <w:r w:rsidRPr="006547A7">
        <w:rPr>
          <w:rFonts w:eastAsia="Times New Roman" w:cs="Arial"/>
          <w:color w:val="000000"/>
          <w:lang w:val="en-US"/>
        </w:rPr>
        <w:t>SIGNIFY</w:t>
      </w:r>
      <w:r w:rsidRPr="006547A7">
        <w:rPr>
          <w:rFonts w:eastAsia="Times New Roman" w:cs="Arial"/>
          <w:color w:val="000000"/>
          <w:lang w:val="ru-RU"/>
        </w:rPr>
        <w:t xml:space="preserve"> </w:t>
      </w:r>
      <w:r w:rsidRPr="006547A7">
        <w:rPr>
          <w:rFonts w:eastAsia="Times New Roman" w:cs="Arial"/>
          <w:color w:val="000000"/>
          <w:lang w:eastAsia="bg-BG"/>
        </w:rPr>
        <w:t xml:space="preserve">предсърдно мъждене е наблюдавано при 5,3% от пациентите, които приемат ивабрадин, в сравнение с 3,8% </w:t>
      </w:r>
      <w:r w:rsidRPr="006547A7">
        <w:rPr>
          <w:rFonts w:eastAsia="Times New Roman" w:cs="Arial"/>
          <w:i/>
          <w:iCs/>
          <w:color w:val="000000"/>
          <w:lang w:eastAsia="bg-BG"/>
        </w:rPr>
        <w:t>в групата на плацебо.</w:t>
      </w:r>
      <w:r w:rsidRPr="006547A7">
        <w:rPr>
          <w:rFonts w:eastAsia="Times New Roman" w:cs="Arial"/>
          <w:color w:val="000000"/>
          <w:lang w:eastAsia="bg-BG"/>
        </w:rPr>
        <w:t xml:space="preserve"> В сборни анализи на всички двойнослепи контролирани клинични изпитвания Фаза </w:t>
      </w:r>
      <w:r w:rsidRPr="006547A7">
        <w:rPr>
          <w:rFonts w:eastAsia="Times New Roman" w:cs="Arial"/>
          <w:color w:val="000000"/>
          <w:lang w:val="en-US"/>
        </w:rPr>
        <w:t>II</w:t>
      </w:r>
      <w:r w:rsidRPr="006547A7">
        <w:rPr>
          <w:rFonts w:eastAsia="Times New Roman" w:cs="Arial"/>
          <w:color w:val="000000"/>
          <w:lang w:eastAsia="bg-BG"/>
        </w:rPr>
        <w:t>/</w:t>
      </w:r>
      <w:r w:rsidRPr="006547A7">
        <w:rPr>
          <w:rFonts w:eastAsia="Times New Roman" w:cs="Arial"/>
          <w:color w:val="000000"/>
          <w:lang w:val="en-US"/>
        </w:rPr>
        <w:t>III</w:t>
      </w:r>
      <w:r w:rsidRPr="006547A7">
        <w:rPr>
          <w:rFonts w:eastAsia="Times New Roman" w:cs="Arial"/>
          <w:color w:val="000000"/>
          <w:lang w:eastAsia="bg-BG"/>
        </w:rPr>
        <w:t xml:space="preserve"> с продължителност </w:t>
      </w:r>
      <w:r w:rsidRPr="006547A7">
        <w:rPr>
          <w:rFonts w:eastAsia="Times New Roman" w:cs="Arial"/>
          <w:color w:val="000000"/>
          <w:lang w:eastAsia="bg-BG"/>
        </w:rPr>
        <w:lastRenderedPageBreak/>
        <w:t xml:space="preserve">поне 3 месеца, обхващащи повече от 40 000 пациента, честотата на предсърдно мъждене е била 4,86% при пациентите, лекувани с ивабрадин, в </w:t>
      </w:r>
    </w:p>
    <w:p w14:paraId="30EB10AA" w14:textId="170A3781" w:rsidR="006547A7" w:rsidRPr="006547A7" w:rsidRDefault="006547A7" w:rsidP="006547A7">
      <w:pPr>
        <w:spacing w:line="240" w:lineRule="auto"/>
        <w:rPr>
          <w:rFonts w:eastAsia="Times New Roman" w:cs="Arial"/>
        </w:rPr>
      </w:pPr>
      <w:r w:rsidRPr="006547A7">
        <w:rPr>
          <w:rFonts w:eastAsia="Times New Roman" w:cs="Arial"/>
          <w:color w:val="000000"/>
          <w:lang w:eastAsia="bg-BG"/>
        </w:rPr>
        <w:t xml:space="preserve">сравнение с 4,08% при контролите, което съответства на коефициент на риска от 1,26, 95% </w:t>
      </w:r>
      <w:r w:rsidRPr="006547A7">
        <w:rPr>
          <w:rFonts w:eastAsia="Times New Roman" w:cs="Arial"/>
          <w:color w:val="000000"/>
          <w:lang w:val="en-US"/>
        </w:rPr>
        <w:t>CI</w:t>
      </w:r>
      <w:r w:rsidRPr="006547A7">
        <w:rPr>
          <w:rFonts w:eastAsia="Times New Roman" w:cs="Arial"/>
          <w:color w:val="000000"/>
          <w:lang w:val="ru-RU"/>
        </w:rPr>
        <w:t xml:space="preserve"> </w:t>
      </w:r>
      <w:r w:rsidRPr="006547A7">
        <w:rPr>
          <w:rFonts w:eastAsia="Times New Roman" w:cs="Arial"/>
          <w:color w:val="000000"/>
          <w:lang w:eastAsia="bg-BG"/>
        </w:rPr>
        <w:t>[1,15-1,39].</w:t>
      </w:r>
    </w:p>
    <w:p w14:paraId="59980456" w14:textId="77777777" w:rsidR="006547A7" w:rsidRPr="006547A7" w:rsidRDefault="006547A7" w:rsidP="006547A7">
      <w:pPr>
        <w:rPr>
          <w:rFonts w:eastAsia="Times New Roman" w:cs="Arial"/>
          <w:color w:val="000000"/>
          <w:lang w:eastAsia="bg-BG"/>
        </w:rPr>
      </w:pPr>
    </w:p>
    <w:p w14:paraId="4C473023" w14:textId="37EB3D4C" w:rsidR="006547A7" w:rsidRPr="006547A7" w:rsidRDefault="006547A7" w:rsidP="006547A7">
      <w:pPr>
        <w:rPr>
          <w:rFonts w:eastAsia="Times New Roman" w:cs="Arial"/>
          <w:color w:val="000000"/>
          <w:lang w:eastAsia="bg-BG"/>
        </w:rPr>
      </w:pPr>
      <w:r w:rsidRPr="006547A7">
        <w:rPr>
          <w:rFonts w:eastAsia="Times New Roman" w:cs="Arial"/>
          <w:color w:val="000000"/>
          <w:lang w:eastAsia="bg-BG"/>
        </w:rPr>
        <w:t xml:space="preserve">В проучването </w:t>
      </w:r>
      <w:r w:rsidRPr="006547A7">
        <w:rPr>
          <w:rFonts w:eastAsia="Times New Roman" w:cs="Arial"/>
          <w:color w:val="000000"/>
          <w:lang w:val="en-US"/>
        </w:rPr>
        <w:t>SHIFT</w:t>
      </w:r>
      <w:r w:rsidRPr="006547A7">
        <w:rPr>
          <w:rFonts w:eastAsia="Times New Roman" w:cs="Arial"/>
          <w:color w:val="000000"/>
          <w:lang w:val="ru-RU"/>
        </w:rPr>
        <w:t xml:space="preserve"> </w:t>
      </w:r>
      <w:r w:rsidRPr="006547A7">
        <w:rPr>
          <w:rFonts w:eastAsia="Times New Roman" w:cs="Arial"/>
          <w:color w:val="000000"/>
          <w:lang w:eastAsia="bg-BG"/>
        </w:rPr>
        <w:t>повече пациенти са имали епизоди на повишено кръвно налягане по време на лечение с ивабрадин (7,1%) в сравнение с пациентите, лекувани с плацебо (6,1%). Тези епизоди се появяват най-често скоро след промяна на лечението на кръвното налягане, преходни са и не повлияват лечебния ефект на ивабрадин.</w:t>
      </w:r>
    </w:p>
    <w:p w14:paraId="569B4F38" w14:textId="1F3B038B" w:rsidR="006547A7" w:rsidRPr="006547A7" w:rsidRDefault="006547A7" w:rsidP="006547A7">
      <w:pPr>
        <w:rPr>
          <w:rFonts w:eastAsia="Times New Roman" w:cs="Arial"/>
          <w:color w:val="000000"/>
          <w:lang w:eastAsia="bg-BG"/>
        </w:rPr>
      </w:pPr>
    </w:p>
    <w:p w14:paraId="046775A4" w14:textId="77777777" w:rsidR="006547A7" w:rsidRPr="006547A7" w:rsidRDefault="006547A7" w:rsidP="006547A7">
      <w:pPr>
        <w:spacing w:line="240" w:lineRule="auto"/>
        <w:rPr>
          <w:rFonts w:eastAsia="Times New Roman" w:cs="Arial"/>
        </w:rPr>
      </w:pPr>
      <w:r w:rsidRPr="006547A7">
        <w:rPr>
          <w:rFonts w:eastAsia="Times New Roman" w:cs="Arial"/>
          <w:color w:val="000000"/>
          <w:u w:val="single"/>
          <w:lang w:eastAsia="bg-BG"/>
        </w:rPr>
        <w:t>Съобщаване на подозирани нежелани реакции</w:t>
      </w:r>
    </w:p>
    <w:p w14:paraId="1018C7E8"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1B9D305"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Изпълнителна агенция по лекарствата</w:t>
      </w:r>
    </w:p>
    <w:p w14:paraId="70E12215"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ул.,Дамян Груев” № 8</w:t>
      </w:r>
    </w:p>
    <w:p w14:paraId="07E57379"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1303 София</w:t>
      </w:r>
    </w:p>
    <w:p w14:paraId="088B958B"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Тел.:+359 2 890 3417</w:t>
      </w:r>
    </w:p>
    <w:p w14:paraId="6DF4ABE4"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 xml:space="preserve">уебсайт: </w:t>
      </w:r>
      <w:r w:rsidRPr="006547A7">
        <w:rPr>
          <w:rFonts w:eastAsia="Times New Roman" w:cs="Arial"/>
        </w:rPr>
        <w:fldChar w:fldCharType="begin"/>
      </w:r>
      <w:r w:rsidRPr="006547A7">
        <w:rPr>
          <w:rFonts w:eastAsia="Times New Roman" w:cs="Arial"/>
        </w:rPr>
        <w:instrText xml:space="preserve"> HYPERLINK "http://www.bda.bg" </w:instrText>
      </w:r>
      <w:r w:rsidRPr="006547A7">
        <w:rPr>
          <w:rFonts w:eastAsia="Times New Roman" w:cs="Arial"/>
        </w:rPr>
      </w:r>
      <w:r w:rsidRPr="006547A7">
        <w:rPr>
          <w:rFonts w:eastAsia="Times New Roman" w:cs="Arial"/>
        </w:rPr>
        <w:fldChar w:fldCharType="separate"/>
      </w:r>
      <w:r w:rsidRPr="006547A7">
        <w:rPr>
          <w:rFonts w:eastAsia="Times New Roman" w:cs="Arial"/>
          <w:color w:val="000000"/>
          <w:u w:val="single"/>
          <w:lang w:val="en-US"/>
        </w:rPr>
        <w:t>www</w:t>
      </w:r>
      <w:r w:rsidRPr="006547A7">
        <w:rPr>
          <w:rFonts w:eastAsia="Times New Roman" w:cs="Arial"/>
          <w:color w:val="000000"/>
          <w:u w:val="single"/>
          <w:lang w:val="ru-RU"/>
        </w:rPr>
        <w:t>.</w:t>
      </w:r>
      <w:proofErr w:type="spellStart"/>
      <w:r w:rsidRPr="006547A7">
        <w:rPr>
          <w:rFonts w:eastAsia="Times New Roman" w:cs="Arial"/>
          <w:color w:val="000000"/>
          <w:u w:val="single"/>
          <w:lang w:val="en-US"/>
        </w:rPr>
        <w:t>bda</w:t>
      </w:r>
      <w:proofErr w:type="spellEnd"/>
      <w:r w:rsidRPr="006547A7">
        <w:rPr>
          <w:rFonts w:eastAsia="Times New Roman" w:cs="Arial"/>
          <w:color w:val="000000"/>
          <w:u w:val="single"/>
          <w:lang w:val="ru-RU"/>
        </w:rPr>
        <w:t>.</w:t>
      </w:r>
      <w:proofErr w:type="spellStart"/>
      <w:r w:rsidRPr="006547A7">
        <w:rPr>
          <w:rFonts w:eastAsia="Times New Roman" w:cs="Arial"/>
          <w:color w:val="000000"/>
          <w:u w:val="single"/>
          <w:lang w:val="en-US"/>
        </w:rPr>
        <w:t>bg</w:t>
      </w:r>
      <w:proofErr w:type="spellEnd"/>
      <w:r w:rsidRPr="006547A7">
        <w:rPr>
          <w:rFonts w:eastAsia="Times New Roman" w:cs="Arial"/>
        </w:rPr>
        <w:fldChar w:fldCharType="end"/>
      </w:r>
    </w:p>
    <w:p w14:paraId="3603AA10" w14:textId="77777777" w:rsidR="006547A7" w:rsidRPr="004E363A" w:rsidRDefault="006547A7" w:rsidP="006547A7"/>
    <w:p w14:paraId="5A87DBA3" w14:textId="11D5283F" w:rsidR="007122AD" w:rsidRDefault="002C50EE" w:rsidP="00936AD0">
      <w:pPr>
        <w:pStyle w:val="Heading2"/>
      </w:pPr>
      <w:r>
        <w:t>4.9. Предозиране</w:t>
      </w:r>
    </w:p>
    <w:p w14:paraId="3975AA44" w14:textId="7211C113" w:rsidR="006547A7" w:rsidRDefault="006547A7" w:rsidP="006547A7"/>
    <w:p w14:paraId="4DCDAB64" w14:textId="77777777" w:rsidR="006547A7" w:rsidRPr="006547A7" w:rsidRDefault="006547A7" w:rsidP="006547A7">
      <w:pPr>
        <w:pStyle w:val="Heading3"/>
        <w:rPr>
          <w:rFonts w:eastAsia="Times New Roman"/>
          <w:sz w:val="28"/>
          <w:u w:val="single"/>
        </w:rPr>
      </w:pPr>
      <w:r w:rsidRPr="006547A7">
        <w:rPr>
          <w:rFonts w:eastAsia="Times New Roman"/>
          <w:u w:val="single"/>
          <w:lang w:eastAsia="bg-BG"/>
        </w:rPr>
        <w:t>Симптоми</w:t>
      </w:r>
    </w:p>
    <w:p w14:paraId="6634EA86"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Предозирането може да причини тежка и продължителна брадикардия (вижте точка 4.8).</w:t>
      </w:r>
    </w:p>
    <w:p w14:paraId="75DD4D67" w14:textId="77777777" w:rsidR="006547A7" w:rsidRPr="006547A7" w:rsidRDefault="006547A7" w:rsidP="006547A7">
      <w:pPr>
        <w:spacing w:line="240" w:lineRule="auto"/>
        <w:rPr>
          <w:rFonts w:eastAsia="Times New Roman" w:cs="Arial"/>
          <w:color w:val="000000"/>
          <w:szCs w:val="20"/>
          <w:u w:val="single"/>
          <w:lang w:eastAsia="bg-BG"/>
        </w:rPr>
      </w:pPr>
    </w:p>
    <w:p w14:paraId="171616A9" w14:textId="76DC20A5" w:rsidR="006547A7" w:rsidRPr="006547A7" w:rsidRDefault="006547A7" w:rsidP="006547A7">
      <w:pPr>
        <w:pStyle w:val="Heading3"/>
        <w:rPr>
          <w:rFonts w:eastAsia="Times New Roman"/>
          <w:sz w:val="28"/>
          <w:u w:val="single"/>
        </w:rPr>
      </w:pPr>
      <w:r w:rsidRPr="006547A7">
        <w:rPr>
          <w:rFonts w:eastAsia="Times New Roman"/>
          <w:u w:val="single"/>
          <w:lang w:eastAsia="bg-BG"/>
        </w:rPr>
        <w:t>Овладяване на симптомите</w:t>
      </w:r>
    </w:p>
    <w:p w14:paraId="45700E29"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Тежката брадикардия трябва да бъде лекувана симптоматично в специализирани условия. В случай на брадикардия с лоша хемодинамична поносимост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2E28F5F5" w14:textId="77777777" w:rsidR="006547A7" w:rsidRPr="006547A7" w:rsidRDefault="006547A7" w:rsidP="006547A7"/>
    <w:p w14:paraId="02081B24" w14:textId="1F46E296" w:rsidR="00395555" w:rsidRPr="00395555" w:rsidRDefault="002C50EE" w:rsidP="008A6AF2">
      <w:pPr>
        <w:pStyle w:val="Heading1"/>
      </w:pPr>
      <w:r>
        <w:t>5. ФАРМАКОЛОГИЧНИ СВОЙСТВА</w:t>
      </w:r>
    </w:p>
    <w:p w14:paraId="7DE36AC8" w14:textId="29A64EBD" w:rsidR="00B6672E" w:rsidRDefault="002C50EE" w:rsidP="00936AD0">
      <w:pPr>
        <w:pStyle w:val="Heading2"/>
      </w:pPr>
      <w:r>
        <w:t>5.1. Фармакодинамични свойства</w:t>
      </w:r>
    </w:p>
    <w:p w14:paraId="6C2765E0" w14:textId="3E7C2B93" w:rsidR="006547A7" w:rsidRDefault="006547A7" w:rsidP="006547A7"/>
    <w:p w14:paraId="0D31421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Фармакотерапевтична група: Лечение на сърдечни заболявалия, други сърдечни препарати, АТС код:С01ЕВ17.</w:t>
      </w:r>
    </w:p>
    <w:p w14:paraId="6814B78D" w14:textId="77777777" w:rsidR="006547A7" w:rsidRPr="006547A7" w:rsidRDefault="006547A7" w:rsidP="006547A7">
      <w:pPr>
        <w:spacing w:line="240" w:lineRule="auto"/>
        <w:rPr>
          <w:rFonts w:eastAsia="Times New Roman" w:cs="Arial"/>
          <w:color w:val="000000"/>
          <w:szCs w:val="20"/>
          <w:u w:val="single"/>
          <w:lang w:eastAsia="bg-BG"/>
        </w:rPr>
      </w:pPr>
    </w:p>
    <w:p w14:paraId="35C14AFE" w14:textId="26500D23"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Механизъм на действие</w:t>
      </w:r>
    </w:p>
    <w:p w14:paraId="3CA08124" w14:textId="7DD29321" w:rsidR="006547A7" w:rsidRPr="006547A7" w:rsidRDefault="006547A7" w:rsidP="006547A7">
      <w:pPr>
        <w:rPr>
          <w:rFonts w:eastAsia="Times New Roman" w:cs="Arial"/>
          <w:color w:val="000000"/>
          <w:szCs w:val="20"/>
          <w:lang w:eastAsia="bg-BG"/>
        </w:rPr>
      </w:pPr>
      <w:r w:rsidRPr="006547A7">
        <w:rPr>
          <w:rFonts w:eastAsia="Times New Roman" w:cs="Arial"/>
          <w:color w:val="000000"/>
          <w:szCs w:val="20"/>
          <w:lang w:eastAsia="bg-BG"/>
        </w:rPr>
        <w:t xml:space="preserve">Ивабрадин е средство единствено за понижаване на сърдечната честота, което действа чрез селективно и специфично инхибиране на електрическия </w:t>
      </w:r>
      <w:r w:rsidRPr="006547A7">
        <w:rPr>
          <w:rFonts w:eastAsia="Times New Roman" w:cs="Arial"/>
          <w:color w:val="000000"/>
          <w:szCs w:val="20"/>
          <w:lang w:val="en-US"/>
        </w:rPr>
        <w:t>I</w:t>
      </w:r>
      <w:r w:rsidRPr="006547A7">
        <w:rPr>
          <w:rFonts w:eastAsia="Times New Roman" w:cs="Arial"/>
          <w:color w:val="000000"/>
          <w:szCs w:val="20"/>
          <w:vertAlign w:val="subscript"/>
          <w:lang w:val="en-US"/>
        </w:rPr>
        <w:t>f</w:t>
      </w:r>
      <w:r w:rsidRPr="006547A7">
        <w:rPr>
          <w:rFonts w:eastAsia="Times New Roman" w:cs="Arial"/>
          <w:color w:val="000000"/>
          <w:szCs w:val="20"/>
          <w:lang w:val="ru-RU"/>
        </w:rPr>
        <w:t xml:space="preserve"> </w:t>
      </w:r>
      <w:r w:rsidRPr="006547A7">
        <w:rPr>
          <w:rFonts w:eastAsia="Times New Roman" w:cs="Arial"/>
          <w:color w:val="000000"/>
          <w:szCs w:val="20"/>
          <w:lang w:eastAsia="bg-BG"/>
        </w:rPr>
        <w:t>поток на сърдечния пейсмейкър,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ефекти върху интраартериалното, атриовентрикуларното или интравентрикуларното проводно време нито върху миокардния контрактилитет или камерната реполяризация.</w:t>
      </w:r>
    </w:p>
    <w:p w14:paraId="1263634F" w14:textId="09E58D2B" w:rsidR="006547A7" w:rsidRPr="006547A7" w:rsidRDefault="006547A7" w:rsidP="006547A7">
      <w:pPr>
        <w:rPr>
          <w:rFonts w:eastAsia="Times New Roman" w:cs="Arial"/>
          <w:color w:val="000000"/>
          <w:szCs w:val="20"/>
          <w:lang w:eastAsia="bg-BG"/>
        </w:rPr>
      </w:pPr>
    </w:p>
    <w:p w14:paraId="703FECB2"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може също да взаимодейства с електрическия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eastAsia="bg-BG"/>
        </w:rPr>
        <w:t xml:space="preserve"> поток в ретината, който е много сходен със сърдечния </w:t>
      </w:r>
      <w:r w:rsidRPr="006547A7">
        <w:rPr>
          <w:rFonts w:eastAsia="Times New Roman" w:cs="Arial"/>
          <w:color w:val="000000"/>
          <w:szCs w:val="20"/>
          <w:lang w:val="en-US"/>
        </w:rPr>
        <w:t>I</w:t>
      </w:r>
      <w:r w:rsidRPr="006547A7">
        <w:rPr>
          <w:rFonts w:eastAsia="Times New Roman" w:cs="Arial"/>
          <w:color w:val="000000"/>
          <w:szCs w:val="20"/>
          <w:vertAlign w:val="subscript"/>
          <w:lang w:val="en-US"/>
        </w:rPr>
        <w:t>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Той участва в темпоралната резолюция на зрителната система чрез скъсяване на ретиналния отговор към ярки светлинни стимули. При провокиращи обстоятелства (например бърза промяна в яркостта) частичната експозиция на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eastAsia="bg-BG"/>
        </w:rPr>
        <w:t xml:space="preserve"> от ивабрадин засилва светлинните феномени, които понякога могат да бъдат изпитани от пациентите. Светлинните феномени (фосфени) се описват като преходно увеличаване на яркостта в ограничени зони на зрителното поле (вижте точка 4.8).</w:t>
      </w:r>
    </w:p>
    <w:p w14:paraId="77BCB4C2" w14:textId="77777777" w:rsidR="006547A7" w:rsidRPr="006547A7" w:rsidRDefault="006547A7" w:rsidP="006547A7">
      <w:pPr>
        <w:spacing w:line="240" w:lineRule="auto"/>
        <w:rPr>
          <w:rFonts w:eastAsia="Times New Roman" w:cs="Arial"/>
          <w:color w:val="000000"/>
          <w:szCs w:val="20"/>
          <w:u w:val="single"/>
          <w:lang w:eastAsia="bg-BG"/>
        </w:rPr>
      </w:pPr>
    </w:p>
    <w:p w14:paraId="5F686B56" w14:textId="0257A76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Фармакодинамични ефекти</w:t>
      </w:r>
    </w:p>
    <w:p w14:paraId="43EABA0D"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Основното фармакодинамично свойство на ивабрадин при хора е специфичното дозозависимо понижение на сърдечната честота. Анализът на пониженията на сърдечната честота при дози до 20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показва тенденция към плато-ефект, който съответства на понижен риск от тежка брадикардия под 40 уд./ мин. (вижте точка 4.8).</w:t>
      </w:r>
    </w:p>
    <w:p w14:paraId="743581F2" w14:textId="77777777" w:rsidR="006547A7" w:rsidRPr="006547A7" w:rsidRDefault="006547A7" w:rsidP="006547A7">
      <w:pPr>
        <w:spacing w:line="240" w:lineRule="auto"/>
        <w:rPr>
          <w:rFonts w:eastAsia="Times New Roman" w:cs="Arial"/>
          <w:color w:val="000000"/>
          <w:szCs w:val="20"/>
          <w:lang w:eastAsia="bg-BG"/>
        </w:rPr>
      </w:pPr>
      <w:r w:rsidRPr="006547A7">
        <w:rPr>
          <w:rFonts w:eastAsia="Times New Roman" w:cs="Arial"/>
          <w:color w:val="000000"/>
          <w:szCs w:val="20"/>
          <w:lang w:eastAsia="bg-BG"/>
        </w:rPr>
        <w:t>При обичайните препоръчителни дози понижението на сърдечната честота е с приблизително 10 уд./ мин. в покой и при физическо натоварване. Това води до понижение на сърдечното натоварване и консумация на кислород от миокарда. Ивабрадин не повлиява вътресърдечната проводимост, контрактилитета (няма негативен инотропен ефект) или камерната реполяризация:</w:t>
      </w:r>
    </w:p>
    <w:p w14:paraId="61D0AF60" w14:textId="77777777" w:rsidR="006547A7" w:rsidRPr="006547A7" w:rsidRDefault="006547A7" w:rsidP="006547A7">
      <w:pPr>
        <w:pStyle w:val="ListParagraph"/>
        <w:numPr>
          <w:ilvl w:val="0"/>
          <w:numId w:val="40"/>
        </w:numPr>
        <w:spacing w:line="240" w:lineRule="auto"/>
        <w:rPr>
          <w:rFonts w:eastAsia="Times New Roman" w:cs="Arial"/>
          <w:sz w:val="28"/>
          <w:szCs w:val="24"/>
        </w:rPr>
      </w:pPr>
      <w:r w:rsidRPr="006547A7">
        <w:rPr>
          <w:rFonts w:eastAsia="Times New Roman" w:cs="Arial"/>
          <w:color w:val="000000"/>
          <w:szCs w:val="20"/>
          <w:lang w:eastAsia="bg-BG"/>
        </w:rPr>
        <w:t xml:space="preserve">при клинични електрофизиологични проучвания ивабрадин не оказва влияние върху атриовентрикуларното или интравентрикуларното проводно време или коригираните </w:t>
      </w:r>
      <w:r w:rsidRPr="006547A7">
        <w:rPr>
          <w:rFonts w:eastAsia="Times New Roman" w:cs="Arial"/>
          <w:color w:val="000000"/>
          <w:szCs w:val="20"/>
          <w:lang w:val="en-US"/>
        </w:rPr>
        <w:t>QT</w:t>
      </w:r>
      <w:r w:rsidRPr="006547A7">
        <w:rPr>
          <w:rFonts w:eastAsia="Times New Roman" w:cs="Arial"/>
          <w:color w:val="000000"/>
          <w:szCs w:val="20"/>
          <w:lang w:val="ru-RU"/>
        </w:rPr>
        <w:t xml:space="preserve"> </w:t>
      </w:r>
      <w:r w:rsidRPr="006547A7">
        <w:rPr>
          <w:rFonts w:eastAsia="Times New Roman" w:cs="Arial"/>
          <w:color w:val="000000"/>
          <w:szCs w:val="20"/>
          <w:lang w:eastAsia="bg-BG"/>
        </w:rPr>
        <w:t>интервали;</w:t>
      </w:r>
    </w:p>
    <w:p w14:paraId="08F50EA2" w14:textId="7D19CCBF" w:rsidR="006547A7" w:rsidRPr="006547A7" w:rsidRDefault="006547A7" w:rsidP="006547A7">
      <w:pPr>
        <w:pStyle w:val="ListParagraph"/>
        <w:numPr>
          <w:ilvl w:val="0"/>
          <w:numId w:val="40"/>
        </w:numPr>
        <w:spacing w:line="240" w:lineRule="auto"/>
        <w:rPr>
          <w:rFonts w:eastAsia="Times New Roman" w:cs="Arial"/>
          <w:sz w:val="28"/>
          <w:szCs w:val="24"/>
        </w:rPr>
      </w:pPr>
      <w:r w:rsidRPr="006547A7">
        <w:rPr>
          <w:rFonts w:eastAsia="Times New Roman" w:cs="Arial"/>
          <w:color w:val="000000"/>
          <w:szCs w:val="20"/>
          <w:lang w:eastAsia="bg-BG"/>
        </w:rPr>
        <w:t xml:space="preserve">при пациенти с левокармерна дисфункция (левокамерна изтлаксваща фракция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между 30 и 45%) ивабрадин няма неблагоприятен ефект върху </w:t>
      </w:r>
      <w:r w:rsidRPr="006547A7">
        <w:rPr>
          <w:rFonts w:eastAsia="Times New Roman" w:cs="Arial"/>
          <w:color w:val="000000"/>
          <w:szCs w:val="20"/>
          <w:lang w:val="en-US"/>
        </w:rPr>
        <w:t>LVEF</w:t>
      </w:r>
      <w:r w:rsidRPr="006547A7">
        <w:rPr>
          <w:rFonts w:eastAsia="Times New Roman" w:cs="Arial"/>
          <w:color w:val="000000"/>
          <w:szCs w:val="20"/>
          <w:lang w:val="ru-RU"/>
        </w:rPr>
        <w:t>.</w:t>
      </w:r>
    </w:p>
    <w:p w14:paraId="59B867FC" w14:textId="77777777" w:rsidR="006547A7" w:rsidRPr="006547A7" w:rsidRDefault="006547A7" w:rsidP="006547A7">
      <w:pPr>
        <w:spacing w:line="240" w:lineRule="auto"/>
        <w:rPr>
          <w:rFonts w:eastAsia="Times New Roman" w:cs="Arial"/>
          <w:color w:val="000000"/>
          <w:szCs w:val="20"/>
          <w:u w:val="single"/>
          <w:lang w:eastAsia="bg-BG"/>
        </w:rPr>
      </w:pPr>
    </w:p>
    <w:p w14:paraId="3C3F011E" w14:textId="1D6F811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Клинична ефикасност и безопасност</w:t>
      </w:r>
    </w:p>
    <w:p w14:paraId="581AB27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Антиангинозната и антиисхемичната активност на ивабрадин са проучени при пет двойнослепи рандомизирани изпитвания (три спрямо плацебо и по едно спрямо атенолол и амлодипин). Тези изпитвания обхващат общо 4 111 пациента с хронична стабилна стенокардия, от които 2 617 са получавали ивабрадин.</w:t>
      </w:r>
    </w:p>
    <w:p w14:paraId="6EA36F81" w14:textId="77777777" w:rsidR="006547A7" w:rsidRPr="006547A7" w:rsidRDefault="006547A7" w:rsidP="006547A7">
      <w:pPr>
        <w:spacing w:line="240" w:lineRule="auto"/>
        <w:rPr>
          <w:rFonts w:eastAsia="Times New Roman" w:cs="Arial"/>
          <w:color w:val="000000"/>
          <w:szCs w:val="20"/>
          <w:lang w:eastAsia="bg-BG"/>
        </w:rPr>
      </w:pPr>
    </w:p>
    <w:p w14:paraId="1BD53880"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 xml:space="preserve">Ивабрадин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показал ефективност при изпитваните параметри за натоварване в рамките на 3 до 4 седмици от лечението. Ефикасността е потвърдена при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По-специално, допълнителната полза спрямо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установена в сравнително контролирано проучване спрямо атенолол: общата продължителност на физическото натоварване е била увеличена около 1 минута след един месец лечение с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допълнително подобрена с приблизително 25 секунди след допълнителен 3-месечен период на лечение след директно преминаване на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В това проучване антиангинозните и антиисхемичните ползи от ивабрадин са потвърдени при пациенти на 65 години или повече. Ефикасността на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върху параметрите на</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теста за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6547A7">
        <w:rPr>
          <w:rFonts w:eastAsia="Times New Roman" w:cs="Arial"/>
          <w:color w:val="000000"/>
          <w:szCs w:val="20"/>
          <w:lang w:val="en-US"/>
        </w:rPr>
        <w:t>ST</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депресия от 1 </w:t>
      </w:r>
      <w:r w:rsidRPr="006547A7">
        <w:rPr>
          <w:rFonts w:eastAsia="Times New Roman" w:cs="Arial"/>
          <w:color w:val="000000"/>
          <w:szCs w:val="20"/>
          <w:lang w:val="en-US"/>
        </w:rPr>
        <w:t>mm</w:t>
      </w:r>
      <w:r w:rsidRPr="006547A7">
        <w:rPr>
          <w:rFonts w:eastAsia="Times New Roman" w:cs="Arial"/>
          <w:color w:val="000000"/>
          <w:szCs w:val="20"/>
          <w:lang w:val="ru-RU"/>
        </w:rPr>
        <w:t xml:space="preserve">) </w:t>
      </w:r>
      <w:r w:rsidRPr="006547A7">
        <w:rPr>
          <w:rFonts w:eastAsia="Times New Roman" w:cs="Arial"/>
          <w:color w:val="000000"/>
          <w:szCs w:val="20"/>
          <w:lang w:eastAsia="bg-BG"/>
        </w:rPr>
        <w:t>е постоянна във всички проучвания и е свързана с понижение на ангинозните пристъпи с около 70%. При двукратен дневен прием ивабрадин има постоянна 24-часова активност.</w:t>
      </w:r>
    </w:p>
    <w:p w14:paraId="0EDDF51B" w14:textId="77777777" w:rsidR="006547A7" w:rsidRPr="006547A7" w:rsidRDefault="006547A7" w:rsidP="006547A7">
      <w:pPr>
        <w:spacing w:line="240" w:lineRule="auto"/>
        <w:rPr>
          <w:rFonts w:eastAsia="Times New Roman" w:cs="Arial"/>
          <w:color w:val="000000"/>
          <w:szCs w:val="20"/>
          <w:lang w:eastAsia="bg-BG"/>
        </w:rPr>
      </w:pPr>
    </w:p>
    <w:p w14:paraId="5DE553C0" w14:textId="2EB27276"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889 пациента, ивабрадин, добавен към 50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атенолол веднъж дневно е показал допълнителна </w:t>
      </w:r>
      <w:r w:rsidRPr="006547A7">
        <w:rPr>
          <w:rFonts w:eastAsia="Times New Roman" w:cs="Arial"/>
          <w:color w:val="000000"/>
          <w:szCs w:val="20"/>
          <w:lang w:eastAsia="bg-BG"/>
        </w:rPr>
        <w:lastRenderedPageBreak/>
        <w:t>ефикасност при всички параметри на стрес-теста в края на дозовия интервал на лекарствената активност (12 часа след перорален прием).</w:t>
      </w:r>
    </w:p>
    <w:p w14:paraId="451FFA7D" w14:textId="77777777" w:rsidR="006547A7" w:rsidRPr="006547A7" w:rsidRDefault="006547A7" w:rsidP="006547A7">
      <w:pPr>
        <w:spacing w:line="240" w:lineRule="auto"/>
        <w:rPr>
          <w:rFonts w:eastAsia="Times New Roman" w:cs="Arial"/>
          <w:color w:val="000000"/>
          <w:szCs w:val="20"/>
          <w:lang w:eastAsia="bg-BG"/>
        </w:rPr>
      </w:pPr>
    </w:p>
    <w:p w14:paraId="41CAD101" w14:textId="7410D74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725 пациента, ивабрадин не е показал допълнителна ефикасност, когато е добавен към 10 </w:t>
      </w:r>
      <w:r w:rsidRPr="006547A7">
        <w:rPr>
          <w:rFonts w:eastAsia="Times New Roman" w:cs="Arial"/>
          <w:color w:val="000000"/>
          <w:szCs w:val="20"/>
          <w:lang w:val="en-US"/>
        </w:rPr>
        <w:t>mg</w:t>
      </w:r>
      <w:r w:rsidRPr="006547A7">
        <w:rPr>
          <w:rFonts w:eastAsia="Times New Roman" w:cs="Arial"/>
          <w:color w:val="000000"/>
          <w:szCs w:val="20"/>
          <w:lang w:eastAsia="bg-BG"/>
        </w:rPr>
        <w:t xml:space="preserve"> амлодипин веднъж дневно в края на дозовия интервал на лекарствената активност (12 часа след перорален прием), но е показал допълнителна ефикасност при пика (3-4 часа след перорален прием).</w:t>
      </w:r>
    </w:p>
    <w:p w14:paraId="0D6C1326" w14:textId="77777777" w:rsidR="006547A7" w:rsidRPr="006547A7" w:rsidRDefault="006547A7" w:rsidP="006547A7">
      <w:pPr>
        <w:spacing w:line="240" w:lineRule="auto"/>
        <w:rPr>
          <w:rFonts w:eastAsia="Times New Roman" w:cs="Arial"/>
          <w:color w:val="000000"/>
          <w:szCs w:val="20"/>
          <w:lang w:eastAsia="bg-BG"/>
        </w:rPr>
      </w:pPr>
    </w:p>
    <w:p w14:paraId="1CC0EE8E" w14:textId="76D967B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1277 пациента, ивабрадин демонстрира статистически значима допълнителна ефикасност по отношение отговора към лечението (дефиниран като понижение с най-малко 3 ангинозни пристъпа на седмица и/ или повишение на времето до достигане на </w:t>
      </w:r>
      <w:r w:rsidRPr="006547A7">
        <w:rPr>
          <w:rFonts w:eastAsia="Times New Roman" w:cs="Arial"/>
          <w:color w:val="000000"/>
          <w:szCs w:val="20"/>
          <w:lang w:val="en-US"/>
        </w:rPr>
        <w:t>ST</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депресия от 1 </w:t>
      </w:r>
      <w:r w:rsidRPr="006547A7">
        <w:rPr>
          <w:rFonts w:eastAsia="Times New Roman" w:cs="Arial"/>
          <w:color w:val="000000"/>
          <w:szCs w:val="20"/>
          <w:lang w:val="en-US"/>
        </w:rPr>
        <w:t>mm</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 най-малко 60 секунди по време на стрес-теста с бягаща пътека), когато е добавен към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амлодипин веднъж дневно или 30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нифедипин </w:t>
      </w:r>
      <w:r w:rsidRPr="006547A7">
        <w:rPr>
          <w:rFonts w:eastAsia="Times New Roman" w:cs="Arial"/>
          <w:color w:val="000000"/>
          <w:szCs w:val="20"/>
          <w:lang w:val="en-US"/>
        </w:rPr>
        <w:t>GITS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веднъж дневно при най-ниската лекарствена активност (12 часа след перорален прием на ивабрадин) в рамките на 6-седмичен период на лечение </w:t>
      </w:r>
      <w:r w:rsidRPr="006547A7">
        <w:rPr>
          <w:rFonts w:eastAsia="Times New Roman" w:cs="Arial"/>
          <w:color w:val="000000"/>
          <w:szCs w:val="20"/>
          <w:lang w:val="ru-RU"/>
        </w:rPr>
        <w:t>(</w:t>
      </w:r>
      <w:r w:rsidRPr="006547A7">
        <w:rPr>
          <w:rFonts w:eastAsia="Times New Roman" w:cs="Arial"/>
          <w:color w:val="000000"/>
          <w:szCs w:val="20"/>
          <w:lang w:val="en-US"/>
        </w:rPr>
        <w:t>OR</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 1,3, 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[1,0-1,7]; р=0,012). Ивабрадин не показва допълнителна ефикасност върху вторичните крайни точки на параметрите на стрес-теста при най-ниската лекарствена активност, но показва допълнителна ефикасност при пика (3-4 часа след перорален прием на ивабрадин).</w:t>
      </w:r>
    </w:p>
    <w:p w14:paraId="2EA02111" w14:textId="77777777" w:rsidR="006547A7" w:rsidRPr="006547A7" w:rsidRDefault="006547A7" w:rsidP="006547A7">
      <w:pPr>
        <w:spacing w:line="240" w:lineRule="auto"/>
        <w:rPr>
          <w:rFonts w:eastAsia="Times New Roman" w:cs="Arial"/>
          <w:color w:val="000000"/>
          <w:szCs w:val="20"/>
          <w:lang w:eastAsia="bg-BG"/>
        </w:rPr>
      </w:pPr>
    </w:p>
    <w:p w14:paraId="308C733C" w14:textId="0627597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Ефикасността на ивабрадин се запазва изцяло през 3- или 4-месечния период на лечение при изпитванията за ефикасност. Няма данни за развитие на фармакологичен толеранс (загуба на ефикасност) по време на лечението, нито за рефункционален феномен след рязко преустановяване на лечението. Антиангинозните и антиисхемичните ефекти на ивабрадин се свързват с дозозависими понижения на сърдечната честота и със значимо понижение на съотношението честота/ налягане (сърдечна честота х систолично кръвно налягане) в покой и при физическо натоварване. Ефектите върху кръвното налягане и периферното съдово съпротивление са били минимални и без клинично значение.</w:t>
      </w:r>
    </w:p>
    <w:p w14:paraId="71AE9E6B" w14:textId="77777777" w:rsidR="006547A7" w:rsidRPr="006547A7" w:rsidRDefault="006547A7" w:rsidP="006547A7">
      <w:pPr>
        <w:spacing w:line="240" w:lineRule="auto"/>
        <w:rPr>
          <w:rFonts w:eastAsia="Times New Roman" w:cs="Arial"/>
          <w:color w:val="000000"/>
          <w:szCs w:val="20"/>
          <w:lang w:eastAsia="bg-BG"/>
        </w:rPr>
      </w:pPr>
    </w:p>
    <w:p w14:paraId="172DA0BD" w14:textId="2C591CB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Трайно понижение на сърдечната честота е демонстрирано при пациенти, лекувани ивабрадин в продължение на поне една година (</w:t>
      </w:r>
      <w:r w:rsidRPr="006547A7">
        <w:rPr>
          <w:rFonts w:eastAsia="Times New Roman" w:cs="Arial"/>
          <w:color w:val="000000"/>
          <w:szCs w:val="20"/>
          <w:lang w:val="en-US"/>
        </w:rPr>
        <w:t>n</w:t>
      </w:r>
      <w:r w:rsidRPr="006547A7">
        <w:rPr>
          <w:rFonts w:eastAsia="Times New Roman" w:cs="Arial"/>
          <w:color w:val="000000"/>
          <w:szCs w:val="20"/>
          <w:lang w:eastAsia="bg-BG"/>
        </w:rPr>
        <w:t xml:space="preserve"> = 713). Не е наблюдаван ефект върху кръвната захар и</w:t>
      </w:r>
    </w:p>
    <w:p w14:paraId="0FE29415" w14:textId="53007332" w:rsidR="006547A7" w:rsidRPr="006547A7" w:rsidRDefault="006547A7" w:rsidP="006547A7">
      <w:pPr>
        <w:spacing w:line="240" w:lineRule="auto"/>
        <w:rPr>
          <w:rFonts w:eastAsia="Times New Roman" w:cs="Arial"/>
          <w:color w:val="000000"/>
          <w:szCs w:val="20"/>
          <w:lang w:eastAsia="bg-BG"/>
        </w:rPr>
      </w:pPr>
      <w:r w:rsidRPr="006547A7">
        <w:rPr>
          <w:rFonts w:eastAsia="Times New Roman" w:cs="Arial"/>
          <w:color w:val="000000"/>
          <w:szCs w:val="20"/>
          <w:lang w:eastAsia="bg-BG"/>
        </w:rPr>
        <w:t>липидния метаболизъм.</w:t>
      </w:r>
    </w:p>
    <w:p w14:paraId="5350169C" w14:textId="42804985" w:rsidR="006547A7" w:rsidRPr="006547A7" w:rsidRDefault="006547A7" w:rsidP="006547A7">
      <w:pPr>
        <w:spacing w:line="240" w:lineRule="auto"/>
        <w:rPr>
          <w:rFonts w:eastAsia="Times New Roman" w:cs="Arial"/>
          <w:color w:val="000000"/>
          <w:szCs w:val="20"/>
          <w:lang w:eastAsia="bg-BG"/>
        </w:rPr>
      </w:pPr>
    </w:p>
    <w:p w14:paraId="07A2FEF5"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Антиангинозната и антиисхемичната ефикасност на ивабрадин се запазват при пациенти с диабет (</w:t>
      </w:r>
      <w:r w:rsidRPr="006547A7">
        <w:rPr>
          <w:rFonts w:eastAsia="Times New Roman" w:cs="Arial"/>
          <w:color w:val="000000"/>
          <w:szCs w:val="20"/>
          <w:lang w:val="en-US"/>
        </w:rPr>
        <w:t>n</w:t>
      </w:r>
      <w:r w:rsidRPr="006547A7">
        <w:rPr>
          <w:rFonts w:eastAsia="Times New Roman" w:cs="Arial"/>
          <w:color w:val="000000"/>
          <w:szCs w:val="20"/>
          <w:lang w:eastAsia="bg-BG"/>
        </w:rPr>
        <w:t xml:space="preserve"> = 457) при сходен профил на безопасност с този в общата популация.</w:t>
      </w:r>
    </w:p>
    <w:p w14:paraId="0457C32D" w14:textId="77777777" w:rsidR="006547A7" w:rsidRPr="006547A7" w:rsidRDefault="006547A7" w:rsidP="006547A7">
      <w:pPr>
        <w:spacing w:line="240" w:lineRule="auto"/>
        <w:rPr>
          <w:rFonts w:eastAsia="Times New Roman" w:cs="Arial"/>
          <w:color w:val="000000"/>
          <w:szCs w:val="20"/>
          <w:lang w:eastAsia="bg-BG"/>
        </w:rPr>
      </w:pPr>
    </w:p>
    <w:p w14:paraId="131BACF6" w14:textId="1F4DBCFC"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Проведено е мащабно проучване на заболеваемост-смъртност </w:t>
      </w:r>
      <w:r w:rsidRPr="006547A7">
        <w:rPr>
          <w:rFonts w:eastAsia="Times New Roman" w:cs="Arial"/>
          <w:color w:val="000000"/>
          <w:szCs w:val="20"/>
          <w:lang w:val="en-US"/>
        </w:rPr>
        <w:t>BEAUTIFUL</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при 10 917 пациенти с исхемична болест на сърцето и левокамерна дисфункция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&lt;40%) </w:t>
      </w:r>
      <w:r w:rsidRPr="006547A7">
        <w:rPr>
          <w:rFonts w:eastAsia="Times New Roman" w:cs="Arial"/>
          <w:color w:val="000000"/>
          <w:szCs w:val="20"/>
          <w:lang w:eastAsia="bg-BG"/>
        </w:rPr>
        <w:t>на фона на оптимално лечение, като 86,9% от пациентите са получавали бета-блокери. Основният критерий за ефикасност е бил комбинация от сърдечно-съдова смърт, хоспитализация при остър инфаркт на миокарда или хоспитализация при отключване или влошаване на сърдечна недостатъчност. Проучването не показва разлики в честотата на първичния комбиниран краен резултат в групата на ивабрадин в сравнение с плацебо групата (относителен риск ивабрадин:плацебо 1,00, р=0,945).</w:t>
      </w:r>
    </w:p>
    <w:p w14:paraId="27C7167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w:t>
      </w:r>
      <w:r w:rsidRPr="006547A7">
        <w:rPr>
          <w:rFonts w:eastAsia="Times New Roman" w:cs="Arial"/>
          <w:color w:val="000000"/>
          <w:szCs w:val="20"/>
          <w:lang w:val="en-US"/>
        </w:rPr>
        <w:t>post</w:t>
      </w:r>
      <w:r w:rsidRPr="006547A7">
        <w:rPr>
          <w:rFonts w:eastAsia="Times New Roman" w:cs="Arial"/>
          <w:color w:val="000000"/>
          <w:szCs w:val="20"/>
          <w:lang w:val="ru-RU"/>
        </w:rPr>
        <w:t>-</w:t>
      </w:r>
      <w:r w:rsidRPr="006547A7">
        <w:rPr>
          <w:rFonts w:eastAsia="Times New Roman" w:cs="Arial"/>
          <w:color w:val="000000"/>
          <w:szCs w:val="20"/>
          <w:lang w:val="en-US"/>
        </w:rPr>
        <w:t>hoc</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подгрупа пациенти със симптоматична стенокардия при рандомизация </w:t>
      </w:r>
      <w:r w:rsidRPr="006547A7">
        <w:rPr>
          <w:rFonts w:eastAsia="Times New Roman" w:cs="Arial"/>
          <w:color w:val="000000"/>
          <w:szCs w:val="20"/>
          <w:lang w:val="ru-RU"/>
        </w:rPr>
        <w:t>(</w:t>
      </w:r>
      <w:r w:rsidRPr="006547A7">
        <w:rPr>
          <w:rFonts w:eastAsia="Times New Roman" w:cs="Arial"/>
          <w:color w:val="000000"/>
          <w:szCs w:val="20"/>
          <w:lang w:val="en-US"/>
        </w:rPr>
        <w:t>n</w:t>
      </w:r>
      <w:r w:rsidRPr="006547A7">
        <w:rPr>
          <w:rFonts w:eastAsia="Times New Roman" w:cs="Arial"/>
          <w:color w:val="000000"/>
          <w:szCs w:val="20"/>
          <w:lang w:val="ru-RU"/>
        </w:rPr>
        <w:t xml:space="preserve"> </w:t>
      </w:r>
      <w:r w:rsidRPr="006547A7">
        <w:rPr>
          <w:rFonts w:eastAsia="Times New Roman" w:cs="Arial"/>
          <w:color w:val="000000"/>
          <w:szCs w:val="20"/>
          <w:lang w:eastAsia="bg-BG"/>
        </w:rPr>
        <w:t>= 1 507), не са установени сигнали, свързани с безопасността по отношение на сърдечно-съдовата смърт, хоспитализацията при остър инфаркт на миокарда и сърдечната недостатъчност (ивабрадин 12,0% спрямо плацебо 15,5%, р=0,05).</w:t>
      </w:r>
    </w:p>
    <w:p w14:paraId="05BEEE5F" w14:textId="77777777" w:rsidR="006547A7" w:rsidRPr="006547A7" w:rsidRDefault="006547A7" w:rsidP="006547A7">
      <w:pPr>
        <w:spacing w:line="240" w:lineRule="auto"/>
        <w:rPr>
          <w:rFonts w:eastAsia="Times New Roman" w:cs="Arial"/>
          <w:color w:val="000000"/>
          <w:szCs w:val="20"/>
          <w:lang w:eastAsia="bg-BG"/>
        </w:rPr>
      </w:pPr>
    </w:p>
    <w:p w14:paraId="1BB47B97" w14:textId="35E74E98"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lastRenderedPageBreak/>
        <w:t xml:space="preserve">Проведено е мащабно проучване на заболеваемост-смъртност </w:t>
      </w:r>
      <w:r w:rsidRPr="006547A7">
        <w:rPr>
          <w:rFonts w:eastAsia="Times New Roman" w:cs="Arial"/>
          <w:color w:val="000000"/>
          <w:szCs w:val="20"/>
          <w:lang w:val="en-US"/>
        </w:rPr>
        <w:t>SIGNIFY</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при 19 102 пациенти с исхемична болест на сърцето и без клинична сърдечна недостатъчност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&gt; 40%) на фона на оптимално лечение. Използвана е по-висока терапевтична схема от одобрената дозировка (начална доза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възраст ≥ 75 години) и титриране до 10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Основният критерий за ефикасност е бил комбинация от сърдечно</w:t>
      </w:r>
      <w:r w:rsidRPr="006547A7">
        <w:rPr>
          <w:rFonts w:eastAsia="Times New Roman" w:cs="Arial"/>
          <w:color w:val="000000"/>
          <w:szCs w:val="20"/>
          <w:lang w:eastAsia="bg-BG"/>
        </w:rPr>
        <w:softHyphen/>
        <w:t xml:space="preserve">съдова смърт или нефатален инфаркт на миокарда. Проучването не показва разлики в честотата на първичната комбинирана крайна точка (ПККТ) в групата на ивабрадин в сравнение с плацебо групата (относителен риск ивабрадин/ плацебо 1,08, р=0,197). Брадикардия е съобщавана при 17,9% от пациентите в групата на ивабрадин (2,1% в плацебо групата). По време на проучването 7,1 % от пациентите са приемали верапамил, дилтиазем или силни инхибитори на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eastAsia="bg-BG"/>
        </w:rPr>
        <w:t>А4.</w:t>
      </w:r>
    </w:p>
    <w:p w14:paraId="75F60C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Малко статистически значимо повишение на ПККТ е наблюдавано при предварително определена подгрупа пациенти със стенокардия клас </w:t>
      </w:r>
      <w:r w:rsidRPr="006547A7">
        <w:rPr>
          <w:rFonts w:eastAsia="Times New Roman" w:cs="Arial"/>
          <w:color w:val="000000"/>
          <w:szCs w:val="20"/>
          <w:lang w:val="en-US"/>
        </w:rPr>
        <w:t>II</w:t>
      </w:r>
      <w:r w:rsidRPr="006547A7">
        <w:rPr>
          <w:rFonts w:eastAsia="Times New Roman" w:cs="Arial"/>
          <w:color w:val="000000"/>
          <w:szCs w:val="20"/>
          <w:lang w:eastAsia="bg-BG"/>
        </w:rPr>
        <w:t xml:space="preserve"> или по-висок по </w:t>
      </w:r>
      <w:r w:rsidRPr="006547A7">
        <w:rPr>
          <w:rFonts w:eastAsia="Times New Roman" w:cs="Arial"/>
          <w:color w:val="000000"/>
          <w:szCs w:val="20"/>
          <w:lang w:val="en-US"/>
        </w:rPr>
        <w:t>CCS</w:t>
      </w:r>
      <w:r w:rsidRPr="006547A7">
        <w:rPr>
          <w:rFonts w:eastAsia="Times New Roman" w:cs="Arial"/>
          <w:color w:val="000000"/>
          <w:szCs w:val="20"/>
          <w:lang w:val="ru-RU"/>
        </w:rPr>
        <w:t xml:space="preserve"> </w:t>
      </w:r>
      <w:r w:rsidRPr="006547A7">
        <w:rPr>
          <w:rFonts w:eastAsia="Times New Roman" w:cs="Arial"/>
          <w:color w:val="000000"/>
          <w:szCs w:val="20"/>
          <w:lang w:eastAsia="bg-BG"/>
        </w:rPr>
        <w:t>при включването (</w:t>
      </w:r>
      <w:r w:rsidRPr="006547A7">
        <w:rPr>
          <w:rFonts w:eastAsia="Times New Roman" w:cs="Arial"/>
          <w:color w:val="000000"/>
          <w:szCs w:val="20"/>
          <w:lang w:val="en-US"/>
        </w:rPr>
        <w:t>n</w:t>
      </w:r>
      <w:r w:rsidRPr="006547A7">
        <w:rPr>
          <w:rFonts w:eastAsia="Times New Roman" w:cs="Arial"/>
          <w:color w:val="000000"/>
          <w:szCs w:val="20"/>
          <w:lang w:val="ru-RU"/>
        </w:rPr>
        <w:t>=1</w:t>
      </w:r>
      <w:r w:rsidRPr="006547A7">
        <w:rPr>
          <w:rFonts w:eastAsia="Times New Roman" w:cs="Arial"/>
          <w:color w:val="000000"/>
          <w:szCs w:val="20"/>
          <w:lang w:eastAsia="bg-BG"/>
        </w:rPr>
        <w:t xml:space="preserve">2049) (честота на поява 3,4% спрямо 2,9% годишно, относителен риск ивабрадин/ плацебо 1,18, р=0,018), но не и в подгрупата на общата популация със стенокардия клас ≥ </w:t>
      </w:r>
      <w:r w:rsidRPr="006547A7">
        <w:rPr>
          <w:rFonts w:eastAsia="Times New Roman" w:cs="Arial"/>
          <w:color w:val="000000"/>
          <w:szCs w:val="20"/>
          <w:lang w:val="en-US"/>
        </w:rPr>
        <w:t>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по </w:t>
      </w:r>
      <w:r w:rsidRPr="006547A7">
        <w:rPr>
          <w:rFonts w:eastAsia="Times New Roman" w:cs="Arial"/>
          <w:color w:val="000000"/>
          <w:szCs w:val="20"/>
          <w:lang w:val="en-US"/>
        </w:rPr>
        <w:t>CCS</w:t>
      </w:r>
      <w:r w:rsidRPr="006547A7">
        <w:rPr>
          <w:rFonts w:eastAsia="Times New Roman" w:cs="Arial"/>
          <w:color w:val="000000"/>
          <w:szCs w:val="20"/>
          <w:lang w:val="ru-RU"/>
        </w:rPr>
        <w:t xml:space="preserve"> </w:t>
      </w:r>
      <w:r w:rsidRPr="006547A7">
        <w:rPr>
          <w:rFonts w:eastAsia="Times New Roman" w:cs="Arial"/>
          <w:color w:val="000000"/>
          <w:szCs w:val="20"/>
          <w:lang w:eastAsia="bg-BG"/>
        </w:rPr>
        <w:t>(</w:t>
      </w:r>
      <w:r w:rsidRPr="006547A7">
        <w:rPr>
          <w:rFonts w:eastAsia="Times New Roman" w:cs="Arial"/>
          <w:color w:val="000000"/>
          <w:szCs w:val="20"/>
          <w:lang w:val="en-US"/>
        </w:rPr>
        <w:t>n</w:t>
      </w:r>
      <w:r w:rsidRPr="006547A7">
        <w:rPr>
          <w:rFonts w:eastAsia="Times New Roman" w:cs="Arial"/>
          <w:color w:val="000000"/>
          <w:szCs w:val="20"/>
          <w:lang w:eastAsia="bg-BG"/>
        </w:rPr>
        <w:t>=14286) (относителен риск ивабрадин/ плацебо 1,11, р=0,110).</w:t>
      </w:r>
    </w:p>
    <w:p w14:paraId="7B4955C5"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По-високата от одобрената доза, използвана в проучването, не е обяснява изцяло тези изводи.</w:t>
      </w:r>
    </w:p>
    <w:p w14:paraId="7C739F55" w14:textId="77777777" w:rsidR="006547A7" w:rsidRPr="006547A7" w:rsidRDefault="006547A7" w:rsidP="006547A7">
      <w:pPr>
        <w:spacing w:line="240" w:lineRule="auto"/>
        <w:rPr>
          <w:rFonts w:eastAsia="Times New Roman" w:cs="Arial"/>
          <w:color w:val="000000"/>
          <w:szCs w:val="20"/>
          <w:lang w:eastAsia="bg-BG"/>
        </w:rPr>
      </w:pPr>
    </w:p>
    <w:p w14:paraId="476C6246" w14:textId="08CB5B2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Проучването </w:t>
      </w:r>
      <w:r w:rsidRPr="006547A7">
        <w:rPr>
          <w:rFonts w:eastAsia="Times New Roman" w:cs="Arial"/>
          <w:color w:val="000000"/>
          <w:szCs w:val="20"/>
          <w:lang w:val="en-US"/>
        </w:rPr>
        <w:t>SHIFT</w:t>
      </w:r>
      <w:r w:rsidRPr="006547A7">
        <w:rPr>
          <w:rFonts w:eastAsia="Times New Roman" w:cs="Arial"/>
          <w:color w:val="000000"/>
          <w:szCs w:val="20"/>
          <w:lang w:val="ru-RU"/>
        </w:rPr>
        <w:t xml:space="preserve"> </w:t>
      </w:r>
      <w:r w:rsidRPr="006547A7">
        <w:rPr>
          <w:rFonts w:eastAsia="Times New Roman" w:cs="Arial"/>
          <w:color w:val="000000"/>
          <w:szCs w:val="20"/>
          <w:lang w:eastAsia="bg-BG"/>
        </w:rPr>
        <w:t>е голямо, многоцентрово, рандомизирано, двойносляпо плацебо</w:t>
      </w:r>
    </w:p>
    <w:p w14:paraId="02C9B26A"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 xml:space="preserve">контролирано изпитване на заболеваемост-смъртност, обхващащо 6 505 възрастни пациенти със стабилна хронична исхемична болест на сърцето (ИБС) (за &gt;4 седмици),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клас </w:t>
      </w:r>
      <w:r w:rsidRPr="006547A7">
        <w:rPr>
          <w:rFonts w:eastAsia="Times New Roman" w:cs="Arial"/>
          <w:color w:val="000000"/>
          <w:szCs w:val="20"/>
          <w:lang w:val="ru-RU"/>
        </w:rPr>
        <w:t xml:space="preserve"> </w:t>
      </w:r>
      <w:r w:rsidRPr="006547A7">
        <w:rPr>
          <w:rFonts w:eastAsia="Times New Roman" w:cs="Arial"/>
          <w:color w:val="000000"/>
          <w:szCs w:val="20"/>
          <w:lang w:val="en-US"/>
        </w:rPr>
        <w:t>II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до </w:t>
      </w:r>
      <w:r w:rsidRPr="006547A7">
        <w:rPr>
          <w:rFonts w:eastAsia="Times New Roman" w:cs="Arial"/>
          <w:color w:val="000000"/>
          <w:szCs w:val="20"/>
          <w:lang w:val="en-US"/>
        </w:rPr>
        <w:t>IV</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намалена левокамерна функция на изтласкване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35%) и сърдечна чесотга в покой ≥ 70 уд./ мин..</w:t>
      </w:r>
    </w:p>
    <w:p w14:paraId="0ECE4B0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Поциентите са получавали стандартно лечение, включващо бета-блокери (89%), АСЕ инхибитори и/ или ангиотензин </w:t>
      </w:r>
      <w:r w:rsidRPr="006547A7">
        <w:rPr>
          <w:rFonts w:eastAsia="Times New Roman" w:cs="Arial"/>
          <w:color w:val="000000"/>
          <w:szCs w:val="20"/>
          <w:lang w:val="en-US"/>
        </w:rPr>
        <w:t>II</w:t>
      </w:r>
      <w:r w:rsidRPr="006547A7">
        <w:rPr>
          <w:rFonts w:eastAsia="Times New Roman" w:cs="Arial"/>
          <w:color w:val="000000"/>
          <w:szCs w:val="20"/>
          <w:lang w:eastAsia="bg-BG"/>
        </w:rPr>
        <w:t xml:space="preserve"> антагонисти (91%), диуретици (83%) и антиалдостеронови агенти (60%). В групата на ивабрадин 67% от пациентите са лекувани със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Медианата на продължителността на проследяване е била 22,9 месеца. Лечението с ивабрадин се свързва със средно понижение на сърдечната честота от 15 уд./ мин. спрямо изходното ниво от 80 уд./ мин.. Разликата в сърдечната честота между рамената на ивабрадин и плацебо е била 10,8 уд./ мин. на 28-ия ден, 9,1 уд./ мин. на 12-ия месец и 8,3 уд./ мин. на 24-ия месец.</w:t>
      </w:r>
    </w:p>
    <w:p w14:paraId="5CC1971B" w14:textId="77777777" w:rsidR="006547A7" w:rsidRPr="006547A7" w:rsidRDefault="006547A7" w:rsidP="006547A7">
      <w:pPr>
        <w:spacing w:line="240" w:lineRule="auto"/>
        <w:rPr>
          <w:rFonts w:eastAsia="Times New Roman" w:cs="Arial"/>
          <w:color w:val="000000"/>
          <w:szCs w:val="20"/>
          <w:lang w:eastAsia="bg-BG"/>
        </w:rPr>
      </w:pPr>
    </w:p>
    <w:p w14:paraId="1B200536" w14:textId="3729E1A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Проучването е показало клинично и статистически значимо понижение на относителния риск с 18% в честотата на първичната съставна крайна точка на сърдечно-съдова смърт и хоспитализация за влошаване на сърдечна недодастьчност (коефициент на риска: 0,82,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[0,75;0,90] - р&lt;0,0001), установено в рамките на 3 месеца от започване на лечението. Абсолютният риск се понижава с 4,2%. Резултатите по първичната крайна точка са изведени основно от крайната точка за сърдечна недостатъчност, хоспитализация поради влошаване на сърдечната недостатъчност (понижен абсолютен риск с 4,7%) и смърт поради сърдечна недостатъчност (понижен абсолютен риск с 1,1%).</w:t>
      </w:r>
    </w:p>
    <w:p w14:paraId="5FACA4D7" w14:textId="77777777" w:rsidR="006547A7" w:rsidRPr="006547A7" w:rsidRDefault="006547A7" w:rsidP="006547A7">
      <w:pPr>
        <w:spacing w:line="240" w:lineRule="auto"/>
        <w:rPr>
          <w:rFonts w:eastAsia="Times New Roman" w:cs="Arial"/>
          <w:color w:val="000000"/>
          <w:szCs w:val="20"/>
          <w:lang w:eastAsia="bg-BG"/>
        </w:rPr>
      </w:pPr>
    </w:p>
    <w:p w14:paraId="3674BAAA" w14:textId="09CEDACD"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Ефект от лечението върху първичната съставна крайна точка, нейните компоненти и вторичните крайни точки</w:t>
      </w:r>
    </w:p>
    <w:p w14:paraId="46655854" w14:textId="5C9A1BA2" w:rsidR="006547A7" w:rsidRDefault="006547A7" w:rsidP="006547A7">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40"/>
        <w:gridCol w:w="1731"/>
        <w:gridCol w:w="1742"/>
        <w:gridCol w:w="1764"/>
        <w:gridCol w:w="1673"/>
      </w:tblGrid>
      <w:tr w:rsidR="006547A7" w14:paraId="58DDA770" w14:textId="77777777" w:rsidTr="006547A7">
        <w:tc>
          <w:tcPr>
            <w:tcW w:w="1915" w:type="dxa"/>
          </w:tcPr>
          <w:p w14:paraId="26178890" w14:textId="77777777" w:rsidR="006547A7" w:rsidRDefault="006547A7" w:rsidP="006547A7"/>
        </w:tc>
        <w:tc>
          <w:tcPr>
            <w:tcW w:w="1915" w:type="dxa"/>
          </w:tcPr>
          <w:p w14:paraId="6FDEBB53" w14:textId="49108BE7" w:rsidR="006547A7" w:rsidRDefault="006547A7" w:rsidP="006547A7">
            <w:r>
              <w:rPr>
                <w:sz w:val="20"/>
                <w:szCs w:val="20"/>
              </w:rPr>
              <w:t xml:space="preserve">Ивабрадин </w:t>
            </w:r>
            <w:r>
              <w:rPr>
                <w:sz w:val="20"/>
                <w:szCs w:val="20"/>
                <w:lang w:val="en-US"/>
              </w:rPr>
              <w:t>(N=3241) n (%)</w:t>
            </w:r>
          </w:p>
        </w:tc>
        <w:tc>
          <w:tcPr>
            <w:tcW w:w="1915" w:type="dxa"/>
          </w:tcPr>
          <w:p w14:paraId="4EC55623" w14:textId="1AD3FDBA" w:rsidR="006547A7" w:rsidRDefault="006547A7" w:rsidP="006547A7">
            <w:r>
              <w:rPr>
                <w:sz w:val="20"/>
                <w:szCs w:val="20"/>
              </w:rPr>
              <w:t xml:space="preserve">Плацебо </w:t>
            </w:r>
            <w:r>
              <w:rPr>
                <w:sz w:val="20"/>
                <w:szCs w:val="20"/>
                <w:lang w:val="en-US"/>
              </w:rPr>
              <w:t>(N=3264) n</w:t>
            </w:r>
            <w:r>
              <w:rPr>
                <w:sz w:val="20"/>
                <w:szCs w:val="20"/>
              </w:rPr>
              <w:t xml:space="preserve"> (%)</w:t>
            </w:r>
          </w:p>
        </w:tc>
        <w:tc>
          <w:tcPr>
            <w:tcW w:w="1915" w:type="dxa"/>
          </w:tcPr>
          <w:p w14:paraId="038667A4" w14:textId="51B9961F" w:rsidR="006547A7" w:rsidRDefault="006547A7" w:rsidP="006547A7">
            <w:r>
              <w:rPr>
                <w:sz w:val="20"/>
                <w:szCs w:val="20"/>
              </w:rPr>
              <w:t xml:space="preserve">Коефициент на риска [95% </w:t>
            </w:r>
            <w:r>
              <w:rPr>
                <w:sz w:val="20"/>
                <w:szCs w:val="20"/>
                <w:lang w:val="en-US"/>
              </w:rPr>
              <w:t>CI]</w:t>
            </w:r>
          </w:p>
        </w:tc>
        <w:tc>
          <w:tcPr>
            <w:tcW w:w="1916" w:type="dxa"/>
          </w:tcPr>
          <w:p w14:paraId="5642B9C5" w14:textId="57C0FD06" w:rsidR="006547A7" w:rsidRDefault="006547A7" w:rsidP="006547A7">
            <w:r>
              <w:rPr>
                <w:sz w:val="20"/>
                <w:szCs w:val="20"/>
              </w:rPr>
              <w:t>Р- стойност</w:t>
            </w:r>
          </w:p>
        </w:tc>
      </w:tr>
      <w:tr w:rsidR="006547A7" w14:paraId="7AA9ADA1" w14:textId="77777777" w:rsidTr="006547A7">
        <w:tc>
          <w:tcPr>
            <w:tcW w:w="1915" w:type="dxa"/>
          </w:tcPr>
          <w:p w14:paraId="4A6D4A9B" w14:textId="21B7C040" w:rsidR="006547A7" w:rsidRDefault="006547A7" w:rsidP="006547A7">
            <w:r>
              <w:rPr>
                <w:sz w:val="20"/>
                <w:szCs w:val="20"/>
              </w:rPr>
              <w:lastRenderedPageBreak/>
              <w:t>Първична съставна крайна точка</w:t>
            </w:r>
          </w:p>
        </w:tc>
        <w:tc>
          <w:tcPr>
            <w:tcW w:w="1915" w:type="dxa"/>
          </w:tcPr>
          <w:p w14:paraId="5DD3EAC2" w14:textId="21570E66" w:rsidR="006547A7" w:rsidRDefault="006547A7" w:rsidP="006547A7">
            <w:r>
              <w:rPr>
                <w:sz w:val="20"/>
                <w:szCs w:val="20"/>
              </w:rPr>
              <w:t>793 (24,47)</w:t>
            </w:r>
          </w:p>
        </w:tc>
        <w:tc>
          <w:tcPr>
            <w:tcW w:w="1915" w:type="dxa"/>
          </w:tcPr>
          <w:p w14:paraId="25E1F523" w14:textId="23D02CE8" w:rsidR="006547A7" w:rsidRDefault="006547A7" w:rsidP="006547A7">
            <w:r>
              <w:rPr>
                <w:sz w:val="20"/>
                <w:szCs w:val="20"/>
              </w:rPr>
              <w:t>937 (28,71)</w:t>
            </w:r>
          </w:p>
        </w:tc>
        <w:tc>
          <w:tcPr>
            <w:tcW w:w="1915" w:type="dxa"/>
          </w:tcPr>
          <w:p w14:paraId="6885FF54" w14:textId="04578F8F" w:rsidR="006547A7" w:rsidRDefault="006547A7" w:rsidP="006547A7">
            <w:r>
              <w:rPr>
                <w:sz w:val="20"/>
                <w:szCs w:val="20"/>
              </w:rPr>
              <w:t>0,82 [0,75; 0,90]</w:t>
            </w:r>
          </w:p>
        </w:tc>
        <w:tc>
          <w:tcPr>
            <w:tcW w:w="1916" w:type="dxa"/>
          </w:tcPr>
          <w:p w14:paraId="77A11B85" w14:textId="2E2B1B2B" w:rsidR="006547A7" w:rsidRDefault="006547A7" w:rsidP="006547A7">
            <w:r>
              <w:rPr>
                <w:sz w:val="20"/>
                <w:szCs w:val="20"/>
              </w:rPr>
              <w:t>&lt;0,0001</w:t>
            </w:r>
          </w:p>
        </w:tc>
      </w:tr>
      <w:tr w:rsidR="006547A7" w14:paraId="645673B5" w14:textId="77777777" w:rsidTr="006547A7">
        <w:tc>
          <w:tcPr>
            <w:tcW w:w="1915" w:type="dxa"/>
          </w:tcPr>
          <w:p w14:paraId="46BE1FA1" w14:textId="77777777" w:rsidR="006547A7" w:rsidRDefault="006547A7" w:rsidP="006547A7">
            <w:r>
              <w:rPr>
                <w:sz w:val="20"/>
                <w:szCs w:val="20"/>
              </w:rPr>
              <w:t>Компоненти:</w:t>
            </w:r>
          </w:p>
          <w:p w14:paraId="100D85FD" w14:textId="77777777" w:rsidR="006547A7" w:rsidRPr="006547A7" w:rsidRDefault="006547A7" w:rsidP="006547A7">
            <w:pPr>
              <w:pStyle w:val="ListParagraph"/>
              <w:numPr>
                <w:ilvl w:val="0"/>
                <w:numId w:val="41"/>
              </w:numPr>
            </w:pPr>
            <w:r>
              <w:rPr>
                <w:sz w:val="20"/>
                <w:szCs w:val="20"/>
              </w:rPr>
              <w:t>сърдечно-съдова смърт</w:t>
            </w:r>
          </w:p>
          <w:p w14:paraId="5A77047B" w14:textId="78528036" w:rsidR="006547A7" w:rsidRDefault="006547A7" w:rsidP="006547A7">
            <w:pPr>
              <w:pStyle w:val="ListParagraph"/>
              <w:numPr>
                <w:ilvl w:val="0"/>
                <w:numId w:val="41"/>
              </w:numPr>
            </w:pPr>
            <w:r w:rsidRPr="006547A7">
              <w:rPr>
                <w:sz w:val="20"/>
                <w:szCs w:val="20"/>
              </w:rPr>
              <w:t>хоспитализация поради влошаване на сърдечна недостатъчност</w:t>
            </w:r>
          </w:p>
        </w:tc>
        <w:tc>
          <w:tcPr>
            <w:tcW w:w="1915" w:type="dxa"/>
          </w:tcPr>
          <w:p w14:paraId="22F3BA6D" w14:textId="7FA4FBF9" w:rsidR="006547A7" w:rsidRDefault="006547A7" w:rsidP="006547A7">
            <w:r>
              <w:rPr>
                <w:sz w:val="20"/>
                <w:szCs w:val="20"/>
              </w:rPr>
              <w:t>449 (13,85) 514(15,86)</w:t>
            </w:r>
          </w:p>
        </w:tc>
        <w:tc>
          <w:tcPr>
            <w:tcW w:w="1915" w:type="dxa"/>
          </w:tcPr>
          <w:p w14:paraId="77638DE5" w14:textId="77777777" w:rsidR="006547A7" w:rsidRDefault="006547A7" w:rsidP="006547A7">
            <w:r>
              <w:rPr>
                <w:sz w:val="20"/>
                <w:szCs w:val="20"/>
              </w:rPr>
              <w:t>491 (15,04)</w:t>
            </w:r>
          </w:p>
          <w:p w14:paraId="7B43B5F8" w14:textId="41476F92" w:rsidR="006547A7" w:rsidRDefault="006547A7" w:rsidP="006547A7">
            <w:r>
              <w:rPr>
                <w:sz w:val="20"/>
                <w:szCs w:val="20"/>
              </w:rPr>
              <w:t>672 (20,59)</w:t>
            </w:r>
          </w:p>
        </w:tc>
        <w:tc>
          <w:tcPr>
            <w:tcW w:w="1915" w:type="dxa"/>
          </w:tcPr>
          <w:p w14:paraId="6C9004BC" w14:textId="77777777" w:rsidR="006547A7" w:rsidRDefault="006547A7" w:rsidP="006547A7">
            <w:r>
              <w:rPr>
                <w:sz w:val="20"/>
                <w:szCs w:val="20"/>
              </w:rPr>
              <w:t>0,91 [0,80; 1,03]</w:t>
            </w:r>
          </w:p>
          <w:p w14:paraId="6FA8EB25" w14:textId="6C12922F" w:rsidR="006547A7" w:rsidRDefault="006547A7" w:rsidP="006547A7">
            <w:r>
              <w:rPr>
                <w:sz w:val="20"/>
                <w:szCs w:val="20"/>
              </w:rPr>
              <w:t>0,74 [0,66; 0,83]</w:t>
            </w:r>
          </w:p>
        </w:tc>
        <w:tc>
          <w:tcPr>
            <w:tcW w:w="1916" w:type="dxa"/>
          </w:tcPr>
          <w:p w14:paraId="3154D93C" w14:textId="77777777" w:rsidR="006547A7" w:rsidRDefault="006547A7" w:rsidP="006547A7">
            <w:pPr>
              <w:rPr>
                <w:sz w:val="20"/>
                <w:szCs w:val="20"/>
              </w:rPr>
            </w:pPr>
            <w:r>
              <w:rPr>
                <w:sz w:val="20"/>
                <w:szCs w:val="20"/>
              </w:rPr>
              <w:t xml:space="preserve">0,128 </w:t>
            </w:r>
          </w:p>
          <w:p w14:paraId="3E51D49D" w14:textId="74F33568" w:rsidR="006547A7" w:rsidRDefault="006547A7" w:rsidP="006547A7">
            <w:r>
              <w:rPr>
                <w:sz w:val="20"/>
                <w:szCs w:val="20"/>
              </w:rPr>
              <w:t>&lt;0,0001</w:t>
            </w:r>
          </w:p>
        </w:tc>
      </w:tr>
      <w:tr w:rsidR="006547A7" w14:paraId="44A860A6" w14:textId="77777777" w:rsidTr="006547A7">
        <w:tc>
          <w:tcPr>
            <w:tcW w:w="1915" w:type="dxa"/>
          </w:tcPr>
          <w:p w14:paraId="69EA1054" w14:textId="77777777" w:rsidR="006547A7" w:rsidRDefault="006547A7" w:rsidP="006547A7">
            <w:r>
              <w:rPr>
                <w:sz w:val="20"/>
                <w:szCs w:val="20"/>
              </w:rPr>
              <w:t>Други вторични крайни точки:</w:t>
            </w:r>
          </w:p>
          <w:p w14:paraId="158BCA95" w14:textId="77777777" w:rsidR="006547A7" w:rsidRDefault="006547A7" w:rsidP="006547A7">
            <w:pPr>
              <w:pStyle w:val="ListParagraph"/>
              <w:numPr>
                <w:ilvl w:val="0"/>
                <w:numId w:val="42"/>
              </w:numPr>
              <w:spacing w:line="240" w:lineRule="auto"/>
              <w:rPr>
                <w:sz w:val="20"/>
                <w:szCs w:val="20"/>
              </w:rPr>
            </w:pPr>
            <w:r w:rsidRPr="006547A7">
              <w:rPr>
                <w:sz w:val="20"/>
                <w:szCs w:val="20"/>
              </w:rPr>
              <w:t>обща смъртност</w:t>
            </w:r>
          </w:p>
          <w:p w14:paraId="1164318C" w14:textId="77777777" w:rsidR="006547A7" w:rsidRDefault="006547A7" w:rsidP="006547A7">
            <w:pPr>
              <w:pStyle w:val="ListParagraph"/>
              <w:numPr>
                <w:ilvl w:val="0"/>
                <w:numId w:val="42"/>
              </w:numPr>
              <w:spacing w:line="240" w:lineRule="auto"/>
              <w:rPr>
                <w:sz w:val="20"/>
                <w:szCs w:val="20"/>
              </w:rPr>
            </w:pPr>
            <w:r w:rsidRPr="006547A7">
              <w:rPr>
                <w:sz w:val="20"/>
                <w:szCs w:val="20"/>
              </w:rPr>
              <w:t>смърт поради сърдечна недостатъчност</w:t>
            </w:r>
          </w:p>
          <w:p w14:paraId="248EE716" w14:textId="77777777" w:rsidR="006547A7" w:rsidRDefault="006547A7" w:rsidP="006547A7">
            <w:pPr>
              <w:pStyle w:val="ListParagraph"/>
              <w:numPr>
                <w:ilvl w:val="0"/>
                <w:numId w:val="42"/>
              </w:numPr>
              <w:spacing w:line="240" w:lineRule="auto"/>
              <w:rPr>
                <w:sz w:val="20"/>
                <w:szCs w:val="20"/>
              </w:rPr>
            </w:pPr>
            <w:r>
              <w:rPr>
                <w:sz w:val="20"/>
                <w:szCs w:val="20"/>
              </w:rPr>
              <w:t xml:space="preserve">общ брой хоспитализации </w:t>
            </w:r>
          </w:p>
          <w:p w14:paraId="63A1DD70" w14:textId="71B76AF3" w:rsidR="006547A7" w:rsidRPr="006547A7" w:rsidRDefault="006547A7" w:rsidP="006547A7">
            <w:pPr>
              <w:pStyle w:val="ListParagraph"/>
              <w:numPr>
                <w:ilvl w:val="0"/>
                <w:numId w:val="42"/>
              </w:numPr>
              <w:spacing w:line="240" w:lineRule="auto"/>
              <w:rPr>
                <w:sz w:val="20"/>
                <w:szCs w:val="20"/>
              </w:rPr>
            </w:pPr>
            <w:r w:rsidRPr="006547A7">
              <w:rPr>
                <w:sz w:val="20"/>
                <w:szCs w:val="20"/>
              </w:rPr>
              <w:t>хоспитализации поради сърдечно-съдови причини</w:t>
            </w:r>
          </w:p>
        </w:tc>
        <w:tc>
          <w:tcPr>
            <w:tcW w:w="1915" w:type="dxa"/>
          </w:tcPr>
          <w:p w14:paraId="619D2030" w14:textId="77777777" w:rsidR="006547A7" w:rsidRDefault="006547A7" w:rsidP="006547A7">
            <w:pPr>
              <w:rPr>
                <w:sz w:val="20"/>
                <w:szCs w:val="20"/>
              </w:rPr>
            </w:pPr>
            <w:r>
              <w:rPr>
                <w:sz w:val="20"/>
                <w:szCs w:val="20"/>
              </w:rPr>
              <w:t xml:space="preserve">503 (15,52) </w:t>
            </w:r>
          </w:p>
          <w:p w14:paraId="751899BF" w14:textId="77777777" w:rsidR="006547A7" w:rsidRDefault="006547A7" w:rsidP="006547A7">
            <w:pPr>
              <w:rPr>
                <w:sz w:val="20"/>
                <w:szCs w:val="20"/>
              </w:rPr>
            </w:pPr>
            <w:r>
              <w:rPr>
                <w:sz w:val="20"/>
                <w:szCs w:val="20"/>
              </w:rPr>
              <w:t xml:space="preserve">113 (3,49) </w:t>
            </w:r>
          </w:p>
          <w:p w14:paraId="53B90719" w14:textId="63E8CD4B" w:rsidR="006547A7" w:rsidRDefault="006547A7" w:rsidP="006547A7">
            <w:r>
              <w:rPr>
                <w:sz w:val="20"/>
                <w:szCs w:val="20"/>
              </w:rPr>
              <w:t>1231 (37,98) 977 (30,15)</w:t>
            </w:r>
          </w:p>
        </w:tc>
        <w:tc>
          <w:tcPr>
            <w:tcW w:w="1915" w:type="dxa"/>
          </w:tcPr>
          <w:p w14:paraId="6863481E" w14:textId="77777777" w:rsidR="006547A7" w:rsidRDefault="006547A7" w:rsidP="006547A7">
            <w:pPr>
              <w:rPr>
                <w:sz w:val="20"/>
                <w:szCs w:val="20"/>
              </w:rPr>
            </w:pPr>
            <w:r>
              <w:rPr>
                <w:sz w:val="20"/>
                <w:szCs w:val="20"/>
              </w:rPr>
              <w:t xml:space="preserve">552(16,91) </w:t>
            </w:r>
          </w:p>
          <w:p w14:paraId="7C523C1F" w14:textId="4BCF3CFB" w:rsidR="006547A7" w:rsidRDefault="006547A7" w:rsidP="006547A7">
            <w:r>
              <w:rPr>
                <w:sz w:val="20"/>
                <w:szCs w:val="20"/>
              </w:rPr>
              <w:t>151 (4,63) 1356(41,54) 1122 (34,38)</w:t>
            </w:r>
          </w:p>
        </w:tc>
        <w:tc>
          <w:tcPr>
            <w:tcW w:w="1915" w:type="dxa"/>
          </w:tcPr>
          <w:p w14:paraId="79D95CA1" w14:textId="377301D8" w:rsidR="006547A7" w:rsidRDefault="006547A7" w:rsidP="006547A7">
            <w:r>
              <w:rPr>
                <w:sz w:val="20"/>
                <w:szCs w:val="20"/>
              </w:rPr>
              <w:t>0,90 [0,80; 1,02] 0,74 [0,58;0,94] 0,89 [0,82;0,96] 0,85 [0,78; 0,92]</w:t>
            </w:r>
          </w:p>
        </w:tc>
        <w:tc>
          <w:tcPr>
            <w:tcW w:w="1916" w:type="dxa"/>
          </w:tcPr>
          <w:p w14:paraId="7E6DBB25" w14:textId="77777777" w:rsidR="006547A7" w:rsidRDefault="006547A7" w:rsidP="006547A7">
            <w:pPr>
              <w:rPr>
                <w:sz w:val="20"/>
                <w:szCs w:val="20"/>
              </w:rPr>
            </w:pPr>
            <w:r>
              <w:rPr>
                <w:sz w:val="20"/>
                <w:szCs w:val="20"/>
              </w:rPr>
              <w:t xml:space="preserve">0,092 </w:t>
            </w:r>
          </w:p>
          <w:p w14:paraId="7FCEA5AF" w14:textId="77777777" w:rsidR="006547A7" w:rsidRDefault="006547A7" w:rsidP="006547A7">
            <w:pPr>
              <w:rPr>
                <w:sz w:val="20"/>
                <w:szCs w:val="20"/>
              </w:rPr>
            </w:pPr>
            <w:r>
              <w:rPr>
                <w:sz w:val="20"/>
                <w:szCs w:val="20"/>
              </w:rPr>
              <w:t xml:space="preserve">0,014 </w:t>
            </w:r>
          </w:p>
          <w:p w14:paraId="4F9A7E7C" w14:textId="77777777" w:rsidR="006547A7" w:rsidRDefault="006547A7" w:rsidP="006547A7">
            <w:pPr>
              <w:rPr>
                <w:sz w:val="20"/>
                <w:szCs w:val="20"/>
              </w:rPr>
            </w:pPr>
            <w:r>
              <w:rPr>
                <w:sz w:val="20"/>
                <w:szCs w:val="20"/>
              </w:rPr>
              <w:t xml:space="preserve">0,003 </w:t>
            </w:r>
          </w:p>
          <w:p w14:paraId="22C397EF" w14:textId="35B72F33" w:rsidR="006547A7" w:rsidRDefault="006547A7" w:rsidP="006547A7">
            <w:r>
              <w:rPr>
                <w:sz w:val="20"/>
                <w:szCs w:val="20"/>
              </w:rPr>
              <w:t>0,0002</w:t>
            </w:r>
          </w:p>
        </w:tc>
      </w:tr>
    </w:tbl>
    <w:p w14:paraId="1F22FA8F" w14:textId="1F1E8F6B" w:rsidR="006547A7" w:rsidRDefault="006547A7" w:rsidP="006547A7"/>
    <w:p w14:paraId="217CAAC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Понижението на първичната крайна точка е наблюдавано постоянно, независимо от пол, клас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исхемична или неисхемична етиология на сърдечната недостатъчност и анамнеза за съпътстващ диабет или хипертония.</w:t>
      </w:r>
    </w:p>
    <w:p w14:paraId="7270AD52" w14:textId="46AF6808" w:rsidR="006547A7" w:rsidRPr="006547A7" w:rsidRDefault="006547A7" w:rsidP="006547A7">
      <w:pPr>
        <w:rPr>
          <w:rFonts w:cs="Arial"/>
          <w:sz w:val="24"/>
        </w:rPr>
      </w:pPr>
    </w:p>
    <w:p w14:paraId="5AEB5AF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В подгрупата пациенти със сърдечна честота ≥75 уд./ мин. (</w:t>
      </w:r>
      <w:r w:rsidRPr="006547A7">
        <w:rPr>
          <w:rFonts w:eastAsia="Times New Roman" w:cs="Arial"/>
          <w:color w:val="000000"/>
          <w:szCs w:val="20"/>
          <w:lang w:val="en-US"/>
        </w:rPr>
        <w:t>n</w:t>
      </w:r>
      <w:r w:rsidRPr="006547A7">
        <w:rPr>
          <w:rFonts w:eastAsia="Times New Roman" w:cs="Arial"/>
          <w:color w:val="000000"/>
          <w:szCs w:val="20"/>
          <w:lang w:eastAsia="bg-BG"/>
        </w:rPr>
        <w:t>=4150) е наблюдавано по-голямо намаление на първичната съставна крайна точка от 24% (коефициент на риска: 0,76,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[0,68;0,85] - р&lt;0,0001) и на другите вторични крайни точки, включително обща смъртност (коефициент на риска: 0,83,95%С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[0,72;0,96] - р=0,0109) и сърдечно-съдова смърт (коефициент на риска: 0,83,</w:t>
      </w:r>
      <w:r w:rsidRPr="006547A7">
        <w:rPr>
          <w:rFonts w:eastAsia="Times New Roman" w:cs="Arial"/>
          <w:color w:val="000000"/>
          <w:szCs w:val="20"/>
          <w:lang w:val="ru-RU"/>
        </w:rPr>
        <w:t xml:space="preserve"> </w:t>
      </w:r>
      <w:r w:rsidRPr="006547A7">
        <w:rPr>
          <w:rFonts w:eastAsia="Times New Roman" w:cs="Arial"/>
          <w:color w:val="000000"/>
          <w:szCs w:val="20"/>
          <w:lang w:eastAsia="bg-BG"/>
        </w:rPr>
        <w:t>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[0,71;0,97] - р=0,0166). В тази подгрупа пациенти профилът на безопасност на ивабрадин е в съответствие с този в общата популация.</w:t>
      </w:r>
    </w:p>
    <w:p w14:paraId="4B03F0FE" w14:textId="77777777" w:rsidR="006547A7" w:rsidRPr="006547A7" w:rsidRDefault="006547A7" w:rsidP="006547A7">
      <w:pPr>
        <w:spacing w:line="240" w:lineRule="auto"/>
        <w:rPr>
          <w:rFonts w:eastAsia="Times New Roman" w:cs="Arial"/>
          <w:color w:val="000000"/>
          <w:szCs w:val="20"/>
          <w:lang w:eastAsia="bg-BG"/>
        </w:rPr>
      </w:pPr>
    </w:p>
    <w:p w14:paraId="120CAD97" w14:textId="5EADC24D"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Значим ефект е наблюдаван върху първичната съставна крайна точка в общата група пациенти, които са получавали лечение с бета-блокери (коефициент на риска: 0,85,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[0,76;0,94]). В подгрупата пациенти със сърдечна честота ≥75 уд./ мин. и на препоръчителната таргетна доза бета-блокер не е наблюдавана статистически значима полза върху първичната съставна крайна точка (коефициент на риска: 0,97,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[0,74;</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1,28]) и другите вторични крайни точки, включително хоспитализация поради влошаване на сърдечната недостатъчност (коефициент на риска: 0,79, 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[0,56;1,10]) или смърт поради сърдечна недостатъчност (коефициент на риска: 0,69,95%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[0,31 ;1,53]).</w:t>
      </w:r>
    </w:p>
    <w:p w14:paraId="6B3A2932" w14:textId="77777777" w:rsidR="006547A7" w:rsidRPr="006547A7" w:rsidRDefault="006547A7" w:rsidP="006547A7">
      <w:pPr>
        <w:spacing w:line="240" w:lineRule="auto"/>
        <w:rPr>
          <w:rFonts w:eastAsia="Times New Roman" w:cs="Arial"/>
          <w:color w:val="000000"/>
          <w:szCs w:val="20"/>
          <w:lang w:eastAsia="bg-BG"/>
        </w:rPr>
      </w:pPr>
    </w:p>
    <w:p w14:paraId="0B6C2BC3" w14:textId="7141252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Налице е значително подобрение на класа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спрямо последната отчетена стойност: 887 (28%) от пациентите на ивабрадин са с подобрено състояние спрямо 776 (24%) от пациентите на плацебо (р=0.001).</w:t>
      </w:r>
    </w:p>
    <w:p w14:paraId="26CF9332" w14:textId="77777777" w:rsidR="006547A7" w:rsidRPr="006547A7" w:rsidRDefault="006547A7" w:rsidP="006547A7">
      <w:pPr>
        <w:spacing w:line="240" w:lineRule="auto"/>
        <w:rPr>
          <w:rFonts w:eastAsia="Times New Roman" w:cs="Arial"/>
          <w:color w:val="000000"/>
          <w:szCs w:val="20"/>
          <w:lang w:eastAsia="bg-BG"/>
        </w:rPr>
      </w:pPr>
    </w:p>
    <w:p w14:paraId="4FD78A44" w14:textId="0EC14061"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97 пациента, данните, събрани при специфични офталмологични прегледи, целящи документиране на функцията на системите от пръчици и колбички и на възходящия зрителен път (например </w:t>
      </w:r>
      <w:r w:rsidRPr="006547A7">
        <w:rPr>
          <w:rFonts w:eastAsia="Times New Roman" w:cs="Arial"/>
          <w:color w:val="000000"/>
          <w:szCs w:val="20"/>
          <w:lang w:eastAsia="bg-BG"/>
        </w:rPr>
        <w:lastRenderedPageBreak/>
        <w:t xml:space="preserve">електроретинограма, статични и кинетични зрителни полета, цветно зрение, зрителна острота), при пациенти, лекувани с ивабрадин за хронична стенокардия за период от повече от </w:t>
      </w:r>
      <w:r w:rsidRPr="006547A7">
        <w:rPr>
          <w:rFonts w:eastAsia="Times New Roman" w:cs="Arial"/>
          <w:i/>
          <w:iCs/>
          <w:color w:val="000000"/>
          <w:szCs w:val="20"/>
          <w:lang w:eastAsia="bg-BG"/>
        </w:rPr>
        <w:t>3</w:t>
      </w:r>
      <w:r w:rsidRPr="006547A7">
        <w:rPr>
          <w:rFonts w:eastAsia="Times New Roman" w:cs="Arial"/>
          <w:color w:val="000000"/>
          <w:szCs w:val="20"/>
          <w:lang w:eastAsia="bg-BG"/>
        </w:rPr>
        <w:t xml:space="preserve"> години, не показват ретинална токсичност.</w:t>
      </w:r>
    </w:p>
    <w:p w14:paraId="2F9553EC" w14:textId="77777777" w:rsidR="006547A7" w:rsidRPr="006547A7" w:rsidRDefault="006547A7" w:rsidP="006547A7">
      <w:pPr>
        <w:spacing w:line="240" w:lineRule="auto"/>
        <w:rPr>
          <w:rFonts w:eastAsia="Times New Roman" w:cs="Arial"/>
          <w:color w:val="000000"/>
          <w:szCs w:val="20"/>
          <w:u w:val="single"/>
          <w:lang w:eastAsia="bg-BG"/>
        </w:rPr>
      </w:pPr>
    </w:p>
    <w:p w14:paraId="1AE035E9" w14:textId="314B44A6"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Педиатрична популация</w:t>
      </w:r>
    </w:p>
    <w:p w14:paraId="2680F201" w14:textId="6DE9DA8E" w:rsidR="006547A7" w:rsidRPr="006547A7" w:rsidRDefault="006547A7" w:rsidP="006547A7">
      <w:pPr>
        <w:spacing w:line="240" w:lineRule="auto"/>
        <w:rPr>
          <w:rFonts w:eastAsia="Times New Roman" w:cs="Arial"/>
          <w:sz w:val="28"/>
          <w:szCs w:val="24"/>
          <w:lang w:val="en-US"/>
        </w:rPr>
      </w:pPr>
      <w:r w:rsidRPr="006547A7">
        <w:rPr>
          <w:rFonts w:eastAsia="Times New Roman" w:cs="Arial"/>
          <w:color w:val="000000"/>
          <w:szCs w:val="20"/>
          <w:lang w:eastAsia="bg-BG"/>
        </w:rPr>
        <w:t xml:space="preserve">Проведено е рандомизирано, двойносляпо, плацебо контролирано проучване, обхващащо 116 педиатрични пациента (17 на възраст 6-12 месеца, 36 на възраст 1-3 години и 63 на възраст 3-18 години) с ИБС и дилатативна кардиомиопатия (ДКМ) на фона на оптимално основно лечение. 74 са получили ивабрадин (съотношение 2:1). Началната доза е била 0,02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във възрастовата подгрупа 6-12 месеца, 0,05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1-3 години и 3-18 години &lt;40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 2,5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3-18 години и ≥40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Дозата е адаптирана в зависимост от терапевтичния отговор с максимални дози от съответно 0,2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0,3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15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При това проучване ивабрадин е приеман под формата на</w:t>
      </w:r>
    </w:p>
    <w:p w14:paraId="3BD0D958" w14:textId="77777777" w:rsidR="006547A7" w:rsidRPr="006547A7" w:rsidRDefault="006547A7" w:rsidP="006547A7">
      <w:pPr>
        <w:spacing w:line="240" w:lineRule="auto"/>
        <w:rPr>
          <w:rFonts w:eastAsia="Times New Roman" w:cs="Arial"/>
          <w:sz w:val="28"/>
          <w:szCs w:val="24"/>
        </w:rPr>
      </w:pPr>
    </w:p>
    <w:p w14:paraId="21302CE4"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перорален течен разтвор или таблетка два пъти дневно. Отсъствието на фармакокинетични</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разлики между двете форми е доказано при отворено, рандомизирано, кръстосано проучване в два периода, обхващащо 24 здрави възрастни доброволци.</w:t>
      </w:r>
    </w:p>
    <w:p w14:paraId="5036E2D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Постигнато е понижение на сърдечната честота с 20% без брадикардия при 69,9% от пациентите в групата на ивабрадин спрямо 12,2% в плацебо групата по време на периода на титриране от 2 до 8 седмица (съотношение на шансовете: Е = 17,24,95%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[5,91; 50,30]).</w:t>
      </w:r>
    </w:p>
    <w:p w14:paraId="64A96543"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Средните дози ивабрадин, които позволяват да се постигне 20% понижение на сърдечната честота са били 0,13 ± 0,04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0,10 ± 0,04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4,1 ± 2,2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съответно в подгрупите 1-3 години, 3-18 години и &lt;40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и 3-18 години и</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≥40 </w:t>
      </w:r>
      <w:r w:rsidRPr="006547A7">
        <w:rPr>
          <w:rFonts w:eastAsia="Times New Roman" w:cs="Arial"/>
          <w:color w:val="000000"/>
          <w:szCs w:val="20"/>
          <w:lang w:val="en-US"/>
        </w:rPr>
        <w:t>kg</w:t>
      </w:r>
      <w:r w:rsidRPr="006547A7">
        <w:rPr>
          <w:rFonts w:eastAsia="Times New Roman" w:cs="Arial"/>
          <w:color w:val="000000"/>
          <w:szCs w:val="20"/>
          <w:lang w:val="ru-RU"/>
        </w:rPr>
        <w:t>.</w:t>
      </w:r>
    </w:p>
    <w:p w14:paraId="519EB1A7"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Средно </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се е повишила от 31,8% до 45,3% на М012 в групата на ивабрадин спрямо 35,4% до 42,3% в плацебо групата. Наблюдавано е подобрение в класа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при 37,7% от пациентите на ивабрадин спрямо 25,0% в плацебо групата. Тези подобрения нямат статистическа значимост.</w:t>
      </w:r>
    </w:p>
    <w:p w14:paraId="5012263D"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Профилът на безопасност над 1 година е сходен с този, описан при възрастни пациенти с ИБС.</w:t>
      </w:r>
    </w:p>
    <w:p w14:paraId="69BD0B16" w14:textId="77777777" w:rsidR="006547A7" w:rsidRPr="006547A7" w:rsidRDefault="006547A7" w:rsidP="006547A7">
      <w:pPr>
        <w:spacing w:line="240" w:lineRule="auto"/>
        <w:rPr>
          <w:rFonts w:eastAsia="Times New Roman" w:cs="Arial"/>
          <w:color w:val="000000"/>
          <w:szCs w:val="20"/>
          <w:lang w:eastAsia="bg-BG"/>
        </w:rPr>
      </w:pPr>
    </w:p>
    <w:p w14:paraId="6351D271" w14:textId="0618352F"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 възраст за понижаване на сърдечно-съдовата заболеваемост и смъртност не са проучени.</w:t>
      </w:r>
    </w:p>
    <w:p w14:paraId="5C460AC6" w14:textId="77777777" w:rsidR="006547A7" w:rsidRPr="006547A7" w:rsidRDefault="006547A7" w:rsidP="006547A7">
      <w:pPr>
        <w:spacing w:line="240" w:lineRule="auto"/>
        <w:rPr>
          <w:rFonts w:eastAsia="Times New Roman" w:cs="Arial"/>
          <w:color w:val="000000"/>
          <w:szCs w:val="20"/>
          <w:lang w:eastAsia="bg-BG"/>
        </w:rPr>
      </w:pPr>
    </w:p>
    <w:p w14:paraId="5503228D" w14:textId="59383495"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Европейската агенция по лекарствата освобождава от задължението за предоставяне на</w:t>
      </w:r>
    </w:p>
    <w:p w14:paraId="74514B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резултати от проучванията с ивабрадин във всички подгрупи на педиатричната популация лечение на стенокардия.</w:t>
      </w:r>
    </w:p>
    <w:p w14:paraId="562EDBA9" w14:textId="6DC92909" w:rsidR="006547A7" w:rsidRPr="006547A7" w:rsidRDefault="006547A7" w:rsidP="006547A7">
      <w:pPr>
        <w:spacing w:line="240" w:lineRule="auto"/>
        <w:rPr>
          <w:rFonts w:eastAsia="Times New Roman" w:cs="Arial"/>
          <w:sz w:val="28"/>
          <w:szCs w:val="24"/>
          <w:lang w:val="ru-RU"/>
        </w:rPr>
      </w:pPr>
      <w:r w:rsidRPr="006547A7">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 от проучванията с ивабрадин при деца на възраст от 0 до б месеца за лечение на хронична сърдечна недостатъчност.</w:t>
      </w:r>
    </w:p>
    <w:p w14:paraId="5236E468" w14:textId="77777777" w:rsidR="006547A7" w:rsidRPr="006547A7" w:rsidRDefault="006547A7" w:rsidP="006547A7"/>
    <w:p w14:paraId="78DD93AA" w14:textId="47A3A094" w:rsidR="00B6672E" w:rsidRDefault="002C50EE" w:rsidP="00936AD0">
      <w:pPr>
        <w:pStyle w:val="Heading2"/>
      </w:pPr>
      <w:r>
        <w:t>5.2. Фармакокинетични свойства</w:t>
      </w:r>
    </w:p>
    <w:p w14:paraId="6B543AA2" w14:textId="195A5622" w:rsidR="006547A7" w:rsidRDefault="006547A7" w:rsidP="006547A7"/>
    <w:p w14:paraId="2D635EDB"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физиологични условия ивабрадин се освобождава бързо от таблетките и има висока водоразтворимост (&gt;10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Ивабрадин е </w:t>
      </w:r>
      <w:r w:rsidRPr="006547A7">
        <w:rPr>
          <w:rFonts w:eastAsia="Times New Roman" w:cs="Arial"/>
          <w:color w:val="000000"/>
          <w:szCs w:val="20"/>
          <w:lang w:val="en-US"/>
        </w:rPr>
        <w:t>S</w:t>
      </w:r>
      <w:r w:rsidRPr="006547A7">
        <w:rPr>
          <w:rFonts w:eastAsia="Times New Roman" w:cs="Arial"/>
          <w:color w:val="000000"/>
          <w:szCs w:val="20"/>
          <w:lang w:eastAsia="bg-BG"/>
        </w:rPr>
        <w:t xml:space="preserve">-енантиомер, който не претърпява </w:t>
      </w:r>
      <w:r w:rsidRPr="006547A7">
        <w:rPr>
          <w:rFonts w:eastAsia="Times New Roman" w:cs="Arial"/>
          <w:color w:val="000000"/>
          <w:szCs w:val="20"/>
          <w:lang w:eastAsia="bg-BG"/>
        </w:rPr>
        <w:lastRenderedPageBreak/>
        <w:t xml:space="preserve">биоконверсия </w:t>
      </w:r>
      <w:r w:rsidRPr="006547A7">
        <w:rPr>
          <w:rFonts w:eastAsia="Times New Roman" w:cs="Arial"/>
          <w:i/>
          <w:iCs/>
          <w:color w:val="000000"/>
          <w:szCs w:val="20"/>
          <w:lang w:val="en-US"/>
        </w:rPr>
        <w:t>in</w:t>
      </w:r>
      <w:r w:rsidRPr="006547A7">
        <w:rPr>
          <w:rFonts w:eastAsia="Times New Roman" w:cs="Arial"/>
          <w:i/>
          <w:iCs/>
          <w:color w:val="000000"/>
          <w:szCs w:val="20"/>
          <w:lang w:val="ru-RU"/>
        </w:rPr>
        <w:t xml:space="preserve"> </w:t>
      </w:r>
      <w:r w:rsidRPr="006547A7">
        <w:rPr>
          <w:rFonts w:eastAsia="Times New Roman" w:cs="Arial"/>
          <w:i/>
          <w:iCs/>
          <w:color w:val="000000"/>
          <w:szCs w:val="20"/>
          <w:lang w:val="en-US"/>
        </w:rPr>
        <w:t>vivo</w:t>
      </w:r>
      <w:r w:rsidRPr="006547A7">
        <w:rPr>
          <w:rFonts w:eastAsia="Times New Roman" w:cs="Arial"/>
          <w:i/>
          <w:iCs/>
          <w:color w:val="000000"/>
          <w:szCs w:val="20"/>
          <w:lang w:val="ru-RU"/>
        </w:rPr>
        <w:t>,</w:t>
      </w:r>
      <w:r w:rsidRPr="006547A7">
        <w:rPr>
          <w:rFonts w:eastAsia="Times New Roman" w:cs="Arial"/>
          <w:color w:val="000000"/>
          <w:szCs w:val="20"/>
          <w:lang w:val="ru-RU"/>
        </w:rPr>
        <w:t xml:space="preserve"> </w:t>
      </w:r>
      <w:r w:rsidRPr="006547A7">
        <w:rPr>
          <w:rFonts w:eastAsia="Times New Roman" w:cs="Arial"/>
          <w:color w:val="000000"/>
          <w:szCs w:val="20"/>
          <w:lang w:val="en-US"/>
        </w:rPr>
        <w:t>N</w:t>
      </w:r>
      <w:r w:rsidRPr="006547A7">
        <w:rPr>
          <w:rFonts w:eastAsia="Times New Roman" w:cs="Arial"/>
          <w:color w:val="000000"/>
          <w:szCs w:val="20"/>
          <w:lang w:eastAsia="bg-BG"/>
        </w:rPr>
        <w:t>-дезметилираният дериват на ивабрадин е идентифициран като основния активен метаболит при хора.</w:t>
      </w:r>
    </w:p>
    <w:p w14:paraId="15819606" w14:textId="77777777" w:rsidR="006547A7" w:rsidRPr="006547A7" w:rsidRDefault="006547A7" w:rsidP="006547A7">
      <w:pPr>
        <w:spacing w:line="240" w:lineRule="auto"/>
        <w:rPr>
          <w:rFonts w:eastAsia="Times New Roman" w:cs="Arial"/>
          <w:color w:val="000000"/>
          <w:szCs w:val="20"/>
          <w:u w:val="single"/>
          <w:lang w:eastAsia="bg-BG"/>
        </w:rPr>
      </w:pPr>
    </w:p>
    <w:p w14:paraId="583ACCC0" w14:textId="0CA79EBE" w:rsidR="006547A7" w:rsidRPr="006547A7" w:rsidRDefault="006547A7" w:rsidP="006547A7">
      <w:pPr>
        <w:pStyle w:val="Heading3"/>
        <w:rPr>
          <w:rFonts w:eastAsia="Times New Roman"/>
          <w:sz w:val="28"/>
          <w:u w:val="single"/>
        </w:rPr>
      </w:pPr>
      <w:r w:rsidRPr="006547A7">
        <w:rPr>
          <w:rFonts w:eastAsia="Times New Roman"/>
          <w:u w:val="single"/>
          <w:lang w:eastAsia="bg-BG"/>
        </w:rPr>
        <w:t>Абсорбция и бионаличност</w:t>
      </w:r>
    </w:p>
    <w:p w14:paraId="39A724CD" w14:textId="27652418" w:rsidR="006547A7" w:rsidRPr="006547A7" w:rsidRDefault="006547A7" w:rsidP="006547A7">
      <w:pPr>
        <w:rPr>
          <w:rFonts w:eastAsia="Times New Roman" w:cs="Arial"/>
          <w:color w:val="000000"/>
          <w:szCs w:val="20"/>
          <w:lang w:eastAsia="bg-BG"/>
        </w:rPr>
      </w:pPr>
      <w:r w:rsidRPr="006547A7">
        <w:rPr>
          <w:rFonts w:eastAsia="Times New Roman" w:cs="Arial"/>
          <w:color w:val="000000"/>
          <w:szCs w:val="20"/>
          <w:lang w:eastAsia="bg-BG"/>
        </w:rPr>
        <w:t>Ивабрадин се абсорбира бързо и почти изцяло след перорално приложение, а пикови плазмени концентрации се достигат в рамките на около 1 час на гладно. Абсолютната бионаличност на филмираните таблетки е около 40% поради ефекта на първо преминаване в червата и черния дроб.</w:t>
      </w:r>
    </w:p>
    <w:p w14:paraId="6E26843C" w14:textId="56ABD1A1" w:rsidR="006547A7" w:rsidRPr="006547A7" w:rsidRDefault="006547A7" w:rsidP="006547A7">
      <w:pPr>
        <w:rPr>
          <w:rFonts w:eastAsia="Times New Roman" w:cs="Arial"/>
          <w:color w:val="000000"/>
          <w:szCs w:val="20"/>
          <w:lang w:eastAsia="bg-BG"/>
        </w:rPr>
      </w:pPr>
    </w:p>
    <w:p w14:paraId="56C5C8B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Храната забавя абсорбцията с приблизително 1 час и повишава плазмената експозиция с 20 до 30%. Прием на таблетките по време на хранене се препоръчва, за да се намали интериндивидуалната вариабилност на експозицията (вижте точка 4.2).</w:t>
      </w:r>
    </w:p>
    <w:p w14:paraId="0D9B8626" w14:textId="77777777" w:rsidR="006547A7" w:rsidRPr="006547A7" w:rsidRDefault="006547A7" w:rsidP="006547A7">
      <w:pPr>
        <w:spacing w:line="240" w:lineRule="auto"/>
        <w:rPr>
          <w:rFonts w:eastAsia="Times New Roman" w:cs="Arial"/>
          <w:color w:val="000000"/>
          <w:szCs w:val="20"/>
          <w:u w:val="single"/>
          <w:lang w:eastAsia="bg-BG"/>
        </w:rPr>
      </w:pPr>
    </w:p>
    <w:p w14:paraId="7CB2C31D" w14:textId="23DDC356" w:rsidR="006547A7" w:rsidRPr="006547A7" w:rsidRDefault="006547A7" w:rsidP="006547A7">
      <w:pPr>
        <w:pStyle w:val="Heading3"/>
        <w:rPr>
          <w:rFonts w:eastAsia="Times New Roman"/>
          <w:sz w:val="28"/>
          <w:u w:val="single"/>
        </w:rPr>
      </w:pPr>
      <w:r w:rsidRPr="006547A7">
        <w:rPr>
          <w:rFonts w:eastAsia="Times New Roman"/>
          <w:u w:val="single"/>
          <w:lang w:eastAsia="bg-BG"/>
        </w:rPr>
        <w:t>Разпределение</w:t>
      </w:r>
    </w:p>
    <w:p w14:paraId="70F4222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свързва с плазмените протеини приблизително 70%, а обемът на разпределение при пациенти е близък до 100 1. Максималната плазмена концентрация след хронично приложение при препоръчителната доза от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22 </w:t>
      </w:r>
      <w:r w:rsidRPr="006547A7">
        <w:rPr>
          <w:rFonts w:eastAsia="Times New Roman" w:cs="Arial"/>
          <w:color w:val="000000"/>
          <w:szCs w:val="20"/>
          <w:lang w:val="en-US"/>
        </w:rPr>
        <w:t>ng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val="en-US"/>
        </w:rPr>
        <w:t>CV</w:t>
      </w:r>
      <w:r w:rsidRPr="006547A7">
        <w:rPr>
          <w:rFonts w:eastAsia="Times New Roman" w:cs="Arial"/>
          <w:color w:val="000000"/>
          <w:szCs w:val="20"/>
          <w:lang w:val="ru-RU"/>
        </w:rPr>
        <w:t xml:space="preserve">==29%). </w:t>
      </w:r>
      <w:r w:rsidRPr="006547A7">
        <w:rPr>
          <w:rFonts w:eastAsia="Times New Roman" w:cs="Arial"/>
          <w:color w:val="000000"/>
          <w:szCs w:val="20"/>
          <w:lang w:eastAsia="bg-BG"/>
        </w:rPr>
        <w:t xml:space="preserve">Средната плазмена концентрация в стабилно състояние е 10 </w:t>
      </w:r>
      <w:r w:rsidRPr="006547A7">
        <w:rPr>
          <w:rFonts w:eastAsia="Times New Roman" w:cs="Arial"/>
          <w:color w:val="000000"/>
          <w:szCs w:val="20"/>
          <w:lang w:val="en-US"/>
        </w:rPr>
        <w:t>ng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val="en-US"/>
        </w:rPr>
        <w:t>CV</w:t>
      </w:r>
      <w:r w:rsidRPr="006547A7">
        <w:rPr>
          <w:rFonts w:eastAsia="Times New Roman" w:cs="Arial"/>
          <w:color w:val="000000"/>
          <w:szCs w:val="20"/>
          <w:lang w:val="ru-RU"/>
        </w:rPr>
        <w:t>-38%).</w:t>
      </w:r>
    </w:p>
    <w:p w14:paraId="26D162B3" w14:textId="77777777" w:rsidR="006547A7" w:rsidRPr="006547A7" w:rsidRDefault="006547A7" w:rsidP="006547A7">
      <w:pPr>
        <w:spacing w:line="240" w:lineRule="auto"/>
        <w:rPr>
          <w:rFonts w:eastAsia="Times New Roman" w:cs="Arial"/>
          <w:color w:val="000000"/>
          <w:szCs w:val="20"/>
          <w:u w:val="single"/>
          <w:lang w:eastAsia="bg-BG"/>
        </w:rPr>
      </w:pPr>
    </w:p>
    <w:p w14:paraId="60CFEEE3" w14:textId="2276135C" w:rsidR="006547A7" w:rsidRPr="006547A7" w:rsidRDefault="006547A7" w:rsidP="006547A7">
      <w:pPr>
        <w:pStyle w:val="Heading3"/>
        <w:rPr>
          <w:rFonts w:eastAsia="Times New Roman"/>
          <w:sz w:val="28"/>
          <w:u w:val="single"/>
        </w:rPr>
      </w:pPr>
      <w:r w:rsidRPr="006547A7">
        <w:rPr>
          <w:rFonts w:eastAsia="Times New Roman"/>
          <w:u w:val="single"/>
          <w:lang w:eastAsia="bg-BG"/>
        </w:rPr>
        <w:t>БиотрансФормация</w:t>
      </w:r>
    </w:p>
    <w:p w14:paraId="240C72E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метаболизира предимно в черния дроб и червата само чрез оксидация с цитохорм Р450 ЗА4 </w:t>
      </w:r>
      <w:r w:rsidRPr="006547A7">
        <w:rPr>
          <w:rFonts w:eastAsia="Times New Roman" w:cs="Arial"/>
          <w:color w:val="000000"/>
          <w:szCs w:val="20"/>
          <w:lang w:val="ru-RU"/>
        </w:rPr>
        <w:t>(</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Основният активен метаболит е </w:t>
      </w:r>
      <w:r w:rsidRPr="006547A7">
        <w:rPr>
          <w:rFonts w:eastAsia="Times New Roman" w:cs="Arial"/>
          <w:color w:val="000000"/>
          <w:szCs w:val="20"/>
          <w:lang w:val="en-US"/>
        </w:rPr>
        <w:t>N</w:t>
      </w:r>
      <w:r w:rsidRPr="006547A7">
        <w:rPr>
          <w:rFonts w:eastAsia="Times New Roman" w:cs="Arial"/>
          <w:color w:val="000000"/>
          <w:szCs w:val="20"/>
          <w:lang w:eastAsia="bg-BG"/>
        </w:rPr>
        <w:t xml:space="preserve">-дезметилираният дериват </w:t>
      </w:r>
      <w:r w:rsidRPr="006547A7">
        <w:rPr>
          <w:rFonts w:eastAsia="Times New Roman" w:cs="Arial"/>
          <w:color w:val="000000"/>
          <w:szCs w:val="20"/>
          <w:lang w:val="ru-RU"/>
        </w:rPr>
        <w:t>(</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18982) с експозиция около 40% от тази на изходното вещество. Метаболизмът на този активен метаболит включва също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Ивабрадин има слаб афинитет към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не показва клинично значими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индукция или инхибиране и поради това е малко вероятно да промени метаболизма или плзмените концентрации на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субстратите. Напротив, мощните инхибитори и индукгори могат значимо да повлияят плазмените концентрации на ивабрадин (вижте точка 4.5).</w:t>
      </w:r>
    </w:p>
    <w:p w14:paraId="09302C36" w14:textId="77777777" w:rsidR="006547A7" w:rsidRPr="006547A7" w:rsidRDefault="006547A7" w:rsidP="006547A7">
      <w:pPr>
        <w:spacing w:line="240" w:lineRule="auto"/>
        <w:rPr>
          <w:rFonts w:eastAsia="Times New Roman" w:cs="Arial"/>
          <w:color w:val="000000"/>
          <w:szCs w:val="20"/>
          <w:u w:val="single"/>
          <w:lang w:eastAsia="bg-BG"/>
        </w:rPr>
      </w:pPr>
    </w:p>
    <w:p w14:paraId="0C9FD13F" w14:textId="49C4424C" w:rsidR="006547A7" w:rsidRPr="006547A7" w:rsidRDefault="006547A7" w:rsidP="006547A7">
      <w:pPr>
        <w:pStyle w:val="Heading3"/>
        <w:rPr>
          <w:rFonts w:eastAsia="Times New Roman"/>
          <w:sz w:val="28"/>
          <w:u w:val="single"/>
        </w:rPr>
      </w:pPr>
      <w:r w:rsidRPr="006547A7">
        <w:rPr>
          <w:rFonts w:eastAsia="Times New Roman"/>
          <w:u w:val="single"/>
          <w:lang w:eastAsia="bg-BG"/>
        </w:rPr>
        <w:t>Елиминиране</w:t>
      </w:r>
    </w:p>
    <w:p w14:paraId="6A2B178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елиминира с основен полуживот от 2 часа (70-75% от </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в плазмата и ефективен полуживот от 11 часа. Общият клирънс е около 400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 бъбречният клирънс е около 70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Екскрецията на метаболитите се осъществява в сходна степен чрез изпражненията и урината. Около 4% от пероралната доза се екскретират в непроменен вид в урината.</w:t>
      </w:r>
    </w:p>
    <w:p w14:paraId="262AF192" w14:textId="77777777" w:rsidR="006547A7" w:rsidRPr="006547A7" w:rsidRDefault="006547A7" w:rsidP="006547A7">
      <w:pPr>
        <w:spacing w:line="240" w:lineRule="auto"/>
        <w:rPr>
          <w:rFonts w:eastAsia="Times New Roman" w:cs="Arial"/>
          <w:color w:val="000000"/>
          <w:szCs w:val="20"/>
          <w:u w:val="single"/>
          <w:lang w:eastAsia="bg-BG"/>
        </w:rPr>
      </w:pPr>
    </w:p>
    <w:p w14:paraId="1231A3DB" w14:textId="181CDBDA"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Линейност/ нелинейност</w:t>
      </w:r>
    </w:p>
    <w:p w14:paraId="1567C2EE"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Кинетиката на ивабрадин е линейна в диапазона на перорално дозиране от 0,5 - 24 0.5 - 24 </w:t>
      </w:r>
      <w:r w:rsidRPr="006547A7">
        <w:rPr>
          <w:rFonts w:eastAsia="Times New Roman" w:cs="Arial"/>
          <w:color w:val="000000"/>
          <w:szCs w:val="20"/>
          <w:lang w:val="en-US"/>
        </w:rPr>
        <w:t>mg</w:t>
      </w:r>
      <w:r w:rsidRPr="006547A7">
        <w:rPr>
          <w:rFonts w:eastAsia="Times New Roman" w:cs="Arial"/>
          <w:color w:val="000000"/>
          <w:szCs w:val="20"/>
          <w:lang w:val="ru-RU"/>
        </w:rPr>
        <w:t>.</w:t>
      </w:r>
    </w:p>
    <w:p w14:paraId="14A2A73D" w14:textId="77777777" w:rsidR="006547A7" w:rsidRPr="006547A7" w:rsidRDefault="006547A7" w:rsidP="006547A7">
      <w:pPr>
        <w:spacing w:line="240" w:lineRule="auto"/>
        <w:rPr>
          <w:rFonts w:eastAsia="Times New Roman" w:cs="Arial"/>
          <w:color w:val="000000"/>
          <w:szCs w:val="20"/>
          <w:u w:val="single"/>
          <w:lang w:eastAsia="bg-BG"/>
        </w:rPr>
      </w:pPr>
    </w:p>
    <w:p w14:paraId="48ADEB0B" w14:textId="58822A6E"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Специални популации</w:t>
      </w:r>
    </w:p>
    <w:p w14:paraId="531EE2E1" w14:textId="5BFCE084" w:rsidR="006547A7" w:rsidRPr="006547A7" w:rsidRDefault="006547A7" w:rsidP="006547A7">
      <w:pPr>
        <w:pStyle w:val="ListParagraph"/>
        <w:numPr>
          <w:ilvl w:val="0"/>
          <w:numId w:val="42"/>
        </w:numPr>
        <w:spacing w:line="240" w:lineRule="auto"/>
        <w:rPr>
          <w:rFonts w:eastAsia="Times New Roman" w:cs="Arial"/>
          <w:sz w:val="28"/>
          <w:szCs w:val="24"/>
        </w:rPr>
      </w:pPr>
      <w:r w:rsidRPr="006547A7">
        <w:rPr>
          <w:rFonts w:eastAsia="Times New Roman" w:cs="Arial"/>
          <w:i/>
          <w:iCs/>
          <w:color w:val="000000"/>
          <w:szCs w:val="20"/>
          <w:lang w:eastAsia="bg-BG"/>
        </w:rPr>
        <w:t>Пациенти в старческа възраст</w:t>
      </w:r>
    </w:p>
    <w:p w14:paraId="62F2C26E"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Не са наблюдавани фармакокинетични разлики </w:t>
      </w:r>
      <w:r w:rsidRPr="006547A7">
        <w:rPr>
          <w:rFonts w:eastAsia="Times New Roman" w:cs="Arial"/>
          <w:color w:val="000000"/>
          <w:szCs w:val="20"/>
          <w:lang w:val="ru-RU"/>
        </w:rPr>
        <w:t>(</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и С</w:t>
      </w:r>
      <w:r w:rsidRPr="006547A7">
        <w:rPr>
          <w:rFonts w:eastAsia="Times New Roman" w:cs="Arial"/>
          <w:color w:val="000000"/>
          <w:szCs w:val="20"/>
          <w:vertAlign w:val="subscript"/>
          <w:lang w:val="en-US"/>
        </w:rPr>
        <w:t>max</w:t>
      </w:r>
      <w:r w:rsidRPr="006547A7">
        <w:rPr>
          <w:rFonts w:eastAsia="Times New Roman" w:cs="Arial"/>
          <w:color w:val="000000"/>
          <w:szCs w:val="20"/>
          <w:lang w:eastAsia="bg-BG"/>
        </w:rPr>
        <w:t>) между възрастни пациенти (≥65 години) или пациенти в старческа възраст (≥75 години) и общата популация (вижте точка 4.2).</w:t>
      </w:r>
    </w:p>
    <w:p w14:paraId="5ADA3839" w14:textId="77777777" w:rsidR="006547A7" w:rsidRPr="006547A7" w:rsidRDefault="006547A7" w:rsidP="006547A7">
      <w:pPr>
        <w:spacing w:line="240" w:lineRule="auto"/>
        <w:rPr>
          <w:rFonts w:eastAsia="Times New Roman" w:cs="Arial"/>
          <w:i/>
          <w:iCs/>
          <w:color w:val="000000"/>
          <w:szCs w:val="20"/>
          <w:lang w:eastAsia="bg-BG"/>
        </w:rPr>
      </w:pPr>
    </w:p>
    <w:p w14:paraId="1619D6FF" w14:textId="57971A56"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Бъбречно увреждане</w:t>
      </w:r>
    </w:p>
    <w:p w14:paraId="1252EAD0"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lastRenderedPageBreak/>
        <w:t>Влиянието на бъбречното увреждане (креатининов клирънс от 15 до 60</w:t>
      </w:r>
      <w:r w:rsidRPr="006547A7">
        <w:rPr>
          <w:rFonts w:eastAsia="Times New Roman" w:cs="Arial"/>
          <w:color w:val="000000"/>
          <w:szCs w:val="20"/>
          <w:lang w:val="ru-RU"/>
        </w:rPr>
        <w:t xml:space="preserve">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върху фармакокинетиката на ивабрадин е минимално, във връзка с ниския принос на бъбречния</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клирънс (около 20%) към общата елиминация както на ивабрадин, така и на неговия основен метаболит </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18982 (вижте точка 4.2).</w:t>
      </w:r>
    </w:p>
    <w:p w14:paraId="44021A74" w14:textId="77777777" w:rsidR="006547A7" w:rsidRPr="006547A7" w:rsidRDefault="006547A7" w:rsidP="006547A7">
      <w:pPr>
        <w:spacing w:line="240" w:lineRule="auto"/>
        <w:rPr>
          <w:rFonts w:eastAsia="Times New Roman" w:cs="Arial"/>
          <w:i/>
          <w:iCs/>
          <w:color w:val="000000"/>
          <w:szCs w:val="20"/>
          <w:lang w:eastAsia="bg-BG"/>
        </w:rPr>
      </w:pPr>
    </w:p>
    <w:p w14:paraId="1206D61A" w14:textId="35B38BAC"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Чернодробно увреждане</w:t>
      </w:r>
    </w:p>
    <w:p w14:paraId="2B50613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пациенти с леко чернодробно увреждане (резултат по </w:t>
      </w:r>
      <w:r w:rsidRPr="006547A7">
        <w:rPr>
          <w:rFonts w:eastAsia="Times New Roman" w:cs="Arial"/>
          <w:color w:val="000000"/>
          <w:szCs w:val="20"/>
          <w:lang w:val="en-US"/>
        </w:rPr>
        <w:t>Child</w:t>
      </w:r>
      <w:r w:rsidRPr="006547A7">
        <w:rPr>
          <w:rFonts w:eastAsia="Times New Roman" w:cs="Arial"/>
          <w:color w:val="000000"/>
          <w:szCs w:val="20"/>
          <w:lang w:val="ru-RU"/>
        </w:rPr>
        <w:t xml:space="preserve"> </w:t>
      </w:r>
      <w:r w:rsidRPr="006547A7">
        <w:rPr>
          <w:rFonts w:eastAsia="Times New Roman" w:cs="Arial"/>
          <w:color w:val="000000"/>
          <w:szCs w:val="20"/>
          <w:lang w:val="en-US"/>
        </w:rPr>
        <w:t>Pugh</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скалата до 7) </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на несвързания ивабрадин и основния активен метаболит са били около 20% по-високи отколкото при субекти с нормална чернодробна функция. Данните не са достатъчни, за да се направят изводи при пациенти с умерено чернодробно увреждане. Няма налични данни при пациенти с тежко чернодробно увреждане (вижте точки 4.2 и 4.3).</w:t>
      </w:r>
    </w:p>
    <w:p w14:paraId="4AAB8926" w14:textId="77777777" w:rsidR="006547A7" w:rsidRPr="006547A7" w:rsidRDefault="006547A7" w:rsidP="006547A7">
      <w:pPr>
        <w:spacing w:line="240" w:lineRule="auto"/>
        <w:rPr>
          <w:rFonts w:eastAsia="Times New Roman" w:cs="Arial"/>
          <w:i/>
          <w:iCs/>
          <w:color w:val="000000"/>
          <w:szCs w:val="20"/>
          <w:lang w:eastAsia="bg-BG"/>
        </w:rPr>
      </w:pPr>
    </w:p>
    <w:p w14:paraId="45AD3BB0" w14:textId="1FBDAD3C"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Педиатрична популация</w:t>
      </w:r>
    </w:p>
    <w:p w14:paraId="21D7B332"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Фармакокинетачният профил на ивабрадин при педиатрични пациенти с хронична сърдечна недостатъчност на възраст от </w:t>
      </w:r>
      <w:r w:rsidRPr="006547A7">
        <w:rPr>
          <w:rFonts w:eastAsia="Times New Roman" w:cs="Arial"/>
          <w:i/>
          <w:iCs/>
          <w:color w:val="000000"/>
          <w:szCs w:val="20"/>
          <w:lang w:eastAsia="bg-BG"/>
        </w:rPr>
        <w:t>6</w:t>
      </w:r>
      <w:r w:rsidRPr="006547A7">
        <w:rPr>
          <w:rFonts w:eastAsia="Times New Roman" w:cs="Arial"/>
          <w:color w:val="000000"/>
          <w:szCs w:val="20"/>
          <w:lang w:eastAsia="bg-BG"/>
        </w:rPr>
        <w:t xml:space="preserve"> месеца до 18 години е сходен с фармакокинетиката, описана при възрастни, когато се прилага схемата на титриране въз основа на възрастта и теглото.</w:t>
      </w:r>
    </w:p>
    <w:p w14:paraId="2DB3977A" w14:textId="77777777" w:rsidR="006547A7" w:rsidRPr="006547A7" w:rsidRDefault="006547A7" w:rsidP="006547A7">
      <w:pPr>
        <w:spacing w:line="240" w:lineRule="auto"/>
        <w:rPr>
          <w:rFonts w:eastAsia="Times New Roman" w:cs="Arial"/>
          <w:color w:val="000000"/>
          <w:szCs w:val="20"/>
          <w:u w:val="single"/>
          <w:lang w:eastAsia="bg-BG"/>
        </w:rPr>
      </w:pPr>
    </w:p>
    <w:p w14:paraId="6B0239FC" w14:textId="31B9530B"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Връзка фармакокинетика-фармакодинамика</w:t>
      </w:r>
    </w:p>
    <w:p w14:paraId="7859B0BA" w14:textId="4F777AEC" w:rsidR="006547A7" w:rsidRPr="006547A7" w:rsidRDefault="006547A7" w:rsidP="006547A7">
      <w:pPr>
        <w:spacing w:line="240" w:lineRule="auto"/>
        <w:rPr>
          <w:rFonts w:eastAsia="Times New Roman" w:cs="Arial"/>
          <w:sz w:val="28"/>
          <w:szCs w:val="24"/>
          <w:lang w:val="ru-RU"/>
        </w:rPr>
      </w:pPr>
      <w:r w:rsidRPr="006547A7">
        <w:rPr>
          <w:rFonts w:eastAsia="Times New Roman" w:cs="Arial"/>
          <w:color w:val="000000"/>
          <w:szCs w:val="20"/>
          <w:lang w:eastAsia="bg-BG"/>
        </w:rPr>
        <w:t xml:space="preserve">Анализът на връзката фармакокинетика-фармакодинамика показва, че сърдечната честота се понижава почти линейно с повишаване на плазмените концентрации на ивабрадин и </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18982 при дози до 15-20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по-високи дози понижението на сърдечната честота вече не е пропорционално на плазмените концентрации на ивабрадин и има тенденция към достигане на плато. Високата експозиция на ивабрадин, която може да настъпи, когато ивабрадин се прилага съвместно със силни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инхибитори, може да доведе до прекомерно понижаване на сърдечната честота, въпреки че този риск е по-малък при умерени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eastAsia="bg-BG"/>
        </w:rPr>
        <w:t>А4 инхибитори (вижте точка 4.3, 4.4 и 4.5). Връзката фармакокинетика-фармакодинамика на ивабрадин при педиатрични пациенти с хронична сърдечна недостатъчност на възраст от 6 месеца до 18 години е сходна с връзката фармакокинетика-фармакодинамика, описана при възрастни.</w:t>
      </w:r>
    </w:p>
    <w:p w14:paraId="1895F39E" w14:textId="77777777" w:rsidR="006547A7" w:rsidRPr="006547A7" w:rsidRDefault="006547A7" w:rsidP="006547A7"/>
    <w:p w14:paraId="4FB791BE" w14:textId="5CC2FD73" w:rsidR="00B6672E" w:rsidRDefault="002C50EE" w:rsidP="00936AD0">
      <w:pPr>
        <w:pStyle w:val="Heading2"/>
      </w:pPr>
      <w:r>
        <w:t>5.3. Предклинични данни за безопасност</w:t>
      </w:r>
    </w:p>
    <w:p w14:paraId="3F821339" w14:textId="7C284181" w:rsidR="006547A7" w:rsidRDefault="006547A7" w:rsidP="006547A7"/>
    <w:p w14:paraId="188F9A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канцерогенен потенциал. Проучванията за репродуктивна токсичност не показват ефект на ивабрадин върху фертилитета при мъжки и женски плъхове. Когато бременни животни са лекувани по време на органогенезата с експозиции близки до терапевтичните дози е наблюдавана по-висока честота на фетуси със сърдечни дефекти при плъхове и малък брой фетуси с ектродиктилия при зайци.</w:t>
      </w:r>
    </w:p>
    <w:p w14:paraId="5825B73F"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кучета, на които е даден ивабрадин (дози от 2, 7 или 24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eastAsia="bg-BG"/>
        </w:rPr>
        <w:t>/дневно) за една година са</w:t>
      </w:r>
    </w:p>
    <w:p w14:paraId="28D6137A"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наблюдавани обратими промени в ретиналната функция, но те не са свързани с увреждания на</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очните структури. Тези данни съответстват на фармакологичния ефект на ивабрадин, свързан с взаимодействието му с хиперполяризационно активираните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токове в ретината, които са много сходни с </w:t>
      </w:r>
      <w:r w:rsidRPr="006547A7">
        <w:rPr>
          <w:rFonts w:eastAsia="Times New Roman" w:cs="Arial"/>
          <w:color w:val="000000"/>
          <w:szCs w:val="20"/>
          <w:lang w:val="en-US"/>
        </w:rPr>
        <w:t>If</w:t>
      </w:r>
      <w:r w:rsidRPr="006547A7">
        <w:rPr>
          <w:rFonts w:eastAsia="Times New Roman" w:cs="Arial"/>
          <w:color w:val="000000"/>
          <w:szCs w:val="20"/>
          <w:lang w:val="ru-RU"/>
        </w:rPr>
        <w:t xml:space="preserve"> </w:t>
      </w:r>
      <w:r w:rsidRPr="006547A7">
        <w:rPr>
          <w:rFonts w:eastAsia="Times New Roman" w:cs="Arial"/>
          <w:color w:val="000000"/>
          <w:szCs w:val="20"/>
          <w:lang w:eastAsia="bg-BG"/>
        </w:rPr>
        <w:t>тока на сърдечния пейсмейкьр.</w:t>
      </w:r>
    </w:p>
    <w:p w14:paraId="37B5FD2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Други дългосрочни проучвания с многократни дози и проучвания за карциногенност не са показали клинично значими промени.</w:t>
      </w:r>
    </w:p>
    <w:p w14:paraId="0290BAEF" w14:textId="77777777" w:rsidR="006547A7" w:rsidRPr="006547A7" w:rsidRDefault="006547A7" w:rsidP="006547A7">
      <w:pPr>
        <w:spacing w:line="240" w:lineRule="auto"/>
        <w:rPr>
          <w:rFonts w:eastAsia="Times New Roman" w:cs="Arial"/>
          <w:color w:val="000000"/>
          <w:szCs w:val="20"/>
          <w:u w:val="single"/>
          <w:lang w:eastAsia="bg-BG"/>
        </w:rPr>
      </w:pPr>
    </w:p>
    <w:p w14:paraId="5BBE5042" w14:textId="46BAAD2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lastRenderedPageBreak/>
        <w:t xml:space="preserve">Риск за околната среда </w:t>
      </w:r>
      <w:r w:rsidRPr="006547A7">
        <w:rPr>
          <w:rFonts w:eastAsia="Times New Roman" w:cs="Arial"/>
          <w:color w:val="000000"/>
          <w:szCs w:val="20"/>
          <w:u w:val="single"/>
          <w:lang w:val="ru-RU"/>
        </w:rPr>
        <w:t>(</w:t>
      </w:r>
      <w:r w:rsidRPr="006547A7">
        <w:rPr>
          <w:rFonts w:eastAsia="Times New Roman" w:cs="Arial"/>
          <w:color w:val="000000"/>
          <w:szCs w:val="20"/>
          <w:u w:val="single"/>
          <w:lang w:val="en-US"/>
        </w:rPr>
        <w:t>ERA</w:t>
      </w:r>
      <w:r w:rsidRPr="006547A7">
        <w:rPr>
          <w:rFonts w:eastAsia="Times New Roman" w:cs="Arial"/>
          <w:color w:val="000000"/>
          <w:szCs w:val="20"/>
          <w:u w:val="single"/>
          <w:lang w:val="ru-RU"/>
        </w:rPr>
        <w:t>)</w:t>
      </w:r>
    </w:p>
    <w:p w14:paraId="2F19D48F"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Оценката на риска за околната среда на ивабрадин е проведена в съответствие с европейското ръководство за </w:t>
      </w:r>
      <w:r w:rsidRPr="006547A7">
        <w:rPr>
          <w:rFonts w:eastAsia="Times New Roman" w:cs="Arial"/>
          <w:color w:val="000000"/>
          <w:szCs w:val="20"/>
          <w:lang w:val="en-US"/>
        </w:rPr>
        <w:t>ERA</w:t>
      </w:r>
      <w:r w:rsidRPr="006547A7">
        <w:rPr>
          <w:rFonts w:eastAsia="Times New Roman" w:cs="Arial"/>
          <w:color w:val="000000"/>
          <w:szCs w:val="20"/>
          <w:lang w:val="ru-RU"/>
        </w:rPr>
        <w:t>.</w:t>
      </w:r>
    </w:p>
    <w:p w14:paraId="0CFC50F6"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2F65DCDD" w14:textId="4014119E" w:rsidR="006547A7" w:rsidRPr="006547A7" w:rsidRDefault="006547A7" w:rsidP="006547A7"/>
    <w:p w14:paraId="1BA6531D" w14:textId="7B72968C" w:rsidR="00B6672E" w:rsidRDefault="002C50EE" w:rsidP="00936AD0">
      <w:pPr>
        <w:pStyle w:val="Heading1"/>
      </w:pPr>
      <w:r>
        <w:t>7. ПРИТЕЖАТЕЛ НА РАЗРЕШЕНИЕТО ЗА УПОТРЕБА</w:t>
      </w:r>
    </w:p>
    <w:p w14:paraId="760675E9" w14:textId="70E671FD" w:rsidR="006547A7" w:rsidRDefault="006547A7" w:rsidP="006547A7"/>
    <w:p w14:paraId="53AFEAF9" w14:textId="4E5CCD23" w:rsidR="006547A7" w:rsidRPr="006547A7" w:rsidRDefault="006547A7" w:rsidP="006547A7">
      <w:r>
        <w:t xml:space="preserve">Medochemie Ltd, </w:t>
      </w:r>
      <w:r>
        <w:rPr>
          <w:lang w:eastAsia="bg-BG"/>
        </w:rPr>
        <w:t xml:space="preserve">1-10 </w:t>
      </w:r>
      <w:r>
        <w:t xml:space="preserve">Constantinoupoleos Street 3011, Limassol, </w:t>
      </w:r>
      <w:r>
        <w:rPr>
          <w:lang w:eastAsia="bg-BG"/>
        </w:rPr>
        <w:t>Кипър</w:t>
      </w:r>
    </w:p>
    <w:p w14:paraId="508F3A54" w14:textId="59368C62" w:rsidR="00B6672E" w:rsidRDefault="00936AD0" w:rsidP="00936AD0">
      <w:pPr>
        <w:pStyle w:val="Heading1"/>
      </w:pPr>
      <w:r>
        <w:t>8.</w:t>
      </w:r>
      <w:r w:rsidR="002C50EE">
        <w:t>НОМЕР НА РАЗРЕШЕНИЕТО ЗА УПОТРЕБА</w:t>
      </w:r>
    </w:p>
    <w:p w14:paraId="1CB46F2F" w14:textId="511A20E9" w:rsidR="006547A7" w:rsidRDefault="006547A7" w:rsidP="006547A7"/>
    <w:p w14:paraId="79720D3D" w14:textId="3B08F79C" w:rsidR="006547A7" w:rsidRPr="006547A7" w:rsidRDefault="006547A7" w:rsidP="006547A7">
      <w:pPr>
        <w:spacing w:line="240" w:lineRule="auto"/>
        <w:rPr>
          <w:rFonts w:ascii="Times New Roman" w:eastAsia="Times New Roman" w:hAnsi="Times New Roman" w:cs="Times New Roman"/>
          <w:sz w:val="24"/>
          <w:szCs w:val="24"/>
        </w:rPr>
      </w:pPr>
      <w:r w:rsidRPr="006547A7">
        <w:rPr>
          <w:rFonts w:ascii="Times New Roman" w:eastAsia="Times New Roman" w:hAnsi="Times New Roman" w:cs="Times New Roman"/>
          <w:color w:val="000000"/>
          <w:sz w:val="20"/>
          <w:szCs w:val="20"/>
          <w:lang w:eastAsia="bg-BG"/>
        </w:rPr>
        <w:t xml:space="preserve">АПРЕДОНАВ 5 </w:t>
      </w:r>
      <w:r w:rsidRPr="006547A7">
        <w:rPr>
          <w:rFonts w:ascii="Times New Roman" w:eastAsia="Times New Roman" w:hAnsi="Times New Roman" w:cs="Times New Roman"/>
          <w:color w:val="000000"/>
          <w:sz w:val="20"/>
          <w:szCs w:val="20"/>
          <w:lang w:val="en-US"/>
        </w:rPr>
        <w:t>mg</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 xml:space="preserve">филммирани таблетки </w:t>
      </w:r>
      <w:proofErr w:type="spellStart"/>
      <w:r>
        <w:rPr>
          <w:rFonts w:ascii="Times New Roman" w:eastAsia="Times New Roman" w:hAnsi="Times New Roman" w:cs="Times New Roman"/>
          <w:color w:val="000000"/>
          <w:sz w:val="20"/>
          <w:szCs w:val="20"/>
          <w:lang w:val="en-US"/>
        </w:rPr>
        <w:t>Pe</w:t>
      </w:r>
      <w:proofErr w:type="spellEnd"/>
      <w:r>
        <w:rPr>
          <w:rFonts w:ascii="Times New Roman" w:eastAsia="Times New Roman" w:hAnsi="Times New Roman" w:cs="Times New Roman"/>
          <w:color w:val="000000"/>
          <w:sz w:val="20"/>
          <w:szCs w:val="20"/>
        </w:rPr>
        <w:t>г</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w:t>
      </w:r>
    </w:p>
    <w:p w14:paraId="726D6561" w14:textId="0F4F9105" w:rsidR="006547A7" w:rsidRPr="006547A7" w:rsidRDefault="006547A7" w:rsidP="006547A7">
      <w:pPr>
        <w:spacing w:line="240" w:lineRule="auto"/>
        <w:rPr>
          <w:rFonts w:ascii="Times New Roman" w:eastAsia="Times New Roman" w:hAnsi="Times New Roman" w:cs="Times New Roman"/>
          <w:sz w:val="24"/>
          <w:szCs w:val="24"/>
        </w:rPr>
      </w:pPr>
      <w:r w:rsidRPr="006547A7">
        <w:rPr>
          <w:rFonts w:ascii="Times New Roman" w:eastAsia="Times New Roman" w:hAnsi="Times New Roman" w:cs="Times New Roman"/>
          <w:color w:val="000000"/>
          <w:sz w:val="20"/>
          <w:szCs w:val="20"/>
          <w:lang w:eastAsia="bg-BG"/>
        </w:rPr>
        <w:t xml:space="preserve">АПРЕДОНАВ 7,5 </w:t>
      </w:r>
      <w:r w:rsidRPr="006547A7">
        <w:rPr>
          <w:rFonts w:ascii="Times New Roman" w:eastAsia="Times New Roman" w:hAnsi="Times New Roman" w:cs="Times New Roman"/>
          <w:color w:val="000000"/>
          <w:sz w:val="20"/>
          <w:szCs w:val="20"/>
          <w:lang w:val="en-US"/>
        </w:rPr>
        <w:t>mg</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 xml:space="preserve">филмирани таблетки </w:t>
      </w:r>
      <w:proofErr w:type="spellStart"/>
      <w:r>
        <w:rPr>
          <w:rFonts w:ascii="Times New Roman" w:eastAsia="Times New Roman" w:hAnsi="Times New Roman" w:cs="Times New Roman"/>
          <w:color w:val="000000"/>
          <w:sz w:val="20"/>
          <w:szCs w:val="20"/>
          <w:lang w:val="en-US"/>
        </w:rPr>
        <w:t>Pe</w:t>
      </w:r>
      <w:proofErr w:type="spellEnd"/>
      <w:r w:rsidRPr="006547A7">
        <w:rPr>
          <w:rFonts w:ascii="Times New Roman" w:eastAsia="Times New Roman" w:hAnsi="Times New Roman" w:cs="Times New Roman"/>
          <w:color w:val="000000"/>
          <w:sz w:val="20"/>
          <w:szCs w:val="20"/>
          <w:lang w:val="ru-RU"/>
        </w:rPr>
        <w:t xml:space="preserve">г. </w:t>
      </w:r>
      <w:r w:rsidRPr="006547A7">
        <w:rPr>
          <w:rFonts w:ascii="Times New Roman" w:eastAsia="Times New Roman" w:hAnsi="Times New Roman" w:cs="Times New Roman"/>
          <w:color w:val="000000"/>
          <w:sz w:val="20"/>
          <w:szCs w:val="20"/>
          <w:lang w:eastAsia="bg-BG"/>
        </w:rPr>
        <w:t>№:</w:t>
      </w:r>
    </w:p>
    <w:p w14:paraId="2CCB5832" w14:textId="7A7B1307" w:rsidR="007C605B" w:rsidRDefault="002C50EE" w:rsidP="007C605B">
      <w:pPr>
        <w:pStyle w:val="Heading1"/>
      </w:pPr>
      <w:r>
        <w:t>9. ДАТА НА ПЪРВО РАЗРЕШАВАНЕ/ПОДНОВЯВАНЕ НА РАЗРЕШЕНИЕТО ЗА УПОТРЕБА</w:t>
      </w:r>
    </w:p>
    <w:p w14:paraId="5E95E5CF" w14:textId="379E1030" w:rsidR="006547A7" w:rsidRDefault="006547A7" w:rsidP="006547A7"/>
    <w:p w14:paraId="45DFE10C" w14:textId="56147EC7" w:rsidR="006547A7" w:rsidRPr="006547A7" w:rsidRDefault="006547A7" w:rsidP="006547A7">
      <w:r>
        <w:t>Дата на първо разрешаване:</w:t>
      </w:r>
    </w:p>
    <w:p w14:paraId="0E9D0119" w14:textId="0245C6D7" w:rsidR="002C50EE" w:rsidRDefault="002C50EE" w:rsidP="002C50EE">
      <w:pPr>
        <w:pStyle w:val="Heading1"/>
      </w:pPr>
      <w:r>
        <w:t>10. ДАТА НА АКТУАЛИЗИРАНЕ НА ТЕКСТА</w:t>
      </w:r>
    </w:p>
    <w:bookmarkEnd w:id="0"/>
    <w:p w14:paraId="43FB38A2" w14:textId="007CDED2" w:rsidR="007C605B" w:rsidRPr="003E3126" w:rsidRDefault="006547A7" w:rsidP="006547A7">
      <w:r>
        <w:t>11/2021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19F1"/>
    <w:multiLevelType w:val="hybridMultilevel"/>
    <w:tmpl w:val="C6765A8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45E3B"/>
    <w:multiLevelType w:val="hybridMultilevel"/>
    <w:tmpl w:val="7BECB2F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919AE"/>
    <w:multiLevelType w:val="hybridMultilevel"/>
    <w:tmpl w:val="BCAEF69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2457C"/>
    <w:multiLevelType w:val="hybridMultilevel"/>
    <w:tmpl w:val="D28A9FD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C2FBC"/>
    <w:multiLevelType w:val="hybridMultilevel"/>
    <w:tmpl w:val="D85E084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953D0"/>
    <w:multiLevelType w:val="hybridMultilevel"/>
    <w:tmpl w:val="38EC410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6"/>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6"/>
  </w:num>
  <w:num w:numId="12">
    <w:abstractNumId w:val="18"/>
  </w:num>
  <w:num w:numId="13">
    <w:abstractNumId w:val="23"/>
  </w:num>
  <w:num w:numId="14">
    <w:abstractNumId w:val="15"/>
  </w:num>
  <w:num w:numId="15">
    <w:abstractNumId w:val="33"/>
  </w:num>
  <w:num w:numId="16">
    <w:abstractNumId w:val="12"/>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9"/>
  </w:num>
  <w:num w:numId="25">
    <w:abstractNumId w:val="26"/>
  </w:num>
  <w:num w:numId="26">
    <w:abstractNumId w:val="25"/>
  </w:num>
  <w:num w:numId="27">
    <w:abstractNumId w:val="38"/>
  </w:num>
  <w:num w:numId="28">
    <w:abstractNumId w:val="6"/>
  </w:num>
  <w:num w:numId="29">
    <w:abstractNumId w:val="24"/>
  </w:num>
  <w:num w:numId="30">
    <w:abstractNumId w:val="41"/>
  </w:num>
  <w:num w:numId="31">
    <w:abstractNumId w:val="5"/>
  </w:num>
  <w:num w:numId="32">
    <w:abstractNumId w:val="40"/>
  </w:num>
  <w:num w:numId="33">
    <w:abstractNumId w:val="32"/>
  </w:num>
  <w:num w:numId="34">
    <w:abstractNumId w:val="39"/>
  </w:num>
  <w:num w:numId="35">
    <w:abstractNumId w:val="7"/>
  </w:num>
  <w:num w:numId="36">
    <w:abstractNumId w:val="10"/>
  </w:num>
  <w:num w:numId="37">
    <w:abstractNumId w:val="34"/>
  </w:num>
  <w:num w:numId="38">
    <w:abstractNumId w:val="17"/>
  </w:num>
  <w:num w:numId="39">
    <w:abstractNumId w:val="35"/>
  </w:num>
  <w:num w:numId="40">
    <w:abstractNumId w:val="14"/>
  </w:num>
  <w:num w:numId="41">
    <w:abstractNumId w:val="1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531C"/>
    <w:rsid w:val="00185A46"/>
    <w:rsid w:val="001915B6"/>
    <w:rsid w:val="001D1B23"/>
    <w:rsid w:val="002B3C38"/>
    <w:rsid w:val="002B4DBB"/>
    <w:rsid w:val="002C50EE"/>
    <w:rsid w:val="00340A0A"/>
    <w:rsid w:val="003765DC"/>
    <w:rsid w:val="00395555"/>
    <w:rsid w:val="003E3126"/>
    <w:rsid w:val="00426E5F"/>
    <w:rsid w:val="004A448E"/>
    <w:rsid w:val="004D4D6B"/>
    <w:rsid w:val="004E363A"/>
    <w:rsid w:val="004F1CE7"/>
    <w:rsid w:val="004F498A"/>
    <w:rsid w:val="00517A5B"/>
    <w:rsid w:val="00593A00"/>
    <w:rsid w:val="005A66D9"/>
    <w:rsid w:val="00605BCA"/>
    <w:rsid w:val="006158A1"/>
    <w:rsid w:val="00617B1F"/>
    <w:rsid w:val="006547A7"/>
    <w:rsid w:val="00672487"/>
    <w:rsid w:val="00672600"/>
    <w:rsid w:val="00681D4A"/>
    <w:rsid w:val="00685882"/>
    <w:rsid w:val="007122AD"/>
    <w:rsid w:val="0075649D"/>
    <w:rsid w:val="007C3A26"/>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7080</Words>
  <Characters>40359</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2022-06-16T14:18:00Z</dcterms:created>
  <dcterms:modified xsi:type="dcterms:W3CDTF">2022-06-16T14:18:00Z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