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464F95EA" w:rsidR="002C50EE" w:rsidRDefault="002C50EE" w:rsidP="002C50EE">
      <w:pPr>
        <w:pStyle w:val="1"/>
        <w:jc w:val="center"/>
      </w:pPr>
      <w:bookmarkStart w:id="0" w:name="_Hlk63124480"/>
      <w:r>
        <w:t>КРАТКА ХАРАКТЕРИСТИКА НА ПРОДУКТА</w:t>
      </w:r>
    </w:p>
    <w:p w14:paraId="3E45086B" w14:textId="77777777" w:rsidR="00A61B7E" w:rsidRDefault="00A61B7E" w:rsidP="00A61B7E"/>
    <w:p w14:paraId="76370CBE" w14:textId="1148305F" w:rsidR="00A61B7E" w:rsidRPr="00A61B7E" w:rsidRDefault="00A61B7E" w:rsidP="00A61B7E">
      <w:r>
        <w:rPr>
          <w:rFonts w:cs="Arial"/>
        </w:rPr>
        <w:t>▼</w:t>
      </w:r>
      <w:r>
        <w:t>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3B239815" w14:textId="19746828" w:rsidR="00AA23EC" w:rsidRDefault="00DD466D" w:rsidP="00DD466D">
      <w:pPr>
        <w:pStyle w:val="1"/>
      </w:pPr>
      <w:r>
        <w:t>1.ИМЕ НА ЛЕКАРСТВЕНИЯ ПРОДУКТ</w:t>
      </w:r>
    </w:p>
    <w:p w14:paraId="21CC907D" w14:textId="3FCFC99A" w:rsidR="00A61B7E" w:rsidRDefault="00A61B7E" w:rsidP="00A61B7E"/>
    <w:p w14:paraId="7503D09B" w14:textId="77777777" w:rsidR="00A61B7E" w:rsidRDefault="00A61B7E" w:rsidP="00A61B7E">
      <w:pPr>
        <w:rPr>
          <w:lang w:eastAsia="bg-BG"/>
        </w:rPr>
      </w:pPr>
      <w:proofErr w:type="spellStart"/>
      <w:r w:rsidRPr="00A61B7E">
        <w:rPr>
          <w:lang w:eastAsia="bg-BG"/>
        </w:rPr>
        <w:t>Апстар</w:t>
      </w:r>
      <w:proofErr w:type="spellEnd"/>
      <w:r w:rsidRPr="00A61B7E">
        <w:rPr>
          <w:lang w:eastAsia="bg-BG"/>
        </w:rPr>
        <w:t xml:space="preserve"> 35 </w:t>
      </w:r>
      <w:r w:rsidRPr="00A61B7E">
        <w:rPr>
          <w:lang w:val="en-US"/>
        </w:rPr>
        <w:t xml:space="preserve">mg </w:t>
      </w:r>
      <w:r w:rsidRPr="00A61B7E">
        <w:rPr>
          <w:lang w:eastAsia="bg-BG"/>
        </w:rPr>
        <w:t xml:space="preserve">таблетки с удължено освобождаване </w:t>
      </w:r>
    </w:p>
    <w:p w14:paraId="2175E9A5" w14:textId="2E66C0D9" w:rsidR="00A61B7E" w:rsidRPr="00A61B7E" w:rsidRDefault="00A61B7E" w:rsidP="00A61B7E">
      <w:pPr>
        <w:rPr>
          <w:sz w:val="24"/>
          <w:szCs w:val="24"/>
        </w:rPr>
      </w:pPr>
      <w:proofErr w:type="spellStart"/>
      <w:r w:rsidRPr="00A61B7E">
        <w:rPr>
          <w:lang w:val="en-US"/>
        </w:rPr>
        <w:t>Apstar</w:t>
      </w:r>
      <w:proofErr w:type="spellEnd"/>
      <w:r w:rsidRPr="00A61B7E">
        <w:rPr>
          <w:lang w:eastAsia="bg-BG"/>
        </w:rPr>
        <w:t xml:space="preserve"> </w:t>
      </w:r>
      <w:r w:rsidRPr="00A61B7E">
        <w:rPr>
          <w:lang w:val="en-US"/>
        </w:rPr>
        <w:t>35 mg prolonged-release tablets</w:t>
      </w:r>
    </w:p>
    <w:p w14:paraId="4D88B710" w14:textId="37010618" w:rsidR="00D86297" w:rsidRDefault="00DD466D" w:rsidP="00AA23EC">
      <w:pPr>
        <w:pStyle w:val="1"/>
      </w:pPr>
      <w:r>
        <w:t>2. КАЧЕСТВЕН И КОЛИЧЕСТВЕН СЪСТАВ</w:t>
      </w:r>
    </w:p>
    <w:p w14:paraId="3D53A893" w14:textId="4D76F1C8" w:rsidR="00A61B7E" w:rsidRDefault="00A61B7E" w:rsidP="00A61B7E"/>
    <w:p w14:paraId="15265069" w14:textId="77777777" w:rsidR="00A61B7E" w:rsidRPr="00A61B7E" w:rsidRDefault="00A61B7E" w:rsidP="00A61B7E">
      <w:pPr>
        <w:rPr>
          <w:sz w:val="24"/>
          <w:szCs w:val="24"/>
        </w:rPr>
      </w:pPr>
      <w:r w:rsidRPr="00A61B7E">
        <w:rPr>
          <w:lang w:eastAsia="bg-BG"/>
        </w:rPr>
        <w:t xml:space="preserve">Всяка таблетка съдържа 35 </w:t>
      </w:r>
      <w:r w:rsidRPr="00A61B7E">
        <w:rPr>
          <w:lang w:val="en-US"/>
        </w:rPr>
        <w:t xml:space="preserve">mg </w:t>
      </w:r>
      <w:proofErr w:type="spellStart"/>
      <w:r w:rsidRPr="00A61B7E">
        <w:rPr>
          <w:lang w:eastAsia="bg-BG"/>
        </w:rPr>
        <w:t>триметазидинов</w:t>
      </w:r>
      <w:proofErr w:type="spellEnd"/>
      <w:r w:rsidRPr="00A61B7E">
        <w:rPr>
          <w:lang w:eastAsia="bg-BG"/>
        </w:rPr>
        <w:t xml:space="preserve"> </w:t>
      </w:r>
      <w:proofErr w:type="spellStart"/>
      <w:r w:rsidRPr="00A61B7E">
        <w:rPr>
          <w:lang w:eastAsia="bg-BG"/>
        </w:rPr>
        <w:t>дихидрохлорид</w:t>
      </w:r>
      <w:proofErr w:type="spellEnd"/>
      <w:r w:rsidRPr="00A61B7E">
        <w:rPr>
          <w:lang w:eastAsia="bg-BG"/>
        </w:rPr>
        <w:t xml:space="preserve"> </w:t>
      </w:r>
      <w:r w:rsidRPr="00A61B7E">
        <w:rPr>
          <w:i/>
          <w:iCs/>
          <w:lang w:val="en-US"/>
        </w:rPr>
        <w:t xml:space="preserve">(trimetazidine dihydrochloride). </w:t>
      </w:r>
      <w:r w:rsidRPr="00A61B7E">
        <w:rPr>
          <w:lang w:eastAsia="bg-BG"/>
        </w:rPr>
        <w:t xml:space="preserve">еквивалент на 27,5 </w:t>
      </w:r>
      <w:r w:rsidRPr="00A61B7E">
        <w:rPr>
          <w:lang w:val="en-US"/>
        </w:rPr>
        <w:t xml:space="preserve">mg </w:t>
      </w:r>
      <w:proofErr w:type="spellStart"/>
      <w:r w:rsidRPr="00A61B7E">
        <w:rPr>
          <w:lang w:eastAsia="bg-BG"/>
        </w:rPr>
        <w:t>триметазидин</w:t>
      </w:r>
      <w:proofErr w:type="spellEnd"/>
      <w:r w:rsidRPr="00A61B7E">
        <w:rPr>
          <w:lang w:eastAsia="bg-BG"/>
        </w:rPr>
        <w:t xml:space="preserve"> </w:t>
      </w:r>
      <w:r w:rsidRPr="00A61B7E">
        <w:rPr>
          <w:i/>
          <w:iCs/>
          <w:lang w:val="en-US"/>
        </w:rPr>
        <w:t>(trimetazidine).</w:t>
      </w:r>
    </w:p>
    <w:p w14:paraId="67267273" w14:textId="77777777" w:rsidR="00A61B7E" w:rsidRPr="00A61B7E" w:rsidRDefault="00A61B7E" w:rsidP="00A61B7E"/>
    <w:p w14:paraId="5E332777" w14:textId="79E78E4E" w:rsidR="005A66D9" w:rsidRDefault="00DD466D" w:rsidP="00CA1B57">
      <w:pPr>
        <w:pStyle w:val="1"/>
      </w:pPr>
      <w:r>
        <w:t>3. ЛЕКАРСТВЕНА ФОРМА</w:t>
      </w:r>
    </w:p>
    <w:p w14:paraId="434B2F16" w14:textId="365A366F" w:rsidR="00A61B7E" w:rsidRDefault="00A61B7E" w:rsidP="00A61B7E"/>
    <w:p w14:paraId="2E3F9742" w14:textId="77777777" w:rsidR="00A61B7E" w:rsidRPr="00A61B7E" w:rsidRDefault="00A61B7E" w:rsidP="00A61B7E">
      <w:pPr>
        <w:rPr>
          <w:sz w:val="24"/>
          <w:szCs w:val="24"/>
        </w:rPr>
      </w:pPr>
      <w:r w:rsidRPr="00A61B7E">
        <w:rPr>
          <w:lang w:eastAsia="bg-BG"/>
        </w:rPr>
        <w:t>Таблетка с удължено освобождаване</w:t>
      </w:r>
    </w:p>
    <w:p w14:paraId="4CBB3FEA" w14:textId="77777777" w:rsidR="00A61B7E" w:rsidRDefault="00A61B7E" w:rsidP="00A61B7E">
      <w:pPr>
        <w:rPr>
          <w:lang w:eastAsia="bg-BG"/>
        </w:rPr>
      </w:pPr>
    </w:p>
    <w:p w14:paraId="589A8868" w14:textId="3B6FD7EC" w:rsidR="00A61B7E" w:rsidRPr="00A61B7E" w:rsidRDefault="00A61B7E" w:rsidP="00A61B7E">
      <w:pPr>
        <w:rPr>
          <w:sz w:val="24"/>
          <w:szCs w:val="24"/>
        </w:rPr>
      </w:pPr>
      <w:r w:rsidRPr="00A61B7E">
        <w:rPr>
          <w:lang w:eastAsia="bg-BG"/>
        </w:rPr>
        <w:t>Розово оцветени кръгли, двойно изпъкнали таблетки с гравиран надпис „35“ от едната страна и гладки от другата страна.</w:t>
      </w:r>
    </w:p>
    <w:p w14:paraId="3DE71931" w14:textId="77777777" w:rsidR="00A61B7E" w:rsidRPr="00A61B7E" w:rsidRDefault="00A61B7E" w:rsidP="00A61B7E"/>
    <w:p w14:paraId="490FC2C4" w14:textId="77777777" w:rsidR="002C50EE" w:rsidRDefault="002C50EE" w:rsidP="002C50EE">
      <w:pPr>
        <w:pStyle w:val="1"/>
      </w:pPr>
      <w:r>
        <w:t>4. КЛИНИЧНИ ДАННИ</w:t>
      </w:r>
    </w:p>
    <w:p w14:paraId="1512A286" w14:textId="2888A462" w:rsidR="00FD69E8" w:rsidRDefault="002C50EE" w:rsidP="00AA23EC">
      <w:pPr>
        <w:pStyle w:val="2"/>
      </w:pPr>
      <w:r>
        <w:t>4.1. Терапевтични показания</w:t>
      </w:r>
    </w:p>
    <w:p w14:paraId="1D171A12" w14:textId="468FE347" w:rsidR="003765DC" w:rsidRDefault="003765DC" w:rsidP="003765DC"/>
    <w:p w14:paraId="05B694BA" w14:textId="77777777" w:rsidR="00A61B7E" w:rsidRPr="00A61B7E" w:rsidRDefault="00A61B7E" w:rsidP="00A61B7E">
      <w:pPr>
        <w:rPr>
          <w:sz w:val="24"/>
          <w:szCs w:val="24"/>
        </w:rPr>
      </w:pPr>
      <w:proofErr w:type="spellStart"/>
      <w:r w:rsidRPr="00A61B7E">
        <w:rPr>
          <w:lang w:eastAsia="bg-BG"/>
        </w:rPr>
        <w:t>Триметазидин</w:t>
      </w:r>
      <w:proofErr w:type="spellEnd"/>
      <w:r w:rsidRPr="00A61B7E">
        <w:rPr>
          <w:lang w:eastAsia="bg-BG"/>
        </w:rPr>
        <w:t xml:space="preserve"> е показан при възрастни като допълваща терапия за симптоматично лечение на пациенти със стабилна ангина </w:t>
      </w:r>
      <w:proofErr w:type="spellStart"/>
      <w:r w:rsidRPr="00A61B7E">
        <w:rPr>
          <w:lang w:eastAsia="bg-BG"/>
        </w:rPr>
        <w:t>пекторис</w:t>
      </w:r>
      <w:proofErr w:type="spellEnd"/>
      <w:r w:rsidRPr="00A61B7E">
        <w:rPr>
          <w:lang w:eastAsia="bg-BG"/>
        </w:rPr>
        <w:t xml:space="preserve">, които са неадекватно контролирани от или нетолерантни към първа линия </w:t>
      </w:r>
      <w:proofErr w:type="spellStart"/>
      <w:r w:rsidRPr="00A61B7E">
        <w:rPr>
          <w:lang w:eastAsia="bg-BG"/>
        </w:rPr>
        <w:t>антиангинозни</w:t>
      </w:r>
      <w:proofErr w:type="spellEnd"/>
      <w:r w:rsidRPr="00A61B7E">
        <w:rPr>
          <w:lang w:eastAsia="bg-BG"/>
        </w:rPr>
        <w:t xml:space="preserve"> терапии.</w:t>
      </w:r>
    </w:p>
    <w:p w14:paraId="190EEA85" w14:textId="77777777" w:rsidR="00A61B7E" w:rsidRPr="003765DC" w:rsidRDefault="00A61B7E" w:rsidP="003765DC"/>
    <w:p w14:paraId="66024DB0" w14:textId="48746608" w:rsidR="003765DC" w:rsidRDefault="002C50EE" w:rsidP="002B3C38">
      <w:pPr>
        <w:pStyle w:val="2"/>
      </w:pPr>
      <w:r>
        <w:t>4.2. Дозировка и начин на приложение</w:t>
      </w:r>
    </w:p>
    <w:p w14:paraId="347B1F2B" w14:textId="72677B6D" w:rsidR="00A61B7E" w:rsidRDefault="00A61B7E" w:rsidP="00A61B7E"/>
    <w:p w14:paraId="5B6723AA"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Дозата е една таблетка от 35 </w:t>
      </w:r>
      <w:r w:rsidRPr="00A61B7E">
        <w:rPr>
          <w:rFonts w:eastAsia="Times New Roman" w:cs="Arial"/>
          <w:color w:val="000000"/>
          <w:lang w:val="en-US"/>
        </w:rPr>
        <w:t xml:space="preserve">mg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два пъти дневно, по време на хранене.</w:t>
      </w:r>
    </w:p>
    <w:p w14:paraId="10AD9AD1" w14:textId="77777777" w:rsidR="00A61B7E" w:rsidRPr="00A61B7E" w:rsidRDefault="00A61B7E" w:rsidP="00A61B7E">
      <w:pPr>
        <w:spacing w:line="240" w:lineRule="auto"/>
        <w:rPr>
          <w:rFonts w:eastAsia="Times New Roman" w:cs="Arial"/>
          <w:color w:val="000000"/>
          <w:u w:val="single"/>
          <w:lang w:eastAsia="bg-BG"/>
        </w:rPr>
      </w:pPr>
    </w:p>
    <w:p w14:paraId="1ED02AD1" w14:textId="6FA4646D" w:rsidR="00A61B7E" w:rsidRPr="00A61B7E" w:rsidRDefault="00A61B7E" w:rsidP="00A61B7E">
      <w:pPr>
        <w:spacing w:line="240" w:lineRule="auto"/>
        <w:rPr>
          <w:rFonts w:eastAsia="Times New Roman" w:cs="Arial"/>
        </w:rPr>
      </w:pPr>
      <w:r w:rsidRPr="00A61B7E">
        <w:rPr>
          <w:rFonts w:eastAsia="Times New Roman" w:cs="Arial"/>
          <w:color w:val="000000"/>
          <w:u w:val="single"/>
          <w:lang w:eastAsia="bg-BG"/>
        </w:rPr>
        <w:t>Специални популации</w:t>
      </w:r>
    </w:p>
    <w:p w14:paraId="0B7A5891" w14:textId="77777777" w:rsidR="00A61B7E" w:rsidRPr="00A61B7E" w:rsidRDefault="00A61B7E" w:rsidP="00A61B7E">
      <w:pPr>
        <w:spacing w:line="240" w:lineRule="auto"/>
        <w:rPr>
          <w:rFonts w:eastAsia="Times New Roman" w:cs="Arial"/>
          <w:i/>
          <w:iCs/>
          <w:color w:val="000000"/>
          <w:lang w:eastAsia="bg-BG"/>
        </w:rPr>
      </w:pPr>
    </w:p>
    <w:p w14:paraId="330769A5" w14:textId="4ADFEC55" w:rsidR="00A61B7E" w:rsidRPr="00A61B7E" w:rsidRDefault="00A61B7E" w:rsidP="00A61B7E">
      <w:pPr>
        <w:spacing w:line="240" w:lineRule="auto"/>
        <w:rPr>
          <w:rFonts w:eastAsia="Times New Roman" w:cs="Arial"/>
        </w:rPr>
      </w:pPr>
      <w:r w:rsidRPr="00A61B7E">
        <w:rPr>
          <w:rFonts w:eastAsia="Times New Roman" w:cs="Arial"/>
          <w:i/>
          <w:iCs/>
          <w:color w:val="000000"/>
          <w:lang w:eastAsia="bg-BG"/>
        </w:rPr>
        <w:t>Пациенти с бъбречни нарушения</w:t>
      </w:r>
    </w:p>
    <w:p w14:paraId="3E6CB0FD"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При пациенти с умерено бъбречно нарушение (</w:t>
      </w:r>
      <w:proofErr w:type="spellStart"/>
      <w:r w:rsidRPr="00A61B7E">
        <w:rPr>
          <w:rFonts w:eastAsia="Times New Roman" w:cs="Arial"/>
          <w:color w:val="000000"/>
          <w:lang w:eastAsia="bg-BG"/>
        </w:rPr>
        <w:t>креатининов</w:t>
      </w:r>
      <w:proofErr w:type="spellEnd"/>
      <w:r w:rsidRPr="00A61B7E">
        <w:rPr>
          <w:rFonts w:eastAsia="Times New Roman" w:cs="Arial"/>
          <w:color w:val="000000"/>
          <w:lang w:eastAsia="bg-BG"/>
        </w:rPr>
        <w:t xml:space="preserve"> клирънс [30-60] </w:t>
      </w:r>
      <w:r w:rsidRPr="00A61B7E">
        <w:rPr>
          <w:rFonts w:eastAsia="Times New Roman" w:cs="Arial"/>
          <w:color w:val="000000"/>
          <w:lang w:val="en-US"/>
        </w:rPr>
        <w:t xml:space="preserve">ml/min) </w:t>
      </w:r>
      <w:r w:rsidRPr="00A61B7E">
        <w:rPr>
          <w:rFonts w:eastAsia="Times New Roman" w:cs="Arial"/>
          <w:color w:val="000000"/>
          <w:lang w:eastAsia="bg-BG"/>
        </w:rPr>
        <w:t xml:space="preserve">(виж точки 4.4 и 5,2), препоръчваната доза е 1 таблетка от 35 </w:t>
      </w:r>
      <w:r w:rsidRPr="00A61B7E">
        <w:rPr>
          <w:rFonts w:eastAsia="Times New Roman" w:cs="Arial"/>
          <w:color w:val="000000"/>
          <w:lang w:val="en-US"/>
        </w:rPr>
        <w:t xml:space="preserve">mg </w:t>
      </w:r>
      <w:r w:rsidRPr="00A61B7E">
        <w:rPr>
          <w:rFonts w:eastAsia="Times New Roman" w:cs="Arial"/>
          <w:color w:val="000000"/>
          <w:lang w:eastAsia="bg-BG"/>
        </w:rPr>
        <w:t>сутрин, по време на закуска.</w:t>
      </w:r>
    </w:p>
    <w:p w14:paraId="46587727" w14:textId="77777777" w:rsidR="00A61B7E" w:rsidRPr="00A61B7E" w:rsidRDefault="00A61B7E" w:rsidP="00A61B7E">
      <w:pPr>
        <w:spacing w:line="240" w:lineRule="auto"/>
        <w:rPr>
          <w:rFonts w:eastAsia="Times New Roman" w:cs="Arial"/>
          <w:i/>
          <w:iCs/>
          <w:color w:val="000000"/>
          <w:lang w:eastAsia="bg-BG"/>
        </w:rPr>
      </w:pPr>
    </w:p>
    <w:p w14:paraId="6ACEAFC7" w14:textId="25DDBAEA" w:rsidR="00A61B7E" w:rsidRPr="00A61B7E" w:rsidRDefault="00A61B7E" w:rsidP="00A61B7E">
      <w:pPr>
        <w:spacing w:line="240" w:lineRule="auto"/>
        <w:rPr>
          <w:rFonts w:eastAsia="Times New Roman" w:cs="Arial"/>
        </w:rPr>
      </w:pPr>
      <w:r w:rsidRPr="00A61B7E">
        <w:rPr>
          <w:rFonts w:eastAsia="Times New Roman" w:cs="Arial"/>
          <w:i/>
          <w:iCs/>
          <w:color w:val="000000"/>
          <w:lang w:eastAsia="bg-BG"/>
        </w:rPr>
        <w:t>Пациенти в старческа възраст</w:t>
      </w:r>
    </w:p>
    <w:p w14:paraId="7A23A52D"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lastRenderedPageBreak/>
        <w:t xml:space="preserve">При пациентите в старческа възраст може да имат повишена експозиция на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в резултат на свързано с възрастта понижаване на бъбречната функция (виж точка 5.2). При пациенти с умерено увредена бъбречна функция препоръчваната доза е 1 таблетка от 35</w:t>
      </w:r>
      <w:r w:rsidRPr="00A61B7E">
        <w:rPr>
          <w:rFonts w:eastAsia="Times New Roman" w:cs="Arial"/>
          <w:color w:val="000000"/>
          <w:lang w:val="en-US"/>
        </w:rPr>
        <w:t>mg</w:t>
      </w:r>
      <w:r w:rsidRPr="00A61B7E">
        <w:rPr>
          <w:rFonts w:eastAsia="Times New Roman" w:cs="Arial"/>
          <w:color w:val="000000"/>
          <w:lang w:eastAsia="bg-BG"/>
        </w:rPr>
        <w:t xml:space="preserve"> сутрин, по време на закуска. Трябва да се подхожда с повишено внимание при титриране</w:t>
      </w:r>
      <w:r w:rsidRPr="00A61B7E">
        <w:rPr>
          <w:rFonts w:eastAsia="Times New Roman" w:cs="Arial"/>
          <w:color w:val="000000"/>
          <w:lang w:val="en-US"/>
        </w:rPr>
        <w:t xml:space="preserve"> </w:t>
      </w:r>
      <w:r w:rsidRPr="00A61B7E">
        <w:rPr>
          <w:rFonts w:eastAsia="Times New Roman" w:cs="Arial"/>
          <w:color w:val="000000"/>
          <w:lang w:eastAsia="bg-BG"/>
        </w:rPr>
        <w:t>на дозата при пациенти в старческа възраст (вит точка 4.4).</w:t>
      </w:r>
    </w:p>
    <w:p w14:paraId="2F4FDCFE" w14:textId="77777777" w:rsidR="00A61B7E" w:rsidRPr="00A61B7E" w:rsidRDefault="00A61B7E" w:rsidP="00A61B7E">
      <w:pPr>
        <w:spacing w:line="240" w:lineRule="auto"/>
        <w:rPr>
          <w:rFonts w:eastAsia="Times New Roman" w:cs="Arial"/>
        </w:rPr>
      </w:pPr>
    </w:p>
    <w:p w14:paraId="06F6F764" w14:textId="40D87617" w:rsidR="00A61B7E" w:rsidRDefault="00A61B7E" w:rsidP="00A61B7E">
      <w:pPr>
        <w:spacing w:line="240" w:lineRule="auto"/>
        <w:rPr>
          <w:rFonts w:eastAsia="Times New Roman" w:cs="Arial"/>
          <w:i/>
          <w:iCs/>
          <w:color w:val="000000"/>
          <w:lang w:eastAsia="bg-BG"/>
        </w:rPr>
      </w:pPr>
      <w:r w:rsidRPr="00A61B7E">
        <w:rPr>
          <w:rFonts w:eastAsia="Times New Roman" w:cs="Arial"/>
          <w:i/>
          <w:iCs/>
          <w:color w:val="000000"/>
          <w:lang w:eastAsia="bg-BG"/>
        </w:rPr>
        <w:t>Педиатрична популация</w:t>
      </w:r>
    </w:p>
    <w:p w14:paraId="643F8708" w14:textId="77777777" w:rsidR="00A61B7E" w:rsidRPr="00A61B7E" w:rsidRDefault="00A61B7E" w:rsidP="00A61B7E">
      <w:pPr>
        <w:rPr>
          <w:sz w:val="24"/>
          <w:szCs w:val="24"/>
        </w:rPr>
      </w:pPr>
      <w:r w:rsidRPr="00A61B7E">
        <w:rPr>
          <w:lang w:eastAsia="bg-BG"/>
        </w:rPr>
        <w:t xml:space="preserve">Безопасността и ефикасността на </w:t>
      </w:r>
      <w:proofErr w:type="spellStart"/>
      <w:r w:rsidRPr="00A61B7E">
        <w:rPr>
          <w:lang w:eastAsia="bg-BG"/>
        </w:rPr>
        <w:t>триметазидин</w:t>
      </w:r>
      <w:proofErr w:type="spellEnd"/>
      <w:r w:rsidRPr="00A61B7E">
        <w:rPr>
          <w:lang w:eastAsia="bg-BG"/>
        </w:rPr>
        <w:t xml:space="preserve"> при деца на възраст под 18 години не е установена. Няма налични данни.</w:t>
      </w:r>
    </w:p>
    <w:p w14:paraId="650EF6CA" w14:textId="77777777" w:rsidR="00A61B7E" w:rsidRDefault="00A61B7E" w:rsidP="00A61B7E">
      <w:pPr>
        <w:rPr>
          <w:u w:val="single"/>
          <w:lang w:eastAsia="bg-BG"/>
        </w:rPr>
      </w:pPr>
    </w:p>
    <w:p w14:paraId="742C224F" w14:textId="4944877F" w:rsidR="00A61B7E" w:rsidRPr="00A61B7E" w:rsidRDefault="00A61B7E" w:rsidP="00A61B7E">
      <w:pPr>
        <w:pStyle w:val="3"/>
        <w:rPr>
          <w:rFonts w:eastAsia="Times New Roman"/>
        </w:rPr>
      </w:pPr>
      <w:r w:rsidRPr="00A61B7E">
        <w:rPr>
          <w:rFonts w:eastAsia="Times New Roman"/>
          <w:lang w:eastAsia="bg-BG"/>
        </w:rPr>
        <w:t>Начин на приложение</w:t>
      </w:r>
    </w:p>
    <w:p w14:paraId="5C2D19D2" w14:textId="77777777" w:rsidR="00A61B7E" w:rsidRPr="00A61B7E" w:rsidRDefault="00A61B7E" w:rsidP="00A61B7E">
      <w:pPr>
        <w:rPr>
          <w:sz w:val="24"/>
          <w:szCs w:val="24"/>
        </w:rPr>
      </w:pPr>
      <w:r w:rsidRPr="00A61B7E">
        <w:rPr>
          <w:lang w:eastAsia="bg-BG"/>
        </w:rPr>
        <w:t>За перорално приложение.</w:t>
      </w:r>
    </w:p>
    <w:p w14:paraId="4B373835" w14:textId="77777777" w:rsidR="00A61B7E" w:rsidRPr="00A61B7E" w:rsidRDefault="00A61B7E" w:rsidP="00A61B7E">
      <w:pPr>
        <w:spacing w:line="240" w:lineRule="auto"/>
        <w:rPr>
          <w:rFonts w:eastAsia="Times New Roman" w:cs="Arial"/>
        </w:rPr>
      </w:pPr>
    </w:p>
    <w:p w14:paraId="2E7E5D92" w14:textId="77777777" w:rsidR="00A61B7E" w:rsidRDefault="00A61B7E" w:rsidP="002B3C38">
      <w:pPr>
        <w:pStyle w:val="2"/>
      </w:pPr>
    </w:p>
    <w:p w14:paraId="1A261012" w14:textId="0A1E938E" w:rsidR="003765DC" w:rsidRDefault="002C50EE" w:rsidP="002B3C38">
      <w:pPr>
        <w:pStyle w:val="2"/>
      </w:pPr>
      <w:r>
        <w:t>4.3. Противопоказания</w:t>
      </w:r>
    </w:p>
    <w:p w14:paraId="520F5ED7" w14:textId="32B6370C" w:rsidR="00A61B7E" w:rsidRDefault="00A61B7E" w:rsidP="00A61B7E"/>
    <w:p w14:paraId="29926509"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182967F2" w14:textId="77777777" w:rsidR="00A61B7E" w:rsidRPr="00A61B7E" w:rsidRDefault="00A61B7E" w:rsidP="00A61B7E">
      <w:pPr>
        <w:spacing w:line="240" w:lineRule="auto"/>
        <w:rPr>
          <w:rFonts w:eastAsia="Times New Roman" w:cs="Arial"/>
          <w:color w:val="000000"/>
          <w:lang w:eastAsia="bg-BG"/>
        </w:rPr>
      </w:pPr>
    </w:p>
    <w:p w14:paraId="703AD1AC" w14:textId="4520D8C9"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Болест на Паркинсон, симптоми на </w:t>
      </w:r>
      <w:proofErr w:type="spellStart"/>
      <w:r w:rsidRPr="00A61B7E">
        <w:rPr>
          <w:rFonts w:eastAsia="Times New Roman" w:cs="Arial"/>
          <w:color w:val="000000"/>
          <w:lang w:eastAsia="bg-BG"/>
        </w:rPr>
        <w:t>паркинсонизъм</w:t>
      </w:r>
      <w:proofErr w:type="spellEnd"/>
      <w:r w:rsidRPr="00A61B7E">
        <w:rPr>
          <w:rFonts w:eastAsia="Times New Roman" w:cs="Arial"/>
          <w:color w:val="000000"/>
          <w:lang w:eastAsia="bg-BG"/>
        </w:rPr>
        <w:t>, тремор, синдром на неспокойните крака и други свързани двигателни нарушения.</w:t>
      </w:r>
    </w:p>
    <w:p w14:paraId="31487E45" w14:textId="77777777" w:rsidR="00A61B7E" w:rsidRPr="00A61B7E" w:rsidRDefault="00A61B7E" w:rsidP="00A61B7E">
      <w:pPr>
        <w:spacing w:line="240" w:lineRule="auto"/>
        <w:rPr>
          <w:rFonts w:eastAsia="Times New Roman" w:cs="Arial"/>
          <w:color w:val="000000"/>
          <w:lang w:eastAsia="bg-BG"/>
        </w:rPr>
      </w:pPr>
    </w:p>
    <w:p w14:paraId="1B8AB7A9" w14:textId="33B491C2" w:rsidR="00A61B7E" w:rsidRPr="00A61B7E" w:rsidRDefault="00A61B7E" w:rsidP="00A61B7E">
      <w:pPr>
        <w:spacing w:line="240" w:lineRule="auto"/>
        <w:rPr>
          <w:rFonts w:eastAsia="Times New Roman" w:cs="Arial"/>
        </w:rPr>
      </w:pPr>
      <w:r w:rsidRPr="00A61B7E">
        <w:rPr>
          <w:rFonts w:eastAsia="Times New Roman" w:cs="Arial"/>
          <w:color w:val="000000"/>
          <w:lang w:eastAsia="bg-BG"/>
        </w:rPr>
        <w:t>Тежко бъбречно увреждане (</w:t>
      </w:r>
      <w:proofErr w:type="spellStart"/>
      <w:r w:rsidRPr="00A61B7E">
        <w:rPr>
          <w:rFonts w:eastAsia="Times New Roman" w:cs="Arial"/>
          <w:color w:val="000000"/>
          <w:lang w:eastAsia="bg-BG"/>
        </w:rPr>
        <w:t>креатининов</w:t>
      </w:r>
      <w:proofErr w:type="spellEnd"/>
      <w:r w:rsidRPr="00A61B7E">
        <w:rPr>
          <w:rFonts w:eastAsia="Times New Roman" w:cs="Arial"/>
          <w:color w:val="000000"/>
          <w:lang w:eastAsia="bg-BG"/>
        </w:rPr>
        <w:t xml:space="preserve"> клирънс &lt; </w:t>
      </w:r>
      <w:r w:rsidRPr="00A61B7E">
        <w:rPr>
          <w:rFonts w:eastAsia="Times New Roman" w:cs="Arial"/>
          <w:color w:val="000000"/>
          <w:lang w:val="en-US"/>
        </w:rPr>
        <w:t>30ml/min).</w:t>
      </w:r>
    </w:p>
    <w:p w14:paraId="136A9224" w14:textId="77777777" w:rsidR="00A61B7E" w:rsidRPr="00A61B7E" w:rsidRDefault="00A61B7E" w:rsidP="00A61B7E"/>
    <w:p w14:paraId="5EF6E7D6" w14:textId="1499E6D0" w:rsidR="003765DC" w:rsidRDefault="002C50EE" w:rsidP="002B3C38">
      <w:pPr>
        <w:pStyle w:val="2"/>
      </w:pPr>
      <w:r>
        <w:t>4.4. Специални предупреждения и предпазни мерки при употреба</w:t>
      </w:r>
    </w:p>
    <w:p w14:paraId="6F387B59" w14:textId="64E0F19A" w:rsidR="00A61B7E" w:rsidRDefault="00A61B7E" w:rsidP="00A61B7E"/>
    <w:p w14:paraId="121D179E"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Този продукт трябва да се прилага с внимание при пациенти с предразположение към </w:t>
      </w:r>
      <w:proofErr w:type="spellStart"/>
      <w:r w:rsidRPr="00A61B7E">
        <w:rPr>
          <w:rFonts w:eastAsia="Times New Roman" w:cs="Arial"/>
          <w:color w:val="000000"/>
          <w:lang w:eastAsia="bg-BG"/>
        </w:rPr>
        <w:t>закритоъгълна</w:t>
      </w:r>
      <w:proofErr w:type="spellEnd"/>
      <w:r w:rsidRPr="00A61B7E">
        <w:rPr>
          <w:rFonts w:eastAsia="Times New Roman" w:cs="Arial"/>
          <w:color w:val="000000"/>
          <w:lang w:eastAsia="bg-BG"/>
        </w:rPr>
        <w:t xml:space="preserve"> глаукома.</w:t>
      </w:r>
    </w:p>
    <w:p w14:paraId="011FD128"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Този лекарствен продукт не е предназначен за овладяване на стенокардии пристъпи, нито е показан като начална терапия при нестабилна стенокардия или миокарден инфаркт. Не трябва да се използва преди и през първите дни на хоспитализация.</w:t>
      </w:r>
    </w:p>
    <w:p w14:paraId="3CA7AD52"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В случай на </w:t>
      </w:r>
      <w:proofErr w:type="spellStart"/>
      <w:r w:rsidRPr="00A61B7E">
        <w:rPr>
          <w:rFonts w:eastAsia="Times New Roman" w:cs="Arial"/>
          <w:color w:val="000000"/>
          <w:lang w:eastAsia="bg-BG"/>
        </w:rPr>
        <w:t>стенокарден</w:t>
      </w:r>
      <w:proofErr w:type="spellEnd"/>
      <w:r w:rsidRPr="00A61B7E">
        <w:rPr>
          <w:rFonts w:eastAsia="Times New Roman" w:cs="Arial"/>
          <w:color w:val="000000"/>
          <w:lang w:eastAsia="bg-BG"/>
        </w:rPr>
        <w:t xml:space="preserve"> пристъп, заболяването трябва да се преоцени и да се обмисли адаптиране на лечението.</w:t>
      </w:r>
    </w:p>
    <w:p w14:paraId="1725E6A8" w14:textId="77777777" w:rsidR="00A61B7E" w:rsidRPr="00A61B7E" w:rsidRDefault="00A61B7E" w:rsidP="00A61B7E">
      <w:pPr>
        <w:spacing w:line="240" w:lineRule="auto"/>
        <w:rPr>
          <w:rFonts w:eastAsia="Times New Roman" w:cs="Arial"/>
          <w:color w:val="000000"/>
          <w:lang w:eastAsia="bg-BG"/>
        </w:rPr>
      </w:pPr>
    </w:p>
    <w:p w14:paraId="07B0E8B4" w14:textId="198ED248" w:rsidR="00A61B7E" w:rsidRPr="00A61B7E" w:rsidRDefault="00A61B7E" w:rsidP="00A61B7E">
      <w:pPr>
        <w:spacing w:line="240" w:lineRule="auto"/>
        <w:rPr>
          <w:rFonts w:eastAsia="Times New Roman" w:cs="Arial"/>
        </w:rPr>
      </w:pP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може да предизвика или да влоши симптомите на </w:t>
      </w:r>
      <w:proofErr w:type="spellStart"/>
      <w:r w:rsidRPr="00A61B7E">
        <w:rPr>
          <w:rFonts w:eastAsia="Times New Roman" w:cs="Arial"/>
          <w:color w:val="000000"/>
          <w:lang w:eastAsia="bg-BG"/>
        </w:rPr>
        <w:t>паркинсонизъм</w:t>
      </w:r>
      <w:proofErr w:type="spellEnd"/>
      <w:r w:rsidRPr="00A61B7E">
        <w:rPr>
          <w:rFonts w:eastAsia="Times New Roman" w:cs="Arial"/>
          <w:color w:val="000000"/>
          <w:lang w:eastAsia="bg-BG"/>
        </w:rPr>
        <w:t xml:space="preserve"> (тремор, </w:t>
      </w:r>
      <w:proofErr w:type="spellStart"/>
      <w:r w:rsidRPr="00A61B7E">
        <w:rPr>
          <w:rFonts w:eastAsia="Times New Roman" w:cs="Arial"/>
          <w:color w:val="000000"/>
          <w:lang w:eastAsia="bg-BG"/>
        </w:rPr>
        <w:t>акинезия</w:t>
      </w:r>
      <w:proofErr w:type="spellEnd"/>
      <w:r w:rsidRPr="00A61B7E">
        <w:rPr>
          <w:rFonts w:eastAsia="Times New Roman" w:cs="Arial"/>
          <w:color w:val="000000"/>
          <w:lang w:eastAsia="bg-BG"/>
        </w:rPr>
        <w:t>, хипертония), които трябва редовно да се изследват, особено при пациенти в старческа възраст. В случай на съмнение, пациентите трябва да бъдат насочени към невролог за съответните изследвания.</w:t>
      </w:r>
    </w:p>
    <w:p w14:paraId="46FAAB6A" w14:textId="77777777" w:rsidR="00A61B7E" w:rsidRPr="00A61B7E" w:rsidRDefault="00A61B7E" w:rsidP="00A61B7E">
      <w:pPr>
        <w:spacing w:line="240" w:lineRule="auto"/>
        <w:rPr>
          <w:rFonts w:eastAsia="Times New Roman" w:cs="Arial"/>
          <w:color w:val="000000"/>
          <w:lang w:eastAsia="bg-BG"/>
        </w:rPr>
      </w:pPr>
    </w:p>
    <w:p w14:paraId="28DBEC07" w14:textId="0DC12D7C"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Появата на двигателни нарушения като симптоми на </w:t>
      </w:r>
      <w:proofErr w:type="spellStart"/>
      <w:r w:rsidRPr="00A61B7E">
        <w:rPr>
          <w:rFonts w:eastAsia="Times New Roman" w:cs="Arial"/>
          <w:color w:val="000000"/>
          <w:lang w:eastAsia="bg-BG"/>
        </w:rPr>
        <w:t>паркинсонизъм</w:t>
      </w:r>
      <w:proofErr w:type="spellEnd"/>
      <w:r w:rsidRPr="00A61B7E">
        <w:rPr>
          <w:rFonts w:eastAsia="Times New Roman" w:cs="Arial"/>
          <w:color w:val="000000"/>
          <w:lang w:eastAsia="bg-BG"/>
        </w:rPr>
        <w:t xml:space="preserve">, синдром на неспокойните крака, тремор, нестабилна походка би трябвало да доведе до окончателно прекратяване на лечението с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w:t>
      </w:r>
    </w:p>
    <w:p w14:paraId="76148F0F" w14:textId="77777777" w:rsidR="00A61B7E" w:rsidRPr="00A61B7E" w:rsidRDefault="00A61B7E" w:rsidP="00A61B7E">
      <w:pPr>
        <w:spacing w:line="240" w:lineRule="auto"/>
        <w:rPr>
          <w:rFonts w:eastAsia="Times New Roman" w:cs="Arial"/>
          <w:color w:val="000000"/>
          <w:lang w:eastAsia="bg-BG"/>
        </w:rPr>
      </w:pPr>
    </w:p>
    <w:p w14:paraId="17FA8995" w14:textId="067949E5"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Тези случаи са с ниска честота и обикновено са обратими след прекратяване на лечението. По- голяма част от пациентите се възстановяват до 4 месеца след прекратяване на лечението с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Ако симптомите на </w:t>
      </w:r>
      <w:proofErr w:type="spellStart"/>
      <w:r w:rsidRPr="00A61B7E">
        <w:rPr>
          <w:rFonts w:eastAsia="Times New Roman" w:cs="Arial"/>
          <w:color w:val="000000"/>
          <w:lang w:eastAsia="bg-BG"/>
        </w:rPr>
        <w:t>паркинсонизъм</w:t>
      </w:r>
      <w:proofErr w:type="spellEnd"/>
      <w:r w:rsidRPr="00A61B7E">
        <w:rPr>
          <w:rFonts w:eastAsia="Times New Roman" w:cs="Arial"/>
          <w:color w:val="000000"/>
          <w:lang w:eastAsia="bg-BG"/>
        </w:rPr>
        <w:t xml:space="preserve"> продължават повече от 4 месеца след прекратяване на лечението, трябва да се направи консултация с невролог.</w:t>
      </w:r>
    </w:p>
    <w:p w14:paraId="7A96CE67" w14:textId="77777777" w:rsidR="00A61B7E" w:rsidRPr="00A61B7E" w:rsidRDefault="00A61B7E" w:rsidP="00A61B7E">
      <w:pPr>
        <w:spacing w:line="240" w:lineRule="auto"/>
        <w:rPr>
          <w:rFonts w:eastAsia="Times New Roman" w:cs="Arial"/>
          <w:color w:val="000000"/>
          <w:lang w:eastAsia="bg-BG"/>
        </w:rPr>
      </w:pPr>
    </w:p>
    <w:p w14:paraId="017CE616" w14:textId="4ACB76BB" w:rsidR="00A61B7E" w:rsidRPr="00A61B7E" w:rsidRDefault="00A61B7E" w:rsidP="00A61B7E">
      <w:pPr>
        <w:spacing w:line="240" w:lineRule="auto"/>
        <w:rPr>
          <w:rFonts w:eastAsia="Times New Roman" w:cs="Arial"/>
        </w:rPr>
      </w:pPr>
      <w:proofErr w:type="spellStart"/>
      <w:r w:rsidRPr="00A61B7E">
        <w:rPr>
          <w:rFonts w:eastAsia="Times New Roman" w:cs="Arial"/>
          <w:color w:val="000000"/>
          <w:lang w:eastAsia="bg-BG"/>
        </w:rPr>
        <w:t>Въмзожни</w:t>
      </w:r>
      <w:proofErr w:type="spellEnd"/>
      <w:r w:rsidRPr="00A61B7E">
        <w:rPr>
          <w:rFonts w:eastAsia="Times New Roman" w:cs="Arial"/>
          <w:color w:val="000000"/>
          <w:lang w:eastAsia="bg-BG"/>
        </w:rPr>
        <w:t xml:space="preserve"> са падания, свързани с нестабилна походка или хипотония, по-специално при пациенти на антихипертензивна терапия (виж точка 4.8).</w:t>
      </w:r>
    </w:p>
    <w:p w14:paraId="067B7F33" w14:textId="77777777" w:rsidR="00A61B7E" w:rsidRPr="00A61B7E" w:rsidRDefault="00A61B7E" w:rsidP="00A61B7E">
      <w:pPr>
        <w:spacing w:line="240" w:lineRule="auto"/>
        <w:rPr>
          <w:rFonts w:eastAsia="Times New Roman" w:cs="Arial"/>
          <w:color w:val="000000"/>
          <w:lang w:eastAsia="bg-BG"/>
        </w:rPr>
      </w:pPr>
    </w:p>
    <w:p w14:paraId="716CF13F" w14:textId="77777777" w:rsidR="00A61B7E" w:rsidRDefault="00A61B7E" w:rsidP="00A61B7E">
      <w:pPr>
        <w:spacing w:line="240" w:lineRule="auto"/>
        <w:rPr>
          <w:rFonts w:eastAsia="Times New Roman" w:cs="Arial"/>
        </w:rPr>
      </w:pPr>
      <w:r w:rsidRPr="00A61B7E">
        <w:rPr>
          <w:rFonts w:eastAsia="Times New Roman" w:cs="Arial"/>
          <w:color w:val="000000"/>
          <w:lang w:eastAsia="bg-BG"/>
        </w:rPr>
        <w:t xml:space="preserve">Необходимо е повишено внимание при предписване на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на пациенти, при които се очаква повишена експозиция:</w:t>
      </w:r>
    </w:p>
    <w:p w14:paraId="48094466" w14:textId="66DAC2B8" w:rsidR="00A61B7E" w:rsidRPr="00A61B7E" w:rsidRDefault="00A61B7E" w:rsidP="00A61B7E">
      <w:pPr>
        <w:pStyle w:val="a3"/>
        <w:numPr>
          <w:ilvl w:val="0"/>
          <w:numId w:val="26"/>
        </w:numPr>
        <w:spacing w:line="240" w:lineRule="auto"/>
        <w:rPr>
          <w:rFonts w:eastAsia="Times New Roman" w:cs="Arial"/>
        </w:rPr>
      </w:pPr>
      <w:r w:rsidRPr="00A61B7E">
        <w:rPr>
          <w:rFonts w:eastAsia="Times New Roman" w:cs="Arial"/>
          <w:color w:val="000000"/>
          <w:lang w:eastAsia="bg-BG"/>
        </w:rPr>
        <w:t>Умерено бъбречно увреждане (виж точка 4.2 и 5.2)</w:t>
      </w:r>
    </w:p>
    <w:p w14:paraId="2691E312" w14:textId="77777777" w:rsidR="00A61B7E" w:rsidRPr="00A61B7E" w:rsidRDefault="00A61B7E" w:rsidP="00A61B7E">
      <w:pPr>
        <w:pStyle w:val="a3"/>
        <w:numPr>
          <w:ilvl w:val="0"/>
          <w:numId w:val="26"/>
        </w:numPr>
        <w:spacing w:line="240" w:lineRule="auto"/>
        <w:rPr>
          <w:rFonts w:eastAsia="Times New Roman" w:cs="Arial"/>
          <w:color w:val="000000"/>
          <w:lang w:eastAsia="bg-BG"/>
        </w:rPr>
      </w:pPr>
      <w:r w:rsidRPr="00A61B7E">
        <w:rPr>
          <w:rFonts w:eastAsia="Times New Roman" w:cs="Arial"/>
          <w:color w:val="000000"/>
          <w:lang w:eastAsia="bg-BG"/>
        </w:rPr>
        <w:t>Пациенти в старческа възраст, по-възрастни от 75 години (виж точка 4.2).</w:t>
      </w:r>
    </w:p>
    <w:p w14:paraId="24A18CEB" w14:textId="240E6DFC" w:rsidR="00A61B7E" w:rsidRDefault="00A61B7E" w:rsidP="00A61B7E"/>
    <w:p w14:paraId="589E23CD" w14:textId="77777777" w:rsidR="00A61B7E" w:rsidRPr="00A61B7E" w:rsidRDefault="00A61B7E" w:rsidP="00A61B7E"/>
    <w:p w14:paraId="297352C8" w14:textId="55DF96B1" w:rsidR="003765DC" w:rsidRDefault="002C50EE" w:rsidP="002B3C38">
      <w:pPr>
        <w:pStyle w:val="2"/>
      </w:pPr>
      <w:r>
        <w:t>4.5. Взаимодействие с други лекарствени продукти и други форми на взаимодействие</w:t>
      </w:r>
    </w:p>
    <w:p w14:paraId="5DD8A0F0" w14:textId="77777777" w:rsidR="00A61B7E" w:rsidRDefault="00A61B7E" w:rsidP="00A61B7E"/>
    <w:p w14:paraId="2EE439AD" w14:textId="5AA2FC44" w:rsidR="00A61B7E" w:rsidRDefault="00A61B7E" w:rsidP="00A61B7E">
      <w:r>
        <w:t>Не са установени взаимодействия с други лекарствени продукти.</w:t>
      </w:r>
    </w:p>
    <w:p w14:paraId="39B4AED2" w14:textId="77777777" w:rsidR="00A61B7E" w:rsidRPr="00A61B7E" w:rsidRDefault="00A61B7E" w:rsidP="00A61B7E"/>
    <w:p w14:paraId="20B09708" w14:textId="63A37A44" w:rsidR="003765DC" w:rsidRDefault="002C50EE" w:rsidP="002B3C38">
      <w:pPr>
        <w:pStyle w:val="2"/>
      </w:pPr>
      <w:r>
        <w:t xml:space="preserve">4.6. </w:t>
      </w:r>
      <w:proofErr w:type="spellStart"/>
      <w:r>
        <w:t>Фертилитет</w:t>
      </w:r>
      <w:proofErr w:type="spellEnd"/>
      <w:r>
        <w:t>, бременност и кърмене</w:t>
      </w:r>
    </w:p>
    <w:p w14:paraId="11966397" w14:textId="51774603" w:rsidR="00A61B7E" w:rsidRDefault="00A61B7E" w:rsidP="00A61B7E"/>
    <w:p w14:paraId="67C5B6BB" w14:textId="12E0D36B" w:rsidR="00A61B7E" w:rsidRPr="00A61B7E" w:rsidRDefault="00A61B7E" w:rsidP="00A61B7E">
      <w:pPr>
        <w:pStyle w:val="3"/>
        <w:rPr>
          <w:u w:val="single"/>
        </w:rPr>
      </w:pPr>
      <w:r w:rsidRPr="00A61B7E">
        <w:rPr>
          <w:u w:val="single"/>
        </w:rPr>
        <w:t>Бременност</w:t>
      </w:r>
    </w:p>
    <w:p w14:paraId="606305BD"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Проучванията при животни не са показали тератогенен ефект; все пак, поради липса на клинични данни, рискът от малформации не може да бъде изключен. Ето защо, поради съображения за сигурност, трябва да се избягва предписването на това лекарство по време на бременност.</w:t>
      </w:r>
    </w:p>
    <w:p w14:paraId="5B16A57A" w14:textId="77777777" w:rsidR="00A61B7E" w:rsidRPr="00A61B7E" w:rsidRDefault="00A61B7E" w:rsidP="00A61B7E">
      <w:pPr>
        <w:spacing w:line="240" w:lineRule="auto"/>
        <w:rPr>
          <w:rFonts w:eastAsia="Times New Roman" w:cs="Arial"/>
          <w:i/>
          <w:iCs/>
          <w:color w:val="000000"/>
          <w:lang w:eastAsia="bg-BG"/>
        </w:rPr>
      </w:pPr>
    </w:p>
    <w:p w14:paraId="51E01D6B" w14:textId="20864BCC" w:rsidR="00A61B7E" w:rsidRPr="00A61B7E" w:rsidRDefault="00A61B7E" w:rsidP="00A61B7E">
      <w:pPr>
        <w:pStyle w:val="3"/>
        <w:rPr>
          <w:rFonts w:eastAsia="Times New Roman"/>
          <w:u w:val="single"/>
        </w:rPr>
      </w:pPr>
      <w:r w:rsidRPr="00A61B7E">
        <w:rPr>
          <w:rFonts w:eastAsia="Times New Roman"/>
          <w:u w:val="single"/>
          <w:lang w:eastAsia="bg-BG"/>
        </w:rPr>
        <w:t>Кърмене</w:t>
      </w:r>
    </w:p>
    <w:p w14:paraId="561B73AE" w14:textId="15E677AC" w:rsidR="00A61B7E" w:rsidRDefault="00A61B7E" w:rsidP="00A61B7E">
      <w:pPr>
        <w:rPr>
          <w:rFonts w:eastAsia="Times New Roman" w:cs="Arial"/>
          <w:color w:val="000000"/>
          <w:lang w:eastAsia="bg-BG"/>
        </w:rPr>
      </w:pPr>
      <w:r w:rsidRPr="00A61B7E">
        <w:rPr>
          <w:rFonts w:eastAsia="Times New Roman" w:cs="Arial"/>
          <w:color w:val="000000"/>
          <w:lang w:eastAsia="bg-BG"/>
        </w:rPr>
        <w:t>Поради липса на данни за отделянето в кърмата, не се препоръчва кърмене по време на лечението.</w:t>
      </w:r>
    </w:p>
    <w:p w14:paraId="4589C897" w14:textId="77777777" w:rsidR="00A61B7E" w:rsidRPr="00A61B7E" w:rsidRDefault="00A61B7E" w:rsidP="00A61B7E">
      <w:pPr>
        <w:rPr>
          <w:rFonts w:cs="Arial"/>
        </w:rPr>
      </w:pPr>
    </w:p>
    <w:p w14:paraId="13465597" w14:textId="2CB28B8C" w:rsidR="003765DC" w:rsidRDefault="002C50EE" w:rsidP="002B3C38">
      <w:pPr>
        <w:pStyle w:val="2"/>
      </w:pPr>
      <w:r>
        <w:t>4.7. Ефекти върху способността за шофиране и работа с машини</w:t>
      </w:r>
    </w:p>
    <w:p w14:paraId="58A03A39" w14:textId="51E13128" w:rsidR="00A61B7E" w:rsidRDefault="00A61B7E" w:rsidP="00A61B7E"/>
    <w:p w14:paraId="47279F60" w14:textId="186B62FF" w:rsidR="00A61B7E" w:rsidRDefault="00A61B7E" w:rsidP="00A61B7E">
      <w:proofErr w:type="spellStart"/>
      <w:r>
        <w:t>Триметазидин</w:t>
      </w:r>
      <w:proofErr w:type="spellEnd"/>
      <w:r>
        <w:t xml:space="preserve"> няма </w:t>
      </w:r>
      <w:proofErr w:type="spellStart"/>
      <w:r>
        <w:t>хемодинамични</w:t>
      </w:r>
      <w:proofErr w:type="spellEnd"/>
      <w:r>
        <w:t xml:space="preserve"> ефекти при клинични проучвания, при </w:t>
      </w:r>
      <w:proofErr w:type="spellStart"/>
      <w:r>
        <w:t>постмаркетинговия</w:t>
      </w:r>
      <w:proofErr w:type="spellEnd"/>
      <w:r>
        <w:t xml:space="preserve"> опит, обаче са наблюдавани случаи на замаяност и сънливост (виж точка 4.8), които могат да повлияят способността за шофиране и работа с машини.</w:t>
      </w:r>
    </w:p>
    <w:p w14:paraId="6AC19B43" w14:textId="77777777" w:rsidR="00A61B7E" w:rsidRPr="00A61B7E" w:rsidRDefault="00A61B7E" w:rsidP="00A61B7E"/>
    <w:p w14:paraId="5D66F04B" w14:textId="4C2B427B" w:rsidR="003765DC" w:rsidRDefault="002C50EE" w:rsidP="002B3C38">
      <w:pPr>
        <w:pStyle w:val="2"/>
      </w:pPr>
      <w:r>
        <w:t>4.8. Нежелани лекарствени реакции</w:t>
      </w:r>
    </w:p>
    <w:p w14:paraId="32A25388" w14:textId="206E563F" w:rsidR="00A61B7E" w:rsidRDefault="00A61B7E" w:rsidP="00A61B7E"/>
    <w:p w14:paraId="57C0793F" w14:textId="77777777" w:rsidR="00A61B7E" w:rsidRPr="00A61B7E" w:rsidRDefault="00A61B7E" w:rsidP="00A61B7E">
      <w:pPr>
        <w:rPr>
          <w:sz w:val="24"/>
          <w:szCs w:val="24"/>
        </w:rPr>
      </w:pPr>
      <w:proofErr w:type="spellStart"/>
      <w:r w:rsidRPr="00A61B7E">
        <w:rPr>
          <w:lang w:eastAsia="bg-BG"/>
        </w:rPr>
        <w:t>Триметазидин</w:t>
      </w:r>
      <w:proofErr w:type="spellEnd"/>
      <w:r w:rsidRPr="00A61B7E">
        <w:rPr>
          <w:lang w:eastAsia="bg-BG"/>
        </w:rPr>
        <w:t xml:space="preserve"> може да предизвика следните нежелани реакции, групирани по честота по следния начин:</w:t>
      </w:r>
    </w:p>
    <w:p w14:paraId="0DF837A3" w14:textId="77777777" w:rsidR="00A61B7E" w:rsidRPr="00A61B7E" w:rsidRDefault="00A61B7E" w:rsidP="00A61B7E">
      <w:pPr>
        <w:rPr>
          <w:sz w:val="24"/>
          <w:szCs w:val="24"/>
        </w:rPr>
      </w:pPr>
      <w:r w:rsidRPr="00A61B7E">
        <w:rPr>
          <w:lang w:eastAsia="bg-BG"/>
        </w:rPr>
        <w:t>Много чести (</w:t>
      </w:r>
      <w:r w:rsidRPr="00A61B7E">
        <w:rPr>
          <w:lang w:val="en-US"/>
        </w:rPr>
        <w:t>≥</w:t>
      </w:r>
      <w:r w:rsidRPr="00A61B7E">
        <w:rPr>
          <w:lang w:eastAsia="bg-BG"/>
        </w:rPr>
        <w:t>1/10), чести (</w:t>
      </w:r>
      <w:r w:rsidRPr="00A61B7E">
        <w:rPr>
          <w:lang w:val="en-US"/>
        </w:rPr>
        <w:t>≥</w:t>
      </w:r>
      <w:r w:rsidRPr="00A61B7E">
        <w:rPr>
          <w:lang w:eastAsia="bg-BG"/>
        </w:rPr>
        <w:t>1/100 до &lt;1/10), нечести (</w:t>
      </w:r>
      <w:r w:rsidRPr="00A61B7E">
        <w:rPr>
          <w:lang w:val="en-US"/>
        </w:rPr>
        <w:t>≥</w:t>
      </w:r>
      <w:r w:rsidRPr="00A61B7E">
        <w:rPr>
          <w:lang w:eastAsia="bg-BG"/>
        </w:rPr>
        <w:t>1/1000 до &lt;1/100), редки (</w:t>
      </w:r>
      <w:r w:rsidRPr="00A61B7E">
        <w:rPr>
          <w:lang w:val="en-US"/>
        </w:rPr>
        <w:t>≥</w:t>
      </w:r>
      <w:r w:rsidRPr="00A61B7E">
        <w:rPr>
          <w:lang w:eastAsia="bg-BG"/>
        </w:rPr>
        <w:t>1/10 000 до &lt;1/1000), много редки (&lt;1/10 000), с неизвестна честота (не може да бъде определена въз основа на наличните данни).</w:t>
      </w:r>
    </w:p>
    <w:p w14:paraId="43EF80DC" w14:textId="067B2237" w:rsidR="00A61B7E" w:rsidRDefault="00A61B7E" w:rsidP="00A61B7E"/>
    <w:tbl>
      <w:tblPr>
        <w:tblStyle w:val="a4"/>
        <w:tblW w:w="0" w:type="auto"/>
        <w:tblLook w:val="04A0" w:firstRow="1" w:lastRow="0" w:firstColumn="1" w:lastColumn="0" w:noHBand="0" w:noVBand="1"/>
      </w:tblPr>
      <w:tblGrid>
        <w:gridCol w:w="3120"/>
        <w:gridCol w:w="3090"/>
        <w:gridCol w:w="3140"/>
      </w:tblGrid>
      <w:tr w:rsidR="00A61B7E" w14:paraId="36237662" w14:textId="77777777" w:rsidTr="00A61B7E">
        <w:tc>
          <w:tcPr>
            <w:tcW w:w="3192" w:type="dxa"/>
          </w:tcPr>
          <w:p w14:paraId="5E9ACBE5" w14:textId="0F02B28F" w:rsidR="00A61B7E" w:rsidRDefault="00A61B7E" w:rsidP="00A61B7E">
            <w:r>
              <w:t>Системно-органен клас</w:t>
            </w:r>
          </w:p>
        </w:tc>
        <w:tc>
          <w:tcPr>
            <w:tcW w:w="3192" w:type="dxa"/>
          </w:tcPr>
          <w:p w14:paraId="738D04B4" w14:textId="7588C1D5" w:rsidR="00A61B7E" w:rsidRDefault="00A61B7E" w:rsidP="00A61B7E">
            <w:r>
              <w:t>Честота</w:t>
            </w:r>
          </w:p>
        </w:tc>
        <w:tc>
          <w:tcPr>
            <w:tcW w:w="3192" w:type="dxa"/>
          </w:tcPr>
          <w:p w14:paraId="03FA588B" w14:textId="1A80F6D3" w:rsidR="00A61B7E" w:rsidRDefault="00A61B7E" w:rsidP="00A61B7E">
            <w:r>
              <w:t>Предпочитан терм</w:t>
            </w:r>
            <w:r>
              <w:rPr>
                <w:u w:val="single"/>
              </w:rPr>
              <w:t>ин</w:t>
            </w:r>
          </w:p>
        </w:tc>
      </w:tr>
      <w:tr w:rsidR="00A61B7E" w14:paraId="1F0148C1" w14:textId="77777777" w:rsidTr="00A61B7E">
        <w:tc>
          <w:tcPr>
            <w:tcW w:w="3192" w:type="dxa"/>
          </w:tcPr>
          <w:p w14:paraId="098155B0" w14:textId="6089CC99" w:rsidR="00A61B7E" w:rsidRDefault="00A61B7E" w:rsidP="00A61B7E">
            <w:r>
              <w:t>Нарушения на нервната система</w:t>
            </w:r>
          </w:p>
        </w:tc>
        <w:tc>
          <w:tcPr>
            <w:tcW w:w="3192" w:type="dxa"/>
          </w:tcPr>
          <w:p w14:paraId="41C0EA60" w14:textId="217B0285" w:rsidR="00A61B7E" w:rsidRDefault="00A61B7E" w:rsidP="00A61B7E">
            <w:r>
              <w:t>Чести</w:t>
            </w:r>
          </w:p>
        </w:tc>
        <w:tc>
          <w:tcPr>
            <w:tcW w:w="3192" w:type="dxa"/>
          </w:tcPr>
          <w:p w14:paraId="20EC2983" w14:textId="071C623D" w:rsidR="00A61B7E" w:rsidRDefault="00A61B7E" w:rsidP="00A61B7E">
            <w:r>
              <w:t>Замаяност, главоболие</w:t>
            </w:r>
          </w:p>
        </w:tc>
      </w:tr>
      <w:tr w:rsidR="00A61B7E" w14:paraId="647671E6" w14:textId="77777777" w:rsidTr="00A61B7E">
        <w:tc>
          <w:tcPr>
            <w:tcW w:w="3192" w:type="dxa"/>
          </w:tcPr>
          <w:p w14:paraId="0F50D681" w14:textId="77777777" w:rsidR="00A61B7E" w:rsidRDefault="00A61B7E" w:rsidP="00A61B7E"/>
        </w:tc>
        <w:tc>
          <w:tcPr>
            <w:tcW w:w="3192" w:type="dxa"/>
          </w:tcPr>
          <w:p w14:paraId="2B41C3CB" w14:textId="66F1814B" w:rsidR="00A61B7E" w:rsidRDefault="00A61B7E" w:rsidP="00A61B7E">
            <w:r>
              <w:t>Неизвестна</w:t>
            </w:r>
          </w:p>
        </w:tc>
        <w:tc>
          <w:tcPr>
            <w:tcW w:w="3192" w:type="dxa"/>
          </w:tcPr>
          <w:p w14:paraId="15010DAD" w14:textId="59FA10DB" w:rsidR="00A61B7E" w:rsidRDefault="00A61B7E" w:rsidP="00A61B7E">
            <w:r>
              <w:t xml:space="preserve">Симптоми на </w:t>
            </w:r>
            <w:proofErr w:type="spellStart"/>
            <w:r>
              <w:t>паркинсонизъм</w:t>
            </w:r>
            <w:proofErr w:type="spellEnd"/>
            <w:r>
              <w:t xml:space="preserve"> (тремор, </w:t>
            </w:r>
            <w:proofErr w:type="spellStart"/>
            <w:r>
              <w:lastRenderedPageBreak/>
              <w:t>акинезия</w:t>
            </w:r>
            <w:proofErr w:type="spellEnd"/>
            <w:r>
              <w:t>, повишен мускулен тонус), нестабилна походка, синдром на неспокойните крака, други свързани двигателни нарушения, обикновено обратими след прекратяване на лечението</w:t>
            </w:r>
            <w:r>
              <w:tab/>
            </w:r>
            <w:r>
              <w:tab/>
            </w:r>
          </w:p>
        </w:tc>
      </w:tr>
      <w:tr w:rsidR="00A61B7E" w14:paraId="5CD7917D" w14:textId="77777777" w:rsidTr="00A61B7E">
        <w:tc>
          <w:tcPr>
            <w:tcW w:w="3192" w:type="dxa"/>
          </w:tcPr>
          <w:p w14:paraId="2EFC6C68" w14:textId="77777777" w:rsidR="00A61B7E" w:rsidRDefault="00A61B7E" w:rsidP="00A61B7E"/>
        </w:tc>
        <w:tc>
          <w:tcPr>
            <w:tcW w:w="3192" w:type="dxa"/>
          </w:tcPr>
          <w:p w14:paraId="24D7A22E" w14:textId="69659000" w:rsidR="00A61B7E" w:rsidRDefault="00A61B7E" w:rsidP="00A61B7E">
            <w:r>
              <w:t>Неизвестна</w:t>
            </w:r>
          </w:p>
        </w:tc>
        <w:tc>
          <w:tcPr>
            <w:tcW w:w="3192" w:type="dxa"/>
          </w:tcPr>
          <w:p w14:paraId="7F7594BA" w14:textId="78524629" w:rsidR="00A61B7E" w:rsidRDefault="00A61B7E" w:rsidP="00A61B7E">
            <w:r>
              <w:t>Нарушения на съня (</w:t>
            </w:r>
            <w:proofErr w:type="spellStart"/>
            <w:r>
              <w:t>инсомния</w:t>
            </w:r>
            <w:proofErr w:type="spellEnd"/>
            <w:r>
              <w:t>, сънливост)</w:t>
            </w:r>
          </w:p>
        </w:tc>
      </w:tr>
      <w:tr w:rsidR="00A61B7E" w14:paraId="4D04B783" w14:textId="77777777" w:rsidTr="00A61B7E">
        <w:tc>
          <w:tcPr>
            <w:tcW w:w="3192" w:type="dxa"/>
          </w:tcPr>
          <w:p w14:paraId="54F5543B" w14:textId="33DABB8B" w:rsidR="00A61B7E" w:rsidRDefault="00A61B7E" w:rsidP="00A61B7E">
            <w:r>
              <w:t>Сърдечни нарушения</w:t>
            </w:r>
          </w:p>
        </w:tc>
        <w:tc>
          <w:tcPr>
            <w:tcW w:w="3192" w:type="dxa"/>
          </w:tcPr>
          <w:p w14:paraId="62AD43E2" w14:textId="6959A0A1" w:rsidR="00A61B7E" w:rsidRDefault="00A61B7E" w:rsidP="00A61B7E">
            <w:r>
              <w:t>Редки</w:t>
            </w:r>
          </w:p>
        </w:tc>
        <w:tc>
          <w:tcPr>
            <w:tcW w:w="3192" w:type="dxa"/>
          </w:tcPr>
          <w:p w14:paraId="2C1216E2" w14:textId="2E74383A" w:rsidR="00A61B7E" w:rsidRDefault="00A61B7E" w:rsidP="00A61B7E">
            <w:proofErr w:type="spellStart"/>
            <w:r>
              <w:t>Палпитации</w:t>
            </w:r>
            <w:proofErr w:type="spellEnd"/>
            <w:r>
              <w:t xml:space="preserve">, </w:t>
            </w:r>
            <w:proofErr w:type="spellStart"/>
            <w:r>
              <w:t>екстрасистоли</w:t>
            </w:r>
            <w:proofErr w:type="spellEnd"/>
            <w:r>
              <w:t>, тахикардия</w:t>
            </w:r>
          </w:p>
        </w:tc>
      </w:tr>
      <w:tr w:rsidR="00A61B7E" w14:paraId="40327A33" w14:textId="77777777" w:rsidTr="00A61B7E">
        <w:tc>
          <w:tcPr>
            <w:tcW w:w="3192" w:type="dxa"/>
          </w:tcPr>
          <w:p w14:paraId="49010D82" w14:textId="3B9DC696" w:rsidR="00A61B7E" w:rsidRDefault="00A61B7E" w:rsidP="00A61B7E">
            <w:r>
              <w:t>Съдови нарушения</w:t>
            </w:r>
          </w:p>
        </w:tc>
        <w:tc>
          <w:tcPr>
            <w:tcW w:w="3192" w:type="dxa"/>
          </w:tcPr>
          <w:p w14:paraId="487003CD" w14:textId="2ED84734" w:rsidR="00A61B7E" w:rsidRDefault="00A61B7E" w:rsidP="00A61B7E">
            <w:r>
              <w:t>Редки</w:t>
            </w:r>
          </w:p>
        </w:tc>
        <w:tc>
          <w:tcPr>
            <w:tcW w:w="3192" w:type="dxa"/>
          </w:tcPr>
          <w:p w14:paraId="0C4EA592" w14:textId="3A306025" w:rsidR="00A61B7E" w:rsidRDefault="00A61B7E" w:rsidP="00A61B7E">
            <w:r>
              <w:t>Артериална хипотония, ортостатична хипотония, която може да бъде свързана с неразположение, замаяност или падане, особено при пациенти, приемащи антихипертензивно лечение, зачервяване</w:t>
            </w:r>
          </w:p>
        </w:tc>
      </w:tr>
      <w:tr w:rsidR="00A61B7E" w14:paraId="46F2227D" w14:textId="77777777" w:rsidTr="00A61B7E">
        <w:tc>
          <w:tcPr>
            <w:tcW w:w="3192" w:type="dxa"/>
          </w:tcPr>
          <w:p w14:paraId="6B86DE27" w14:textId="6CE54581" w:rsidR="00A61B7E" w:rsidRDefault="00A61B7E" w:rsidP="00A61B7E">
            <w:r>
              <w:t>Стомашно-чревни нарушения</w:t>
            </w:r>
          </w:p>
        </w:tc>
        <w:tc>
          <w:tcPr>
            <w:tcW w:w="3192" w:type="dxa"/>
          </w:tcPr>
          <w:p w14:paraId="30056007" w14:textId="32A84C71" w:rsidR="00A61B7E" w:rsidRDefault="00A61B7E" w:rsidP="00A61B7E">
            <w:r>
              <w:t>Чести</w:t>
            </w:r>
          </w:p>
        </w:tc>
        <w:tc>
          <w:tcPr>
            <w:tcW w:w="3192" w:type="dxa"/>
          </w:tcPr>
          <w:p w14:paraId="5941A8B6" w14:textId="7D895826" w:rsidR="00A61B7E" w:rsidRDefault="00A61B7E" w:rsidP="00A61B7E">
            <w:r>
              <w:t>Коремна болка, диария,</w:t>
            </w:r>
            <w:r>
              <w:rPr>
                <w:vertAlign w:val="subscript"/>
              </w:rPr>
              <w:t xml:space="preserve"> </w:t>
            </w:r>
            <w:r>
              <w:t>диспепсия, гадене и повръщане</w:t>
            </w:r>
          </w:p>
        </w:tc>
      </w:tr>
      <w:tr w:rsidR="00A61B7E" w14:paraId="075D16DC" w14:textId="77777777" w:rsidTr="00A61B7E">
        <w:tc>
          <w:tcPr>
            <w:tcW w:w="3192" w:type="dxa"/>
          </w:tcPr>
          <w:p w14:paraId="5221DD1E" w14:textId="77777777" w:rsidR="00A61B7E" w:rsidRDefault="00A61B7E" w:rsidP="00A61B7E"/>
        </w:tc>
        <w:tc>
          <w:tcPr>
            <w:tcW w:w="3192" w:type="dxa"/>
          </w:tcPr>
          <w:p w14:paraId="782C9B37" w14:textId="1907A67D" w:rsidR="00A61B7E" w:rsidRDefault="00A61B7E" w:rsidP="00A61B7E">
            <w:r>
              <w:t>Неизвестна</w:t>
            </w:r>
          </w:p>
        </w:tc>
        <w:tc>
          <w:tcPr>
            <w:tcW w:w="3192" w:type="dxa"/>
          </w:tcPr>
          <w:p w14:paraId="624B8C95" w14:textId="558AC67A" w:rsidR="00A61B7E" w:rsidRDefault="00A61B7E" w:rsidP="00A61B7E">
            <w:r>
              <w:rPr>
                <w:u w:val="single"/>
              </w:rPr>
              <w:t>Констипация</w:t>
            </w:r>
          </w:p>
        </w:tc>
      </w:tr>
      <w:tr w:rsidR="00A61B7E" w14:paraId="015CEDA3" w14:textId="77777777" w:rsidTr="00A61B7E">
        <w:tc>
          <w:tcPr>
            <w:tcW w:w="3192" w:type="dxa"/>
          </w:tcPr>
          <w:p w14:paraId="1942AA86" w14:textId="180ABBA2" w:rsidR="00A61B7E" w:rsidRDefault="00A61B7E" w:rsidP="00A61B7E">
            <w:r>
              <w:t>Нарушения на кожата и подкожната тъкан</w:t>
            </w:r>
          </w:p>
        </w:tc>
        <w:tc>
          <w:tcPr>
            <w:tcW w:w="3192" w:type="dxa"/>
          </w:tcPr>
          <w:p w14:paraId="2D949DCA" w14:textId="6ECCF84F" w:rsidR="00A61B7E" w:rsidRDefault="00A61B7E" w:rsidP="00A61B7E">
            <w:r>
              <w:t>Чести</w:t>
            </w:r>
          </w:p>
        </w:tc>
        <w:tc>
          <w:tcPr>
            <w:tcW w:w="3192" w:type="dxa"/>
          </w:tcPr>
          <w:p w14:paraId="39761052" w14:textId="485EF352" w:rsidR="00A61B7E" w:rsidRDefault="00A61B7E" w:rsidP="00A61B7E">
            <w:r>
              <w:t xml:space="preserve">Обрив, </w:t>
            </w:r>
            <w:proofErr w:type="spellStart"/>
            <w:r>
              <w:t>пруритус</w:t>
            </w:r>
            <w:proofErr w:type="spellEnd"/>
            <w:r>
              <w:t>, уртикария _</w:t>
            </w:r>
          </w:p>
        </w:tc>
      </w:tr>
      <w:tr w:rsidR="00A61B7E" w14:paraId="6F517AE8" w14:textId="77777777" w:rsidTr="00A61B7E">
        <w:tc>
          <w:tcPr>
            <w:tcW w:w="3192" w:type="dxa"/>
          </w:tcPr>
          <w:p w14:paraId="65154381" w14:textId="77777777" w:rsidR="00A61B7E" w:rsidRDefault="00A61B7E" w:rsidP="00A61B7E"/>
        </w:tc>
        <w:tc>
          <w:tcPr>
            <w:tcW w:w="3192" w:type="dxa"/>
          </w:tcPr>
          <w:p w14:paraId="7BCB9C07" w14:textId="7DA97E1B" w:rsidR="00A61B7E" w:rsidRDefault="00A61B7E" w:rsidP="00A61B7E">
            <w:r>
              <w:t>Неизвестна</w:t>
            </w:r>
          </w:p>
        </w:tc>
        <w:tc>
          <w:tcPr>
            <w:tcW w:w="3192" w:type="dxa"/>
          </w:tcPr>
          <w:p w14:paraId="4D2DC0FD" w14:textId="6A57D288" w:rsidR="00A61B7E" w:rsidRDefault="00A61B7E" w:rsidP="00A61B7E">
            <w:r>
              <w:t xml:space="preserve">Остра генерализирана </w:t>
            </w:r>
            <w:proofErr w:type="spellStart"/>
            <w:r>
              <w:t>пустулозна</w:t>
            </w:r>
            <w:proofErr w:type="spellEnd"/>
            <w:r>
              <w:t xml:space="preserve"> </w:t>
            </w:r>
            <w:proofErr w:type="spellStart"/>
            <w:r>
              <w:t>екзантема</w:t>
            </w:r>
            <w:proofErr w:type="spellEnd"/>
            <w:r>
              <w:t xml:space="preserve"> </w:t>
            </w:r>
            <w:r>
              <w:rPr>
                <w:lang w:val="en-US"/>
              </w:rPr>
              <w:t xml:space="preserve">(AGEP), </w:t>
            </w:r>
            <w:r>
              <w:t>ангиоедем</w:t>
            </w:r>
          </w:p>
        </w:tc>
      </w:tr>
      <w:tr w:rsidR="00A61B7E" w14:paraId="17BFD8E9" w14:textId="77777777" w:rsidTr="00A61B7E">
        <w:tc>
          <w:tcPr>
            <w:tcW w:w="3192" w:type="dxa"/>
          </w:tcPr>
          <w:p w14:paraId="23E4FDAF" w14:textId="4634AE02" w:rsidR="00A61B7E" w:rsidRDefault="00A61B7E" w:rsidP="00A61B7E">
            <w:r>
              <w:t>Общи нарушения и ефекти на мястото на приложение</w:t>
            </w:r>
          </w:p>
        </w:tc>
        <w:tc>
          <w:tcPr>
            <w:tcW w:w="3192" w:type="dxa"/>
          </w:tcPr>
          <w:p w14:paraId="22E4EF87" w14:textId="6E044D34" w:rsidR="00A61B7E" w:rsidRDefault="00A61B7E" w:rsidP="00A61B7E">
            <w:r>
              <w:t>Чести</w:t>
            </w:r>
          </w:p>
        </w:tc>
        <w:tc>
          <w:tcPr>
            <w:tcW w:w="3192" w:type="dxa"/>
          </w:tcPr>
          <w:p w14:paraId="43C5D66C" w14:textId="3612B2DC" w:rsidR="00A61B7E" w:rsidRDefault="00A61B7E" w:rsidP="00A61B7E">
            <w:proofErr w:type="spellStart"/>
            <w:r>
              <w:t>Астения</w:t>
            </w:r>
            <w:proofErr w:type="spellEnd"/>
          </w:p>
        </w:tc>
      </w:tr>
      <w:tr w:rsidR="00A61B7E" w14:paraId="0A66B42F" w14:textId="77777777" w:rsidTr="00A61B7E">
        <w:tc>
          <w:tcPr>
            <w:tcW w:w="3192" w:type="dxa"/>
          </w:tcPr>
          <w:p w14:paraId="35F116CC" w14:textId="799448A4" w:rsidR="00A61B7E" w:rsidRDefault="00A61B7E" w:rsidP="00A61B7E">
            <w:r>
              <w:t>Нарушения на кръвта и лимфната система</w:t>
            </w:r>
          </w:p>
        </w:tc>
        <w:tc>
          <w:tcPr>
            <w:tcW w:w="3192" w:type="dxa"/>
          </w:tcPr>
          <w:p w14:paraId="7D0453C4" w14:textId="48B3AC6C" w:rsidR="00A61B7E" w:rsidRDefault="00A61B7E" w:rsidP="00A61B7E">
            <w:r>
              <w:t>Неизвестна</w:t>
            </w:r>
          </w:p>
        </w:tc>
        <w:tc>
          <w:tcPr>
            <w:tcW w:w="3192" w:type="dxa"/>
          </w:tcPr>
          <w:p w14:paraId="2A0E873B" w14:textId="2FEA73FE" w:rsidR="00A61B7E" w:rsidRDefault="00A61B7E" w:rsidP="00A61B7E">
            <w:proofErr w:type="spellStart"/>
            <w:r>
              <w:t>Арганулоцитоза</w:t>
            </w:r>
            <w:proofErr w:type="spellEnd"/>
            <w:r>
              <w:t xml:space="preserve">, </w:t>
            </w:r>
            <w:proofErr w:type="spellStart"/>
            <w:r>
              <w:t>тромбоцитопения</w:t>
            </w:r>
            <w:proofErr w:type="spellEnd"/>
            <w:r>
              <w:t xml:space="preserve">, </w:t>
            </w:r>
            <w:proofErr w:type="spellStart"/>
            <w:r>
              <w:t>тромбоцитопенична</w:t>
            </w:r>
            <w:proofErr w:type="spellEnd"/>
            <w:r>
              <w:t xml:space="preserve"> пурпура</w:t>
            </w:r>
          </w:p>
        </w:tc>
      </w:tr>
      <w:tr w:rsidR="00A61B7E" w14:paraId="63D951FE" w14:textId="77777777" w:rsidTr="00A61B7E">
        <w:tc>
          <w:tcPr>
            <w:tcW w:w="3192" w:type="dxa"/>
          </w:tcPr>
          <w:p w14:paraId="211B2912" w14:textId="5070990F" w:rsidR="00A61B7E" w:rsidRDefault="00A61B7E" w:rsidP="00A61B7E">
            <w:proofErr w:type="spellStart"/>
            <w:r>
              <w:t>Хепатобилиарни</w:t>
            </w:r>
            <w:proofErr w:type="spellEnd"/>
            <w:r>
              <w:t xml:space="preserve"> нар</w:t>
            </w:r>
            <w:r>
              <w:rPr>
                <w:u w:val="single"/>
              </w:rPr>
              <w:t>ушения</w:t>
            </w:r>
          </w:p>
        </w:tc>
        <w:tc>
          <w:tcPr>
            <w:tcW w:w="3192" w:type="dxa"/>
          </w:tcPr>
          <w:p w14:paraId="2A0361A5" w14:textId="0AACC0B9" w:rsidR="00A61B7E" w:rsidRDefault="00A61B7E" w:rsidP="00A61B7E">
            <w:r>
              <w:t>Неизвестна</w:t>
            </w:r>
          </w:p>
        </w:tc>
        <w:tc>
          <w:tcPr>
            <w:tcW w:w="3192" w:type="dxa"/>
          </w:tcPr>
          <w:p w14:paraId="5EC5C311" w14:textId="206A3EBE" w:rsidR="00A61B7E" w:rsidRDefault="00A61B7E" w:rsidP="00A61B7E">
            <w:r>
              <w:t>Хепатит</w:t>
            </w:r>
          </w:p>
        </w:tc>
      </w:tr>
    </w:tbl>
    <w:p w14:paraId="3CDC3BB9" w14:textId="26F5C815" w:rsidR="00A61B7E" w:rsidRDefault="00A61B7E" w:rsidP="00A61B7E"/>
    <w:p w14:paraId="02EBF372" w14:textId="77777777" w:rsidR="00A61B7E" w:rsidRPr="00A61B7E" w:rsidRDefault="00A61B7E" w:rsidP="00A61B7E">
      <w:pPr>
        <w:rPr>
          <w:sz w:val="24"/>
          <w:szCs w:val="24"/>
          <w:u w:val="single"/>
        </w:rPr>
      </w:pPr>
      <w:r w:rsidRPr="00A61B7E">
        <w:rPr>
          <w:u w:val="single"/>
          <w:lang w:eastAsia="bg-BG"/>
        </w:rPr>
        <w:t>Съобщаване на подозирани нежелани реакции</w:t>
      </w:r>
    </w:p>
    <w:p w14:paraId="30E71270" w14:textId="77777777" w:rsidR="00A61B7E" w:rsidRPr="00A61B7E" w:rsidRDefault="00A61B7E" w:rsidP="00A61B7E">
      <w:pPr>
        <w:rPr>
          <w:sz w:val="24"/>
          <w:szCs w:val="24"/>
        </w:rPr>
      </w:pPr>
      <w:r w:rsidRPr="00A61B7E">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BBB2B1B" w14:textId="77777777" w:rsidR="00A61B7E" w:rsidRPr="00A61B7E" w:rsidRDefault="00A61B7E" w:rsidP="00A61B7E">
      <w:pPr>
        <w:rPr>
          <w:sz w:val="24"/>
          <w:szCs w:val="24"/>
        </w:rPr>
      </w:pPr>
      <w:r w:rsidRPr="00A61B7E">
        <w:rPr>
          <w:lang w:eastAsia="bg-BG"/>
        </w:rPr>
        <w:t>Изпълнителна агенция по лекарствата</w:t>
      </w:r>
    </w:p>
    <w:p w14:paraId="4671822D" w14:textId="77777777" w:rsidR="00A61B7E" w:rsidRPr="00A61B7E" w:rsidRDefault="00A61B7E" w:rsidP="00A61B7E">
      <w:pPr>
        <w:rPr>
          <w:sz w:val="24"/>
          <w:szCs w:val="24"/>
        </w:rPr>
      </w:pPr>
      <w:r w:rsidRPr="00A61B7E">
        <w:rPr>
          <w:lang w:eastAsia="bg-BG"/>
        </w:rPr>
        <w:t>ул. „Дамян Груев” № 8, 1303 София</w:t>
      </w:r>
    </w:p>
    <w:p w14:paraId="0B9BCA3F" w14:textId="77777777" w:rsidR="00A61B7E" w:rsidRPr="00A61B7E" w:rsidRDefault="00A61B7E" w:rsidP="00A61B7E">
      <w:pPr>
        <w:rPr>
          <w:sz w:val="24"/>
          <w:szCs w:val="24"/>
        </w:rPr>
      </w:pPr>
      <w:r w:rsidRPr="00A61B7E">
        <w:rPr>
          <w:lang w:eastAsia="bg-BG"/>
        </w:rPr>
        <w:t>Тел.:+35 928903417</w:t>
      </w:r>
    </w:p>
    <w:p w14:paraId="72AA9AD1" w14:textId="77777777" w:rsidR="00A61B7E" w:rsidRPr="00A61B7E" w:rsidRDefault="00A61B7E" w:rsidP="00A61B7E">
      <w:pPr>
        <w:rPr>
          <w:sz w:val="24"/>
          <w:szCs w:val="24"/>
        </w:rPr>
      </w:pPr>
      <w:r w:rsidRPr="00A61B7E">
        <w:rPr>
          <w:lang w:eastAsia="bg-BG"/>
        </w:rPr>
        <w:t xml:space="preserve">уебсайт: </w:t>
      </w:r>
      <w:hyperlink r:id="rId5" w:history="1">
        <w:r w:rsidRPr="00A61B7E">
          <w:rPr>
            <w:lang w:val="en-US"/>
          </w:rPr>
          <w:t>www.bda.bg</w:t>
        </w:r>
      </w:hyperlink>
    </w:p>
    <w:p w14:paraId="3E0984ED" w14:textId="77777777" w:rsidR="00A61B7E" w:rsidRPr="00A61B7E" w:rsidRDefault="00A61B7E" w:rsidP="00A61B7E"/>
    <w:p w14:paraId="42DF9851" w14:textId="16022C27" w:rsidR="003765DC" w:rsidRDefault="002C50EE" w:rsidP="002B3C38">
      <w:pPr>
        <w:pStyle w:val="2"/>
      </w:pPr>
      <w:r>
        <w:t>4.9. Предозиране</w:t>
      </w:r>
    </w:p>
    <w:p w14:paraId="307B30F0" w14:textId="77777777" w:rsidR="00A61B7E" w:rsidRDefault="00A61B7E" w:rsidP="00A61B7E">
      <w:pPr>
        <w:rPr>
          <w:lang w:eastAsia="bg-BG"/>
        </w:rPr>
      </w:pPr>
    </w:p>
    <w:p w14:paraId="7AC0AF06" w14:textId="4D076A05" w:rsidR="00A61B7E" w:rsidRPr="00A61B7E" w:rsidRDefault="00A61B7E" w:rsidP="00A61B7E">
      <w:pPr>
        <w:rPr>
          <w:sz w:val="24"/>
          <w:szCs w:val="24"/>
        </w:rPr>
      </w:pPr>
      <w:r w:rsidRPr="00A61B7E">
        <w:rPr>
          <w:lang w:eastAsia="bg-BG"/>
        </w:rPr>
        <w:t xml:space="preserve">Наличната информация относно предозиране на </w:t>
      </w:r>
      <w:proofErr w:type="spellStart"/>
      <w:r w:rsidRPr="00A61B7E">
        <w:rPr>
          <w:lang w:eastAsia="bg-BG"/>
        </w:rPr>
        <w:t>триметазидин</w:t>
      </w:r>
      <w:proofErr w:type="spellEnd"/>
      <w:r w:rsidRPr="00A61B7E">
        <w:rPr>
          <w:lang w:eastAsia="bg-BG"/>
        </w:rPr>
        <w:t xml:space="preserve"> е много ограничена. Лечението трябва да бъде симптоматично.</w:t>
      </w:r>
    </w:p>
    <w:p w14:paraId="6C64A11E" w14:textId="77777777" w:rsidR="00A61B7E" w:rsidRPr="00A61B7E" w:rsidRDefault="00A61B7E" w:rsidP="00A61B7E"/>
    <w:p w14:paraId="18EF4AFE" w14:textId="77777777" w:rsidR="002C50EE" w:rsidRDefault="002C50EE" w:rsidP="002C50EE">
      <w:pPr>
        <w:pStyle w:val="1"/>
      </w:pPr>
      <w:r>
        <w:t>5. ФАРМАКОЛОГИЧНИ СВОЙСТВА</w:t>
      </w:r>
    </w:p>
    <w:p w14:paraId="7635AD51" w14:textId="011128FB" w:rsidR="003765DC" w:rsidRDefault="002C50EE" w:rsidP="002B3C38">
      <w:pPr>
        <w:pStyle w:val="2"/>
      </w:pPr>
      <w:r>
        <w:t xml:space="preserve">5.1. </w:t>
      </w:r>
      <w:proofErr w:type="spellStart"/>
      <w:r>
        <w:t>Фармакодинамични</w:t>
      </w:r>
      <w:proofErr w:type="spellEnd"/>
      <w:r>
        <w:t xml:space="preserve"> свойства</w:t>
      </w:r>
    </w:p>
    <w:p w14:paraId="0A5DC4BB" w14:textId="4A50FF78" w:rsidR="00A61B7E" w:rsidRDefault="00A61B7E" w:rsidP="00A61B7E"/>
    <w:p w14:paraId="120F66B6" w14:textId="77777777" w:rsidR="00A61B7E" w:rsidRPr="00A61B7E" w:rsidRDefault="00A61B7E" w:rsidP="00A61B7E">
      <w:pPr>
        <w:spacing w:line="240" w:lineRule="auto"/>
        <w:rPr>
          <w:rFonts w:eastAsia="Times New Roman" w:cs="Arial"/>
        </w:rPr>
      </w:pPr>
      <w:proofErr w:type="spellStart"/>
      <w:r w:rsidRPr="00A61B7E">
        <w:rPr>
          <w:rFonts w:eastAsia="Times New Roman" w:cs="Arial"/>
          <w:color w:val="000000"/>
          <w:lang w:eastAsia="bg-BG"/>
        </w:rPr>
        <w:t>Фармакотерапевтична</w:t>
      </w:r>
      <w:proofErr w:type="spellEnd"/>
      <w:r w:rsidRPr="00A61B7E">
        <w:rPr>
          <w:rFonts w:eastAsia="Times New Roman" w:cs="Arial"/>
          <w:color w:val="000000"/>
          <w:lang w:eastAsia="bg-BG"/>
        </w:rPr>
        <w:t xml:space="preserve"> група: Други сърдечносъдови </w:t>
      </w:r>
      <w:proofErr w:type="spellStart"/>
      <w:r w:rsidRPr="00A61B7E">
        <w:rPr>
          <w:rFonts w:eastAsia="Times New Roman" w:cs="Arial"/>
          <w:color w:val="000000"/>
          <w:lang w:eastAsia="bg-BG"/>
        </w:rPr>
        <w:t>антиангинозни</w:t>
      </w:r>
      <w:proofErr w:type="spellEnd"/>
      <w:r w:rsidRPr="00A61B7E">
        <w:rPr>
          <w:rFonts w:eastAsia="Times New Roman" w:cs="Arial"/>
          <w:color w:val="000000"/>
          <w:lang w:eastAsia="bg-BG"/>
        </w:rPr>
        <w:t xml:space="preserve"> лекарства, АТС код: С01ЕВ15</w:t>
      </w:r>
    </w:p>
    <w:p w14:paraId="2B248303" w14:textId="77777777" w:rsidR="00A61B7E" w:rsidRPr="00A61B7E" w:rsidRDefault="00A61B7E" w:rsidP="00A61B7E">
      <w:pPr>
        <w:spacing w:line="240" w:lineRule="auto"/>
        <w:rPr>
          <w:rFonts w:eastAsia="Times New Roman" w:cs="Arial"/>
          <w:color w:val="000000"/>
          <w:u w:val="single"/>
          <w:lang w:eastAsia="bg-BG"/>
        </w:rPr>
      </w:pPr>
    </w:p>
    <w:p w14:paraId="73E40FE8" w14:textId="1A402DAA" w:rsidR="00A61B7E" w:rsidRPr="00A61B7E" w:rsidRDefault="00A61B7E" w:rsidP="00A61B7E">
      <w:pPr>
        <w:spacing w:line="240" w:lineRule="auto"/>
        <w:rPr>
          <w:rFonts w:eastAsia="Times New Roman" w:cs="Arial"/>
        </w:rPr>
      </w:pPr>
      <w:r w:rsidRPr="00A61B7E">
        <w:rPr>
          <w:rFonts w:eastAsia="Times New Roman" w:cs="Arial"/>
          <w:color w:val="000000"/>
          <w:u w:val="single"/>
          <w:lang w:eastAsia="bg-BG"/>
        </w:rPr>
        <w:t>Механизъм на действие</w:t>
      </w:r>
    </w:p>
    <w:p w14:paraId="0F43358A" w14:textId="77777777" w:rsidR="00A61B7E" w:rsidRPr="00A61B7E" w:rsidRDefault="00A61B7E" w:rsidP="00A61B7E">
      <w:pPr>
        <w:spacing w:line="240" w:lineRule="auto"/>
        <w:rPr>
          <w:rFonts w:eastAsia="Times New Roman" w:cs="Arial"/>
        </w:rPr>
      </w:pP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инхибира р-окислението на мастните киселини като блокира дълго-верижната 3- </w:t>
      </w:r>
      <w:proofErr w:type="spellStart"/>
      <w:r w:rsidRPr="00A61B7E">
        <w:rPr>
          <w:rFonts w:eastAsia="Times New Roman" w:cs="Arial"/>
          <w:color w:val="000000"/>
          <w:lang w:eastAsia="bg-BG"/>
        </w:rPr>
        <w:t>кетоацил-СоА</w:t>
      </w:r>
      <w:proofErr w:type="spellEnd"/>
      <w:r w:rsidRPr="00A61B7E">
        <w:rPr>
          <w:rFonts w:eastAsia="Times New Roman" w:cs="Arial"/>
          <w:color w:val="000000"/>
          <w:lang w:eastAsia="bg-BG"/>
        </w:rPr>
        <w:t xml:space="preserve"> </w:t>
      </w:r>
      <w:proofErr w:type="spellStart"/>
      <w:r w:rsidRPr="00A61B7E">
        <w:rPr>
          <w:rFonts w:eastAsia="Times New Roman" w:cs="Arial"/>
          <w:color w:val="000000"/>
          <w:lang w:eastAsia="bg-BG"/>
        </w:rPr>
        <w:t>тиолаза</w:t>
      </w:r>
      <w:proofErr w:type="spellEnd"/>
      <w:r w:rsidRPr="00A61B7E">
        <w:rPr>
          <w:rFonts w:eastAsia="Times New Roman" w:cs="Arial"/>
          <w:color w:val="000000"/>
          <w:lang w:eastAsia="bg-BG"/>
        </w:rPr>
        <w:t xml:space="preserve">, което подобрява окислението на глюкозата. В исхемичната клетка, енергията получена при </w:t>
      </w:r>
      <w:proofErr w:type="spellStart"/>
      <w:r w:rsidRPr="00A61B7E">
        <w:rPr>
          <w:rFonts w:eastAsia="Times New Roman" w:cs="Arial"/>
          <w:color w:val="000000"/>
          <w:lang w:eastAsia="bg-BG"/>
        </w:rPr>
        <w:t>оксление</w:t>
      </w:r>
      <w:proofErr w:type="spellEnd"/>
      <w:r w:rsidRPr="00A61B7E">
        <w:rPr>
          <w:rFonts w:eastAsia="Times New Roman" w:cs="Arial"/>
          <w:color w:val="000000"/>
          <w:lang w:eastAsia="bg-BG"/>
        </w:rPr>
        <w:t xml:space="preserve"> на глюкоза изисква по-ниска консумация на кислород, отколкото при процеса на Р-окисление. </w:t>
      </w:r>
      <w:proofErr w:type="spellStart"/>
      <w:r w:rsidRPr="00A61B7E">
        <w:rPr>
          <w:rFonts w:eastAsia="Times New Roman" w:cs="Arial"/>
          <w:color w:val="000000"/>
          <w:lang w:eastAsia="bg-BG"/>
        </w:rPr>
        <w:t>Потенцирането</w:t>
      </w:r>
      <w:proofErr w:type="spellEnd"/>
      <w:r w:rsidRPr="00A61B7E">
        <w:rPr>
          <w:rFonts w:eastAsia="Times New Roman" w:cs="Arial"/>
          <w:color w:val="000000"/>
          <w:lang w:eastAsia="bg-BG"/>
        </w:rPr>
        <w:t xml:space="preserve"> на окислението на глюкозата оптимизира енергийните процеси в клетката, като по този начин поддържа правилен енергиен метаболизъм по време на исхемия.</w:t>
      </w:r>
    </w:p>
    <w:p w14:paraId="5DDD9F96" w14:textId="77777777" w:rsidR="00A61B7E" w:rsidRPr="00A61B7E" w:rsidRDefault="00A61B7E" w:rsidP="00A61B7E">
      <w:pPr>
        <w:spacing w:line="240" w:lineRule="auto"/>
        <w:rPr>
          <w:rFonts w:eastAsia="Times New Roman" w:cs="Arial"/>
          <w:color w:val="000000"/>
          <w:u w:val="single"/>
          <w:lang w:eastAsia="bg-BG"/>
        </w:rPr>
      </w:pPr>
    </w:p>
    <w:p w14:paraId="2069A529" w14:textId="4E102EBB" w:rsidR="00A61B7E" w:rsidRPr="00A61B7E" w:rsidRDefault="00A61B7E" w:rsidP="00A61B7E">
      <w:pPr>
        <w:spacing w:line="240" w:lineRule="auto"/>
        <w:rPr>
          <w:rFonts w:eastAsia="Times New Roman" w:cs="Arial"/>
        </w:rPr>
      </w:pPr>
      <w:proofErr w:type="spellStart"/>
      <w:r w:rsidRPr="00A61B7E">
        <w:rPr>
          <w:rFonts w:eastAsia="Times New Roman" w:cs="Arial"/>
          <w:color w:val="000000"/>
          <w:u w:val="single"/>
          <w:lang w:eastAsia="bg-BG"/>
        </w:rPr>
        <w:t>Фармакодинамични</w:t>
      </w:r>
      <w:proofErr w:type="spellEnd"/>
      <w:r w:rsidRPr="00A61B7E">
        <w:rPr>
          <w:rFonts w:eastAsia="Times New Roman" w:cs="Arial"/>
          <w:color w:val="000000"/>
          <w:u w:val="single"/>
          <w:lang w:eastAsia="bg-BG"/>
        </w:rPr>
        <w:t xml:space="preserve"> ефекти</w:t>
      </w:r>
    </w:p>
    <w:p w14:paraId="0FF1C7F3"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При пациенти с исхемична болест на сърцето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действа като метаболитен агент, запазвайки миокардните високо-енергийни вътреклетъчни фосфатни нива. Антиисхемичните ефекти се постигат без съпътстващи </w:t>
      </w:r>
      <w:proofErr w:type="spellStart"/>
      <w:r w:rsidRPr="00A61B7E">
        <w:rPr>
          <w:rFonts w:eastAsia="Times New Roman" w:cs="Arial"/>
          <w:color w:val="000000"/>
          <w:lang w:eastAsia="bg-BG"/>
        </w:rPr>
        <w:t>хемодинамични</w:t>
      </w:r>
      <w:proofErr w:type="spellEnd"/>
      <w:r w:rsidRPr="00A61B7E">
        <w:rPr>
          <w:rFonts w:eastAsia="Times New Roman" w:cs="Arial"/>
          <w:color w:val="000000"/>
          <w:lang w:eastAsia="bg-BG"/>
        </w:rPr>
        <w:t xml:space="preserve"> ефекти.</w:t>
      </w:r>
    </w:p>
    <w:p w14:paraId="322EF23F" w14:textId="77777777" w:rsidR="00A61B7E" w:rsidRPr="00A61B7E" w:rsidRDefault="00A61B7E" w:rsidP="00A61B7E">
      <w:pPr>
        <w:spacing w:line="240" w:lineRule="auto"/>
        <w:rPr>
          <w:rFonts w:eastAsia="Times New Roman" w:cs="Arial"/>
          <w:color w:val="000000"/>
          <w:u w:val="single"/>
          <w:lang w:eastAsia="bg-BG"/>
        </w:rPr>
      </w:pPr>
    </w:p>
    <w:p w14:paraId="499075A4" w14:textId="39DB6E9B" w:rsidR="00A61B7E" w:rsidRPr="00A61B7E" w:rsidRDefault="00A61B7E" w:rsidP="00A61B7E">
      <w:pPr>
        <w:spacing w:line="240" w:lineRule="auto"/>
        <w:rPr>
          <w:rFonts w:eastAsia="Times New Roman" w:cs="Arial"/>
        </w:rPr>
      </w:pPr>
      <w:r w:rsidRPr="00A61B7E">
        <w:rPr>
          <w:rFonts w:eastAsia="Times New Roman" w:cs="Arial"/>
          <w:color w:val="000000"/>
          <w:u w:val="single"/>
          <w:lang w:eastAsia="bg-BG"/>
        </w:rPr>
        <w:t>Клинична ефикасност и безопасност</w:t>
      </w:r>
    </w:p>
    <w:p w14:paraId="20657327" w14:textId="45FDEF8B" w:rsidR="00A61B7E" w:rsidRPr="00A61B7E" w:rsidRDefault="00A61B7E" w:rsidP="00A61B7E">
      <w:pPr>
        <w:rPr>
          <w:rFonts w:cs="Arial"/>
        </w:rPr>
      </w:pPr>
      <w:r w:rsidRPr="00A61B7E">
        <w:rPr>
          <w:rFonts w:eastAsia="Times New Roman" w:cs="Arial"/>
          <w:color w:val="000000"/>
          <w:lang w:eastAsia="bg-BG"/>
        </w:rPr>
        <w:t xml:space="preserve">Клиничните проучвания показват ефикасността и безопасността на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при лечение на пациенти с хронична стенокардия, самостоятелно или когато ползата от други </w:t>
      </w:r>
      <w:proofErr w:type="spellStart"/>
      <w:r w:rsidRPr="00A61B7E">
        <w:rPr>
          <w:rFonts w:eastAsia="Times New Roman" w:cs="Arial"/>
          <w:color w:val="000000"/>
          <w:lang w:eastAsia="bg-BG"/>
        </w:rPr>
        <w:t>антистенокардни</w:t>
      </w:r>
      <w:proofErr w:type="spellEnd"/>
      <w:r w:rsidRPr="00A61B7E">
        <w:rPr>
          <w:rFonts w:eastAsia="Times New Roman" w:cs="Arial"/>
          <w:color w:val="000000"/>
          <w:lang w:eastAsia="bg-BG"/>
        </w:rPr>
        <w:t xml:space="preserve"> лекарствени продукти е недостатъчна.</w:t>
      </w:r>
    </w:p>
    <w:p w14:paraId="798C74AE" w14:textId="1C65420E" w:rsidR="00A61B7E" w:rsidRDefault="00A61B7E" w:rsidP="002B3C38">
      <w:pPr>
        <w:pStyle w:val="2"/>
      </w:pPr>
    </w:p>
    <w:p w14:paraId="10497B65"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В рандомизирано, двойно-сляпо, плацебо-контролирано проучване при 426 пациенти </w:t>
      </w:r>
      <w:r w:rsidRPr="00A61B7E">
        <w:rPr>
          <w:rFonts w:eastAsia="Times New Roman" w:cs="Arial"/>
          <w:color w:val="000000"/>
          <w:lang w:val="en-US"/>
        </w:rPr>
        <w:t xml:space="preserve">(TRIMPOL- </w:t>
      </w:r>
      <w:r w:rsidRPr="00A61B7E">
        <w:rPr>
          <w:rFonts w:eastAsia="Times New Roman" w:cs="Arial"/>
          <w:color w:val="000000"/>
          <w:lang w:eastAsia="bg-BG"/>
        </w:rPr>
        <w:t xml:space="preserve">II),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(60 </w:t>
      </w:r>
      <w:r w:rsidRPr="00A61B7E">
        <w:rPr>
          <w:rFonts w:eastAsia="Times New Roman" w:cs="Arial"/>
          <w:color w:val="000000"/>
          <w:lang w:val="en-US"/>
        </w:rPr>
        <w:t>mg</w:t>
      </w:r>
      <w:r w:rsidRPr="00A61B7E">
        <w:rPr>
          <w:rFonts w:eastAsia="Times New Roman" w:cs="Arial"/>
          <w:color w:val="000000"/>
          <w:lang w:eastAsia="bg-BG"/>
        </w:rPr>
        <w:t xml:space="preserve">/дневно) добавен към </w:t>
      </w:r>
      <w:proofErr w:type="spellStart"/>
      <w:r w:rsidRPr="00A61B7E">
        <w:rPr>
          <w:rFonts w:eastAsia="Times New Roman" w:cs="Arial"/>
          <w:color w:val="000000"/>
          <w:lang w:eastAsia="bg-BG"/>
        </w:rPr>
        <w:t>метопролол</w:t>
      </w:r>
      <w:proofErr w:type="spellEnd"/>
      <w:r w:rsidRPr="00A61B7E">
        <w:rPr>
          <w:rFonts w:eastAsia="Times New Roman" w:cs="Arial"/>
          <w:color w:val="000000"/>
          <w:lang w:eastAsia="bg-BG"/>
        </w:rPr>
        <w:t xml:space="preserve"> 100 </w:t>
      </w:r>
      <w:r w:rsidRPr="00A61B7E">
        <w:rPr>
          <w:rFonts w:eastAsia="Times New Roman" w:cs="Arial"/>
          <w:color w:val="000000"/>
          <w:lang w:val="en-US"/>
        </w:rPr>
        <w:t xml:space="preserve">mg </w:t>
      </w:r>
      <w:r w:rsidRPr="00A61B7E">
        <w:rPr>
          <w:rFonts w:eastAsia="Times New Roman" w:cs="Arial"/>
          <w:color w:val="000000"/>
          <w:lang w:eastAsia="bg-BG"/>
        </w:rPr>
        <w:t xml:space="preserve">дневно (50 </w:t>
      </w:r>
      <w:r w:rsidRPr="00A61B7E">
        <w:rPr>
          <w:rFonts w:eastAsia="Times New Roman" w:cs="Arial"/>
          <w:color w:val="000000"/>
          <w:lang w:val="en-US"/>
        </w:rPr>
        <w:t xml:space="preserve">mg </w:t>
      </w:r>
      <w:r w:rsidRPr="00A61B7E">
        <w:rPr>
          <w:rFonts w:eastAsia="Times New Roman" w:cs="Arial"/>
          <w:color w:val="000000"/>
          <w:lang w:eastAsia="bg-BG"/>
        </w:rPr>
        <w:t xml:space="preserve">два пъти дневно) за 12 седмици подобрява статистически значимо тест параметрите и клиничните симптоми при тестове с натоварване в сравнение с плацебо: обща продължителност на натоварването +20,1 </w:t>
      </w:r>
      <w:r w:rsidRPr="00A61B7E">
        <w:rPr>
          <w:rFonts w:eastAsia="Times New Roman" w:cs="Arial"/>
          <w:color w:val="000000"/>
          <w:lang w:val="en-US"/>
        </w:rPr>
        <w:t xml:space="preserve">s, </w:t>
      </w:r>
      <w:r w:rsidRPr="00A61B7E">
        <w:rPr>
          <w:rFonts w:eastAsia="Times New Roman" w:cs="Arial"/>
          <w:color w:val="000000"/>
          <w:lang w:eastAsia="bg-BG"/>
        </w:rPr>
        <w:t xml:space="preserve">р-0,023, общо натоварване +0,54 </w:t>
      </w:r>
      <w:r w:rsidRPr="00A61B7E">
        <w:rPr>
          <w:rFonts w:eastAsia="Times New Roman" w:cs="Arial"/>
          <w:color w:val="000000"/>
          <w:lang w:val="en-US"/>
        </w:rPr>
        <w:t xml:space="preserve">METs, </w:t>
      </w:r>
      <w:r w:rsidRPr="00A61B7E">
        <w:rPr>
          <w:rFonts w:eastAsia="Times New Roman" w:cs="Arial"/>
          <w:color w:val="000000"/>
          <w:lang w:eastAsia="bg-BG"/>
        </w:rPr>
        <w:t xml:space="preserve">р=0,001, време до понижаване с </w:t>
      </w:r>
      <w:r w:rsidRPr="00A61B7E">
        <w:rPr>
          <w:rFonts w:eastAsia="Times New Roman" w:cs="Arial"/>
          <w:color w:val="000000"/>
          <w:lang w:val="en-US"/>
        </w:rPr>
        <w:t xml:space="preserve">l-mm </w:t>
      </w:r>
      <w:r w:rsidRPr="00A61B7E">
        <w:rPr>
          <w:rFonts w:eastAsia="Times New Roman" w:cs="Arial"/>
          <w:color w:val="000000"/>
          <w:lang w:eastAsia="bg-BG"/>
        </w:rPr>
        <w:t xml:space="preserve">на </w:t>
      </w:r>
      <w:r w:rsidRPr="00A61B7E">
        <w:rPr>
          <w:rFonts w:eastAsia="Times New Roman" w:cs="Arial"/>
          <w:color w:val="000000"/>
          <w:lang w:val="en-US"/>
        </w:rPr>
        <w:t>ST</w:t>
      </w:r>
      <w:r w:rsidRPr="00A61B7E">
        <w:rPr>
          <w:rFonts w:eastAsia="Times New Roman" w:cs="Arial"/>
          <w:color w:val="000000"/>
          <w:lang w:eastAsia="bg-BG"/>
        </w:rPr>
        <w:t xml:space="preserve">-сегмента +33,4 </w:t>
      </w:r>
      <w:r w:rsidRPr="00A61B7E">
        <w:rPr>
          <w:rFonts w:eastAsia="Times New Roman" w:cs="Arial"/>
          <w:color w:val="000000"/>
          <w:lang w:val="en-US"/>
        </w:rPr>
        <w:t xml:space="preserve">s, </w:t>
      </w:r>
      <w:r w:rsidRPr="00A61B7E">
        <w:rPr>
          <w:rFonts w:eastAsia="Times New Roman" w:cs="Arial"/>
          <w:color w:val="000000"/>
          <w:lang w:eastAsia="bg-BG"/>
        </w:rPr>
        <w:t xml:space="preserve">р=0,003, време до пристъп на стенокардия +33,9 </w:t>
      </w:r>
      <w:r w:rsidRPr="00A61B7E">
        <w:rPr>
          <w:rFonts w:eastAsia="Times New Roman" w:cs="Arial"/>
          <w:color w:val="000000"/>
          <w:lang w:val="en-US"/>
        </w:rPr>
        <w:t xml:space="preserve">s, </w:t>
      </w:r>
      <w:r w:rsidRPr="00A61B7E">
        <w:rPr>
          <w:rFonts w:eastAsia="Times New Roman" w:cs="Arial"/>
          <w:color w:val="000000"/>
          <w:lang w:eastAsia="bg-BG"/>
        </w:rPr>
        <w:t xml:space="preserve">р&lt;0,001, стенокардии пристъпи/ седмица -0,73, р=0,014 и приложение на </w:t>
      </w:r>
      <w:proofErr w:type="spellStart"/>
      <w:r w:rsidRPr="00A61B7E">
        <w:rPr>
          <w:rFonts w:eastAsia="Times New Roman" w:cs="Arial"/>
          <w:color w:val="000000"/>
          <w:lang w:eastAsia="bg-BG"/>
        </w:rPr>
        <w:t>краткодействащи</w:t>
      </w:r>
      <w:proofErr w:type="spellEnd"/>
      <w:r w:rsidRPr="00A61B7E">
        <w:rPr>
          <w:rFonts w:eastAsia="Times New Roman" w:cs="Arial"/>
          <w:color w:val="000000"/>
          <w:lang w:eastAsia="bg-BG"/>
        </w:rPr>
        <w:t xml:space="preserve"> нитрати/седмица -0,63, р=0,032, без </w:t>
      </w:r>
      <w:proofErr w:type="spellStart"/>
      <w:r w:rsidRPr="00A61B7E">
        <w:rPr>
          <w:rFonts w:eastAsia="Times New Roman" w:cs="Arial"/>
          <w:color w:val="000000"/>
          <w:lang w:eastAsia="bg-BG"/>
        </w:rPr>
        <w:t>хемодинамични</w:t>
      </w:r>
      <w:proofErr w:type="spellEnd"/>
      <w:r w:rsidRPr="00A61B7E">
        <w:rPr>
          <w:rFonts w:eastAsia="Times New Roman" w:cs="Arial"/>
          <w:color w:val="000000"/>
          <w:lang w:eastAsia="bg-BG"/>
        </w:rPr>
        <w:t xml:space="preserve"> промени.</w:t>
      </w:r>
    </w:p>
    <w:p w14:paraId="5F8A898B" w14:textId="77777777" w:rsidR="00A61B7E" w:rsidRPr="00A61B7E" w:rsidRDefault="00A61B7E" w:rsidP="00A61B7E">
      <w:pPr>
        <w:spacing w:line="240" w:lineRule="auto"/>
        <w:rPr>
          <w:rFonts w:eastAsia="Times New Roman" w:cs="Arial"/>
          <w:color w:val="000000"/>
          <w:lang w:eastAsia="bg-BG"/>
        </w:rPr>
      </w:pPr>
    </w:p>
    <w:p w14:paraId="6E0F85C4" w14:textId="0E07E28A"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В рандомизирано, двойно-сляпо, плацебо-контролирано при 223 пациенти </w:t>
      </w:r>
      <w:r w:rsidRPr="00A61B7E">
        <w:rPr>
          <w:rFonts w:eastAsia="Times New Roman" w:cs="Arial"/>
          <w:color w:val="000000"/>
          <w:lang w:val="en-US"/>
        </w:rPr>
        <w:t xml:space="preserve">(Sellier), </w:t>
      </w:r>
      <w:r w:rsidRPr="00A61B7E">
        <w:rPr>
          <w:rFonts w:eastAsia="Times New Roman" w:cs="Arial"/>
          <w:color w:val="000000"/>
          <w:lang w:eastAsia="bg-BG"/>
        </w:rPr>
        <w:t xml:space="preserve">една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35 </w:t>
      </w:r>
      <w:r w:rsidRPr="00A61B7E">
        <w:rPr>
          <w:rFonts w:eastAsia="Times New Roman" w:cs="Arial"/>
          <w:color w:val="000000"/>
          <w:lang w:val="en-US"/>
        </w:rPr>
        <w:t xml:space="preserve">mg </w:t>
      </w:r>
      <w:r w:rsidRPr="00A61B7E">
        <w:rPr>
          <w:rFonts w:eastAsia="Times New Roman" w:cs="Arial"/>
          <w:color w:val="000000"/>
          <w:lang w:eastAsia="bg-BG"/>
        </w:rPr>
        <w:t xml:space="preserve">таблетка с изменено освобождаване (два пъти дневно), добавена към 50 </w:t>
      </w:r>
      <w:r w:rsidRPr="00A61B7E">
        <w:rPr>
          <w:rFonts w:eastAsia="Times New Roman" w:cs="Arial"/>
          <w:color w:val="000000"/>
          <w:lang w:val="en-US"/>
        </w:rPr>
        <w:t xml:space="preserve">mg </w:t>
      </w:r>
      <w:proofErr w:type="spellStart"/>
      <w:r w:rsidRPr="00A61B7E">
        <w:rPr>
          <w:rFonts w:eastAsia="Times New Roman" w:cs="Arial"/>
          <w:color w:val="000000"/>
          <w:lang w:eastAsia="bg-BG"/>
        </w:rPr>
        <w:t>атенолол</w:t>
      </w:r>
      <w:proofErr w:type="spellEnd"/>
      <w:r w:rsidRPr="00A61B7E">
        <w:rPr>
          <w:rFonts w:eastAsia="Times New Roman" w:cs="Arial"/>
          <w:color w:val="000000"/>
          <w:lang w:eastAsia="bg-BG"/>
        </w:rPr>
        <w:t xml:space="preserve"> (веднъж дневно) за 8 седмици води до значимо удължаване (+34,4 </w:t>
      </w:r>
      <w:r w:rsidRPr="00A61B7E">
        <w:rPr>
          <w:rFonts w:eastAsia="Times New Roman" w:cs="Arial"/>
          <w:color w:val="000000"/>
          <w:lang w:val="en-US"/>
        </w:rPr>
        <w:t xml:space="preserve">s, </w:t>
      </w:r>
      <w:r w:rsidRPr="00A61B7E">
        <w:rPr>
          <w:rFonts w:eastAsia="Times New Roman" w:cs="Arial"/>
          <w:color w:val="000000"/>
          <w:lang w:eastAsia="bg-BG"/>
        </w:rPr>
        <w:t>р=0,03) на времето до понижаване с 1</w:t>
      </w:r>
      <w:r w:rsidRPr="00A61B7E">
        <w:rPr>
          <w:rFonts w:eastAsia="Times New Roman" w:cs="Arial"/>
          <w:color w:val="000000"/>
          <w:lang w:val="en-US"/>
        </w:rPr>
        <w:t xml:space="preserve">-mm </w:t>
      </w:r>
      <w:r w:rsidRPr="00A61B7E">
        <w:rPr>
          <w:rFonts w:eastAsia="Times New Roman" w:cs="Arial"/>
          <w:color w:val="000000"/>
          <w:lang w:eastAsia="bg-BG"/>
        </w:rPr>
        <w:t xml:space="preserve">на </w:t>
      </w:r>
      <w:r w:rsidRPr="00A61B7E">
        <w:rPr>
          <w:rFonts w:eastAsia="Times New Roman" w:cs="Arial"/>
          <w:color w:val="000000"/>
          <w:lang w:val="en-US"/>
        </w:rPr>
        <w:t>ST</w:t>
      </w:r>
      <w:r w:rsidRPr="00A61B7E">
        <w:rPr>
          <w:rFonts w:eastAsia="Times New Roman" w:cs="Arial"/>
          <w:color w:val="000000"/>
          <w:lang w:eastAsia="bg-BG"/>
        </w:rPr>
        <w:t>-сегмента в тестовете с натоварване в подгрупата на пациенти (</w:t>
      </w:r>
      <w:r w:rsidRPr="00A61B7E">
        <w:rPr>
          <w:rFonts w:eastAsia="Times New Roman" w:cs="Arial"/>
          <w:color w:val="000000"/>
          <w:lang w:val="en-US"/>
        </w:rPr>
        <w:t>n</w:t>
      </w:r>
      <w:r w:rsidRPr="00A61B7E">
        <w:rPr>
          <w:rFonts w:eastAsia="Times New Roman" w:cs="Arial"/>
          <w:color w:val="000000"/>
          <w:lang w:eastAsia="bg-BG"/>
        </w:rPr>
        <w:t xml:space="preserve">=173), в сравнение с плацебо, 12 часа след приема на лекарството. Значима разлика също така е доказана за времето до пристъп на стенокардия (р=0,049). Не може да се намери значима разлика между групите за другите </w:t>
      </w:r>
      <w:r w:rsidRPr="00A61B7E">
        <w:rPr>
          <w:rFonts w:eastAsia="Times New Roman" w:cs="Arial"/>
          <w:color w:val="000000"/>
          <w:lang w:eastAsia="bg-BG"/>
        </w:rPr>
        <w:lastRenderedPageBreak/>
        <w:t>вторични крайни точки (обща продължителност на натоварването, общо натоварване и клинични крайни точки).</w:t>
      </w:r>
    </w:p>
    <w:p w14:paraId="7D5DAECD" w14:textId="77777777" w:rsidR="00A61B7E" w:rsidRPr="00A61B7E" w:rsidRDefault="00A61B7E" w:rsidP="00A61B7E">
      <w:pPr>
        <w:spacing w:line="240" w:lineRule="auto"/>
        <w:rPr>
          <w:rFonts w:eastAsia="Times New Roman" w:cs="Arial"/>
          <w:color w:val="000000"/>
          <w:lang w:eastAsia="bg-BG"/>
        </w:rPr>
      </w:pPr>
    </w:p>
    <w:p w14:paraId="648B9342" w14:textId="599D29E9"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В три-месечно, рандомизирано, двойно-сляпо проучване при 1962 пациенти </w:t>
      </w:r>
      <w:r w:rsidRPr="00A61B7E">
        <w:rPr>
          <w:rFonts w:eastAsia="Times New Roman" w:cs="Arial"/>
          <w:color w:val="000000"/>
          <w:lang w:val="en-US"/>
        </w:rPr>
        <w:t xml:space="preserve">(Vasco study) </w:t>
      </w:r>
      <w:r w:rsidRPr="00A61B7E">
        <w:rPr>
          <w:rFonts w:eastAsia="Times New Roman" w:cs="Arial"/>
          <w:color w:val="000000"/>
          <w:lang w:eastAsia="bg-BG"/>
        </w:rPr>
        <w:t xml:space="preserve">към </w:t>
      </w:r>
      <w:proofErr w:type="spellStart"/>
      <w:r w:rsidRPr="00A61B7E">
        <w:rPr>
          <w:rFonts w:eastAsia="Times New Roman" w:cs="Arial"/>
          <w:color w:val="000000"/>
          <w:lang w:eastAsia="bg-BG"/>
        </w:rPr>
        <w:t>атенолол</w:t>
      </w:r>
      <w:proofErr w:type="spellEnd"/>
      <w:r w:rsidRPr="00A61B7E">
        <w:rPr>
          <w:rFonts w:eastAsia="Times New Roman" w:cs="Arial"/>
          <w:color w:val="000000"/>
          <w:lang w:eastAsia="bg-BG"/>
        </w:rPr>
        <w:t xml:space="preserve"> 50 </w:t>
      </w:r>
      <w:r w:rsidRPr="00A61B7E">
        <w:rPr>
          <w:rFonts w:eastAsia="Times New Roman" w:cs="Arial"/>
          <w:color w:val="000000"/>
          <w:lang w:val="en-US"/>
        </w:rPr>
        <w:t>mg</w:t>
      </w:r>
      <w:r w:rsidRPr="00A61B7E">
        <w:rPr>
          <w:rFonts w:eastAsia="Times New Roman" w:cs="Arial"/>
          <w:color w:val="000000"/>
          <w:lang w:eastAsia="bg-BG"/>
        </w:rPr>
        <w:t xml:space="preserve">/дневно са проучвани две дози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(70 </w:t>
      </w:r>
      <w:r w:rsidRPr="00A61B7E">
        <w:rPr>
          <w:rFonts w:eastAsia="Times New Roman" w:cs="Arial"/>
          <w:color w:val="000000"/>
          <w:lang w:val="en-US"/>
        </w:rPr>
        <w:t>mg</w:t>
      </w:r>
      <w:r w:rsidRPr="00A61B7E">
        <w:rPr>
          <w:rFonts w:eastAsia="Times New Roman" w:cs="Arial"/>
          <w:color w:val="000000"/>
          <w:lang w:eastAsia="bg-BG"/>
        </w:rPr>
        <w:t xml:space="preserve">/дневно и 140 </w:t>
      </w:r>
      <w:r w:rsidRPr="00A61B7E">
        <w:rPr>
          <w:rFonts w:eastAsia="Times New Roman" w:cs="Arial"/>
          <w:color w:val="000000"/>
          <w:lang w:val="en-US"/>
        </w:rPr>
        <w:t>mg</w:t>
      </w:r>
      <w:r w:rsidRPr="00A61B7E">
        <w:rPr>
          <w:rFonts w:eastAsia="Times New Roman" w:cs="Arial"/>
          <w:color w:val="000000"/>
          <w:lang w:eastAsia="bg-BG"/>
        </w:rPr>
        <w:t xml:space="preserve">/дневно) спрямо плацебо. В общата популация, включваща </w:t>
      </w:r>
      <w:proofErr w:type="spellStart"/>
      <w:r w:rsidRPr="00A61B7E">
        <w:rPr>
          <w:rFonts w:eastAsia="Times New Roman" w:cs="Arial"/>
          <w:color w:val="000000"/>
          <w:lang w:eastAsia="bg-BG"/>
        </w:rPr>
        <w:t>асимптоматични</w:t>
      </w:r>
      <w:proofErr w:type="spellEnd"/>
      <w:r w:rsidRPr="00A61B7E">
        <w:rPr>
          <w:rFonts w:eastAsia="Times New Roman" w:cs="Arial"/>
          <w:color w:val="000000"/>
          <w:lang w:eastAsia="bg-BG"/>
        </w:rPr>
        <w:t xml:space="preserve"> и симптоматични пациенти,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не успява да демонстрира полза, както при </w:t>
      </w:r>
      <w:proofErr w:type="spellStart"/>
      <w:r w:rsidRPr="00A61B7E">
        <w:rPr>
          <w:rFonts w:eastAsia="Times New Roman" w:cs="Arial"/>
          <w:color w:val="000000"/>
          <w:lang w:eastAsia="bg-BG"/>
        </w:rPr>
        <w:t>ергометричните</w:t>
      </w:r>
      <w:proofErr w:type="spellEnd"/>
      <w:r w:rsidRPr="00A61B7E">
        <w:rPr>
          <w:rFonts w:eastAsia="Times New Roman" w:cs="Arial"/>
          <w:color w:val="000000"/>
          <w:lang w:eastAsia="bg-BG"/>
        </w:rPr>
        <w:t xml:space="preserve"> (обща продължителност на натоварването, време до поява на </w:t>
      </w:r>
      <w:r w:rsidRPr="00A61B7E">
        <w:rPr>
          <w:rFonts w:eastAsia="Times New Roman" w:cs="Arial"/>
          <w:color w:val="000000"/>
          <w:lang w:val="en-US"/>
        </w:rPr>
        <w:t xml:space="preserve">l-mm ST </w:t>
      </w:r>
      <w:r w:rsidRPr="00A61B7E">
        <w:rPr>
          <w:rFonts w:eastAsia="Times New Roman" w:cs="Arial"/>
          <w:color w:val="000000"/>
          <w:lang w:eastAsia="bg-BG"/>
        </w:rPr>
        <w:t xml:space="preserve">и време до </w:t>
      </w:r>
      <w:proofErr w:type="spellStart"/>
      <w:r w:rsidRPr="00A61B7E">
        <w:rPr>
          <w:rFonts w:eastAsia="Times New Roman" w:cs="Arial"/>
          <w:color w:val="000000"/>
          <w:lang w:eastAsia="bg-BG"/>
        </w:rPr>
        <w:t>стенокарден</w:t>
      </w:r>
      <w:proofErr w:type="spellEnd"/>
      <w:r w:rsidRPr="00A61B7E">
        <w:rPr>
          <w:rFonts w:eastAsia="Times New Roman" w:cs="Arial"/>
          <w:color w:val="000000"/>
          <w:lang w:eastAsia="bg-BG"/>
        </w:rPr>
        <w:t xml:space="preserve"> пристъп) така и при клиничните крайни точки. Все пак, в подгрупата на симптоматични пациенти </w:t>
      </w:r>
      <w:r w:rsidRPr="00A61B7E">
        <w:rPr>
          <w:rFonts w:eastAsia="Times New Roman" w:cs="Arial"/>
          <w:color w:val="000000"/>
          <w:lang w:val="en-US"/>
        </w:rPr>
        <w:t xml:space="preserve">(n= </w:t>
      </w:r>
      <w:r w:rsidRPr="00A61B7E">
        <w:rPr>
          <w:rFonts w:eastAsia="Times New Roman" w:cs="Arial"/>
          <w:color w:val="000000"/>
          <w:lang w:eastAsia="bg-BG"/>
        </w:rPr>
        <w:t xml:space="preserve">1574), определени в </w:t>
      </w:r>
      <w:r w:rsidRPr="00A61B7E">
        <w:rPr>
          <w:rFonts w:eastAsia="Times New Roman" w:cs="Arial"/>
          <w:color w:val="000000"/>
          <w:lang w:val="en-US"/>
        </w:rPr>
        <w:t xml:space="preserve">post-hoc </w:t>
      </w:r>
      <w:r w:rsidRPr="00A61B7E">
        <w:rPr>
          <w:rFonts w:eastAsia="Times New Roman" w:cs="Arial"/>
          <w:color w:val="000000"/>
          <w:lang w:eastAsia="bg-BG"/>
        </w:rPr>
        <w:t xml:space="preserve">анализа,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(140 </w:t>
      </w:r>
      <w:r w:rsidRPr="00A61B7E">
        <w:rPr>
          <w:rFonts w:eastAsia="Times New Roman" w:cs="Arial"/>
          <w:color w:val="000000"/>
          <w:lang w:val="en-US"/>
        </w:rPr>
        <w:t xml:space="preserve">mg) </w:t>
      </w:r>
      <w:r w:rsidRPr="00A61B7E">
        <w:rPr>
          <w:rFonts w:eastAsia="Times New Roman" w:cs="Arial"/>
          <w:color w:val="000000"/>
          <w:lang w:eastAsia="bg-BG"/>
        </w:rPr>
        <w:t xml:space="preserve">значимо подобрява общата продължителност на натоварването (+23,8 </w:t>
      </w:r>
      <w:r w:rsidRPr="00A61B7E">
        <w:rPr>
          <w:rFonts w:eastAsia="Times New Roman" w:cs="Arial"/>
          <w:color w:val="000000"/>
          <w:lang w:val="en-US"/>
        </w:rPr>
        <w:t xml:space="preserve">s </w:t>
      </w:r>
      <w:r w:rsidRPr="00A61B7E">
        <w:rPr>
          <w:rFonts w:eastAsia="Times New Roman" w:cs="Arial"/>
          <w:color w:val="000000"/>
          <w:lang w:eastAsia="bg-BG"/>
        </w:rPr>
        <w:t xml:space="preserve">спрямо +13,1 </w:t>
      </w:r>
      <w:r w:rsidRPr="00A61B7E">
        <w:rPr>
          <w:rFonts w:eastAsia="Times New Roman" w:cs="Arial"/>
          <w:color w:val="000000"/>
          <w:lang w:val="en-US"/>
        </w:rPr>
        <w:t xml:space="preserve">s </w:t>
      </w:r>
      <w:r w:rsidRPr="00A61B7E">
        <w:rPr>
          <w:rFonts w:eastAsia="Times New Roman" w:cs="Arial"/>
          <w:color w:val="000000"/>
          <w:lang w:eastAsia="bg-BG"/>
        </w:rPr>
        <w:t xml:space="preserve">при плацебо; р=0,001) и времето до </w:t>
      </w:r>
      <w:proofErr w:type="spellStart"/>
      <w:r w:rsidRPr="00A61B7E">
        <w:rPr>
          <w:rFonts w:eastAsia="Times New Roman" w:cs="Arial"/>
          <w:color w:val="000000"/>
          <w:lang w:eastAsia="bg-BG"/>
        </w:rPr>
        <w:t>стенокарден</w:t>
      </w:r>
      <w:proofErr w:type="spellEnd"/>
      <w:r w:rsidRPr="00A61B7E">
        <w:rPr>
          <w:rFonts w:eastAsia="Times New Roman" w:cs="Arial"/>
          <w:color w:val="000000"/>
          <w:lang w:eastAsia="bg-BG"/>
        </w:rPr>
        <w:t xml:space="preserve"> пристъп (+46,3 </w:t>
      </w:r>
      <w:r w:rsidRPr="00A61B7E">
        <w:rPr>
          <w:rFonts w:eastAsia="Times New Roman" w:cs="Arial"/>
          <w:color w:val="000000"/>
          <w:lang w:val="en-US"/>
        </w:rPr>
        <w:t xml:space="preserve">s </w:t>
      </w:r>
      <w:r w:rsidRPr="00A61B7E">
        <w:rPr>
          <w:rFonts w:eastAsia="Times New Roman" w:cs="Arial"/>
          <w:color w:val="000000"/>
          <w:lang w:eastAsia="bg-BG"/>
        </w:rPr>
        <w:t xml:space="preserve">спрямо +32,5 </w:t>
      </w:r>
      <w:r w:rsidRPr="00A61B7E">
        <w:rPr>
          <w:rFonts w:eastAsia="Times New Roman" w:cs="Arial"/>
          <w:color w:val="000000"/>
          <w:lang w:val="en-US"/>
        </w:rPr>
        <w:t xml:space="preserve">s </w:t>
      </w:r>
      <w:r w:rsidRPr="00A61B7E">
        <w:rPr>
          <w:rFonts w:eastAsia="Times New Roman" w:cs="Arial"/>
          <w:color w:val="000000"/>
          <w:lang w:eastAsia="bg-BG"/>
        </w:rPr>
        <w:t>при плацебо; р=0,005).</w:t>
      </w:r>
    </w:p>
    <w:p w14:paraId="7B5EB605" w14:textId="77777777" w:rsidR="00A61B7E" w:rsidRPr="00A61B7E" w:rsidRDefault="00A61B7E" w:rsidP="00A61B7E"/>
    <w:p w14:paraId="4D7DA0E3" w14:textId="7B79CB5C" w:rsidR="004D4D6B" w:rsidRDefault="002C50EE" w:rsidP="002B3C38">
      <w:pPr>
        <w:pStyle w:val="2"/>
      </w:pPr>
      <w:r>
        <w:t xml:space="preserve">5.2. </w:t>
      </w:r>
      <w:proofErr w:type="spellStart"/>
      <w:r>
        <w:t>Фармакокинетични</w:t>
      </w:r>
      <w:proofErr w:type="spellEnd"/>
      <w:r>
        <w:t xml:space="preserve"> свойства</w:t>
      </w:r>
    </w:p>
    <w:p w14:paraId="0A7B77D8" w14:textId="3DB150D7" w:rsidR="00A61B7E" w:rsidRDefault="00A61B7E" w:rsidP="00A61B7E"/>
    <w:p w14:paraId="1307DEE4" w14:textId="77777777" w:rsidR="00A61B7E" w:rsidRPr="00A61B7E" w:rsidRDefault="00A61B7E" w:rsidP="00A61B7E">
      <w:pPr>
        <w:pStyle w:val="3"/>
        <w:rPr>
          <w:rFonts w:eastAsia="Times New Roman"/>
          <w:b/>
          <w:bCs/>
          <w:u w:val="single"/>
        </w:rPr>
      </w:pPr>
      <w:bookmarkStart w:id="1" w:name="bookmark0"/>
      <w:r w:rsidRPr="00A61B7E">
        <w:rPr>
          <w:rFonts w:eastAsia="Times New Roman"/>
          <w:b/>
          <w:bCs/>
          <w:u w:val="single"/>
          <w:lang w:eastAsia="bg-BG"/>
        </w:rPr>
        <w:t>Абсорбция</w:t>
      </w:r>
      <w:bookmarkEnd w:id="1"/>
    </w:p>
    <w:p w14:paraId="2FFE8CEC"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След перорално приложение и абсорбция от храносмилателния тракт, концентрацията на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достига максимална концентрация в серума около 5 часа след прилагането на лекарството. За 24 часа плазмената концентрация се поддържа на ниво над или равно на 75% от максималната концентрация в продължение на 11 часа.</w:t>
      </w:r>
    </w:p>
    <w:p w14:paraId="53710722"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Стационарна концентрация на лекарството в серума се достига след 60 часа и остава постоянна за целия период на лечение. Не са установени взаимодействия с храни.</w:t>
      </w:r>
    </w:p>
    <w:p w14:paraId="5AF3E829" w14:textId="77777777" w:rsidR="00A61B7E" w:rsidRPr="00A61B7E" w:rsidRDefault="00A61B7E" w:rsidP="00A61B7E">
      <w:pPr>
        <w:spacing w:line="240" w:lineRule="auto"/>
        <w:rPr>
          <w:rFonts w:eastAsia="Times New Roman" w:cs="Arial"/>
          <w:b/>
          <w:bCs/>
          <w:color w:val="000000"/>
          <w:u w:val="single"/>
          <w:lang w:eastAsia="bg-BG"/>
        </w:rPr>
      </w:pPr>
      <w:bookmarkStart w:id="2" w:name="bookmark2"/>
    </w:p>
    <w:p w14:paraId="322B958B" w14:textId="54F520B0" w:rsidR="00A61B7E" w:rsidRPr="00A61B7E" w:rsidRDefault="00A61B7E" w:rsidP="00A61B7E">
      <w:pPr>
        <w:pStyle w:val="3"/>
        <w:rPr>
          <w:rFonts w:eastAsia="Times New Roman"/>
          <w:b/>
          <w:bCs/>
          <w:u w:val="single"/>
        </w:rPr>
      </w:pPr>
      <w:r w:rsidRPr="00A61B7E">
        <w:rPr>
          <w:rFonts w:eastAsia="Times New Roman"/>
          <w:b/>
          <w:bCs/>
          <w:u w:val="single"/>
          <w:lang w:eastAsia="bg-BG"/>
        </w:rPr>
        <w:t>Разпределение</w:t>
      </w:r>
      <w:bookmarkEnd w:id="2"/>
    </w:p>
    <w:p w14:paraId="4D14C871" w14:textId="77777777" w:rsidR="00A61B7E" w:rsidRPr="00A61B7E" w:rsidRDefault="00A61B7E" w:rsidP="00A61B7E">
      <w:pPr>
        <w:spacing w:line="240" w:lineRule="auto"/>
        <w:rPr>
          <w:rFonts w:eastAsia="Times New Roman" w:cs="Arial"/>
        </w:rPr>
      </w:pPr>
      <w:r w:rsidRPr="00A61B7E">
        <w:rPr>
          <w:rFonts w:eastAsia="Times New Roman" w:cs="Arial"/>
          <w:color w:val="000000"/>
          <w:lang w:eastAsia="bg-BG"/>
        </w:rPr>
        <w:t xml:space="preserve">Около 16% от лекарството се свързва с плазмените протеини. Обемът на разпределение е 4,8 </w:t>
      </w:r>
      <w:r w:rsidRPr="00A61B7E">
        <w:rPr>
          <w:rFonts w:eastAsia="Times New Roman" w:cs="Arial"/>
          <w:color w:val="000000"/>
          <w:lang w:val="en-US"/>
        </w:rPr>
        <w:t xml:space="preserve">1/kg, </w:t>
      </w:r>
      <w:r w:rsidRPr="00A61B7E">
        <w:rPr>
          <w:rFonts w:eastAsia="Times New Roman" w:cs="Arial"/>
          <w:color w:val="000000"/>
          <w:lang w:eastAsia="bg-BG"/>
        </w:rPr>
        <w:t>което предполага добро разпределение на лекарството в тъканите.</w:t>
      </w:r>
    </w:p>
    <w:p w14:paraId="687E6BA9" w14:textId="77777777" w:rsidR="00A61B7E" w:rsidRPr="00A61B7E" w:rsidRDefault="00A61B7E" w:rsidP="00A61B7E">
      <w:pPr>
        <w:spacing w:line="240" w:lineRule="auto"/>
        <w:rPr>
          <w:rFonts w:eastAsia="Times New Roman" w:cs="Arial"/>
          <w:b/>
          <w:bCs/>
          <w:color w:val="000000"/>
          <w:u w:val="single"/>
          <w:lang w:eastAsia="bg-BG"/>
        </w:rPr>
      </w:pPr>
      <w:bookmarkStart w:id="3" w:name="bookmark4"/>
    </w:p>
    <w:p w14:paraId="315A73D0" w14:textId="60BA5C93" w:rsidR="00A61B7E" w:rsidRPr="00A61B7E" w:rsidRDefault="00A61B7E" w:rsidP="00A61B7E">
      <w:pPr>
        <w:pStyle w:val="3"/>
        <w:rPr>
          <w:rFonts w:eastAsia="Times New Roman"/>
          <w:b/>
          <w:bCs/>
          <w:u w:val="single"/>
        </w:rPr>
      </w:pPr>
      <w:r w:rsidRPr="00A61B7E">
        <w:rPr>
          <w:rFonts w:eastAsia="Times New Roman"/>
          <w:b/>
          <w:bCs/>
          <w:u w:val="single"/>
          <w:lang w:eastAsia="bg-BG"/>
        </w:rPr>
        <w:t>Елиминиране</w:t>
      </w:r>
      <w:bookmarkEnd w:id="3"/>
    </w:p>
    <w:p w14:paraId="7619C774" w14:textId="77777777" w:rsidR="00A61B7E" w:rsidRPr="00A61B7E" w:rsidRDefault="00A61B7E" w:rsidP="00A61B7E">
      <w:pPr>
        <w:spacing w:line="240" w:lineRule="auto"/>
        <w:rPr>
          <w:rFonts w:eastAsia="Times New Roman" w:cs="Arial"/>
        </w:rPr>
      </w:pP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се елиминира основно в урината в непроменена форма. Средното време на полуживот е 7 часа, при пациенти над 65 години то се увеличава до 12 часа. Общият клирънс на </w:t>
      </w:r>
      <w:proofErr w:type="spellStart"/>
      <w:r w:rsidRPr="00A61B7E">
        <w:rPr>
          <w:rFonts w:eastAsia="Times New Roman" w:cs="Arial"/>
          <w:color w:val="000000"/>
          <w:lang w:eastAsia="bg-BG"/>
        </w:rPr>
        <w:t>триметазидин</w:t>
      </w:r>
      <w:proofErr w:type="spellEnd"/>
      <w:r w:rsidRPr="00A61B7E">
        <w:rPr>
          <w:rFonts w:eastAsia="Times New Roman" w:cs="Arial"/>
          <w:color w:val="000000"/>
          <w:lang w:eastAsia="bg-BG"/>
        </w:rPr>
        <w:t xml:space="preserve"> е резултат главно на бъбречния клирънс, който </w:t>
      </w:r>
      <w:proofErr w:type="spellStart"/>
      <w:r w:rsidRPr="00A61B7E">
        <w:rPr>
          <w:rFonts w:eastAsia="Times New Roman" w:cs="Arial"/>
          <w:color w:val="000000"/>
          <w:lang w:eastAsia="bg-BG"/>
        </w:rPr>
        <w:t>корелира</w:t>
      </w:r>
      <w:proofErr w:type="spellEnd"/>
      <w:r w:rsidRPr="00A61B7E">
        <w:rPr>
          <w:rFonts w:eastAsia="Times New Roman" w:cs="Arial"/>
          <w:color w:val="000000"/>
          <w:lang w:eastAsia="bg-BG"/>
        </w:rPr>
        <w:t xml:space="preserve"> директно с </w:t>
      </w:r>
      <w:proofErr w:type="spellStart"/>
      <w:r w:rsidRPr="00A61B7E">
        <w:rPr>
          <w:rFonts w:eastAsia="Times New Roman" w:cs="Arial"/>
          <w:color w:val="000000"/>
          <w:lang w:eastAsia="bg-BG"/>
        </w:rPr>
        <w:t>креатининовия</w:t>
      </w:r>
      <w:proofErr w:type="spellEnd"/>
      <w:r w:rsidRPr="00A61B7E">
        <w:rPr>
          <w:rFonts w:eastAsia="Times New Roman" w:cs="Arial"/>
          <w:color w:val="000000"/>
          <w:lang w:eastAsia="bg-BG"/>
        </w:rPr>
        <w:t xml:space="preserve"> клирънс и в по-малка степен с чернодробния клирънс, който намалява с възрастта.</w:t>
      </w:r>
    </w:p>
    <w:p w14:paraId="11861AAF" w14:textId="77777777" w:rsidR="00A61B7E" w:rsidRPr="00A61B7E" w:rsidRDefault="00A61B7E" w:rsidP="00A61B7E">
      <w:pPr>
        <w:spacing w:line="240" w:lineRule="auto"/>
        <w:rPr>
          <w:rFonts w:eastAsia="Times New Roman" w:cs="Arial"/>
          <w:b/>
          <w:bCs/>
          <w:color w:val="000000"/>
          <w:u w:val="single"/>
          <w:lang w:eastAsia="bg-BG"/>
        </w:rPr>
      </w:pPr>
      <w:bookmarkStart w:id="4" w:name="bookmark6"/>
    </w:p>
    <w:p w14:paraId="5605A5A0" w14:textId="316F2FB6" w:rsidR="00A61B7E" w:rsidRPr="00A61B7E" w:rsidRDefault="00A61B7E" w:rsidP="00A61B7E">
      <w:pPr>
        <w:pStyle w:val="3"/>
        <w:rPr>
          <w:rFonts w:eastAsia="Times New Roman"/>
          <w:b/>
          <w:bCs/>
          <w:u w:val="single"/>
        </w:rPr>
      </w:pPr>
      <w:r w:rsidRPr="00A61B7E">
        <w:rPr>
          <w:rFonts w:eastAsia="Times New Roman"/>
          <w:b/>
          <w:bCs/>
          <w:u w:val="single"/>
          <w:lang w:eastAsia="bg-BG"/>
        </w:rPr>
        <w:t>Фармакокинетика при специални популации</w:t>
      </w:r>
      <w:bookmarkEnd w:id="4"/>
    </w:p>
    <w:p w14:paraId="56772ADC" w14:textId="31AFC7F6" w:rsidR="00A61B7E" w:rsidRPr="00A61B7E" w:rsidRDefault="00A61B7E" w:rsidP="00A61B7E">
      <w:pPr>
        <w:rPr>
          <w:rFonts w:cs="Arial"/>
        </w:rPr>
      </w:pPr>
      <w:r w:rsidRPr="00A61B7E">
        <w:rPr>
          <w:rFonts w:eastAsia="Times New Roman" w:cs="Arial"/>
          <w:color w:val="000000"/>
          <w:lang w:eastAsia="bg-BG"/>
        </w:rPr>
        <w:t xml:space="preserve">Проведено е специфично клинично проучване при пациенти в старческа възраст, като е използвана доза от 2 таблетки дневно, прилагани в 2 приема и проведеният анализ по метода на кинетичната популация показва увеличаване на плазмените нива в степен, </w:t>
      </w:r>
      <w:proofErr w:type="spellStart"/>
      <w:r w:rsidRPr="00A61B7E">
        <w:rPr>
          <w:rFonts w:eastAsia="Times New Roman" w:cs="Arial"/>
          <w:color w:val="000000"/>
          <w:lang w:eastAsia="bg-BG"/>
        </w:rPr>
        <w:t>коятоне</w:t>
      </w:r>
      <w:proofErr w:type="spellEnd"/>
      <w:r w:rsidRPr="00A61B7E">
        <w:rPr>
          <w:rFonts w:eastAsia="Times New Roman" w:cs="Arial"/>
          <w:color w:val="000000"/>
          <w:lang w:eastAsia="bg-BG"/>
        </w:rPr>
        <w:t xml:space="preserve"> не дава </w:t>
      </w:r>
      <w:proofErr w:type="spellStart"/>
      <w:r w:rsidRPr="00A61B7E">
        <w:rPr>
          <w:rFonts w:eastAsia="Times New Roman" w:cs="Arial"/>
          <w:color w:val="000000"/>
          <w:lang w:eastAsia="bg-BG"/>
        </w:rPr>
        <w:t>основаниие</w:t>
      </w:r>
      <w:proofErr w:type="spellEnd"/>
      <w:r w:rsidRPr="00A61B7E">
        <w:rPr>
          <w:rFonts w:eastAsia="Times New Roman" w:cs="Arial"/>
          <w:color w:val="000000"/>
          <w:lang w:eastAsia="bg-BG"/>
        </w:rPr>
        <w:t xml:space="preserve"> за промяна в дозировката.</w:t>
      </w:r>
    </w:p>
    <w:p w14:paraId="5A5AE020" w14:textId="77777777" w:rsidR="00A61B7E" w:rsidRDefault="00A61B7E" w:rsidP="002B3C38">
      <w:pPr>
        <w:pStyle w:val="2"/>
      </w:pPr>
    </w:p>
    <w:p w14:paraId="1BDBE06B" w14:textId="60B74C1D" w:rsidR="004D4D6B" w:rsidRDefault="002C50EE" w:rsidP="002B3C38">
      <w:pPr>
        <w:pStyle w:val="2"/>
      </w:pPr>
      <w:r>
        <w:t>5.3. Предклинични данни за безопасност</w:t>
      </w:r>
    </w:p>
    <w:p w14:paraId="72EFDACF" w14:textId="76AA3513" w:rsidR="00A61B7E" w:rsidRDefault="00A61B7E" w:rsidP="00A61B7E"/>
    <w:p w14:paraId="4B6104AA" w14:textId="77777777" w:rsidR="00A61B7E" w:rsidRPr="00A61B7E" w:rsidRDefault="00A61B7E" w:rsidP="00A61B7E">
      <w:pPr>
        <w:rPr>
          <w:sz w:val="24"/>
          <w:szCs w:val="24"/>
        </w:rPr>
      </w:pPr>
      <w:r w:rsidRPr="00A61B7E">
        <w:rPr>
          <w:lang w:eastAsia="bg-BG"/>
        </w:rPr>
        <w:t xml:space="preserve">Острата токсичност на </w:t>
      </w:r>
      <w:proofErr w:type="spellStart"/>
      <w:r w:rsidRPr="00A61B7E">
        <w:rPr>
          <w:lang w:eastAsia="bg-BG"/>
        </w:rPr>
        <w:t>триметазидин</w:t>
      </w:r>
      <w:proofErr w:type="spellEnd"/>
      <w:r w:rsidRPr="00A61B7E">
        <w:rPr>
          <w:lang w:eastAsia="bg-BG"/>
        </w:rPr>
        <w:t xml:space="preserve"> при мишки, плъхове и морски свинчета е ниска. Проведени са проучвания на токсичността при многократно дозиране при плъхове и кучета на </w:t>
      </w:r>
      <w:proofErr w:type="spellStart"/>
      <w:r w:rsidRPr="00A61B7E">
        <w:rPr>
          <w:lang w:eastAsia="bg-BG"/>
        </w:rPr>
        <w:t>триметазидин</w:t>
      </w:r>
      <w:proofErr w:type="spellEnd"/>
      <w:r w:rsidRPr="00A61B7E">
        <w:rPr>
          <w:lang w:eastAsia="bg-BG"/>
        </w:rPr>
        <w:t xml:space="preserve">, при които не е установен токсикологичен прицелен орган. </w:t>
      </w:r>
      <w:proofErr w:type="spellStart"/>
      <w:r w:rsidRPr="00A61B7E">
        <w:rPr>
          <w:lang w:eastAsia="bg-BG"/>
        </w:rPr>
        <w:t>Триметазидин</w:t>
      </w:r>
      <w:proofErr w:type="spellEnd"/>
      <w:r w:rsidRPr="00A61B7E">
        <w:rPr>
          <w:lang w:eastAsia="bg-BG"/>
        </w:rPr>
        <w:t xml:space="preserve"> не е </w:t>
      </w:r>
      <w:proofErr w:type="spellStart"/>
      <w:r w:rsidRPr="00A61B7E">
        <w:rPr>
          <w:lang w:eastAsia="bg-BG"/>
        </w:rPr>
        <w:t>генотоксичен</w:t>
      </w:r>
      <w:proofErr w:type="spellEnd"/>
      <w:r w:rsidRPr="00A61B7E">
        <w:rPr>
          <w:lang w:eastAsia="bg-BG"/>
        </w:rPr>
        <w:t xml:space="preserve"> при стандартен набор от </w:t>
      </w:r>
      <w:r w:rsidRPr="00A61B7E">
        <w:rPr>
          <w:i/>
          <w:iCs/>
          <w:lang w:val="en-US"/>
        </w:rPr>
        <w:t>in-vitro</w:t>
      </w:r>
      <w:r w:rsidRPr="00A61B7E">
        <w:rPr>
          <w:lang w:val="en-US"/>
        </w:rPr>
        <w:t xml:space="preserve"> </w:t>
      </w:r>
      <w:r w:rsidRPr="00A61B7E">
        <w:rPr>
          <w:lang w:eastAsia="bg-BG"/>
        </w:rPr>
        <w:t xml:space="preserve">и </w:t>
      </w:r>
      <w:r w:rsidRPr="00A61B7E">
        <w:rPr>
          <w:i/>
          <w:iCs/>
          <w:lang w:val="en-US"/>
        </w:rPr>
        <w:t>in-vivo</w:t>
      </w:r>
      <w:r w:rsidRPr="00A61B7E">
        <w:rPr>
          <w:lang w:val="en-US"/>
        </w:rPr>
        <w:t xml:space="preserve"> </w:t>
      </w:r>
      <w:r w:rsidRPr="00A61B7E">
        <w:rPr>
          <w:lang w:eastAsia="bg-BG"/>
        </w:rPr>
        <w:t xml:space="preserve">тестове. При </w:t>
      </w:r>
      <w:r w:rsidRPr="00A61B7E">
        <w:rPr>
          <w:lang w:eastAsia="bg-BG"/>
        </w:rPr>
        <w:lastRenderedPageBreak/>
        <w:t xml:space="preserve">изпитванията за репродуктивна токсичност, проведени с </w:t>
      </w:r>
      <w:proofErr w:type="spellStart"/>
      <w:r w:rsidRPr="00A61B7E">
        <w:rPr>
          <w:lang w:eastAsia="bg-BG"/>
        </w:rPr>
        <w:t>триметазидин</w:t>
      </w:r>
      <w:proofErr w:type="spellEnd"/>
      <w:r w:rsidRPr="00A61B7E">
        <w:rPr>
          <w:lang w:eastAsia="bg-BG"/>
        </w:rPr>
        <w:t xml:space="preserve"> при плъхове, мишки и зайци, не се наблюдават нежелани ефекти на </w:t>
      </w:r>
      <w:proofErr w:type="spellStart"/>
      <w:r w:rsidRPr="00A61B7E">
        <w:rPr>
          <w:lang w:eastAsia="bg-BG"/>
        </w:rPr>
        <w:t>триметазидин</w:t>
      </w:r>
      <w:proofErr w:type="spellEnd"/>
      <w:r w:rsidRPr="00A61B7E">
        <w:rPr>
          <w:lang w:eastAsia="bg-BG"/>
        </w:rPr>
        <w:t xml:space="preserve"> върху репродуктивната функция (особено тератогенни ефекти).</w:t>
      </w:r>
    </w:p>
    <w:p w14:paraId="25977456" w14:textId="77777777" w:rsidR="00A61B7E" w:rsidRDefault="00A61B7E" w:rsidP="00A61B7E">
      <w:pPr>
        <w:rPr>
          <w:lang w:eastAsia="bg-BG"/>
        </w:rPr>
      </w:pPr>
    </w:p>
    <w:p w14:paraId="63FCCC2A" w14:textId="7431625D" w:rsidR="00A61B7E" w:rsidRPr="00A61B7E" w:rsidRDefault="00A61B7E" w:rsidP="00A61B7E">
      <w:pPr>
        <w:rPr>
          <w:sz w:val="24"/>
          <w:szCs w:val="24"/>
        </w:rPr>
      </w:pPr>
      <w:r w:rsidRPr="00A61B7E">
        <w:rPr>
          <w:lang w:eastAsia="bg-BG"/>
        </w:rPr>
        <w:t xml:space="preserve">При проучвания за </w:t>
      </w:r>
      <w:proofErr w:type="spellStart"/>
      <w:r w:rsidRPr="00A61B7E">
        <w:rPr>
          <w:lang w:eastAsia="bg-BG"/>
        </w:rPr>
        <w:t>ембриотоксичност</w:t>
      </w:r>
      <w:proofErr w:type="spellEnd"/>
      <w:r w:rsidRPr="00A61B7E">
        <w:rPr>
          <w:lang w:eastAsia="bg-BG"/>
        </w:rPr>
        <w:t xml:space="preserve"> при плъхове и зайци, </w:t>
      </w:r>
      <w:proofErr w:type="spellStart"/>
      <w:r w:rsidRPr="00A61B7E">
        <w:rPr>
          <w:lang w:eastAsia="bg-BG"/>
        </w:rPr>
        <w:t>триметазидин</w:t>
      </w:r>
      <w:proofErr w:type="spellEnd"/>
      <w:r w:rsidRPr="00A61B7E">
        <w:rPr>
          <w:lang w:eastAsia="bg-BG"/>
        </w:rPr>
        <w:t xml:space="preserve"> не показва тератогенни ефекти. Не се наблюдават модификации на репродуктивните функции в проучване на три поколения плъхове. Не са проведени конвенционални проучвания върху </w:t>
      </w:r>
      <w:proofErr w:type="spellStart"/>
      <w:r w:rsidRPr="00A61B7E">
        <w:rPr>
          <w:lang w:eastAsia="bg-BG"/>
        </w:rPr>
        <w:t>фертилитета</w:t>
      </w:r>
      <w:proofErr w:type="spellEnd"/>
      <w:r w:rsidRPr="00A61B7E">
        <w:rPr>
          <w:lang w:eastAsia="bg-BG"/>
        </w:rPr>
        <w:t xml:space="preserve"> или </w:t>
      </w:r>
      <w:proofErr w:type="spellStart"/>
      <w:r w:rsidRPr="00A61B7E">
        <w:rPr>
          <w:lang w:eastAsia="bg-BG"/>
        </w:rPr>
        <w:t>пре</w:t>
      </w:r>
      <w:proofErr w:type="spellEnd"/>
      <w:r w:rsidRPr="00A61B7E">
        <w:rPr>
          <w:lang w:eastAsia="bg-BG"/>
        </w:rPr>
        <w:t>/</w:t>
      </w:r>
      <w:proofErr w:type="spellStart"/>
      <w:r w:rsidRPr="00A61B7E">
        <w:rPr>
          <w:lang w:eastAsia="bg-BG"/>
        </w:rPr>
        <w:t>постнаталното</w:t>
      </w:r>
      <w:proofErr w:type="spellEnd"/>
      <w:r w:rsidRPr="00A61B7E">
        <w:rPr>
          <w:lang w:eastAsia="bg-BG"/>
        </w:rPr>
        <w:t xml:space="preserve"> развитие.</w:t>
      </w:r>
    </w:p>
    <w:p w14:paraId="7AC32018" w14:textId="77777777" w:rsidR="00A61B7E" w:rsidRPr="00A61B7E" w:rsidRDefault="00A61B7E" w:rsidP="00A61B7E"/>
    <w:p w14:paraId="6940F72E" w14:textId="3E56C61C" w:rsidR="009B171C" w:rsidRDefault="002C50EE" w:rsidP="00CA1B57">
      <w:pPr>
        <w:pStyle w:val="1"/>
      </w:pPr>
      <w:r>
        <w:t>7. ПРИТЕЖАТЕЛ НА РАЗРЕШЕНИЕТО ЗА УПОТРЕБА</w:t>
      </w:r>
    </w:p>
    <w:p w14:paraId="21FAE2DC" w14:textId="30DDDEBA" w:rsidR="00A61B7E" w:rsidRDefault="00A61B7E" w:rsidP="00A61B7E"/>
    <w:p w14:paraId="2A842D75" w14:textId="77777777" w:rsidR="00A61B7E" w:rsidRDefault="00A61B7E" w:rsidP="00A61B7E">
      <w:proofErr w:type="spellStart"/>
      <w:r>
        <w:t>Glenmark</w:t>
      </w:r>
      <w:proofErr w:type="spellEnd"/>
      <w:r>
        <w:t xml:space="preserve"> </w:t>
      </w:r>
      <w:proofErr w:type="spellStart"/>
      <w:r>
        <w:t>Pharmaceuticals</w:t>
      </w:r>
      <w:proofErr w:type="spellEnd"/>
      <w:r>
        <w:t xml:space="preserve"> </w:t>
      </w:r>
      <w:proofErr w:type="spellStart"/>
      <w:r>
        <w:t>s.r.o</w:t>
      </w:r>
      <w:proofErr w:type="spellEnd"/>
      <w:r>
        <w:t xml:space="preserve">. </w:t>
      </w:r>
      <w:proofErr w:type="spellStart"/>
      <w:r>
        <w:t>Hvezdova</w:t>
      </w:r>
      <w:proofErr w:type="spellEnd"/>
      <w:r>
        <w:t xml:space="preserve"> 1716/2b, </w:t>
      </w:r>
    </w:p>
    <w:p w14:paraId="7FBBC724" w14:textId="77777777" w:rsidR="00A61B7E" w:rsidRDefault="00A61B7E" w:rsidP="00A61B7E">
      <w:proofErr w:type="spellStart"/>
      <w:r>
        <w:t>Prague</w:t>
      </w:r>
      <w:proofErr w:type="spellEnd"/>
      <w:r>
        <w:t xml:space="preserve"> 4,140 78, </w:t>
      </w:r>
    </w:p>
    <w:p w14:paraId="4AB64004" w14:textId="2BD0AE4F" w:rsidR="00A61B7E" w:rsidRPr="00A61B7E" w:rsidRDefault="00A61B7E" w:rsidP="00A61B7E">
      <w:r>
        <w:rPr>
          <w:lang w:eastAsia="bg-BG"/>
        </w:rPr>
        <w:t>Чешка република</w:t>
      </w:r>
    </w:p>
    <w:p w14:paraId="04840D59" w14:textId="61D3A3FE" w:rsidR="002C50EE" w:rsidRDefault="002C50EE" w:rsidP="002C50EE">
      <w:pPr>
        <w:pStyle w:val="1"/>
      </w:pPr>
      <w:r>
        <w:t>8. НОМЕР НА РАЗРЕШЕНИЕТО ЗА УПОТРЕБА</w:t>
      </w:r>
    </w:p>
    <w:p w14:paraId="0F47211E" w14:textId="21BFB615" w:rsidR="00A61B7E" w:rsidRPr="00A61B7E" w:rsidRDefault="00A61B7E" w:rsidP="00A61B7E">
      <w:r>
        <w:t>20110184</w:t>
      </w:r>
    </w:p>
    <w:p w14:paraId="5900CBF3" w14:textId="52B8F994" w:rsidR="002C50EE" w:rsidRDefault="002C50EE" w:rsidP="002C50EE">
      <w:pPr>
        <w:pStyle w:val="1"/>
      </w:pPr>
      <w:r>
        <w:t>9. ДАТА НА ПЪРВО РАЗРЕШАВАНЕ/ПОДНОВЯВАНЕ НА РАЗРЕШЕНИЕТО ЗА УПОТРЕБА</w:t>
      </w:r>
    </w:p>
    <w:p w14:paraId="1D4B7437" w14:textId="424F92BC" w:rsidR="00A61B7E" w:rsidRPr="00A61B7E" w:rsidRDefault="00A61B7E" w:rsidP="00A61B7E">
      <w:r>
        <w:t>24.03.2011</w:t>
      </w:r>
    </w:p>
    <w:p w14:paraId="0E9D0119" w14:textId="0245C6D7" w:rsidR="002C50EE" w:rsidRDefault="002C50EE" w:rsidP="002C50EE">
      <w:pPr>
        <w:pStyle w:val="1"/>
      </w:pPr>
      <w:r>
        <w:t>10. ДАТА НА АКТУАЛИЗИРАНЕ НА ТЕКСТА</w:t>
      </w:r>
    </w:p>
    <w:bookmarkEnd w:id="0"/>
    <w:p w14:paraId="423F4C2A" w14:textId="3C7C3F36" w:rsidR="00C87E90" w:rsidRPr="003E3126" w:rsidRDefault="00A61B7E" w:rsidP="00A61B7E">
      <w:r>
        <w:t>Януари 2015</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E0EFE"/>
    <w:multiLevelType w:val="hybridMultilevel"/>
    <w:tmpl w:val="1BEA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3"/>
  </w:num>
  <w:num w:numId="5">
    <w:abstractNumId w:val="1"/>
  </w:num>
  <w:num w:numId="6">
    <w:abstractNumId w:val="13"/>
  </w:num>
  <w:num w:numId="7">
    <w:abstractNumId w:val="8"/>
  </w:num>
  <w:num w:numId="8">
    <w:abstractNumId w:val="12"/>
  </w:num>
  <w:num w:numId="9">
    <w:abstractNumId w:val="2"/>
  </w:num>
  <w:num w:numId="10">
    <w:abstractNumId w:val="4"/>
  </w:num>
  <w:num w:numId="11">
    <w:abstractNumId w:val="24"/>
  </w:num>
  <w:num w:numId="12">
    <w:abstractNumId w:val="11"/>
  </w:num>
  <w:num w:numId="13">
    <w:abstractNumId w:val="16"/>
  </w:num>
  <w:num w:numId="14">
    <w:abstractNumId w:val="9"/>
  </w:num>
  <w:num w:numId="15">
    <w:abstractNumId w:val="23"/>
  </w:num>
  <w:num w:numId="16">
    <w:abstractNumId w:val="7"/>
  </w:num>
  <w:num w:numId="17">
    <w:abstractNumId w:val="19"/>
  </w:num>
  <w:num w:numId="18">
    <w:abstractNumId w:val="5"/>
  </w:num>
  <w:num w:numId="19">
    <w:abstractNumId w:val="21"/>
  </w:num>
  <w:num w:numId="20">
    <w:abstractNumId w:val="18"/>
  </w:num>
  <w:num w:numId="21">
    <w:abstractNumId w:val="14"/>
  </w:num>
  <w:num w:numId="22">
    <w:abstractNumId w:val="20"/>
  </w:num>
  <w:num w:numId="23">
    <w:abstractNumId w:val="15"/>
  </w:num>
  <w:num w:numId="24">
    <w:abstractNumId w:val="6"/>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D1B23"/>
    <w:rsid w:val="002B3C38"/>
    <w:rsid w:val="002B4DBB"/>
    <w:rsid w:val="002C50EE"/>
    <w:rsid w:val="00340A0A"/>
    <w:rsid w:val="003765DC"/>
    <w:rsid w:val="003E3126"/>
    <w:rsid w:val="004D4D6B"/>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61B7E"/>
    <w:rsid w:val="00AA23EC"/>
    <w:rsid w:val="00AC63CE"/>
    <w:rsid w:val="00AE2107"/>
    <w:rsid w:val="00B275A8"/>
    <w:rsid w:val="00BF2600"/>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364"/>
    <w:pPr>
      <w:spacing w:after="0" w:line="256" w:lineRule="auto"/>
    </w:pPr>
    <w:rPr>
      <w:rFonts w:ascii="Arial" w:hAnsi="Arial"/>
      <w:lang w:val="bg-BG"/>
    </w:rPr>
  </w:style>
  <w:style w:type="paragraph" w:styleId="1">
    <w:name w:val="heading 1"/>
    <w:basedOn w:val="a"/>
    <w:next w:val="a"/>
    <w:link w:val="10"/>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2">
    <w:name w:val="heading 2"/>
    <w:basedOn w:val="a"/>
    <w:next w:val="a"/>
    <w:link w:val="20"/>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3">
    <w:name w:val="heading 3"/>
    <w:basedOn w:val="a"/>
    <w:next w:val="a"/>
    <w:link w:val="30"/>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4">
    <w:name w:val="heading 4"/>
    <w:basedOn w:val="a"/>
    <w:next w:val="a"/>
    <w:link w:val="40"/>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1"/>
    <w:basedOn w:val="3"/>
    <w:next w:val="a"/>
    <w:link w:val="12"/>
    <w:qFormat/>
    <w:rsid w:val="00C87E90"/>
    <w:pPr>
      <w:widowControl w:val="0"/>
      <w:spacing w:after="1080" w:line="240" w:lineRule="auto"/>
      <w:ind w:left="4400"/>
      <w:jc w:val="center"/>
    </w:pPr>
    <w:rPr>
      <w:b/>
      <w:sz w:val="22"/>
      <w:szCs w:val="22"/>
    </w:rPr>
  </w:style>
  <w:style w:type="character" w:customStyle="1" w:styleId="12">
    <w:name w:val="Стил1 Знак"/>
    <w:basedOn w:val="30"/>
    <w:link w:val="11"/>
    <w:rsid w:val="00C87E90"/>
    <w:rPr>
      <w:rFonts w:ascii="Arial" w:eastAsiaTheme="majorEastAsia" w:hAnsi="Arial" w:cstheme="majorBidi"/>
      <w:b/>
      <w:color w:val="000000" w:themeColor="text1"/>
      <w:sz w:val="24"/>
      <w:szCs w:val="24"/>
    </w:rPr>
  </w:style>
  <w:style w:type="character" w:customStyle="1" w:styleId="30">
    <w:name w:val="Заглавие 3 Знак"/>
    <w:basedOn w:val="a0"/>
    <w:link w:val="3"/>
    <w:uiPriority w:val="9"/>
    <w:rsid w:val="00681D4A"/>
    <w:rPr>
      <w:rFonts w:ascii="Arial" w:eastAsiaTheme="majorEastAsia" w:hAnsi="Arial" w:cstheme="majorBidi"/>
      <w:color w:val="000000" w:themeColor="text1"/>
      <w:sz w:val="24"/>
      <w:szCs w:val="24"/>
    </w:rPr>
  </w:style>
  <w:style w:type="paragraph" w:styleId="a3">
    <w:name w:val="List Paragraph"/>
    <w:basedOn w:val="a"/>
    <w:uiPriority w:val="34"/>
    <w:qFormat/>
    <w:rsid w:val="00685882"/>
    <w:pPr>
      <w:spacing w:line="259" w:lineRule="auto"/>
      <w:ind w:left="720"/>
      <w:contextualSpacing/>
    </w:pPr>
  </w:style>
  <w:style w:type="character" w:customStyle="1" w:styleId="10">
    <w:name w:val="Заглавие 1 Знак"/>
    <w:basedOn w:val="a0"/>
    <w:link w:val="1"/>
    <w:uiPriority w:val="9"/>
    <w:rsid w:val="00681D4A"/>
    <w:rPr>
      <w:rFonts w:ascii="Arial" w:eastAsiaTheme="majorEastAsia" w:hAnsi="Arial" w:cstheme="majorBidi"/>
      <w:color w:val="000000" w:themeColor="text1"/>
      <w:sz w:val="32"/>
      <w:szCs w:val="32"/>
    </w:rPr>
  </w:style>
  <w:style w:type="character" w:customStyle="1" w:styleId="20">
    <w:name w:val="Заглавие 2 Знак"/>
    <w:basedOn w:val="a0"/>
    <w:link w:val="2"/>
    <w:uiPriority w:val="9"/>
    <w:rsid w:val="00681D4A"/>
    <w:rPr>
      <w:rFonts w:ascii="Arial" w:eastAsiaTheme="majorEastAsia" w:hAnsi="Arial" w:cstheme="majorBidi"/>
      <w:color w:val="000000" w:themeColor="text1"/>
      <w:sz w:val="26"/>
      <w:szCs w:val="26"/>
    </w:rPr>
  </w:style>
  <w:style w:type="character" w:customStyle="1" w:styleId="40">
    <w:name w:val="Заглавие 4 Знак"/>
    <w:basedOn w:val="a0"/>
    <w:link w:val="4"/>
    <w:uiPriority w:val="9"/>
    <w:rsid w:val="00681D4A"/>
    <w:rPr>
      <w:rFonts w:asciiTheme="majorHAnsi" w:eastAsiaTheme="majorEastAsia" w:hAnsiTheme="majorHAnsi" w:cstheme="majorBidi"/>
      <w:i/>
      <w:iCs/>
      <w:color w:val="2F5496" w:themeColor="accent1" w:themeShade="BF"/>
    </w:rPr>
  </w:style>
  <w:style w:type="table" w:styleId="a4">
    <w:name w:val="Table Grid"/>
    <w:basedOn w:val="a1"/>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2021-10-18T11:35:00Z</dcterms:created>
  <dcterms:modified xsi:type="dcterms:W3CDTF">2021-10-18T11:35:00Z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