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B833F7D" w:rsidR="007122AD" w:rsidRDefault="00DD466D" w:rsidP="00936AD0">
      <w:pPr>
        <w:pStyle w:val="Heading1"/>
      </w:pPr>
      <w:r>
        <w:t>1.ИМЕ НА ЛЕКАРСТВЕНИЯ ПРОДУКТ</w:t>
      </w:r>
    </w:p>
    <w:p w14:paraId="652767C3" w14:textId="33C49D60" w:rsidR="00F703B9" w:rsidRDefault="00F703B9" w:rsidP="00F703B9"/>
    <w:p w14:paraId="750542FC" w14:textId="77777777" w:rsidR="00F703B9" w:rsidRPr="00F703B9" w:rsidRDefault="00F703B9" w:rsidP="00F703B9">
      <w:pPr>
        <w:rPr>
          <w:sz w:val="24"/>
          <w:szCs w:val="24"/>
        </w:rPr>
      </w:pPr>
      <w:r w:rsidRPr="00F703B9">
        <w:rPr>
          <w:lang w:eastAsia="bg-BG"/>
        </w:rPr>
        <w:t xml:space="preserve">Арагил 10 </w:t>
      </w:r>
      <w:r w:rsidRPr="00F703B9">
        <w:rPr>
          <w:lang w:val="en-US"/>
        </w:rPr>
        <w:t>mg</w:t>
      </w:r>
      <w:r w:rsidRPr="00F703B9">
        <w:t xml:space="preserve"> </w:t>
      </w:r>
      <w:r w:rsidRPr="00F703B9">
        <w:rPr>
          <w:lang w:eastAsia="bg-BG"/>
        </w:rPr>
        <w:t>филмирани таблетки</w:t>
      </w:r>
    </w:p>
    <w:p w14:paraId="65E7A8FE" w14:textId="77777777" w:rsidR="00F703B9" w:rsidRPr="00F703B9" w:rsidRDefault="00F703B9" w:rsidP="00F703B9">
      <w:pPr>
        <w:rPr>
          <w:sz w:val="24"/>
          <w:szCs w:val="24"/>
        </w:rPr>
      </w:pPr>
      <w:r w:rsidRPr="00F703B9">
        <w:rPr>
          <w:lang w:val="en-US"/>
        </w:rPr>
        <w:t>Aragil</w:t>
      </w:r>
      <w:r w:rsidRPr="00F703B9">
        <w:t xml:space="preserve"> </w:t>
      </w:r>
      <w:r w:rsidRPr="00F703B9">
        <w:rPr>
          <w:lang w:eastAsia="bg-BG"/>
        </w:rPr>
        <w:t xml:space="preserve">10 </w:t>
      </w:r>
      <w:r w:rsidRPr="00F703B9">
        <w:rPr>
          <w:lang w:val="en-US"/>
        </w:rPr>
        <w:t>mg</w:t>
      </w:r>
      <w:r w:rsidRPr="00F703B9">
        <w:t xml:space="preserve"> </w:t>
      </w:r>
      <w:r w:rsidRPr="00F703B9">
        <w:rPr>
          <w:lang w:val="en-US"/>
        </w:rPr>
        <w:t>film</w:t>
      </w:r>
      <w:r w:rsidRPr="00F703B9">
        <w:t>-</w:t>
      </w:r>
      <w:r w:rsidRPr="00F703B9">
        <w:rPr>
          <w:lang w:val="en-US"/>
        </w:rPr>
        <w:t>coated</w:t>
      </w:r>
      <w:r w:rsidRPr="00F703B9">
        <w:t xml:space="preserve"> </w:t>
      </w:r>
      <w:r w:rsidRPr="00F703B9">
        <w:rPr>
          <w:lang w:val="en-US"/>
        </w:rPr>
        <w:t>tablets</w:t>
      </w:r>
    </w:p>
    <w:p w14:paraId="026E26A6" w14:textId="77777777" w:rsidR="00F703B9" w:rsidRDefault="00F703B9" w:rsidP="00F703B9">
      <w:pPr>
        <w:rPr>
          <w:lang w:eastAsia="bg-BG"/>
        </w:rPr>
      </w:pPr>
    </w:p>
    <w:p w14:paraId="034B0466" w14:textId="102BFBF9" w:rsidR="00F703B9" w:rsidRPr="00F703B9" w:rsidRDefault="00F703B9" w:rsidP="00F703B9">
      <w:pPr>
        <w:rPr>
          <w:sz w:val="24"/>
          <w:szCs w:val="24"/>
        </w:rPr>
      </w:pPr>
      <w:r w:rsidRPr="00F703B9">
        <w:rPr>
          <w:lang w:eastAsia="bg-BG"/>
        </w:rPr>
        <w:t xml:space="preserve">Арагил </w:t>
      </w:r>
      <w:r w:rsidRPr="00F703B9">
        <w:t xml:space="preserve">20 </w:t>
      </w:r>
      <w:r w:rsidRPr="00F703B9">
        <w:rPr>
          <w:lang w:val="en-US"/>
        </w:rPr>
        <w:t>mg</w:t>
      </w:r>
      <w:r w:rsidRPr="00F703B9">
        <w:t xml:space="preserve"> </w:t>
      </w:r>
      <w:r w:rsidRPr="00F703B9">
        <w:rPr>
          <w:lang w:eastAsia="bg-BG"/>
        </w:rPr>
        <w:t>филмирани таблетки</w:t>
      </w:r>
    </w:p>
    <w:p w14:paraId="18D6372E" w14:textId="6FF474A6" w:rsidR="00F703B9" w:rsidRPr="00F703B9" w:rsidRDefault="00F703B9" w:rsidP="00F703B9">
      <w:r w:rsidRPr="00F703B9">
        <w:rPr>
          <w:lang w:val="en-US"/>
        </w:rPr>
        <w:t>Aragil</w:t>
      </w:r>
      <w:r w:rsidRPr="00F703B9">
        <w:t xml:space="preserve"> </w:t>
      </w:r>
      <w:r w:rsidRPr="00F703B9">
        <w:rPr>
          <w:lang w:eastAsia="bg-BG"/>
        </w:rPr>
        <w:t xml:space="preserve">20 </w:t>
      </w:r>
      <w:r w:rsidRPr="00F703B9">
        <w:rPr>
          <w:lang w:val="en-US"/>
        </w:rPr>
        <w:t>mg</w:t>
      </w:r>
      <w:r w:rsidRPr="00F703B9">
        <w:t xml:space="preserve"> </w:t>
      </w:r>
      <w:r w:rsidRPr="00F703B9">
        <w:rPr>
          <w:lang w:val="en-US"/>
        </w:rPr>
        <w:t>film</w:t>
      </w:r>
      <w:r w:rsidRPr="00F703B9">
        <w:t>-</w:t>
      </w:r>
      <w:r w:rsidRPr="00F703B9">
        <w:rPr>
          <w:lang w:val="en-US"/>
        </w:rPr>
        <w:t>coated</w:t>
      </w:r>
      <w:r w:rsidRPr="00F703B9">
        <w:t xml:space="preserve"> </w:t>
      </w:r>
      <w:r w:rsidRPr="00F703B9">
        <w:rPr>
          <w:lang w:val="en-US"/>
        </w:rPr>
        <w:t>tablets</w:t>
      </w:r>
    </w:p>
    <w:p w14:paraId="6920A680" w14:textId="56CD61B4" w:rsidR="00C40420" w:rsidRDefault="00DD466D" w:rsidP="004A448E">
      <w:pPr>
        <w:pStyle w:val="Heading1"/>
      </w:pPr>
      <w:r>
        <w:t>2. КАЧЕСТВЕН И КОЛИЧЕСТВЕН СЪСТАВ</w:t>
      </w:r>
    </w:p>
    <w:p w14:paraId="202A2776" w14:textId="0C38A805" w:rsidR="00F703B9" w:rsidRDefault="00F703B9" w:rsidP="00F703B9"/>
    <w:p w14:paraId="60C4456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Арагил 10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филмирани таблетки:</w:t>
      </w:r>
    </w:p>
    <w:p w14:paraId="64A85843"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Всяка филмирана таблетка съдържа: 10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 xml:space="preserve">аторвастатин </w:t>
      </w:r>
      <w:r w:rsidRPr="00F703B9">
        <w:rPr>
          <w:rFonts w:eastAsia="Times New Roman" w:cs="Arial"/>
          <w:i/>
          <w:iCs/>
          <w:color w:val="000000"/>
          <w:szCs w:val="20"/>
        </w:rPr>
        <w:t>(</w:t>
      </w:r>
      <w:r w:rsidRPr="00F703B9">
        <w:rPr>
          <w:rFonts w:eastAsia="Times New Roman" w:cs="Arial"/>
          <w:i/>
          <w:iCs/>
          <w:color w:val="000000"/>
          <w:szCs w:val="20"/>
          <w:lang w:val="en-US"/>
        </w:rPr>
        <w:t>atorvastatin</w:t>
      </w:r>
      <w:r w:rsidRPr="00F703B9">
        <w:rPr>
          <w:rFonts w:eastAsia="Times New Roman" w:cs="Arial"/>
          <w:i/>
          <w:iCs/>
          <w:color w:val="000000"/>
          <w:szCs w:val="20"/>
        </w:rPr>
        <w:t>),</w:t>
      </w:r>
      <w:r w:rsidRPr="00F703B9">
        <w:rPr>
          <w:rFonts w:eastAsia="Times New Roman" w:cs="Arial"/>
          <w:color w:val="000000"/>
          <w:szCs w:val="20"/>
        </w:rPr>
        <w:t xml:space="preserve"> </w:t>
      </w:r>
      <w:r w:rsidRPr="00F703B9">
        <w:rPr>
          <w:rFonts w:eastAsia="Times New Roman" w:cs="Arial"/>
          <w:color w:val="000000"/>
          <w:szCs w:val="20"/>
          <w:lang w:eastAsia="bg-BG"/>
        </w:rPr>
        <w:t xml:space="preserve">като аторвастатин калций </w:t>
      </w:r>
      <w:r w:rsidRPr="00F703B9">
        <w:rPr>
          <w:rFonts w:eastAsia="Times New Roman" w:cs="Arial"/>
          <w:i/>
          <w:iCs/>
          <w:color w:val="000000"/>
          <w:szCs w:val="20"/>
        </w:rPr>
        <w:t>(</w:t>
      </w:r>
      <w:r w:rsidRPr="00F703B9">
        <w:rPr>
          <w:rFonts w:eastAsia="Times New Roman" w:cs="Arial"/>
          <w:i/>
          <w:iCs/>
          <w:color w:val="000000"/>
          <w:szCs w:val="20"/>
          <w:lang w:val="en-US"/>
        </w:rPr>
        <w:t>as</w:t>
      </w:r>
      <w:r w:rsidRPr="00F703B9">
        <w:rPr>
          <w:rFonts w:eastAsia="Times New Roman" w:cs="Arial"/>
          <w:i/>
          <w:iCs/>
          <w:color w:val="000000"/>
          <w:szCs w:val="20"/>
        </w:rPr>
        <w:t xml:space="preserve"> </w:t>
      </w:r>
      <w:r w:rsidRPr="00F703B9">
        <w:rPr>
          <w:rFonts w:eastAsia="Times New Roman" w:cs="Arial"/>
          <w:i/>
          <w:iCs/>
          <w:color w:val="000000"/>
          <w:szCs w:val="20"/>
          <w:lang w:val="en-US"/>
        </w:rPr>
        <w:t>atorvastatin</w:t>
      </w:r>
      <w:r w:rsidRPr="00F703B9">
        <w:rPr>
          <w:rFonts w:eastAsia="Times New Roman" w:cs="Arial"/>
          <w:i/>
          <w:iCs/>
          <w:color w:val="000000"/>
          <w:szCs w:val="20"/>
        </w:rPr>
        <w:t xml:space="preserve"> </w:t>
      </w:r>
      <w:r w:rsidRPr="00F703B9">
        <w:rPr>
          <w:rFonts w:eastAsia="Times New Roman" w:cs="Arial"/>
          <w:i/>
          <w:iCs/>
          <w:color w:val="000000"/>
          <w:szCs w:val="20"/>
          <w:lang w:val="en-US"/>
        </w:rPr>
        <w:t>calcium</w:t>
      </w:r>
      <w:r w:rsidRPr="00F703B9">
        <w:rPr>
          <w:rFonts w:eastAsia="Times New Roman" w:cs="Arial"/>
          <w:i/>
          <w:iCs/>
          <w:color w:val="000000"/>
          <w:szCs w:val="20"/>
        </w:rPr>
        <w:t>).</w:t>
      </w:r>
    </w:p>
    <w:p w14:paraId="294EF13C"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Помощни вещества с известно действие: Всяка филмирана таблетка съдържа 92,17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лактоза монохидрат.</w:t>
      </w:r>
    </w:p>
    <w:p w14:paraId="5293044D" w14:textId="77777777" w:rsidR="00F703B9" w:rsidRPr="00F703B9" w:rsidRDefault="00F703B9" w:rsidP="00F703B9">
      <w:pPr>
        <w:spacing w:line="240" w:lineRule="auto"/>
        <w:rPr>
          <w:rFonts w:eastAsia="Times New Roman" w:cs="Arial"/>
          <w:color w:val="000000"/>
          <w:szCs w:val="20"/>
          <w:lang w:eastAsia="bg-BG"/>
        </w:rPr>
      </w:pPr>
    </w:p>
    <w:p w14:paraId="54895E0B" w14:textId="4798F8F1"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Арагил 20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филмирани таблетки:</w:t>
      </w:r>
    </w:p>
    <w:p w14:paraId="34E99E4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Всяка филмирана таблетка съдържа: 20 </w:t>
      </w:r>
      <w:r w:rsidRPr="00F703B9">
        <w:rPr>
          <w:rFonts w:eastAsia="Times New Roman" w:cs="Arial"/>
          <w:color w:val="000000"/>
          <w:szCs w:val="20"/>
          <w:lang w:val="en-US"/>
        </w:rPr>
        <w:t>mg</w:t>
      </w:r>
      <w:r w:rsidRPr="00F703B9">
        <w:rPr>
          <w:rFonts w:eastAsia="Times New Roman" w:cs="Arial"/>
          <w:color w:val="000000"/>
          <w:szCs w:val="20"/>
        </w:rPr>
        <w:t xml:space="preserve"> </w:t>
      </w:r>
      <w:r w:rsidRPr="00F703B9">
        <w:rPr>
          <w:rFonts w:eastAsia="Times New Roman" w:cs="Arial"/>
          <w:color w:val="000000"/>
          <w:szCs w:val="20"/>
          <w:lang w:eastAsia="bg-BG"/>
        </w:rPr>
        <w:t xml:space="preserve">аторвастатин </w:t>
      </w:r>
      <w:r w:rsidRPr="00F703B9">
        <w:rPr>
          <w:rFonts w:eastAsia="Times New Roman" w:cs="Arial"/>
          <w:i/>
          <w:iCs/>
          <w:color w:val="000000"/>
          <w:szCs w:val="20"/>
        </w:rPr>
        <w:t>(</w:t>
      </w:r>
      <w:r w:rsidRPr="00F703B9">
        <w:rPr>
          <w:rFonts w:eastAsia="Times New Roman" w:cs="Arial"/>
          <w:i/>
          <w:iCs/>
          <w:color w:val="000000"/>
          <w:szCs w:val="20"/>
          <w:lang w:val="en-US"/>
        </w:rPr>
        <w:t>atorvastatin</w:t>
      </w:r>
      <w:r w:rsidRPr="00F703B9">
        <w:rPr>
          <w:rFonts w:eastAsia="Times New Roman" w:cs="Arial"/>
          <w:i/>
          <w:iCs/>
          <w:color w:val="000000"/>
          <w:szCs w:val="20"/>
        </w:rPr>
        <w:t>),</w:t>
      </w:r>
      <w:r w:rsidRPr="00F703B9">
        <w:rPr>
          <w:rFonts w:eastAsia="Times New Roman" w:cs="Arial"/>
          <w:color w:val="000000"/>
          <w:szCs w:val="20"/>
        </w:rPr>
        <w:t xml:space="preserve"> </w:t>
      </w:r>
      <w:r w:rsidRPr="00F703B9">
        <w:rPr>
          <w:rFonts w:eastAsia="Times New Roman" w:cs="Arial"/>
          <w:color w:val="000000"/>
          <w:szCs w:val="20"/>
          <w:lang w:eastAsia="bg-BG"/>
        </w:rPr>
        <w:t xml:space="preserve">като аторвастатин калций </w:t>
      </w:r>
      <w:r w:rsidRPr="00F703B9">
        <w:rPr>
          <w:rFonts w:eastAsia="Times New Roman" w:cs="Arial"/>
          <w:i/>
          <w:iCs/>
          <w:color w:val="000000"/>
          <w:szCs w:val="20"/>
        </w:rPr>
        <w:t>(</w:t>
      </w:r>
      <w:r w:rsidRPr="00F703B9">
        <w:rPr>
          <w:rFonts w:eastAsia="Times New Roman" w:cs="Arial"/>
          <w:i/>
          <w:iCs/>
          <w:color w:val="000000"/>
          <w:szCs w:val="20"/>
          <w:lang w:val="en-US"/>
        </w:rPr>
        <w:t>as</w:t>
      </w:r>
      <w:r w:rsidRPr="00F703B9">
        <w:rPr>
          <w:rFonts w:eastAsia="Times New Roman" w:cs="Arial"/>
          <w:i/>
          <w:iCs/>
          <w:color w:val="000000"/>
          <w:szCs w:val="20"/>
        </w:rPr>
        <w:t xml:space="preserve"> </w:t>
      </w:r>
      <w:r w:rsidRPr="00F703B9">
        <w:rPr>
          <w:rFonts w:eastAsia="Times New Roman" w:cs="Arial"/>
          <w:i/>
          <w:iCs/>
          <w:color w:val="000000"/>
          <w:szCs w:val="20"/>
          <w:lang w:val="en-US"/>
        </w:rPr>
        <w:t>atorvastatin</w:t>
      </w:r>
      <w:r w:rsidRPr="00F703B9">
        <w:rPr>
          <w:rFonts w:eastAsia="Times New Roman" w:cs="Arial"/>
          <w:i/>
          <w:iCs/>
          <w:color w:val="000000"/>
          <w:szCs w:val="20"/>
        </w:rPr>
        <w:t xml:space="preserve"> </w:t>
      </w:r>
      <w:r w:rsidRPr="00F703B9">
        <w:rPr>
          <w:rFonts w:eastAsia="Times New Roman" w:cs="Arial"/>
          <w:i/>
          <w:iCs/>
          <w:color w:val="000000"/>
          <w:szCs w:val="20"/>
          <w:lang w:val="en-US"/>
        </w:rPr>
        <w:t>calcium</w:t>
      </w:r>
      <w:r w:rsidRPr="00F703B9">
        <w:rPr>
          <w:rFonts w:eastAsia="Times New Roman" w:cs="Arial"/>
          <w:i/>
          <w:iCs/>
          <w:color w:val="000000"/>
          <w:szCs w:val="20"/>
        </w:rPr>
        <w:t>).</w:t>
      </w:r>
    </w:p>
    <w:p w14:paraId="0169817B"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Помощни вещества с известно действие: Всяка филмирана таблетка съдържа 184,34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лактоза монохидрат.</w:t>
      </w:r>
    </w:p>
    <w:p w14:paraId="74928C99" w14:textId="77777777" w:rsidR="00F703B9" w:rsidRPr="00F703B9" w:rsidRDefault="00F703B9" w:rsidP="00F703B9"/>
    <w:p w14:paraId="614984C4" w14:textId="367593F7" w:rsidR="008A6AF2" w:rsidRDefault="00DD466D" w:rsidP="002C50EE">
      <w:pPr>
        <w:pStyle w:val="Heading1"/>
      </w:pPr>
      <w:r>
        <w:t>3. ЛЕКАРСТВЕНА ФОРМА</w:t>
      </w:r>
    </w:p>
    <w:p w14:paraId="57BA4791" w14:textId="2058618A" w:rsidR="00F703B9" w:rsidRDefault="00F703B9" w:rsidP="00F703B9"/>
    <w:p w14:paraId="7B90815E"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Филмирана таблетка.</w:t>
      </w:r>
    </w:p>
    <w:p w14:paraId="7E95CFCF" w14:textId="77777777" w:rsidR="00F703B9" w:rsidRPr="00F703B9" w:rsidRDefault="00F703B9" w:rsidP="00F703B9">
      <w:pPr>
        <w:spacing w:line="240" w:lineRule="auto"/>
        <w:rPr>
          <w:rFonts w:eastAsia="Times New Roman" w:cs="Arial"/>
          <w:b/>
          <w:bCs/>
          <w:color w:val="000000"/>
          <w:szCs w:val="20"/>
          <w:lang w:eastAsia="bg-BG"/>
        </w:rPr>
      </w:pPr>
      <w:bookmarkStart w:id="1" w:name="bookmark0"/>
    </w:p>
    <w:p w14:paraId="71BFDB12" w14:textId="4EB13046" w:rsidR="00F703B9" w:rsidRPr="00F703B9" w:rsidRDefault="00F703B9" w:rsidP="00F703B9">
      <w:pPr>
        <w:spacing w:line="240" w:lineRule="auto"/>
        <w:rPr>
          <w:rFonts w:eastAsia="Times New Roman" w:cs="Arial"/>
          <w:sz w:val="28"/>
          <w:szCs w:val="24"/>
        </w:rPr>
      </w:pPr>
      <w:r w:rsidRPr="00F703B9">
        <w:rPr>
          <w:rFonts w:eastAsia="Times New Roman" w:cs="Arial"/>
          <w:b/>
          <w:bCs/>
          <w:color w:val="000000"/>
          <w:szCs w:val="20"/>
          <w:lang w:eastAsia="bg-BG"/>
        </w:rPr>
        <w:t xml:space="preserve">Арагил 10 </w:t>
      </w:r>
      <w:r w:rsidRPr="00F703B9">
        <w:rPr>
          <w:rFonts w:eastAsia="Times New Roman" w:cs="Arial"/>
          <w:b/>
          <w:bCs/>
          <w:color w:val="000000"/>
          <w:szCs w:val="20"/>
          <w:lang w:val="en-US"/>
        </w:rPr>
        <w:t>mg</w:t>
      </w:r>
      <w:r w:rsidRPr="00F703B9">
        <w:rPr>
          <w:rFonts w:eastAsia="Times New Roman" w:cs="Arial"/>
          <w:b/>
          <w:bCs/>
          <w:color w:val="000000"/>
          <w:szCs w:val="20"/>
          <w:lang w:val="ru-RU"/>
        </w:rPr>
        <w:t xml:space="preserve"> </w:t>
      </w:r>
      <w:r w:rsidRPr="00F703B9">
        <w:rPr>
          <w:rFonts w:eastAsia="Times New Roman" w:cs="Arial"/>
          <w:b/>
          <w:bCs/>
          <w:color w:val="000000"/>
          <w:szCs w:val="20"/>
          <w:lang w:eastAsia="bg-BG"/>
        </w:rPr>
        <w:t>филмирани таблетки:</w:t>
      </w:r>
      <w:bookmarkEnd w:id="1"/>
    </w:p>
    <w:p w14:paraId="68443F57"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Бели до почти бели, кръгли, двойноизпъкнали филмирани таблетки с делителна черга от едната страна, с диаметър около 7,6 </w:t>
      </w:r>
      <w:r w:rsidRPr="00F703B9">
        <w:rPr>
          <w:rFonts w:eastAsia="Times New Roman" w:cs="Arial"/>
          <w:color w:val="000000"/>
          <w:szCs w:val="20"/>
          <w:lang w:val="en-US"/>
        </w:rPr>
        <w:t>mm</w:t>
      </w:r>
      <w:r w:rsidRPr="00F703B9">
        <w:rPr>
          <w:rFonts w:eastAsia="Times New Roman" w:cs="Arial"/>
          <w:color w:val="000000"/>
          <w:szCs w:val="20"/>
          <w:lang w:val="ru-RU"/>
        </w:rPr>
        <w:t xml:space="preserve">. </w:t>
      </w:r>
      <w:r w:rsidRPr="00F703B9">
        <w:rPr>
          <w:rFonts w:eastAsia="Times New Roman" w:cs="Arial"/>
          <w:color w:val="000000"/>
          <w:szCs w:val="20"/>
          <w:lang w:eastAsia="bg-BG"/>
        </w:rPr>
        <w:t>Делителната черта е само за улесняване на счупването с цел по-лесно поглъщане, а не за разделяне на равни дози.</w:t>
      </w:r>
    </w:p>
    <w:p w14:paraId="6E621A95" w14:textId="77777777" w:rsidR="00F703B9" w:rsidRPr="00F703B9" w:rsidRDefault="00F703B9" w:rsidP="00F703B9">
      <w:pPr>
        <w:spacing w:line="240" w:lineRule="auto"/>
        <w:rPr>
          <w:rFonts w:eastAsia="Times New Roman" w:cs="Arial"/>
          <w:b/>
          <w:bCs/>
          <w:color w:val="000000"/>
          <w:szCs w:val="20"/>
          <w:lang w:eastAsia="bg-BG"/>
        </w:rPr>
      </w:pPr>
      <w:bookmarkStart w:id="2" w:name="bookmark2"/>
    </w:p>
    <w:p w14:paraId="1D3EEBE9" w14:textId="545224FF" w:rsidR="00F703B9" w:rsidRPr="00F703B9" w:rsidRDefault="00F703B9" w:rsidP="00F703B9">
      <w:pPr>
        <w:spacing w:line="240" w:lineRule="auto"/>
        <w:rPr>
          <w:rFonts w:eastAsia="Times New Roman" w:cs="Arial"/>
          <w:sz w:val="28"/>
          <w:szCs w:val="24"/>
        </w:rPr>
      </w:pPr>
      <w:r w:rsidRPr="00F703B9">
        <w:rPr>
          <w:rFonts w:eastAsia="Times New Roman" w:cs="Arial"/>
          <w:b/>
          <w:bCs/>
          <w:color w:val="000000"/>
          <w:szCs w:val="20"/>
          <w:lang w:eastAsia="bg-BG"/>
        </w:rPr>
        <w:t xml:space="preserve">Арагил 20 </w:t>
      </w:r>
      <w:r w:rsidRPr="00F703B9">
        <w:rPr>
          <w:rFonts w:eastAsia="Times New Roman" w:cs="Arial"/>
          <w:b/>
          <w:bCs/>
          <w:color w:val="000000"/>
          <w:szCs w:val="20"/>
          <w:lang w:val="en-US"/>
        </w:rPr>
        <w:t>mg</w:t>
      </w:r>
      <w:r w:rsidRPr="00F703B9">
        <w:rPr>
          <w:rFonts w:eastAsia="Times New Roman" w:cs="Arial"/>
          <w:b/>
          <w:bCs/>
          <w:color w:val="000000"/>
          <w:szCs w:val="20"/>
          <w:lang w:val="ru-RU"/>
        </w:rPr>
        <w:t xml:space="preserve"> </w:t>
      </w:r>
      <w:r w:rsidRPr="00F703B9">
        <w:rPr>
          <w:rFonts w:eastAsia="Times New Roman" w:cs="Arial"/>
          <w:b/>
          <w:bCs/>
          <w:color w:val="000000"/>
          <w:szCs w:val="20"/>
          <w:lang w:eastAsia="bg-BG"/>
        </w:rPr>
        <w:t>филмирани таблетки:</w:t>
      </w:r>
      <w:bookmarkEnd w:id="2"/>
    </w:p>
    <w:p w14:paraId="11ED146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Бели до почти бели, елипсовидни, двойноизпъкнали филмирани таблетки с делителна черта от едната страна с дължина около 12,7 </w:t>
      </w:r>
      <w:r w:rsidRPr="00F703B9">
        <w:rPr>
          <w:rFonts w:eastAsia="Times New Roman" w:cs="Arial"/>
          <w:color w:val="000000"/>
          <w:szCs w:val="20"/>
          <w:lang w:val="en-US"/>
        </w:rPr>
        <w:t>mm</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и ширина около 6 </w:t>
      </w:r>
      <w:r w:rsidRPr="00F703B9">
        <w:rPr>
          <w:rFonts w:eastAsia="Times New Roman" w:cs="Arial"/>
          <w:color w:val="000000"/>
          <w:szCs w:val="20"/>
          <w:lang w:val="en-US"/>
        </w:rPr>
        <w:t>mm</w:t>
      </w:r>
      <w:r w:rsidRPr="00F703B9">
        <w:rPr>
          <w:rFonts w:eastAsia="Times New Roman" w:cs="Arial"/>
          <w:color w:val="000000"/>
          <w:szCs w:val="20"/>
          <w:lang w:val="ru-RU"/>
        </w:rPr>
        <w:t>.</w:t>
      </w:r>
    </w:p>
    <w:p w14:paraId="3288A93F" w14:textId="77777777" w:rsidR="00F703B9" w:rsidRPr="00F703B9" w:rsidRDefault="00F703B9" w:rsidP="00F703B9">
      <w:pPr>
        <w:spacing w:line="240" w:lineRule="auto"/>
        <w:rPr>
          <w:rFonts w:eastAsia="Times New Roman" w:cs="Arial"/>
          <w:color w:val="000000"/>
          <w:szCs w:val="20"/>
          <w:lang w:eastAsia="bg-BG"/>
        </w:rPr>
      </w:pPr>
    </w:p>
    <w:p w14:paraId="4F3557B6" w14:textId="44A2BF10"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Делителната черта е само за улесняване на счупването с цел по-лесно поглъщане, а не за разделяне на равни дози.</w:t>
      </w:r>
    </w:p>
    <w:p w14:paraId="79A2B921" w14:textId="77777777" w:rsidR="00F703B9" w:rsidRPr="00F703B9" w:rsidRDefault="00F703B9" w:rsidP="00F703B9"/>
    <w:p w14:paraId="490FC2C4" w14:textId="0F4A4A75" w:rsidR="002C50EE" w:rsidRDefault="002C50EE" w:rsidP="002C50EE">
      <w:pPr>
        <w:pStyle w:val="Heading1"/>
      </w:pPr>
      <w:r>
        <w:t>4. КЛИНИЧНИ ДАННИ</w:t>
      </w:r>
    </w:p>
    <w:p w14:paraId="74330405" w14:textId="36DEFF0B" w:rsidR="007122AD" w:rsidRDefault="002C50EE" w:rsidP="00936AD0">
      <w:pPr>
        <w:pStyle w:val="Heading2"/>
      </w:pPr>
      <w:r>
        <w:t>4.1. Терапевтични показания</w:t>
      </w:r>
    </w:p>
    <w:p w14:paraId="23EB0996" w14:textId="0ADB8900" w:rsidR="00F703B9" w:rsidRDefault="00F703B9" w:rsidP="00F703B9"/>
    <w:p w14:paraId="671D1C50"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Хиперхолестеролемия</w:t>
      </w:r>
    </w:p>
    <w:p w14:paraId="62D42897"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lastRenderedPageBreak/>
        <w:t xml:space="preserve">Арагилсе използва като добавка към промяна в хранителния режим за намаляване на повишените нива на общия холестерол, </w:t>
      </w:r>
      <w:r w:rsidRPr="00F703B9">
        <w:rPr>
          <w:rFonts w:eastAsia="Times New Roman" w:cs="Arial"/>
          <w:color w:val="000000"/>
          <w:lang w:val="en-US"/>
        </w:rPr>
        <w:t>LDL</w:t>
      </w:r>
      <w:r w:rsidRPr="00F703B9">
        <w:rPr>
          <w:rFonts w:eastAsia="Times New Roman" w:cs="Arial"/>
          <w:color w:val="000000"/>
          <w:lang w:eastAsia="bg-BG"/>
        </w:rPr>
        <w:t>-холестерола, аполипопротеин В или триглицериди при възрастни, юноши и деца над 10 години, с първична хиперхолестеролемия, включително фамилна хиперхолестеролемия (хетерозиготна) или комбинирана (смесена) хиперлипидемия (като тип Фредериксон Па и Пб), когато отговорът към специална диета и нефармакологични средства е недостатъчен.</w:t>
      </w:r>
    </w:p>
    <w:p w14:paraId="1AFCD748" w14:textId="77777777" w:rsidR="00F703B9" w:rsidRPr="00F703B9" w:rsidRDefault="00F703B9" w:rsidP="00F703B9">
      <w:pPr>
        <w:spacing w:line="240" w:lineRule="auto"/>
        <w:rPr>
          <w:rFonts w:eastAsia="Times New Roman" w:cs="Arial"/>
          <w:color w:val="000000"/>
          <w:lang w:eastAsia="bg-BG"/>
        </w:rPr>
      </w:pPr>
    </w:p>
    <w:p w14:paraId="0026088B" w14:textId="19EC581C"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Арагиле показан за понижававане на общия холестерол и </w:t>
      </w:r>
      <w:r w:rsidRPr="00F703B9">
        <w:rPr>
          <w:rFonts w:eastAsia="Times New Roman" w:cs="Arial"/>
          <w:color w:val="000000"/>
          <w:lang w:val="en-US"/>
        </w:rPr>
        <w:t>LDL</w:t>
      </w:r>
      <w:r w:rsidRPr="00F703B9">
        <w:rPr>
          <w:rFonts w:eastAsia="Times New Roman" w:cs="Arial"/>
          <w:color w:val="000000"/>
          <w:lang w:eastAsia="bg-BG"/>
        </w:rPr>
        <w:t>-холестерола при възрастни пациенти с хомозиготна фамилна хиперхолестеролемия като допълнителна терапия към друго</w:t>
      </w:r>
    </w:p>
    <w:p w14:paraId="23237FBF" w14:textId="70DBA5F7" w:rsidR="00F703B9" w:rsidRPr="00F703B9" w:rsidRDefault="00F703B9" w:rsidP="00F703B9">
      <w:pPr>
        <w:rPr>
          <w:rFonts w:eastAsia="Times New Roman" w:cs="Arial"/>
          <w:color w:val="000000"/>
          <w:lang w:eastAsia="bg-BG"/>
        </w:rPr>
      </w:pPr>
      <w:r w:rsidRPr="00F703B9">
        <w:rPr>
          <w:rFonts w:eastAsia="Times New Roman" w:cs="Arial"/>
          <w:color w:val="000000"/>
          <w:lang w:eastAsia="bg-BG"/>
        </w:rPr>
        <w:t xml:space="preserve">липидопонижаващо лечение (например </w:t>
      </w:r>
      <w:r w:rsidRPr="00F703B9">
        <w:rPr>
          <w:rFonts w:eastAsia="Times New Roman" w:cs="Arial"/>
          <w:color w:val="000000"/>
          <w:lang w:val="en-US"/>
        </w:rPr>
        <w:t>LDL</w:t>
      </w:r>
      <w:r w:rsidRPr="00F703B9">
        <w:rPr>
          <w:rFonts w:eastAsia="Times New Roman" w:cs="Arial"/>
          <w:color w:val="000000"/>
          <w:lang w:val="ru-RU"/>
        </w:rPr>
        <w:t xml:space="preserve"> </w:t>
      </w:r>
      <w:r w:rsidRPr="00F703B9">
        <w:rPr>
          <w:rFonts w:eastAsia="Times New Roman" w:cs="Arial"/>
          <w:color w:val="000000"/>
          <w:lang w:eastAsia="bg-BG"/>
        </w:rPr>
        <w:t>афереза) или при липса на подобно лечение</w:t>
      </w:r>
    </w:p>
    <w:p w14:paraId="357AF981" w14:textId="49C29E9B" w:rsidR="00F703B9" w:rsidRPr="00F703B9" w:rsidRDefault="00F703B9" w:rsidP="00F703B9">
      <w:pPr>
        <w:rPr>
          <w:rFonts w:eastAsia="Times New Roman" w:cs="Arial"/>
          <w:color w:val="000000"/>
          <w:lang w:eastAsia="bg-BG"/>
        </w:rPr>
      </w:pPr>
    </w:p>
    <w:p w14:paraId="6C6EF1C2"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Профилактика на сърдечно-съдово заболяване</w:t>
      </w:r>
    </w:p>
    <w:p w14:paraId="773D99D5"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Профилактика на сърдечно-съдови събития при възрастни пациенти, при които има риск за поява на сърдечно съдово събитие (вижте раздел 5.1) като допълнително лечение за предпазване от други рискови фактори.</w:t>
      </w:r>
    </w:p>
    <w:p w14:paraId="4A4B8ADB" w14:textId="77777777" w:rsidR="00F703B9" w:rsidRPr="00F703B9" w:rsidRDefault="00F703B9" w:rsidP="00F703B9"/>
    <w:p w14:paraId="53F5B866" w14:textId="33B555F6" w:rsidR="007122AD" w:rsidRDefault="002C50EE" w:rsidP="00936AD0">
      <w:pPr>
        <w:pStyle w:val="Heading2"/>
      </w:pPr>
      <w:r>
        <w:t>4.2. Дозировка и начин на приложение</w:t>
      </w:r>
    </w:p>
    <w:p w14:paraId="4EAF99EE" w14:textId="41B117F4" w:rsidR="00F703B9" w:rsidRDefault="00F703B9" w:rsidP="00F703B9"/>
    <w:p w14:paraId="4491CD18" w14:textId="77777777" w:rsidR="00F703B9" w:rsidRPr="00F703B9" w:rsidRDefault="00F703B9" w:rsidP="00F703B9">
      <w:pPr>
        <w:pStyle w:val="Heading3"/>
        <w:rPr>
          <w:rFonts w:eastAsia="Times New Roman"/>
          <w:b/>
          <w:sz w:val="28"/>
        </w:rPr>
      </w:pPr>
      <w:r w:rsidRPr="00F703B9">
        <w:rPr>
          <w:rFonts w:eastAsia="Times New Roman"/>
          <w:b/>
          <w:lang w:eastAsia="bg-BG"/>
        </w:rPr>
        <w:t>Дозировка:</w:t>
      </w:r>
    </w:p>
    <w:p w14:paraId="2206C33D" w14:textId="77777777" w:rsidR="00F703B9" w:rsidRPr="00F703B9" w:rsidRDefault="00F703B9" w:rsidP="00F703B9">
      <w:pPr>
        <w:spacing w:line="240" w:lineRule="auto"/>
        <w:rPr>
          <w:rFonts w:eastAsia="Times New Roman" w:cs="Arial"/>
          <w:color w:val="000000"/>
          <w:szCs w:val="20"/>
          <w:lang w:eastAsia="bg-BG"/>
        </w:rPr>
      </w:pPr>
    </w:p>
    <w:p w14:paraId="2875FE24" w14:textId="1AB4B815"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Пациентът трябва да се постави на стандартна диета за понижаване на холестерола преди да започне лечението с Арагили тази диета трябва да продължи и по време на лечението.</w:t>
      </w:r>
    </w:p>
    <w:p w14:paraId="668BA39D" w14:textId="77777777" w:rsidR="00F703B9" w:rsidRPr="00F703B9" w:rsidRDefault="00F703B9" w:rsidP="00F703B9">
      <w:pPr>
        <w:spacing w:line="240" w:lineRule="auto"/>
        <w:rPr>
          <w:rFonts w:eastAsia="Times New Roman" w:cs="Arial"/>
          <w:color w:val="000000"/>
          <w:szCs w:val="20"/>
          <w:lang w:eastAsia="bg-BG"/>
        </w:rPr>
      </w:pPr>
    </w:p>
    <w:p w14:paraId="51A37E8C" w14:textId="787CCB2E"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Дозите трябва да се определят индивидуално в съответствие с изходните стойности на </w:t>
      </w:r>
      <w:r w:rsidRPr="00F703B9">
        <w:rPr>
          <w:rFonts w:eastAsia="Times New Roman" w:cs="Arial"/>
          <w:color w:val="000000"/>
          <w:szCs w:val="20"/>
          <w:lang w:val="en-US"/>
        </w:rPr>
        <w:t>LDL</w:t>
      </w:r>
      <w:r w:rsidRPr="00F703B9">
        <w:rPr>
          <w:rFonts w:eastAsia="Times New Roman" w:cs="Arial"/>
          <w:color w:val="000000"/>
          <w:szCs w:val="20"/>
          <w:lang w:eastAsia="bg-BG"/>
        </w:rPr>
        <w:t>- холестерола, целта на лечението и терапевтичния отговор на пациента.</w:t>
      </w:r>
    </w:p>
    <w:p w14:paraId="15FB39E9" w14:textId="77777777" w:rsidR="00F703B9" w:rsidRPr="00F703B9" w:rsidRDefault="00F703B9" w:rsidP="00F703B9">
      <w:pPr>
        <w:spacing w:line="240" w:lineRule="auto"/>
        <w:rPr>
          <w:rFonts w:eastAsia="Times New Roman" w:cs="Arial"/>
          <w:color w:val="000000"/>
          <w:szCs w:val="20"/>
          <w:lang w:eastAsia="bg-BG"/>
        </w:rPr>
      </w:pPr>
    </w:p>
    <w:p w14:paraId="083AA80A" w14:textId="16109A46"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Обичайната начална доза е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веднъж дневно. Дозата може да се коригира през интервали от 4 седмици или повече. Максималната доза е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веднъж дневно.</w:t>
      </w:r>
    </w:p>
    <w:p w14:paraId="52513976" w14:textId="77777777" w:rsidR="00F703B9" w:rsidRPr="00F703B9" w:rsidRDefault="00F703B9" w:rsidP="00F703B9">
      <w:pPr>
        <w:spacing w:line="240" w:lineRule="auto"/>
        <w:rPr>
          <w:rFonts w:eastAsia="Times New Roman" w:cs="Arial"/>
          <w:i/>
          <w:iCs/>
          <w:color w:val="000000"/>
          <w:szCs w:val="20"/>
          <w:lang w:eastAsia="bg-BG"/>
        </w:rPr>
      </w:pPr>
    </w:p>
    <w:p w14:paraId="4D4D3FAE" w14:textId="61E96840"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Първична хиперхолестеролемия и комбинирана (смесена) хиперлипидемия</w:t>
      </w:r>
    </w:p>
    <w:p w14:paraId="2790CAF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Подходящата доза за повечето пациенти е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Аторвастатин АЛ на ден. Ефект от лечението настъпва след 2 седмици , а максимален ефект се постига след 4 седмици. Ефектът се запазва по време на продължителното лечение.</w:t>
      </w:r>
    </w:p>
    <w:p w14:paraId="21496C63" w14:textId="77777777" w:rsidR="00F703B9" w:rsidRPr="00F703B9" w:rsidRDefault="00F703B9" w:rsidP="00F703B9">
      <w:pPr>
        <w:spacing w:line="240" w:lineRule="auto"/>
        <w:rPr>
          <w:rFonts w:eastAsia="Times New Roman" w:cs="Arial"/>
          <w:i/>
          <w:iCs/>
          <w:color w:val="000000"/>
          <w:szCs w:val="20"/>
          <w:lang w:eastAsia="bg-BG"/>
        </w:rPr>
      </w:pPr>
    </w:p>
    <w:p w14:paraId="78C6DD2F" w14:textId="11165862"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Хетерозиготна фамилна хиперхолестеролемия</w:t>
      </w:r>
    </w:p>
    <w:p w14:paraId="00205F8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Пациентите трябва да се подложат на първоначалната дневна доза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Аторвастатин АЛ. Дозите се определят индивидуално за всеки пациент и се коригират на 4-седмичен интервал до 40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на ден. След това дозата може да се увеличава до максимална доза от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на ден или да се прилага 40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аторвастатин веднъж дневно в комбинация със секвестрант на жлъчните киселини.</w:t>
      </w:r>
    </w:p>
    <w:p w14:paraId="7A206051" w14:textId="77777777" w:rsidR="00F703B9" w:rsidRPr="00F703B9" w:rsidRDefault="00F703B9" w:rsidP="00F703B9">
      <w:pPr>
        <w:spacing w:line="240" w:lineRule="auto"/>
        <w:rPr>
          <w:rFonts w:eastAsia="Times New Roman" w:cs="Arial"/>
          <w:i/>
          <w:iCs/>
          <w:color w:val="000000"/>
          <w:szCs w:val="20"/>
          <w:lang w:eastAsia="bg-BG"/>
        </w:rPr>
      </w:pPr>
    </w:p>
    <w:p w14:paraId="74FD2623" w14:textId="18CFE211"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Хомозиготна фамилна хиперхолестеролемия</w:t>
      </w:r>
    </w:p>
    <w:p w14:paraId="2EAD0F18"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Няма достатъчно данни затова показание (вижте раздел 5.1).</w:t>
      </w:r>
    </w:p>
    <w:p w14:paraId="187F0C57" w14:textId="77777777" w:rsidR="00F703B9" w:rsidRPr="00F703B9" w:rsidRDefault="00F703B9" w:rsidP="00F703B9">
      <w:pPr>
        <w:spacing w:line="240" w:lineRule="auto"/>
        <w:rPr>
          <w:rFonts w:eastAsia="Times New Roman" w:cs="Arial"/>
          <w:color w:val="000000"/>
          <w:szCs w:val="20"/>
          <w:lang w:eastAsia="bg-BG"/>
        </w:rPr>
      </w:pPr>
    </w:p>
    <w:p w14:paraId="4028CFAE" w14:textId="471C01D4"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Дозата на аторвастатин при пациенти с хомозиготна фамилна хиперхолестеролемия е от 10 до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дневно (вижте раздел 5.1). Аторвастатин трябва да се използва като допълнение към лечение с други липидопонижаващи средства (</w:t>
      </w:r>
      <w:r w:rsidRPr="00F703B9">
        <w:rPr>
          <w:rFonts w:eastAsia="Times New Roman" w:cs="Arial"/>
          <w:color w:val="000000"/>
          <w:szCs w:val="20"/>
          <w:lang w:val="en-US"/>
        </w:rPr>
        <w:t>LDL</w:t>
      </w:r>
      <w:r w:rsidRPr="00F703B9">
        <w:rPr>
          <w:rFonts w:eastAsia="Times New Roman" w:cs="Arial"/>
          <w:color w:val="000000"/>
          <w:szCs w:val="20"/>
          <w:lang w:eastAsia="bg-BG"/>
        </w:rPr>
        <w:t>-афереза), при пациенти, при които не са постигнати адекватни резултати с другото лечение.</w:t>
      </w:r>
    </w:p>
    <w:p w14:paraId="4560FAC5" w14:textId="77777777" w:rsidR="00F703B9" w:rsidRPr="00F703B9" w:rsidRDefault="00F703B9" w:rsidP="00F703B9">
      <w:pPr>
        <w:spacing w:line="240" w:lineRule="auto"/>
        <w:rPr>
          <w:rFonts w:eastAsia="Times New Roman" w:cs="Arial"/>
          <w:i/>
          <w:iCs/>
          <w:color w:val="000000"/>
          <w:szCs w:val="20"/>
          <w:lang w:eastAsia="bg-BG"/>
        </w:rPr>
      </w:pPr>
    </w:p>
    <w:p w14:paraId="78B41662" w14:textId="5D0935C7"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Профилактика на сърдечно-съдово заболяване</w:t>
      </w:r>
    </w:p>
    <w:p w14:paraId="2FCB9514"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При проучвания за първична профилактика, дозата е 10 </w:t>
      </w:r>
      <w:r w:rsidRPr="00F703B9">
        <w:rPr>
          <w:rFonts w:eastAsia="Times New Roman" w:cs="Arial"/>
          <w:color w:val="000000"/>
          <w:szCs w:val="20"/>
          <w:lang w:val="en-US"/>
        </w:rPr>
        <w:t>mg</w:t>
      </w:r>
      <w:r w:rsidRPr="00F703B9">
        <w:rPr>
          <w:rFonts w:eastAsia="Times New Roman" w:cs="Arial"/>
          <w:color w:val="000000"/>
          <w:szCs w:val="20"/>
          <w:lang w:eastAsia="bg-BG"/>
        </w:rPr>
        <w:t xml:space="preserve">/дневно. По-високи дози са необходими да се поддържат нивата на </w:t>
      </w:r>
      <w:r w:rsidRPr="00F703B9">
        <w:rPr>
          <w:rFonts w:eastAsia="Times New Roman" w:cs="Arial"/>
          <w:color w:val="000000"/>
          <w:szCs w:val="20"/>
          <w:lang w:val="en-US"/>
        </w:rPr>
        <w:t>LDL</w:t>
      </w:r>
      <w:r w:rsidRPr="00F703B9">
        <w:rPr>
          <w:rFonts w:eastAsia="Times New Roman" w:cs="Arial"/>
          <w:color w:val="000000"/>
          <w:szCs w:val="20"/>
          <w:lang w:eastAsia="bg-BG"/>
        </w:rPr>
        <w:t>-холестерол според актуалните указания.</w:t>
      </w:r>
    </w:p>
    <w:p w14:paraId="5A6E1EAB" w14:textId="77777777" w:rsidR="00F703B9" w:rsidRPr="00F703B9" w:rsidRDefault="00F703B9" w:rsidP="00F703B9">
      <w:pPr>
        <w:spacing w:line="240" w:lineRule="auto"/>
        <w:rPr>
          <w:rFonts w:eastAsia="Times New Roman" w:cs="Arial"/>
          <w:i/>
          <w:iCs/>
          <w:color w:val="000000"/>
          <w:szCs w:val="20"/>
          <w:lang w:eastAsia="bg-BG"/>
        </w:rPr>
      </w:pPr>
    </w:p>
    <w:p w14:paraId="3022F443" w14:textId="34812B7D"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Едновременно приложение с други лекарствени продукти</w:t>
      </w:r>
    </w:p>
    <w:p w14:paraId="5F77B29C" w14:textId="77777777" w:rsidR="00F703B9" w:rsidRPr="00F703B9" w:rsidRDefault="00F703B9" w:rsidP="00F703B9">
      <w:pPr>
        <w:spacing w:line="240" w:lineRule="auto"/>
        <w:rPr>
          <w:rFonts w:eastAsia="Times New Roman" w:cs="Arial"/>
          <w:color w:val="000000"/>
          <w:szCs w:val="20"/>
          <w:lang w:eastAsia="bg-BG"/>
        </w:rPr>
      </w:pPr>
    </w:p>
    <w:p w14:paraId="48017991" w14:textId="4D9B722B"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При пациенти, приемащи антивирусни средства за лечение на хепатит С като елбасвир/гразопревир съпътстващо с аторвастатин, дозата на аторвастатин не трябва да превишава 20 </w:t>
      </w:r>
      <w:r w:rsidRPr="00F703B9">
        <w:rPr>
          <w:rFonts w:eastAsia="Times New Roman" w:cs="Arial"/>
          <w:color w:val="000000"/>
          <w:szCs w:val="20"/>
          <w:lang w:val="en-US"/>
        </w:rPr>
        <w:t>mg</w:t>
      </w:r>
      <w:r w:rsidRPr="00F703B9">
        <w:rPr>
          <w:rFonts w:eastAsia="Times New Roman" w:cs="Arial"/>
          <w:color w:val="000000"/>
          <w:szCs w:val="20"/>
          <w:lang w:eastAsia="bg-BG"/>
        </w:rPr>
        <w:t>/ден (вж. точки 4.4 и 4.5).</w:t>
      </w:r>
    </w:p>
    <w:p w14:paraId="7E606CAC" w14:textId="77777777" w:rsidR="00F703B9" w:rsidRPr="00F703B9" w:rsidRDefault="00F703B9" w:rsidP="00F703B9">
      <w:pPr>
        <w:spacing w:line="240" w:lineRule="auto"/>
        <w:rPr>
          <w:rFonts w:eastAsia="Times New Roman" w:cs="Arial"/>
          <w:i/>
          <w:iCs/>
          <w:color w:val="000000"/>
          <w:szCs w:val="20"/>
          <w:lang w:eastAsia="bg-BG"/>
        </w:rPr>
      </w:pPr>
    </w:p>
    <w:p w14:paraId="7BA19799" w14:textId="0E0C0675"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Бъбречно увреждане</w:t>
      </w:r>
    </w:p>
    <w:p w14:paraId="0141C651"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Не се налага корекция на дозата (вижте раздел 4.4).</w:t>
      </w:r>
    </w:p>
    <w:p w14:paraId="38F1F62A" w14:textId="77777777" w:rsidR="00F703B9" w:rsidRPr="00F703B9" w:rsidRDefault="00F703B9" w:rsidP="00F703B9">
      <w:pPr>
        <w:spacing w:line="240" w:lineRule="auto"/>
        <w:rPr>
          <w:rFonts w:eastAsia="Times New Roman" w:cs="Arial"/>
          <w:i/>
          <w:iCs/>
          <w:color w:val="000000"/>
          <w:szCs w:val="20"/>
          <w:lang w:eastAsia="bg-BG"/>
        </w:rPr>
      </w:pPr>
    </w:p>
    <w:p w14:paraId="5361BD1C" w14:textId="54360F33"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Чернодробно увреждане</w:t>
      </w:r>
    </w:p>
    <w:p w14:paraId="41F0B2F9" w14:textId="357D6C8B" w:rsidR="00F703B9" w:rsidRPr="00F703B9" w:rsidRDefault="00F703B9" w:rsidP="00F703B9">
      <w:pPr>
        <w:rPr>
          <w:rFonts w:eastAsia="Times New Roman" w:cs="Arial"/>
          <w:color w:val="000000"/>
          <w:szCs w:val="20"/>
          <w:lang w:eastAsia="bg-BG"/>
        </w:rPr>
      </w:pPr>
      <w:r w:rsidRPr="00F703B9">
        <w:rPr>
          <w:rFonts w:eastAsia="Times New Roman" w:cs="Arial"/>
          <w:color w:val="000000"/>
          <w:szCs w:val="20"/>
          <w:lang w:eastAsia="bg-BG"/>
        </w:rPr>
        <w:t>Арагилтрябва да се прилага с повишено внимание при пациенти с увредена чернодробна функция (вижте раздел 4.4 и раздел 5.2). Арагиле противопоказан при пациенти с активно: чернодробно заболяване (вижте раздел 4.3).</w:t>
      </w:r>
    </w:p>
    <w:p w14:paraId="27B9EEAF" w14:textId="23066F6A" w:rsidR="00F703B9" w:rsidRPr="00F703B9" w:rsidRDefault="00F703B9" w:rsidP="00F703B9">
      <w:pPr>
        <w:rPr>
          <w:rFonts w:eastAsia="Times New Roman" w:cs="Arial"/>
          <w:color w:val="000000"/>
          <w:szCs w:val="20"/>
          <w:lang w:eastAsia="bg-BG"/>
        </w:rPr>
      </w:pPr>
    </w:p>
    <w:p w14:paraId="79ED70E5" w14:textId="77777777"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Старческа възраст</w:t>
      </w:r>
    </w:p>
    <w:p w14:paraId="25110D89"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Ефикасността и безопасността при прилагане на препоръчителните дози при пациенти над 70- годишна възраст са сходни с тези при основната популация.</w:t>
      </w:r>
    </w:p>
    <w:p w14:paraId="1C8B257F" w14:textId="77777777" w:rsidR="00F703B9" w:rsidRPr="00F703B9" w:rsidRDefault="00F703B9" w:rsidP="00F703B9">
      <w:pPr>
        <w:spacing w:line="240" w:lineRule="auto"/>
        <w:rPr>
          <w:rFonts w:eastAsia="Times New Roman" w:cs="Arial"/>
          <w:i/>
          <w:iCs/>
          <w:color w:val="000000"/>
          <w:szCs w:val="20"/>
          <w:lang w:eastAsia="bg-BG"/>
        </w:rPr>
      </w:pPr>
    </w:p>
    <w:p w14:paraId="1A40FC7D" w14:textId="41CE25C1"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Педиатрична популация</w:t>
      </w:r>
    </w:p>
    <w:p w14:paraId="4A231855" w14:textId="77777777"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Хиперхолестерлемия</w:t>
      </w:r>
    </w:p>
    <w:p w14:paraId="6CAA75ED" w14:textId="77777777" w:rsidR="00F703B9" w:rsidRPr="00F703B9" w:rsidRDefault="00F703B9" w:rsidP="00F703B9">
      <w:pPr>
        <w:spacing w:line="240" w:lineRule="auto"/>
        <w:rPr>
          <w:rFonts w:eastAsia="Times New Roman" w:cs="Arial"/>
          <w:color w:val="000000"/>
          <w:szCs w:val="20"/>
          <w:lang w:eastAsia="bg-BG"/>
        </w:rPr>
      </w:pPr>
    </w:p>
    <w:p w14:paraId="3F695550" w14:textId="212A3E73"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Приложението на това лекарство при педиатрична популация трябва да става само под надзора на специалист с опит в лечението на хиперлипидемия при деца и пациентите трябва да бъдат преоценявани на редовни интервали, за да се оцени самия прогрес.</w:t>
      </w:r>
    </w:p>
    <w:p w14:paraId="21345301" w14:textId="77777777" w:rsidR="00F703B9" w:rsidRPr="00F703B9" w:rsidRDefault="00F703B9" w:rsidP="00F703B9">
      <w:pPr>
        <w:spacing w:line="240" w:lineRule="auto"/>
        <w:rPr>
          <w:rFonts w:eastAsia="Times New Roman" w:cs="Arial"/>
          <w:color w:val="000000"/>
          <w:szCs w:val="20"/>
          <w:lang w:eastAsia="bg-BG"/>
        </w:rPr>
      </w:pPr>
    </w:p>
    <w:p w14:paraId="46FAAF23" w14:textId="627AEF1F"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При пациенти с хетерозиготна фамилна хиперхолестеролемия на възраст на и над 10 години, препоръчителната начална доза аторвастатин е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дневно (вж. точка 5.1). Определянето на дозата при педиатрични пациенти трябва да става според индивидуалния отговор и поносимостта. Титрирането на дозата трябва да се извършва на интервали от поне 4 седмици. Увеличаването на дозата до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дневно е потвърдено с клинични проучвания при възрастни и от ограничени данни от проучвания при деца с хетерозиготна фамилна хиперхолестеролемия (вж. точки 4.8 и 5.1).</w:t>
      </w:r>
    </w:p>
    <w:p w14:paraId="77392BF9" w14:textId="77777777" w:rsidR="00F703B9" w:rsidRPr="00F703B9" w:rsidRDefault="00F703B9" w:rsidP="00F703B9">
      <w:pPr>
        <w:spacing w:line="240" w:lineRule="auto"/>
        <w:rPr>
          <w:rFonts w:eastAsia="Times New Roman" w:cs="Arial"/>
          <w:color w:val="000000"/>
          <w:szCs w:val="20"/>
          <w:lang w:eastAsia="bg-BG"/>
        </w:rPr>
      </w:pPr>
    </w:p>
    <w:p w14:paraId="1A1D99B9" w14:textId="6F60FF90"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Има ограничени данни от отворени клинични проучвания по отношение на ефикасността и безопасността при деца на възраст между 6 и 10 години с хетерозиготна фамилна хиперхолестеролемия. Аторвастатин не е показан за лечение на деца под 10 години. Наличните данни са описани в точки 4.8, 5.1 и 5.2, но препоръки за дозировка и начин на приложение не могат да бъдат направени.</w:t>
      </w:r>
    </w:p>
    <w:p w14:paraId="58E0C44C" w14:textId="77777777" w:rsidR="00F703B9" w:rsidRPr="00F703B9" w:rsidRDefault="00F703B9" w:rsidP="00F703B9">
      <w:pPr>
        <w:spacing w:line="240" w:lineRule="auto"/>
        <w:rPr>
          <w:rFonts w:eastAsia="Times New Roman" w:cs="Arial"/>
          <w:color w:val="000000"/>
          <w:szCs w:val="20"/>
          <w:lang w:eastAsia="bg-BG"/>
        </w:rPr>
      </w:pPr>
    </w:p>
    <w:p w14:paraId="7C9F1709" w14:textId="6758E89D"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Други лекарствени форми /концентрации може да бъдат по-подходящи при тази популация.</w:t>
      </w:r>
    </w:p>
    <w:p w14:paraId="02B1E8BC" w14:textId="77777777" w:rsidR="00F703B9" w:rsidRPr="00F703B9" w:rsidRDefault="00F703B9" w:rsidP="00F703B9">
      <w:pPr>
        <w:spacing w:line="240" w:lineRule="auto"/>
        <w:rPr>
          <w:rFonts w:eastAsia="Times New Roman" w:cs="Arial"/>
          <w:b/>
          <w:bCs/>
          <w:color w:val="000000"/>
          <w:szCs w:val="20"/>
          <w:lang w:eastAsia="bg-BG"/>
        </w:rPr>
      </w:pPr>
    </w:p>
    <w:p w14:paraId="7E43A362" w14:textId="41D77BB7" w:rsidR="00F703B9" w:rsidRPr="00F703B9" w:rsidRDefault="00F703B9" w:rsidP="00F703B9">
      <w:pPr>
        <w:pStyle w:val="Heading3"/>
        <w:rPr>
          <w:rFonts w:eastAsia="Times New Roman"/>
          <w:b/>
          <w:sz w:val="28"/>
        </w:rPr>
      </w:pPr>
      <w:r w:rsidRPr="00F703B9">
        <w:rPr>
          <w:rFonts w:eastAsia="Times New Roman"/>
          <w:b/>
          <w:lang w:eastAsia="bg-BG"/>
        </w:rPr>
        <w:t>Начин на приложение</w:t>
      </w:r>
    </w:p>
    <w:p w14:paraId="48ED060E" w14:textId="03DFF532" w:rsidR="00F703B9" w:rsidRPr="00F703B9" w:rsidRDefault="00F703B9" w:rsidP="00F703B9">
      <w:pPr>
        <w:rPr>
          <w:rFonts w:cs="Arial"/>
          <w:sz w:val="24"/>
        </w:rPr>
      </w:pPr>
      <w:r w:rsidRPr="00F703B9">
        <w:rPr>
          <w:rFonts w:eastAsia="Times New Roman" w:cs="Arial"/>
          <w:color w:val="000000"/>
          <w:szCs w:val="20"/>
          <w:lang w:eastAsia="bg-BG"/>
        </w:rPr>
        <w:t>Арагиле предназначен за перорално приложение. Дневната доза трябва да се приема еднократно веднъж дневно, независимо по кое време на деня, с или без храна.</w:t>
      </w:r>
    </w:p>
    <w:p w14:paraId="0F253247" w14:textId="547327FF" w:rsidR="007122AD" w:rsidRDefault="002C50EE" w:rsidP="00936AD0">
      <w:pPr>
        <w:pStyle w:val="Heading2"/>
      </w:pPr>
      <w:r>
        <w:lastRenderedPageBreak/>
        <w:t>4.3. Противопоказания</w:t>
      </w:r>
    </w:p>
    <w:p w14:paraId="60D24152" w14:textId="7D20BEE7" w:rsidR="00F703B9" w:rsidRDefault="00F703B9" w:rsidP="00F703B9"/>
    <w:p w14:paraId="4453786C"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Аторвастатин е противопоказан при:</w:t>
      </w:r>
    </w:p>
    <w:p w14:paraId="3B6779E5" w14:textId="77777777"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свръхчувствителност към активното вещество или към някое от помощните вещества</w:t>
      </w:r>
    </w:p>
    <w:p w14:paraId="02FFBE4F" w14:textId="77777777"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 когато повишението е три пъти повече от средната горна граница</w:t>
      </w:r>
    </w:p>
    <w:p w14:paraId="3BDBE0B4" w14:textId="77777777"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по време на бременност и кърмене и жени в детеродна възраст, които не ползват подходящи мерки за контрацепция (вижте раздел 4.6)</w:t>
      </w:r>
    </w:p>
    <w:p w14:paraId="42F2D079" w14:textId="01191F8C" w:rsidR="00F703B9" w:rsidRPr="00F703B9" w:rsidRDefault="00F703B9" w:rsidP="00F703B9">
      <w:pPr>
        <w:pStyle w:val="ListParagraph"/>
        <w:numPr>
          <w:ilvl w:val="0"/>
          <w:numId w:val="37"/>
        </w:numPr>
        <w:spacing w:line="240" w:lineRule="auto"/>
        <w:rPr>
          <w:rFonts w:eastAsia="Times New Roman" w:cs="Arial"/>
          <w:sz w:val="28"/>
          <w:szCs w:val="24"/>
        </w:rPr>
      </w:pPr>
      <w:r w:rsidRPr="00F703B9">
        <w:rPr>
          <w:rFonts w:eastAsia="Times New Roman" w:cs="Arial"/>
          <w:color w:val="000000"/>
          <w:szCs w:val="20"/>
          <w:lang w:eastAsia="bg-BG"/>
        </w:rPr>
        <w:t>пациенти, лекувани с антивирусните средства за лечение на хепатит С глекапревир/пибрентасвир.</w:t>
      </w:r>
    </w:p>
    <w:p w14:paraId="6C489522" w14:textId="77777777" w:rsidR="00F703B9" w:rsidRPr="00F703B9" w:rsidRDefault="00F703B9" w:rsidP="00F703B9"/>
    <w:p w14:paraId="0E0BDCC7" w14:textId="7D481E9F" w:rsidR="007122AD" w:rsidRDefault="002C50EE" w:rsidP="00936AD0">
      <w:pPr>
        <w:pStyle w:val="Heading2"/>
      </w:pPr>
      <w:r>
        <w:t>4.4. Специални предупреждения и предпазни мерки при употреба</w:t>
      </w:r>
    </w:p>
    <w:p w14:paraId="52CBBF22" w14:textId="6D70617A" w:rsidR="00F703B9" w:rsidRDefault="00F703B9" w:rsidP="00F703B9"/>
    <w:p w14:paraId="6C8B0CC8"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Чернодробни ефекти</w:t>
      </w:r>
    </w:p>
    <w:p w14:paraId="2D764C2B"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Преди началото на лечението и периодично по време на лечението трябва да се правят изследвания на чернодробната функция. Изследвания на чернодробната функция трябва да се правят на пациенти, които развият някакви симптоми за възможно увреждане на черния дроб. Пациентите с повишени нива на трансаминазите трябва да бъдат мониторирани до изчезване на симптомите. Ако повишението на нивата на трансаминазите е повече от три пъти над горната граница на нормата </w:t>
      </w:r>
      <w:r w:rsidRPr="00F703B9">
        <w:rPr>
          <w:rFonts w:eastAsia="Times New Roman" w:cs="Arial"/>
          <w:color w:val="000000"/>
          <w:lang w:val="ru-RU"/>
        </w:rPr>
        <w:t>(</w:t>
      </w:r>
      <w:r w:rsidRPr="00F703B9">
        <w:rPr>
          <w:rFonts w:eastAsia="Times New Roman" w:cs="Arial"/>
          <w:color w:val="000000"/>
          <w:lang w:val="en-US"/>
        </w:rPr>
        <w:t>ULN</w:t>
      </w:r>
      <w:r w:rsidRPr="00F703B9">
        <w:rPr>
          <w:rFonts w:eastAsia="Times New Roman" w:cs="Arial"/>
          <w:color w:val="000000"/>
          <w:lang w:val="ru-RU"/>
        </w:rPr>
        <w:t xml:space="preserve">) </w:t>
      </w:r>
      <w:r w:rsidRPr="00F703B9">
        <w:rPr>
          <w:rFonts w:eastAsia="Times New Roman" w:cs="Arial"/>
          <w:color w:val="000000"/>
          <w:lang w:eastAsia="bg-BG"/>
        </w:rPr>
        <w:t>се препоръчва намаляване на дозата или прекратяване на ле</w:t>
      </w:r>
      <w:r w:rsidRPr="00F703B9">
        <w:rPr>
          <w:rFonts w:eastAsia="Times New Roman" w:cs="Arial"/>
          <w:color w:val="000000"/>
          <w:u w:val="single"/>
          <w:lang w:eastAsia="bg-BG"/>
        </w:rPr>
        <w:t>чение</w:t>
      </w:r>
      <w:r w:rsidRPr="00F703B9">
        <w:rPr>
          <w:rFonts w:eastAsia="Times New Roman" w:cs="Arial"/>
          <w:color w:val="000000"/>
          <w:lang w:eastAsia="bg-BG"/>
        </w:rPr>
        <w:t>то с аторвастатин (виж т. 4.8).</w:t>
      </w:r>
    </w:p>
    <w:p w14:paraId="05FED3B6" w14:textId="77777777" w:rsidR="00F703B9" w:rsidRPr="00F703B9" w:rsidRDefault="00F703B9" w:rsidP="00F703B9">
      <w:pPr>
        <w:spacing w:line="240" w:lineRule="auto"/>
        <w:rPr>
          <w:rFonts w:eastAsia="Times New Roman" w:cs="Arial"/>
          <w:color w:val="000000"/>
          <w:lang w:eastAsia="bg-BG"/>
        </w:rPr>
      </w:pPr>
    </w:p>
    <w:p w14:paraId="2E54DCAC" w14:textId="5CCED644" w:rsidR="00F703B9" w:rsidRPr="00F703B9" w:rsidRDefault="00F703B9" w:rsidP="00F703B9">
      <w:pPr>
        <w:spacing w:line="240" w:lineRule="auto"/>
        <w:rPr>
          <w:rFonts w:eastAsia="Times New Roman" w:cs="Arial"/>
        </w:rPr>
      </w:pPr>
      <w:r w:rsidRPr="00F703B9">
        <w:rPr>
          <w:rFonts w:eastAsia="Times New Roman" w:cs="Arial"/>
          <w:color w:val="000000"/>
          <w:lang w:eastAsia="bg-BG"/>
        </w:rPr>
        <w:t>Аторвастатин трябва да се прилага с повишено внимание при пациенти, които консумират</w:t>
      </w:r>
      <w:r w:rsidRPr="00F703B9">
        <w:rPr>
          <w:rFonts w:eastAsia="Times New Roman" w:cs="Arial"/>
          <w:smallCaps/>
          <w:color w:val="000000"/>
          <w:lang w:eastAsia="bg-BG"/>
        </w:rPr>
        <w:t xml:space="preserve"> </w:t>
      </w:r>
      <w:r w:rsidRPr="00F703B9">
        <w:rPr>
          <w:rFonts w:eastAsia="Times New Roman" w:cs="Arial"/>
          <w:color w:val="000000"/>
          <w:lang w:eastAsia="bg-BG"/>
        </w:rPr>
        <w:t>значително количество алкохол и/или имат анамнеза за чернодробно заболяване,</w:t>
      </w:r>
    </w:p>
    <w:p w14:paraId="2A9F42B9" w14:textId="77777777" w:rsidR="00F703B9" w:rsidRPr="00F703B9" w:rsidRDefault="00F703B9" w:rsidP="00F703B9">
      <w:pPr>
        <w:rPr>
          <w:rFonts w:eastAsia="Times New Roman" w:cs="Arial"/>
          <w:color w:val="000000"/>
          <w:u w:val="single"/>
          <w:lang w:eastAsia="bg-BG"/>
        </w:rPr>
      </w:pPr>
    </w:p>
    <w:p w14:paraId="0B587544" w14:textId="3ACF6C87" w:rsidR="00F703B9" w:rsidRPr="00F703B9" w:rsidRDefault="00F703B9" w:rsidP="00F703B9">
      <w:pPr>
        <w:rPr>
          <w:rFonts w:eastAsia="Times New Roman" w:cs="Arial"/>
          <w:color w:val="000000"/>
          <w:u w:val="single"/>
          <w:lang w:eastAsia="bg-BG"/>
        </w:rPr>
      </w:pPr>
      <w:r w:rsidRPr="00F703B9">
        <w:rPr>
          <w:rFonts w:eastAsia="Times New Roman" w:cs="Arial"/>
          <w:color w:val="000000"/>
          <w:u w:val="single"/>
          <w:lang w:eastAsia="bg-BG"/>
        </w:rPr>
        <w:t>Профилактика на инсулт чрез агресивно понижаване нивата на холестерол</w:t>
      </w:r>
    </w:p>
    <w:p w14:paraId="42834F29" w14:textId="4280A2C0" w:rsidR="00F703B9" w:rsidRPr="00F703B9" w:rsidRDefault="00F703B9" w:rsidP="00F703B9">
      <w:pPr>
        <w:rPr>
          <w:rFonts w:eastAsia="Times New Roman" w:cs="Arial"/>
          <w:color w:val="000000"/>
          <w:u w:val="single"/>
          <w:lang w:eastAsia="bg-BG"/>
        </w:rPr>
      </w:pPr>
    </w:p>
    <w:p w14:paraId="02BAF997"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val="en-US"/>
        </w:rPr>
        <w:t xml:space="preserve">Stroke Prevention </w:t>
      </w:r>
      <w:proofErr w:type="gramStart"/>
      <w:r w:rsidRPr="00F703B9">
        <w:rPr>
          <w:rFonts w:eastAsia="Times New Roman" w:cs="Arial"/>
          <w:color w:val="000000"/>
          <w:u w:val="single"/>
          <w:lang w:val="en-US"/>
        </w:rPr>
        <w:t>bv</w:t>
      </w:r>
      <w:proofErr w:type="gramEnd"/>
      <w:r w:rsidRPr="00F703B9">
        <w:rPr>
          <w:rFonts w:eastAsia="Times New Roman" w:cs="Arial"/>
          <w:color w:val="000000"/>
          <w:u w:val="single"/>
          <w:lang w:val="en-US"/>
        </w:rPr>
        <w:t xml:space="preserve"> Aggressive Reduction in Cholesterol Levels (SPARCL)</w:t>
      </w:r>
    </w:p>
    <w:p w14:paraId="7286534D" w14:textId="77777777" w:rsidR="00F703B9" w:rsidRPr="00F703B9" w:rsidRDefault="00F703B9" w:rsidP="00F703B9">
      <w:pPr>
        <w:spacing w:line="240" w:lineRule="auto"/>
        <w:rPr>
          <w:rFonts w:eastAsia="Times New Roman" w:cs="Arial"/>
          <w:color w:val="000000"/>
          <w:lang w:eastAsia="bg-BG"/>
        </w:rPr>
      </w:pPr>
    </w:p>
    <w:p w14:paraId="5A05D89E" w14:textId="3E984470"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Последващ анализ на видовете инсулт при пациенти без коронарна болест на сърцето, които наскоро са имали инсулт или „преходна исхемична атака” </w:t>
      </w:r>
      <w:r w:rsidRPr="00F703B9">
        <w:rPr>
          <w:rFonts w:eastAsia="Times New Roman" w:cs="Arial"/>
          <w:color w:val="000000"/>
          <w:lang w:val="ru-RU"/>
        </w:rPr>
        <w:t>(</w:t>
      </w:r>
      <w:r w:rsidRPr="00F703B9">
        <w:rPr>
          <w:rFonts w:eastAsia="Times New Roman" w:cs="Arial"/>
          <w:color w:val="000000"/>
          <w:lang w:val="en-US"/>
        </w:rPr>
        <w:t>TIA</w:t>
      </w:r>
      <w:r w:rsidRPr="00F703B9">
        <w:rPr>
          <w:rFonts w:eastAsia="Times New Roman" w:cs="Arial"/>
          <w:color w:val="000000"/>
          <w:lang w:val="ru-RU"/>
        </w:rPr>
        <w:t xml:space="preserve">), </w:t>
      </w:r>
      <w:r w:rsidRPr="00F703B9">
        <w:rPr>
          <w:rFonts w:eastAsia="Times New Roman" w:cs="Arial"/>
          <w:color w:val="000000"/>
          <w:lang w:eastAsia="bg-BG"/>
        </w:rPr>
        <w:t xml:space="preserve">показва по-висока честота на хеморагичен инсулт при пациенти, лекувани с 80 </w:t>
      </w:r>
      <w:r w:rsidRPr="00F703B9">
        <w:rPr>
          <w:rFonts w:eastAsia="Times New Roman" w:cs="Arial"/>
          <w:color w:val="000000"/>
          <w:lang w:val="en-US"/>
        </w:rPr>
        <w:t>mg</w:t>
      </w:r>
      <w:r w:rsidRPr="00F703B9">
        <w:rPr>
          <w:rFonts w:eastAsia="Times New Roman" w:cs="Arial"/>
          <w:color w:val="000000"/>
          <w:lang w:val="ru-RU"/>
        </w:rPr>
        <w:t xml:space="preserve"> </w:t>
      </w:r>
      <w:r w:rsidRPr="00F703B9">
        <w:rPr>
          <w:rFonts w:eastAsia="Times New Roman" w:cs="Arial"/>
          <w:color w:val="000000"/>
          <w:lang w:eastAsia="bg-BG"/>
        </w:rPr>
        <w:t xml:space="preserve">аторвастатин в сравнение с тези, лекувани с плацебо. Повишеният риск се наблюдава особено при пациенти с анамнеза за хеморагичен инсулт или лакунарен инфаркт в началото на проучването. Съотношението полза / риск за аторвастатин 80 </w:t>
      </w:r>
      <w:r w:rsidRPr="00F703B9">
        <w:rPr>
          <w:rFonts w:eastAsia="Times New Roman" w:cs="Arial"/>
          <w:color w:val="000000"/>
          <w:lang w:val="en-US"/>
        </w:rPr>
        <w:t>mg</w:t>
      </w:r>
      <w:r w:rsidRPr="00F703B9">
        <w:rPr>
          <w:rFonts w:eastAsia="Times New Roman" w:cs="Arial"/>
          <w:color w:val="000000"/>
          <w:lang w:val="ru-RU"/>
        </w:rPr>
        <w:t xml:space="preserve"> </w:t>
      </w:r>
      <w:r w:rsidRPr="00F703B9">
        <w:rPr>
          <w:rFonts w:eastAsia="Times New Roman" w:cs="Arial"/>
          <w:color w:val="000000"/>
          <w:lang w:eastAsia="bg-BG"/>
        </w:rPr>
        <w:t>не е установена при пациенти с анамнеза за хеморагичен инсулт и лакунарен инфаркт. Потенциалния риск от хеморагичен инсулт трябва внимателно да се обмисли преди началото на лечението (вж. точка 5.1).</w:t>
      </w:r>
    </w:p>
    <w:p w14:paraId="1B155EA6" w14:textId="77777777" w:rsidR="00F703B9" w:rsidRPr="00F703B9" w:rsidRDefault="00F703B9" w:rsidP="00F703B9">
      <w:pPr>
        <w:spacing w:line="240" w:lineRule="auto"/>
        <w:rPr>
          <w:rFonts w:eastAsia="Times New Roman" w:cs="Arial"/>
          <w:color w:val="000000"/>
          <w:u w:val="single"/>
          <w:lang w:eastAsia="bg-BG"/>
        </w:rPr>
      </w:pPr>
    </w:p>
    <w:p w14:paraId="2D53F92C" w14:textId="2636B04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Ефекти, свързани със скелетната мускулатура</w:t>
      </w:r>
    </w:p>
    <w:p w14:paraId="098ADA50"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Аторвастатин, подобно на други инхибитори на </w:t>
      </w:r>
      <w:r w:rsidRPr="00F703B9">
        <w:rPr>
          <w:rFonts w:eastAsia="Times New Roman" w:cs="Arial"/>
          <w:color w:val="000000"/>
          <w:lang w:val="en-US"/>
        </w:rPr>
        <w:t>HMG</w:t>
      </w:r>
      <w:r w:rsidRPr="00F703B9">
        <w:rPr>
          <w:rFonts w:eastAsia="Times New Roman" w:cs="Arial"/>
          <w:color w:val="000000"/>
          <w:lang w:val="ru-RU"/>
        </w:rPr>
        <w:t>-</w:t>
      </w:r>
      <w:r w:rsidRPr="00F703B9">
        <w:rPr>
          <w:rFonts w:eastAsia="Times New Roman" w:cs="Arial"/>
          <w:color w:val="000000"/>
          <w:lang w:val="en-US"/>
        </w:rPr>
        <w:t>CoA</w:t>
      </w:r>
      <w:r w:rsidRPr="00F703B9">
        <w:rPr>
          <w:rFonts w:eastAsia="Times New Roman" w:cs="Arial"/>
          <w:color w:val="000000"/>
          <w:lang w:val="ru-RU"/>
        </w:rPr>
        <w:t xml:space="preserve"> </w:t>
      </w:r>
      <w:r w:rsidRPr="00F703B9">
        <w:rPr>
          <w:rFonts w:eastAsia="Times New Roman" w:cs="Arial"/>
          <w:color w:val="000000"/>
          <w:lang w:eastAsia="bg-BG"/>
        </w:rPr>
        <w:t xml:space="preserve">редуктазата, може в редки случаи да окаже влияние върху скелетните мускули и да причини миалгия, миозит и миопатия, водещи до рабдомиолиза, която представлява потенциално опасно състояние и се характеризира с повишена стойност на креатин киназната активност в серума </w:t>
      </w:r>
      <w:r w:rsidRPr="00F703B9">
        <w:rPr>
          <w:rFonts w:eastAsia="Times New Roman" w:cs="Arial"/>
          <w:color w:val="000000"/>
          <w:lang w:eastAsia="bg-BG"/>
        </w:rPr>
        <w:lastRenderedPageBreak/>
        <w:t>(надвишаваща десет пъти горна граница на нормата), миоглобинемия и миоглобинурия, които могат да доведат до бъбречна недостатъчност.</w:t>
      </w:r>
    </w:p>
    <w:p w14:paraId="3A7380F0" w14:textId="77777777" w:rsidR="00F703B9" w:rsidRPr="00F703B9" w:rsidRDefault="00F703B9" w:rsidP="00F703B9">
      <w:pPr>
        <w:spacing w:line="240" w:lineRule="auto"/>
        <w:rPr>
          <w:rFonts w:eastAsia="Times New Roman" w:cs="Arial"/>
          <w:color w:val="000000"/>
          <w:lang w:eastAsia="bg-BG"/>
        </w:rPr>
      </w:pPr>
    </w:p>
    <w:p w14:paraId="2EE5F3EC" w14:textId="1DDCCB64" w:rsidR="00F703B9" w:rsidRPr="00F703B9" w:rsidRDefault="00F703B9" w:rsidP="00F703B9">
      <w:pPr>
        <w:spacing w:line="240" w:lineRule="auto"/>
        <w:rPr>
          <w:rFonts w:eastAsia="Times New Roman" w:cs="Arial"/>
        </w:rPr>
      </w:pPr>
      <w:r w:rsidRPr="00F703B9">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6386BC28" w14:textId="77777777" w:rsidR="00F703B9" w:rsidRPr="00F703B9" w:rsidRDefault="00F703B9" w:rsidP="00F703B9">
      <w:pPr>
        <w:spacing w:line="240" w:lineRule="auto"/>
        <w:rPr>
          <w:rFonts w:eastAsia="Times New Roman" w:cs="Arial"/>
          <w:color w:val="000000"/>
          <w:u w:val="single"/>
          <w:lang w:eastAsia="bg-BG"/>
        </w:rPr>
      </w:pPr>
    </w:p>
    <w:p w14:paraId="46CB7BCD" w14:textId="7C264735"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Преди започване на лечението:</w:t>
      </w:r>
    </w:p>
    <w:p w14:paraId="1EF51E0C" w14:textId="77777777" w:rsidR="00F703B9" w:rsidRPr="00F703B9" w:rsidRDefault="00F703B9" w:rsidP="00F703B9">
      <w:pPr>
        <w:spacing w:line="240" w:lineRule="auto"/>
        <w:rPr>
          <w:rFonts w:eastAsia="Times New Roman" w:cs="Arial"/>
          <w:color w:val="000000"/>
          <w:lang w:eastAsia="bg-BG"/>
        </w:rPr>
      </w:pPr>
    </w:p>
    <w:p w14:paraId="075943DD" w14:textId="42ED26C5" w:rsidR="00F703B9" w:rsidRPr="00F703B9" w:rsidRDefault="00F703B9" w:rsidP="00F703B9">
      <w:pPr>
        <w:spacing w:line="240" w:lineRule="auto"/>
        <w:rPr>
          <w:rFonts w:eastAsia="Times New Roman" w:cs="Arial"/>
        </w:rPr>
      </w:pPr>
      <w:r w:rsidRPr="00F703B9">
        <w:rPr>
          <w:rFonts w:eastAsia="Times New Roman" w:cs="Arial"/>
          <w:color w:val="000000"/>
          <w:lang w:eastAsia="bg-BG"/>
        </w:rPr>
        <w:t>Аторвастатин трябва да се прилага с повишено внимание при пациенти с предразположение към рабдомиолиза. Нивата на креатин киназата трябва да се измерват преди започване на лечението със статини в случай на:</w:t>
      </w:r>
    </w:p>
    <w:p w14:paraId="4DF5CF0C"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Бъбречно увреждане</w:t>
      </w:r>
    </w:p>
    <w:p w14:paraId="66D54E0F"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Хипотиреоидизъм</w:t>
      </w:r>
    </w:p>
    <w:p w14:paraId="49CDF28D"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Лична или фамилна анамнеза за наследствени мускулни заболявания</w:t>
      </w:r>
    </w:p>
    <w:p w14:paraId="618155CA"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Лична анамнеза за мускулна токсичност свързано с лечение със статини или фибрати</w:t>
      </w:r>
    </w:p>
    <w:p w14:paraId="53066E68"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Лична анамнеза за чернодробно увреждане и/или прекомерна консумация на алкохол</w:t>
      </w:r>
    </w:p>
    <w:p w14:paraId="50398703" w14:textId="77777777"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При пациенти в старческа възраст (над 70-годишна възраст) необходимостта от такова изследване се оценява във връзка с наличие на предразполагащи към рабдомиолиза фактори</w:t>
      </w:r>
    </w:p>
    <w:p w14:paraId="08EECEA2" w14:textId="4C616A58" w:rsidR="00F703B9" w:rsidRPr="00F703B9" w:rsidRDefault="00F703B9" w:rsidP="00F703B9">
      <w:pPr>
        <w:pStyle w:val="ListParagraph"/>
        <w:numPr>
          <w:ilvl w:val="0"/>
          <w:numId w:val="38"/>
        </w:numPr>
        <w:spacing w:line="240" w:lineRule="auto"/>
        <w:rPr>
          <w:rFonts w:eastAsia="Times New Roman" w:cs="Arial"/>
          <w:color w:val="000000"/>
          <w:lang w:eastAsia="bg-BG"/>
        </w:rPr>
      </w:pPr>
      <w:r w:rsidRPr="00F703B9">
        <w:rPr>
          <w:rFonts w:eastAsia="Times New Roman" w:cs="Arial"/>
          <w:color w:val="000000"/>
          <w:lang w:eastAsia="bg-BG"/>
        </w:rPr>
        <w:t>Случаи при които може да се наблюдават повишение в плазмените нива, каквито са например взаимодействията (вижте раздел 4.5) и специални популации, вглючително генетични субпопулации (вижте раздел 5.2).</w:t>
      </w:r>
    </w:p>
    <w:p w14:paraId="1811AC67" w14:textId="77777777" w:rsidR="00F703B9" w:rsidRPr="00F703B9" w:rsidRDefault="00F703B9" w:rsidP="00F703B9">
      <w:pPr>
        <w:spacing w:line="240" w:lineRule="auto"/>
        <w:rPr>
          <w:rFonts w:eastAsia="Times New Roman" w:cs="Arial"/>
          <w:color w:val="000000"/>
          <w:lang w:eastAsia="bg-BG"/>
        </w:rPr>
      </w:pPr>
    </w:p>
    <w:p w14:paraId="4C79C217" w14:textId="49FD5E26" w:rsidR="00F703B9" w:rsidRPr="00F703B9" w:rsidRDefault="00F703B9" w:rsidP="00F703B9">
      <w:pPr>
        <w:spacing w:line="240" w:lineRule="auto"/>
        <w:rPr>
          <w:rFonts w:eastAsia="Times New Roman" w:cs="Arial"/>
        </w:rPr>
      </w:pPr>
      <w:r w:rsidRPr="00F703B9">
        <w:rPr>
          <w:rFonts w:eastAsia="Times New Roman" w:cs="Arial"/>
          <w:color w:val="000000"/>
          <w:lang w:eastAsia="bg-BG"/>
        </w:rPr>
        <w:t>В тези случаи трябва внимателно да се прецени потенциалния риск от лечението по отношение на възможната полза. Препоръчва се клинично мониториране.</w:t>
      </w:r>
    </w:p>
    <w:p w14:paraId="1467B573" w14:textId="77777777" w:rsidR="00F703B9" w:rsidRPr="00F703B9" w:rsidRDefault="00F703B9" w:rsidP="00F703B9">
      <w:pPr>
        <w:spacing w:line="240" w:lineRule="auto"/>
        <w:rPr>
          <w:rFonts w:eastAsia="Times New Roman" w:cs="Arial"/>
          <w:color w:val="000000"/>
          <w:lang w:eastAsia="bg-BG"/>
        </w:rPr>
      </w:pPr>
    </w:p>
    <w:p w14:paraId="7617D0C2" w14:textId="616FADB4" w:rsidR="00F703B9" w:rsidRPr="00F703B9" w:rsidRDefault="00F703B9" w:rsidP="00F703B9">
      <w:pPr>
        <w:spacing w:line="240" w:lineRule="auto"/>
        <w:rPr>
          <w:rFonts w:eastAsia="Times New Roman" w:cs="Arial"/>
        </w:rPr>
      </w:pPr>
      <w:r w:rsidRPr="00F703B9">
        <w:rPr>
          <w:rFonts w:eastAsia="Times New Roman" w:cs="Arial"/>
          <w:color w:val="000000"/>
          <w:lang w:eastAsia="bg-BG"/>
        </w:rPr>
        <w:t>Ако стойностите на креатин киназата са значително повишени (над пет пъти горна граница на нормата), лечението трябва да бъде преустановено.</w:t>
      </w:r>
    </w:p>
    <w:p w14:paraId="67B9E413" w14:textId="77777777" w:rsidR="00F703B9" w:rsidRPr="00F703B9" w:rsidRDefault="00F703B9" w:rsidP="00F703B9">
      <w:pPr>
        <w:spacing w:line="240" w:lineRule="auto"/>
        <w:rPr>
          <w:rFonts w:eastAsia="Times New Roman" w:cs="Arial"/>
          <w:i/>
          <w:iCs/>
          <w:color w:val="000000"/>
          <w:lang w:eastAsia="bg-BG"/>
        </w:rPr>
      </w:pPr>
    </w:p>
    <w:p w14:paraId="0AB08B9B" w14:textId="790FA1AA" w:rsidR="00F703B9" w:rsidRPr="00F703B9" w:rsidRDefault="00F703B9" w:rsidP="00F703B9">
      <w:pPr>
        <w:spacing w:line="240" w:lineRule="auto"/>
        <w:rPr>
          <w:rFonts w:eastAsia="Times New Roman" w:cs="Arial"/>
        </w:rPr>
      </w:pPr>
      <w:r w:rsidRPr="00F703B9">
        <w:rPr>
          <w:rFonts w:eastAsia="Times New Roman" w:cs="Arial"/>
          <w:i/>
          <w:iCs/>
          <w:color w:val="000000"/>
          <w:lang w:eastAsia="bg-BG"/>
        </w:rPr>
        <w:t>Измерване на креатин фосфокиназатата</w:t>
      </w:r>
    </w:p>
    <w:p w14:paraId="31E866CB"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Креатин фосфокиназата не трябва да се измерва след напрегнато физическо усилие или при наличие на възможна алтернативна причина за повишени стойности на креатин киназата, тъй като това затруднява интерпретацията на резултатите. Ако нивото на креатин киназата </w:t>
      </w:r>
      <w:r w:rsidRPr="00F703B9">
        <w:rPr>
          <w:rFonts w:eastAsia="Times New Roman" w:cs="Arial"/>
          <w:color w:val="000000"/>
          <w:u w:val="single"/>
          <w:lang w:eastAsia="bg-BG"/>
        </w:rPr>
        <w:t xml:space="preserve">е </w:t>
      </w:r>
      <w:r w:rsidRPr="00F703B9">
        <w:rPr>
          <w:rFonts w:eastAsia="Times New Roman" w:cs="Arial"/>
          <w:color w:val="000000"/>
          <w:lang w:eastAsia="bg-BG"/>
        </w:rPr>
        <w:t>значително повишено (пет пъти над измерените горни граници), измерването трябва да се повтори след 5-7 дни за потвърждаване на резултата.</w:t>
      </w:r>
    </w:p>
    <w:p w14:paraId="083C36C1" w14:textId="77777777" w:rsidR="00F703B9" w:rsidRPr="00F703B9" w:rsidRDefault="00F703B9" w:rsidP="00F703B9">
      <w:pPr>
        <w:rPr>
          <w:rFonts w:eastAsia="Times New Roman" w:cs="Arial"/>
          <w:i/>
          <w:iCs/>
          <w:color w:val="000000"/>
          <w:lang w:eastAsia="bg-BG"/>
        </w:rPr>
      </w:pPr>
    </w:p>
    <w:p w14:paraId="5BF064D5" w14:textId="090D39B2" w:rsidR="00F703B9" w:rsidRPr="00F703B9" w:rsidRDefault="00F703B9" w:rsidP="00F703B9">
      <w:pPr>
        <w:rPr>
          <w:rFonts w:eastAsia="Times New Roman" w:cs="Arial"/>
          <w:i/>
          <w:iCs/>
          <w:color w:val="000000"/>
          <w:lang w:eastAsia="bg-BG"/>
        </w:rPr>
      </w:pPr>
      <w:r w:rsidRPr="00F703B9">
        <w:rPr>
          <w:rFonts w:eastAsia="Times New Roman" w:cs="Arial"/>
          <w:i/>
          <w:iCs/>
          <w:color w:val="000000"/>
          <w:lang w:eastAsia="bg-BG"/>
        </w:rPr>
        <w:t>По време на лечението:</w:t>
      </w:r>
    </w:p>
    <w:p w14:paraId="4DCBB135"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Необходимо е да се обясни на пациентите колко е важно да съобщават за симптоми на миалгия, крампи или умора, особен ако са последвани от неразположение и повишена температура.</w:t>
      </w:r>
    </w:p>
    <w:p w14:paraId="0BFD961F"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Ако тези симптоми се появят по време на лечението с аторвастатин, стойностите на креатин киназата трябва да се измерят и в случай на тяхното значително повишение (над пет пъти горна граница на нормата), лечението трябва да се преустанови.</w:t>
      </w:r>
    </w:p>
    <w:p w14:paraId="1E2D5C76"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 xml:space="preserve">Ако симптомите в мускулите са сериозни или причиняват ежедневен дискомфорт, трябва да се помисли за преустановяване на лечението, даже и ако стойностите </w:t>
      </w:r>
      <w:r w:rsidRPr="00F703B9">
        <w:rPr>
          <w:rFonts w:eastAsia="Times New Roman" w:cs="Arial"/>
          <w:color w:val="000000"/>
          <w:lang w:eastAsia="bg-BG"/>
        </w:rPr>
        <w:lastRenderedPageBreak/>
        <w:t xml:space="preserve">на креатин киназата не надхвърлят пет пъти горната граница на нормата (≤ 5 х </w:t>
      </w:r>
      <w:r w:rsidRPr="00F703B9">
        <w:rPr>
          <w:rFonts w:eastAsia="Times New Roman" w:cs="Arial"/>
          <w:color w:val="000000"/>
          <w:lang w:val="en-US"/>
        </w:rPr>
        <w:t>ULN</w:t>
      </w:r>
      <w:r w:rsidRPr="00F703B9">
        <w:rPr>
          <w:rFonts w:eastAsia="Times New Roman" w:cs="Arial"/>
          <w:color w:val="000000"/>
          <w:lang w:val="ru-RU"/>
        </w:rPr>
        <w:t xml:space="preserve">) </w:t>
      </w:r>
      <w:r w:rsidRPr="00F703B9">
        <w:rPr>
          <w:rFonts w:eastAsia="Times New Roman" w:cs="Arial"/>
          <w:color w:val="000000"/>
          <w:lang w:eastAsia="bg-BG"/>
        </w:rPr>
        <w:t>.</w:t>
      </w:r>
    </w:p>
    <w:p w14:paraId="2C3683B8" w14:textId="77777777"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Ако симптомите изчезнат и стойностите на креатин киназата се нормализират, може да се обсъди възможността за лечение с аторвастатин или с друг статин, с минимални дози и строго мониториране.</w:t>
      </w:r>
    </w:p>
    <w:p w14:paraId="2783EDFD" w14:textId="58FE3B51" w:rsidR="00F703B9" w:rsidRPr="00F703B9" w:rsidRDefault="00F703B9" w:rsidP="00F703B9">
      <w:pPr>
        <w:pStyle w:val="ListParagraph"/>
        <w:numPr>
          <w:ilvl w:val="0"/>
          <w:numId w:val="39"/>
        </w:numPr>
        <w:spacing w:line="240" w:lineRule="auto"/>
        <w:rPr>
          <w:rFonts w:eastAsia="Times New Roman" w:cs="Arial"/>
          <w:color w:val="000000"/>
          <w:lang w:eastAsia="bg-BG"/>
        </w:rPr>
      </w:pPr>
      <w:r w:rsidRPr="00F703B9">
        <w:rPr>
          <w:rFonts w:eastAsia="Times New Roman" w:cs="Arial"/>
          <w:color w:val="000000"/>
          <w:lang w:eastAsia="bg-BG"/>
        </w:rPr>
        <w:t>Ако се наблюдава значително повишение на стойностите на креатин киназата (повече от десет пъти над горната граница на нормата) или настъпи рабдомиолиза или подозрение за такава, лечението с аторвастатин трябва да бъде преустановено.</w:t>
      </w:r>
    </w:p>
    <w:p w14:paraId="459C6695" w14:textId="77777777" w:rsidR="00F703B9" w:rsidRPr="00F703B9" w:rsidRDefault="00F703B9" w:rsidP="00F703B9">
      <w:pPr>
        <w:spacing w:line="240" w:lineRule="auto"/>
        <w:rPr>
          <w:rFonts w:eastAsia="Times New Roman" w:cs="Arial"/>
          <w:i/>
          <w:iCs/>
          <w:color w:val="000000"/>
          <w:u w:val="single"/>
          <w:lang w:eastAsia="bg-BG"/>
        </w:rPr>
      </w:pPr>
    </w:p>
    <w:p w14:paraId="0B4DDA5B" w14:textId="32B42FD9" w:rsidR="00F703B9" w:rsidRPr="00F703B9" w:rsidRDefault="00F703B9" w:rsidP="00F703B9">
      <w:pPr>
        <w:spacing w:line="240" w:lineRule="auto"/>
        <w:rPr>
          <w:rFonts w:eastAsia="Times New Roman" w:cs="Arial"/>
        </w:rPr>
      </w:pPr>
      <w:r w:rsidRPr="00F703B9">
        <w:rPr>
          <w:rFonts w:eastAsia="Times New Roman" w:cs="Arial"/>
          <w:i/>
          <w:iCs/>
          <w:color w:val="000000"/>
          <w:u w:val="single"/>
          <w:lang w:eastAsia="bg-BG"/>
        </w:rPr>
        <w:t>Едновременно приложение с други лекарствени продукти</w:t>
      </w:r>
    </w:p>
    <w:p w14:paraId="44BE878F"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Рискът от рабдомиолиза нараства от едновременното приложение на аторвастатин и лекарствени продукти, които може да повишат плазмените концентрации на аторвастатин каквито са например мощни инхибитори на СУРЗА4 или транспортни протеини (например циклоспорин, телитромицин, кларитромицин, делавиридин, стирипентол, кетоконазол, вориконазол, итраконазол, позаконазол и </w:t>
      </w:r>
      <w:r w:rsidRPr="00F703B9">
        <w:rPr>
          <w:rFonts w:eastAsia="Times New Roman" w:cs="Arial"/>
          <w:color w:val="000000"/>
          <w:lang w:val="en-US"/>
        </w:rPr>
        <w:t>HIV</w:t>
      </w:r>
      <w:r w:rsidRPr="00F703B9">
        <w:rPr>
          <w:rFonts w:eastAsia="Times New Roman" w:cs="Arial"/>
          <w:color w:val="000000"/>
          <w:lang w:eastAsia="bg-BG"/>
        </w:rPr>
        <w:t>-протеазни инхибитори като ригонавир, лопинавир, атазанавир, индинавир, дарунавир, типранавир/ритонавир и др.). Рискът от миопатия може също да бъде повишен при съпътстващо приложение с гемфиброзил и други фибрати, антивирусни средства за лечение на хепатит С (боцепревир,телапревир, елбасвир/гразопревир), еритромицин, ниацин или езетимиб. Ако е възможно, вместо тези лекарства, трябва да се обмислят алтернативни (невзаимодействащи) терапии.</w:t>
      </w:r>
    </w:p>
    <w:p w14:paraId="6834911A" w14:textId="77777777" w:rsidR="00F703B9" w:rsidRPr="00F703B9" w:rsidRDefault="00F703B9" w:rsidP="00F703B9">
      <w:pPr>
        <w:spacing w:line="240" w:lineRule="auto"/>
        <w:rPr>
          <w:rFonts w:eastAsia="Times New Roman" w:cs="Arial"/>
          <w:color w:val="000000"/>
          <w:lang w:eastAsia="bg-BG"/>
        </w:rPr>
      </w:pPr>
    </w:p>
    <w:p w14:paraId="5C63631F" w14:textId="1C18384D"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В случаи, когато използването и на двете вещества е крайно необходимо, ползата и рискът от лечението трябва внимателно да се обмислят. Препоръчва се по-ниска начална доза аторвастатин за пациентите, по време на комбинирано лечение с лекарствени продукти, които увеличават плазмената концентрация на аторвастатин. По време на комбинирано лечение с мощни инхибитори на </w:t>
      </w:r>
      <w:r w:rsidRPr="00F703B9">
        <w:rPr>
          <w:rFonts w:eastAsia="Times New Roman" w:cs="Arial"/>
          <w:color w:val="000000"/>
          <w:lang w:val="en-US"/>
        </w:rPr>
        <w:t>CYP</w:t>
      </w:r>
      <w:r w:rsidRPr="00F703B9">
        <w:rPr>
          <w:rFonts w:eastAsia="Times New Roman" w:cs="Arial"/>
          <w:color w:val="000000"/>
          <w:lang w:val="ru-RU"/>
        </w:rPr>
        <w:t>3</w:t>
      </w:r>
      <w:r w:rsidRPr="00F703B9">
        <w:rPr>
          <w:rFonts w:eastAsia="Times New Roman" w:cs="Arial"/>
          <w:color w:val="000000"/>
          <w:lang w:val="en-US"/>
        </w:rPr>
        <w:t>A</w:t>
      </w:r>
      <w:r w:rsidRPr="00F703B9">
        <w:rPr>
          <w:rFonts w:eastAsia="Times New Roman" w:cs="Arial"/>
          <w:color w:val="000000"/>
          <w:lang w:val="ru-RU"/>
        </w:rPr>
        <w:t xml:space="preserve">4, </w:t>
      </w:r>
      <w:r w:rsidRPr="00F703B9">
        <w:rPr>
          <w:rFonts w:eastAsia="Times New Roman" w:cs="Arial"/>
          <w:color w:val="000000"/>
          <w:lang w:eastAsia="bg-BG"/>
        </w:rPr>
        <w:t>се препоръчва по-ниска начална доза на аторвастатин и строго проследяване на тези пациенти (вижте раздел 4.5).</w:t>
      </w:r>
    </w:p>
    <w:p w14:paraId="3D4CCD82" w14:textId="77777777" w:rsidR="00F703B9" w:rsidRPr="00F703B9" w:rsidRDefault="00F703B9" w:rsidP="00F703B9">
      <w:pPr>
        <w:spacing w:line="240" w:lineRule="auto"/>
        <w:rPr>
          <w:rFonts w:eastAsia="Times New Roman" w:cs="Arial"/>
          <w:color w:val="000000"/>
          <w:lang w:eastAsia="bg-BG"/>
        </w:rPr>
      </w:pPr>
    </w:p>
    <w:p w14:paraId="6BDE84DC" w14:textId="43AF75F3" w:rsidR="00F703B9" w:rsidRPr="00F703B9" w:rsidRDefault="00F703B9" w:rsidP="00F703B9">
      <w:pPr>
        <w:spacing w:line="240" w:lineRule="auto"/>
        <w:rPr>
          <w:rFonts w:eastAsia="Times New Roman" w:cs="Arial"/>
        </w:rPr>
      </w:pPr>
      <w:r w:rsidRPr="00F703B9">
        <w:rPr>
          <w:rFonts w:eastAsia="Times New Roman" w:cs="Arial"/>
          <w:color w:val="000000"/>
          <w:lang w:eastAsia="bg-BG"/>
        </w:rPr>
        <w:t>Аторвастатин не трябва да се прилага едновременно със системно приложена фузидова киселина или до 7 дни след прекратяване на лечение с фузидова киселина. При пациенти, при което се смята, че системното приложение на фузидова киселина е от съществено значение, лечението със статини трябва да се спре за целия период на лечението с фузидова киселина. Има съобщения за рабдомиолиза (включително и няколко фатални случая) при пациенти, получавали комбинацията (вж. точка 4.5). Пациентите трябва да бъдат посъветвани незабавно да потърсят съвет от лекар, ако получат симптоми на мускулна слабост, болки или напрежение в мускулите.</w:t>
      </w:r>
    </w:p>
    <w:p w14:paraId="0AD2CB30" w14:textId="77777777" w:rsidR="00F703B9" w:rsidRPr="00F703B9" w:rsidRDefault="00F703B9" w:rsidP="00F703B9">
      <w:pPr>
        <w:spacing w:line="240" w:lineRule="auto"/>
        <w:rPr>
          <w:rFonts w:eastAsia="Times New Roman" w:cs="Arial"/>
          <w:color w:val="000000"/>
          <w:lang w:eastAsia="bg-BG"/>
        </w:rPr>
      </w:pPr>
    </w:p>
    <w:p w14:paraId="529BDBA4" w14:textId="4674D316" w:rsidR="00F703B9" w:rsidRPr="00F703B9" w:rsidRDefault="00F703B9" w:rsidP="00F703B9">
      <w:pPr>
        <w:spacing w:line="240" w:lineRule="auto"/>
        <w:rPr>
          <w:rFonts w:eastAsia="Times New Roman" w:cs="Arial"/>
        </w:rPr>
      </w:pPr>
      <w:r w:rsidRPr="00F703B9">
        <w:rPr>
          <w:rFonts w:eastAsia="Times New Roman" w:cs="Arial"/>
          <w:color w:val="000000"/>
          <w:lang w:eastAsia="bg-BG"/>
        </w:rPr>
        <w:t>Статиновата терапия може да бъде възобновена няколко дни след последната доза фузидова киселина.</w:t>
      </w:r>
    </w:p>
    <w:p w14:paraId="786E8784" w14:textId="77777777" w:rsidR="00F703B9" w:rsidRPr="00F703B9" w:rsidRDefault="00F703B9" w:rsidP="00F703B9">
      <w:pPr>
        <w:spacing w:line="240" w:lineRule="auto"/>
        <w:rPr>
          <w:rFonts w:eastAsia="Times New Roman" w:cs="Arial"/>
          <w:color w:val="000000"/>
          <w:lang w:eastAsia="bg-BG"/>
        </w:rPr>
      </w:pPr>
    </w:p>
    <w:p w14:paraId="4045F5D3" w14:textId="53C99BE5" w:rsidR="00F703B9" w:rsidRPr="00F703B9" w:rsidRDefault="00F703B9" w:rsidP="00F703B9">
      <w:pPr>
        <w:spacing w:line="240" w:lineRule="auto"/>
        <w:rPr>
          <w:rFonts w:eastAsia="Times New Roman" w:cs="Arial"/>
        </w:rPr>
      </w:pPr>
      <w:r w:rsidRPr="00F703B9">
        <w:rPr>
          <w:rFonts w:eastAsia="Times New Roman" w:cs="Arial"/>
          <w:color w:val="000000"/>
          <w:lang w:eastAsia="bg-BG"/>
        </w:rPr>
        <w:t>При изключителни обстоятелства, когато е необходимо продължително системно приложение на фузидова киселина, например за лечение на тежки инфекции, необходимостта от едновременно прилагане на правастатин с фузидова киселина трябва да се прецени индивидуално за всеки пациент и да бъде под строг надзор от лекар (вижте раздел 4.5).</w:t>
      </w:r>
    </w:p>
    <w:p w14:paraId="3224B9A0" w14:textId="77777777" w:rsidR="00F703B9" w:rsidRPr="00F703B9" w:rsidRDefault="00F703B9" w:rsidP="00F703B9">
      <w:pPr>
        <w:spacing w:line="240" w:lineRule="auto"/>
        <w:rPr>
          <w:rFonts w:eastAsia="Times New Roman" w:cs="Arial"/>
          <w:color w:val="000000"/>
          <w:u w:val="single"/>
          <w:lang w:eastAsia="bg-BG"/>
        </w:rPr>
      </w:pPr>
    </w:p>
    <w:p w14:paraId="56F471EC" w14:textId="4351BF4D"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Педиатрична популация</w:t>
      </w:r>
    </w:p>
    <w:p w14:paraId="5B6B2240" w14:textId="45F201FF" w:rsidR="00F703B9" w:rsidRPr="00F703B9" w:rsidRDefault="00F703B9" w:rsidP="00F703B9">
      <w:pPr>
        <w:rPr>
          <w:rFonts w:eastAsia="Times New Roman" w:cs="Arial"/>
          <w:color w:val="000000"/>
          <w:lang w:eastAsia="bg-BG"/>
        </w:rPr>
      </w:pPr>
      <w:r w:rsidRPr="00F703B9">
        <w:rPr>
          <w:rFonts w:eastAsia="Times New Roman" w:cs="Arial"/>
          <w:color w:val="000000"/>
          <w:lang w:eastAsia="bg-BG"/>
        </w:rPr>
        <w:lastRenderedPageBreak/>
        <w:t>От данните, получени от тригодишно проучване, няма клинично значимо влияние върху растежа и настъпване на пубертет, като се има предвид оценката на цялостното полово развитие, оценката според скалата на Танер, както и според ръста и телесното тегло.</w:t>
      </w:r>
    </w:p>
    <w:p w14:paraId="7043696D" w14:textId="653079F9" w:rsidR="00F703B9" w:rsidRPr="00F703B9" w:rsidRDefault="00F703B9" w:rsidP="00F703B9">
      <w:pPr>
        <w:rPr>
          <w:rFonts w:eastAsia="Times New Roman" w:cs="Arial"/>
          <w:color w:val="000000"/>
          <w:lang w:eastAsia="bg-BG"/>
        </w:rPr>
      </w:pPr>
    </w:p>
    <w:p w14:paraId="6FCC0A52" w14:textId="7777777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Интерстициална белодробна болест</w:t>
      </w:r>
    </w:p>
    <w:p w14:paraId="01B4EEFE"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Отделни случаи на интерстициална белодробна болест са съобщавани при прием на някои статини, особено при продължителна терапия (виж точка 4.8). Представените случаи могат да включват диспнея, краткотрайна кашлица и влошаване на общото състояние (умора, отслабване и треска). Ако има съмнение, че пациентът е развил интерстициална белодробна болест, лечението със статини трябва да бъде прекратено.</w:t>
      </w:r>
    </w:p>
    <w:p w14:paraId="6675F309" w14:textId="77777777" w:rsidR="00F703B9" w:rsidRPr="00F703B9" w:rsidRDefault="00F703B9" w:rsidP="00F703B9">
      <w:pPr>
        <w:spacing w:line="240" w:lineRule="auto"/>
        <w:rPr>
          <w:rFonts w:eastAsia="Times New Roman" w:cs="Arial"/>
          <w:color w:val="000000"/>
          <w:u w:val="single"/>
          <w:lang w:eastAsia="bg-BG"/>
        </w:rPr>
      </w:pPr>
    </w:p>
    <w:p w14:paraId="15413BDA" w14:textId="54CD63AE"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Захарен диабет</w:t>
      </w:r>
    </w:p>
    <w:p w14:paraId="02A1C8CF"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Някои доказателства предполагат, че статините като клас повишават кръвната глюкоза и при някои пациенти с висок риск от развитие на диабет, може да предизвикат хипергликемия, дори когато е предприета подходяща грижа. Понижаването обаче на риска от съдово заболяване при приема на статини е с по-голямо значение и затова риска от диабет не трябва да бъде причина за спиране на лечението. Пациенти с риск (глюкоза на гладно 5,6 до 6,9 </w:t>
      </w:r>
      <w:r w:rsidRPr="00F703B9">
        <w:rPr>
          <w:rFonts w:eastAsia="Times New Roman" w:cs="Arial"/>
          <w:color w:val="000000"/>
          <w:lang w:val="en-US"/>
        </w:rPr>
        <w:t>mmol</w:t>
      </w:r>
      <w:r w:rsidRPr="00F703B9">
        <w:rPr>
          <w:rFonts w:eastAsia="Times New Roman" w:cs="Arial"/>
          <w:color w:val="000000"/>
          <w:lang w:val="ru-RU"/>
        </w:rPr>
        <w:t xml:space="preserve">/1, </w:t>
      </w:r>
      <w:r w:rsidRPr="00F703B9">
        <w:rPr>
          <w:rFonts w:eastAsia="Times New Roman" w:cs="Arial"/>
          <w:color w:val="000000"/>
          <w:lang w:val="en-US"/>
        </w:rPr>
        <w:t>BMI</w:t>
      </w:r>
      <w:r w:rsidRPr="00F703B9">
        <w:rPr>
          <w:rFonts w:eastAsia="Times New Roman" w:cs="Arial"/>
          <w:color w:val="000000"/>
          <w:lang w:val="ru-RU"/>
        </w:rPr>
        <w:t xml:space="preserve"> </w:t>
      </w:r>
      <w:r w:rsidRPr="00F703B9">
        <w:rPr>
          <w:rFonts w:eastAsia="Times New Roman" w:cs="Arial"/>
          <w:color w:val="000000"/>
          <w:lang w:eastAsia="bg-BG"/>
        </w:rPr>
        <w:t xml:space="preserve">&gt;30 </w:t>
      </w:r>
      <w:r w:rsidRPr="00F703B9">
        <w:rPr>
          <w:rFonts w:eastAsia="Times New Roman" w:cs="Arial"/>
          <w:color w:val="000000"/>
          <w:lang w:val="en-US"/>
        </w:rPr>
        <w:t>kg</w:t>
      </w:r>
      <w:r w:rsidRPr="00F703B9">
        <w:rPr>
          <w:rFonts w:eastAsia="Times New Roman" w:cs="Arial"/>
          <w:color w:val="000000"/>
          <w:lang w:val="ru-RU"/>
        </w:rPr>
        <w:t>/</w:t>
      </w:r>
      <w:r w:rsidRPr="00F703B9">
        <w:rPr>
          <w:rFonts w:eastAsia="Times New Roman" w:cs="Arial"/>
          <w:color w:val="000000"/>
          <w:lang w:val="en-US"/>
        </w:rPr>
        <w:t>m</w:t>
      </w:r>
      <w:r w:rsidRPr="00F703B9">
        <w:rPr>
          <w:rFonts w:eastAsia="Times New Roman" w:cs="Arial"/>
          <w:color w:val="000000"/>
          <w:vertAlign w:val="superscript"/>
          <w:lang w:eastAsia="bg-BG"/>
        </w:rPr>
        <w:t>2</w:t>
      </w:r>
      <w:r w:rsidRPr="00F703B9">
        <w:rPr>
          <w:rFonts w:eastAsia="Times New Roman" w:cs="Arial"/>
          <w:color w:val="000000"/>
          <w:lang w:eastAsia="bg-BG"/>
        </w:rPr>
        <w:t>, увеличени триглицериди, хипертония) трябва да бъдат клинично проследявани и да се наблюдават биохимичните им показатели съгласно националните ръководства.</w:t>
      </w:r>
    </w:p>
    <w:p w14:paraId="5F77EE36" w14:textId="77777777" w:rsidR="00F703B9" w:rsidRPr="00F703B9" w:rsidRDefault="00F703B9" w:rsidP="00F703B9">
      <w:pPr>
        <w:spacing w:line="240" w:lineRule="auto"/>
        <w:rPr>
          <w:rFonts w:eastAsia="Times New Roman" w:cs="Arial"/>
          <w:color w:val="000000"/>
          <w:u w:val="single"/>
          <w:lang w:eastAsia="bg-BG"/>
        </w:rPr>
      </w:pPr>
    </w:p>
    <w:p w14:paraId="13A15092" w14:textId="55F97E87" w:rsidR="00F703B9" w:rsidRPr="00F703B9" w:rsidRDefault="00F703B9" w:rsidP="00F703B9">
      <w:pPr>
        <w:spacing w:line="240" w:lineRule="auto"/>
        <w:rPr>
          <w:rFonts w:eastAsia="Times New Roman" w:cs="Arial"/>
        </w:rPr>
      </w:pPr>
      <w:r w:rsidRPr="00F703B9">
        <w:rPr>
          <w:rFonts w:eastAsia="Times New Roman" w:cs="Arial"/>
          <w:color w:val="000000"/>
          <w:u w:val="single"/>
          <w:lang w:eastAsia="bg-BG"/>
        </w:rPr>
        <w:t>Помощни вещества:</w:t>
      </w:r>
    </w:p>
    <w:p w14:paraId="2E9C9A54" w14:textId="77777777" w:rsidR="00F703B9" w:rsidRPr="00F703B9" w:rsidRDefault="00F703B9" w:rsidP="00F703B9">
      <w:pPr>
        <w:spacing w:line="240" w:lineRule="auto"/>
        <w:rPr>
          <w:rFonts w:eastAsia="Times New Roman" w:cs="Arial"/>
        </w:rPr>
      </w:pPr>
      <w:r w:rsidRPr="00F703B9">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31CFA1D" w14:textId="77777777" w:rsidR="00F703B9" w:rsidRPr="00F703B9" w:rsidRDefault="00F703B9" w:rsidP="00F703B9">
      <w:pPr>
        <w:spacing w:line="240" w:lineRule="auto"/>
        <w:rPr>
          <w:rFonts w:eastAsia="Times New Roman" w:cs="Arial"/>
          <w:color w:val="000000"/>
          <w:lang w:eastAsia="bg-BG"/>
        </w:rPr>
      </w:pPr>
    </w:p>
    <w:p w14:paraId="48D95637" w14:textId="16FA8069" w:rsidR="00F703B9" w:rsidRPr="00F703B9" w:rsidRDefault="00F703B9" w:rsidP="00F703B9">
      <w:pPr>
        <w:spacing w:line="240" w:lineRule="auto"/>
        <w:rPr>
          <w:rFonts w:eastAsia="Times New Roman" w:cs="Arial"/>
        </w:rPr>
      </w:pPr>
      <w:r w:rsidRPr="00F703B9">
        <w:rPr>
          <w:rFonts w:eastAsia="Times New Roman" w:cs="Arial"/>
          <w:color w:val="000000"/>
          <w:lang w:eastAsia="bg-BG"/>
        </w:rPr>
        <w:t xml:space="preserve">Това лекарство съдържа по-малко от 1 </w:t>
      </w:r>
      <w:r w:rsidRPr="00F703B9">
        <w:rPr>
          <w:rFonts w:eastAsia="Times New Roman" w:cs="Arial"/>
          <w:color w:val="000000"/>
          <w:lang w:val="en-US"/>
        </w:rPr>
        <w:t>mmol</w:t>
      </w:r>
      <w:r w:rsidRPr="00F703B9">
        <w:rPr>
          <w:rFonts w:eastAsia="Times New Roman" w:cs="Arial"/>
          <w:color w:val="000000"/>
          <w:lang w:val="ru-RU"/>
        </w:rPr>
        <w:t xml:space="preserve"> </w:t>
      </w:r>
      <w:r w:rsidRPr="00F703B9">
        <w:rPr>
          <w:rFonts w:eastAsia="Times New Roman" w:cs="Arial"/>
          <w:color w:val="000000"/>
          <w:lang w:eastAsia="bg-BG"/>
        </w:rPr>
        <w:t xml:space="preserve">натрий (23 </w:t>
      </w:r>
      <w:r w:rsidRPr="00F703B9">
        <w:rPr>
          <w:rFonts w:eastAsia="Times New Roman" w:cs="Arial"/>
          <w:color w:val="000000"/>
          <w:lang w:val="en-US"/>
        </w:rPr>
        <w:t>mg</w:t>
      </w:r>
      <w:r w:rsidRPr="00F703B9">
        <w:rPr>
          <w:rFonts w:eastAsia="Times New Roman" w:cs="Arial"/>
          <w:color w:val="000000"/>
          <w:lang w:val="ru-RU"/>
        </w:rPr>
        <w:t xml:space="preserve">) </w:t>
      </w:r>
      <w:r w:rsidRPr="00F703B9">
        <w:rPr>
          <w:rFonts w:eastAsia="Times New Roman" w:cs="Arial"/>
          <w:color w:val="000000"/>
          <w:lang w:eastAsia="bg-BG"/>
        </w:rPr>
        <w:t>на таблетка, т.е. може да се каже, че практически не съдържа натрий.</w:t>
      </w:r>
    </w:p>
    <w:p w14:paraId="79E211A5" w14:textId="70CBF17B" w:rsidR="00F703B9" w:rsidRPr="00F703B9" w:rsidRDefault="00F703B9" w:rsidP="00F703B9"/>
    <w:p w14:paraId="0734264C" w14:textId="227FEDA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0CDCB3C" w14:textId="11FA77EB" w:rsidR="00F703B9" w:rsidRDefault="00F703B9" w:rsidP="00F703B9"/>
    <w:p w14:paraId="407CB8B1"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Ефекти на едновременно прилаганите с аторвастатин лекарствени продукти</w:t>
      </w:r>
    </w:p>
    <w:p w14:paraId="0BC62B1B"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Аторвастатин се метаболизира от цитохром Р450 ЗА4 </w:t>
      </w:r>
      <w:r w:rsidRPr="00F703B9">
        <w:rPr>
          <w:rFonts w:eastAsia="Times New Roman" w:cs="Arial"/>
          <w:color w:val="000000"/>
          <w:szCs w:val="20"/>
        </w:rPr>
        <w:t>(</w:t>
      </w:r>
      <w:r w:rsidRPr="00F703B9">
        <w:rPr>
          <w:rFonts w:eastAsia="Times New Roman" w:cs="Arial"/>
          <w:color w:val="000000"/>
          <w:szCs w:val="20"/>
          <w:lang w:val="en-US"/>
        </w:rPr>
        <w:t>CYP</w:t>
      </w:r>
      <w:r w:rsidRPr="00F703B9">
        <w:rPr>
          <w:rFonts w:eastAsia="Times New Roman" w:cs="Arial"/>
          <w:color w:val="000000"/>
          <w:szCs w:val="20"/>
        </w:rPr>
        <w:t>3</w:t>
      </w:r>
      <w:r w:rsidRPr="00F703B9">
        <w:rPr>
          <w:rFonts w:eastAsia="Times New Roman" w:cs="Arial"/>
          <w:color w:val="000000"/>
          <w:szCs w:val="20"/>
          <w:lang w:val="en-US"/>
        </w:rPr>
        <w:t>A</w:t>
      </w:r>
      <w:r w:rsidRPr="00F703B9">
        <w:rPr>
          <w:rFonts w:eastAsia="Times New Roman" w:cs="Arial"/>
          <w:color w:val="000000"/>
          <w:szCs w:val="20"/>
        </w:rPr>
        <w:t xml:space="preserve">4) </w:t>
      </w:r>
      <w:r w:rsidRPr="00F703B9">
        <w:rPr>
          <w:rFonts w:eastAsia="Times New Roman" w:cs="Arial"/>
          <w:color w:val="000000"/>
          <w:szCs w:val="20"/>
          <w:lang w:eastAsia="bg-BG"/>
        </w:rPr>
        <w:t xml:space="preserve">и е субстрат на чернодробните транспортери и на полипептидите, транспортиращи органични аниони 1В1 </w:t>
      </w:r>
      <w:r w:rsidRPr="00F703B9">
        <w:rPr>
          <w:rFonts w:eastAsia="Times New Roman" w:cs="Arial"/>
          <w:color w:val="000000"/>
          <w:szCs w:val="20"/>
        </w:rPr>
        <w:t>(</w:t>
      </w:r>
      <w:r w:rsidRPr="00F703B9">
        <w:rPr>
          <w:rFonts w:eastAsia="Times New Roman" w:cs="Arial"/>
          <w:color w:val="000000"/>
          <w:szCs w:val="20"/>
          <w:lang w:val="en-US"/>
        </w:rPr>
        <w:t>Organic</w:t>
      </w:r>
      <w:r w:rsidRPr="00F703B9">
        <w:rPr>
          <w:rFonts w:eastAsia="Times New Roman" w:cs="Arial"/>
          <w:color w:val="000000"/>
          <w:szCs w:val="20"/>
        </w:rPr>
        <w:t xml:space="preserve"> </w:t>
      </w:r>
      <w:r w:rsidRPr="00F703B9">
        <w:rPr>
          <w:rFonts w:eastAsia="Times New Roman" w:cs="Arial"/>
          <w:color w:val="000000"/>
          <w:szCs w:val="20"/>
          <w:lang w:val="en-US"/>
        </w:rPr>
        <w:t>anion</w:t>
      </w:r>
      <w:r w:rsidRPr="00F703B9">
        <w:rPr>
          <w:rFonts w:eastAsia="Times New Roman" w:cs="Arial"/>
          <w:color w:val="000000"/>
          <w:szCs w:val="20"/>
        </w:rPr>
        <w:softHyphen/>
      </w:r>
      <w:r w:rsidRPr="00F703B9">
        <w:rPr>
          <w:rFonts w:eastAsia="Times New Roman" w:cs="Arial"/>
          <w:color w:val="000000"/>
          <w:szCs w:val="20"/>
          <w:lang w:val="en-US"/>
        </w:rPr>
        <w:t>transporting</w:t>
      </w:r>
      <w:r w:rsidRPr="00F703B9">
        <w:rPr>
          <w:rFonts w:eastAsia="Times New Roman" w:cs="Arial"/>
          <w:color w:val="000000"/>
          <w:szCs w:val="20"/>
        </w:rPr>
        <w:t xml:space="preserve"> </w:t>
      </w:r>
      <w:r w:rsidRPr="00F703B9">
        <w:rPr>
          <w:rFonts w:eastAsia="Times New Roman" w:cs="Arial"/>
          <w:color w:val="000000"/>
          <w:szCs w:val="20"/>
          <w:lang w:val="en-US"/>
        </w:rPr>
        <w:t>polypeptide</w:t>
      </w:r>
      <w:r w:rsidRPr="00F703B9">
        <w:rPr>
          <w:rFonts w:eastAsia="Times New Roman" w:cs="Arial"/>
          <w:color w:val="000000"/>
          <w:szCs w:val="20"/>
        </w:rPr>
        <w:t xml:space="preserve"> </w:t>
      </w:r>
      <w:r w:rsidRPr="00F703B9">
        <w:rPr>
          <w:rFonts w:eastAsia="Times New Roman" w:cs="Arial"/>
          <w:color w:val="000000"/>
          <w:szCs w:val="20"/>
          <w:lang w:eastAsia="bg-BG"/>
        </w:rPr>
        <w:t xml:space="preserve">1В1, </w:t>
      </w:r>
      <w:r w:rsidRPr="00F703B9">
        <w:rPr>
          <w:rFonts w:eastAsia="Times New Roman" w:cs="Arial"/>
          <w:color w:val="000000"/>
          <w:szCs w:val="20"/>
          <w:lang w:val="en-US"/>
        </w:rPr>
        <w:t>OATP</w:t>
      </w:r>
      <w:r w:rsidRPr="00F703B9">
        <w:rPr>
          <w:rFonts w:eastAsia="Times New Roman" w:cs="Arial"/>
          <w:color w:val="000000"/>
          <w:szCs w:val="20"/>
        </w:rPr>
        <w:t>1</w:t>
      </w:r>
      <w:r w:rsidRPr="00F703B9">
        <w:rPr>
          <w:rFonts w:eastAsia="Times New Roman" w:cs="Arial"/>
          <w:color w:val="000000"/>
          <w:szCs w:val="20"/>
          <w:lang w:val="en-US"/>
        </w:rPr>
        <w:t>B</w:t>
      </w:r>
      <w:r w:rsidRPr="00F703B9">
        <w:rPr>
          <w:rFonts w:eastAsia="Times New Roman" w:cs="Arial"/>
          <w:color w:val="000000"/>
          <w:szCs w:val="20"/>
        </w:rPr>
        <w:t xml:space="preserve">1) </w:t>
      </w:r>
      <w:r w:rsidRPr="00F703B9">
        <w:rPr>
          <w:rFonts w:eastAsia="Times New Roman" w:cs="Arial"/>
          <w:color w:val="000000"/>
          <w:szCs w:val="20"/>
          <w:lang w:eastAsia="bg-BG"/>
        </w:rPr>
        <w:t xml:space="preserve">и </w:t>
      </w:r>
      <w:r w:rsidRPr="00F703B9">
        <w:rPr>
          <w:rFonts w:eastAsia="Times New Roman" w:cs="Arial"/>
          <w:color w:val="000000"/>
          <w:szCs w:val="20"/>
        </w:rPr>
        <w:t>1</w:t>
      </w:r>
      <w:r w:rsidRPr="00F703B9">
        <w:rPr>
          <w:rFonts w:eastAsia="Times New Roman" w:cs="Arial"/>
          <w:color w:val="000000"/>
          <w:szCs w:val="20"/>
          <w:lang w:val="en-US"/>
        </w:rPr>
        <w:t>B</w:t>
      </w:r>
      <w:r w:rsidRPr="00F703B9">
        <w:rPr>
          <w:rFonts w:eastAsia="Times New Roman" w:cs="Arial"/>
          <w:color w:val="000000"/>
          <w:szCs w:val="20"/>
        </w:rPr>
        <w:t>3 (</w:t>
      </w:r>
      <w:r w:rsidRPr="00F703B9">
        <w:rPr>
          <w:rFonts w:eastAsia="Times New Roman" w:cs="Arial"/>
          <w:color w:val="000000"/>
          <w:szCs w:val="20"/>
          <w:lang w:val="en-US"/>
        </w:rPr>
        <w:t>OATP</w:t>
      </w:r>
      <w:r w:rsidRPr="00F703B9">
        <w:rPr>
          <w:rFonts w:eastAsia="Times New Roman" w:cs="Arial"/>
          <w:color w:val="000000"/>
          <w:szCs w:val="20"/>
        </w:rPr>
        <w:t>1</w:t>
      </w:r>
      <w:r w:rsidRPr="00F703B9">
        <w:rPr>
          <w:rFonts w:eastAsia="Times New Roman" w:cs="Arial"/>
          <w:color w:val="000000"/>
          <w:szCs w:val="20"/>
          <w:lang w:val="en-US"/>
        </w:rPr>
        <w:t>B</w:t>
      </w:r>
      <w:r w:rsidRPr="00F703B9">
        <w:rPr>
          <w:rFonts w:eastAsia="Times New Roman" w:cs="Arial"/>
          <w:color w:val="000000"/>
          <w:szCs w:val="20"/>
        </w:rPr>
        <w:t xml:space="preserve">3). </w:t>
      </w:r>
      <w:r w:rsidRPr="00F703B9">
        <w:rPr>
          <w:rFonts w:eastAsia="Times New Roman" w:cs="Arial"/>
          <w:color w:val="000000"/>
          <w:szCs w:val="20"/>
          <w:lang w:eastAsia="bg-BG"/>
        </w:rPr>
        <w:t xml:space="preserve">Метаболитите на аторвастатин са субстрати на ОАТР1В1. Установено е също така, че аторвастатин е субстрат на протеина, свързан с множествена лекарствена резистентност 1 </w:t>
      </w:r>
      <w:r w:rsidRPr="00F703B9">
        <w:rPr>
          <w:rFonts w:eastAsia="Times New Roman" w:cs="Arial"/>
          <w:color w:val="000000"/>
          <w:szCs w:val="20"/>
          <w:lang w:val="ru-RU"/>
        </w:rPr>
        <w:t>(</w:t>
      </w:r>
      <w:r w:rsidRPr="00F703B9">
        <w:rPr>
          <w:rFonts w:eastAsia="Times New Roman" w:cs="Arial"/>
          <w:color w:val="000000"/>
          <w:szCs w:val="20"/>
          <w:lang w:val="en-US"/>
        </w:rPr>
        <w:t>Multi</w:t>
      </w:r>
      <w:r w:rsidRPr="00F703B9">
        <w:rPr>
          <w:rFonts w:eastAsia="Times New Roman" w:cs="Arial"/>
          <w:color w:val="000000"/>
          <w:szCs w:val="20"/>
          <w:lang w:val="ru-RU"/>
        </w:rPr>
        <w:t>-</w:t>
      </w:r>
      <w:r w:rsidRPr="00F703B9">
        <w:rPr>
          <w:rFonts w:eastAsia="Times New Roman" w:cs="Arial"/>
          <w:color w:val="000000"/>
          <w:szCs w:val="20"/>
          <w:lang w:val="en-US"/>
        </w:rPr>
        <w:t>drug</w:t>
      </w:r>
      <w:r w:rsidRPr="00F703B9">
        <w:rPr>
          <w:rFonts w:eastAsia="Times New Roman" w:cs="Arial"/>
          <w:color w:val="000000"/>
          <w:szCs w:val="20"/>
          <w:lang w:val="ru-RU"/>
        </w:rPr>
        <w:t xml:space="preserve"> </w:t>
      </w:r>
      <w:r w:rsidRPr="00F703B9">
        <w:rPr>
          <w:rFonts w:eastAsia="Times New Roman" w:cs="Arial"/>
          <w:color w:val="000000"/>
          <w:szCs w:val="20"/>
          <w:lang w:val="en-US"/>
        </w:rPr>
        <w:t>resistance</w:t>
      </w:r>
      <w:r w:rsidRPr="00F703B9">
        <w:rPr>
          <w:rFonts w:eastAsia="Times New Roman" w:cs="Arial"/>
          <w:color w:val="000000"/>
          <w:szCs w:val="20"/>
          <w:lang w:val="ru-RU"/>
        </w:rPr>
        <w:t xml:space="preserve"> </w:t>
      </w:r>
      <w:r w:rsidRPr="00F703B9">
        <w:rPr>
          <w:rFonts w:eastAsia="Times New Roman" w:cs="Arial"/>
          <w:color w:val="000000"/>
          <w:szCs w:val="20"/>
          <w:lang w:val="en-US"/>
        </w:rPr>
        <w:t>protein</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1, </w:t>
      </w:r>
      <w:r w:rsidRPr="00F703B9">
        <w:rPr>
          <w:rFonts w:eastAsia="Times New Roman" w:cs="Arial"/>
          <w:color w:val="000000"/>
          <w:szCs w:val="20"/>
          <w:lang w:val="en-US"/>
        </w:rPr>
        <w:t>MDR</w:t>
      </w:r>
      <w:r w:rsidRPr="00F703B9">
        <w:rPr>
          <w:rFonts w:eastAsia="Times New Roman" w:cs="Arial"/>
          <w:color w:val="000000"/>
          <w:szCs w:val="20"/>
          <w:lang w:val="ru-RU"/>
        </w:rPr>
        <w:t xml:space="preserve">1), </w:t>
      </w:r>
      <w:r w:rsidRPr="00F703B9">
        <w:rPr>
          <w:rFonts w:eastAsia="Times New Roman" w:cs="Arial"/>
          <w:color w:val="000000"/>
          <w:szCs w:val="20"/>
          <w:lang w:eastAsia="bg-BG"/>
        </w:rPr>
        <w:t xml:space="preserve">и на протеина на резистентност на рака на гърдата </w:t>
      </w:r>
      <w:r w:rsidRPr="00F703B9">
        <w:rPr>
          <w:rFonts w:eastAsia="Times New Roman" w:cs="Arial"/>
          <w:color w:val="000000"/>
          <w:szCs w:val="20"/>
          <w:lang w:val="ru-RU"/>
        </w:rPr>
        <w:t>(</w:t>
      </w:r>
      <w:r w:rsidRPr="00F703B9">
        <w:rPr>
          <w:rFonts w:eastAsia="Times New Roman" w:cs="Arial"/>
          <w:color w:val="000000"/>
          <w:szCs w:val="20"/>
          <w:lang w:val="en-US"/>
        </w:rPr>
        <w:t>Breast</w:t>
      </w:r>
      <w:r w:rsidRPr="00F703B9">
        <w:rPr>
          <w:rFonts w:eastAsia="Times New Roman" w:cs="Arial"/>
          <w:color w:val="000000"/>
          <w:szCs w:val="20"/>
          <w:lang w:val="ru-RU"/>
        </w:rPr>
        <w:t xml:space="preserve"> </w:t>
      </w:r>
      <w:r w:rsidRPr="00F703B9">
        <w:rPr>
          <w:rFonts w:eastAsia="Times New Roman" w:cs="Arial"/>
          <w:color w:val="000000"/>
          <w:szCs w:val="20"/>
          <w:lang w:val="en-US"/>
        </w:rPr>
        <w:t>cancer</w:t>
      </w:r>
      <w:r w:rsidRPr="00F703B9">
        <w:rPr>
          <w:rFonts w:eastAsia="Times New Roman" w:cs="Arial"/>
          <w:color w:val="000000"/>
          <w:szCs w:val="20"/>
          <w:lang w:val="ru-RU"/>
        </w:rPr>
        <w:t xml:space="preserve"> </w:t>
      </w:r>
      <w:r w:rsidRPr="00F703B9">
        <w:rPr>
          <w:rFonts w:eastAsia="Times New Roman" w:cs="Arial"/>
          <w:color w:val="000000"/>
          <w:szCs w:val="20"/>
          <w:lang w:val="en-US"/>
        </w:rPr>
        <w:t>resistance</w:t>
      </w:r>
      <w:r w:rsidRPr="00F703B9">
        <w:rPr>
          <w:rFonts w:eastAsia="Times New Roman" w:cs="Arial"/>
          <w:color w:val="000000"/>
          <w:szCs w:val="20"/>
          <w:lang w:val="ru-RU"/>
        </w:rPr>
        <w:t xml:space="preserve"> </w:t>
      </w:r>
      <w:r w:rsidRPr="00F703B9">
        <w:rPr>
          <w:rFonts w:eastAsia="Times New Roman" w:cs="Arial"/>
          <w:color w:val="000000"/>
          <w:szCs w:val="20"/>
          <w:lang w:val="en-US"/>
        </w:rPr>
        <w:t>protein</w:t>
      </w:r>
      <w:r w:rsidRPr="00F703B9">
        <w:rPr>
          <w:rFonts w:eastAsia="Times New Roman" w:cs="Arial"/>
          <w:color w:val="000000"/>
          <w:szCs w:val="20"/>
          <w:lang w:val="ru-RU"/>
        </w:rPr>
        <w:t xml:space="preserve">, </w:t>
      </w:r>
      <w:r w:rsidRPr="00F703B9">
        <w:rPr>
          <w:rFonts w:eastAsia="Times New Roman" w:cs="Arial"/>
          <w:color w:val="000000"/>
          <w:szCs w:val="20"/>
          <w:lang w:val="en-US"/>
        </w:rPr>
        <w:t>BCRP</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които може да ограничат чревната абсорбция и жлъчния клирънс на аторвастатин (вж. точка 5.2). Съпътстващото прилагане на лекарствени продукти, които са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или на транспортните протеини, може да доведе до повишаване на плазмените концентрации на аторвастатин и повишен риск от миопатия. Рискът може да се повиши също при едновременно прилагане на аторвастатин с други лекарствени продукти, притежаващи потенциал да индуцират миопатия, като фибрата и езетимиб (вж. точка 4.3 и 4.4).</w:t>
      </w:r>
    </w:p>
    <w:p w14:paraId="6C0EE49C" w14:textId="77777777" w:rsidR="00F703B9" w:rsidRPr="00F703B9" w:rsidRDefault="00F703B9" w:rsidP="00F703B9">
      <w:pPr>
        <w:spacing w:line="240" w:lineRule="auto"/>
        <w:rPr>
          <w:rFonts w:eastAsia="Times New Roman" w:cs="Arial"/>
          <w:i/>
          <w:iCs/>
          <w:color w:val="000000"/>
          <w:szCs w:val="20"/>
          <w:lang w:eastAsia="bg-BG"/>
        </w:rPr>
      </w:pPr>
    </w:p>
    <w:p w14:paraId="4C706541" w14:textId="72EC3DE1"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 xml:space="preserve">Инхибитори на </w:t>
      </w:r>
      <w:r w:rsidRPr="00F703B9">
        <w:rPr>
          <w:rFonts w:eastAsia="Times New Roman" w:cs="Arial"/>
          <w:i/>
          <w:iCs/>
          <w:color w:val="000000"/>
          <w:szCs w:val="20"/>
          <w:lang w:val="en-US"/>
        </w:rPr>
        <w:t>CYP</w:t>
      </w:r>
      <w:r w:rsidRPr="00F703B9">
        <w:rPr>
          <w:rFonts w:eastAsia="Times New Roman" w:cs="Arial"/>
          <w:i/>
          <w:iCs/>
          <w:color w:val="000000"/>
          <w:szCs w:val="20"/>
          <w:lang w:val="ru-RU"/>
        </w:rPr>
        <w:t>3</w:t>
      </w:r>
      <w:r w:rsidRPr="00F703B9">
        <w:rPr>
          <w:rFonts w:eastAsia="Times New Roman" w:cs="Arial"/>
          <w:i/>
          <w:iCs/>
          <w:color w:val="000000"/>
          <w:szCs w:val="20"/>
          <w:lang w:val="en-US"/>
        </w:rPr>
        <w:t>A</w:t>
      </w:r>
      <w:r w:rsidRPr="00F703B9">
        <w:rPr>
          <w:rFonts w:eastAsia="Times New Roman" w:cs="Arial"/>
          <w:i/>
          <w:iCs/>
          <w:color w:val="000000"/>
          <w:szCs w:val="20"/>
          <w:lang w:val="ru-RU"/>
        </w:rPr>
        <w:t>4:</w:t>
      </w:r>
    </w:p>
    <w:p w14:paraId="0EE93C2B"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Има данни, че мощните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 xml:space="preserve">водят до значително повишени концентрации на аторвастатин (вж. Таблица 1 и подробната информация по-долу). </w:t>
      </w:r>
      <w:r w:rsidRPr="00F703B9">
        <w:rPr>
          <w:rFonts w:eastAsia="Times New Roman" w:cs="Arial"/>
          <w:color w:val="000000"/>
          <w:szCs w:val="20"/>
          <w:lang w:eastAsia="bg-BG"/>
        </w:rPr>
        <w:lastRenderedPageBreak/>
        <w:t xml:space="preserve">Едновременното прилагане на мощни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 xml:space="preserve">(напр. циклоспорин, телитромицин, кларитромицин, делавирдин, стирипентол, кетоконазол, вориконазол, итраконазол, позаконазол, С (напр. елбасвир/гразопревир) някои антивирусни средства за лечение на хепатит и на </w:t>
      </w:r>
      <w:r w:rsidRPr="00F703B9">
        <w:rPr>
          <w:rFonts w:eastAsia="Times New Roman" w:cs="Arial"/>
          <w:color w:val="000000"/>
          <w:szCs w:val="20"/>
          <w:lang w:val="en-US"/>
        </w:rPr>
        <w:t>HIV</w:t>
      </w:r>
      <w:r w:rsidRPr="00F703B9">
        <w:rPr>
          <w:rFonts w:eastAsia="Times New Roman" w:cs="Arial"/>
          <w:color w:val="000000"/>
          <w:szCs w:val="20"/>
          <w:lang w:eastAsia="bg-BG"/>
        </w:rPr>
        <w:t>-протеазни инхибитори, включително ритонавир, лопинавир, атазанавир, индинавир, дарунавир и др.), по възможност трябва да се избягва. В случаи, когато не може да се избегне едновременното прилагане на тези лекарствени продукти с аторвастатин, трябва да се обмислят по-ниска начална и максимална доза на аторвастатин. Препоръчва се и подходящо клинично проследяване на пациента (вж. Таблица 1).</w:t>
      </w:r>
    </w:p>
    <w:p w14:paraId="4DDE5BD0" w14:textId="77777777" w:rsidR="00F703B9" w:rsidRPr="00F703B9" w:rsidRDefault="00F703B9" w:rsidP="00F703B9">
      <w:pPr>
        <w:spacing w:line="240" w:lineRule="auto"/>
        <w:rPr>
          <w:rFonts w:eastAsia="Times New Roman" w:cs="Arial"/>
          <w:color w:val="000000"/>
          <w:szCs w:val="20"/>
          <w:lang w:eastAsia="bg-BG"/>
        </w:rPr>
      </w:pPr>
    </w:p>
    <w:p w14:paraId="36DFD48C" w14:textId="77777777" w:rsidR="00F703B9" w:rsidRPr="00F703B9" w:rsidRDefault="00F703B9" w:rsidP="00F703B9">
      <w:pPr>
        <w:rPr>
          <w:rFonts w:eastAsia="Times New Roman" w:cs="Arial"/>
          <w:sz w:val="28"/>
          <w:szCs w:val="24"/>
        </w:rPr>
      </w:pPr>
      <w:r w:rsidRPr="00F703B9">
        <w:rPr>
          <w:rFonts w:eastAsia="Times New Roman" w:cs="Arial"/>
          <w:color w:val="000000"/>
          <w:szCs w:val="20"/>
          <w:lang w:eastAsia="bg-BG"/>
        </w:rPr>
        <w:t xml:space="preserve">Умерени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 xml:space="preserve">(еритромицин, дилтиазем, верапамил и флуконазол) може да повишат плазмените концентрации на аторвастатин (виж таблица 1). Наблюдава се повишен риск от миопатия при прилагане на еритромицин със статини. Не е провеждано проучване за взаимодействията за оценка на ефекта от едновременно приложение на амиодарон или верапамил с аторвастатин. И двата продукта амиодарон и верапамил са познати с ефекта си да инхибират активността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eastAsia="bg-BG"/>
        </w:rPr>
        <w:t xml:space="preserve">А4 и едновременният им прием с аторвастатин може да доведе до повишена експозиция на аторвастатин. Поради това за подходяща се счита по-ниска максимална доза аторвастатин и се препоръчва клинично проследяване на пациента, когато се прилага едновременно с умерени инхибитори на </w:t>
      </w:r>
      <w:r w:rsidRPr="00F703B9">
        <w:rPr>
          <w:rFonts w:eastAsia="Times New Roman" w:cs="Arial"/>
          <w:color w:val="000000"/>
          <w:szCs w:val="20"/>
          <w:lang w:val="en-US"/>
        </w:rPr>
        <w:t>CYP</w:t>
      </w:r>
      <w:r w:rsidRPr="00F703B9">
        <w:rPr>
          <w:rFonts w:eastAsia="Times New Roman" w:cs="Arial"/>
          <w:color w:val="000000"/>
          <w:szCs w:val="20"/>
          <w:lang w:val="ru-RU"/>
        </w:rPr>
        <w:t>3</w:t>
      </w:r>
      <w:r w:rsidRPr="00F703B9">
        <w:rPr>
          <w:rFonts w:eastAsia="Times New Roman" w:cs="Arial"/>
          <w:color w:val="000000"/>
          <w:szCs w:val="20"/>
          <w:lang w:val="en-US"/>
        </w:rPr>
        <w:t>A</w:t>
      </w:r>
      <w:r w:rsidRPr="00F703B9">
        <w:rPr>
          <w:rFonts w:eastAsia="Times New Roman" w:cs="Arial"/>
          <w:color w:val="000000"/>
          <w:szCs w:val="20"/>
          <w:lang w:val="ru-RU"/>
        </w:rPr>
        <w:t xml:space="preserve">4. </w:t>
      </w:r>
      <w:r w:rsidRPr="00F703B9">
        <w:rPr>
          <w:rFonts w:eastAsia="Times New Roman" w:cs="Arial"/>
          <w:color w:val="000000"/>
          <w:szCs w:val="20"/>
          <w:lang w:eastAsia="bg-BG"/>
        </w:rPr>
        <w:t>Проследяването се препоръчва след започване на лечението и след коригиране дозата на инхибитора.</w:t>
      </w:r>
    </w:p>
    <w:p w14:paraId="78AC5D99" w14:textId="77777777" w:rsidR="00F703B9" w:rsidRPr="00F703B9" w:rsidRDefault="00F703B9" w:rsidP="00F703B9">
      <w:pPr>
        <w:spacing w:line="240" w:lineRule="auto"/>
        <w:rPr>
          <w:rFonts w:eastAsia="Times New Roman" w:cs="Arial"/>
          <w:i/>
          <w:iCs/>
          <w:color w:val="000000"/>
          <w:szCs w:val="20"/>
          <w:lang w:eastAsia="bg-BG"/>
        </w:rPr>
      </w:pPr>
    </w:p>
    <w:p w14:paraId="43E9CE82" w14:textId="1923421F"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 xml:space="preserve">Индуктори </w:t>
      </w:r>
      <w:r w:rsidRPr="00F703B9">
        <w:rPr>
          <w:rFonts w:eastAsia="Times New Roman" w:cs="Arial"/>
          <w:i/>
          <w:iCs/>
          <w:color w:val="000000"/>
          <w:szCs w:val="20"/>
          <w:lang w:val="en-US"/>
        </w:rPr>
        <w:t>CYP</w:t>
      </w:r>
      <w:r w:rsidRPr="00F703B9">
        <w:rPr>
          <w:rFonts w:eastAsia="Times New Roman" w:cs="Arial"/>
          <w:i/>
          <w:iCs/>
          <w:color w:val="000000"/>
          <w:szCs w:val="20"/>
          <w:lang w:val="ru-RU"/>
        </w:rPr>
        <w:t>3</w:t>
      </w:r>
      <w:r w:rsidRPr="00F703B9">
        <w:rPr>
          <w:rFonts w:eastAsia="Times New Roman" w:cs="Arial"/>
          <w:i/>
          <w:iCs/>
          <w:color w:val="000000"/>
          <w:szCs w:val="20"/>
          <w:lang w:val="en-US"/>
        </w:rPr>
        <w:t>A</w:t>
      </w:r>
      <w:r w:rsidRPr="00F703B9">
        <w:rPr>
          <w:rFonts w:eastAsia="Times New Roman" w:cs="Arial"/>
          <w:i/>
          <w:iCs/>
          <w:color w:val="000000"/>
          <w:szCs w:val="20"/>
          <w:lang w:val="ru-RU"/>
        </w:rPr>
        <w:t>4</w:t>
      </w:r>
    </w:p>
    <w:p w14:paraId="7BA42E49"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Едновременното приложение на аторвастатин с индуктори на цитохром Р 450 ЗА4 (напр. ефавиренц, рифампицин, жълт кантарион) може да доведе до променливи редукции на плазмените концентрации на аторвастатин.</w:t>
      </w:r>
    </w:p>
    <w:p w14:paraId="301C067E" w14:textId="77777777" w:rsidR="00F703B9" w:rsidRPr="00F703B9" w:rsidRDefault="00F703B9" w:rsidP="00F703B9">
      <w:pPr>
        <w:spacing w:line="240" w:lineRule="auto"/>
        <w:rPr>
          <w:rFonts w:eastAsia="Times New Roman" w:cs="Arial"/>
          <w:color w:val="000000"/>
          <w:szCs w:val="20"/>
          <w:lang w:eastAsia="bg-BG"/>
        </w:rPr>
      </w:pPr>
    </w:p>
    <w:p w14:paraId="64909749" w14:textId="078FBB95"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Поради двойния механизъм на взаимодействие на рифампин (индукция на цитохром </w:t>
      </w:r>
      <w:r w:rsidRPr="00F703B9">
        <w:rPr>
          <w:rFonts w:eastAsia="Times New Roman" w:cs="Arial"/>
          <w:color w:val="000000"/>
          <w:szCs w:val="20"/>
          <w:lang w:val="en-US"/>
        </w:rPr>
        <w:t>P</w:t>
      </w:r>
      <w:r w:rsidRPr="00F703B9">
        <w:rPr>
          <w:rFonts w:eastAsia="Times New Roman" w:cs="Arial"/>
          <w:color w:val="000000"/>
          <w:szCs w:val="20"/>
          <w:lang w:val="ru-RU"/>
        </w:rPr>
        <w:t xml:space="preserve">-450 </w:t>
      </w:r>
      <w:r w:rsidRPr="00F703B9">
        <w:rPr>
          <w:rFonts w:eastAsia="Times New Roman" w:cs="Arial"/>
          <w:color w:val="000000"/>
          <w:szCs w:val="20"/>
          <w:lang w:eastAsia="bg-BG"/>
        </w:rPr>
        <w:t xml:space="preserve">ЗА4 и инхибиране на транспортера на хепатоцитния захват </w:t>
      </w:r>
      <w:r w:rsidRPr="00F703B9">
        <w:rPr>
          <w:rFonts w:eastAsia="Times New Roman" w:cs="Arial"/>
          <w:color w:val="000000"/>
          <w:szCs w:val="20"/>
          <w:lang w:val="en-US"/>
        </w:rPr>
        <w:t>OATP</w:t>
      </w:r>
      <w:r w:rsidRPr="00F703B9">
        <w:rPr>
          <w:rFonts w:eastAsia="Times New Roman" w:cs="Arial"/>
          <w:color w:val="000000"/>
          <w:szCs w:val="20"/>
          <w:lang w:val="ru-RU"/>
        </w:rPr>
        <w:t>1</w:t>
      </w:r>
      <w:r w:rsidRPr="00F703B9">
        <w:rPr>
          <w:rFonts w:eastAsia="Times New Roman" w:cs="Arial"/>
          <w:color w:val="000000"/>
          <w:szCs w:val="20"/>
          <w:lang w:val="en-US"/>
        </w:rPr>
        <w:t>Bl</w:t>
      </w:r>
      <w:r w:rsidRPr="00F703B9">
        <w:rPr>
          <w:rFonts w:eastAsia="Times New Roman" w:cs="Arial"/>
          <w:color w:val="000000"/>
          <w:szCs w:val="20"/>
          <w:lang w:val="ru-RU"/>
        </w:rPr>
        <w:t xml:space="preserve">) </w:t>
      </w:r>
      <w:r w:rsidRPr="00F703B9">
        <w:rPr>
          <w:rFonts w:eastAsia="Times New Roman" w:cs="Arial"/>
          <w:color w:val="000000"/>
          <w:szCs w:val="20"/>
          <w:lang w:eastAsia="bg-BG"/>
        </w:rPr>
        <w:t>се препоръчва едновременното приложение на аторвастатин след прием на рифампин, тъй като по- късното приложение на аторвастатин след прием на рифампин се свързва със значимо намаление на плазмените концентрации на аторвастатин. Ефектът на рифампин върху концентрациите на аторвастатин в хепатоцитите е неясен и ако едновременният прием не може да се избегне, то пациентите трябва да бъдат внимателно проследявани по отношение на ефикасността на аторвастатин.</w:t>
      </w:r>
    </w:p>
    <w:p w14:paraId="17CE4C65" w14:textId="77777777" w:rsidR="00F703B9" w:rsidRPr="00F703B9" w:rsidRDefault="00F703B9" w:rsidP="00F703B9">
      <w:pPr>
        <w:spacing w:line="240" w:lineRule="auto"/>
        <w:rPr>
          <w:rFonts w:eastAsia="Times New Roman" w:cs="Arial"/>
          <w:i/>
          <w:iCs/>
          <w:color w:val="000000"/>
          <w:szCs w:val="20"/>
          <w:lang w:eastAsia="bg-BG"/>
        </w:rPr>
      </w:pPr>
    </w:p>
    <w:p w14:paraId="1A08B399" w14:textId="3E31CE90"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Инхибитори на транспортерите</w:t>
      </w:r>
    </w:p>
    <w:p w14:paraId="5ADEB385"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Инхибиторите на транспортните протеини (напр. циклоспорин) може да повишат системната наличност на аторвастатин (вж. Таблица 1). Ефектът от инхибирането на транспортерите на хепатоцитното захващане върху концентрацията на аторвастатин в хепатоцитите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4D735A78" w14:textId="77777777" w:rsidR="00F703B9" w:rsidRPr="00F703B9" w:rsidRDefault="00F703B9" w:rsidP="00F703B9">
      <w:pPr>
        <w:spacing w:line="240" w:lineRule="auto"/>
        <w:rPr>
          <w:rFonts w:eastAsia="Times New Roman" w:cs="Arial"/>
          <w:i/>
          <w:iCs/>
          <w:color w:val="000000"/>
          <w:szCs w:val="20"/>
          <w:lang w:eastAsia="bg-BG"/>
        </w:rPr>
      </w:pPr>
    </w:p>
    <w:p w14:paraId="2C99E556" w14:textId="60558F9D"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Гемфиброзил/производни на фибриновата киселина</w:t>
      </w:r>
    </w:p>
    <w:p w14:paraId="26FFDCE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Самостоятелната употреба на фибрати се свързва понякога със свързани с мускулите събития, включително рабдомиолиза. Рискът от тези събития може да се повиши при едновременното приложение приложение на производни на фибриновата киселина и аторвастатин. Ако не може да се избегне едновременното им приложение, трябва да се използва най-ниската доза аторвастатин необходима за постигане на терапевтичен ефект и пациентите да бъдат внимателно проследявани, (виж точка 4.4).</w:t>
      </w:r>
    </w:p>
    <w:p w14:paraId="26A22E21" w14:textId="77777777" w:rsidR="00F703B9" w:rsidRPr="00F703B9" w:rsidRDefault="00F703B9" w:rsidP="00F703B9">
      <w:pPr>
        <w:spacing w:line="240" w:lineRule="auto"/>
        <w:rPr>
          <w:rFonts w:eastAsia="Times New Roman" w:cs="Arial"/>
          <w:i/>
          <w:iCs/>
          <w:color w:val="000000"/>
          <w:szCs w:val="20"/>
          <w:lang w:eastAsia="bg-BG"/>
        </w:rPr>
      </w:pPr>
    </w:p>
    <w:p w14:paraId="40CB2AEB" w14:textId="5D627EAA"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Езетимид</w:t>
      </w:r>
    </w:p>
    <w:p w14:paraId="4D3A4366"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Самостоятелното приложение на езетимид се свързва със свързани с мускулите събития, включително рабдомиолиза. Затова рискът от тези събития може да бъде повишен при едновременното приложение на езетимид и аторвастатин.Препоръчва се подходящо клинично проследяване на пациентите.</w:t>
      </w:r>
    </w:p>
    <w:p w14:paraId="7584F10B" w14:textId="77777777" w:rsidR="00F703B9" w:rsidRPr="00F703B9" w:rsidRDefault="00F703B9" w:rsidP="00F703B9">
      <w:pPr>
        <w:spacing w:line="240" w:lineRule="auto"/>
        <w:rPr>
          <w:rFonts w:eastAsia="Times New Roman" w:cs="Arial"/>
          <w:i/>
          <w:iCs/>
          <w:color w:val="000000"/>
          <w:szCs w:val="20"/>
          <w:lang w:eastAsia="bg-BG"/>
        </w:rPr>
      </w:pPr>
    </w:p>
    <w:p w14:paraId="4F388B94" w14:textId="36D070D2"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Колестипол</w:t>
      </w:r>
    </w:p>
    <w:p w14:paraId="474F7958"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Плазмените концентрации на аторвастатин и неговите активни метаболити намаляват (съоотношение на концентрациите аторвастатин: 0,74) когато колестипол се прилага с аторвастатин. Липидните ефекти, обаче, са по-големи, когато колестипол се прилага едновременно с аторвастатин отколкото когато всяко лекарство се прилага по отделно.</w:t>
      </w:r>
    </w:p>
    <w:p w14:paraId="52BE46DD" w14:textId="77777777" w:rsidR="00F703B9" w:rsidRPr="00F703B9" w:rsidRDefault="00F703B9" w:rsidP="00F703B9">
      <w:pPr>
        <w:spacing w:line="240" w:lineRule="auto"/>
        <w:rPr>
          <w:rFonts w:eastAsia="Times New Roman" w:cs="Arial"/>
          <w:i/>
          <w:iCs/>
          <w:color w:val="000000"/>
          <w:szCs w:val="20"/>
          <w:lang w:eastAsia="bg-BG"/>
        </w:rPr>
      </w:pPr>
    </w:p>
    <w:p w14:paraId="4EEEF0DF" w14:textId="08201B26"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Фузидова киселина</w:t>
      </w:r>
    </w:p>
    <w:p w14:paraId="3F9B74E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Лекарствените взаимодействия между статини и фузидова киселина могат да доведат до повишен риск от рабдомиолиза. Механизмът на това взаимодействие (бил той фармакодинамичен или фармакокинетиченили от двата типа) засега не е известен. Съобщения за рабдомиолиза (включително с няколко фатални случаи) има при пациенти, получавали тази комбинацията.</w:t>
      </w:r>
    </w:p>
    <w:p w14:paraId="49E180B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Ако е необходимо лечение с фузидова киселина, лечението с правастатин трябвва да се спре за целия период на лечението с фузидова киселина. Вижте също и точка 4.4.</w:t>
      </w:r>
    </w:p>
    <w:p w14:paraId="6B14A7ED" w14:textId="77777777" w:rsidR="00F703B9" w:rsidRPr="00F703B9" w:rsidRDefault="00F703B9" w:rsidP="00F703B9">
      <w:pPr>
        <w:spacing w:line="240" w:lineRule="auto"/>
        <w:rPr>
          <w:rFonts w:eastAsia="Times New Roman" w:cs="Arial"/>
          <w:sz w:val="28"/>
          <w:szCs w:val="24"/>
        </w:rPr>
      </w:pPr>
    </w:p>
    <w:p w14:paraId="24B5F106" w14:textId="127B2410"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Колхицин</w:t>
      </w:r>
    </w:p>
    <w:p w14:paraId="6DDA426F"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Въпреки, че не са провеждани проучвания за взаимодействие между аторвастатин и колхицин, са съобщавани случаи на миопатия, когато аторвастатин е приложен едновременно с колхицин. Необходимо е повишено внимание при предписване на аторвастатин едновременно с колхицин.</w:t>
      </w:r>
    </w:p>
    <w:p w14:paraId="0BB9B232" w14:textId="77777777" w:rsidR="00F703B9" w:rsidRPr="00F703B9" w:rsidRDefault="00F703B9" w:rsidP="00F703B9">
      <w:pPr>
        <w:spacing w:line="240" w:lineRule="auto"/>
        <w:rPr>
          <w:rFonts w:eastAsia="Times New Roman" w:cs="Arial"/>
          <w:color w:val="000000"/>
          <w:szCs w:val="20"/>
          <w:u w:val="single"/>
          <w:lang w:eastAsia="bg-BG"/>
        </w:rPr>
      </w:pPr>
    </w:p>
    <w:p w14:paraId="69337C9B" w14:textId="5347FCCA"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Едновременно прилагане с други лекарствени продукти</w:t>
      </w:r>
    </w:p>
    <w:p w14:paraId="0A208977" w14:textId="77777777" w:rsidR="00F703B9" w:rsidRPr="00F703B9" w:rsidRDefault="00F703B9" w:rsidP="00F703B9">
      <w:pPr>
        <w:spacing w:line="240" w:lineRule="auto"/>
        <w:rPr>
          <w:rFonts w:eastAsia="Times New Roman" w:cs="Arial"/>
          <w:i/>
          <w:iCs/>
          <w:color w:val="000000"/>
          <w:szCs w:val="20"/>
          <w:lang w:eastAsia="bg-BG"/>
        </w:rPr>
      </w:pPr>
    </w:p>
    <w:p w14:paraId="77402FE1" w14:textId="6DF5CF59"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Дигоксин</w:t>
      </w:r>
    </w:p>
    <w:p w14:paraId="7479C851"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Многократното приложение на дигоксин и аторвастатин 10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едновременно леко повишава плазмените концентрации на дигоксин в равновесно състояние. Пациентите на лечение с дигоксин трябва да бъдат внимателно мониторирани.</w:t>
      </w:r>
    </w:p>
    <w:p w14:paraId="2AE1044B" w14:textId="77777777" w:rsidR="00F703B9" w:rsidRPr="00F703B9" w:rsidRDefault="00F703B9" w:rsidP="00F703B9">
      <w:pPr>
        <w:spacing w:line="240" w:lineRule="auto"/>
        <w:rPr>
          <w:rFonts w:eastAsia="Times New Roman" w:cs="Arial"/>
          <w:i/>
          <w:iCs/>
          <w:color w:val="000000"/>
          <w:szCs w:val="20"/>
          <w:lang w:eastAsia="bg-BG"/>
        </w:rPr>
      </w:pPr>
    </w:p>
    <w:p w14:paraId="7F06B5BF" w14:textId="1D463EB9"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Перораяни контрацептиви</w:t>
      </w:r>
    </w:p>
    <w:p w14:paraId="3F775700"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Едновременният прием на Аторвастатин АЛ и орални контрацептиви повишава концентрацията на норетистерон и етинил естрадиол.</w:t>
      </w:r>
    </w:p>
    <w:p w14:paraId="49D27F95" w14:textId="77777777" w:rsidR="00F703B9" w:rsidRPr="00F703B9" w:rsidRDefault="00F703B9" w:rsidP="00F703B9">
      <w:pPr>
        <w:spacing w:line="240" w:lineRule="auto"/>
        <w:rPr>
          <w:rFonts w:eastAsia="Times New Roman" w:cs="Arial"/>
          <w:i/>
          <w:iCs/>
          <w:color w:val="000000"/>
          <w:szCs w:val="20"/>
          <w:lang w:eastAsia="bg-BG"/>
        </w:rPr>
      </w:pPr>
    </w:p>
    <w:p w14:paraId="60516328" w14:textId="156E76DB" w:rsidR="00F703B9" w:rsidRPr="00F703B9" w:rsidRDefault="00F703B9" w:rsidP="00F703B9">
      <w:pPr>
        <w:spacing w:line="240" w:lineRule="auto"/>
        <w:rPr>
          <w:rFonts w:eastAsia="Times New Roman" w:cs="Arial"/>
          <w:sz w:val="28"/>
          <w:szCs w:val="24"/>
        </w:rPr>
      </w:pPr>
      <w:r w:rsidRPr="00F703B9">
        <w:rPr>
          <w:rFonts w:eastAsia="Times New Roman" w:cs="Arial"/>
          <w:i/>
          <w:iCs/>
          <w:color w:val="000000"/>
          <w:szCs w:val="20"/>
          <w:lang w:eastAsia="bg-BG"/>
        </w:rPr>
        <w:t>Варфарин</w:t>
      </w:r>
    </w:p>
    <w:p w14:paraId="2D55CC4D"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 xml:space="preserve">В клинично проучване при пациенти, които са лечение с варфарин едновременното приложение на аторвастатин 80 </w:t>
      </w:r>
      <w:r w:rsidRPr="00F703B9">
        <w:rPr>
          <w:rFonts w:eastAsia="Times New Roman" w:cs="Arial"/>
          <w:color w:val="000000"/>
          <w:szCs w:val="20"/>
          <w:lang w:val="en-US"/>
        </w:rPr>
        <w:t>mg</w:t>
      </w:r>
      <w:r w:rsidRPr="00F703B9">
        <w:rPr>
          <w:rFonts w:eastAsia="Times New Roman" w:cs="Arial"/>
          <w:color w:val="000000"/>
          <w:szCs w:val="20"/>
          <w:lang w:val="ru-RU"/>
        </w:rPr>
        <w:t xml:space="preserve"> </w:t>
      </w:r>
      <w:r w:rsidRPr="00F703B9">
        <w:rPr>
          <w:rFonts w:eastAsia="Times New Roman" w:cs="Arial"/>
          <w:color w:val="000000"/>
          <w:szCs w:val="20"/>
          <w:lang w:eastAsia="bg-BG"/>
        </w:rPr>
        <w:t xml:space="preserve">дневно и варфарин води до леко понижаване на протромбиновото време с около 1,7 секунди през първите 4 дни от дозирането, като стойностите стават нормални в рамките на 15 дни от лечението с аторвастатин. Въпреки, че много рядко се съобщават случаи на клинично значими значими взаимодействия с антикоагуланти, протромбиновото време трябва да се определи преди започване на лечение с аторвастатин при пациенти, които приемат кумаринови антикоагуланти и често да се проверява за промени в протромбиновото време в началото на лечението. Веднъж след като се установи стабилно протромбиново време, впоследствие на регулярни интервали може да се проверява при пациенти, които са на кумаринови антикоагуланти. </w:t>
      </w:r>
      <w:r w:rsidRPr="00F703B9">
        <w:rPr>
          <w:rFonts w:eastAsia="Times New Roman" w:cs="Arial"/>
          <w:color w:val="000000"/>
          <w:szCs w:val="20"/>
          <w:lang w:eastAsia="bg-BG"/>
        </w:rPr>
        <w:lastRenderedPageBreak/>
        <w:t>Ако се промени дозата на аторвастатин или се прекрати лечението, същата процедура трябва да се повтори. Лечението с аторвастатин не се свързва с кървене или промени в протромбиновото време при пациенти, които не приемат антикоагуланти.</w:t>
      </w:r>
    </w:p>
    <w:p w14:paraId="4EA48C48" w14:textId="77777777" w:rsidR="00F703B9" w:rsidRPr="00F703B9" w:rsidRDefault="00F703B9" w:rsidP="00F703B9">
      <w:pPr>
        <w:spacing w:line="240" w:lineRule="auto"/>
        <w:rPr>
          <w:rFonts w:eastAsia="Times New Roman" w:cs="Arial"/>
          <w:color w:val="000000"/>
          <w:szCs w:val="20"/>
          <w:u w:val="single"/>
          <w:lang w:eastAsia="bg-BG"/>
        </w:rPr>
      </w:pPr>
    </w:p>
    <w:p w14:paraId="4F8B667C" w14:textId="2B7550AB"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Педиатрична популация</w:t>
      </w:r>
    </w:p>
    <w:p w14:paraId="31E78BF3" w14:textId="77777777"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lang w:eastAsia="bg-BG"/>
        </w:rPr>
        <w:t>Проучвания за лекарствени взаимодействия са провеждани само при възрастни. Степента на взаимодействие при педиатрична популация не е известна. Трябва да се имат предвид гореспоменатите взаимодействия при възрастни и предупрежденията в точка 4.4 за приложение при педиатрична популация.</w:t>
      </w:r>
    </w:p>
    <w:p w14:paraId="25F04FA2" w14:textId="77777777" w:rsidR="00F703B9" w:rsidRPr="00F703B9" w:rsidRDefault="00F703B9" w:rsidP="00F703B9">
      <w:pPr>
        <w:spacing w:line="240" w:lineRule="auto"/>
        <w:rPr>
          <w:rFonts w:eastAsia="Times New Roman" w:cs="Arial"/>
          <w:color w:val="000000"/>
          <w:szCs w:val="20"/>
          <w:u w:val="single"/>
          <w:lang w:eastAsia="bg-BG"/>
        </w:rPr>
      </w:pPr>
    </w:p>
    <w:p w14:paraId="1AF0A825" w14:textId="19A69008" w:rsidR="00F703B9" w:rsidRPr="00F703B9" w:rsidRDefault="00F703B9" w:rsidP="00F703B9">
      <w:pPr>
        <w:spacing w:line="240" w:lineRule="auto"/>
        <w:rPr>
          <w:rFonts w:eastAsia="Times New Roman" w:cs="Arial"/>
          <w:sz w:val="28"/>
          <w:szCs w:val="24"/>
        </w:rPr>
      </w:pPr>
      <w:r w:rsidRPr="00F703B9">
        <w:rPr>
          <w:rFonts w:eastAsia="Times New Roman" w:cs="Arial"/>
          <w:color w:val="000000"/>
          <w:szCs w:val="20"/>
          <w:u w:val="single"/>
          <w:lang w:eastAsia="bg-BG"/>
        </w:rPr>
        <w:t>Взаимодействия с лекарствени продукти</w:t>
      </w:r>
    </w:p>
    <w:p w14:paraId="50D731E9" w14:textId="3507A5AC" w:rsidR="00F703B9" w:rsidRDefault="00F703B9" w:rsidP="00F703B9">
      <w:pPr>
        <w:rPr>
          <w:rFonts w:eastAsia="Times New Roman" w:cs="Arial"/>
          <w:color w:val="000000"/>
          <w:szCs w:val="20"/>
          <w:lang w:eastAsia="bg-BG"/>
        </w:rPr>
      </w:pPr>
      <w:r w:rsidRPr="00F703B9">
        <w:rPr>
          <w:rFonts w:eastAsia="Times New Roman" w:cs="Arial"/>
          <w:color w:val="000000"/>
          <w:szCs w:val="20"/>
          <w:lang w:eastAsia="bg-BG"/>
        </w:rPr>
        <w:t>Таблица 1 :Ефектът на едновременно приетите лекарствени продукти, повлияващи фармакокинетиката на аторвастатин</w:t>
      </w:r>
    </w:p>
    <w:tbl>
      <w:tblPr>
        <w:tblStyle w:val="TableGrid"/>
        <w:tblW w:w="0" w:type="auto"/>
        <w:tblLook w:val="04A0" w:firstRow="1" w:lastRow="0" w:firstColumn="1" w:lastColumn="0" w:noHBand="0" w:noVBand="1"/>
      </w:tblPr>
      <w:tblGrid>
        <w:gridCol w:w="2441"/>
        <w:gridCol w:w="2271"/>
        <w:gridCol w:w="2296"/>
        <w:gridCol w:w="2342"/>
      </w:tblGrid>
      <w:tr w:rsidR="00C86F93" w14:paraId="40255EB3" w14:textId="77777777" w:rsidTr="00C86F93">
        <w:tc>
          <w:tcPr>
            <w:tcW w:w="2441" w:type="dxa"/>
            <w:vMerge w:val="restart"/>
          </w:tcPr>
          <w:p w14:paraId="4FF17A74" w14:textId="4892806D" w:rsidR="00C86F93" w:rsidRPr="00C86F93" w:rsidRDefault="00C86F93" w:rsidP="00C86F93">
            <w:pPr>
              <w:spacing w:line="240" w:lineRule="auto"/>
              <w:rPr>
                <w:rFonts w:eastAsia="Times New Roman" w:cs="Arial"/>
              </w:rPr>
            </w:pPr>
            <w:r w:rsidRPr="00C86F93">
              <w:rPr>
                <w:rFonts w:eastAsia="Times New Roman" w:cs="Arial"/>
                <w:color w:val="000000"/>
                <w:lang w:eastAsia="bg-BG"/>
              </w:rPr>
              <w:t>Едновременно приемано лекарство</w:t>
            </w:r>
          </w:p>
        </w:tc>
        <w:tc>
          <w:tcPr>
            <w:tcW w:w="7135" w:type="dxa"/>
            <w:gridSpan w:val="3"/>
          </w:tcPr>
          <w:p w14:paraId="297D1F45" w14:textId="14420B61" w:rsidR="00C86F93" w:rsidRPr="00C86F93" w:rsidRDefault="00C86F93" w:rsidP="00F703B9">
            <w:pPr>
              <w:rPr>
                <w:rFonts w:cs="Arial"/>
              </w:rPr>
            </w:pPr>
            <w:r w:rsidRPr="00C86F93">
              <w:rPr>
                <w:rFonts w:eastAsia="Times New Roman" w:cs="Arial"/>
                <w:color w:val="000000"/>
                <w:lang w:eastAsia="bg-BG"/>
              </w:rPr>
              <w:t>Аторвастатин</w:t>
            </w:r>
          </w:p>
        </w:tc>
      </w:tr>
      <w:tr w:rsidR="00C86F93" w14:paraId="445A5FEA" w14:textId="77777777" w:rsidTr="00C86F93">
        <w:tc>
          <w:tcPr>
            <w:tcW w:w="2441" w:type="dxa"/>
            <w:vMerge/>
          </w:tcPr>
          <w:p w14:paraId="74AEE18D" w14:textId="77777777" w:rsidR="00C86F93" w:rsidRPr="00C86F93" w:rsidRDefault="00C86F93" w:rsidP="00C86F93">
            <w:pPr>
              <w:rPr>
                <w:rFonts w:cs="Arial"/>
              </w:rPr>
            </w:pPr>
          </w:p>
        </w:tc>
        <w:tc>
          <w:tcPr>
            <w:tcW w:w="2373" w:type="dxa"/>
          </w:tcPr>
          <w:p w14:paraId="740FC6F8" w14:textId="40494404" w:rsidR="00C86F93" w:rsidRPr="00C86F93" w:rsidRDefault="00C86F93" w:rsidP="00C86F93">
            <w:pPr>
              <w:rPr>
                <w:rFonts w:cs="Arial"/>
              </w:rPr>
            </w:pPr>
            <w:r w:rsidRPr="00C86F93">
              <w:rPr>
                <w:rFonts w:cs="Arial"/>
                <w:lang w:val="en-US"/>
              </w:rPr>
              <w:t xml:space="preserve">mg </w:t>
            </w:r>
            <w:r w:rsidRPr="00C86F93">
              <w:rPr>
                <w:rFonts w:cs="Arial"/>
              </w:rPr>
              <w:t>(доза)</w:t>
            </w:r>
          </w:p>
        </w:tc>
        <w:tc>
          <w:tcPr>
            <w:tcW w:w="2377" w:type="dxa"/>
          </w:tcPr>
          <w:p w14:paraId="55C32531" w14:textId="77777777" w:rsidR="00C86F93" w:rsidRPr="00C86F93" w:rsidRDefault="00C86F93" w:rsidP="00C86F93">
            <w:pPr>
              <w:rPr>
                <w:rFonts w:cs="Arial"/>
              </w:rPr>
            </w:pPr>
            <w:r w:rsidRPr="00C86F93">
              <w:rPr>
                <w:rFonts w:cs="Arial"/>
              </w:rPr>
              <w:t>съотношение</w:t>
            </w:r>
          </w:p>
          <w:p w14:paraId="1C5115E7" w14:textId="3A76BD8A" w:rsidR="00C86F93" w:rsidRPr="00C86F93" w:rsidRDefault="00C86F93" w:rsidP="00C86F93">
            <w:pPr>
              <w:rPr>
                <w:rFonts w:cs="Arial"/>
              </w:rPr>
            </w:pPr>
            <w:r w:rsidRPr="00C86F93">
              <w:rPr>
                <w:rFonts w:cs="Arial"/>
                <w:lang w:val="en-US"/>
              </w:rPr>
              <w:t>AUC</w:t>
            </w:r>
            <w:r w:rsidRPr="00C86F93">
              <w:rPr>
                <w:rFonts w:cs="Arial"/>
                <w:vertAlign w:val="superscript"/>
                <w:lang w:val="en-US"/>
              </w:rPr>
              <w:t>&amp;</w:t>
            </w:r>
          </w:p>
        </w:tc>
        <w:tc>
          <w:tcPr>
            <w:tcW w:w="2385" w:type="dxa"/>
          </w:tcPr>
          <w:p w14:paraId="6DC1F17E" w14:textId="785230D2" w:rsidR="00C86F93" w:rsidRPr="00C86F93" w:rsidRDefault="00C86F93" w:rsidP="00C86F93">
            <w:pPr>
              <w:rPr>
                <w:rFonts w:cs="Arial"/>
              </w:rPr>
            </w:pPr>
            <w:r w:rsidRPr="00C86F93">
              <w:rPr>
                <w:rFonts w:cs="Arial"/>
              </w:rPr>
              <w:t>клинична препоръка</w:t>
            </w:r>
          </w:p>
        </w:tc>
      </w:tr>
      <w:tr w:rsidR="00C86F93" w14:paraId="2B7770FF" w14:textId="77777777" w:rsidTr="00C86F93">
        <w:tc>
          <w:tcPr>
            <w:tcW w:w="2441" w:type="dxa"/>
          </w:tcPr>
          <w:p w14:paraId="5A1E78A3" w14:textId="4B885C64" w:rsidR="00C86F93" w:rsidRPr="00C86F93" w:rsidRDefault="00C86F93" w:rsidP="00C86F93">
            <w:pPr>
              <w:spacing w:line="240" w:lineRule="auto"/>
              <w:rPr>
                <w:rFonts w:eastAsia="Times New Roman" w:cs="Arial"/>
              </w:rPr>
            </w:pPr>
            <w:r w:rsidRPr="00C86F93">
              <w:rPr>
                <w:rFonts w:eastAsia="Times New Roman" w:cs="Arial"/>
                <w:color w:val="000000"/>
                <w:lang w:eastAsia="bg-BG"/>
              </w:rPr>
              <w:t xml:space="preserve">Глекапревир 400 </w:t>
            </w:r>
            <w:r w:rsidRPr="00C86F93">
              <w:rPr>
                <w:rFonts w:eastAsia="Times New Roman" w:cs="Arial"/>
                <w:color w:val="000000"/>
                <w:lang w:val="en-US"/>
              </w:rPr>
              <w:t>mg</w:t>
            </w:r>
            <w:r w:rsidRPr="00C86F93">
              <w:rPr>
                <w:rFonts w:eastAsia="Times New Roman" w:cs="Arial"/>
                <w:color w:val="000000"/>
                <w:lang w:val="ru-RU"/>
              </w:rPr>
              <w:t xml:space="preserve"> </w:t>
            </w:r>
            <w:r w:rsidRPr="00C86F93">
              <w:rPr>
                <w:rFonts w:eastAsia="Times New Roman" w:cs="Arial"/>
                <w:color w:val="000000"/>
                <w:lang w:eastAsia="bg-BG"/>
              </w:rPr>
              <w:t xml:space="preserve">веднъж дневно/пибрентасвир 120 </w:t>
            </w:r>
            <w:r w:rsidRPr="00C86F93">
              <w:rPr>
                <w:rFonts w:eastAsia="Times New Roman" w:cs="Arial"/>
                <w:color w:val="000000"/>
                <w:lang w:val="en-US"/>
              </w:rPr>
              <w:t>mg</w:t>
            </w:r>
            <w:r w:rsidRPr="00C86F93">
              <w:rPr>
                <w:rFonts w:eastAsia="Times New Roman" w:cs="Arial"/>
                <w:color w:val="000000"/>
                <w:lang w:val="ru-RU"/>
              </w:rPr>
              <w:t xml:space="preserve"> </w:t>
            </w:r>
            <w:r w:rsidRPr="00C86F93">
              <w:rPr>
                <w:rFonts w:eastAsia="Times New Roman" w:cs="Arial"/>
                <w:color w:val="000000"/>
                <w:lang w:eastAsia="bg-BG"/>
              </w:rPr>
              <w:t>веднъж дневно, 7 дни</w:t>
            </w:r>
          </w:p>
        </w:tc>
        <w:tc>
          <w:tcPr>
            <w:tcW w:w="2373" w:type="dxa"/>
          </w:tcPr>
          <w:p w14:paraId="5E06DCE1" w14:textId="0427D264"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7 дни</w:t>
            </w:r>
          </w:p>
        </w:tc>
        <w:tc>
          <w:tcPr>
            <w:tcW w:w="2377" w:type="dxa"/>
          </w:tcPr>
          <w:p w14:paraId="48549182" w14:textId="06BF019A" w:rsidR="00C86F93" w:rsidRPr="00C86F93" w:rsidRDefault="00C86F93" w:rsidP="00C86F93">
            <w:pPr>
              <w:rPr>
                <w:rFonts w:cs="Arial"/>
              </w:rPr>
            </w:pPr>
            <w:r w:rsidRPr="00C86F93">
              <w:rPr>
                <w:rFonts w:cs="Arial"/>
              </w:rPr>
              <w:t>8,3</w:t>
            </w:r>
          </w:p>
        </w:tc>
        <w:tc>
          <w:tcPr>
            <w:tcW w:w="2385" w:type="dxa"/>
          </w:tcPr>
          <w:p w14:paraId="6F5F0609" w14:textId="68AD180E" w:rsidR="00C86F93" w:rsidRPr="00C86F93" w:rsidRDefault="00C86F93" w:rsidP="00C86F93">
            <w:pPr>
              <w:rPr>
                <w:rFonts w:cs="Arial"/>
              </w:rPr>
            </w:pPr>
            <w:r w:rsidRPr="00C86F93">
              <w:rPr>
                <w:rFonts w:cs="Arial"/>
              </w:rPr>
              <w:t>Едновременното прилагане с продукти, съдържащи глекапревир или пибрентасвир, е противопоказано (вж. точка 4.3).</w:t>
            </w:r>
          </w:p>
        </w:tc>
      </w:tr>
      <w:tr w:rsidR="00C86F93" w14:paraId="5E8C8B68" w14:textId="77777777" w:rsidTr="00C86F93">
        <w:tc>
          <w:tcPr>
            <w:tcW w:w="2441" w:type="dxa"/>
          </w:tcPr>
          <w:p w14:paraId="2036A581" w14:textId="7C355521" w:rsidR="00C86F93" w:rsidRPr="00C86F93" w:rsidRDefault="00C86F93" w:rsidP="00C86F93">
            <w:pPr>
              <w:rPr>
                <w:rFonts w:cs="Arial"/>
              </w:rPr>
            </w:pPr>
            <w:r w:rsidRPr="00C86F93">
              <w:rPr>
                <w:rFonts w:cs="Arial"/>
              </w:rPr>
              <w:t xml:space="preserve">Елбасвир </w:t>
            </w:r>
            <w:r w:rsidRPr="00C86F93">
              <w:rPr>
                <w:rFonts w:cs="Arial"/>
                <w:lang w:val="ru-RU"/>
              </w:rPr>
              <w:t xml:space="preserve">50 </w:t>
            </w:r>
            <w:r w:rsidRPr="00C86F93">
              <w:rPr>
                <w:rFonts w:cs="Arial"/>
                <w:lang w:val="en-US"/>
              </w:rPr>
              <w:t>mg</w:t>
            </w:r>
            <w:r w:rsidRPr="00C86F93">
              <w:rPr>
                <w:rFonts w:cs="Arial"/>
                <w:lang w:val="ru-RU"/>
              </w:rPr>
              <w:t xml:space="preserve"> </w:t>
            </w:r>
            <w:r w:rsidRPr="00C86F93">
              <w:rPr>
                <w:rFonts w:cs="Arial"/>
              </w:rPr>
              <w:t xml:space="preserve">веднъж дневно/гразопревир 200 </w:t>
            </w:r>
            <w:r w:rsidRPr="00C86F93">
              <w:rPr>
                <w:rFonts w:cs="Arial"/>
                <w:lang w:val="en-US"/>
              </w:rPr>
              <w:t>mg</w:t>
            </w:r>
            <w:r w:rsidRPr="00C86F93">
              <w:rPr>
                <w:rFonts w:cs="Arial"/>
                <w:lang w:val="ru-RU"/>
              </w:rPr>
              <w:t xml:space="preserve"> </w:t>
            </w:r>
            <w:r w:rsidRPr="00C86F93">
              <w:rPr>
                <w:rFonts w:cs="Arial"/>
              </w:rPr>
              <w:t>веднъж дневно, 13 дни</w:t>
            </w:r>
          </w:p>
        </w:tc>
        <w:tc>
          <w:tcPr>
            <w:tcW w:w="2373" w:type="dxa"/>
          </w:tcPr>
          <w:p w14:paraId="6B78088C" w14:textId="250FDE82" w:rsidR="00C86F93" w:rsidRPr="00C86F93" w:rsidRDefault="00C86F93" w:rsidP="00C86F93">
            <w:pPr>
              <w:rPr>
                <w:rFonts w:cs="Arial"/>
              </w:rPr>
            </w:pPr>
            <w:r w:rsidRPr="00C86F93">
              <w:rPr>
                <w:rFonts w:cs="Arial"/>
              </w:rPr>
              <w:t xml:space="preserve">10 </w:t>
            </w:r>
            <w:r w:rsidRPr="00C86F93">
              <w:rPr>
                <w:rFonts w:cs="Arial"/>
                <w:lang w:val="en-US"/>
              </w:rPr>
              <w:t xml:space="preserve">mg </w:t>
            </w:r>
            <w:r w:rsidRPr="00C86F93">
              <w:rPr>
                <w:rFonts w:cs="Arial"/>
              </w:rPr>
              <w:t>единична доза</w:t>
            </w:r>
          </w:p>
        </w:tc>
        <w:tc>
          <w:tcPr>
            <w:tcW w:w="2377" w:type="dxa"/>
          </w:tcPr>
          <w:p w14:paraId="76ECD605" w14:textId="6CD7DD18" w:rsidR="00C86F93" w:rsidRPr="00C86F93" w:rsidRDefault="00C86F93" w:rsidP="00C86F93">
            <w:pPr>
              <w:rPr>
                <w:rFonts w:cs="Arial"/>
              </w:rPr>
            </w:pPr>
            <w:r w:rsidRPr="00C86F93">
              <w:rPr>
                <w:rFonts w:cs="Arial"/>
              </w:rPr>
              <w:t>1,95</w:t>
            </w:r>
          </w:p>
        </w:tc>
        <w:tc>
          <w:tcPr>
            <w:tcW w:w="2385" w:type="dxa"/>
          </w:tcPr>
          <w:p w14:paraId="76DB850F" w14:textId="3049C094" w:rsidR="00C86F93" w:rsidRPr="00C86F93" w:rsidRDefault="00C86F93" w:rsidP="00C86F93">
            <w:pPr>
              <w:rPr>
                <w:rFonts w:cs="Arial"/>
              </w:rPr>
            </w:pPr>
            <w:r w:rsidRPr="00C86F93">
              <w:rPr>
                <w:rFonts w:cs="Arial"/>
              </w:rPr>
              <w:t xml:space="preserve">Дозата на аторвастатин не трябва да превишава дневна доза от 20 </w:t>
            </w:r>
            <w:r w:rsidRPr="00C86F93">
              <w:rPr>
                <w:rFonts w:cs="Arial"/>
                <w:lang w:val="en-US"/>
              </w:rPr>
              <w:t>mg</w:t>
            </w:r>
            <w:r w:rsidRPr="00C86F93">
              <w:rPr>
                <w:rFonts w:cs="Arial"/>
                <w:lang w:val="ru-RU"/>
              </w:rPr>
              <w:t xml:space="preserve"> </w:t>
            </w:r>
            <w:r w:rsidRPr="00C86F93">
              <w:rPr>
                <w:rFonts w:cs="Arial"/>
              </w:rPr>
              <w:t>при едновременно прилагане на продукти, съдържащи елбасвир или гразопревир.</w:t>
            </w:r>
          </w:p>
        </w:tc>
      </w:tr>
      <w:tr w:rsidR="00C86F93" w14:paraId="12E50F88" w14:textId="77777777" w:rsidTr="00C86F93">
        <w:tc>
          <w:tcPr>
            <w:tcW w:w="2441" w:type="dxa"/>
            <w:vAlign w:val="bottom"/>
          </w:tcPr>
          <w:p w14:paraId="50CCF178" w14:textId="2693CEF0" w:rsidR="00C86F93" w:rsidRPr="00C86F93" w:rsidRDefault="00C86F93" w:rsidP="00C86F93">
            <w:pPr>
              <w:rPr>
                <w:rFonts w:cs="Arial"/>
              </w:rPr>
            </w:pPr>
            <w:r w:rsidRPr="00C86F93">
              <w:rPr>
                <w:rFonts w:cs="Arial"/>
              </w:rPr>
              <w:t xml:space="preserve">Типранавир 500 </w:t>
            </w:r>
            <w:r w:rsidRPr="00C86F93">
              <w:rPr>
                <w:rFonts w:cs="Arial"/>
                <w:lang w:val="en-US"/>
              </w:rPr>
              <w:t>mg</w:t>
            </w:r>
            <w:r w:rsidRPr="00C86F93">
              <w:rPr>
                <w:rFonts w:cs="Arial"/>
                <w:lang w:val="ru-RU"/>
              </w:rPr>
              <w:t xml:space="preserve"> </w:t>
            </w:r>
            <w:r w:rsidRPr="00C86F93">
              <w:rPr>
                <w:rFonts w:cs="Arial"/>
              </w:rPr>
              <w:t>два пъти дневно/ Ритонавир 200</w:t>
            </w:r>
            <w:r w:rsidRPr="00C86F93">
              <w:rPr>
                <w:rFonts w:cs="Arial"/>
                <w:lang w:val="en-US"/>
              </w:rPr>
              <w:t>mg</w:t>
            </w:r>
            <w:r w:rsidRPr="00C86F93">
              <w:rPr>
                <w:rFonts w:cs="Arial"/>
                <w:lang w:val="ru-RU"/>
              </w:rPr>
              <w:t xml:space="preserve"> </w:t>
            </w:r>
            <w:r w:rsidRPr="00C86F93">
              <w:rPr>
                <w:rFonts w:cs="Arial"/>
              </w:rPr>
              <w:t>два пъти дневно, 8 дни (ден 14 до 21)</w:t>
            </w:r>
          </w:p>
        </w:tc>
        <w:tc>
          <w:tcPr>
            <w:tcW w:w="2373" w:type="dxa"/>
            <w:vAlign w:val="center"/>
          </w:tcPr>
          <w:p w14:paraId="61585684" w14:textId="0F7684B6" w:rsidR="00C86F93" w:rsidRPr="00C86F93" w:rsidRDefault="00C86F93" w:rsidP="00C86F93">
            <w:pPr>
              <w:rPr>
                <w:rFonts w:cs="Arial"/>
              </w:rPr>
            </w:pPr>
            <w:r w:rsidRPr="00C86F93">
              <w:rPr>
                <w:rFonts w:cs="Arial"/>
              </w:rPr>
              <w:t xml:space="preserve">40 </w:t>
            </w:r>
            <w:r w:rsidRPr="00C86F93">
              <w:rPr>
                <w:rFonts w:cs="Arial"/>
                <w:lang w:val="en-US"/>
              </w:rPr>
              <w:t>mg</w:t>
            </w:r>
            <w:r w:rsidRPr="00C86F93">
              <w:rPr>
                <w:rFonts w:cs="Arial"/>
                <w:lang w:val="ru-RU"/>
              </w:rPr>
              <w:t xml:space="preserve"> </w:t>
            </w:r>
            <w:r w:rsidRPr="00C86F93">
              <w:rPr>
                <w:rFonts w:cs="Arial"/>
              </w:rPr>
              <w:t>на</w:t>
            </w:r>
            <w:r w:rsidRPr="00C86F93">
              <w:rPr>
                <w:rFonts w:cs="Arial"/>
                <w:lang w:val="ru-RU"/>
              </w:rPr>
              <w:t xml:space="preserve"> </w:t>
            </w:r>
            <w:r w:rsidRPr="00C86F93">
              <w:rPr>
                <w:rFonts w:cs="Arial"/>
              </w:rPr>
              <w:t>ден 1,</w:t>
            </w:r>
            <w:r w:rsidRPr="00C86F93">
              <w:rPr>
                <w:rFonts w:cs="Arial"/>
                <w:lang w:val="ru-RU"/>
              </w:rPr>
              <w:t xml:space="preserve"> </w:t>
            </w:r>
            <w:r w:rsidRPr="00C86F93">
              <w:rPr>
                <w:rFonts w:cs="Arial"/>
              </w:rPr>
              <w:t>10</w:t>
            </w:r>
            <w:r w:rsidRPr="00C86F93">
              <w:rPr>
                <w:rFonts w:cs="Arial"/>
                <w:lang w:val="ru-RU"/>
              </w:rPr>
              <w:t xml:space="preserve"> </w:t>
            </w:r>
            <w:r w:rsidRPr="00C86F93">
              <w:rPr>
                <w:rFonts w:cs="Arial"/>
                <w:lang w:val="en-US"/>
              </w:rPr>
              <w:t>mg</w:t>
            </w:r>
            <w:r w:rsidRPr="00C86F93">
              <w:rPr>
                <w:rFonts w:cs="Arial"/>
                <w:lang w:val="ru-RU"/>
              </w:rPr>
              <w:t xml:space="preserve"> </w:t>
            </w:r>
            <w:r w:rsidRPr="00C86F93">
              <w:rPr>
                <w:rFonts w:cs="Arial"/>
              </w:rPr>
              <w:t>на ден 20</w:t>
            </w:r>
          </w:p>
        </w:tc>
        <w:tc>
          <w:tcPr>
            <w:tcW w:w="2377" w:type="dxa"/>
            <w:vAlign w:val="center"/>
          </w:tcPr>
          <w:p w14:paraId="14FC0290" w14:textId="50CE0472" w:rsidR="00C86F93" w:rsidRPr="00C86F93" w:rsidRDefault="00C86F93" w:rsidP="00C86F93">
            <w:pPr>
              <w:rPr>
                <w:rFonts w:cs="Arial"/>
              </w:rPr>
            </w:pPr>
            <w:r w:rsidRPr="00C86F93">
              <w:rPr>
                <w:rFonts w:cs="Arial"/>
              </w:rPr>
              <w:t>9,4</w:t>
            </w:r>
          </w:p>
        </w:tc>
        <w:tc>
          <w:tcPr>
            <w:tcW w:w="2385" w:type="dxa"/>
            <w:vMerge w:val="restart"/>
            <w:vAlign w:val="center"/>
          </w:tcPr>
          <w:p w14:paraId="22FB046A" w14:textId="0A8D6A73" w:rsidR="00C86F93" w:rsidRPr="00C86F93" w:rsidRDefault="00C86F93" w:rsidP="00C86F93">
            <w:pPr>
              <w:rPr>
                <w:rFonts w:cs="Arial"/>
              </w:rPr>
            </w:pPr>
            <w:r w:rsidRPr="00C86F93">
              <w:rPr>
                <w:rFonts w:cs="Arial"/>
              </w:rPr>
              <w:t xml:space="preserve">Да не се превишава дневна доза от 10 </w:t>
            </w:r>
            <w:r w:rsidRPr="00C86F93">
              <w:rPr>
                <w:rFonts w:cs="Arial"/>
                <w:lang w:val="en-US"/>
              </w:rPr>
              <w:t>mg</w:t>
            </w:r>
            <w:r w:rsidRPr="00C86F93">
              <w:rPr>
                <w:rFonts w:cs="Arial"/>
                <w:lang w:val="ru-RU"/>
              </w:rPr>
              <w:t xml:space="preserve"> </w:t>
            </w:r>
            <w:r w:rsidRPr="00C86F93">
              <w:rPr>
                <w:rFonts w:cs="Arial"/>
              </w:rPr>
              <w:t>аторвастатин. Клинично преследване на пациентите се препоръчва</w:t>
            </w:r>
          </w:p>
        </w:tc>
      </w:tr>
      <w:tr w:rsidR="00C86F93" w14:paraId="2FD90445" w14:textId="77777777" w:rsidTr="00C86F93">
        <w:tc>
          <w:tcPr>
            <w:tcW w:w="2441" w:type="dxa"/>
            <w:vAlign w:val="center"/>
          </w:tcPr>
          <w:p w14:paraId="789190A5" w14:textId="6E3979DE" w:rsidR="00C86F93" w:rsidRPr="00C86F93" w:rsidRDefault="00C86F93" w:rsidP="00C86F93">
            <w:pPr>
              <w:rPr>
                <w:rFonts w:cs="Arial"/>
              </w:rPr>
            </w:pPr>
            <w:r w:rsidRPr="00C86F93">
              <w:rPr>
                <w:rFonts w:cs="Arial"/>
              </w:rPr>
              <w:t xml:space="preserve">Телапревир 750 </w:t>
            </w:r>
            <w:r w:rsidRPr="00C86F93">
              <w:rPr>
                <w:rFonts w:cs="Arial"/>
                <w:lang w:val="en-US"/>
              </w:rPr>
              <w:t>mg</w:t>
            </w:r>
            <w:r w:rsidRPr="00C86F93">
              <w:rPr>
                <w:rFonts w:cs="Arial"/>
                <w:lang w:val="ru-RU"/>
              </w:rPr>
              <w:t xml:space="preserve"> </w:t>
            </w:r>
            <w:r w:rsidRPr="00C86F93">
              <w:rPr>
                <w:rFonts w:cs="Arial"/>
              </w:rPr>
              <w:t>на 8 часа за 10 дни</w:t>
            </w:r>
          </w:p>
        </w:tc>
        <w:tc>
          <w:tcPr>
            <w:tcW w:w="2373" w:type="dxa"/>
            <w:vAlign w:val="center"/>
          </w:tcPr>
          <w:p w14:paraId="03670BA5" w14:textId="2E052D6A" w:rsidR="00C86F93" w:rsidRPr="00C86F93" w:rsidRDefault="00C86F93" w:rsidP="00C86F93">
            <w:pPr>
              <w:rPr>
                <w:rFonts w:cs="Arial"/>
              </w:rPr>
            </w:pPr>
            <w:r w:rsidRPr="00C86F93">
              <w:rPr>
                <w:rFonts w:cs="Arial"/>
              </w:rPr>
              <w:t xml:space="preserve">20 </w:t>
            </w:r>
            <w:r w:rsidRPr="00C86F93">
              <w:rPr>
                <w:rFonts w:cs="Arial"/>
                <w:lang w:val="en-US"/>
              </w:rPr>
              <w:t xml:space="preserve">mg </w:t>
            </w:r>
            <w:r w:rsidRPr="00C86F93">
              <w:rPr>
                <w:rFonts w:cs="Arial"/>
              </w:rPr>
              <w:t>еднократна доза</w:t>
            </w:r>
          </w:p>
        </w:tc>
        <w:tc>
          <w:tcPr>
            <w:tcW w:w="2377" w:type="dxa"/>
            <w:vAlign w:val="center"/>
          </w:tcPr>
          <w:p w14:paraId="23367C9B" w14:textId="17AC076A" w:rsidR="00C86F93" w:rsidRPr="00C86F93" w:rsidRDefault="00C86F93" w:rsidP="00C86F93">
            <w:pPr>
              <w:rPr>
                <w:rFonts w:cs="Arial"/>
              </w:rPr>
            </w:pPr>
            <w:r w:rsidRPr="00C86F93">
              <w:rPr>
                <w:rFonts w:cs="Arial"/>
              </w:rPr>
              <w:t>7,9</w:t>
            </w:r>
          </w:p>
        </w:tc>
        <w:tc>
          <w:tcPr>
            <w:tcW w:w="2385" w:type="dxa"/>
            <w:vMerge/>
            <w:vAlign w:val="center"/>
          </w:tcPr>
          <w:p w14:paraId="7C56FA9B" w14:textId="77777777" w:rsidR="00C86F93" w:rsidRPr="00C86F93" w:rsidRDefault="00C86F93" w:rsidP="00C86F93">
            <w:pPr>
              <w:rPr>
                <w:rFonts w:cs="Arial"/>
              </w:rPr>
            </w:pPr>
          </w:p>
        </w:tc>
      </w:tr>
      <w:tr w:rsidR="00C86F93" w14:paraId="3D36D5F1" w14:textId="77777777" w:rsidTr="00C86F93">
        <w:tc>
          <w:tcPr>
            <w:tcW w:w="2441" w:type="dxa"/>
            <w:vAlign w:val="center"/>
          </w:tcPr>
          <w:p w14:paraId="33859D90" w14:textId="3DA5210F" w:rsidR="00C86F93" w:rsidRPr="00C86F93" w:rsidRDefault="00C86F93" w:rsidP="00C86F93">
            <w:pPr>
              <w:rPr>
                <w:rFonts w:cs="Arial"/>
              </w:rPr>
            </w:pPr>
            <w:r w:rsidRPr="00C86F93">
              <w:rPr>
                <w:rFonts w:cs="Arial"/>
              </w:rPr>
              <w:t xml:space="preserve">Циклоспорин 5.2 </w:t>
            </w:r>
            <w:r w:rsidRPr="00C86F93">
              <w:rPr>
                <w:rFonts w:cs="Arial"/>
                <w:lang w:val="en-US"/>
              </w:rPr>
              <w:t>mg</w:t>
            </w:r>
            <w:r w:rsidRPr="00C86F93">
              <w:rPr>
                <w:rFonts w:cs="Arial"/>
                <w:lang w:val="ru-RU"/>
              </w:rPr>
              <w:t>/</w:t>
            </w:r>
            <w:r w:rsidRPr="00C86F93">
              <w:rPr>
                <w:rFonts w:cs="Arial"/>
                <w:lang w:val="en-US"/>
              </w:rPr>
              <w:t>kg</w:t>
            </w:r>
            <w:r w:rsidRPr="00C86F93">
              <w:rPr>
                <w:rFonts w:cs="Arial"/>
              </w:rPr>
              <w:t>/дневно, Установена доза</w:t>
            </w:r>
          </w:p>
        </w:tc>
        <w:tc>
          <w:tcPr>
            <w:tcW w:w="2373" w:type="dxa"/>
            <w:vAlign w:val="center"/>
          </w:tcPr>
          <w:p w14:paraId="02F21518"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28</w:t>
            </w:r>
          </w:p>
          <w:p w14:paraId="27FA76A1" w14:textId="1C1FE8A0" w:rsidR="00C86F93" w:rsidRPr="00C86F93" w:rsidRDefault="00C86F93" w:rsidP="00C86F93">
            <w:pPr>
              <w:rPr>
                <w:rFonts w:cs="Arial"/>
              </w:rPr>
            </w:pPr>
            <w:r w:rsidRPr="00C86F93">
              <w:rPr>
                <w:rFonts w:cs="Arial"/>
              </w:rPr>
              <w:t>дни</w:t>
            </w:r>
          </w:p>
        </w:tc>
        <w:tc>
          <w:tcPr>
            <w:tcW w:w="2377" w:type="dxa"/>
            <w:vAlign w:val="center"/>
          </w:tcPr>
          <w:p w14:paraId="4EA5C5BF" w14:textId="0F2C10BB" w:rsidR="00C86F93" w:rsidRPr="00C86F93" w:rsidRDefault="00C86F93" w:rsidP="00C86F93">
            <w:pPr>
              <w:rPr>
                <w:rFonts w:cs="Arial"/>
              </w:rPr>
            </w:pPr>
            <w:r w:rsidRPr="00C86F93">
              <w:rPr>
                <w:rFonts w:cs="Arial"/>
              </w:rPr>
              <w:t>8,7</w:t>
            </w:r>
          </w:p>
        </w:tc>
        <w:tc>
          <w:tcPr>
            <w:tcW w:w="2385" w:type="dxa"/>
            <w:vMerge/>
            <w:vAlign w:val="center"/>
          </w:tcPr>
          <w:p w14:paraId="48A00043" w14:textId="77777777" w:rsidR="00C86F93" w:rsidRPr="00C86F93" w:rsidRDefault="00C86F93" w:rsidP="00C86F93">
            <w:pPr>
              <w:rPr>
                <w:rFonts w:cs="Arial"/>
              </w:rPr>
            </w:pPr>
          </w:p>
        </w:tc>
      </w:tr>
      <w:tr w:rsidR="00C86F93" w14:paraId="5063BD42" w14:textId="77777777" w:rsidTr="00C86F93">
        <w:tc>
          <w:tcPr>
            <w:tcW w:w="2441" w:type="dxa"/>
            <w:vAlign w:val="center"/>
          </w:tcPr>
          <w:p w14:paraId="7B897261" w14:textId="77777777" w:rsidR="00C86F93" w:rsidRPr="00C86F93" w:rsidRDefault="00C86F93" w:rsidP="00C86F93">
            <w:pPr>
              <w:rPr>
                <w:rFonts w:cs="Arial"/>
              </w:rPr>
            </w:pPr>
            <w:r w:rsidRPr="00C86F93">
              <w:rPr>
                <w:rFonts w:cs="Arial"/>
              </w:rPr>
              <w:t xml:space="preserve">лопинавир 400 </w:t>
            </w:r>
            <w:r w:rsidRPr="00C86F93">
              <w:rPr>
                <w:rFonts w:cs="Arial"/>
                <w:lang w:val="en-US"/>
              </w:rPr>
              <w:t>mg</w:t>
            </w:r>
            <w:r w:rsidRPr="00C86F93">
              <w:rPr>
                <w:rFonts w:cs="Arial"/>
                <w:lang w:val="ru-RU"/>
              </w:rPr>
              <w:t xml:space="preserve"> </w:t>
            </w:r>
            <w:r w:rsidRPr="00C86F93">
              <w:rPr>
                <w:rFonts w:cs="Arial"/>
              </w:rPr>
              <w:t xml:space="preserve">два пъти дневно/ </w:t>
            </w:r>
            <w:r w:rsidRPr="00C86F93">
              <w:rPr>
                <w:rFonts w:cs="Arial"/>
              </w:rPr>
              <w:lastRenderedPageBreak/>
              <w:t xml:space="preserve">ритонавир 100 </w:t>
            </w:r>
            <w:r w:rsidRPr="00C86F93">
              <w:rPr>
                <w:rFonts w:cs="Arial"/>
                <w:lang w:val="en-US"/>
              </w:rPr>
              <w:t>mg</w:t>
            </w:r>
            <w:r w:rsidRPr="00C86F93">
              <w:rPr>
                <w:rFonts w:cs="Arial"/>
                <w:lang w:val="ru-RU"/>
              </w:rPr>
              <w:t xml:space="preserve"> </w:t>
            </w:r>
            <w:r w:rsidRPr="00C86F93">
              <w:rPr>
                <w:rFonts w:cs="Arial"/>
              </w:rPr>
              <w:t>два пъти дневно, 14</w:t>
            </w:r>
          </w:p>
          <w:p w14:paraId="7BBA62F4" w14:textId="62F5FFE0" w:rsidR="00C86F93" w:rsidRPr="00C86F93" w:rsidRDefault="00C86F93" w:rsidP="00C86F93">
            <w:pPr>
              <w:rPr>
                <w:rFonts w:cs="Arial"/>
              </w:rPr>
            </w:pPr>
            <w:r w:rsidRPr="00C86F93">
              <w:rPr>
                <w:rFonts w:cs="Arial"/>
                <w:b/>
                <w:bCs/>
              </w:rPr>
              <w:t>ДНИ</w:t>
            </w:r>
          </w:p>
        </w:tc>
        <w:tc>
          <w:tcPr>
            <w:tcW w:w="2373" w:type="dxa"/>
            <w:vAlign w:val="center"/>
          </w:tcPr>
          <w:p w14:paraId="12663255" w14:textId="77777777" w:rsidR="00C86F93" w:rsidRPr="00C86F93" w:rsidRDefault="00C86F93" w:rsidP="00C86F93">
            <w:pPr>
              <w:rPr>
                <w:rFonts w:cs="Arial"/>
              </w:rPr>
            </w:pPr>
            <w:r w:rsidRPr="00C86F93">
              <w:rPr>
                <w:rFonts w:cs="Arial"/>
              </w:rPr>
              <w:lastRenderedPageBreak/>
              <w:t xml:space="preserve">20 </w:t>
            </w:r>
            <w:r w:rsidRPr="00C86F93">
              <w:rPr>
                <w:rFonts w:cs="Arial"/>
                <w:lang w:val="en-US"/>
              </w:rPr>
              <w:t>mg</w:t>
            </w:r>
            <w:r w:rsidRPr="00C86F93">
              <w:rPr>
                <w:rFonts w:cs="Arial"/>
                <w:lang w:val="ru-RU"/>
              </w:rPr>
              <w:t xml:space="preserve"> </w:t>
            </w:r>
            <w:r w:rsidRPr="00C86F93">
              <w:rPr>
                <w:rFonts w:cs="Arial"/>
              </w:rPr>
              <w:t>веднъж дневно за</w:t>
            </w:r>
            <w:r w:rsidRPr="00C86F93">
              <w:rPr>
                <w:rFonts w:cs="Arial"/>
                <w:lang w:val="ru-RU"/>
              </w:rPr>
              <w:t xml:space="preserve"> </w:t>
            </w:r>
            <w:r w:rsidRPr="00C86F93">
              <w:rPr>
                <w:rFonts w:cs="Arial"/>
              </w:rPr>
              <w:t>4</w:t>
            </w:r>
          </w:p>
          <w:p w14:paraId="387313C4" w14:textId="75A5A750" w:rsidR="00C86F93" w:rsidRPr="00C86F93" w:rsidRDefault="00C86F93" w:rsidP="00C86F93">
            <w:pPr>
              <w:rPr>
                <w:rFonts w:cs="Arial"/>
              </w:rPr>
            </w:pPr>
            <w:r w:rsidRPr="00C86F93">
              <w:rPr>
                <w:rFonts w:cs="Arial"/>
              </w:rPr>
              <w:t>дни</w:t>
            </w:r>
          </w:p>
        </w:tc>
        <w:tc>
          <w:tcPr>
            <w:tcW w:w="2377" w:type="dxa"/>
            <w:vAlign w:val="center"/>
          </w:tcPr>
          <w:p w14:paraId="31CA1A0D" w14:textId="6F10B05B" w:rsidR="00C86F93" w:rsidRPr="00C86F93" w:rsidRDefault="00C86F93" w:rsidP="00C86F93">
            <w:pPr>
              <w:rPr>
                <w:rFonts w:cs="Arial"/>
              </w:rPr>
            </w:pPr>
            <w:r w:rsidRPr="00C86F93">
              <w:rPr>
                <w:rFonts w:cs="Arial"/>
              </w:rPr>
              <w:t>5,9</w:t>
            </w:r>
          </w:p>
        </w:tc>
        <w:tc>
          <w:tcPr>
            <w:tcW w:w="2385" w:type="dxa"/>
            <w:vMerge w:val="restart"/>
            <w:vAlign w:val="center"/>
          </w:tcPr>
          <w:p w14:paraId="6E4A7C7B" w14:textId="77777777" w:rsidR="00C86F93" w:rsidRPr="00C86F93" w:rsidRDefault="00C86F93" w:rsidP="00C86F93">
            <w:pPr>
              <w:rPr>
                <w:rFonts w:cs="Arial"/>
              </w:rPr>
            </w:pPr>
            <w:r w:rsidRPr="00C86F93">
              <w:rPr>
                <w:rFonts w:cs="Arial"/>
              </w:rPr>
              <w:t xml:space="preserve">В случаи когато едновременният </w:t>
            </w:r>
            <w:r w:rsidRPr="00C86F93">
              <w:rPr>
                <w:rFonts w:cs="Arial"/>
              </w:rPr>
              <w:lastRenderedPageBreak/>
              <w:t>прием е необходим се</w:t>
            </w:r>
          </w:p>
          <w:p w14:paraId="31562204" w14:textId="3A966A67" w:rsidR="00C86F93" w:rsidRPr="00C86F93" w:rsidRDefault="00C86F93" w:rsidP="00C86F93">
            <w:pPr>
              <w:rPr>
                <w:rFonts w:cs="Arial"/>
              </w:rPr>
            </w:pPr>
            <w:r w:rsidRPr="00C86F93">
              <w:rPr>
                <w:rFonts w:cs="Arial"/>
              </w:rPr>
              <w:t xml:space="preserve">препоръчват ниски поддържащи дози аторвастатин. При дози аторвастатин над 20 </w:t>
            </w:r>
            <w:r w:rsidRPr="00C86F93">
              <w:rPr>
                <w:rFonts w:cs="Arial"/>
                <w:lang w:val="en-US"/>
              </w:rPr>
              <w:t>mg</w:t>
            </w:r>
            <w:r w:rsidRPr="00C86F93">
              <w:rPr>
                <w:rFonts w:cs="Arial"/>
                <w:lang w:val="ru-RU"/>
              </w:rPr>
              <w:t xml:space="preserve">, </w:t>
            </w:r>
            <w:r w:rsidRPr="00C86F93">
              <w:rPr>
                <w:rFonts w:cs="Arial"/>
              </w:rPr>
              <w:t>пациентите трябва да бъдат клинично проследявани.</w:t>
            </w:r>
          </w:p>
        </w:tc>
      </w:tr>
      <w:tr w:rsidR="00C86F93" w14:paraId="23022976" w14:textId="77777777" w:rsidTr="00C86F93">
        <w:tc>
          <w:tcPr>
            <w:tcW w:w="2441" w:type="dxa"/>
            <w:vAlign w:val="center"/>
          </w:tcPr>
          <w:p w14:paraId="1D606399" w14:textId="377CC4AA" w:rsidR="00C86F93" w:rsidRPr="00C86F93" w:rsidRDefault="00C86F93" w:rsidP="00C86F93">
            <w:pPr>
              <w:rPr>
                <w:rFonts w:cs="Arial"/>
              </w:rPr>
            </w:pPr>
            <w:r w:rsidRPr="00C86F93">
              <w:rPr>
                <w:rFonts w:cs="Arial"/>
              </w:rPr>
              <w:lastRenderedPageBreak/>
              <w:t xml:space="preserve">Кларитромицин 500 </w:t>
            </w:r>
            <w:r w:rsidRPr="00C86F93">
              <w:rPr>
                <w:rFonts w:cs="Arial"/>
                <w:lang w:val="en-US"/>
              </w:rPr>
              <w:t>mg</w:t>
            </w:r>
            <w:r w:rsidRPr="00C86F93">
              <w:rPr>
                <w:rFonts w:cs="Arial"/>
                <w:lang w:val="ru-RU"/>
              </w:rPr>
              <w:t xml:space="preserve"> </w:t>
            </w:r>
            <w:r w:rsidRPr="00C86F93">
              <w:rPr>
                <w:rFonts w:cs="Arial"/>
              </w:rPr>
              <w:t>два пъти дневно, 9 дни</w:t>
            </w:r>
          </w:p>
        </w:tc>
        <w:tc>
          <w:tcPr>
            <w:tcW w:w="2373" w:type="dxa"/>
            <w:vAlign w:val="center"/>
          </w:tcPr>
          <w:p w14:paraId="15D99729" w14:textId="48918007" w:rsidR="00C86F93" w:rsidRPr="00C86F93" w:rsidRDefault="00C86F93" w:rsidP="00C86F93">
            <w:pPr>
              <w:rPr>
                <w:rFonts w:cs="Arial"/>
              </w:rPr>
            </w:pPr>
            <w:r w:rsidRPr="00C86F93">
              <w:rPr>
                <w:rFonts w:cs="Arial"/>
              </w:rPr>
              <w:t xml:space="preserve">80 </w:t>
            </w:r>
            <w:r w:rsidRPr="00C86F93">
              <w:rPr>
                <w:rFonts w:cs="Arial"/>
                <w:lang w:val="en-US"/>
              </w:rPr>
              <w:t>mg</w:t>
            </w:r>
            <w:r w:rsidRPr="00C86F93">
              <w:rPr>
                <w:rFonts w:cs="Arial"/>
                <w:lang w:val="ru-RU"/>
              </w:rPr>
              <w:t xml:space="preserve"> </w:t>
            </w:r>
            <w:r w:rsidRPr="00C86F93">
              <w:rPr>
                <w:rFonts w:cs="Arial"/>
              </w:rPr>
              <w:t>веднъж дневно за 8 дни</w:t>
            </w:r>
          </w:p>
        </w:tc>
        <w:tc>
          <w:tcPr>
            <w:tcW w:w="2377" w:type="dxa"/>
            <w:vAlign w:val="center"/>
          </w:tcPr>
          <w:p w14:paraId="5788CAAC" w14:textId="10E97752" w:rsidR="00C86F93" w:rsidRPr="00C86F93" w:rsidRDefault="00C86F93" w:rsidP="00C86F93">
            <w:pPr>
              <w:rPr>
                <w:rFonts w:cs="Arial"/>
              </w:rPr>
            </w:pPr>
            <w:r w:rsidRPr="00C86F93">
              <w:rPr>
                <w:rFonts w:cs="Arial"/>
              </w:rPr>
              <w:t>4,4</w:t>
            </w:r>
          </w:p>
        </w:tc>
        <w:tc>
          <w:tcPr>
            <w:tcW w:w="2385" w:type="dxa"/>
            <w:vMerge/>
            <w:vAlign w:val="center"/>
          </w:tcPr>
          <w:p w14:paraId="35D40CF7" w14:textId="77777777" w:rsidR="00C86F93" w:rsidRPr="00C86F93" w:rsidRDefault="00C86F93" w:rsidP="00C86F93">
            <w:pPr>
              <w:rPr>
                <w:rFonts w:cs="Arial"/>
              </w:rPr>
            </w:pPr>
          </w:p>
        </w:tc>
      </w:tr>
      <w:tr w:rsidR="00C86F93" w14:paraId="4E0C4849" w14:textId="77777777" w:rsidTr="00C86F93">
        <w:tc>
          <w:tcPr>
            <w:tcW w:w="2441" w:type="dxa"/>
            <w:vAlign w:val="bottom"/>
          </w:tcPr>
          <w:p w14:paraId="24FD6385" w14:textId="1CD4CC0A" w:rsidR="00C86F93" w:rsidRPr="00C86F93" w:rsidRDefault="00C86F93" w:rsidP="00C86F93">
            <w:pPr>
              <w:rPr>
                <w:rFonts w:cs="Arial"/>
              </w:rPr>
            </w:pPr>
            <w:r w:rsidRPr="00C86F93">
              <w:rPr>
                <w:rFonts w:cs="Arial"/>
              </w:rPr>
              <w:t xml:space="preserve">Саквинавир 400 </w:t>
            </w:r>
            <w:r w:rsidRPr="00C86F93">
              <w:rPr>
                <w:rFonts w:cs="Arial"/>
                <w:lang w:val="en-US"/>
              </w:rPr>
              <w:t>mg</w:t>
            </w:r>
            <w:r w:rsidRPr="00C86F93">
              <w:rPr>
                <w:rFonts w:cs="Arial"/>
                <w:lang w:val="ru-RU"/>
              </w:rPr>
              <w:t xml:space="preserve"> </w:t>
            </w:r>
            <w:r w:rsidRPr="00C86F93">
              <w:rPr>
                <w:rFonts w:cs="Arial"/>
              </w:rPr>
              <w:t xml:space="preserve">два пъти дневно/ Ритонавир 300 </w:t>
            </w:r>
            <w:r w:rsidRPr="00C86F93">
              <w:rPr>
                <w:rFonts w:cs="Arial"/>
                <w:lang w:val="en-US"/>
              </w:rPr>
              <w:t>mg</w:t>
            </w:r>
            <w:r w:rsidRPr="00C86F93">
              <w:rPr>
                <w:rFonts w:cs="Arial"/>
                <w:lang w:val="ru-RU"/>
              </w:rPr>
              <w:t xml:space="preserve"> </w:t>
            </w:r>
            <w:r w:rsidRPr="00C86F93">
              <w:rPr>
                <w:rFonts w:cs="Arial"/>
              </w:rPr>
              <w:t xml:space="preserve">два пъти дневно от ден5-7, увеличава се до 400 </w:t>
            </w:r>
            <w:r w:rsidRPr="00C86F93">
              <w:rPr>
                <w:rFonts w:cs="Arial"/>
                <w:lang w:val="en-US"/>
              </w:rPr>
              <w:t>mg</w:t>
            </w:r>
            <w:r w:rsidRPr="00C86F93">
              <w:rPr>
                <w:rFonts w:cs="Arial"/>
                <w:lang w:val="ru-RU"/>
              </w:rPr>
              <w:t xml:space="preserve"> </w:t>
            </w:r>
            <w:r w:rsidRPr="00C86F93">
              <w:rPr>
                <w:rFonts w:cs="Arial"/>
              </w:rPr>
              <w:t xml:space="preserve">два пъти дневно ден 8), дни 5-18, 30 </w:t>
            </w:r>
            <w:r w:rsidRPr="00C86F93">
              <w:rPr>
                <w:rFonts w:cs="Arial"/>
                <w:lang w:val="en-US"/>
              </w:rPr>
              <w:t>min</w:t>
            </w:r>
            <w:r w:rsidRPr="00C86F93">
              <w:rPr>
                <w:rFonts w:cs="Arial"/>
                <w:lang w:val="ru-RU"/>
              </w:rPr>
              <w:t xml:space="preserve"> </w:t>
            </w:r>
            <w:r w:rsidRPr="00C86F93">
              <w:rPr>
                <w:rFonts w:cs="Arial"/>
              </w:rPr>
              <w:t>след прием на аторвастатин</w:t>
            </w:r>
          </w:p>
        </w:tc>
        <w:tc>
          <w:tcPr>
            <w:tcW w:w="2373" w:type="dxa"/>
            <w:vAlign w:val="center"/>
          </w:tcPr>
          <w:p w14:paraId="2AA44DE9" w14:textId="77777777" w:rsidR="00C86F93" w:rsidRPr="00C86F93" w:rsidRDefault="00C86F93" w:rsidP="00C86F93">
            <w:pPr>
              <w:rPr>
                <w:rFonts w:cs="Arial"/>
              </w:rPr>
            </w:pPr>
            <w:r w:rsidRPr="00C86F93">
              <w:rPr>
                <w:rFonts w:cs="Arial"/>
              </w:rPr>
              <w:t xml:space="preserve">40 </w:t>
            </w:r>
            <w:r w:rsidRPr="00C86F93">
              <w:rPr>
                <w:rFonts w:cs="Arial"/>
                <w:lang w:val="en-US"/>
              </w:rPr>
              <w:t>mg</w:t>
            </w:r>
            <w:r w:rsidRPr="00C86F93">
              <w:rPr>
                <w:rFonts w:cs="Arial"/>
                <w:lang w:val="ru-RU"/>
              </w:rPr>
              <w:t xml:space="preserve"> </w:t>
            </w:r>
            <w:r w:rsidRPr="00C86F93">
              <w:rPr>
                <w:rFonts w:cs="Arial"/>
              </w:rPr>
              <w:t>веднъж дневно за 4</w:t>
            </w:r>
          </w:p>
          <w:p w14:paraId="27DF9C04" w14:textId="1C18EF4A" w:rsidR="00C86F93" w:rsidRPr="00C86F93" w:rsidRDefault="00C86F93" w:rsidP="00C86F93">
            <w:pPr>
              <w:rPr>
                <w:rFonts w:cs="Arial"/>
              </w:rPr>
            </w:pPr>
            <w:r w:rsidRPr="00C86F93">
              <w:rPr>
                <w:rFonts w:cs="Arial"/>
                <w:bCs/>
              </w:rPr>
              <w:t>дни</w:t>
            </w:r>
          </w:p>
        </w:tc>
        <w:tc>
          <w:tcPr>
            <w:tcW w:w="2377" w:type="dxa"/>
            <w:vAlign w:val="center"/>
          </w:tcPr>
          <w:p w14:paraId="48710FDB" w14:textId="4CBBB79B" w:rsidR="00C86F93" w:rsidRPr="00C86F93" w:rsidRDefault="00C86F93" w:rsidP="00C86F93">
            <w:pPr>
              <w:rPr>
                <w:rFonts w:cs="Arial"/>
              </w:rPr>
            </w:pPr>
            <w:r w:rsidRPr="00C86F93">
              <w:rPr>
                <w:rFonts w:cs="Arial"/>
              </w:rPr>
              <w:t>3,9</w:t>
            </w:r>
          </w:p>
        </w:tc>
        <w:tc>
          <w:tcPr>
            <w:tcW w:w="2385" w:type="dxa"/>
            <w:vMerge w:val="restart"/>
            <w:vAlign w:val="bottom"/>
          </w:tcPr>
          <w:p w14:paraId="587FA3FA" w14:textId="77777777" w:rsidR="00C86F93" w:rsidRPr="00C86F93" w:rsidRDefault="00C86F93" w:rsidP="00C86F93">
            <w:pPr>
              <w:rPr>
                <w:rFonts w:cs="Arial"/>
              </w:rPr>
            </w:pPr>
            <w:r w:rsidRPr="00C86F93">
              <w:rPr>
                <w:rFonts w:cs="Arial"/>
              </w:rPr>
              <w:t xml:space="preserve">В случаи когато се налага едновременно лечение, се препоръчват ниски поддържащи дози аторвастатин. При дози аторвастатин, надвишаващи 40 </w:t>
            </w:r>
            <w:r w:rsidRPr="00C86F93">
              <w:rPr>
                <w:rFonts w:cs="Arial"/>
                <w:lang w:val="en-US"/>
              </w:rPr>
              <w:t>mg</w:t>
            </w:r>
            <w:r w:rsidRPr="00C86F93">
              <w:rPr>
                <w:rFonts w:cs="Arial"/>
                <w:lang w:val="ru-RU"/>
              </w:rPr>
              <w:t xml:space="preserve">, </w:t>
            </w:r>
            <w:r w:rsidRPr="00C86F93">
              <w:rPr>
                <w:rFonts w:cs="Arial"/>
              </w:rPr>
              <w:t xml:space="preserve">се препоръчва </w:t>
            </w:r>
            <w:r w:rsidRPr="00C86F93">
              <w:rPr>
                <w:rFonts w:cs="Arial"/>
                <w:u w:val="single"/>
              </w:rPr>
              <w:t>клин</w:t>
            </w:r>
            <w:r w:rsidRPr="00C86F93">
              <w:rPr>
                <w:rFonts w:cs="Arial"/>
              </w:rPr>
              <w:t>ично проследяване на</w:t>
            </w:r>
          </w:p>
          <w:p w14:paraId="347A2C8F" w14:textId="33C29286" w:rsidR="00C86F93" w:rsidRPr="00C86F93" w:rsidRDefault="00C86F93" w:rsidP="00C86F93">
            <w:pPr>
              <w:rPr>
                <w:rFonts w:cs="Arial"/>
              </w:rPr>
            </w:pPr>
            <w:r w:rsidRPr="00C86F93">
              <w:rPr>
                <w:rFonts w:cs="Arial"/>
              </w:rPr>
              <w:t>пациентите</w:t>
            </w:r>
          </w:p>
        </w:tc>
      </w:tr>
      <w:tr w:rsidR="00C86F93" w14:paraId="75C2BD65" w14:textId="77777777" w:rsidTr="00C86F93">
        <w:tc>
          <w:tcPr>
            <w:tcW w:w="2441" w:type="dxa"/>
            <w:vAlign w:val="center"/>
          </w:tcPr>
          <w:p w14:paraId="483DE64C" w14:textId="4A7BFD50" w:rsidR="00C86F93" w:rsidRPr="00C86F93" w:rsidRDefault="00C86F93" w:rsidP="00C86F93">
            <w:pPr>
              <w:rPr>
                <w:rFonts w:cs="Arial"/>
              </w:rPr>
            </w:pPr>
            <w:r w:rsidRPr="00C86F93">
              <w:rPr>
                <w:rFonts w:cs="Arial"/>
              </w:rPr>
              <w:t xml:space="preserve">Дарунавир 300 </w:t>
            </w:r>
            <w:r w:rsidRPr="00C86F93">
              <w:rPr>
                <w:rFonts w:cs="Arial"/>
                <w:lang w:val="en-US"/>
              </w:rPr>
              <w:t>m</w:t>
            </w:r>
            <w:r w:rsidRPr="00C86F93">
              <w:rPr>
                <w:rFonts w:cs="Arial"/>
                <w:lang w:val="ru-RU"/>
              </w:rPr>
              <w:t xml:space="preserve"> </w:t>
            </w:r>
            <w:r w:rsidRPr="00C86F93">
              <w:rPr>
                <w:rFonts w:cs="Arial"/>
              </w:rPr>
              <w:t xml:space="preserve">два пъти дневно/ Ритонавир 100 </w:t>
            </w:r>
            <w:r w:rsidRPr="00C86F93">
              <w:rPr>
                <w:rFonts w:cs="Arial"/>
                <w:lang w:val="en-US"/>
              </w:rPr>
              <w:t>mg</w:t>
            </w:r>
            <w:r w:rsidRPr="00C86F93">
              <w:rPr>
                <w:rFonts w:cs="Arial"/>
                <w:lang w:val="ru-RU"/>
              </w:rPr>
              <w:t xml:space="preserve"> </w:t>
            </w:r>
            <w:r w:rsidRPr="00C86F93">
              <w:rPr>
                <w:rFonts w:cs="Arial"/>
              </w:rPr>
              <w:t>два пъти дневно, 9 дни</w:t>
            </w:r>
          </w:p>
        </w:tc>
        <w:tc>
          <w:tcPr>
            <w:tcW w:w="2373" w:type="dxa"/>
            <w:vAlign w:val="center"/>
          </w:tcPr>
          <w:p w14:paraId="11B1CFB7"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09B8B9EB" w14:textId="77EF4592" w:rsidR="00C86F93" w:rsidRPr="00C86F93" w:rsidRDefault="00C86F93" w:rsidP="00C86F93">
            <w:pPr>
              <w:rPr>
                <w:rFonts w:cs="Arial"/>
              </w:rPr>
            </w:pPr>
            <w:r w:rsidRPr="00C86F93">
              <w:rPr>
                <w:rFonts w:cs="Arial"/>
                <w:bCs/>
              </w:rPr>
              <w:t>дни</w:t>
            </w:r>
          </w:p>
        </w:tc>
        <w:tc>
          <w:tcPr>
            <w:tcW w:w="2377" w:type="dxa"/>
            <w:vAlign w:val="center"/>
          </w:tcPr>
          <w:p w14:paraId="0EC12AB7" w14:textId="09740B2E" w:rsidR="00C86F93" w:rsidRPr="00C86F93" w:rsidRDefault="00C86F93" w:rsidP="00C86F93">
            <w:pPr>
              <w:rPr>
                <w:rFonts w:cs="Arial"/>
              </w:rPr>
            </w:pPr>
            <w:r w:rsidRPr="00C86F93">
              <w:rPr>
                <w:rFonts w:cs="Arial"/>
              </w:rPr>
              <w:t>3,3</w:t>
            </w:r>
          </w:p>
        </w:tc>
        <w:tc>
          <w:tcPr>
            <w:tcW w:w="2385" w:type="dxa"/>
            <w:vMerge/>
            <w:vAlign w:val="bottom"/>
          </w:tcPr>
          <w:p w14:paraId="239066C1" w14:textId="77777777" w:rsidR="00C86F93" w:rsidRPr="00C86F93" w:rsidRDefault="00C86F93" w:rsidP="00C86F93">
            <w:pPr>
              <w:rPr>
                <w:rFonts w:cs="Arial"/>
              </w:rPr>
            </w:pPr>
          </w:p>
        </w:tc>
      </w:tr>
      <w:tr w:rsidR="00C86F93" w14:paraId="5D490342" w14:textId="77777777" w:rsidTr="00C86F93">
        <w:tc>
          <w:tcPr>
            <w:tcW w:w="2441" w:type="dxa"/>
            <w:vAlign w:val="center"/>
          </w:tcPr>
          <w:p w14:paraId="4AE8D03D" w14:textId="43DD8DE5" w:rsidR="00C86F93" w:rsidRPr="00C86F93" w:rsidRDefault="00C86F93" w:rsidP="00C86F93">
            <w:pPr>
              <w:rPr>
                <w:rFonts w:cs="Arial"/>
              </w:rPr>
            </w:pPr>
            <w:r w:rsidRPr="00C86F93">
              <w:rPr>
                <w:rFonts w:cs="Arial"/>
              </w:rPr>
              <w:t xml:space="preserve">Итраконазол 200 </w:t>
            </w:r>
            <w:r w:rsidRPr="00C86F93">
              <w:rPr>
                <w:rFonts w:cs="Arial"/>
                <w:lang w:val="en-US"/>
              </w:rPr>
              <w:t>mg</w:t>
            </w:r>
            <w:r w:rsidRPr="00C86F93">
              <w:rPr>
                <w:rFonts w:cs="Arial"/>
                <w:lang w:val="ru-RU"/>
              </w:rPr>
              <w:t xml:space="preserve"> </w:t>
            </w:r>
            <w:r w:rsidRPr="00C86F93">
              <w:rPr>
                <w:rFonts w:cs="Arial"/>
              </w:rPr>
              <w:t>веднъж дневно, 4 дни</w:t>
            </w:r>
          </w:p>
        </w:tc>
        <w:tc>
          <w:tcPr>
            <w:tcW w:w="2373" w:type="dxa"/>
            <w:vAlign w:val="center"/>
          </w:tcPr>
          <w:p w14:paraId="60899A70" w14:textId="25996E26"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vAlign w:val="bottom"/>
          </w:tcPr>
          <w:p w14:paraId="19F69235" w14:textId="19DEA71A" w:rsidR="00C86F93" w:rsidRPr="00C86F93" w:rsidRDefault="00C86F93" w:rsidP="00C86F93">
            <w:pPr>
              <w:rPr>
                <w:rFonts w:cs="Arial"/>
              </w:rPr>
            </w:pPr>
            <w:r w:rsidRPr="00C86F93">
              <w:rPr>
                <w:rFonts w:cs="Arial"/>
                <w:vertAlign w:val="superscript"/>
              </w:rPr>
              <w:t>3,3</w:t>
            </w:r>
          </w:p>
        </w:tc>
        <w:tc>
          <w:tcPr>
            <w:tcW w:w="2385" w:type="dxa"/>
            <w:vMerge/>
            <w:vAlign w:val="bottom"/>
          </w:tcPr>
          <w:p w14:paraId="2353B4BA" w14:textId="77777777" w:rsidR="00C86F93" w:rsidRPr="00C86F93" w:rsidRDefault="00C86F93" w:rsidP="00C86F93">
            <w:pPr>
              <w:rPr>
                <w:rFonts w:cs="Arial"/>
              </w:rPr>
            </w:pPr>
          </w:p>
        </w:tc>
      </w:tr>
      <w:tr w:rsidR="00C86F93" w14:paraId="5E9A1503" w14:textId="77777777" w:rsidTr="00C86F93">
        <w:tc>
          <w:tcPr>
            <w:tcW w:w="2441" w:type="dxa"/>
            <w:vAlign w:val="bottom"/>
          </w:tcPr>
          <w:p w14:paraId="601A033D" w14:textId="77777777" w:rsidR="00C86F93" w:rsidRPr="00C86F93" w:rsidRDefault="00C86F93" w:rsidP="00C86F93">
            <w:pPr>
              <w:rPr>
                <w:rFonts w:cs="Arial"/>
              </w:rPr>
            </w:pPr>
            <w:r w:rsidRPr="00C86F93">
              <w:rPr>
                <w:rFonts w:cs="Arial"/>
              </w:rPr>
              <w:t xml:space="preserve">Фозампенавир 700 </w:t>
            </w:r>
            <w:r w:rsidRPr="00C86F93">
              <w:rPr>
                <w:rFonts w:cs="Arial"/>
                <w:lang w:val="en-US"/>
              </w:rPr>
              <w:t>mg</w:t>
            </w:r>
            <w:r w:rsidRPr="00C86F93">
              <w:rPr>
                <w:rFonts w:cs="Arial"/>
                <w:lang w:val="ru-RU"/>
              </w:rPr>
              <w:t xml:space="preserve"> </w:t>
            </w:r>
            <w:r w:rsidRPr="00C86F93">
              <w:rPr>
                <w:rFonts w:cs="Arial"/>
              </w:rPr>
              <w:t xml:space="preserve">два пъти дневно/ Ритонавир 100 </w:t>
            </w:r>
            <w:r w:rsidRPr="00C86F93">
              <w:rPr>
                <w:rFonts w:cs="Arial"/>
                <w:lang w:val="en-US"/>
              </w:rPr>
              <w:t>mg</w:t>
            </w:r>
            <w:r w:rsidRPr="00C86F93">
              <w:rPr>
                <w:rFonts w:cs="Arial"/>
                <w:lang w:val="ru-RU"/>
              </w:rPr>
              <w:t xml:space="preserve"> </w:t>
            </w:r>
            <w:r w:rsidRPr="00C86F93">
              <w:rPr>
                <w:rFonts w:cs="Arial"/>
                <w:lang w:val="en-US"/>
              </w:rPr>
              <w:t>BID</w:t>
            </w:r>
            <w:r w:rsidRPr="00C86F93">
              <w:rPr>
                <w:rFonts w:cs="Arial"/>
                <w:lang w:val="ru-RU"/>
              </w:rPr>
              <w:t xml:space="preserve">, </w:t>
            </w:r>
            <w:r w:rsidRPr="00C86F93">
              <w:rPr>
                <w:rFonts w:cs="Arial"/>
              </w:rPr>
              <w:t>14</w:t>
            </w:r>
          </w:p>
          <w:p w14:paraId="550EE3F3" w14:textId="60FB1B71" w:rsidR="00C86F93" w:rsidRPr="00C86F93" w:rsidRDefault="00C86F93" w:rsidP="00C86F93">
            <w:pPr>
              <w:rPr>
                <w:rFonts w:cs="Arial"/>
              </w:rPr>
            </w:pPr>
            <w:r w:rsidRPr="00C86F93">
              <w:rPr>
                <w:rFonts w:cs="Arial"/>
              </w:rPr>
              <w:t>дни</w:t>
            </w:r>
          </w:p>
        </w:tc>
        <w:tc>
          <w:tcPr>
            <w:tcW w:w="2373" w:type="dxa"/>
            <w:vAlign w:val="center"/>
          </w:tcPr>
          <w:p w14:paraId="1C58A78D"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374BCD7A" w14:textId="10209C79" w:rsidR="00C86F93" w:rsidRPr="00C86F93" w:rsidRDefault="00C86F93" w:rsidP="00C86F93">
            <w:pPr>
              <w:rPr>
                <w:rFonts w:cs="Arial"/>
              </w:rPr>
            </w:pPr>
            <w:r w:rsidRPr="00C86F93">
              <w:rPr>
                <w:rFonts w:cs="Arial"/>
              </w:rPr>
              <w:t>дни</w:t>
            </w:r>
          </w:p>
        </w:tc>
        <w:tc>
          <w:tcPr>
            <w:tcW w:w="2377" w:type="dxa"/>
            <w:vAlign w:val="center"/>
          </w:tcPr>
          <w:p w14:paraId="72167FE2" w14:textId="4E1F960A" w:rsidR="00C86F93" w:rsidRPr="00C86F93" w:rsidRDefault="00C86F93" w:rsidP="00C86F93">
            <w:pPr>
              <w:rPr>
                <w:rFonts w:cs="Arial"/>
              </w:rPr>
            </w:pPr>
            <w:r w:rsidRPr="00C86F93">
              <w:rPr>
                <w:rFonts w:cs="Arial"/>
              </w:rPr>
              <w:t>2,5</w:t>
            </w:r>
          </w:p>
        </w:tc>
        <w:tc>
          <w:tcPr>
            <w:tcW w:w="2385" w:type="dxa"/>
            <w:vMerge/>
          </w:tcPr>
          <w:p w14:paraId="6434F4A4" w14:textId="77777777" w:rsidR="00C86F93" w:rsidRPr="00C86F93" w:rsidRDefault="00C86F93" w:rsidP="00C86F93">
            <w:pPr>
              <w:rPr>
                <w:rFonts w:cs="Arial"/>
              </w:rPr>
            </w:pPr>
          </w:p>
        </w:tc>
      </w:tr>
      <w:tr w:rsidR="00C86F93" w14:paraId="2BAF3493" w14:textId="77777777" w:rsidTr="00C86F93">
        <w:tc>
          <w:tcPr>
            <w:tcW w:w="2441" w:type="dxa"/>
            <w:vAlign w:val="center"/>
          </w:tcPr>
          <w:p w14:paraId="58250156" w14:textId="2CCBCD6F" w:rsidR="00C86F93" w:rsidRPr="00C86F93" w:rsidRDefault="00C86F93" w:rsidP="00C86F93">
            <w:pPr>
              <w:rPr>
                <w:rFonts w:cs="Arial"/>
              </w:rPr>
            </w:pPr>
            <w:r w:rsidRPr="00C86F93">
              <w:rPr>
                <w:rFonts w:cs="Arial"/>
              </w:rPr>
              <w:t xml:space="preserve">Фозампенавир 1400 </w:t>
            </w:r>
            <w:r w:rsidRPr="00C86F93">
              <w:rPr>
                <w:rFonts w:cs="Arial"/>
                <w:lang w:val="en-US"/>
              </w:rPr>
              <w:t>mg</w:t>
            </w:r>
            <w:r w:rsidRPr="00C86F93">
              <w:rPr>
                <w:rFonts w:cs="Arial"/>
                <w:lang w:val="ru-RU"/>
              </w:rPr>
              <w:t xml:space="preserve"> </w:t>
            </w:r>
            <w:r w:rsidRPr="00C86F93">
              <w:rPr>
                <w:rFonts w:cs="Arial"/>
              </w:rPr>
              <w:t>два пъти дневно, 14 дни</w:t>
            </w:r>
          </w:p>
        </w:tc>
        <w:tc>
          <w:tcPr>
            <w:tcW w:w="2373" w:type="dxa"/>
            <w:vAlign w:val="center"/>
          </w:tcPr>
          <w:p w14:paraId="2194DFF6"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1EB113A4" w14:textId="6760A287" w:rsidR="00C86F93" w:rsidRPr="00C86F93" w:rsidRDefault="00C86F93" w:rsidP="00C86F93">
            <w:pPr>
              <w:rPr>
                <w:rFonts w:cs="Arial"/>
              </w:rPr>
            </w:pPr>
            <w:r w:rsidRPr="00C86F93">
              <w:rPr>
                <w:rFonts w:cs="Arial"/>
              </w:rPr>
              <w:t>дни</w:t>
            </w:r>
          </w:p>
        </w:tc>
        <w:tc>
          <w:tcPr>
            <w:tcW w:w="2377" w:type="dxa"/>
            <w:vAlign w:val="center"/>
          </w:tcPr>
          <w:p w14:paraId="0A4B346D" w14:textId="0147FDCC" w:rsidR="00C86F93" w:rsidRPr="00C86F93" w:rsidRDefault="00C86F93" w:rsidP="00C86F93">
            <w:pPr>
              <w:rPr>
                <w:rFonts w:cs="Arial"/>
              </w:rPr>
            </w:pPr>
            <w:r w:rsidRPr="00C86F93">
              <w:rPr>
                <w:rFonts w:cs="Arial"/>
              </w:rPr>
              <w:t>2,3</w:t>
            </w:r>
          </w:p>
        </w:tc>
        <w:tc>
          <w:tcPr>
            <w:tcW w:w="2385" w:type="dxa"/>
            <w:vMerge/>
          </w:tcPr>
          <w:p w14:paraId="0226F5C5" w14:textId="77777777" w:rsidR="00C86F93" w:rsidRPr="00C86F93" w:rsidRDefault="00C86F93" w:rsidP="00C86F93">
            <w:pPr>
              <w:rPr>
                <w:rFonts w:cs="Arial"/>
              </w:rPr>
            </w:pPr>
          </w:p>
        </w:tc>
      </w:tr>
      <w:tr w:rsidR="00C86F93" w14:paraId="79504928" w14:textId="77777777" w:rsidTr="00C86F93">
        <w:tc>
          <w:tcPr>
            <w:tcW w:w="2441" w:type="dxa"/>
            <w:vAlign w:val="center"/>
          </w:tcPr>
          <w:p w14:paraId="7B80B31C" w14:textId="3FDA1D82" w:rsidR="00C86F93" w:rsidRPr="00C86F93" w:rsidRDefault="00C86F93" w:rsidP="00C86F93">
            <w:pPr>
              <w:rPr>
                <w:rFonts w:cs="Arial"/>
              </w:rPr>
            </w:pPr>
            <w:r w:rsidRPr="00C86F93">
              <w:rPr>
                <w:rFonts w:cs="Arial"/>
              </w:rPr>
              <w:t xml:space="preserve">Нелфинавир 1250 </w:t>
            </w:r>
            <w:r w:rsidRPr="00C86F93">
              <w:rPr>
                <w:rFonts w:cs="Arial"/>
                <w:lang w:val="en-US"/>
              </w:rPr>
              <w:t>mg</w:t>
            </w:r>
            <w:r w:rsidRPr="00C86F93">
              <w:rPr>
                <w:rFonts w:cs="Arial"/>
                <w:lang w:val="ru-RU"/>
              </w:rPr>
              <w:t xml:space="preserve"> </w:t>
            </w:r>
            <w:r w:rsidRPr="00C86F93">
              <w:rPr>
                <w:rFonts w:cs="Arial"/>
              </w:rPr>
              <w:t>два пъти дневно, 14 дни</w:t>
            </w:r>
          </w:p>
        </w:tc>
        <w:tc>
          <w:tcPr>
            <w:tcW w:w="2373" w:type="dxa"/>
            <w:vAlign w:val="center"/>
          </w:tcPr>
          <w:p w14:paraId="2DAADC45"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28 дни</w:t>
            </w:r>
          </w:p>
          <w:p w14:paraId="13642380" w14:textId="0ED11DF5" w:rsidR="00C86F93" w:rsidRPr="00C86F93" w:rsidRDefault="00C86F93" w:rsidP="00C86F93">
            <w:pPr>
              <w:rPr>
                <w:rFonts w:cs="Arial"/>
              </w:rPr>
            </w:pPr>
            <w:r w:rsidRPr="00C86F93">
              <w:rPr>
                <w:rFonts w:cs="Arial"/>
                <w:lang w:val="en-US"/>
              </w:rPr>
              <w:t>days</w:t>
            </w:r>
          </w:p>
        </w:tc>
        <w:tc>
          <w:tcPr>
            <w:tcW w:w="2377" w:type="dxa"/>
            <w:vAlign w:val="center"/>
          </w:tcPr>
          <w:p w14:paraId="03B28F64" w14:textId="07770025" w:rsidR="00C86F93" w:rsidRPr="00C86F93" w:rsidRDefault="00C86F93" w:rsidP="00C86F93">
            <w:pPr>
              <w:rPr>
                <w:rFonts w:cs="Arial"/>
              </w:rPr>
            </w:pPr>
            <w:r w:rsidRPr="00C86F93">
              <w:rPr>
                <w:rFonts w:cs="Arial"/>
              </w:rPr>
              <w:t>1,74</w:t>
            </w:r>
          </w:p>
        </w:tc>
        <w:tc>
          <w:tcPr>
            <w:tcW w:w="2385" w:type="dxa"/>
            <w:vAlign w:val="center"/>
          </w:tcPr>
          <w:p w14:paraId="7433910B" w14:textId="7B4D517F" w:rsidR="00C86F93" w:rsidRPr="00C86F93" w:rsidRDefault="00C86F93" w:rsidP="00C86F93">
            <w:pPr>
              <w:rPr>
                <w:rFonts w:cs="Arial"/>
              </w:rPr>
            </w:pPr>
            <w:r w:rsidRPr="00C86F93">
              <w:rPr>
                <w:rFonts w:cs="Arial"/>
              </w:rPr>
              <w:t>Няма специални препоръки</w:t>
            </w:r>
          </w:p>
        </w:tc>
      </w:tr>
      <w:tr w:rsidR="00C86F93" w14:paraId="4DE29154" w14:textId="77777777" w:rsidTr="00C86F93">
        <w:tc>
          <w:tcPr>
            <w:tcW w:w="2441" w:type="dxa"/>
            <w:vAlign w:val="center"/>
          </w:tcPr>
          <w:p w14:paraId="18136E9B" w14:textId="603C6EF8" w:rsidR="00C86F93" w:rsidRPr="00C86F93" w:rsidRDefault="00C86F93" w:rsidP="00C86F93">
            <w:pPr>
              <w:rPr>
                <w:rFonts w:cs="Arial"/>
              </w:rPr>
            </w:pPr>
            <w:r w:rsidRPr="00C86F93">
              <w:rPr>
                <w:rFonts w:cs="Arial"/>
              </w:rPr>
              <w:t xml:space="preserve">Сок от грейпфрут 240 </w:t>
            </w:r>
            <w:r w:rsidRPr="00C86F93">
              <w:rPr>
                <w:rFonts w:cs="Arial"/>
                <w:lang w:val="en-US"/>
              </w:rPr>
              <w:t>mL</w:t>
            </w:r>
            <w:r w:rsidRPr="00C86F93">
              <w:rPr>
                <w:rFonts w:cs="Arial"/>
                <w:lang w:val="ru-RU"/>
              </w:rPr>
              <w:t xml:space="preserve"> </w:t>
            </w:r>
            <w:r w:rsidRPr="00C86F93">
              <w:rPr>
                <w:rFonts w:cs="Arial"/>
              </w:rPr>
              <w:t>веднъж дневно *</w:t>
            </w:r>
          </w:p>
        </w:tc>
        <w:tc>
          <w:tcPr>
            <w:tcW w:w="2373" w:type="dxa"/>
            <w:vAlign w:val="center"/>
          </w:tcPr>
          <w:p w14:paraId="3C86F984" w14:textId="097A076C"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vAlign w:val="center"/>
          </w:tcPr>
          <w:p w14:paraId="211F0230" w14:textId="297B8038" w:rsidR="00C86F93" w:rsidRPr="00C86F93" w:rsidRDefault="00C86F93" w:rsidP="00C86F93">
            <w:pPr>
              <w:rPr>
                <w:rFonts w:cs="Arial"/>
              </w:rPr>
            </w:pPr>
            <w:r w:rsidRPr="00C86F93">
              <w:rPr>
                <w:rFonts w:cs="Arial"/>
              </w:rPr>
              <w:t>1,37</w:t>
            </w:r>
          </w:p>
        </w:tc>
        <w:tc>
          <w:tcPr>
            <w:tcW w:w="2385" w:type="dxa"/>
            <w:vAlign w:val="bottom"/>
          </w:tcPr>
          <w:p w14:paraId="3DA3BEFC" w14:textId="01F2B0DA" w:rsidR="00C86F93" w:rsidRPr="00C86F93" w:rsidRDefault="00C86F93" w:rsidP="00C86F93">
            <w:pPr>
              <w:rPr>
                <w:rFonts w:cs="Arial"/>
              </w:rPr>
            </w:pPr>
            <w:r w:rsidRPr="00C86F93">
              <w:rPr>
                <w:rFonts w:cs="Arial"/>
              </w:rPr>
              <w:t>Не се препоръчва едновременен прием на големи количества сок от грейпфрут и аторвастатин</w:t>
            </w:r>
          </w:p>
        </w:tc>
      </w:tr>
      <w:tr w:rsidR="00C86F93" w14:paraId="702EEF34" w14:textId="77777777" w:rsidTr="00C86F93">
        <w:tc>
          <w:tcPr>
            <w:tcW w:w="2441" w:type="dxa"/>
            <w:vAlign w:val="center"/>
          </w:tcPr>
          <w:p w14:paraId="07EE1DCF" w14:textId="567739C4" w:rsidR="00C86F93" w:rsidRPr="00C86F93" w:rsidRDefault="00C86F93" w:rsidP="00C86F93">
            <w:pPr>
              <w:rPr>
                <w:rFonts w:cs="Arial"/>
              </w:rPr>
            </w:pPr>
            <w:r w:rsidRPr="00C86F93">
              <w:rPr>
                <w:rFonts w:cs="Arial"/>
              </w:rPr>
              <w:t xml:space="preserve">Дилтиазем </w:t>
            </w:r>
            <w:r w:rsidRPr="00C86F93">
              <w:rPr>
                <w:rFonts w:cs="Arial"/>
                <w:lang w:val="en-US"/>
              </w:rPr>
              <w:t xml:space="preserve">240mg OD, </w:t>
            </w:r>
            <w:r w:rsidRPr="00C86F93">
              <w:rPr>
                <w:rFonts w:cs="Arial"/>
              </w:rPr>
              <w:t>28 дни</w:t>
            </w:r>
          </w:p>
        </w:tc>
        <w:tc>
          <w:tcPr>
            <w:tcW w:w="2373" w:type="dxa"/>
            <w:vAlign w:val="center"/>
          </w:tcPr>
          <w:p w14:paraId="54FA3CF4" w14:textId="36EFF23E"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vAlign w:val="center"/>
          </w:tcPr>
          <w:p w14:paraId="1F0143AB" w14:textId="2E2CFD6E" w:rsidR="00C86F93" w:rsidRPr="00C86F93" w:rsidRDefault="00C86F93" w:rsidP="00C86F93">
            <w:pPr>
              <w:rPr>
                <w:rFonts w:cs="Arial"/>
              </w:rPr>
            </w:pPr>
            <w:r w:rsidRPr="00C86F93">
              <w:rPr>
                <w:rFonts w:cs="Arial"/>
              </w:rPr>
              <w:t>1,51</w:t>
            </w:r>
          </w:p>
        </w:tc>
        <w:tc>
          <w:tcPr>
            <w:tcW w:w="2385" w:type="dxa"/>
          </w:tcPr>
          <w:p w14:paraId="0E8DC799" w14:textId="0F0334B0" w:rsidR="00C86F93" w:rsidRPr="00C86F93" w:rsidRDefault="00C86F93" w:rsidP="00C86F93">
            <w:pPr>
              <w:rPr>
                <w:rFonts w:cs="Arial"/>
              </w:rPr>
            </w:pPr>
            <w:r w:rsidRPr="00C86F93">
              <w:rPr>
                <w:rFonts w:cs="Arial"/>
              </w:rPr>
              <w:t xml:space="preserve">След коригиране на дозата на </w:t>
            </w:r>
            <w:r w:rsidRPr="00C86F93">
              <w:rPr>
                <w:rFonts w:cs="Arial"/>
              </w:rPr>
              <w:lastRenderedPageBreak/>
              <w:t>дилтиазем е необходимо клинично проследяване на пациентите</w:t>
            </w:r>
          </w:p>
        </w:tc>
      </w:tr>
      <w:tr w:rsidR="00C86F93" w14:paraId="50207D09" w14:textId="77777777" w:rsidTr="00C86F93">
        <w:tc>
          <w:tcPr>
            <w:tcW w:w="2441" w:type="dxa"/>
          </w:tcPr>
          <w:p w14:paraId="0909019B" w14:textId="77777777" w:rsidR="00C86F93" w:rsidRPr="00C86F93" w:rsidRDefault="00C86F93" w:rsidP="00C86F93">
            <w:pPr>
              <w:rPr>
                <w:rFonts w:cs="Arial"/>
              </w:rPr>
            </w:pPr>
            <w:r w:rsidRPr="00C86F93">
              <w:rPr>
                <w:rFonts w:cs="Arial"/>
              </w:rPr>
              <w:lastRenderedPageBreak/>
              <w:t xml:space="preserve">Еритромицин 500 </w:t>
            </w:r>
            <w:r w:rsidRPr="00C86F93">
              <w:rPr>
                <w:rFonts w:cs="Arial"/>
                <w:lang w:val="en-US"/>
              </w:rPr>
              <w:t>mg</w:t>
            </w:r>
          </w:p>
          <w:p w14:paraId="539B87B0" w14:textId="135BBAE4" w:rsidR="00C86F93" w:rsidRPr="00C86F93" w:rsidRDefault="00C86F93" w:rsidP="00C86F93">
            <w:pPr>
              <w:rPr>
                <w:rFonts w:cs="Arial"/>
              </w:rPr>
            </w:pPr>
            <w:r w:rsidRPr="00C86F93">
              <w:rPr>
                <w:rFonts w:cs="Arial"/>
                <w:lang w:val="en-US"/>
              </w:rPr>
              <w:t xml:space="preserve">QID, </w:t>
            </w:r>
            <w:r w:rsidRPr="00C86F93">
              <w:rPr>
                <w:rFonts w:cs="Arial"/>
              </w:rPr>
              <w:t>7</w:t>
            </w:r>
            <w:r>
              <w:rPr>
                <w:rFonts w:cs="Arial"/>
              </w:rPr>
              <w:t xml:space="preserve"> дни</w:t>
            </w:r>
          </w:p>
        </w:tc>
        <w:tc>
          <w:tcPr>
            <w:tcW w:w="2373" w:type="dxa"/>
          </w:tcPr>
          <w:p w14:paraId="10B15710" w14:textId="298D7C40" w:rsidR="00C86F93" w:rsidRPr="00C86F93" w:rsidRDefault="00C86F93" w:rsidP="00C86F93">
            <w:pPr>
              <w:rPr>
                <w:rFonts w:cs="Arial"/>
              </w:rPr>
            </w:pPr>
            <w:r w:rsidRPr="00C86F93">
              <w:rPr>
                <w:rFonts w:cs="Arial"/>
              </w:rPr>
              <w:t xml:space="preserve">10 </w:t>
            </w:r>
            <w:r w:rsidRPr="00C86F93">
              <w:rPr>
                <w:rFonts w:cs="Arial"/>
                <w:lang w:val="en-US"/>
              </w:rPr>
              <w:t xml:space="preserve">mg, </w:t>
            </w:r>
            <w:r w:rsidRPr="00C86F93">
              <w:rPr>
                <w:rFonts w:cs="Arial"/>
              </w:rPr>
              <w:t>еднократна доза</w:t>
            </w:r>
          </w:p>
        </w:tc>
        <w:tc>
          <w:tcPr>
            <w:tcW w:w="2377" w:type="dxa"/>
          </w:tcPr>
          <w:p w14:paraId="7E65B868" w14:textId="33E45C6C" w:rsidR="00C86F93" w:rsidRPr="00C86F93" w:rsidRDefault="00C86F93" w:rsidP="00C86F93">
            <w:pPr>
              <w:rPr>
                <w:rFonts w:cs="Arial"/>
              </w:rPr>
            </w:pPr>
            <w:r w:rsidRPr="00C86F93">
              <w:rPr>
                <w:rFonts w:cs="Arial"/>
              </w:rPr>
              <w:t>1,33</w:t>
            </w:r>
          </w:p>
        </w:tc>
        <w:tc>
          <w:tcPr>
            <w:tcW w:w="2385" w:type="dxa"/>
            <w:vAlign w:val="center"/>
          </w:tcPr>
          <w:p w14:paraId="1F606572" w14:textId="5ABA6569" w:rsidR="00C86F93" w:rsidRPr="00C86F93" w:rsidRDefault="00C86F93" w:rsidP="00C86F93">
            <w:pPr>
              <w:rPr>
                <w:rFonts w:cs="Arial"/>
              </w:rPr>
            </w:pPr>
            <w:r w:rsidRPr="00C86F93">
              <w:rPr>
                <w:rFonts w:cs="Arial"/>
              </w:rPr>
              <w:t>По-ниска максимална доза и клинично проследяване на пациентите</w:t>
            </w:r>
          </w:p>
        </w:tc>
      </w:tr>
      <w:tr w:rsidR="00C86F93" w14:paraId="02AF373B" w14:textId="77777777" w:rsidTr="00C86F93">
        <w:tc>
          <w:tcPr>
            <w:tcW w:w="2441" w:type="dxa"/>
            <w:vAlign w:val="center"/>
          </w:tcPr>
          <w:p w14:paraId="0969AC12" w14:textId="3BD1669B" w:rsidR="00C86F93" w:rsidRPr="00C86F93" w:rsidRDefault="00C86F93" w:rsidP="00C86F93">
            <w:pPr>
              <w:rPr>
                <w:rFonts w:cs="Arial"/>
              </w:rPr>
            </w:pPr>
            <w:r w:rsidRPr="00C86F93">
              <w:rPr>
                <w:rFonts w:cs="Arial"/>
              </w:rPr>
              <w:t xml:space="preserve">Амлодипин 10 </w:t>
            </w:r>
            <w:r w:rsidRPr="00C86F93">
              <w:rPr>
                <w:rFonts w:cs="Arial"/>
                <w:lang w:val="en-US"/>
              </w:rPr>
              <w:t xml:space="preserve">mg, </w:t>
            </w:r>
            <w:r w:rsidRPr="00C86F93">
              <w:rPr>
                <w:rFonts w:cs="Arial"/>
              </w:rPr>
              <w:t>еднократна доза</w:t>
            </w:r>
          </w:p>
        </w:tc>
        <w:tc>
          <w:tcPr>
            <w:tcW w:w="2373" w:type="dxa"/>
            <w:vAlign w:val="center"/>
          </w:tcPr>
          <w:p w14:paraId="35FAF44C" w14:textId="6B5A0CA4" w:rsidR="00C86F93" w:rsidRPr="00C86F93" w:rsidRDefault="00C86F93" w:rsidP="00C86F93">
            <w:pPr>
              <w:rPr>
                <w:rFonts w:cs="Arial"/>
              </w:rPr>
            </w:pPr>
            <w:r w:rsidRPr="00C86F93">
              <w:rPr>
                <w:rFonts w:cs="Arial"/>
              </w:rPr>
              <w:t xml:space="preserve">80 </w:t>
            </w:r>
            <w:r w:rsidRPr="00C86F93">
              <w:rPr>
                <w:rFonts w:cs="Arial"/>
                <w:lang w:val="en-US"/>
              </w:rPr>
              <w:t xml:space="preserve">mg, </w:t>
            </w:r>
            <w:r w:rsidRPr="00C86F93">
              <w:rPr>
                <w:rFonts w:cs="Arial"/>
              </w:rPr>
              <w:t>еднократна доза</w:t>
            </w:r>
          </w:p>
        </w:tc>
        <w:tc>
          <w:tcPr>
            <w:tcW w:w="2377" w:type="dxa"/>
            <w:vAlign w:val="center"/>
          </w:tcPr>
          <w:p w14:paraId="777AE591" w14:textId="78A3E297" w:rsidR="00C86F93" w:rsidRPr="00C86F93" w:rsidRDefault="00C86F93" w:rsidP="00C86F93">
            <w:pPr>
              <w:rPr>
                <w:rFonts w:cs="Arial"/>
              </w:rPr>
            </w:pPr>
            <w:r w:rsidRPr="00C86F93">
              <w:rPr>
                <w:rFonts w:cs="Arial"/>
              </w:rPr>
              <w:t>1,18</w:t>
            </w:r>
          </w:p>
        </w:tc>
        <w:tc>
          <w:tcPr>
            <w:tcW w:w="2385" w:type="dxa"/>
            <w:vAlign w:val="center"/>
          </w:tcPr>
          <w:p w14:paraId="40C5E356" w14:textId="4238B42A" w:rsidR="00C86F93" w:rsidRPr="00C86F93" w:rsidRDefault="00C86F93" w:rsidP="00C86F93">
            <w:pPr>
              <w:rPr>
                <w:rFonts w:cs="Arial"/>
              </w:rPr>
            </w:pPr>
            <w:r w:rsidRPr="00C86F93">
              <w:rPr>
                <w:rFonts w:cs="Arial"/>
              </w:rPr>
              <w:t>Няма специални препоръки</w:t>
            </w:r>
          </w:p>
        </w:tc>
      </w:tr>
      <w:tr w:rsidR="00C86F93" w14:paraId="5E4C8EF3" w14:textId="77777777" w:rsidTr="00C86F93">
        <w:tc>
          <w:tcPr>
            <w:tcW w:w="2441" w:type="dxa"/>
            <w:vAlign w:val="center"/>
          </w:tcPr>
          <w:p w14:paraId="14648C19" w14:textId="77777777" w:rsidR="00C86F93" w:rsidRPr="00C86F93" w:rsidRDefault="00C86F93" w:rsidP="00C86F93">
            <w:pPr>
              <w:rPr>
                <w:rFonts w:cs="Arial"/>
              </w:rPr>
            </w:pPr>
            <w:r w:rsidRPr="00C86F93">
              <w:rPr>
                <w:rFonts w:cs="Arial"/>
              </w:rPr>
              <w:t xml:space="preserve">Циметидин 300 </w:t>
            </w:r>
            <w:r w:rsidRPr="00C86F93">
              <w:rPr>
                <w:rFonts w:cs="Arial"/>
                <w:lang w:val="en-US"/>
              </w:rPr>
              <w:t>mg</w:t>
            </w:r>
          </w:p>
          <w:p w14:paraId="16E695DF" w14:textId="705F5094" w:rsidR="00C86F93" w:rsidRPr="00C86F93" w:rsidRDefault="00C86F93" w:rsidP="00C86F93">
            <w:pPr>
              <w:rPr>
                <w:rFonts w:cs="Arial"/>
              </w:rPr>
            </w:pPr>
            <w:r w:rsidRPr="00C86F93">
              <w:rPr>
                <w:rFonts w:cs="Arial"/>
                <w:lang w:val="en-US"/>
              </w:rPr>
              <w:t xml:space="preserve">QID, </w:t>
            </w:r>
            <w:r w:rsidRPr="00C86F93">
              <w:rPr>
                <w:rFonts w:cs="Arial"/>
              </w:rPr>
              <w:t>2 седмици</w:t>
            </w:r>
          </w:p>
        </w:tc>
        <w:tc>
          <w:tcPr>
            <w:tcW w:w="2373" w:type="dxa"/>
            <w:vAlign w:val="center"/>
          </w:tcPr>
          <w:p w14:paraId="13A33222" w14:textId="77777777"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w:t>
            </w:r>
          </w:p>
          <w:p w14:paraId="271051C6" w14:textId="76C6F945" w:rsidR="00C86F93" w:rsidRPr="00C86F93" w:rsidRDefault="00C86F93" w:rsidP="00C86F93">
            <w:pPr>
              <w:rPr>
                <w:rFonts w:cs="Arial"/>
              </w:rPr>
            </w:pPr>
            <w:r w:rsidRPr="00C86F93">
              <w:rPr>
                <w:rFonts w:cs="Arial"/>
              </w:rPr>
              <w:t>седмици</w:t>
            </w:r>
          </w:p>
        </w:tc>
        <w:tc>
          <w:tcPr>
            <w:tcW w:w="2377" w:type="dxa"/>
            <w:vAlign w:val="center"/>
          </w:tcPr>
          <w:p w14:paraId="381DE788" w14:textId="4A55D1BD" w:rsidR="00C86F93" w:rsidRPr="00C86F93" w:rsidRDefault="00C86F93" w:rsidP="00C86F93">
            <w:pPr>
              <w:rPr>
                <w:rFonts w:cs="Arial"/>
              </w:rPr>
            </w:pPr>
            <w:r w:rsidRPr="00C86F93">
              <w:rPr>
                <w:rFonts w:cs="Arial"/>
              </w:rPr>
              <w:t>1,00</w:t>
            </w:r>
          </w:p>
        </w:tc>
        <w:tc>
          <w:tcPr>
            <w:tcW w:w="2385" w:type="dxa"/>
          </w:tcPr>
          <w:p w14:paraId="6E4814A2" w14:textId="595C1B4C" w:rsidR="00C86F93" w:rsidRPr="00C86F93" w:rsidRDefault="00C86F93" w:rsidP="00C86F93">
            <w:pPr>
              <w:rPr>
                <w:rFonts w:cs="Arial"/>
              </w:rPr>
            </w:pPr>
            <w:r w:rsidRPr="00C86F93">
              <w:rPr>
                <w:rFonts w:cs="Arial"/>
              </w:rPr>
              <w:t>Няма специални препоръки</w:t>
            </w:r>
          </w:p>
        </w:tc>
      </w:tr>
      <w:tr w:rsidR="00C86F93" w14:paraId="2D416779" w14:textId="77777777" w:rsidTr="00C86F93">
        <w:tc>
          <w:tcPr>
            <w:tcW w:w="2441" w:type="dxa"/>
          </w:tcPr>
          <w:p w14:paraId="3A14E31C" w14:textId="3D901212" w:rsidR="00C86F93" w:rsidRPr="00C86F93" w:rsidRDefault="00C86F93" w:rsidP="00C86F93">
            <w:pPr>
              <w:rPr>
                <w:rFonts w:cs="Arial"/>
              </w:rPr>
            </w:pPr>
            <w:r w:rsidRPr="00C86F93">
              <w:rPr>
                <w:rFonts w:cs="Arial"/>
              </w:rPr>
              <w:t xml:space="preserve">Колестипол </w:t>
            </w:r>
            <w:r w:rsidRPr="00C86F93">
              <w:rPr>
                <w:rFonts w:cs="Arial"/>
                <w:lang w:val="ru-RU"/>
              </w:rPr>
              <w:t xml:space="preserve">10 </w:t>
            </w:r>
            <w:r w:rsidRPr="00C86F93">
              <w:rPr>
                <w:rFonts w:cs="Arial"/>
                <w:lang w:val="en-US"/>
              </w:rPr>
              <w:t>g</w:t>
            </w:r>
            <w:r w:rsidRPr="00C86F93">
              <w:rPr>
                <w:rFonts w:cs="Arial"/>
                <w:lang w:val="ru-RU"/>
              </w:rPr>
              <w:t xml:space="preserve"> </w:t>
            </w:r>
            <w:r w:rsidRPr="00C86F93">
              <w:rPr>
                <w:rFonts w:cs="Arial"/>
              </w:rPr>
              <w:t>два пъти дневно</w:t>
            </w:r>
          </w:p>
        </w:tc>
        <w:tc>
          <w:tcPr>
            <w:tcW w:w="2373" w:type="dxa"/>
            <w:vAlign w:val="center"/>
          </w:tcPr>
          <w:p w14:paraId="5B11FFC0" w14:textId="77777777" w:rsidR="00C86F93" w:rsidRPr="00C86F93" w:rsidRDefault="00C86F93" w:rsidP="00C86F93">
            <w:pPr>
              <w:rPr>
                <w:rFonts w:cs="Arial"/>
              </w:rPr>
            </w:pPr>
            <w:r w:rsidRPr="00C86F93">
              <w:rPr>
                <w:rFonts w:cs="Arial"/>
              </w:rPr>
              <w:t xml:space="preserve">40 </w:t>
            </w:r>
            <w:r w:rsidRPr="00C86F93">
              <w:rPr>
                <w:rFonts w:cs="Arial"/>
                <w:lang w:val="en-US"/>
              </w:rPr>
              <w:t>mg</w:t>
            </w:r>
            <w:r w:rsidRPr="00C86F93">
              <w:rPr>
                <w:rFonts w:cs="Arial"/>
                <w:lang w:val="ru-RU"/>
              </w:rPr>
              <w:t xml:space="preserve"> </w:t>
            </w:r>
            <w:r w:rsidRPr="00C86F93">
              <w:rPr>
                <w:rFonts w:cs="Arial"/>
              </w:rPr>
              <w:t>веднъж дневно за</w:t>
            </w:r>
          </w:p>
          <w:p w14:paraId="4E59730D" w14:textId="5C8D3FF7" w:rsidR="00C86F93" w:rsidRPr="00C86F93" w:rsidRDefault="00C86F93" w:rsidP="00C86F93">
            <w:pPr>
              <w:rPr>
                <w:rFonts w:cs="Arial"/>
              </w:rPr>
            </w:pPr>
            <w:r w:rsidRPr="00C86F93">
              <w:rPr>
                <w:rFonts w:cs="Arial"/>
              </w:rPr>
              <w:t>28 седмици</w:t>
            </w:r>
          </w:p>
        </w:tc>
        <w:tc>
          <w:tcPr>
            <w:tcW w:w="2377" w:type="dxa"/>
            <w:vAlign w:val="center"/>
          </w:tcPr>
          <w:p w14:paraId="589F974F" w14:textId="31DBD10E" w:rsidR="00C86F93" w:rsidRPr="00C86F93" w:rsidRDefault="00C86F93" w:rsidP="00C86F93">
            <w:pPr>
              <w:rPr>
                <w:rFonts w:cs="Arial"/>
              </w:rPr>
            </w:pPr>
            <w:r w:rsidRPr="00C86F93">
              <w:rPr>
                <w:rFonts w:cs="Arial"/>
              </w:rPr>
              <w:t>0,74**</w:t>
            </w:r>
          </w:p>
        </w:tc>
        <w:tc>
          <w:tcPr>
            <w:tcW w:w="2385" w:type="dxa"/>
          </w:tcPr>
          <w:p w14:paraId="7D7C8684" w14:textId="58EFD642" w:rsidR="00C86F93" w:rsidRPr="00C86F93" w:rsidRDefault="00C86F93" w:rsidP="00C86F93">
            <w:pPr>
              <w:rPr>
                <w:rFonts w:cs="Arial"/>
              </w:rPr>
            </w:pPr>
            <w:r w:rsidRPr="00C86F93">
              <w:rPr>
                <w:rFonts w:cs="Arial"/>
              </w:rPr>
              <w:t>Няма специални препоръки</w:t>
            </w:r>
          </w:p>
        </w:tc>
      </w:tr>
      <w:tr w:rsidR="00C86F93" w14:paraId="654155BE" w14:textId="77777777" w:rsidTr="00C86F93">
        <w:tc>
          <w:tcPr>
            <w:tcW w:w="2441" w:type="dxa"/>
          </w:tcPr>
          <w:p w14:paraId="412B47A0" w14:textId="03FB8975" w:rsidR="00C86F93" w:rsidRPr="00C86F93" w:rsidRDefault="00C86F93" w:rsidP="00C86F93">
            <w:pPr>
              <w:rPr>
                <w:rFonts w:cs="Arial"/>
              </w:rPr>
            </w:pPr>
            <w:r w:rsidRPr="00C86F93">
              <w:rPr>
                <w:rFonts w:cs="Arial"/>
              </w:rPr>
              <w:t xml:space="preserve">Антиацидна суспензия от магнезиев алуминиев хидроксид, </w:t>
            </w:r>
            <w:r w:rsidRPr="00C86F93">
              <w:rPr>
                <w:rFonts w:cs="Arial"/>
                <w:lang w:val="ru-RU"/>
              </w:rPr>
              <w:t xml:space="preserve">30 </w:t>
            </w:r>
            <w:r w:rsidRPr="00C86F93">
              <w:rPr>
                <w:rFonts w:cs="Arial"/>
                <w:lang w:val="en-US"/>
              </w:rPr>
              <w:t>mL</w:t>
            </w:r>
            <w:r w:rsidRPr="00C86F93">
              <w:rPr>
                <w:rFonts w:cs="Arial"/>
                <w:lang w:val="ru-RU"/>
              </w:rPr>
              <w:t xml:space="preserve">, </w:t>
            </w:r>
            <w:r w:rsidRPr="00C86F93">
              <w:rPr>
                <w:rFonts w:cs="Arial"/>
              </w:rPr>
              <w:t>четири пъти дневно 2 седмици</w:t>
            </w:r>
          </w:p>
        </w:tc>
        <w:tc>
          <w:tcPr>
            <w:tcW w:w="2373" w:type="dxa"/>
          </w:tcPr>
          <w:p w14:paraId="3467A795" w14:textId="63D4FB0F" w:rsidR="00C86F93" w:rsidRPr="00C86F93" w:rsidRDefault="00C86F93" w:rsidP="00C86F93">
            <w:pPr>
              <w:rPr>
                <w:rFonts w:cs="Arial"/>
              </w:rPr>
            </w:pPr>
            <w:r w:rsidRPr="00C86F93">
              <w:rPr>
                <w:rFonts w:cs="Arial"/>
              </w:rPr>
              <w:t xml:space="preserve">10 </w:t>
            </w:r>
            <w:r w:rsidRPr="00C86F93">
              <w:rPr>
                <w:rFonts w:cs="Arial"/>
                <w:lang w:val="en-US"/>
              </w:rPr>
              <w:t>mg</w:t>
            </w:r>
            <w:r w:rsidRPr="00C86F93">
              <w:rPr>
                <w:rFonts w:cs="Arial"/>
                <w:lang w:val="ru-RU"/>
              </w:rPr>
              <w:t xml:space="preserve"> </w:t>
            </w:r>
            <w:r w:rsidRPr="00C86F93">
              <w:rPr>
                <w:rFonts w:cs="Arial"/>
              </w:rPr>
              <w:t>веднъж дневно за 4 седмици</w:t>
            </w:r>
          </w:p>
        </w:tc>
        <w:tc>
          <w:tcPr>
            <w:tcW w:w="2377" w:type="dxa"/>
          </w:tcPr>
          <w:p w14:paraId="0794CC89" w14:textId="7CB05912" w:rsidR="00C86F93" w:rsidRPr="00C86F93" w:rsidRDefault="00C86F93" w:rsidP="00C86F93">
            <w:pPr>
              <w:rPr>
                <w:rFonts w:cs="Arial"/>
              </w:rPr>
            </w:pPr>
            <w:r w:rsidRPr="00C86F93">
              <w:rPr>
                <w:rFonts w:cs="Arial"/>
              </w:rPr>
              <w:t>0,66</w:t>
            </w:r>
          </w:p>
        </w:tc>
        <w:tc>
          <w:tcPr>
            <w:tcW w:w="2385" w:type="dxa"/>
            <w:vAlign w:val="bottom"/>
          </w:tcPr>
          <w:p w14:paraId="1455F397" w14:textId="77777777" w:rsidR="00C86F93" w:rsidRPr="00C86F93" w:rsidRDefault="00C86F93" w:rsidP="00C86F93">
            <w:pPr>
              <w:rPr>
                <w:rFonts w:cs="Arial"/>
              </w:rPr>
            </w:pPr>
            <w:r w:rsidRPr="00C86F93">
              <w:rPr>
                <w:rFonts w:cs="Arial"/>
              </w:rPr>
              <w:t>Няма специални</w:t>
            </w:r>
          </w:p>
          <w:p w14:paraId="7277493B" w14:textId="406E98A2" w:rsidR="00C86F93" w:rsidRPr="00C86F93" w:rsidRDefault="00C86F93" w:rsidP="00C86F93">
            <w:pPr>
              <w:rPr>
                <w:rFonts w:cs="Arial"/>
              </w:rPr>
            </w:pPr>
            <w:r w:rsidRPr="00C86F93">
              <w:rPr>
                <w:rFonts w:cs="Arial"/>
              </w:rPr>
              <w:t>препоръки</w:t>
            </w:r>
          </w:p>
        </w:tc>
      </w:tr>
      <w:tr w:rsidR="00C86F93" w14:paraId="769137E1" w14:textId="77777777" w:rsidTr="00C86F93">
        <w:tc>
          <w:tcPr>
            <w:tcW w:w="2441" w:type="dxa"/>
          </w:tcPr>
          <w:p w14:paraId="168336DD" w14:textId="3E7EBBF5" w:rsidR="00C86F93" w:rsidRPr="00C86F93" w:rsidRDefault="00C86F93" w:rsidP="00C86F93">
            <w:pPr>
              <w:rPr>
                <w:rFonts w:cs="Arial"/>
              </w:rPr>
            </w:pPr>
            <w:r w:rsidRPr="00C86F93">
              <w:rPr>
                <w:rFonts w:cs="Arial"/>
              </w:rPr>
              <w:t xml:space="preserve">ефавиренц 600 </w:t>
            </w:r>
            <w:r w:rsidRPr="00C86F93">
              <w:rPr>
                <w:rFonts w:cs="Arial"/>
                <w:lang w:val="en-US"/>
              </w:rPr>
              <w:t xml:space="preserve">mg OD, </w:t>
            </w:r>
            <w:r w:rsidRPr="00C86F93">
              <w:rPr>
                <w:rFonts w:cs="Arial"/>
              </w:rPr>
              <w:t>14 дни</w:t>
            </w:r>
          </w:p>
        </w:tc>
        <w:tc>
          <w:tcPr>
            <w:tcW w:w="2373" w:type="dxa"/>
          </w:tcPr>
          <w:p w14:paraId="42DC71C9" w14:textId="1EFD77E7" w:rsidR="00C86F93" w:rsidRPr="00C86F93" w:rsidRDefault="00C86F93" w:rsidP="00C86F93">
            <w:pPr>
              <w:rPr>
                <w:rFonts w:cs="Arial"/>
              </w:rPr>
            </w:pPr>
            <w:r w:rsidRPr="00C86F93">
              <w:rPr>
                <w:rFonts w:cs="Arial"/>
              </w:rPr>
              <w:t xml:space="preserve">10 </w:t>
            </w:r>
            <w:r w:rsidRPr="00C86F93">
              <w:rPr>
                <w:rFonts w:cs="Arial"/>
                <w:lang w:val="en-US"/>
              </w:rPr>
              <w:t xml:space="preserve">mg </w:t>
            </w:r>
            <w:r w:rsidRPr="00C86F93">
              <w:rPr>
                <w:rFonts w:cs="Arial"/>
              </w:rPr>
              <w:t>за 3 дни</w:t>
            </w:r>
          </w:p>
        </w:tc>
        <w:tc>
          <w:tcPr>
            <w:tcW w:w="2377" w:type="dxa"/>
          </w:tcPr>
          <w:p w14:paraId="1E05FA06" w14:textId="7CEDA0D9" w:rsidR="00C86F93" w:rsidRPr="00C86F93" w:rsidRDefault="00C86F93" w:rsidP="00C86F93">
            <w:pPr>
              <w:rPr>
                <w:rFonts w:cs="Arial"/>
              </w:rPr>
            </w:pPr>
            <w:r w:rsidRPr="00C86F93">
              <w:rPr>
                <w:rFonts w:cs="Arial"/>
              </w:rPr>
              <w:t>0,59</w:t>
            </w:r>
          </w:p>
        </w:tc>
        <w:tc>
          <w:tcPr>
            <w:tcW w:w="2385" w:type="dxa"/>
          </w:tcPr>
          <w:p w14:paraId="66556F06" w14:textId="43408D0F" w:rsidR="00C86F93" w:rsidRPr="00C86F93" w:rsidRDefault="00C86F93" w:rsidP="00C86F93">
            <w:pPr>
              <w:rPr>
                <w:rFonts w:cs="Arial"/>
              </w:rPr>
            </w:pPr>
            <w:r w:rsidRPr="00C86F93">
              <w:rPr>
                <w:rFonts w:cs="Arial"/>
              </w:rPr>
              <w:t>Няма специални препоръки</w:t>
            </w:r>
          </w:p>
        </w:tc>
      </w:tr>
      <w:tr w:rsidR="00C86F93" w14:paraId="09297303" w14:textId="77777777" w:rsidTr="00C86F93">
        <w:tc>
          <w:tcPr>
            <w:tcW w:w="2441" w:type="dxa"/>
          </w:tcPr>
          <w:p w14:paraId="1E704567" w14:textId="77777777" w:rsidR="00C86F93" w:rsidRPr="00C86F93" w:rsidRDefault="00C86F93" w:rsidP="00C86F93">
            <w:pPr>
              <w:rPr>
                <w:rFonts w:cs="Arial"/>
              </w:rPr>
            </w:pPr>
            <w:r w:rsidRPr="00C86F93">
              <w:rPr>
                <w:rFonts w:cs="Arial"/>
              </w:rPr>
              <w:t xml:space="preserve">рифампин 600 </w:t>
            </w:r>
            <w:r w:rsidRPr="00C86F93">
              <w:rPr>
                <w:rFonts w:cs="Arial"/>
                <w:lang w:val="en-US"/>
              </w:rPr>
              <w:t>mg</w:t>
            </w:r>
            <w:r w:rsidRPr="00C86F93">
              <w:rPr>
                <w:rFonts w:cs="Arial"/>
                <w:lang w:val="ru-RU"/>
              </w:rPr>
              <w:t xml:space="preserve"> </w:t>
            </w:r>
            <w:r w:rsidRPr="00C86F93">
              <w:rPr>
                <w:rFonts w:cs="Arial"/>
                <w:lang w:val="en-US"/>
              </w:rPr>
              <w:t>OD</w:t>
            </w:r>
            <w:r w:rsidRPr="00C86F93">
              <w:rPr>
                <w:rFonts w:cs="Arial"/>
                <w:lang w:val="ru-RU"/>
              </w:rPr>
              <w:t xml:space="preserve">, </w:t>
            </w:r>
            <w:r w:rsidRPr="00C86F93">
              <w:rPr>
                <w:rFonts w:cs="Arial"/>
              </w:rPr>
              <w:t>7 дни</w:t>
            </w:r>
          </w:p>
          <w:p w14:paraId="3C19B8DC" w14:textId="542348CC" w:rsidR="00C86F93" w:rsidRPr="00C86F93" w:rsidRDefault="00C86F93" w:rsidP="00C86F93">
            <w:pPr>
              <w:rPr>
                <w:rFonts w:cs="Arial"/>
              </w:rPr>
            </w:pPr>
            <w:r w:rsidRPr="00C86F93">
              <w:rPr>
                <w:rFonts w:cs="Arial"/>
              </w:rPr>
              <w:t>(едновременен прием)</w:t>
            </w:r>
          </w:p>
        </w:tc>
        <w:tc>
          <w:tcPr>
            <w:tcW w:w="2373" w:type="dxa"/>
          </w:tcPr>
          <w:p w14:paraId="41D5AF28" w14:textId="68ACA5C7"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tcPr>
          <w:p w14:paraId="3DAD6633" w14:textId="4260C42B" w:rsidR="00C86F93" w:rsidRPr="00C86F93" w:rsidRDefault="00C86F93" w:rsidP="00C86F93">
            <w:pPr>
              <w:rPr>
                <w:rFonts w:cs="Arial"/>
              </w:rPr>
            </w:pPr>
            <w:r w:rsidRPr="00C86F93">
              <w:rPr>
                <w:rFonts w:cs="Arial"/>
              </w:rPr>
              <w:t>1,12</w:t>
            </w:r>
          </w:p>
        </w:tc>
        <w:tc>
          <w:tcPr>
            <w:tcW w:w="2385" w:type="dxa"/>
          </w:tcPr>
          <w:p w14:paraId="15528FA6" w14:textId="77777777" w:rsidR="00C86F93" w:rsidRPr="00C86F93" w:rsidRDefault="00C86F93" w:rsidP="00C86F93">
            <w:pPr>
              <w:rPr>
                <w:rFonts w:cs="Arial"/>
              </w:rPr>
            </w:pPr>
            <w:r w:rsidRPr="00C86F93">
              <w:rPr>
                <w:rFonts w:cs="Arial"/>
              </w:rPr>
              <w:t>Ако не може да се избегне</w:t>
            </w:r>
          </w:p>
          <w:p w14:paraId="4036961B" w14:textId="1B5D879B" w:rsidR="00C86F93" w:rsidRPr="00C86F93" w:rsidRDefault="00C86F93" w:rsidP="00C86F93">
            <w:pPr>
              <w:rPr>
                <w:rFonts w:cs="Arial"/>
              </w:rPr>
            </w:pPr>
            <w:r w:rsidRPr="00C86F93">
              <w:rPr>
                <w:rFonts w:cs="Arial"/>
              </w:rPr>
              <w:t>едновременен прием, препоръчва се клинично проследяване на пациентите, когато рифампин и аторвастатин се прилагат заедно</w:t>
            </w:r>
          </w:p>
        </w:tc>
      </w:tr>
      <w:tr w:rsidR="00C86F93" w14:paraId="18959161" w14:textId="77777777" w:rsidTr="00C86F93">
        <w:tc>
          <w:tcPr>
            <w:tcW w:w="2441" w:type="dxa"/>
          </w:tcPr>
          <w:p w14:paraId="6E2816E7" w14:textId="77777777" w:rsidR="00C86F93" w:rsidRPr="00C86F93" w:rsidRDefault="00C86F93" w:rsidP="00C86F93">
            <w:pPr>
              <w:rPr>
                <w:rFonts w:cs="Arial"/>
              </w:rPr>
            </w:pPr>
            <w:r w:rsidRPr="00C86F93">
              <w:rPr>
                <w:rFonts w:cs="Arial"/>
              </w:rPr>
              <w:t xml:space="preserve">рифампин 600 </w:t>
            </w:r>
            <w:r w:rsidRPr="00C86F93">
              <w:rPr>
                <w:rFonts w:cs="Arial"/>
                <w:lang w:val="en-US"/>
              </w:rPr>
              <w:t>mg</w:t>
            </w:r>
            <w:r w:rsidRPr="00C86F93">
              <w:rPr>
                <w:rFonts w:cs="Arial"/>
                <w:lang w:val="ru-RU"/>
              </w:rPr>
              <w:t xml:space="preserve"> </w:t>
            </w:r>
            <w:r w:rsidRPr="00C86F93">
              <w:rPr>
                <w:rFonts w:cs="Arial"/>
                <w:lang w:val="en-US"/>
              </w:rPr>
              <w:t>OD</w:t>
            </w:r>
            <w:r w:rsidRPr="00C86F93">
              <w:rPr>
                <w:rFonts w:cs="Arial"/>
                <w:lang w:val="ru-RU"/>
              </w:rPr>
              <w:t xml:space="preserve">, </w:t>
            </w:r>
            <w:r w:rsidRPr="00C86F93">
              <w:rPr>
                <w:rFonts w:cs="Arial"/>
              </w:rPr>
              <w:t>5 дни</w:t>
            </w:r>
          </w:p>
          <w:p w14:paraId="162DEE78" w14:textId="130394B5" w:rsidR="00C86F93" w:rsidRPr="00C86F93" w:rsidRDefault="00C86F93" w:rsidP="00C86F93">
            <w:pPr>
              <w:rPr>
                <w:rFonts w:cs="Arial"/>
              </w:rPr>
            </w:pPr>
            <w:r w:rsidRPr="00C86F93">
              <w:rPr>
                <w:rFonts w:cs="Arial"/>
              </w:rPr>
              <w:t>(разделени дози)</w:t>
            </w:r>
          </w:p>
        </w:tc>
        <w:tc>
          <w:tcPr>
            <w:tcW w:w="2373" w:type="dxa"/>
          </w:tcPr>
          <w:p w14:paraId="7B2223CB" w14:textId="0B6C8FBE"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tcPr>
          <w:p w14:paraId="67C41768" w14:textId="5ED31109" w:rsidR="00C86F93" w:rsidRPr="00C86F93" w:rsidRDefault="00C86F93" w:rsidP="00C86F93">
            <w:pPr>
              <w:rPr>
                <w:rFonts w:cs="Arial"/>
              </w:rPr>
            </w:pPr>
            <w:r w:rsidRPr="00C86F93">
              <w:rPr>
                <w:rFonts w:cs="Arial"/>
              </w:rPr>
              <w:t>0,20</w:t>
            </w:r>
          </w:p>
        </w:tc>
        <w:tc>
          <w:tcPr>
            <w:tcW w:w="2385" w:type="dxa"/>
          </w:tcPr>
          <w:p w14:paraId="68C2E9F0" w14:textId="62417C21" w:rsidR="00C86F93" w:rsidRPr="00C86F93" w:rsidRDefault="00C86F93" w:rsidP="00C86F93">
            <w:pPr>
              <w:rPr>
                <w:rFonts w:cs="Arial"/>
              </w:rPr>
            </w:pPr>
            <w:r w:rsidRPr="00C86F93">
              <w:rPr>
                <w:rFonts w:cs="Arial"/>
              </w:rPr>
              <w:t>Ако не може да се избегне едновременен прием, препоръчва се клинично проследяване на пациентите, когато рифампин и аторвастатин се прилагат заедно</w:t>
            </w:r>
          </w:p>
        </w:tc>
      </w:tr>
      <w:tr w:rsidR="00C86F93" w14:paraId="1BF6C257" w14:textId="77777777" w:rsidTr="00C86F93">
        <w:tc>
          <w:tcPr>
            <w:tcW w:w="2441" w:type="dxa"/>
          </w:tcPr>
          <w:p w14:paraId="1FF2B23B" w14:textId="77777777" w:rsidR="00C86F93" w:rsidRPr="00C86F93" w:rsidRDefault="00C86F93" w:rsidP="00C86F93">
            <w:pPr>
              <w:rPr>
                <w:rFonts w:cs="Arial"/>
              </w:rPr>
            </w:pPr>
            <w:r w:rsidRPr="00C86F93">
              <w:rPr>
                <w:rFonts w:cs="Arial"/>
              </w:rPr>
              <w:lastRenderedPageBreak/>
              <w:t xml:space="preserve">Гемфиброзил 600 </w:t>
            </w:r>
            <w:r w:rsidRPr="00C86F93">
              <w:rPr>
                <w:rFonts w:cs="Arial"/>
                <w:lang w:val="en-US"/>
              </w:rPr>
              <w:t>mg</w:t>
            </w:r>
          </w:p>
          <w:p w14:paraId="3CF6ED03" w14:textId="3CAC3E5A" w:rsidR="00C86F93" w:rsidRPr="00C86F93" w:rsidRDefault="00C86F93" w:rsidP="00C86F93">
            <w:pPr>
              <w:rPr>
                <w:rFonts w:cs="Arial"/>
              </w:rPr>
            </w:pPr>
            <w:r w:rsidRPr="00C86F93">
              <w:rPr>
                <w:rFonts w:cs="Arial"/>
                <w:lang w:val="en-US"/>
              </w:rPr>
              <w:t xml:space="preserve">BID, </w:t>
            </w:r>
            <w:r w:rsidRPr="00C86F93">
              <w:rPr>
                <w:rFonts w:cs="Arial"/>
              </w:rPr>
              <w:t>7 дни</w:t>
            </w:r>
          </w:p>
        </w:tc>
        <w:tc>
          <w:tcPr>
            <w:tcW w:w="2373" w:type="dxa"/>
          </w:tcPr>
          <w:p w14:paraId="67EF5D76" w14:textId="36E0D006" w:rsidR="00C86F93" w:rsidRPr="00C86F93" w:rsidRDefault="00C86F93" w:rsidP="00C86F93">
            <w:pPr>
              <w:rPr>
                <w:rFonts w:cs="Arial"/>
              </w:rPr>
            </w:pPr>
            <w:r w:rsidRPr="00C86F93">
              <w:rPr>
                <w:rFonts w:cs="Arial"/>
                <w:lang w:val="en-US"/>
              </w:rPr>
              <w:t xml:space="preserve">40mg </w:t>
            </w:r>
            <w:r w:rsidRPr="00C86F93">
              <w:rPr>
                <w:rFonts w:cs="Arial"/>
              </w:rPr>
              <w:t>еднократна доза</w:t>
            </w:r>
          </w:p>
        </w:tc>
        <w:tc>
          <w:tcPr>
            <w:tcW w:w="2377" w:type="dxa"/>
          </w:tcPr>
          <w:p w14:paraId="64E15BBF" w14:textId="69993B09" w:rsidR="00C86F93" w:rsidRPr="00C86F93" w:rsidRDefault="00C86F93" w:rsidP="00C86F93">
            <w:pPr>
              <w:rPr>
                <w:rFonts w:cs="Arial"/>
              </w:rPr>
            </w:pPr>
            <w:r w:rsidRPr="00C86F93">
              <w:rPr>
                <w:rFonts w:cs="Arial"/>
              </w:rPr>
              <w:t>1,35</w:t>
            </w:r>
          </w:p>
        </w:tc>
        <w:tc>
          <w:tcPr>
            <w:tcW w:w="2385" w:type="dxa"/>
            <w:vMerge w:val="restart"/>
          </w:tcPr>
          <w:p w14:paraId="34898D19" w14:textId="367AC5B3" w:rsidR="00C86F93" w:rsidRPr="00C86F93" w:rsidRDefault="00C86F93" w:rsidP="00C86F93">
            <w:pPr>
              <w:rPr>
                <w:rFonts w:cs="Arial"/>
              </w:rPr>
            </w:pPr>
            <w:r w:rsidRPr="00C86F93">
              <w:rPr>
                <w:rFonts w:cs="Arial"/>
              </w:rPr>
              <w:t>По-ниска начална доза аторвастатин и проследяване на пациентите се препоръчва</w:t>
            </w:r>
          </w:p>
        </w:tc>
      </w:tr>
      <w:tr w:rsidR="00C86F93" w14:paraId="4A573FF3" w14:textId="77777777" w:rsidTr="00C86F93">
        <w:tc>
          <w:tcPr>
            <w:tcW w:w="2441" w:type="dxa"/>
          </w:tcPr>
          <w:p w14:paraId="1EFF406B" w14:textId="77777777" w:rsidR="00C86F93" w:rsidRPr="00C86F93" w:rsidRDefault="00C86F93" w:rsidP="00C86F93">
            <w:pPr>
              <w:rPr>
                <w:rFonts w:cs="Arial"/>
              </w:rPr>
            </w:pPr>
            <w:r w:rsidRPr="00C86F93">
              <w:rPr>
                <w:rFonts w:cs="Arial"/>
              </w:rPr>
              <w:t xml:space="preserve">Фенофибрат 160 </w:t>
            </w:r>
            <w:r w:rsidRPr="00C86F93">
              <w:rPr>
                <w:rFonts w:cs="Arial"/>
                <w:lang w:val="en-US"/>
              </w:rPr>
              <w:t>mg</w:t>
            </w:r>
          </w:p>
          <w:p w14:paraId="648A374E" w14:textId="4156FAEC" w:rsidR="00C86F93" w:rsidRPr="00C86F93" w:rsidRDefault="00C86F93" w:rsidP="00C86F93">
            <w:pPr>
              <w:rPr>
                <w:rFonts w:cs="Arial"/>
              </w:rPr>
            </w:pPr>
            <w:r w:rsidRPr="00C86F93">
              <w:rPr>
                <w:rFonts w:cs="Arial"/>
                <w:lang w:val="en-US"/>
              </w:rPr>
              <w:t xml:space="preserve">OD, </w:t>
            </w:r>
            <w:r w:rsidRPr="00C86F93">
              <w:rPr>
                <w:rFonts w:cs="Arial"/>
              </w:rPr>
              <w:t xml:space="preserve">7 </w:t>
            </w:r>
            <w:r w:rsidRPr="00C86F93">
              <w:rPr>
                <w:rFonts w:cs="Arial"/>
                <w:lang w:val="en-US"/>
              </w:rPr>
              <w:t>days</w:t>
            </w:r>
          </w:p>
        </w:tc>
        <w:tc>
          <w:tcPr>
            <w:tcW w:w="2373" w:type="dxa"/>
          </w:tcPr>
          <w:p w14:paraId="257891EA" w14:textId="40E51676" w:rsidR="00C86F93" w:rsidRPr="00C86F93" w:rsidRDefault="00C86F93" w:rsidP="00C86F93">
            <w:pPr>
              <w:rPr>
                <w:rFonts w:cs="Arial"/>
              </w:rPr>
            </w:pPr>
            <w:r w:rsidRPr="00C86F93">
              <w:rPr>
                <w:rFonts w:cs="Arial"/>
              </w:rPr>
              <w:t xml:space="preserve">40 </w:t>
            </w:r>
            <w:r w:rsidRPr="00C86F93">
              <w:rPr>
                <w:rFonts w:cs="Arial"/>
                <w:lang w:val="en-US"/>
              </w:rPr>
              <w:t xml:space="preserve">mg </w:t>
            </w:r>
            <w:r w:rsidRPr="00C86F93">
              <w:rPr>
                <w:rFonts w:cs="Arial"/>
              </w:rPr>
              <w:t>еднократна доза</w:t>
            </w:r>
          </w:p>
        </w:tc>
        <w:tc>
          <w:tcPr>
            <w:tcW w:w="2377" w:type="dxa"/>
          </w:tcPr>
          <w:p w14:paraId="1D828B09" w14:textId="2F9B87D5" w:rsidR="00C86F93" w:rsidRPr="00C86F93" w:rsidRDefault="00C86F93" w:rsidP="00C86F93">
            <w:pPr>
              <w:rPr>
                <w:rFonts w:cs="Arial"/>
              </w:rPr>
            </w:pPr>
            <w:r w:rsidRPr="00C86F93">
              <w:rPr>
                <w:rFonts w:cs="Arial"/>
              </w:rPr>
              <w:t>1,03</w:t>
            </w:r>
          </w:p>
        </w:tc>
        <w:tc>
          <w:tcPr>
            <w:tcW w:w="2385" w:type="dxa"/>
            <w:vMerge/>
          </w:tcPr>
          <w:p w14:paraId="341CA79F" w14:textId="77777777" w:rsidR="00C86F93" w:rsidRPr="00C86F93" w:rsidRDefault="00C86F93" w:rsidP="00C86F93">
            <w:pPr>
              <w:rPr>
                <w:rFonts w:cs="Arial"/>
              </w:rPr>
            </w:pPr>
          </w:p>
        </w:tc>
      </w:tr>
      <w:tr w:rsidR="00C86F93" w14:paraId="1C8A175C" w14:textId="77777777" w:rsidTr="00C86F93">
        <w:trPr>
          <w:trHeight w:val="347"/>
        </w:trPr>
        <w:tc>
          <w:tcPr>
            <w:tcW w:w="2441" w:type="dxa"/>
          </w:tcPr>
          <w:p w14:paraId="103D282B" w14:textId="4F7B3AAB" w:rsidR="00C86F93" w:rsidRPr="00C86F93" w:rsidRDefault="00C86F93" w:rsidP="00C86F93">
            <w:pPr>
              <w:rPr>
                <w:rFonts w:cs="Arial"/>
              </w:rPr>
            </w:pPr>
            <w:r w:rsidRPr="00C86F93">
              <w:rPr>
                <w:rFonts w:cs="Arial"/>
              </w:rPr>
              <w:t xml:space="preserve">Боцепревир 800 </w:t>
            </w:r>
            <w:r w:rsidRPr="00C86F93">
              <w:rPr>
                <w:rFonts w:cs="Arial"/>
                <w:lang w:val="en-US"/>
              </w:rPr>
              <w:t>mg</w:t>
            </w:r>
            <w:r w:rsidRPr="00C86F93">
              <w:rPr>
                <w:rFonts w:cs="Arial"/>
                <w:lang w:val="ru-RU"/>
              </w:rPr>
              <w:t xml:space="preserve"> </w:t>
            </w:r>
            <w:r w:rsidRPr="00C86F93">
              <w:rPr>
                <w:rFonts w:cs="Arial"/>
              </w:rPr>
              <w:t>три пъти на ден, 7 дни</w:t>
            </w:r>
          </w:p>
        </w:tc>
        <w:tc>
          <w:tcPr>
            <w:tcW w:w="2373" w:type="dxa"/>
          </w:tcPr>
          <w:p w14:paraId="153AB9C3" w14:textId="45868537" w:rsidR="00C86F93" w:rsidRPr="00C86F93" w:rsidRDefault="00C86F93" w:rsidP="00C86F93">
            <w:pPr>
              <w:rPr>
                <w:rFonts w:cs="Arial"/>
              </w:rPr>
            </w:pPr>
            <w:r w:rsidRPr="00C86F93">
              <w:rPr>
                <w:rFonts w:cs="Arial"/>
              </w:rPr>
              <w:t xml:space="preserve">40 </w:t>
            </w:r>
            <w:r w:rsidRPr="00C86F93">
              <w:rPr>
                <w:rFonts w:cs="Arial"/>
                <w:lang w:val="en-US"/>
              </w:rPr>
              <w:t>mg</w:t>
            </w:r>
          </w:p>
        </w:tc>
        <w:tc>
          <w:tcPr>
            <w:tcW w:w="2377" w:type="dxa"/>
          </w:tcPr>
          <w:p w14:paraId="08F533E7" w14:textId="54B179AD" w:rsidR="00C86F93" w:rsidRPr="00C86F93" w:rsidRDefault="00C86F93" w:rsidP="00C86F93">
            <w:pPr>
              <w:rPr>
                <w:rFonts w:cs="Arial"/>
              </w:rPr>
            </w:pPr>
            <w:r w:rsidRPr="00C86F93">
              <w:rPr>
                <w:rFonts w:cs="Arial"/>
              </w:rPr>
              <w:t>2,3</w:t>
            </w:r>
          </w:p>
        </w:tc>
        <w:tc>
          <w:tcPr>
            <w:tcW w:w="2385" w:type="dxa"/>
          </w:tcPr>
          <w:p w14:paraId="3795D4DD" w14:textId="77777777" w:rsidR="00C86F93" w:rsidRPr="00C86F93" w:rsidRDefault="00C86F93" w:rsidP="00C86F93">
            <w:pPr>
              <w:rPr>
                <w:rFonts w:cs="Arial"/>
              </w:rPr>
            </w:pPr>
            <w:r w:rsidRPr="00C86F93">
              <w:rPr>
                <w:rFonts w:cs="Arial"/>
              </w:rPr>
              <w:t>По-ниска начална доза аторвастатин и проследяване на пациентите се препоръчва.</w:t>
            </w:r>
          </w:p>
          <w:p w14:paraId="41D4D206" w14:textId="0A13F529" w:rsidR="00C86F93" w:rsidRPr="00C86F93" w:rsidRDefault="00C86F93" w:rsidP="00C86F93">
            <w:pPr>
              <w:rPr>
                <w:rFonts w:cs="Arial"/>
              </w:rPr>
            </w:pPr>
            <w:r w:rsidRPr="00C86F93">
              <w:rPr>
                <w:rFonts w:cs="Arial"/>
              </w:rPr>
              <w:t xml:space="preserve">Дневната доза аторвастатин не трябва да бъде над 20 </w:t>
            </w:r>
            <w:r w:rsidRPr="00C86F93">
              <w:rPr>
                <w:rFonts w:cs="Arial"/>
                <w:lang w:val="en-US"/>
              </w:rPr>
              <w:t>mg</w:t>
            </w:r>
            <w:r w:rsidRPr="00C86F93">
              <w:rPr>
                <w:rFonts w:cs="Arial"/>
                <w:lang w:val="ru-RU"/>
              </w:rPr>
              <w:t xml:space="preserve"> </w:t>
            </w:r>
            <w:r w:rsidRPr="00C86F93">
              <w:rPr>
                <w:rFonts w:cs="Arial"/>
              </w:rPr>
              <w:t>по време на едновременен прием с боцепревир.</w:t>
            </w:r>
          </w:p>
        </w:tc>
      </w:tr>
    </w:tbl>
    <w:p w14:paraId="04C30612" w14:textId="77777777"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vertAlign w:val="superscript"/>
          <w:lang w:eastAsia="bg-BG"/>
        </w:rPr>
        <w:t>&amp;</w:t>
      </w:r>
      <w:r w:rsidRPr="00C86F93">
        <w:rPr>
          <w:rFonts w:eastAsia="Times New Roman" w:cs="Arial"/>
          <w:color w:val="000000"/>
          <w:szCs w:val="20"/>
          <w:lang w:eastAsia="bg-BG"/>
        </w:rPr>
        <w:t>Представя съотношение между съпътстващо прилагане и самостоятелно прилагане на аторвастатин</w:t>
      </w:r>
    </w:p>
    <w:p w14:paraId="48CC9AE8" w14:textId="77777777"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lang w:eastAsia="bg-BG"/>
        </w:rPr>
        <w:t># Вижте точки 4.4 и 4.5 за клинично значение</w:t>
      </w:r>
    </w:p>
    <w:p w14:paraId="6C5FA339" w14:textId="77777777"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lang w:eastAsia="bg-BG"/>
        </w:rPr>
        <w:t xml:space="preserve">* Съдържа една или повече съставки, които инхибират </w:t>
      </w:r>
      <w:r w:rsidRPr="00C86F93">
        <w:rPr>
          <w:rFonts w:eastAsia="Times New Roman" w:cs="Arial"/>
          <w:color w:val="000000"/>
          <w:szCs w:val="20"/>
          <w:lang w:val="en-US"/>
        </w:rPr>
        <w:t>CYP</w:t>
      </w:r>
      <w:r w:rsidRPr="00C86F93">
        <w:rPr>
          <w:rFonts w:eastAsia="Times New Roman" w:cs="Arial"/>
          <w:color w:val="000000"/>
          <w:szCs w:val="20"/>
          <w:lang w:val="ru-RU"/>
        </w:rPr>
        <w:t>3</w:t>
      </w:r>
      <w:r w:rsidRPr="00C86F93">
        <w:rPr>
          <w:rFonts w:eastAsia="Times New Roman" w:cs="Arial"/>
          <w:color w:val="000000"/>
          <w:szCs w:val="20"/>
          <w:lang w:val="en-US"/>
        </w:rPr>
        <w:t>A</w:t>
      </w:r>
      <w:r w:rsidRPr="00C86F93">
        <w:rPr>
          <w:rFonts w:eastAsia="Times New Roman" w:cs="Arial"/>
          <w:color w:val="000000"/>
          <w:szCs w:val="20"/>
          <w:lang w:val="ru-RU"/>
        </w:rPr>
        <w:t xml:space="preserve">4 </w:t>
      </w:r>
      <w:r w:rsidRPr="00C86F93">
        <w:rPr>
          <w:rFonts w:eastAsia="Times New Roman" w:cs="Arial"/>
          <w:color w:val="000000"/>
          <w:szCs w:val="20"/>
          <w:lang w:eastAsia="bg-BG"/>
        </w:rPr>
        <w:t>и могат да</w:t>
      </w:r>
      <w:r w:rsidRPr="00C86F93">
        <w:rPr>
          <w:rFonts w:eastAsia="Times New Roman" w:cs="Arial"/>
          <w:color w:val="000000"/>
          <w:szCs w:val="20"/>
          <w:lang w:val="ru-RU"/>
        </w:rPr>
        <w:t xml:space="preserve"> </w:t>
      </w:r>
      <w:r w:rsidRPr="00C86F93">
        <w:rPr>
          <w:rFonts w:eastAsia="Times New Roman" w:cs="Arial"/>
          <w:color w:val="000000"/>
          <w:szCs w:val="20"/>
          <w:lang w:eastAsia="bg-BG"/>
        </w:rPr>
        <w:t>повишат плазмените концентрации на лекарствени продукти, които се метаболизар от</w:t>
      </w:r>
    </w:p>
    <w:p w14:paraId="739FEC72" w14:textId="77777777" w:rsidR="00C86F93" w:rsidRPr="00C86F93" w:rsidRDefault="00C86F93" w:rsidP="00C86F93">
      <w:pPr>
        <w:rPr>
          <w:rFonts w:eastAsia="Times New Roman" w:cs="Arial"/>
          <w:sz w:val="28"/>
          <w:szCs w:val="24"/>
        </w:rPr>
      </w:pPr>
      <w:r w:rsidRPr="00C86F93">
        <w:rPr>
          <w:rFonts w:eastAsia="Times New Roman" w:cs="Arial"/>
          <w:color w:val="000000"/>
          <w:szCs w:val="20"/>
          <w:lang w:val="en-US"/>
        </w:rPr>
        <w:t>CYP</w:t>
      </w:r>
      <w:r w:rsidRPr="00C86F93">
        <w:rPr>
          <w:rFonts w:eastAsia="Times New Roman" w:cs="Arial"/>
          <w:color w:val="000000"/>
          <w:szCs w:val="20"/>
          <w:lang w:val="ru-RU"/>
        </w:rPr>
        <w:t>3</w:t>
      </w:r>
      <w:r w:rsidRPr="00C86F93">
        <w:rPr>
          <w:rFonts w:eastAsia="Times New Roman" w:cs="Arial"/>
          <w:color w:val="000000"/>
          <w:szCs w:val="20"/>
          <w:lang w:val="en-US"/>
        </w:rPr>
        <w:t>A</w:t>
      </w:r>
      <w:r w:rsidRPr="00C86F93">
        <w:rPr>
          <w:rFonts w:eastAsia="Times New Roman" w:cs="Arial"/>
          <w:color w:val="000000"/>
          <w:szCs w:val="20"/>
          <w:lang w:val="ru-RU"/>
        </w:rPr>
        <w:t xml:space="preserve">4. </w:t>
      </w:r>
      <w:r w:rsidRPr="00C86F93">
        <w:rPr>
          <w:rFonts w:eastAsia="Times New Roman" w:cs="Arial"/>
          <w:color w:val="000000"/>
          <w:szCs w:val="20"/>
          <w:lang w:eastAsia="bg-BG"/>
        </w:rPr>
        <w:t xml:space="preserve">Приемът на 1 чаша 240 </w:t>
      </w:r>
      <w:r w:rsidRPr="00C86F93">
        <w:rPr>
          <w:rFonts w:eastAsia="Times New Roman" w:cs="Arial"/>
          <w:color w:val="000000"/>
          <w:szCs w:val="20"/>
          <w:lang w:val="en-US"/>
        </w:rPr>
        <w:t>ml</w:t>
      </w:r>
      <w:r w:rsidRPr="00C86F93">
        <w:rPr>
          <w:rFonts w:eastAsia="Times New Roman" w:cs="Arial"/>
          <w:color w:val="000000"/>
          <w:szCs w:val="20"/>
          <w:lang w:val="ru-RU"/>
        </w:rPr>
        <w:t xml:space="preserve"> </w:t>
      </w:r>
      <w:r w:rsidRPr="00C86F93">
        <w:rPr>
          <w:rFonts w:eastAsia="Times New Roman" w:cs="Arial"/>
          <w:color w:val="000000"/>
          <w:szCs w:val="20"/>
          <w:lang w:eastAsia="bg-BG"/>
        </w:rPr>
        <w:t xml:space="preserve">сок от грейпфрут също води намаляване на </w:t>
      </w:r>
      <w:r w:rsidRPr="00C86F93">
        <w:rPr>
          <w:rFonts w:eastAsia="Times New Roman" w:cs="Arial"/>
          <w:color w:val="000000"/>
          <w:szCs w:val="20"/>
          <w:lang w:val="en-US"/>
        </w:rPr>
        <w:t>AUC</w:t>
      </w:r>
      <w:r w:rsidRPr="00C86F93">
        <w:rPr>
          <w:rFonts w:eastAsia="Times New Roman" w:cs="Arial"/>
          <w:color w:val="000000"/>
          <w:szCs w:val="20"/>
          <w:lang w:eastAsia="bg-BG"/>
        </w:rPr>
        <w:t xml:space="preserve"> от 20,4% на активния ортохидрокси метаболит. Големи количества сок от грейпфрут (над 1.2 1 дневно за 5 дни) повишава </w:t>
      </w:r>
      <w:r w:rsidRPr="00C86F93">
        <w:rPr>
          <w:rFonts w:eastAsia="Times New Roman" w:cs="Arial"/>
          <w:color w:val="000000"/>
          <w:szCs w:val="20"/>
          <w:lang w:val="en-US"/>
        </w:rPr>
        <w:t>AUC</w:t>
      </w:r>
      <w:r w:rsidRPr="00C86F93">
        <w:rPr>
          <w:rFonts w:eastAsia="Times New Roman" w:cs="Arial"/>
          <w:color w:val="000000"/>
          <w:szCs w:val="20"/>
          <w:lang w:val="ru-RU"/>
        </w:rPr>
        <w:t xml:space="preserve"> </w:t>
      </w:r>
      <w:r w:rsidRPr="00C86F93">
        <w:rPr>
          <w:rFonts w:eastAsia="Times New Roman" w:cs="Arial"/>
          <w:color w:val="000000"/>
          <w:szCs w:val="20"/>
          <w:lang w:eastAsia="bg-BG"/>
        </w:rPr>
        <w:t xml:space="preserve">на аторвастатин 2,5 пъти и </w:t>
      </w:r>
      <w:r w:rsidRPr="00C86F93">
        <w:rPr>
          <w:rFonts w:eastAsia="Times New Roman" w:cs="Arial"/>
          <w:color w:val="000000"/>
          <w:szCs w:val="20"/>
          <w:lang w:val="en-US"/>
        </w:rPr>
        <w:t>AUC</w:t>
      </w:r>
      <w:r w:rsidRPr="00C86F93">
        <w:rPr>
          <w:rFonts w:eastAsia="Times New Roman" w:cs="Arial"/>
          <w:color w:val="000000"/>
          <w:szCs w:val="20"/>
          <w:lang w:val="ru-RU"/>
        </w:rPr>
        <w:t xml:space="preserve"> </w:t>
      </w:r>
      <w:r w:rsidRPr="00C86F93">
        <w:rPr>
          <w:rFonts w:eastAsia="Times New Roman" w:cs="Arial"/>
          <w:color w:val="000000"/>
          <w:szCs w:val="20"/>
          <w:lang w:eastAsia="bg-BG"/>
        </w:rPr>
        <w:t xml:space="preserve">на активните съставки (аторвастатин и метаболити), </w:t>
      </w:r>
      <w:r w:rsidRPr="00C86F93">
        <w:rPr>
          <w:rFonts w:eastAsia="Times New Roman" w:cs="Arial"/>
          <w:color w:val="000000"/>
          <w:szCs w:val="20"/>
          <w:lang w:val="en-US"/>
        </w:rPr>
        <w:t>HMG</w:t>
      </w:r>
      <w:r w:rsidRPr="00C86F93">
        <w:rPr>
          <w:rFonts w:eastAsia="Times New Roman" w:cs="Arial"/>
          <w:color w:val="000000"/>
          <w:szCs w:val="20"/>
          <w:lang w:val="ru-RU"/>
        </w:rPr>
        <w:t>-</w:t>
      </w:r>
      <w:r w:rsidRPr="00C86F93">
        <w:rPr>
          <w:rFonts w:eastAsia="Times New Roman" w:cs="Arial"/>
          <w:color w:val="000000"/>
          <w:szCs w:val="20"/>
          <w:lang w:val="en-US"/>
        </w:rPr>
        <w:t>CoA</w:t>
      </w:r>
      <w:r w:rsidRPr="00C86F93">
        <w:rPr>
          <w:rFonts w:eastAsia="Times New Roman" w:cs="Arial"/>
          <w:color w:val="000000"/>
          <w:szCs w:val="20"/>
          <w:lang w:val="ru-RU"/>
        </w:rPr>
        <w:t xml:space="preserve"> </w:t>
      </w:r>
      <w:r w:rsidRPr="00C86F93">
        <w:rPr>
          <w:rFonts w:eastAsia="Times New Roman" w:cs="Arial"/>
          <w:color w:val="000000"/>
          <w:szCs w:val="20"/>
          <w:lang w:eastAsia="bg-BG"/>
        </w:rPr>
        <w:t>редуктазни инхибитори 1,3 пъти</w:t>
      </w:r>
    </w:p>
    <w:p w14:paraId="593ED882" w14:textId="651BB5BD" w:rsidR="00C86F93" w:rsidRPr="00C86F93" w:rsidRDefault="00C86F93" w:rsidP="00C86F93">
      <w:pPr>
        <w:spacing w:line="240" w:lineRule="auto"/>
        <w:rPr>
          <w:rFonts w:eastAsia="Times New Roman" w:cs="Arial"/>
          <w:color w:val="000000"/>
          <w:szCs w:val="20"/>
          <w:lang w:eastAsia="bg-BG"/>
        </w:rPr>
      </w:pPr>
      <w:r w:rsidRPr="00C86F93">
        <w:rPr>
          <w:rFonts w:eastAsia="Times New Roman" w:cs="Arial"/>
          <w:color w:val="000000"/>
          <w:szCs w:val="20"/>
          <w:lang w:eastAsia="bg-BG"/>
        </w:rPr>
        <w:t xml:space="preserve">** Съотношение въз основа на еднократна доза, 8-16 </w:t>
      </w:r>
      <w:r w:rsidRPr="00C86F93">
        <w:rPr>
          <w:rFonts w:eastAsia="Times New Roman" w:cs="Arial"/>
          <w:color w:val="000000"/>
          <w:szCs w:val="20"/>
          <w:lang w:val="en-US"/>
        </w:rPr>
        <w:t>h</w:t>
      </w:r>
      <w:r w:rsidRPr="00C86F93">
        <w:rPr>
          <w:rFonts w:eastAsia="Times New Roman" w:cs="Arial"/>
          <w:color w:val="000000"/>
          <w:szCs w:val="20"/>
          <w:lang w:val="ru-RU"/>
        </w:rPr>
        <w:t xml:space="preserve"> </w:t>
      </w:r>
      <w:r w:rsidRPr="00C86F93">
        <w:rPr>
          <w:rFonts w:eastAsia="Times New Roman" w:cs="Arial"/>
          <w:color w:val="000000"/>
          <w:szCs w:val="20"/>
          <w:lang w:eastAsia="bg-BG"/>
        </w:rPr>
        <w:t>след дозировката.</w:t>
      </w:r>
    </w:p>
    <w:p w14:paraId="7ACDB8D6" w14:textId="77777777" w:rsidR="00C86F93" w:rsidRPr="00C86F93" w:rsidRDefault="00C86F93" w:rsidP="00C86F93">
      <w:pPr>
        <w:spacing w:line="240" w:lineRule="auto"/>
        <w:rPr>
          <w:rFonts w:eastAsia="Times New Roman" w:cs="Arial"/>
          <w:color w:val="000000"/>
          <w:szCs w:val="20"/>
          <w:u w:val="single"/>
          <w:lang w:eastAsia="bg-BG"/>
        </w:rPr>
      </w:pPr>
    </w:p>
    <w:p w14:paraId="5B04E03F" w14:textId="7318003A" w:rsidR="00C86F93" w:rsidRPr="00C86F93" w:rsidRDefault="00C86F93" w:rsidP="00C86F93">
      <w:pPr>
        <w:spacing w:line="240" w:lineRule="auto"/>
        <w:rPr>
          <w:rFonts w:eastAsia="Times New Roman" w:cs="Arial"/>
          <w:sz w:val="28"/>
          <w:szCs w:val="24"/>
        </w:rPr>
      </w:pPr>
      <w:r w:rsidRPr="00C86F93">
        <w:rPr>
          <w:rFonts w:eastAsia="Times New Roman" w:cs="Arial"/>
          <w:color w:val="000000"/>
          <w:szCs w:val="20"/>
          <w:u w:val="single"/>
          <w:lang w:eastAsia="bg-BG"/>
        </w:rPr>
        <w:t>Таблица 2: ефекти на аторвастатин върху фармакокинетиката на едновременно прилагани лекарствени продукти</w:t>
      </w:r>
    </w:p>
    <w:p w14:paraId="2C05C5F5" w14:textId="74881268" w:rsidR="00C86F93" w:rsidRPr="00C86F93" w:rsidRDefault="00C86F93" w:rsidP="00C86F93">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5"/>
        <w:gridCol w:w="2362"/>
        <w:gridCol w:w="2305"/>
        <w:gridCol w:w="2348"/>
      </w:tblGrid>
      <w:tr w:rsidR="00304120" w14:paraId="1B802A44" w14:textId="77777777" w:rsidTr="008F472A">
        <w:tc>
          <w:tcPr>
            <w:tcW w:w="2394" w:type="dxa"/>
            <w:vMerge w:val="restart"/>
          </w:tcPr>
          <w:p w14:paraId="08696663" w14:textId="70996861" w:rsidR="00304120" w:rsidRDefault="00304120" w:rsidP="00F703B9">
            <w:pPr>
              <w:rPr>
                <w:rFonts w:cs="Arial"/>
                <w:sz w:val="24"/>
              </w:rPr>
            </w:pPr>
            <w:r>
              <w:rPr>
                <w:sz w:val="20"/>
                <w:szCs w:val="20"/>
              </w:rPr>
              <w:t>Аторвастатин и дозов режим</w:t>
            </w:r>
          </w:p>
        </w:tc>
        <w:tc>
          <w:tcPr>
            <w:tcW w:w="7182" w:type="dxa"/>
            <w:gridSpan w:val="3"/>
          </w:tcPr>
          <w:p w14:paraId="5A5C218E" w14:textId="5E8BC70F" w:rsidR="00304120" w:rsidRDefault="00304120" w:rsidP="00F703B9">
            <w:pPr>
              <w:rPr>
                <w:rFonts w:cs="Arial"/>
                <w:sz w:val="24"/>
              </w:rPr>
            </w:pPr>
            <w:r>
              <w:rPr>
                <w:sz w:val="20"/>
                <w:szCs w:val="20"/>
                <w:u w:val="single"/>
              </w:rPr>
              <w:t>Едновременно прилаган лекарствен продукт</w:t>
            </w:r>
          </w:p>
        </w:tc>
      </w:tr>
      <w:tr w:rsidR="00304120" w14:paraId="73837721" w14:textId="77777777" w:rsidTr="00304120">
        <w:tc>
          <w:tcPr>
            <w:tcW w:w="2394" w:type="dxa"/>
            <w:vMerge/>
          </w:tcPr>
          <w:p w14:paraId="1EE238D7" w14:textId="77777777" w:rsidR="00304120" w:rsidRDefault="00304120" w:rsidP="00304120">
            <w:pPr>
              <w:rPr>
                <w:rFonts w:cs="Arial"/>
                <w:sz w:val="24"/>
              </w:rPr>
            </w:pPr>
          </w:p>
        </w:tc>
        <w:tc>
          <w:tcPr>
            <w:tcW w:w="2394" w:type="dxa"/>
          </w:tcPr>
          <w:p w14:paraId="67AB442E" w14:textId="1E9FBA3F" w:rsidR="00304120" w:rsidRDefault="00304120" w:rsidP="00304120">
            <w:pPr>
              <w:rPr>
                <w:rFonts w:cs="Arial"/>
                <w:sz w:val="24"/>
              </w:rPr>
            </w:pPr>
            <w:r>
              <w:rPr>
                <w:sz w:val="20"/>
                <w:szCs w:val="20"/>
              </w:rPr>
              <w:t xml:space="preserve">Лекарствен продукт/доза </w:t>
            </w:r>
            <w:r>
              <w:rPr>
                <w:sz w:val="20"/>
                <w:szCs w:val="20"/>
                <w:lang w:val="en-US"/>
              </w:rPr>
              <w:t>(mg)</w:t>
            </w:r>
          </w:p>
        </w:tc>
        <w:tc>
          <w:tcPr>
            <w:tcW w:w="2394" w:type="dxa"/>
          </w:tcPr>
          <w:p w14:paraId="70B8BF80" w14:textId="77777777" w:rsidR="00304120" w:rsidRDefault="00304120" w:rsidP="00304120">
            <w:r>
              <w:rPr>
                <w:sz w:val="20"/>
                <w:szCs w:val="20"/>
              </w:rPr>
              <w:t>Промяна в</w:t>
            </w:r>
          </w:p>
          <w:p w14:paraId="30637BC4" w14:textId="7A978FAD" w:rsidR="00304120" w:rsidRDefault="00304120" w:rsidP="00304120">
            <w:pPr>
              <w:rPr>
                <w:rFonts w:cs="Arial"/>
                <w:sz w:val="24"/>
              </w:rPr>
            </w:pPr>
            <w:r>
              <w:rPr>
                <w:sz w:val="20"/>
                <w:szCs w:val="20"/>
                <w:lang w:val="en-US"/>
              </w:rPr>
              <w:t>AUC</w:t>
            </w:r>
            <w:r>
              <w:rPr>
                <w:sz w:val="20"/>
                <w:szCs w:val="20"/>
                <w:vertAlign w:val="superscript"/>
                <w:lang w:val="en-US"/>
              </w:rPr>
              <w:t>&amp;</w:t>
            </w:r>
          </w:p>
        </w:tc>
        <w:tc>
          <w:tcPr>
            <w:tcW w:w="2394" w:type="dxa"/>
          </w:tcPr>
          <w:p w14:paraId="738FECFC" w14:textId="236FDB8E" w:rsidR="00304120" w:rsidRDefault="00304120" w:rsidP="00304120">
            <w:pPr>
              <w:rPr>
                <w:rFonts w:cs="Arial"/>
                <w:sz w:val="24"/>
              </w:rPr>
            </w:pPr>
            <w:r>
              <w:rPr>
                <w:sz w:val="20"/>
                <w:szCs w:val="20"/>
              </w:rPr>
              <w:t>Клинична препоръка</w:t>
            </w:r>
          </w:p>
        </w:tc>
      </w:tr>
      <w:tr w:rsidR="00304120" w14:paraId="71C67BB7" w14:textId="77777777" w:rsidTr="00304120">
        <w:tc>
          <w:tcPr>
            <w:tcW w:w="2394" w:type="dxa"/>
          </w:tcPr>
          <w:p w14:paraId="1EB00C3C" w14:textId="77777777" w:rsidR="00304120" w:rsidRDefault="00304120" w:rsidP="00304120">
            <w:r>
              <w:rPr>
                <w:sz w:val="20"/>
                <w:szCs w:val="20"/>
              </w:rPr>
              <w:t xml:space="preserve">80 </w:t>
            </w:r>
            <w:r>
              <w:rPr>
                <w:sz w:val="20"/>
                <w:szCs w:val="20"/>
                <w:lang w:val="en-US"/>
              </w:rPr>
              <w:t>mg</w:t>
            </w:r>
            <w:r w:rsidRPr="00304120">
              <w:rPr>
                <w:sz w:val="20"/>
                <w:szCs w:val="20"/>
                <w:lang w:val="ru-RU"/>
              </w:rPr>
              <w:t xml:space="preserve"> </w:t>
            </w:r>
            <w:r>
              <w:rPr>
                <w:sz w:val="20"/>
                <w:szCs w:val="20"/>
              </w:rPr>
              <w:t>веднъж дневно за</w:t>
            </w:r>
          </w:p>
          <w:p w14:paraId="157E294C" w14:textId="62D22925" w:rsidR="00304120" w:rsidRDefault="00304120" w:rsidP="00304120">
            <w:pPr>
              <w:rPr>
                <w:rFonts w:cs="Arial"/>
                <w:sz w:val="24"/>
              </w:rPr>
            </w:pPr>
            <w:r>
              <w:rPr>
                <w:sz w:val="20"/>
                <w:szCs w:val="20"/>
              </w:rPr>
              <w:t>10 дни</w:t>
            </w:r>
          </w:p>
        </w:tc>
        <w:tc>
          <w:tcPr>
            <w:tcW w:w="2394" w:type="dxa"/>
          </w:tcPr>
          <w:p w14:paraId="24030946" w14:textId="338157FE" w:rsidR="00304120" w:rsidRDefault="00304120" w:rsidP="00304120">
            <w:pPr>
              <w:rPr>
                <w:rFonts w:cs="Arial"/>
                <w:sz w:val="24"/>
              </w:rPr>
            </w:pPr>
            <w:r>
              <w:rPr>
                <w:sz w:val="20"/>
                <w:szCs w:val="20"/>
              </w:rPr>
              <w:t xml:space="preserve">дигоксин 0.25 </w:t>
            </w:r>
            <w:r>
              <w:rPr>
                <w:sz w:val="20"/>
                <w:szCs w:val="20"/>
                <w:lang w:val="en-US"/>
              </w:rPr>
              <w:t>mg</w:t>
            </w:r>
            <w:r w:rsidRPr="00304120">
              <w:rPr>
                <w:sz w:val="20"/>
                <w:szCs w:val="20"/>
                <w:lang w:val="ru-RU"/>
              </w:rPr>
              <w:t xml:space="preserve"> </w:t>
            </w:r>
            <w:r>
              <w:rPr>
                <w:sz w:val="20"/>
                <w:szCs w:val="20"/>
              </w:rPr>
              <w:t>веднъж дневно, 20 дни</w:t>
            </w:r>
          </w:p>
        </w:tc>
        <w:tc>
          <w:tcPr>
            <w:tcW w:w="2394" w:type="dxa"/>
          </w:tcPr>
          <w:p w14:paraId="238792E8" w14:textId="0419862A" w:rsidR="00304120" w:rsidRDefault="00304120" w:rsidP="00304120">
            <w:pPr>
              <w:rPr>
                <w:rFonts w:cs="Arial"/>
                <w:sz w:val="24"/>
              </w:rPr>
            </w:pPr>
            <w:r>
              <w:rPr>
                <w:sz w:val="20"/>
                <w:szCs w:val="20"/>
              </w:rPr>
              <w:t>1,15</w:t>
            </w:r>
          </w:p>
        </w:tc>
        <w:tc>
          <w:tcPr>
            <w:tcW w:w="2394" w:type="dxa"/>
          </w:tcPr>
          <w:p w14:paraId="231B84E8" w14:textId="623CB965" w:rsidR="00304120" w:rsidRDefault="00304120" w:rsidP="00304120">
            <w:pPr>
              <w:rPr>
                <w:rFonts w:cs="Arial"/>
                <w:sz w:val="24"/>
              </w:rPr>
            </w:pPr>
            <w:r>
              <w:rPr>
                <w:sz w:val="20"/>
                <w:szCs w:val="20"/>
              </w:rPr>
              <w:t>Пациенти,които приемат дикогсин трябва да бъдат клинично проследявани.</w:t>
            </w:r>
          </w:p>
        </w:tc>
      </w:tr>
      <w:tr w:rsidR="00304120" w14:paraId="296E2AE2" w14:textId="77777777" w:rsidTr="00304120">
        <w:tc>
          <w:tcPr>
            <w:tcW w:w="2394" w:type="dxa"/>
          </w:tcPr>
          <w:p w14:paraId="4EA1441D" w14:textId="77777777" w:rsidR="00304120" w:rsidRDefault="00304120" w:rsidP="00304120">
            <w:r>
              <w:rPr>
                <w:sz w:val="20"/>
                <w:szCs w:val="20"/>
              </w:rPr>
              <w:t xml:space="preserve">40 </w:t>
            </w:r>
            <w:r>
              <w:rPr>
                <w:sz w:val="20"/>
                <w:szCs w:val="20"/>
                <w:lang w:val="en-US"/>
              </w:rPr>
              <w:t>mg</w:t>
            </w:r>
            <w:r w:rsidRPr="00304120">
              <w:rPr>
                <w:sz w:val="20"/>
                <w:szCs w:val="20"/>
                <w:lang w:val="ru-RU"/>
              </w:rPr>
              <w:t xml:space="preserve"> </w:t>
            </w:r>
            <w:r>
              <w:rPr>
                <w:sz w:val="20"/>
                <w:szCs w:val="20"/>
              </w:rPr>
              <w:t>веднъж дневно за</w:t>
            </w:r>
          </w:p>
          <w:p w14:paraId="6685079A" w14:textId="1BBEE002" w:rsidR="00304120" w:rsidRDefault="00304120" w:rsidP="00304120">
            <w:pPr>
              <w:rPr>
                <w:rFonts w:cs="Arial"/>
                <w:sz w:val="24"/>
              </w:rPr>
            </w:pPr>
            <w:r>
              <w:rPr>
                <w:sz w:val="20"/>
                <w:szCs w:val="20"/>
              </w:rPr>
              <w:t>22 дни</w:t>
            </w:r>
          </w:p>
        </w:tc>
        <w:tc>
          <w:tcPr>
            <w:tcW w:w="2394" w:type="dxa"/>
          </w:tcPr>
          <w:p w14:paraId="04A46D8B" w14:textId="77777777" w:rsidR="00304120" w:rsidRDefault="00304120" w:rsidP="00304120">
            <w:r>
              <w:rPr>
                <w:sz w:val="20"/>
                <w:szCs w:val="20"/>
              </w:rPr>
              <w:t>Перорални контрацептиви венъж дневно, 2</w:t>
            </w:r>
          </w:p>
          <w:p w14:paraId="330B258B" w14:textId="77777777" w:rsidR="00304120" w:rsidRDefault="00304120" w:rsidP="00304120">
            <w:r>
              <w:rPr>
                <w:sz w:val="20"/>
                <w:szCs w:val="20"/>
              </w:rPr>
              <w:t>месеца</w:t>
            </w:r>
          </w:p>
          <w:p w14:paraId="4DAC1A3D" w14:textId="77777777" w:rsidR="00304120" w:rsidRDefault="00304120" w:rsidP="00304120">
            <w:r>
              <w:rPr>
                <w:sz w:val="20"/>
                <w:szCs w:val="20"/>
              </w:rPr>
              <w:t xml:space="preserve">- норстиндрон 1 </w:t>
            </w:r>
            <w:r>
              <w:rPr>
                <w:sz w:val="20"/>
                <w:szCs w:val="20"/>
                <w:lang w:val="en-US"/>
              </w:rPr>
              <w:t>mg</w:t>
            </w:r>
          </w:p>
          <w:p w14:paraId="18817CFC" w14:textId="5E7780B5" w:rsidR="00304120" w:rsidRDefault="00304120" w:rsidP="00304120">
            <w:pPr>
              <w:rPr>
                <w:rFonts w:cs="Arial"/>
                <w:sz w:val="24"/>
              </w:rPr>
            </w:pPr>
            <w:r>
              <w:rPr>
                <w:sz w:val="20"/>
                <w:szCs w:val="20"/>
              </w:rPr>
              <w:t>-етинил естрадиол 35 μ</w:t>
            </w:r>
            <w:r>
              <w:rPr>
                <w:sz w:val="20"/>
                <w:szCs w:val="20"/>
                <w:lang w:val="en-US"/>
              </w:rPr>
              <w:t>g</w:t>
            </w:r>
          </w:p>
        </w:tc>
        <w:tc>
          <w:tcPr>
            <w:tcW w:w="2394" w:type="dxa"/>
          </w:tcPr>
          <w:p w14:paraId="299184D5" w14:textId="77777777" w:rsidR="00304120" w:rsidRDefault="00304120" w:rsidP="00304120">
            <w:r>
              <w:rPr>
                <w:sz w:val="20"/>
                <w:szCs w:val="20"/>
              </w:rPr>
              <w:t>1,28</w:t>
            </w:r>
          </w:p>
          <w:p w14:paraId="3AA48173" w14:textId="4EA1BA7E" w:rsidR="00304120" w:rsidRDefault="00304120" w:rsidP="00304120">
            <w:pPr>
              <w:rPr>
                <w:rFonts w:cs="Arial"/>
                <w:sz w:val="24"/>
              </w:rPr>
            </w:pPr>
            <w:r>
              <w:rPr>
                <w:sz w:val="20"/>
                <w:szCs w:val="20"/>
              </w:rPr>
              <w:t>1,19</w:t>
            </w:r>
          </w:p>
        </w:tc>
        <w:tc>
          <w:tcPr>
            <w:tcW w:w="2394" w:type="dxa"/>
          </w:tcPr>
          <w:p w14:paraId="5406F191" w14:textId="2D7C48D2" w:rsidR="00304120" w:rsidRDefault="00304120" w:rsidP="00304120">
            <w:pPr>
              <w:rPr>
                <w:rFonts w:cs="Arial"/>
                <w:sz w:val="24"/>
              </w:rPr>
            </w:pPr>
            <w:r>
              <w:rPr>
                <w:sz w:val="20"/>
                <w:szCs w:val="20"/>
              </w:rPr>
              <w:t>Няма специални изисквания</w:t>
            </w:r>
          </w:p>
        </w:tc>
      </w:tr>
      <w:tr w:rsidR="00304120" w14:paraId="42070FCF" w14:textId="77777777" w:rsidTr="00304120">
        <w:tc>
          <w:tcPr>
            <w:tcW w:w="2394" w:type="dxa"/>
          </w:tcPr>
          <w:p w14:paraId="140259FD" w14:textId="77777777" w:rsidR="00304120" w:rsidRDefault="00304120" w:rsidP="00304120">
            <w:r>
              <w:rPr>
                <w:sz w:val="20"/>
                <w:szCs w:val="20"/>
              </w:rPr>
              <w:t xml:space="preserve">80 </w:t>
            </w:r>
            <w:r>
              <w:rPr>
                <w:sz w:val="20"/>
                <w:szCs w:val="20"/>
                <w:lang w:val="en-US"/>
              </w:rPr>
              <w:t xml:space="preserve">mg OD </w:t>
            </w:r>
            <w:r>
              <w:rPr>
                <w:sz w:val="20"/>
                <w:szCs w:val="20"/>
              </w:rPr>
              <w:t>за</w:t>
            </w:r>
          </w:p>
          <w:p w14:paraId="026FE677" w14:textId="3942ED24" w:rsidR="00304120" w:rsidRDefault="00304120" w:rsidP="00304120">
            <w:pPr>
              <w:rPr>
                <w:rFonts w:cs="Arial"/>
                <w:sz w:val="24"/>
              </w:rPr>
            </w:pPr>
            <w:r>
              <w:rPr>
                <w:sz w:val="20"/>
                <w:szCs w:val="20"/>
              </w:rPr>
              <w:t>15 дни</w:t>
            </w:r>
          </w:p>
        </w:tc>
        <w:tc>
          <w:tcPr>
            <w:tcW w:w="2394" w:type="dxa"/>
          </w:tcPr>
          <w:p w14:paraId="19E905DA" w14:textId="57905AB0" w:rsidR="00304120" w:rsidRDefault="00304120" w:rsidP="00304120">
            <w:pPr>
              <w:rPr>
                <w:rFonts w:cs="Arial"/>
                <w:sz w:val="24"/>
              </w:rPr>
            </w:pPr>
            <w:r>
              <w:rPr>
                <w:sz w:val="20"/>
                <w:szCs w:val="20"/>
              </w:rPr>
              <w:t xml:space="preserve">* Феназон, 600 </w:t>
            </w:r>
            <w:r>
              <w:rPr>
                <w:sz w:val="20"/>
                <w:szCs w:val="20"/>
                <w:lang w:val="en-US"/>
              </w:rPr>
              <w:t>mg</w:t>
            </w:r>
            <w:r w:rsidRPr="00304120">
              <w:rPr>
                <w:sz w:val="20"/>
                <w:szCs w:val="20"/>
                <w:lang w:val="ru-RU"/>
              </w:rPr>
              <w:t xml:space="preserve"> </w:t>
            </w:r>
            <w:r>
              <w:rPr>
                <w:sz w:val="20"/>
                <w:szCs w:val="20"/>
              </w:rPr>
              <w:t>два пъти дневно</w:t>
            </w:r>
          </w:p>
        </w:tc>
        <w:tc>
          <w:tcPr>
            <w:tcW w:w="2394" w:type="dxa"/>
          </w:tcPr>
          <w:p w14:paraId="1B922C87" w14:textId="57F3FF42" w:rsidR="00304120" w:rsidRDefault="00304120" w:rsidP="00304120">
            <w:pPr>
              <w:rPr>
                <w:rFonts w:cs="Arial"/>
                <w:sz w:val="24"/>
              </w:rPr>
            </w:pPr>
            <w:r>
              <w:rPr>
                <w:sz w:val="20"/>
                <w:szCs w:val="20"/>
              </w:rPr>
              <w:t>1,03</w:t>
            </w:r>
          </w:p>
        </w:tc>
        <w:tc>
          <w:tcPr>
            <w:tcW w:w="2394" w:type="dxa"/>
          </w:tcPr>
          <w:p w14:paraId="51C30797" w14:textId="46946157" w:rsidR="00304120" w:rsidRDefault="00304120" w:rsidP="00304120">
            <w:pPr>
              <w:rPr>
                <w:rFonts w:cs="Arial"/>
                <w:sz w:val="24"/>
              </w:rPr>
            </w:pPr>
            <w:r>
              <w:rPr>
                <w:sz w:val="20"/>
                <w:szCs w:val="20"/>
              </w:rPr>
              <w:t>Няма специални изисквания</w:t>
            </w:r>
          </w:p>
        </w:tc>
      </w:tr>
      <w:tr w:rsidR="00304120" w14:paraId="64F43B29" w14:textId="77777777" w:rsidTr="00304120">
        <w:tc>
          <w:tcPr>
            <w:tcW w:w="2394" w:type="dxa"/>
          </w:tcPr>
          <w:p w14:paraId="23F65DE1" w14:textId="456722B1" w:rsidR="00304120" w:rsidRDefault="00304120" w:rsidP="00304120">
            <w:pPr>
              <w:rPr>
                <w:rFonts w:cs="Arial"/>
                <w:sz w:val="24"/>
              </w:rPr>
            </w:pPr>
            <w:r>
              <w:rPr>
                <w:sz w:val="20"/>
                <w:szCs w:val="20"/>
              </w:rPr>
              <w:lastRenderedPageBreak/>
              <w:t xml:space="preserve">10 </w:t>
            </w:r>
            <w:r>
              <w:rPr>
                <w:sz w:val="20"/>
                <w:szCs w:val="20"/>
                <w:lang w:val="en-US"/>
              </w:rPr>
              <w:t xml:space="preserve">mg, </w:t>
            </w:r>
            <w:r>
              <w:rPr>
                <w:sz w:val="20"/>
                <w:szCs w:val="20"/>
              </w:rPr>
              <w:t>веднъж дневно</w:t>
            </w:r>
          </w:p>
        </w:tc>
        <w:tc>
          <w:tcPr>
            <w:tcW w:w="2394" w:type="dxa"/>
          </w:tcPr>
          <w:p w14:paraId="3D7C46DF" w14:textId="20AAC335" w:rsidR="00304120" w:rsidRDefault="00304120" w:rsidP="00304120">
            <w:pPr>
              <w:rPr>
                <w:rFonts w:cs="Arial"/>
                <w:sz w:val="24"/>
              </w:rPr>
            </w:pPr>
            <w:r>
              <w:rPr>
                <w:sz w:val="20"/>
                <w:szCs w:val="20"/>
              </w:rPr>
              <w:t xml:space="preserve">Типранавир, 500 </w:t>
            </w:r>
            <w:r>
              <w:rPr>
                <w:sz w:val="20"/>
                <w:szCs w:val="20"/>
                <w:lang w:val="en-US"/>
              </w:rPr>
              <w:t>mg</w:t>
            </w:r>
            <w:r w:rsidRPr="00304120">
              <w:rPr>
                <w:sz w:val="20"/>
                <w:szCs w:val="20"/>
                <w:lang w:val="ru-RU"/>
              </w:rPr>
              <w:t xml:space="preserve"> </w:t>
            </w:r>
            <w:r>
              <w:rPr>
                <w:sz w:val="20"/>
                <w:szCs w:val="20"/>
              </w:rPr>
              <w:t xml:space="preserve">два пъти дневно/ритонавир 200 </w:t>
            </w:r>
            <w:r>
              <w:rPr>
                <w:sz w:val="20"/>
                <w:szCs w:val="20"/>
                <w:lang w:val="en-US"/>
              </w:rPr>
              <w:t>mg</w:t>
            </w:r>
            <w:r w:rsidRPr="00304120">
              <w:rPr>
                <w:sz w:val="20"/>
                <w:szCs w:val="20"/>
                <w:lang w:val="ru-RU"/>
              </w:rPr>
              <w:t xml:space="preserve"> </w:t>
            </w:r>
            <w:r>
              <w:rPr>
                <w:sz w:val="20"/>
                <w:szCs w:val="20"/>
              </w:rPr>
              <w:t>два пъти дневно, 7 дни</w:t>
            </w:r>
          </w:p>
        </w:tc>
        <w:tc>
          <w:tcPr>
            <w:tcW w:w="2394" w:type="dxa"/>
          </w:tcPr>
          <w:p w14:paraId="63B7B373" w14:textId="520F991A" w:rsidR="00304120" w:rsidRDefault="00304120" w:rsidP="00304120">
            <w:pPr>
              <w:rPr>
                <w:rFonts w:cs="Arial"/>
                <w:sz w:val="24"/>
              </w:rPr>
            </w:pPr>
            <w:r>
              <w:rPr>
                <w:sz w:val="20"/>
                <w:szCs w:val="20"/>
              </w:rPr>
              <w:t>1,08</w:t>
            </w:r>
          </w:p>
        </w:tc>
        <w:tc>
          <w:tcPr>
            <w:tcW w:w="2394" w:type="dxa"/>
          </w:tcPr>
          <w:p w14:paraId="196C25D6" w14:textId="3B7153E9" w:rsidR="00304120" w:rsidRDefault="00304120" w:rsidP="00304120">
            <w:pPr>
              <w:rPr>
                <w:rFonts w:cs="Arial"/>
                <w:sz w:val="24"/>
              </w:rPr>
            </w:pPr>
            <w:r>
              <w:rPr>
                <w:sz w:val="20"/>
                <w:szCs w:val="20"/>
              </w:rPr>
              <w:t>Няма специални изисквания</w:t>
            </w:r>
          </w:p>
        </w:tc>
      </w:tr>
      <w:tr w:rsidR="00304120" w14:paraId="67B086AC" w14:textId="77777777" w:rsidTr="00304120">
        <w:trPr>
          <w:trHeight w:val="890"/>
        </w:trPr>
        <w:tc>
          <w:tcPr>
            <w:tcW w:w="2394" w:type="dxa"/>
          </w:tcPr>
          <w:p w14:paraId="088E8B7C" w14:textId="30948580" w:rsidR="00304120" w:rsidRPr="00304120" w:rsidRDefault="00304120" w:rsidP="00304120">
            <w:r>
              <w:rPr>
                <w:sz w:val="20"/>
                <w:szCs w:val="20"/>
              </w:rPr>
              <w:t xml:space="preserve">10 </w:t>
            </w:r>
            <w:r>
              <w:rPr>
                <w:sz w:val="20"/>
                <w:szCs w:val="20"/>
                <w:lang w:val="en-US"/>
              </w:rPr>
              <w:t>mg</w:t>
            </w:r>
            <w:r w:rsidRPr="00304120">
              <w:rPr>
                <w:sz w:val="20"/>
                <w:szCs w:val="20"/>
                <w:lang w:val="ru-RU"/>
              </w:rPr>
              <w:t xml:space="preserve"> </w:t>
            </w:r>
            <w:r>
              <w:rPr>
                <w:sz w:val="20"/>
                <w:szCs w:val="20"/>
              </w:rPr>
              <w:t>веднъж дневно, за 4 дни</w:t>
            </w:r>
          </w:p>
        </w:tc>
        <w:tc>
          <w:tcPr>
            <w:tcW w:w="2394" w:type="dxa"/>
          </w:tcPr>
          <w:p w14:paraId="5F89C3A0" w14:textId="6DD3C8AD" w:rsidR="00304120" w:rsidRPr="00304120" w:rsidRDefault="00304120" w:rsidP="00304120">
            <w:r>
              <w:rPr>
                <w:sz w:val="20"/>
                <w:szCs w:val="20"/>
              </w:rPr>
              <w:t xml:space="preserve">Фозампренавир 1400 </w:t>
            </w:r>
            <w:r>
              <w:rPr>
                <w:sz w:val="20"/>
                <w:szCs w:val="20"/>
                <w:lang w:val="en-US"/>
              </w:rPr>
              <w:t>mg</w:t>
            </w:r>
            <w:r w:rsidRPr="00304120">
              <w:rPr>
                <w:sz w:val="20"/>
                <w:szCs w:val="20"/>
                <w:lang w:val="ru-RU"/>
              </w:rPr>
              <w:t xml:space="preserve"> </w:t>
            </w:r>
            <w:r>
              <w:rPr>
                <w:sz w:val="20"/>
                <w:szCs w:val="20"/>
              </w:rPr>
              <w:t>два пъти дневно, за 14 дни</w:t>
            </w:r>
          </w:p>
        </w:tc>
        <w:tc>
          <w:tcPr>
            <w:tcW w:w="2394" w:type="dxa"/>
          </w:tcPr>
          <w:p w14:paraId="07CB4A0F" w14:textId="77777777" w:rsidR="00304120" w:rsidRDefault="00304120" w:rsidP="00304120">
            <w:r>
              <w:rPr>
                <w:sz w:val="20"/>
                <w:szCs w:val="20"/>
              </w:rPr>
              <w:t>0,73</w:t>
            </w:r>
          </w:p>
          <w:p w14:paraId="4322B814" w14:textId="5C68FEAE" w:rsidR="00304120" w:rsidRDefault="00304120" w:rsidP="00304120">
            <w:pPr>
              <w:rPr>
                <w:rFonts w:cs="Arial"/>
                <w:sz w:val="24"/>
              </w:rPr>
            </w:pPr>
          </w:p>
        </w:tc>
        <w:tc>
          <w:tcPr>
            <w:tcW w:w="2394" w:type="dxa"/>
          </w:tcPr>
          <w:p w14:paraId="11703DC8" w14:textId="77777777" w:rsidR="00304120" w:rsidRDefault="00304120" w:rsidP="00304120">
            <w:r>
              <w:rPr>
                <w:sz w:val="20"/>
                <w:szCs w:val="20"/>
              </w:rPr>
              <w:t>Няма специални изисквания</w:t>
            </w:r>
          </w:p>
          <w:p w14:paraId="25FCA0C6" w14:textId="42FF5272" w:rsidR="00304120" w:rsidRDefault="00304120" w:rsidP="00304120">
            <w:pPr>
              <w:rPr>
                <w:rFonts w:cs="Arial"/>
                <w:sz w:val="24"/>
              </w:rPr>
            </w:pPr>
          </w:p>
        </w:tc>
      </w:tr>
      <w:tr w:rsidR="00304120" w14:paraId="2806BFBE" w14:textId="77777777" w:rsidTr="00304120">
        <w:trPr>
          <w:trHeight w:val="890"/>
        </w:trPr>
        <w:tc>
          <w:tcPr>
            <w:tcW w:w="2394" w:type="dxa"/>
          </w:tcPr>
          <w:p w14:paraId="3C54AD08" w14:textId="7CAF5DD9" w:rsidR="00304120" w:rsidRDefault="00304120" w:rsidP="00304120">
            <w:pPr>
              <w:rPr>
                <w:sz w:val="20"/>
                <w:szCs w:val="20"/>
              </w:rPr>
            </w:pPr>
            <w:r>
              <w:rPr>
                <w:sz w:val="20"/>
                <w:szCs w:val="20"/>
              </w:rPr>
              <w:t xml:space="preserve">10 </w:t>
            </w:r>
            <w:r>
              <w:rPr>
                <w:sz w:val="20"/>
                <w:szCs w:val="20"/>
                <w:lang w:val="en-US"/>
              </w:rPr>
              <w:t>mg</w:t>
            </w:r>
            <w:r w:rsidRPr="00304120">
              <w:rPr>
                <w:sz w:val="20"/>
                <w:szCs w:val="20"/>
                <w:lang w:val="ru-RU"/>
              </w:rPr>
              <w:t xml:space="preserve"> </w:t>
            </w:r>
            <w:r>
              <w:rPr>
                <w:sz w:val="20"/>
                <w:szCs w:val="20"/>
              </w:rPr>
              <w:t>веднъж дневно, за 4 дни</w:t>
            </w:r>
          </w:p>
        </w:tc>
        <w:tc>
          <w:tcPr>
            <w:tcW w:w="2394" w:type="dxa"/>
          </w:tcPr>
          <w:p w14:paraId="177ED3C4" w14:textId="6B5B32FE" w:rsidR="00304120" w:rsidRDefault="00304120" w:rsidP="00304120">
            <w:pPr>
              <w:rPr>
                <w:sz w:val="20"/>
                <w:szCs w:val="20"/>
              </w:rPr>
            </w:pPr>
            <w:r>
              <w:rPr>
                <w:sz w:val="20"/>
                <w:szCs w:val="20"/>
              </w:rPr>
              <w:t xml:space="preserve">Фозампренавир 700 </w:t>
            </w:r>
            <w:r>
              <w:rPr>
                <w:sz w:val="20"/>
                <w:szCs w:val="20"/>
                <w:lang w:val="en-US"/>
              </w:rPr>
              <w:t>mg</w:t>
            </w:r>
            <w:r w:rsidRPr="00304120">
              <w:rPr>
                <w:sz w:val="20"/>
                <w:szCs w:val="20"/>
                <w:lang w:val="ru-RU"/>
              </w:rPr>
              <w:t xml:space="preserve"> </w:t>
            </w:r>
            <w:r>
              <w:rPr>
                <w:sz w:val="20"/>
                <w:szCs w:val="20"/>
              </w:rPr>
              <w:t xml:space="preserve">два пъти дневно/ритонавир 100 </w:t>
            </w:r>
            <w:r>
              <w:rPr>
                <w:sz w:val="20"/>
                <w:szCs w:val="20"/>
                <w:lang w:val="en-US"/>
              </w:rPr>
              <w:t>mg</w:t>
            </w:r>
            <w:r w:rsidRPr="00304120">
              <w:rPr>
                <w:sz w:val="20"/>
                <w:szCs w:val="20"/>
                <w:lang w:val="ru-RU"/>
              </w:rPr>
              <w:t xml:space="preserve"> </w:t>
            </w:r>
            <w:r>
              <w:rPr>
                <w:sz w:val="20"/>
                <w:szCs w:val="20"/>
              </w:rPr>
              <w:t>два пъти дневно, за 14 дни</w:t>
            </w:r>
          </w:p>
        </w:tc>
        <w:tc>
          <w:tcPr>
            <w:tcW w:w="2394" w:type="dxa"/>
          </w:tcPr>
          <w:p w14:paraId="778EC118" w14:textId="3574C9A8" w:rsidR="00304120" w:rsidRDefault="00304120" w:rsidP="00304120">
            <w:pPr>
              <w:rPr>
                <w:sz w:val="20"/>
                <w:szCs w:val="20"/>
              </w:rPr>
            </w:pPr>
            <w:r>
              <w:rPr>
                <w:sz w:val="20"/>
                <w:szCs w:val="20"/>
              </w:rPr>
              <w:t>0,99</w:t>
            </w:r>
          </w:p>
        </w:tc>
        <w:tc>
          <w:tcPr>
            <w:tcW w:w="2394" w:type="dxa"/>
          </w:tcPr>
          <w:p w14:paraId="3A92AD15" w14:textId="15C703D3" w:rsidR="00304120" w:rsidRDefault="00304120" w:rsidP="00304120">
            <w:pPr>
              <w:rPr>
                <w:sz w:val="20"/>
                <w:szCs w:val="20"/>
              </w:rPr>
            </w:pPr>
            <w:r>
              <w:rPr>
                <w:sz w:val="20"/>
                <w:szCs w:val="20"/>
              </w:rPr>
              <w:t>Няма специални изисквания</w:t>
            </w:r>
          </w:p>
        </w:tc>
      </w:tr>
    </w:tbl>
    <w:p w14:paraId="556A237C" w14:textId="41724180" w:rsidR="00304120" w:rsidRPr="00304120" w:rsidRDefault="00304120" w:rsidP="00304120">
      <w:pPr>
        <w:rPr>
          <w:lang w:eastAsia="bg-BG"/>
        </w:rPr>
      </w:pPr>
      <w:r w:rsidRPr="00304120">
        <w:rPr>
          <w:lang w:val="ru-RU" w:eastAsia="bg-BG"/>
        </w:rPr>
        <w:t>&amp;</w:t>
      </w:r>
      <w:r w:rsidRPr="00304120">
        <w:rPr>
          <w:lang w:eastAsia="bg-BG"/>
        </w:rPr>
        <w:t>Представя съотношение между различните терапии (едновременно прилаган лекарствен продукт с аторвастатин срещу аторвастатин прилаган самостоятелно)</w:t>
      </w:r>
    </w:p>
    <w:p w14:paraId="1ECCCD7B" w14:textId="5747A749" w:rsidR="00C86F93" w:rsidRDefault="00304120" w:rsidP="00304120">
      <w:pPr>
        <w:rPr>
          <w:lang w:eastAsia="bg-BG"/>
        </w:rPr>
      </w:pPr>
      <w:r w:rsidRPr="00304120">
        <w:rPr>
          <w:lang w:eastAsia="bg-BG"/>
        </w:rPr>
        <w:t>*Едновременното приложение на многократни дози аторвастатин и феназон показват малки или недоловими ефекти при клирънса на феназон.</w:t>
      </w:r>
    </w:p>
    <w:p w14:paraId="72E988E9" w14:textId="77777777" w:rsidR="00304120" w:rsidRPr="00F703B9" w:rsidRDefault="00304120" w:rsidP="00304120">
      <w:pPr>
        <w:rPr>
          <w:rFonts w:cs="Arial"/>
          <w:sz w:val="24"/>
        </w:rPr>
      </w:pPr>
    </w:p>
    <w:p w14:paraId="5D9F40EA" w14:textId="04365A58" w:rsidR="007122AD" w:rsidRDefault="002C50EE" w:rsidP="00936AD0">
      <w:pPr>
        <w:pStyle w:val="Heading2"/>
      </w:pPr>
      <w:r>
        <w:t>4.6. Фертилитет, бременност и кърмене</w:t>
      </w:r>
    </w:p>
    <w:p w14:paraId="343493A6" w14:textId="60110B30" w:rsidR="00304120" w:rsidRDefault="00304120" w:rsidP="00304120"/>
    <w:p w14:paraId="5D9004B2"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u w:val="single"/>
          <w:lang w:eastAsia="bg-BG"/>
        </w:rPr>
        <w:t>Жени в репродуктивна възраст</w:t>
      </w:r>
    </w:p>
    <w:p w14:paraId="79111314"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Жени в репродуктивна възраст трябва да използват ефективни контрацептивни средства по време на лечението (вижте раздел 4.3).</w:t>
      </w:r>
    </w:p>
    <w:p w14:paraId="7AE1303D" w14:textId="77777777" w:rsidR="00304120" w:rsidRPr="00304120" w:rsidRDefault="00304120" w:rsidP="00304120">
      <w:pPr>
        <w:spacing w:line="240" w:lineRule="auto"/>
        <w:rPr>
          <w:rFonts w:eastAsia="Times New Roman" w:cs="Arial"/>
          <w:color w:val="000000"/>
          <w:szCs w:val="20"/>
          <w:u w:val="single"/>
          <w:lang w:eastAsia="bg-BG"/>
        </w:rPr>
      </w:pPr>
    </w:p>
    <w:p w14:paraId="1F15CE1E" w14:textId="3856F426" w:rsidR="00304120" w:rsidRPr="00304120" w:rsidRDefault="00304120" w:rsidP="00304120">
      <w:pPr>
        <w:pStyle w:val="Heading3"/>
        <w:rPr>
          <w:rFonts w:eastAsia="Times New Roman"/>
          <w:sz w:val="28"/>
          <w:u w:val="single"/>
        </w:rPr>
      </w:pPr>
      <w:r w:rsidRPr="00304120">
        <w:rPr>
          <w:rFonts w:eastAsia="Times New Roman"/>
          <w:u w:val="single"/>
          <w:lang w:eastAsia="bg-BG"/>
        </w:rPr>
        <w:t>Бременност</w:t>
      </w:r>
    </w:p>
    <w:p w14:paraId="22912573"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 xml:space="preserve">Арагиле противопоказан по време на бременност (вижте раздел 4.3). Не е установена безопасността при бременни жени. Не са провеждани контролирани клинични проучвания при бременни жени. Рядко се получавани доклади за вродени аномалии след експозиция с инхибитори на </w:t>
      </w:r>
      <w:r w:rsidRPr="00304120">
        <w:rPr>
          <w:rFonts w:eastAsia="Times New Roman" w:cs="Arial"/>
          <w:color w:val="000000"/>
          <w:szCs w:val="20"/>
          <w:lang w:val="en-US"/>
        </w:rPr>
        <w:t>HMG</w:t>
      </w:r>
      <w:r w:rsidRPr="00304120">
        <w:rPr>
          <w:rFonts w:eastAsia="Times New Roman" w:cs="Arial"/>
          <w:color w:val="000000"/>
          <w:szCs w:val="20"/>
          <w:lang w:val="ru-RU"/>
        </w:rPr>
        <w:t>-</w:t>
      </w:r>
      <w:r w:rsidRPr="00304120">
        <w:rPr>
          <w:rFonts w:eastAsia="Times New Roman" w:cs="Arial"/>
          <w:color w:val="000000"/>
          <w:szCs w:val="20"/>
          <w:lang w:val="en-US"/>
        </w:rPr>
        <w:t>CoA</w:t>
      </w:r>
      <w:r w:rsidRPr="00304120">
        <w:rPr>
          <w:rFonts w:eastAsia="Times New Roman" w:cs="Arial"/>
          <w:color w:val="000000"/>
          <w:szCs w:val="20"/>
          <w:lang w:val="ru-RU"/>
        </w:rPr>
        <w:t xml:space="preserve"> </w:t>
      </w:r>
      <w:r w:rsidRPr="00304120">
        <w:rPr>
          <w:rFonts w:eastAsia="Times New Roman" w:cs="Arial"/>
          <w:color w:val="000000"/>
          <w:szCs w:val="20"/>
          <w:lang w:eastAsia="bg-BG"/>
        </w:rPr>
        <w:t>редуктазата. Проучванията с животни показват репродуктивна токсичност (вижте раздел 5.3).</w:t>
      </w:r>
    </w:p>
    <w:p w14:paraId="35566A5F"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Лечението на майката с аторвастатин може доведе до понижаване на нивата на мевалонат на плода, който е прекурсор на биосинтезата на холестерол. Атеросклерозата е хроничен процес и прекъсването на лечението с липидопонижаващо средство по време на бременност обикновено може да окаже малко влияние върху риска, свързан с първичната хиперхолестеролемия дългосрочен план.</w:t>
      </w:r>
    </w:p>
    <w:p w14:paraId="15CF9343" w14:textId="77777777" w:rsidR="00304120" w:rsidRPr="00304120" w:rsidRDefault="00304120" w:rsidP="00304120">
      <w:pPr>
        <w:rPr>
          <w:rFonts w:eastAsia="Times New Roman" w:cs="Arial"/>
          <w:sz w:val="28"/>
          <w:szCs w:val="24"/>
        </w:rPr>
      </w:pPr>
      <w:r w:rsidRPr="00304120">
        <w:rPr>
          <w:rFonts w:eastAsia="Times New Roman" w:cs="Arial"/>
          <w:color w:val="000000"/>
          <w:szCs w:val="20"/>
          <w:lang w:eastAsia="bg-BG"/>
        </w:rPr>
        <w:t>Поради тези причини Арагилне трябва да се прилага при бременни жени, женикоито се</w:t>
      </w:r>
      <w:r w:rsidRPr="00304120">
        <w:rPr>
          <w:rFonts w:eastAsia="Times New Roman" w:cs="Arial"/>
          <w:i/>
          <w:iCs/>
          <w:color w:val="000000"/>
          <w:szCs w:val="20"/>
          <w:lang w:eastAsia="bg-BG"/>
        </w:rPr>
        <w:t xml:space="preserve"> </w:t>
      </w:r>
      <w:r w:rsidRPr="00304120">
        <w:rPr>
          <w:rFonts w:eastAsia="Times New Roman" w:cs="Arial"/>
          <w:color w:val="000000"/>
          <w:szCs w:val="20"/>
          <w:lang w:eastAsia="bg-BG"/>
        </w:rPr>
        <w:t>опитват да забременеят или подозират, че са бременни. Лечението с Арагилтрябва да бъде</w:t>
      </w:r>
      <w:r w:rsidRPr="00304120">
        <w:rPr>
          <w:rFonts w:eastAsia="Times New Roman" w:cs="Arial"/>
          <w:color w:val="000000"/>
          <w:szCs w:val="20"/>
          <w:lang w:val="ru-RU" w:eastAsia="bg-BG"/>
        </w:rPr>
        <w:t xml:space="preserve"> </w:t>
      </w:r>
      <w:r w:rsidRPr="00304120">
        <w:rPr>
          <w:rFonts w:eastAsia="Times New Roman" w:cs="Arial"/>
          <w:color w:val="000000"/>
          <w:szCs w:val="20"/>
          <w:lang w:eastAsia="bg-BG"/>
        </w:rPr>
        <w:t>спряно по време на периода на бременност или докато се установи, че жената не е бременна (вижте раздел 43).</w:t>
      </w:r>
    </w:p>
    <w:p w14:paraId="7E6B86CC" w14:textId="77777777" w:rsidR="00304120" w:rsidRPr="00304120" w:rsidRDefault="00304120" w:rsidP="00304120">
      <w:pPr>
        <w:spacing w:line="240" w:lineRule="auto"/>
        <w:rPr>
          <w:rFonts w:eastAsia="Times New Roman" w:cs="Arial"/>
          <w:color w:val="000000"/>
          <w:szCs w:val="20"/>
          <w:u w:val="single"/>
          <w:lang w:eastAsia="bg-BG"/>
        </w:rPr>
      </w:pPr>
    </w:p>
    <w:p w14:paraId="57511E39" w14:textId="62B96BDA" w:rsidR="00304120" w:rsidRPr="00304120" w:rsidRDefault="00304120" w:rsidP="00304120">
      <w:pPr>
        <w:pStyle w:val="Heading3"/>
        <w:rPr>
          <w:rFonts w:eastAsia="Times New Roman"/>
          <w:sz w:val="28"/>
          <w:u w:val="single"/>
        </w:rPr>
      </w:pPr>
      <w:r w:rsidRPr="00304120">
        <w:rPr>
          <w:rFonts w:eastAsia="Times New Roman"/>
          <w:u w:val="single"/>
          <w:lang w:eastAsia="bg-BG"/>
        </w:rPr>
        <w:t>Кърмене:</w:t>
      </w:r>
    </w:p>
    <w:p w14:paraId="5E0142FA"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Не е известно дали аторвастатин или неговите метаболити се екскретират в кърмата. При плъхове, плазмените концентрации на аторвастатин и активните му метаболити са подобни на тези в човешкото мляко (вижте раздел 5.3). Поради вероятност за сериозни нежелани реакции, жените, които приемат Арагилне трябва да кърмят своите бебета (вижте раздел 43).Аторвастатин е противопоказан по време на кърмене (вижте раздел 43).</w:t>
      </w:r>
    </w:p>
    <w:p w14:paraId="1057AA5C" w14:textId="77777777" w:rsidR="00304120" w:rsidRPr="00304120" w:rsidRDefault="00304120" w:rsidP="00304120">
      <w:pPr>
        <w:spacing w:line="240" w:lineRule="auto"/>
        <w:rPr>
          <w:rFonts w:eastAsia="Times New Roman" w:cs="Arial"/>
          <w:color w:val="000000"/>
          <w:szCs w:val="20"/>
          <w:u w:val="single"/>
          <w:lang w:eastAsia="bg-BG"/>
        </w:rPr>
      </w:pPr>
    </w:p>
    <w:p w14:paraId="71735B97" w14:textId="7E1F42EE" w:rsidR="00304120" w:rsidRPr="00304120" w:rsidRDefault="00304120" w:rsidP="00304120">
      <w:pPr>
        <w:pStyle w:val="Heading3"/>
        <w:rPr>
          <w:rFonts w:eastAsia="Times New Roman"/>
          <w:sz w:val="28"/>
          <w:u w:val="single"/>
        </w:rPr>
      </w:pPr>
      <w:r w:rsidRPr="00304120">
        <w:rPr>
          <w:rFonts w:eastAsia="Times New Roman"/>
          <w:u w:val="single"/>
          <w:lang w:eastAsia="bg-BG"/>
        </w:rPr>
        <w:lastRenderedPageBreak/>
        <w:t>Фертилитет</w:t>
      </w:r>
    </w:p>
    <w:p w14:paraId="718DA9D6" w14:textId="77777777" w:rsidR="00304120" w:rsidRPr="00304120" w:rsidRDefault="00304120" w:rsidP="00304120">
      <w:pPr>
        <w:spacing w:line="240" w:lineRule="auto"/>
        <w:rPr>
          <w:rFonts w:eastAsia="Times New Roman" w:cs="Arial"/>
          <w:sz w:val="28"/>
          <w:szCs w:val="24"/>
        </w:rPr>
      </w:pPr>
      <w:r w:rsidRPr="00304120">
        <w:rPr>
          <w:rFonts w:eastAsia="Times New Roman" w:cs="Arial"/>
          <w:color w:val="000000"/>
          <w:szCs w:val="20"/>
          <w:lang w:eastAsia="bg-BG"/>
        </w:rPr>
        <w:t>Според проучванията при животни аторвастатин няма влияние жърху мъжкия и женския фертилитет (вижте раздел 53).</w:t>
      </w:r>
    </w:p>
    <w:p w14:paraId="08E72002" w14:textId="2C049D95" w:rsidR="00304120" w:rsidRPr="00304120" w:rsidRDefault="00304120" w:rsidP="00304120"/>
    <w:p w14:paraId="5DD7A76D" w14:textId="39947C39" w:rsidR="007122AD" w:rsidRDefault="002C50EE" w:rsidP="00936AD0">
      <w:pPr>
        <w:pStyle w:val="Heading2"/>
      </w:pPr>
      <w:r>
        <w:t>4.7. Ефекти върху способността за шофиране и работа с машини</w:t>
      </w:r>
    </w:p>
    <w:p w14:paraId="106E63BD" w14:textId="75F4F2A5" w:rsidR="00304120" w:rsidRDefault="00304120" w:rsidP="00304120"/>
    <w:p w14:paraId="510D8B7E" w14:textId="42216C50" w:rsidR="00304120" w:rsidRDefault="00304120" w:rsidP="00304120">
      <w:r>
        <w:t>Аторвастатин повлиява незначително способността за шофиране и работа с машини.</w:t>
      </w:r>
    </w:p>
    <w:p w14:paraId="1745232A" w14:textId="77777777" w:rsidR="00304120" w:rsidRPr="00304120" w:rsidRDefault="00304120" w:rsidP="00304120"/>
    <w:p w14:paraId="44CE30A3" w14:textId="5262BD86" w:rsidR="007122AD" w:rsidRDefault="002C50EE" w:rsidP="00936AD0">
      <w:pPr>
        <w:pStyle w:val="Heading2"/>
      </w:pPr>
      <w:r>
        <w:t>4.8. Нежелани лекарствени реакции</w:t>
      </w:r>
    </w:p>
    <w:p w14:paraId="310DB185" w14:textId="75600E1C" w:rsidR="00304120" w:rsidRDefault="00304120" w:rsidP="00304120"/>
    <w:p w14:paraId="4B368335"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В базата данни на плацебо контролирано клинично проучване от 16 066 пациенти (8755 на Липитор срещу 7311 плацебо), лекувани средно за период от 53 седмици, 5,2% от пациентите на аторвастатин са прекратили лечението заради нежелани реакции, в сравнение с 4 % на плацебо.</w:t>
      </w:r>
    </w:p>
    <w:p w14:paraId="0554544F"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Въз основа на клинични проучвания и голям пост маркетингов опит, таблицата по долу представя профила на нежеланите лекарствени реакции на Аторвастатин АЛ.</w:t>
      </w:r>
    </w:p>
    <w:p w14:paraId="6594DFE6" w14:textId="77777777" w:rsidR="00304120" w:rsidRPr="00200DF5" w:rsidRDefault="00304120" w:rsidP="00304120">
      <w:pPr>
        <w:spacing w:line="240" w:lineRule="auto"/>
        <w:rPr>
          <w:rFonts w:eastAsia="Times New Roman" w:cs="Arial"/>
          <w:color w:val="000000"/>
          <w:lang w:eastAsia="bg-BG"/>
        </w:rPr>
      </w:pPr>
    </w:p>
    <w:p w14:paraId="0F331C31" w14:textId="7DB360C8"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Нежеланите реакции се групират по честота както следва: чести (≥1/100 до &lt;1/10); нечести (≥1/1000 до &lt;1/100); редки (≥1/10 000 до &lt;1/1000); много редки (&lt;1/10 000).</w:t>
      </w:r>
    </w:p>
    <w:p w14:paraId="7A76B65B" w14:textId="77777777" w:rsidR="00304120" w:rsidRPr="00200DF5" w:rsidRDefault="00304120" w:rsidP="00304120">
      <w:pPr>
        <w:spacing w:line="240" w:lineRule="auto"/>
        <w:rPr>
          <w:rFonts w:eastAsia="Times New Roman" w:cs="Arial"/>
          <w:i/>
          <w:iCs/>
          <w:color w:val="000000"/>
          <w:lang w:eastAsia="bg-BG"/>
        </w:rPr>
      </w:pPr>
    </w:p>
    <w:p w14:paraId="36CD2DD6" w14:textId="754BDD53"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Инфекции и инфестации</w:t>
      </w:r>
    </w:p>
    <w:p w14:paraId="786440C2"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назофарингит</w:t>
      </w:r>
    </w:p>
    <w:p w14:paraId="7ACB98A4" w14:textId="77777777" w:rsidR="00304120" w:rsidRPr="00200DF5" w:rsidRDefault="00304120" w:rsidP="00304120">
      <w:pPr>
        <w:spacing w:line="240" w:lineRule="auto"/>
        <w:rPr>
          <w:rFonts w:eastAsia="Times New Roman" w:cs="Arial"/>
          <w:i/>
          <w:iCs/>
          <w:color w:val="000000"/>
          <w:lang w:eastAsia="bg-BG"/>
        </w:rPr>
      </w:pPr>
    </w:p>
    <w:p w14:paraId="39154066" w14:textId="373EAEFB"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кръвта и лимфната система</w:t>
      </w:r>
    </w:p>
    <w:p w14:paraId="7F544E82"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тромбоцитопения</w:t>
      </w:r>
    </w:p>
    <w:p w14:paraId="2926527A" w14:textId="77777777" w:rsidR="00304120" w:rsidRPr="00200DF5" w:rsidRDefault="00304120" w:rsidP="00304120">
      <w:pPr>
        <w:spacing w:line="240" w:lineRule="auto"/>
        <w:rPr>
          <w:rFonts w:eastAsia="Times New Roman" w:cs="Arial"/>
          <w:i/>
          <w:iCs/>
          <w:color w:val="000000"/>
          <w:lang w:eastAsia="bg-BG"/>
        </w:rPr>
      </w:pPr>
    </w:p>
    <w:p w14:paraId="6054E00A" w14:textId="6FABB407"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имунната система</w:t>
      </w:r>
    </w:p>
    <w:p w14:paraId="3323C19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алергични реакции</w:t>
      </w:r>
    </w:p>
    <w:p w14:paraId="7DC59AA9"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Много редки: анафилаксия</w:t>
      </w:r>
    </w:p>
    <w:p w14:paraId="58A4D9E1" w14:textId="77777777" w:rsidR="00304120" w:rsidRPr="00200DF5" w:rsidRDefault="00304120" w:rsidP="00304120">
      <w:pPr>
        <w:spacing w:line="240" w:lineRule="auto"/>
        <w:rPr>
          <w:rFonts w:eastAsia="Times New Roman" w:cs="Arial"/>
          <w:i/>
          <w:iCs/>
          <w:color w:val="000000"/>
          <w:lang w:eastAsia="bg-BG"/>
        </w:rPr>
      </w:pPr>
    </w:p>
    <w:p w14:paraId="20CB2E12" w14:textId="3E36D562"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метаболизма и храненето</w:t>
      </w:r>
    </w:p>
    <w:p w14:paraId="2DB338F0"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хипергликемия</w:t>
      </w:r>
    </w:p>
    <w:p w14:paraId="4F9C2534"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хипогликемия, наддаване на тегло, анорексия</w:t>
      </w:r>
    </w:p>
    <w:p w14:paraId="1CEBA2C3" w14:textId="77777777" w:rsidR="00304120" w:rsidRPr="00200DF5" w:rsidRDefault="00304120" w:rsidP="00304120">
      <w:pPr>
        <w:spacing w:line="240" w:lineRule="auto"/>
        <w:rPr>
          <w:rFonts w:eastAsia="Times New Roman" w:cs="Arial"/>
          <w:i/>
          <w:iCs/>
          <w:color w:val="000000"/>
          <w:lang w:eastAsia="bg-BG"/>
        </w:rPr>
      </w:pPr>
    </w:p>
    <w:p w14:paraId="344C29D0" w14:textId="47477F4E"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Психични нарушения</w:t>
      </w:r>
    </w:p>
    <w:p w14:paraId="68ECD5F2"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кошмари, безсъние</w:t>
      </w:r>
    </w:p>
    <w:p w14:paraId="3F113F67" w14:textId="77777777" w:rsidR="00304120" w:rsidRPr="00200DF5" w:rsidRDefault="00304120" w:rsidP="00304120">
      <w:pPr>
        <w:spacing w:line="240" w:lineRule="auto"/>
        <w:rPr>
          <w:rFonts w:eastAsia="Times New Roman" w:cs="Arial"/>
          <w:i/>
          <w:iCs/>
          <w:color w:val="000000"/>
          <w:lang w:eastAsia="bg-BG"/>
        </w:rPr>
      </w:pPr>
    </w:p>
    <w:p w14:paraId="60D88665" w14:textId="16CFDB00"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нервната система</w:t>
      </w:r>
    </w:p>
    <w:p w14:paraId="6DA8B697"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Чести: главоболие</w:t>
      </w:r>
    </w:p>
    <w:p w14:paraId="7C71C04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замаяност, парестезия, хипостезия, дисгезия, амнезия</w:t>
      </w:r>
    </w:p>
    <w:p w14:paraId="32E9722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Редки: периферна невропатия</w:t>
      </w:r>
    </w:p>
    <w:p w14:paraId="6A34DB25" w14:textId="77777777" w:rsidR="00304120" w:rsidRPr="00200DF5" w:rsidRDefault="00304120" w:rsidP="00304120">
      <w:pPr>
        <w:spacing w:line="240" w:lineRule="auto"/>
        <w:rPr>
          <w:rFonts w:eastAsia="Times New Roman" w:cs="Arial"/>
          <w:i/>
          <w:iCs/>
          <w:color w:val="000000"/>
          <w:lang w:eastAsia="bg-BG"/>
        </w:rPr>
      </w:pPr>
    </w:p>
    <w:p w14:paraId="40CC20D9" w14:textId="13BA394C"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очите</w:t>
      </w:r>
    </w:p>
    <w:p w14:paraId="7214FBE5"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Нечести: замъглено виждане</w:t>
      </w:r>
    </w:p>
    <w:p w14:paraId="2A1082F1" w14:textId="77777777" w:rsidR="00304120" w:rsidRPr="00304120" w:rsidRDefault="00304120" w:rsidP="00304120">
      <w:pPr>
        <w:spacing w:line="240" w:lineRule="auto"/>
        <w:rPr>
          <w:rFonts w:eastAsia="Times New Roman" w:cs="Arial"/>
        </w:rPr>
      </w:pPr>
      <w:r w:rsidRPr="00304120">
        <w:rPr>
          <w:rFonts w:eastAsia="Times New Roman" w:cs="Arial"/>
          <w:color w:val="000000"/>
          <w:lang w:eastAsia="bg-BG"/>
        </w:rPr>
        <w:t>Редки: нарушено виждане</w:t>
      </w:r>
    </w:p>
    <w:p w14:paraId="7BA82C2B" w14:textId="77777777" w:rsidR="00304120" w:rsidRPr="00200DF5" w:rsidRDefault="00304120" w:rsidP="00304120">
      <w:pPr>
        <w:spacing w:line="240" w:lineRule="auto"/>
        <w:rPr>
          <w:rFonts w:eastAsia="Times New Roman" w:cs="Arial"/>
          <w:i/>
          <w:iCs/>
          <w:color w:val="000000"/>
          <w:lang w:eastAsia="bg-BG"/>
        </w:rPr>
      </w:pPr>
    </w:p>
    <w:p w14:paraId="567C300A" w14:textId="08C7FFAC" w:rsidR="00304120" w:rsidRPr="00304120" w:rsidRDefault="00304120" w:rsidP="00304120">
      <w:pPr>
        <w:spacing w:line="240" w:lineRule="auto"/>
        <w:rPr>
          <w:rFonts w:eastAsia="Times New Roman" w:cs="Arial"/>
        </w:rPr>
      </w:pPr>
      <w:r w:rsidRPr="00304120">
        <w:rPr>
          <w:rFonts w:eastAsia="Times New Roman" w:cs="Arial"/>
          <w:i/>
          <w:iCs/>
          <w:color w:val="000000"/>
          <w:lang w:eastAsia="bg-BG"/>
        </w:rPr>
        <w:t>Нарушения на ухото и лабиринта</w:t>
      </w:r>
    </w:p>
    <w:p w14:paraId="343C196A"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тинитус</w:t>
      </w:r>
    </w:p>
    <w:p w14:paraId="00A7D9AB"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загуба на слух</w:t>
      </w:r>
    </w:p>
    <w:p w14:paraId="573965A7" w14:textId="77777777" w:rsidR="00200DF5" w:rsidRPr="00200DF5" w:rsidRDefault="00200DF5" w:rsidP="00200DF5">
      <w:pPr>
        <w:spacing w:line="240" w:lineRule="auto"/>
        <w:rPr>
          <w:rFonts w:eastAsia="Times New Roman" w:cs="Arial"/>
          <w:i/>
          <w:iCs/>
          <w:color w:val="000000"/>
          <w:lang w:eastAsia="bg-BG"/>
        </w:rPr>
      </w:pPr>
    </w:p>
    <w:p w14:paraId="425626A6" w14:textId="519188C9"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Респираторни, гръдни и медиастинални нарушения</w:t>
      </w:r>
    </w:p>
    <w:p w14:paraId="7E158A9D"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фаринголарингеална болка, епитаксис</w:t>
      </w:r>
    </w:p>
    <w:p w14:paraId="50227E9C" w14:textId="77777777" w:rsidR="00200DF5" w:rsidRPr="00200DF5" w:rsidRDefault="00200DF5" w:rsidP="00200DF5">
      <w:pPr>
        <w:spacing w:line="240" w:lineRule="auto"/>
        <w:rPr>
          <w:rFonts w:eastAsia="Times New Roman" w:cs="Arial"/>
          <w:i/>
          <w:iCs/>
          <w:color w:val="000000"/>
          <w:lang w:eastAsia="bg-BG"/>
        </w:rPr>
      </w:pPr>
    </w:p>
    <w:p w14:paraId="1B73AC50" w14:textId="4FFDA151"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Стомашно-чревни нарушения</w:t>
      </w:r>
    </w:p>
    <w:p w14:paraId="3FA63588"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констипация, флатуленция, диспепсия, гадене, диария</w:t>
      </w:r>
    </w:p>
    <w:p w14:paraId="66606C49"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повръщане, абдоминална болка в горната и долна част, уригване, панкреатит</w:t>
      </w:r>
    </w:p>
    <w:p w14:paraId="3DDABDEC" w14:textId="77777777" w:rsidR="00200DF5" w:rsidRPr="00200DF5" w:rsidRDefault="00200DF5" w:rsidP="00200DF5">
      <w:pPr>
        <w:spacing w:line="240" w:lineRule="auto"/>
        <w:rPr>
          <w:rFonts w:eastAsia="Times New Roman" w:cs="Arial"/>
          <w:i/>
          <w:iCs/>
          <w:color w:val="000000"/>
          <w:lang w:eastAsia="bg-BG"/>
        </w:rPr>
      </w:pPr>
    </w:p>
    <w:p w14:paraId="1C270A1C" w14:textId="56600CDF"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Хепато билиарни нарушения</w:t>
      </w:r>
    </w:p>
    <w:p w14:paraId="20BB82A1"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Хепатит</w:t>
      </w:r>
    </w:p>
    <w:p w14:paraId="548F25A4"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Редки: Холестаза</w:t>
      </w:r>
    </w:p>
    <w:p w14:paraId="12A3E58A"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чернодробна недостатъчност</w:t>
      </w:r>
    </w:p>
    <w:p w14:paraId="369C479E" w14:textId="77777777" w:rsidR="00200DF5" w:rsidRPr="00200DF5" w:rsidRDefault="00200DF5" w:rsidP="00200DF5">
      <w:pPr>
        <w:spacing w:line="240" w:lineRule="auto"/>
        <w:rPr>
          <w:rFonts w:eastAsia="Times New Roman" w:cs="Arial"/>
          <w:i/>
          <w:iCs/>
          <w:color w:val="000000"/>
          <w:lang w:eastAsia="bg-BG"/>
        </w:rPr>
      </w:pPr>
    </w:p>
    <w:p w14:paraId="34A99442" w14:textId="0BB4EAB1"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Нарушения на кожата и подкожната тъкан</w:t>
      </w:r>
    </w:p>
    <w:p w14:paraId="68A9797F"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уртикария,обрив, пруритус, алопеция</w:t>
      </w:r>
    </w:p>
    <w:p w14:paraId="48A6EEF4"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Редки: ангионевротичен едем, булозен дерматит, включително еритема мултифор, синдром на </w:t>
      </w:r>
      <w:r w:rsidRPr="00200DF5">
        <w:rPr>
          <w:rFonts w:eastAsia="Times New Roman" w:cs="Arial"/>
          <w:color w:val="000000"/>
          <w:lang w:val="en-US"/>
        </w:rPr>
        <w:t>Steven</w:t>
      </w:r>
      <w:r w:rsidRPr="00200DF5">
        <w:rPr>
          <w:rFonts w:eastAsia="Times New Roman" w:cs="Arial"/>
          <w:color w:val="000000"/>
          <w:lang w:val="ru-RU"/>
        </w:rPr>
        <w:t>-</w:t>
      </w:r>
      <w:r w:rsidRPr="00200DF5">
        <w:rPr>
          <w:rFonts w:eastAsia="Times New Roman" w:cs="Arial"/>
          <w:color w:val="000000"/>
          <w:lang w:val="en-US"/>
        </w:rPr>
        <w:t>Johnson</w:t>
      </w:r>
      <w:r w:rsidRPr="00200DF5">
        <w:rPr>
          <w:rFonts w:eastAsia="Times New Roman" w:cs="Arial"/>
          <w:color w:val="000000"/>
          <w:lang w:val="ru-RU"/>
        </w:rPr>
        <w:t xml:space="preserve"> </w:t>
      </w:r>
      <w:r w:rsidRPr="00200DF5">
        <w:rPr>
          <w:rFonts w:eastAsia="Times New Roman" w:cs="Arial"/>
          <w:color w:val="000000"/>
          <w:lang w:eastAsia="bg-BG"/>
        </w:rPr>
        <w:t>и токсична епидермална некролиза.</w:t>
      </w:r>
    </w:p>
    <w:p w14:paraId="1A8FC1D9" w14:textId="77777777" w:rsidR="00200DF5" w:rsidRPr="00200DF5" w:rsidRDefault="00200DF5" w:rsidP="00200DF5">
      <w:pPr>
        <w:spacing w:line="240" w:lineRule="auto"/>
        <w:rPr>
          <w:rFonts w:eastAsia="Times New Roman" w:cs="Arial"/>
          <w:i/>
          <w:iCs/>
          <w:color w:val="000000"/>
          <w:lang w:eastAsia="bg-BG"/>
        </w:rPr>
      </w:pPr>
    </w:p>
    <w:p w14:paraId="4729DD1C" w14:textId="24743E89"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Мускулоскелетни и съедшштелно-тъканни нарушения</w:t>
      </w:r>
    </w:p>
    <w:p w14:paraId="2C14462D"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миалгия, артралгия, болка в крайниците, мускулни спазми, подуване на ставите, болка в гърба</w:t>
      </w:r>
    </w:p>
    <w:p w14:paraId="20D4FF5F"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болка във врата, мускулна умора</w:t>
      </w:r>
    </w:p>
    <w:p w14:paraId="26559CE1"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Редки: миопатия, миозит, рабдомиолиза, мускулна руптура, тендопатия, понякога с усложнение-руптура.</w:t>
      </w:r>
    </w:p>
    <w:p w14:paraId="3D703483"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лупус-подобен синдром.</w:t>
      </w:r>
    </w:p>
    <w:p w14:paraId="149B5817"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С неизвестна честота: Имуномедиирана некротизираща миопатия (вж. точка 4.4)</w:t>
      </w:r>
    </w:p>
    <w:p w14:paraId="2D931977" w14:textId="77777777" w:rsidR="00200DF5" w:rsidRPr="00200DF5" w:rsidRDefault="00200DF5" w:rsidP="00200DF5">
      <w:pPr>
        <w:spacing w:line="240" w:lineRule="auto"/>
        <w:rPr>
          <w:rFonts w:eastAsia="Times New Roman" w:cs="Arial"/>
          <w:i/>
          <w:iCs/>
          <w:color w:val="000000"/>
          <w:lang w:eastAsia="bg-BG"/>
        </w:rPr>
      </w:pPr>
    </w:p>
    <w:p w14:paraId="268F1D4F" w14:textId="180C5E87"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Нарушения на възпроизводителната система и гърдата</w:t>
      </w:r>
    </w:p>
    <w:p w14:paraId="5B6426F4"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Много редки: гинекомастия</w:t>
      </w:r>
    </w:p>
    <w:p w14:paraId="0343F882" w14:textId="77777777" w:rsidR="00200DF5" w:rsidRPr="00200DF5" w:rsidRDefault="00200DF5" w:rsidP="00200DF5">
      <w:pPr>
        <w:spacing w:line="240" w:lineRule="auto"/>
        <w:rPr>
          <w:rFonts w:eastAsia="Times New Roman" w:cs="Arial"/>
          <w:i/>
          <w:iCs/>
          <w:color w:val="000000"/>
          <w:lang w:eastAsia="bg-BG"/>
        </w:rPr>
      </w:pPr>
    </w:p>
    <w:p w14:paraId="2C3754E1" w14:textId="216037A8"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Общи нарушения и ефекти на мястото на приложение</w:t>
      </w:r>
    </w:p>
    <w:p w14:paraId="61C00757"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неразположение, астения, болка в гърдите, периферен едем, умора, пирексия</w:t>
      </w:r>
    </w:p>
    <w:p w14:paraId="0AD82716" w14:textId="77777777" w:rsidR="00200DF5" w:rsidRPr="00200DF5" w:rsidRDefault="00200DF5" w:rsidP="00200DF5">
      <w:pPr>
        <w:spacing w:line="240" w:lineRule="auto"/>
        <w:rPr>
          <w:rFonts w:eastAsia="Times New Roman" w:cs="Arial"/>
          <w:i/>
          <w:iCs/>
          <w:color w:val="000000"/>
          <w:lang w:eastAsia="bg-BG"/>
        </w:rPr>
      </w:pPr>
    </w:p>
    <w:p w14:paraId="1EE67903" w14:textId="7F44BB73" w:rsidR="00200DF5" w:rsidRPr="00200DF5" w:rsidRDefault="00200DF5" w:rsidP="00200DF5">
      <w:pPr>
        <w:spacing w:line="240" w:lineRule="auto"/>
        <w:rPr>
          <w:rFonts w:eastAsia="Times New Roman" w:cs="Arial"/>
        </w:rPr>
      </w:pPr>
      <w:r w:rsidRPr="00200DF5">
        <w:rPr>
          <w:rFonts w:eastAsia="Times New Roman" w:cs="Arial"/>
          <w:i/>
          <w:iCs/>
          <w:color w:val="000000"/>
          <w:lang w:eastAsia="bg-BG"/>
        </w:rPr>
        <w:t>Изследвания</w:t>
      </w:r>
    </w:p>
    <w:p w14:paraId="0ABD2ADB"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Чести: отклонения в показателите на чернодробната функция, повишени нива на креатин киназа в кръвта</w:t>
      </w:r>
    </w:p>
    <w:p w14:paraId="1621C0F8" w14:textId="77777777" w:rsidR="00200DF5" w:rsidRPr="00200DF5" w:rsidRDefault="00200DF5" w:rsidP="00200DF5">
      <w:pPr>
        <w:spacing w:line="240" w:lineRule="auto"/>
        <w:rPr>
          <w:rFonts w:eastAsia="Times New Roman" w:cs="Arial"/>
        </w:rPr>
      </w:pPr>
      <w:r w:rsidRPr="00200DF5">
        <w:rPr>
          <w:rFonts w:eastAsia="Times New Roman" w:cs="Arial"/>
          <w:color w:val="000000"/>
          <w:lang w:eastAsia="bg-BG"/>
        </w:rPr>
        <w:t>Нечести: наличие на бели кръвни клетки в урината</w:t>
      </w:r>
    </w:p>
    <w:p w14:paraId="039AF3A3" w14:textId="77777777" w:rsidR="00200DF5" w:rsidRPr="00200DF5" w:rsidRDefault="00200DF5" w:rsidP="00200DF5">
      <w:pPr>
        <w:spacing w:line="240" w:lineRule="auto"/>
        <w:rPr>
          <w:rFonts w:eastAsia="Times New Roman" w:cs="Arial"/>
          <w:color w:val="000000"/>
          <w:lang w:eastAsia="bg-BG"/>
        </w:rPr>
      </w:pPr>
    </w:p>
    <w:p w14:paraId="27F4A06B" w14:textId="61A149D9"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При пациенти, които приемат аторвастатин, както и при други инхибитори на </w:t>
      </w:r>
      <w:r w:rsidRPr="00200DF5">
        <w:rPr>
          <w:rFonts w:eastAsia="Times New Roman" w:cs="Arial"/>
          <w:color w:val="000000"/>
          <w:lang w:val="en-US"/>
        </w:rPr>
        <w:t>HMG</w:t>
      </w:r>
      <w:r w:rsidRPr="00200DF5">
        <w:rPr>
          <w:rFonts w:eastAsia="Times New Roman" w:cs="Arial"/>
          <w:color w:val="000000"/>
          <w:lang w:val="ru-RU"/>
        </w:rPr>
        <w:t>-</w:t>
      </w:r>
      <w:r w:rsidRPr="00200DF5">
        <w:rPr>
          <w:rFonts w:eastAsia="Times New Roman" w:cs="Arial"/>
          <w:color w:val="000000"/>
          <w:lang w:val="en-US"/>
        </w:rPr>
        <w:t>CoA</w:t>
      </w:r>
      <w:r w:rsidRPr="00200DF5">
        <w:rPr>
          <w:rFonts w:eastAsia="Times New Roman" w:cs="Arial"/>
          <w:color w:val="000000"/>
          <w:lang w:val="ru-RU"/>
        </w:rPr>
        <w:t xml:space="preserve"> </w:t>
      </w:r>
      <w:r w:rsidRPr="00200DF5">
        <w:rPr>
          <w:rFonts w:eastAsia="Times New Roman" w:cs="Arial"/>
          <w:color w:val="000000"/>
          <w:lang w:eastAsia="bg-BG"/>
        </w:rPr>
        <w:t>редукгазата се съобщава за повишени нива на серумните трансаминази. Тези промени най- често са леки и преходни и не налагат прекратяване на лечението. Клинично значимо повишение на серумните трансаминази (три пъти над горната граница на нормата) е наблюдавано при 0.8% от пациентите на Аторвастатин АЛ. Тези повишени стойности са дозозависими и изчезват при всички пациенти.</w:t>
      </w:r>
    </w:p>
    <w:p w14:paraId="01E3DDEF" w14:textId="77777777" w:rsidR="00200DF5" w:rsidRPr="00200DF5" w:rsidRDefault="00200DF5" w:rsidP="00200DF5">
      <w:pPr>
        <w:spacing w:line="240" w:lineRule="auto"/>
        <w:rPr>
          <w:rFonts w:eastAsia="Times New Roman" w:cs="Arial"/>
          <w:color w:val="000000"/>
          <w:lang w:eastAsia="bg-BG"/>
        </w:rPr>
      </w:pPr>
    </w:p>
    <w:p w14:paraId="6EBAF6CB" w14:textId="6A816A9C"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В клинични проучвания повишение на серумния креатин фосфокиназа (СРК) се наблюдава (три пъти над горната граница на нормата) при 2.5% от пациентите на аторвастатин, което е подобно при другите инхибитори на </w:t>
      </w:r>
      <w:r w:rsidRPr="00200DF5">
        <w:rPr>
          <w:rFonts w:eastAsia="Times New Roman" w:cs="Arial"/>
          <w:color w:val="000000"/>
          <w:lang w:val="en-US"/>
        </w:rPr>
        <w:t>HMG</w:t>
      </w:r>
      <w:r w:rsidRPr="00200DF5">
        <w:rPr>
          <w:rFonts w:eastAsia="Times New Roman" w:cs="Arial"/>
          <w:color w:val="000000"/>
          <w:lang w:val="ru-RU"/>
        </w:rPr>
        <w:t>-</w:t>
      </w:r>
      <w:r w:rsidRPr="00200DF5">
        <w:rPr>
          <w:rFonts w:eastAsia="Times New Roman" w:cs="Arial"/>
          <w:color w:val="000000"/>
          <w:lang w:val="en-US"/>
        </w:rPr>
        <w:t>CoA</w:t>
      </w:r>
      <w:r w:rsidRPr="00200DF5">
        <w:rPr>
          <w:rFonts w:eastAsia="Times New Roman" w:cs="Arial"/>
          <w:color w:val="000000"/>
          <w:lang w:val="ru-RU"/>
        </w:rPr>
        <w:t xml:space="preserve"> </w:t>
      </w:r>
      <w:r w:rsidRPr="00200DF5">
        <w:rPr>
          <w:rFonts w:eastAsia="Times New Roman" w:cs="Arial"/>
          <w:color w:val="000000"/>
          <w:lang w:eastAsia="bg-BG"/>
        </w:rPr>
        <w:t>редукгазата. Стойности над десет пъти над горната граница на нормата са наблюдавани при 0.4% от пациентите на аторвастатин (виж т. 4.4).</w:t>
      </w:r>
    </w:p>
    <w:p w14:paraId="4739C1F8" w14:textId="77777777" w:rsidR="00200DF5" w:rsidRPr="00200DF5" w:rsidRDefault="00200DF5" w:rsidP="00200DF5">
      <w:pPr>
        <w:spacing w:line="240" w:lineRule="auto"/>
        <w:rPr>
          <w:rFonts w:eastAsia="Times New Roman" w:cs="Arial"/>
          <w:color w:val="000000"/>
          <w:u w:val="single"/>
          <w:lang w:eastAsia="bg-BG"/>
        </w:rPr>
      </w:pPr>
    </w:p>
    <w:p w14:paraId="159AC65B" w14:textId="1DC5C596" w:rsidR="00200DF5" w:rsidRPr="00200DF5" w:rsidRDefault="00200DF5" w:rsidP="00200DF5">
      <w:pPr>
        <w:spacing w:line="240" w:lineRule="auto"/>
        <w:rPr>
          <w:rFonts w:eastAsia="Times New Roman" w:cs="Arial"/>
        </w:rPr>
      </w:pPr>
      <w:r w:rsidRPr="00200DF5">
        <w:rPr>
          <w:rFonts w:eastAsia="Times New Roman" w:cs="Arial"/>
          <w:color w:val="000000"/>
          <w:u w:val="single"/>
          <w:lang w:eastAsia="bg-BG"/>
        </w:rPr>
        <w:lastRenderedPageBreak/>
        <w:t>Педиатрична популация</w:t>
      </w:r>
    </w:p>
    <w:p w14:paraId="5865E35C" w14:textId="77777777" w:rsidR="00200DF5" w:rsidRPr="00200DF5" w:rsidRDefault="00200DF5" w:rsidP="00200DF5">
      <w:pPr>
        <w:rPr>
          <w:rFonts w:eastAsia="Times New Roman" w:cs="Arial"/>
        </w:rPr>
      </w:pPr>
      <w:r w:rsidRPr="00200DF5">
        <w:rPr>
          <w:rFonts w:eastAsia="Times New Roman" w:cs="Arial"/>
          <w:color w:val="000000"/>
          <w:lang w:eastAsia="bg-BG"/>
        </w:rPr>
        <w:t>При педиатрични пациенти на възраст от 10 до 17 години, лекувани с аторвастатин профилът на нежелани реакции е подобен на пациенти, приемали плацебо. Най-честите нежелани реакции, наблюдавани при двете групи, независимо от оценката за причинно- следствена връзка, са били инфекциите. При тригодишно проучване, основано на оценката на</w:t>
      </w:r>
      <w:r w:rsidRPr="00200DF5">
        <w:rPr>
          <w:rFonts w:eastAsia="Times New Roman" w:cs="Arial"/>
          <w:color w:val="000000"/>
          <w:lang w:val="ru-RU" w:eastAsia="bg-BG"/>
        </w:rPr>
        <w:t xml:space="preserve"> </w:t>
      </w:r>
      <w:r w:rsidRPr="00200DF5">
        <w:rPr>
          <w:rFonts w:eastAsia="Times New Roman" w:cs="Arial"/>
          <w:color w:val="000000"/>
          <w:lang w:eastAsia="bg-BG"/>
        </w:rPr>
        <w:t>цялостното полово съзряване и развитие, на оценката по скалата по Танер, както и на определянето на ръст и тегло, не са отбелязани клинично значими ефекти върху растежа и половото съзряване. Профилът на безопасност и профилът на поносимост при педиатрични пациенти е бил сходен с добре установения профил на безопасност на аторвастатин при възрастни.</w:t>
      </w:r>
    </w:p>
    <w:p w14:paraId="3858DD1A" w14:textId="77777777" w:rsidR="00200DF5" w:rsidRPr="00200DF5" w:rsidRDefault="00200DF5" w:rsidP="00200DF5">
      <w:pPr>
        <w:spacing w:line="240" w:lineRule="auto"/>
        <w:rPr>
          <w:rFonts w:eastAsia="Times New Roman" w:cs="Arial"/>
          <w:color w:val="000000"/>
          <w:lang w:eastAsia="bg-BG"/>
        </w:rPr>
      </w:pPr>
    </w:p>
    <w:p w14:paraId="57D0164A" w14:textId="77C414A4" w:rsidR="00200DF5" w:rsidRPr="00200DF5" w:rsidRDefault="00200DF5" w:rsidP="00200DF5">
      <w:pPr>
        <w:spacing w:line="240" w:lineRule="auto"/>
        <w:rPr>
          <w:rFonts w:eastAsia="Times New Roman" w:cs="Arial"/>
        </w:rPr>
      </w:pPr>
      <w:r w:rsidRPr="00200DF5">
        <w:rPr>
          <w:rFonts w:eastAsia="Times New Roman" w:cs="Arial"/>
          <w:color w:val="000000"/>
          <w:lang w:eastAsia="bg-BG"/>
        </w:rPr>
        <w:t>Базата данни от клинични проучвания за безопасност включва данни за 520 пациенти, които са приемали аторвастатин, между които 7 са били на възраст под 6 години, 121 пациенти са били на възраст между 6 и 9 години и 392 пациенти са били на възраст между 10 и 17 години. Въз основа на наличните данни, честотата, видът и сериозността на нежеланите реакции при деца е сходна с тази при възрастни.</w:t>
      </w:r>
    </w:p>
    <w:p w14:paraId="26A9BEE3" w14:textId="77777777" w:rsidR="00200DF5" w:rsidRPr="00200DF5" w:rsidRDefault="00200DF5" w:rsidP="00200DF5">
      <w:pPr>
        <w:spacing w:line="240" w:lineRule="auto"/>
        <w:rPr>
          <w:rFonts w:eastAsia="Times New Roman" w:cs="Arial"/>
          <w:color w:val="000000"/>
          <w:lang w:eastAsia="bg-BG"/>
        </w:rPr>
      </w:pPr>
    </w:p>
    <w:p w14:paraId="64F3F4DD" w14:textId="4426FC4C" w:rsidR="00200DF5" w:rsidRPr="00200DF5" w:rsidRDefault="00200DF5" w:rsidP="00200DF5">
      <w:pPr>
        <w:spacing w:line="240" w:lineRule="auto"/>
        <w:rPr>
          <w:rFonts w:eastAsia="Times New Roman" w:cs="Arial"/>
        </w:rPr>
      </w:pPr>
      <w:r w:rsidRPr="00200DF5">
        <w:rPr>
          <w:rFonts w:eastAsia="Times New Roman" w:cs="Arial"/>
          <w:color w:val="000000"/>
          <w:lang w:eastAsia="bg-BG"/>
        </w:rPr>
        <w:t>Следните нежелани реакции са наблюдавани при приема на някои статини:</w:t>
      </w:r>
    </w:p>
    <w:p w14:paraId="713018B6" w14:textId="77777777"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Нарушение на сексуалната функция</w:t>
      </w:r>
    </w:p>
    <w:p w14:paraId="72967C9F" w14:textId="77777777"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Депресия</w:t>
      </w:r>
    </w:p>
    <w:p w14:paraId="5CD42A98" w14:textId="77777777"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Изолирани случаи на интерстициална белодробна болест, особено при продължителна терапия (виж точка 4.4).</w:t>
      </w:r>
    </w:p>
    <w:p w14:paraId="5BAE7EDC" w14:textId="7FBBA5CA" w:rsidR="00200DF5" w:rsidRPr="00200DF5" w:rsidRDefault="00200DF5" w:rsidP="00200DF5">
      <w:pPr>
        <w:pStyle w:val="ListParagraph"/>
        <w:numPr>
          <w:ilvl w:val="0"/>
          <w:numId w:val="2"/>
        </w:numPr>
        <w:spacing w:line="240" w:lineRule="auto"/>
        <w:rPr>
          <w:rFonts w:eastAsia="Times New Roman" w:cs="Arial"/>
          <w:color w:val="000000"/>
          <w:lang w:eastAsia="bg-BG"/>
        </w:rPr>
      </w:pPr>
      <w:r w:rsidRPr="00200DF5">
        <w:rPr>
          <w:rFonts w:eastAsia="Times New Roman" w:cs="Arial"/>
          <w:color w:val="000000"/>
          <w:lang w:eastAsia="bg-BG"/>
        </w:rPr>
        <w:t xml:space="preserve">Захарен диабет: честотата зависи от наличието или липсата на рискови фактори (кръвна глюкоза на гладно ≥ 5,6 </w:t>
      </w:r>
      <w:r w:rsidRPr="00200DF5">
        <w:rPr>
          <w:rFonts w:eastAsia="Times New Roman" w:cs="Arial"/>
          <w:color w:val="000000"/>
          <w:lang w:val="en-US"/>
        </w:rPr>
        <w:t>mmol</w:t>
      </w:r>
      <w:r w:rsidRPr="00200DF5">
        <w:rPr>
          <w:rFonts w:eastAsia="Times New Roman" w:cs="Arial"/>
          <w:color w:val="000000"/>
          <w:lang w:val="ru-RU"/>
        </w:rPr>
        <w:t xml:space="preserve">/1, </w:t>
      </w:r>
      <w:r w:rsidRPr="00200DF5">
        <w:rPr>
          <w:rFonts w:eastAsia="Times New Roman" w:cs="Arial"/>
          <w:color w:val="000000"/>
          <w:lang w:val="en-US"/>
        </w:rPr>
        <w:t>BMI</w:t>
      </w:r>
      <w:r w:rsidRPr="00200DF5">
        <w:rPr>
          <w:rFonts w:eastAsia="Times New Roman" w:cs="Arial"/>
          <w:color w:val="000000"/>
          <w:lang w:val="ru-RU"/>
        </w:rPr>
        <w:t xml:space="preserve"> </w:t>
      </w:r>
      <w:r w:rsidRPr="00200DF5">
        <w:rPr>
          <w:rFonts w:eastAsia="Times New Roman" w:cs="Arial"/>
          <w:color w:val="000000"/>
          <w:lang w:eastAsia="bg-BG"/>
        </w:rPr>
        <w:t xml:space="preserve">&gt;30 </w:t>
      </w:r>
      <w:r w:rsidRPr="00200DF5">
        <w:rPr>
          <w:rFonts w:eastAsia="Times New Roman" w:cs="Arial"/>
          <w:color w:val="000000"/>
          <w:lang w:val="en-US"/>
        </w:rPr>
        <w:t>kg</w:t>
      </w:r>
      <w:r w:rsidRPr="00200DF5">
        <w:rPr>
          <w:rFonts w:eastAsia="Times New Roman" w:cs="Arial"/>
          <w:color w:val="000000"/>
          <w:lang w:val="ru-RU"/>
        </w:rPr>
        <w:t>/</w:t>
      </w:r>
      <w:r w:rsidRPr="00200DF5">
        <w:rPr>
          <w:rFonts w:eastAsia="Times New Roman" w:cs="Arial"/>
          <w:color w:val="000000"/>
          <w:lang w:val="en-US"/>
        </w:rPr>
        <w:t>m</w:t>
      </w:r>
      <w:r w:rsidRPr="00200DF5">
        <w:rPr>
          <w:rFonts w:eastAsia="Times New Roman" w:cs="Arial"/>
          <w:color w:val="000000"/>
          <w:vertAlign w:val="superscript"/>
          <w:lang w:val="ru-RU"/>
        </w:rPr>
        <w:t>2</w:t>
      </w:r>
      <w:r w:rsidRPr="00200DF5">
        <w:rPr>
          <w:rFonts w:eastAsia="Times New Roman" w:cs="Arial"/>
          <w:color w:val="000000"/>
          <w:lang w:val="ru-RU"/>
        </w:rPr>
        <w:t xml:space="preserve">, </w:t>
      </w:r>
      <w:r w:rsidRPr="00200DF5">
        <w:rPr>
          <w:rFonts w:eastAsia="Times New Roman" w:cs="Arial"/>
          <w:color w:val="000000"/>
          <w:lang w:eastAsia="bg-BG"/>
        </w:rPr>
        <w:t>повишени триглицериди, анамнеза за хипертония).</w:t>
      </w:r>
    </w:p>
    <w:p w14:paraId="20AAD804" w14:textId="77777777" w:rsidR="00200DF5" w:rsidRPr="00200DF5" w:rsidRDefault="00200DF5" w:rsidP="00200DF5">
      <w:pPr>
        <w:spacing w:line="240" w:lineRule="auto"/>
        <w:rPr>
          <w:rFonts w:eastAsia="Times New Roman" w:cs="Arial"/>
          <w:color w:val="000000"/>
          <w:u w:val="single"/>
          <w:lang w:eastAsia="bg-BG"/>
        </w:rPr>
      </w:pPr>
    </w:p>
    <w:p w14:paraId="5045AA7E" w14:textId="5272FEEE" w:rsidR="00200DF5" w:rsidRPr="00200DF5" w:rsidRDefault="00200DF5" w:rsidP="00200DF5">
      <w:pPr>
        <w:spacing w:line="240" w:lineRule="auto"/>
        <w:rPr>
          <w:rFonts w:eastAsia="Times New Roman" w:cs="Arial"/>
        </w:rPr>
      </w:pPr>
      <w:r w:rsidRPr="00200DF5">
        <w:rPr>
          <w:rFonts w:eastAsia="Times New Roman" w:cs="Arial"/>
          <w:color w:val="000000"/>
          <w:u w:val="single"/>
          <w:lang w:eastAsia="bg-BG"/>
        </w:rPr>
        <w:t>Съобщаване на подозирани нежелани реакции</w:t>
      </w:r>
    </w:p>
    <w:p w14:paraId="5810EE52"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26523BDB"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ул. „Дамян Груев” №8 </w:t>
      </w:r>
    </w:p>
    <w:p w14:paraId="0F23FB8C"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1303 София </w:t>
      </w:r>
    </w:p>
    <w:p w14:paraId="2E010631" w14:textId="77777777" w:rsidR="00200DF5" w:rsidRPr="00200DF5" w:rsidRDefault="00200DF5" w:rsidP="00200DF5">
      <w:pPr>
        <w:spacing w:line="240" w:lineRule="auto"/>
        <w:rPr>
          <w:rFonts w:eastAsia="Times New Roman" w:cs="Arial"/>
          <w:color w:val="000000"/>
          <w:lang w:eastAsia="bg-BG"/>
        </w:rPr>
      </w:pPr>
      <w:r w:rsidRPr="00200DF5">
        <w:rPr>
          <w:rFonts w:eastAsia="Times New Roman" w:cs="Arial"/>
          <w:color w:val="000000"/>
          <w:lang w:eastAsia="bg-BG"/>
        </w:rPr>
        <w:t xml:space="preserve">тел.: +3592 8903417 </w:t>
      </w:r>
    </w:p>
    <w:p w14:paraId="62F7A374" w14:textId="1BD49DE3" w:rsidR="00200DF5" w:rsidRPr="00200DF5" w:rsidRDefault="00200DF5" w:rsidP="00200DF5">
      <w:pPr>
        <w:spacing w:line="240" w:lineRule="auto"/>
        <w:rPr>
          <w:rFonts w:eastAsia="Times New Roman" w:cs="Arial"/>
        </w:rPr>
      </w:pPr>
      <w:r w:rsidRPr="00200DF5">
        <w:rPr>
          <w:rFonts w:eastAsia="Times New Roman" w:cs="Arial"/>
          <w:color w:val="000000"/>
          <w:lang w:eastAsia="bg-BG"/>
        </w:rPr>
        <w:t xml:space="preserve">уебсайт: </w:t>
      </w:r>
      <w:hyperlink r:id="rId5" w:history="1">
        <w:r w:rsidRPr="00200DF5">
          <w:rPr>
            <w:rFonts w:eastAsia="Times New Roman" w:cs="Arial"/>
            <w:color w:val="000000"/>
            <w:u w:val="single"/>
            <w:lang w:val="en-US"/>
          </w:rPr>
          <w:t>www</w:t>
        </w:r>
        <w:r w:rsidRPr="00200DF5">
          <w:rPr>
            <w:rFonts w:eastAsia="Times New Roman" w:cs="Arial"/>
            <w:color w:val="000000"/>
            <w:u w:val="single"/>
            <w:lang w:val="ru-RU"/>
          </w:rPr>
          <w:t>.</w:t>
        </w:r>
        <w:r w:rsidRPr="00200DF5">
          <w:rPr>
            <w:rFonts w:eastAsia="Times New Roman" w:cs="Arial"/>
            <w:color w:val="000000"/>
            <w:u w:val="single"/>
            <w:lang w:val="en-US"/>
          </w:rPr>
          <w:t>bda</w:t>
        </w:r>
        <w:r w:rsidRPr="00200DF5">
          <w:rPr>
            <w:rFonts w:eastAsia="Times New Roman" w:cs="Arial"/>
            <w:color w:val="000000"/>
            <w:u w:val="single"/>
            <w:lang w:val="ru-RU"/>
          </w:rPr>
          <w:t>.</w:t>
        </w:r>
        <w:r w:rsidRPr="00200DF5">
          <w:rPr>
            <w:rFonts w:eastAsia="Times New Roman" w:cs="Arial"/>
            <w:color w:val="000000"/>
            <w:u w:val="single"/>
            <w:lang w:val="en-US"/>
          </w:rPr>
          <w:t>bg</w:t>
        </w:r>
      </w:hyperlink>
    </w:p>
    <w:p w14:paraId="010A3D5D" w14:textId="0DD31399" w:rsidR="00304120" w:rsidRPr="00200DF5" w:rsidRDefault="00304120" w:rsidP="00200DF5">
      <w:pPr>
        <w:rPr>
          <w:lang w:val="ru-RU"/>
        </w:rPr>
      </w:pPr>
    </w:p>
    <w:p w14:paraId="5A87DBA3" w14:textId="18B2983A" w:rsidR="007122AD" w:rsidRDefault="002C50EE" w:rsidP="00936AD0">
      <w:pPr>
        <w:pStyle w:val="Heading2"/>
      </w:pPr>
      <w:r>
        <w:t>4.9. Предозиране</w:t>
      </w:r>
    </w:p>
    <w:p w14:paraId="1686ABC2" w14:textId="4777FE47" w:rsidR="00200DF5" w:rsidRDefault="00200DF5" w:rsidP="00200DF5"/>
    <w:p w14:paraId="6162CA99" w14:textId="6A41A239" w:rsidR="00200DF5" w:rsidRPr="00200DF5" w:rsidRDefault="00200DF5" w:rsidP="00200DF5">
      <w:r>
        <w:t>Няма специфично лечение за предозиране с Аторвастатин . В случай на предозиране лечението е симптоматично и при необходимост се прилагат поддържащи мерки. Необходимо е да се мониторира чернодробната функция и стойностите на серумната креатин фосфокиназа. Поради екстензивното свързване с плазмените протеини се предполага, че хемодиализата няма да увеличи значително клирънса на аторвастатина.</w:t>
      </w:r>
    </w:p>
    <w:p w14:paraId="02081B24" w14:textId="1F46E296" w:rsidR="00395555" w:rsidRPr="00395555" w:rsidRDefault="002C50EE" w:rsidP="008A6AF2">
      <w:pPr>
        <w:pStyle w:val="Heading1"/>
      </w:pPr>
      <w:r>
        <w:lastRenderedPageBreak/>
        <w:t>5. ФАРМАКОЛОГИЧНИ СВОЙСТВА</w:t>
      </w:r>
    </w:p>
    <w:p w14:paraId="7DE36AC8" w14:textId="46B9C117" w:rsidR="00B6672E" w:rsidRDefault="002C50EE" w:rsidP="00936AD0">
      <w:pPr>
        <w:pStyle w:val="Heading2"/>
      </w:pPr>
      <w:r>
        <w:t>5.1. Фармакодинамични свойства</w:t>
      </w:r>
    </w:p>
    <w:p w14:paraId="5F316EF6" w14:textId="172B3F97" w:rsidR="00200DF5" w:rsidRDefault="00200DF5" w:rsidP="00200DF5"/>
    <w:p w14:paraId="59467D74"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Фармакотерапевтична група: инхибитори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редуктазата, АТС код: С 10 АА05</w:t>
      </w:r>
    </w:p>
    <w:p w14:paraId="58C039CB" w14:textId="77777777" w:rsidR="00200DF5" w:rsidRPr="00200DF5" w:rsidRDefault="00200DF5" w:rsidP="00200DF5">
      <w:pPr>
        <w:rPr>
          <w:rFonts w:eastAsia="Times New Roman" w:cs="Arial"/>
          <w:color w:val="000000"/>
          <w:szCs w:val="20"/>
          <w:lang w:eastAsia="bg-BG"/>
        </w:rPr>
      </w:pPr>
    </w:p>
    <w:p w14:paraId="06B6572F" w14:textId="77777777"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 xml:space="preserve">Аторвастатин е селективен, конкурентен инхибитор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редукгазата - ензим, който отговаря за превръщането на 3-хидрокси-3-метил-глутарил коензим А до мевалонат - прекурсор на стеролите, в това число на холестерола. Триглицеридите и холестерола в черния дроб са инкорпорирани в липопротеини с много ниска плътност </w:t>
      </w:r>
      <w:r w:rsidRPr="00200DF5">
        <w:rPr>
          <w:rFonts w:eastAsia="Times New Roman" w:cs="Arial"/>
          <w:color w:val="000000"/>
          <w:szCs w:val="20"/>
          <w:lang w:val="ru-RU"/>
        </w:rPr>
        <w:t>(</w:t>
      </w:r>
      <w:r w:rsidRPr="00200DF5">
        <w:rPr>
          <w:rFonts w:eastAsia="Times New Roman" w:cs="Arial"/>
          <w:color w:val="000000"/>
          <w:szCs w:val="20"/>
          <w:lang w:val="en-US"/>
        </w:rPr>
        <w:t>VLDL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 се освобождават в кръвта, за да достигнат до периферните тъкани. Липопротеинът с ниска плътност </w:t>
      </w:r>
      <w:r w:rsidRPr="00200DF5">
        <w:rPr>
          <w:rFonts w:eastAsia="Times New Roman" w:cs="Arial"/>
          <w:color w:val="000000"/>
          <w:szCs w:val="20"/>
          <w:lang w:val="ru-RU"/>
        </w:rPr>
        <w:t>(</w:t>
      </w:r>
      <w:r w:rsidRPr="00200DF5">
        <w:rPr>
          <w:rFonts w:eastAsia="Times New Roman" w:cs="Arial"/>
          <w:color w:val="000000"/>
          <w:szCs w:val="20"/>
          <w:lang w:val="en-US"/>
        </w:rPr>
        <w:t>LD</w:t>
      </w:r>
      <w:r w:rsidRPr="00200DF5">
        <w:rPr>
          <w:rFonts w:eastAsia="Times New Roman" w:cs="Arial"/>
          <w:color w:val="000000"/>
          <w:szCs w:val="20"/>
          <w:u w:val="single"/>
          <w:lang w:val="en-US"/>
        </w:rPr>
        <w:t>L</w:t>
      </w:r>
      <w:r w:rsidRPr="00200DF5">
        <w:rPr>
          <w:rFonts w:eastAsia="Times New Roman" w:cs="Arial"/>
          <w:color w:val="000000"/>
          <w:szCs w:val="20"/>
          <w:u w:val="single"/>
          <w:lang w:val="ru-RU"/>
        </w:rPr>
        <w:t xml:space="preserve">) </w:t>
      </w:r>
      <w:r w:rsidRPr="00200DF5">
        <w:rPr>
          <w:rFonts w:eastAsia="Times New Roman" w:cs="Arial"/>
          <w:color w:val="000000"/>
          <w:szCs w:val="20"/>
          <w:u w:val="single"/>
          <w:lang w:eastAsia="bg-BG"/>
        </w:rPr>
        <w:t xml:space="preserve">се </w:t>
      </w:r>
      <w:r w:rsidRPr="00200DF5">
        <w:rPr>
          <w:rFonts w:eastAsia="Times New Roman" w:cs="Arial"/>
          <w:color w:val="000000"/>
          <w:szCs w:val="20"/>
          <w:lang w:eastAsia="bg-BG"/>
        </w:rPr>
        <w:t xml:space="preserve">образува от </w:t>
      </w:r>
      <w:r w:rsidRPr="00200DF5">
        <w:rPr>
          <w:rFonts w:eastAsia="Times New Roman" w:cs="Arial"/>
          <w:color w:val="000000"/>
          <w:szCs w:val="20"/>
          <w:lang w:val="en-US"/>
        </w:rPr>
        <w:t>VLDL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 се катаболизира основно чрез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рецептора с висок афинитет. </w:t>
      </w:r>
    </w:p>
    <w:p w14:paraId="2CFB3B7B" w14:textId="77777777" w:rsidR="00200DF5" w:rsidRPr="00200DF5" w:rsidRDefault="00200DF5" w:rsidP="00200DF5">
      <w:pPr>
        <w:rPr>
          <w:rFonts w:eastAsia="Times New Roman" w:cs="Arial"/>
          <w:color w:val="000000"/>
          <w:szCs w:val="20"/>
          <w:lang w:eastAsia="bg-BG"/>
        </w:rPr>
      </w:pPr>
    </w:p>
    <w:p w14:paraId="71333B4D" w14:textId="1C3B60BF" w:rsidR="00200DF5" w:rsidRPr="00200DF5" w:rsidRDefault="00200DF5" w:rsidP="00200DF5">
      <w:pPr>
        <w:rPr>
          <w:rFonts w:cs="Arial"/>
          <w:sz w:val="24"/>
        </w:rPr>
      </w:pPr>
      <w:r w:rsidRPr="00200DF5">
        <w:rPr>
          <w:rFonts w:eastAsia="Times New Roman" w:cs="Arial"/>
          <w:color w:val="000000"/>
          <w:szCs w:val="20"/>
          <w:lang w:eastAsia="bg-BG"/>
        </w:rPr>
        <w:t xml:space="preserve">Аторвастатин понижава пазмените нива на холестерола и нивата на липопротеиите в серума чрез инхибиране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редукгазата и синтезата на холестерола в черния дроб.</w:t>
      </w:r>
    </w:p>
    <w:p w14:paraId="2FC5E8B7" w14:textId="3D25AB16" w:rsidR="00200DF5" w:rsidRPr="00200DF5" w:rsidRDefault="00200DF5" w:rsidP="00200DF5">
      <w:pPr>
        <w:rPr>
          <w:rFonts w:cs="Arial"/>
          <w:sz w:val="24"/>
        </w:rPr>
      </w:pPr>
    </w:p>
    <w:p w14:paraId="26153E1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също така увеличава броя на чернодробните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рецептори върху клетъчната повърхност на черния дроб, което води до повишен отговор и катаболизъм на </w:t>
      </w:r>
      <w:r w:rsidRPr="00200DF5">
        <w:rPr>
          <w:rFonts w:eastAsia="Times New Roman" w:cs="Arial"/>
          <w:color w:val="000000"/>
          <w:szCs w:val="20"/>
          <w:lang w:val="en-US"/>
        </w:rPr>
        <w:t>LDL</w:t>
      </w:r>
      <w:r w:rsidRPr="00200DF5">
        <w:rPr>
          <w:rFonts w:eastAsia="Times New Roman" w:cs="Arial"/>
          <w:color w:val="000000"/>
          <w:szCs w:val="20"/>
          <w:lang w:val="ru-RU"/>
        </w:rPr>
        <w:t>.</w:t>
      </w:r>
    </w:p>
    <w:p w14:paraId="646133DD" w14:textId="77777777" w:rsidR="00200DF5" w:rsidRPr="00200DF5" w:rsidRDefault="00200DF5" w:rsidP="00200DF5">
      <w:pPr>
        <w:spacing w:line="240" w:lineRule="auto"/>
        <w:rPr>
          <w:rFonts w:eastAsia="Times New Roman" w:cs="Arial"/>
          <w:color w:val="000000"/>
          <w:szCs w:val="20"/>
          <w:lang w:eastAsia="bg-BG"/>
        </w:rPr>
      </w:pPr>
    </w:p>
    <w:p w14:paraId="17FCA831" w14:textId="4B49AC3B"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намалява производството на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 броя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-частиците. Аторвастатин предизвиква устойчиво засилване на дейността на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рецепторите заедно с благоприятни промени в качеството на циркулиращите </w:t>
      </w:r>
      <w:r w:rsidRPr="00200DF5">
        <w:rPr>
          <w:rFonts w:eastAsia="Times New Roman" w:cs="Arial"/>
          <w:color w:val="000000"/>
          <w:szCs w:val="20"/>
          <w:lang w:val="en-US"/>
        </w:rPr>
        <w:t>LDL</w:t>
      </w:r>
      <w:r w:rsidRPr="00200DF5">
        <w:rPr>
          <w:rFonts w:eastAsia="Times New Roman" w:cs="Arial"/>
          <w:color w:val="000000"/>
          <w:szCs w:val="20"/>
          <w:lang w:eastAsia="bg-BG"/>
        </w:rPr>
        <w:t xml:space="preserve">-частици. Аторвастатин понижава значително нивото на </w:t>
      </w:r>
      <w:r w:rsidRPr="00200DF5">
        <w:rPr>
          <w:rFonts w:eastAsia="Times New Roman" w:cs="Arial"/>
          <w:color w:val="000000"/>
          <w:szCs w:val="20"/>
          <w:lang w:val="en-US"/>
        </w:rPr>
        <w:t>LDL</w:t>
      </w:r>
      <w:r w:rsidRPr="00200DF5">
        <w:rPr>
          <w:rFonts w:eastAsia="Times New Roman" w:cs="Arial"/>
          <w:color w:val="000000"/>
          <w:szCs w:val="20"/>
          <w:lang w:eastAsia="bg-BG"/>
        </w:rPr>
        <w:t>-холестерола при пациенти с хомозиготна фамилна хиперхолестеролемия, но тази група пациенти обикновено не се повлиява от лечение с липидо-понижаващи средства.</w:t>
      </w:r>
    </w:p>
    <w:p w14:paraId="71FC2D36" w14:textId="77777777" w:rsidR="00200DF5" w:rsidRPr="00200DF5" w:rsidRDefault="00200DF5" w:rsidP="00200DF5">
      <w:pPr>
        <w:spacing w:line="240" w:lineRule="auto"/>
        <w:rPr>
          <w:rFonts w:eastAsia="Times New Roman" w:cs="Arial"/>
          <w:color w:val="000000"/>
          <w:szCs w:val="20"/>
          <w:lang w:eastAsia="bg-BG"/>
        </w:rPr>
      </w:pPr>
    </w:p>
    <w:p w14:paraId="52CD287B" w14:textId="000F9CBA"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понижава общия холестерол (30-46%), </w:t>
      </w:r>
      <w:r w:rsidRPr="00200DF5">
        <w:rPr>
          <w:rFonts w:eastAsia="Times New Roman" w:cs="Arial"/>
          <w:color w:val="000000"/>
          <w:szCs w:val="20"/>
          <w:lang w:val="en-US"/>
        </w:rPr>
        <w:t>LDL</w:t>
      </w:r>
      <w:r w:rsidRPr="00200DF5">
        <w:rPr>
          <w:rFonts w:eastAsia="Times New Roman" w:cs="Arial"/>
          <w:color w:val="000000"/>
          <w:szCs w:val="20"/>
          <w:lang w:eastAsia="bg-BG"/>
        </w:rPr>
        <w:t xml:space="preserve">-холестерола (41-61%), аполипопротеин В (34-50%) и триглицеридите (14-33%), но води до променливи увеличения на </w:t>
      </w:r>
      <w:r w:rsidRPr="00200DF5">
        <w:rPr>
          <w:rFonts w:eastAsia="Times New Roman" w:cs="Arial"/>
          <w:color w:val="000000"/>
          <w:szCs w:val="20"/>
          <w:lang w:val="en-US"/>
        </w:rPr>
        <w:t>HDL</w:t>
      </w:r>
      <w:r w:rsidRPr="00200DF5">
        <w:rPr>
          <w:rFonts w:eastAsia="Times New Roman" w:cs="Arial"/>
          <w:color w:val="000000"/>
          <w:szCs w:val="20"/>
          <w:lang w:eastAsia="bg-BG"/>
        </w:rPr>
        <w:t>-холестерола и аполипопротеин А1 при дозосвързани проучвания. Тези резултати са приложими за пациенти с хетерозиготна фамилна хиперхолестеролемия, иефамилна хиперхолестеролемия и смесена хиперлипидемия, в това число и пациенти с неинсулино- зависим захарен диабет.</w:t>
      </w:r>
    </w:p>
    <w:p w14:paraId="4FEB851B" w14:textId="77777777" w:rsidR="00200DF5" w:rsidRPr="00200DF5" w:rsidRDefault="00200DF5" w:rsidP="00200DF5">
      <w:pPr>
        <w:spacing w:line="240" w:lineRule="auto"/>
        <w:rPr>
          <w:rFonts w:eastAsia="Times New Roman" w:cs="Arial"/>
          <w:color w:val="000000"/>
          <w:szCs w:val="20"/>
          <w:lang w:eastAsia="bg-BG"/>
        </w:rPr>
      </w:pPr>
    </w:p>
    <w:p w14:paraId="2396D7DE" w14:textId="725F5FCF"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Доказано е, че понижаването на общия холестерол, </w:t>
      </w:r>
      <w:r w:rsidRPr="00200DF5">
        <w:rPr>
          <w:rFonts w:eastAsia="Times New Roman" w:cs="Arial"/>
          <w:color w:val="000000"/>
          <w:szCs w:val="20"/>
          <w:lang w:val="en-US"/>
        </w:rPr>
        <w:t>LDL</w:t>
      </w:r>
      <w:r w:rsidRPr="00200DF5">
        <w:rPr>
          <w:rFonts w:eastAsia="Times New Roman" w:cs="Arial"/>
          <w:color w:val="000000"/>
          <w:szCs w:val="20"/>
          <w:lang w:eastAsia="bg-BG"/>
        </w:rPr>
        <w:t>-холестерол и аполипопротеин В намалява риска от сърдечно-съдови събития и сърдечно-съдова смъртност.</w:t>
      </w:r>
    </w:p>
    <w:p w14:paraId="4D385D6D" w14:textId="77777777" w:rsidR="00200DF5" w:rsidRPr="00200DF5" w:rsidRDefault="00200DF5" w:rsidP="00200DF5">
      <w:pPr>
        <w:spacing w:line="240" w:lineRule="auto"/>
        <w:rPr>
          <w:rFonts w:eastAsia="Times New Roman" w:cs="Arial"/>
          <w:color w:val="000000"/>
          <w:szCs w:val="20"/>
          <w:u w:val="single"/>
          <w:lang w:eastAsia="bg-BG"/>
        </w:rPr>
      </w:pPr>
    </w:p>
    <w:p w14:paraId="6CE429AD" w14:textId="195E2EDC"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Хомозиготна фамилна хиперхолестеролемия</w:t>
      </w:r>
    </w:p>
    <w:p w14:paraId="081FBD6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многоцентрово отворено 8 седмично сравнително проучване с удължена фаза на променлива продължителност, 335 пациенти са били включени, 89 от които са диагностицирани с хомозиготна фамилна хиперхолестеролемия. От тези 89 пациенти, средното процентно понижение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приблизително 20%. Аторвастатин е приеман при дози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дневно.</w:t>
      </w:r>
    </w:p>
    <w:p w14:paraId="6B8767C1" w14:textId="77777777" w:rsidR="00200DF5" w:rsidRPr="00200DF5" w:rsidRDefault="00200DF5" w:rsidP="00200DF5">
      <w:pPr>
        <w:spacing w:line="240" w:lineRule="auto"/>
        <w:rPr>
          <w:rFonts w:eastAsia="Times New Roman" w:cs="Arial"/>
          <w:color w:val="000000"/>
          <w:szCs w:val="20"/>
          <w:u w:val="single"/>
          <w:lang w:eastAsia="bg-BG"/>
        </w:rPr>
      </w:pPr>
    </w:p>
    <w:p w14:paraId="44B0B22A" w14:textId="0664FE96"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Атеросклероза</w:t>
      </w:r>
    </w:p>
    <w:p w14:paraId="49AFC821"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клиничнотопроучване </w:t>
      </w:r>
      <w:r w:rsidRPr="00200DF5">
        <w:rPr>
          <w:rFonts w:eastAsia="Times New Roman" w:cs="Arial"/>
          <w:color w:val="000000"/>
          <w:szCs w:val="20"/>
          <w:lang w:val="en-US"/>
        </w:rPr>
        <w:t>REVERSAL</w:t>
      </w:r>
      <w:r w:rsidRPr="00200DF5">
        <w:rPr>
          <w:rFonts w:eastAsia="Times New Roman" w:cs="Arial"/>
          <w:color w:val="000000"/>
          <w:szCs w:val="20"/>
        </w:rPr>
        <w:t xml:space="preserve"> (</w:t>
      </w:r>
      <w:r w:rsidRPr="00200DF5">
        <w:rPr>
          <w:rFonts w:eastAsia="Times New Roman" w:cs="Arial"/>
          <w:color w:val="000000"/>
          <w:szCs w:val="20"/>
          <w:lang w:val="en-US"/>
        </w:rPr>
        <w:t>Reversing</w:t>
      </w:r>
      <w:r w:rsidRPr="00200DF5">
        <w:rPr>
          <w:rFonts w:eastAsia="Times New Roman" w:cs="Arial"/>
          <w:color w:val="000000"/>
          <w:szCs w:val="20"/>
        </w:rPr>
        <w:t xml:space="preserve"> </w:t>
      </w:r>
      <w:r w:rsidRPr="00200DF5">
        <w:rPr>
          <w:rFonts w:eastAsia="Times New Roman" w:cs="Arial"/>
          <w:color w:val="000000"/>
          <w:szCs w:val="20"/>
          <w:lang w:val="en-US"/>
        </w:rPr>
        <w:t>Atherosclerosis</w:t>
      </w:r>
      <w:r w:rsidRPr="00200DF5">
        <w:rPr>
          <w:rFonts w:eastAsia="Times New Roman" w:cs="Arial"/>
          <w:color w:val="000000"/>
          <w:szCs w:val="20"/>
        </w:rPr>
        <w:t xml:space="preserve"> </w:t>
      </w:r>
      <w:r w:rsidRPr="00200DF5">
        <w:rPr>
          <w:rFonts w:eastAsia="Times New Roman" w:cs="Arial"/>
          <w:color w:val="000000"/>
          <w:szCs w:val="20"/>
          <w:lang w:val="en-US"/>
        </w:rPr>
        <w:t>with</w:t>
      </w:r>
      <w:r w:rsidRPr="00200DF5">
        <w:rPr>
          <w:rFonts w:eastAsia="Times New Roman" w:cs="Arial"/>
          <w:color w:val="000000"/>
          <w:szCs w:val="20"/>
        </w:rPr>
        <w:t xml:space="preserve"> </w:t>
      </w:r>
      <w:r w:rsidRPr="00200DF5">
        <w:rPr>
          <w:rFonts w:eastAsia="Times New Roman" w:cs="Arial"/>
          <w:color w:val="000000"/>
          <w:szCs w:val="20"/>
          <w:lang w:val="en-US"/>
        </w:rPr>
        <w:t>Aggressive</w:t>
      </w:r>
      <w:r w:rsidRPr="00200DF5">
        <w:rPr>
          <w:rFonts w:eastAsia="Times New Roman" w:cs="Arial"/>
          <w:color w:val="000000"/>
          <w:szCs w:val="20"/>
        </w:rPr>
        <w:t xml:space="preserve"> </w:t>
      </w:r>
      <w:r w:rsidRPr="00200DF5">
        <w:rPr>
          <w:rFonts w:eastAsia="Times New Roman" w:cs="Arial"/>
          <w:color w:val="000000"/>
          <w:szCs w:val="20"/>
          <w:lang w:val="en-US"/>
        </w:rPr>
        <w:t>Lipid</w:t>
      </w:r>
      <w:r w:rsidRPr="00200DF5">
        <w:rPr>
          <w:rFonts w:eastAsia="Times New Roman" w:cs="Arial"/>
          <w:color w:val="000000"/>
          <w:szCs w:val="20"/>
        </w:rPr>
        <w:t xml:space="preserve"> </w:t>
      </w:r>
      <w:r w:rsidRPr="00200DF5">
        <w:rPr>
          <w:rFonts w:eastAsia="Times New Roman" w:cs="Arial"/>
          <w:color w:val="000000"/>
          <w:szCs w:val="20"/>
          <w:lang w:val="en-US"/>
        </w:rPr>
        <w:t>Lowering</w:t>
      </w:r>
      <w:r w:rsidRPr="00200DF5">
        <w:rPr>
          <w:rFonts w:eastAsia="Times New Roman" w:cs="Arial"/>
          <w:color w:val="000000"/>
          <w:szCs w:val="20"/>
        </w:rPr>
        <w:t xml:space="preserve"> </w:t>
      </w:r>
      <w:r w:rsidRPr="00200DF5">
        <w:rPr>
          <w:rFonts w:eastAsia="Times New Roman" w:cs="Arial"/>
          <w:color w:val="000000"/>
          <w:szCs w:val="20"/>
          <w:lang w:val="en-US"/>
        </w:rPr>
        <w:t>Study</w:t>
      </w:r>
      <w:r w:rsidRPr="00200DF5">
        <w:rPr>
          <w:rFonts w:eastAsia="Times New Roman" w:cs="Arial"/>
          <w:color w:val="000000"/>
          <w:szCs w:val="20"/>
        </w:rPr>
        <w:t xml:space="preserve">- </w:t>
      </w:r>
      <w:r w:rsidRPr="00200DF5">
        <w:rPr>
          <w:rFonts w:eastAsia="Times New Roman" w:cs="Arial"/>
          <w:color w:val="000000"/>
          <w:szCs w:val="20"/>
          <w:lang w:eastAsia="bg-BG"/>
        </w:rPr>
        <w:t xml:space="preserve">Реверсия на атеросклерозата чрез агресивно липидно понижаване) ефектът на интензивно понижаване на липидите с аторвастатин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и стандартно </w:t>
      </w:r>
      <w:r w:rsidRPr="00200DF5">
        <w:rPr>
          <w:rFonts w:eastAsia="Times New Roman" w:cs="Arial"/>
          <w:color w:val="000000"/>
          <w:szCs w:val="20"/>
          <w:lang w:eastAsia="bg-BG"/>
        </w:rPr>
        <w:lastRenderedPageBreak/>
        <w:t xml:space="preserve">понижаване на липидите с правастатин 40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при коронарна атеросклероза е оценен чрез вътресъдово ултразвуково изследване </w:t>
      </w:r>
      <w:r w:rsidRPr="00200DF5">
        <w:rPr>
          <w:rFonts w:eastAsia="Times New Roman" w:cs="Arial"/>
          <w:color w:val="000000"/>
          <w:szCs w:val="20"/>
        </w:rPr>
        <w:t>(</w:t>
      </w:r>
      <w:r w:rsidRPr="00200DF5">
        <w:rPr>
          <w:rFonts w:eastAsia="Times New Roman" w:cs="Arial"/>
          <w:color w:val="000000"/>
          <w:szCs w:val="20"/>
          <w:lang w:val="en-US"/>
        </w:rPr>
        <w:t>IVUS</w:t>
      </w:r>
      <w:r w:rsidRPr="00200DF5">
        <w:rPr>
          <w:rFonts w:eastAsia="Times New Roman" w:cs="Arial"/>
          <w:color w:val="000000"/>
          <w:szCs w:val="20"/>
        </w:rPr>
        <w:t xml:space="preserve">) </w:t>
      </w:r>
      <w:r w:rsidRPr="00200DF5">
        <w:rPr>
          <w:rFonts w:eastAsia="Times New Roman" w:cs="Arial"/>
          <w:color w:val="000000"/>
          <w:szCs w:val="20"/>
          <w:lang w:eastAsia="bg-BG"/>
        </w:rPr>
        <w:t xml:space="preserve">по време на ангиография при пациенти с исхемични болест на сърцето (ИБС). В това рандомизирано, двойно сляпо, мултицентрово, контролирано клинично проучване </w:t>
      </w:r>
      <w:r w:rsidRPr="00200DF5">
        <w:rPr>
          <w:rFonts w:eastAsia="Times New Roman" w:cs="Arial"/>
          <w:color w:val="000000"/>
          <w:szCs w:val="20"/>
          <w:lang w:val="en-US"/>
        </w:rPr>
        <w:t>IVUS</w:t>
      </w:r>
      <w:r w:rsidRPr="00200DF5">
        <w:rPr>
          <w:rFonts w:eastAsia="Times New Roman" w:cs="Arial"/>
          <w:color w:val="000000"/>
          <w:szCs w:val="20"/>
          <w:lang w:val="ru-RU"/>
        </w:rPr>
        <w:t xml:space="preserve"> </w:t>
      </w:r>
      <w:r w:rsidRPr="00200DF5">
        <w:rPr>
          <w:rFonts w:eastAsia="Times New Roman" w:cs="Arial"/>
          <w:color w:val="000000"/>
          <w:szCs w:val="20"/>
          <w:lang w:eastAsia="bg-BG"/>
        </w:rPr>
        <w:t>е направен в началото на проучването и на 18-ия месец при 502 пациенти. В групата на аторвастатин (</w:t>
      </w:r>
      <w:r w:rsidRPr="00200DF5">
        <w:rPr>
          <w:rFonts w:eastAsia="Times New Roman" w:cs="Arial"/>
          <w:color w:val="000000"/>
          <w:szCs w:val="20"/>
          <w:lang w:val="en-US"/>
        </w:rPr>
        <w:t>n</w:t>
      </w:r>
      <w:r w:rsidRPr="00200DF5">
        <w:rPr>
          <w:rFonts w:eastAsia="Times New Roman" w:cs="Arial"/>
          <w:color w:val="000000"/>
          <w:szCs w:val="20"/>
          <w:lang w:eastAsia="bg-BG"/>
        </w:rPr>
        <w:t xml:space="preserve"> = 253) няма прогресия на атеросклерозата. Средният процент на промяна в общия обем на атеросклеротичната плака от началото на проучването (първичен критерий на проучването) е - 0,4% (р=0,98) в групата на аторвастатин и +2,7% (р=0,001) в групата на правастатин (</w:t>
      </w:r>
      <w:r w:rsidRPr="00200DF5">
        <w:rPr>
          <w:rFonts w:eastAsia="Times New Roman" w:cs="Arial"/>
          <w:color w:val="000000"/>
          <w:szCs w:val="20"/>
          <w:lang w:val="en-US"/>
        </w:rPr>
        <w:t>n</w:t>
      </w:r>
      <w:r w:rsidRPr="00200DF5">
        <w:rPr>
          <w:rFonts w:eastAsia="Times New Roman" w:cs="Arial"/>
          <w:color w:val="000000"/>
          <w:szCs w:val="20"/>
          <w:lang w:eastAsia="bg-BG"/>
        </w:rPr>
        <w:t>=249). В сравнение с правастатин ефектите на аторвастатин са статистически значими (р=0,02). Ефектът на интензивното липидно понижаване върху сърдечно-съдовата крайна цел (например необходимост от реваскуларизация, нефатален миокарден инфаркт, коронарна смърт) не е изследван в това проучване.</w:t>
      </w:r>
    </w:p>
    <w:p w14:paraId="6AFF467D" w14:textId="77777777" w:rsidR="00200DF5" w:rsidRPr="00200DF5" w:rsidRDefault="00200DF5" w:rsidP="00200DF5">
      <w:pPr>
        <w:spacing w:line="240" w:lineRule="auto"/>
        <w:rPr>
          <w:rFonts w:eastAsia="Times New Roman" w:cs="Arial"/>
          <w:color w:val="000000"/>
          <w:szCs w:val="20"/>
          <w:lang w:eastAsia="bg-BG"/>
        </w:rPr>
      </w:pPr>
    </w:p>
    <w:p w14:paraId="779D6FC7" w14:textId="44A437D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групата на аторвастатин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холестеролът се е понижил до средна стойност от 2,04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+ 0,8 (78,9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eastAsia="bg-BG"/>
        </w:rPr>
        <w:t xml:space="preserve">+ЗО) спрямо изходната стойност от 3,98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+ 0,7 (150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+ 28), а в групата на правастатин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холестеролът се е понижил до средна стойност от 2,85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+ 0,7 (110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+ 26) спрямо изходната стойност от 3,89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+ 0,7 (150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+ 26) (р &lt; 0,0001). Аторвастатин също така значително е намалил средните стойности на общия холестерол с 34,1% (правастатин: - 18,4 %, р=0,0001), средните нива на триглицеридите с 20% (правастатин: -6,8%, р&lt;0,0009) и средния аполипопротеин В с 39,1% (правастатин: -22,0%, р=0,0001). Аторвастатин е повишил средния </w:t>
      </w:r>
      <w:r w:rsidRPr="00200DF5">
        <w:rPr>
          <w:rFonts w:eastAsia="Times New Roman" w:cs="Arial"/>
          <w:color w:val="000000"/>
          <w:szCs w:val="20"/>
          <w:lang w:val="en-US"/>
        </w:rPr>
        <w:t>HDL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холестерол средно с 2,9% (правастатин: +5,6%, </w:t>
      </w:r>
      <w:r w:rsidRPr="00200DF5">
        <w:rPr>
          <w:rFonts w:eastAsia="Times New Roman" w:cs="Arial"/>
          <w:color w:val="000000"/>
          <w:szCs w:val="20"/>
          <w:lang w:val="en-US"/>
        </w:rPr>
        <w:t>p</w:t>
      </w:r>
      <w:r w:rsidRPr="00200DF5">
        <w:rPr>
          <w:rFonts w:eastAsia="Times New Roman" w:cs="Arial"/>
          <w:color w:val="000000"/>
          <w:szCs w:val="20"/>
          <w:lang w:val="ru-RU"/>
        </w:rPr>
        <w:t>=</w:t>
      </w:r>
      <w:r w:rsidRPr="00200DF5">
        <w:rPr>
          <w:rFonts w:eastAsia="Times New Roman" w:cs="Arial"/>
          <w:color w:val="000000"/>
          <w:szCs w:val="20"/>
          <w:lang w:val="en-US"/>
        </w:rPr>
        <w:t>NS</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Има средно намаление от 36,4% на С-реактивния протеин в групата на аторвастатин в сравнение с намаление от 5,2% в групата на правастатин Резултатите от проучването са получени при дозировка от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Следователно,</w:t>
      </w:r>
      <w:r w:rsidRPr="00200DF5">
        <w:rPr>
          <w:rFonts w:eastAsia="Times New Roman" w:cs="Arial"/>
          <w:color w:val="000000"/>
          <w:szCs w:val="20"/>
          <w:lang w:val="ru-RU"/>
        </w:rPr>
        <w:t xml:space="preserve"> </w:t>
      </w:r>
      <w:r w:rsidRPr="00200DF5">
        <w:rPr>
          <w:rFonts w:eastAsia="Times New Roman" w:cs="Arial"/>
          <w:color w:val="000000"/>
          <w:szCs w:val="20"/>
          <w:lang w:eastAsia="bg-BG"/>
        </w:rPr>
        <w:t>те не могат да се екстраполират върху по-ниските дозировки.</w:t>
      </w:r>
    </w:p>
    <w:p w14:paraId="5A700D0F" w14:textId="77777777" w:rsidR="00200DF5" w:rsidRPr="00200DF5" w:rsidRDefault="00200DF5" w:rsidP="00200DF5">
      <w:pPr>
        <w:rPr>
          <w:rFonts w:eastAsia="Times New Roman" w:cs="Arial"/>
          <w:color w:val="000000"/>
          <w:szCs w:val="20"/>
          <w:lang w:eastAsia="bg-BG"/>
        </w:rPr>
      </w:pPr>
    </w:p>
    <w:p w14:paraId="692136D1" w14:textId="17B1E7CC"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Профилите на безопасност и поносимост в двете лекувани групи са били сравними.</w:t>
      </w:r>
    </w:p>
    <w:p w14:paraId="1F162D71" w14:textId="30DA0199" w:rsidR="00200DF5" w:rsidRPr="00200DF5" w:rsidRDefault="00200DF5" w:rsidP="00200DF5">
      <w:pPr>
        <w:rPr>
          <w:rFonts w:eastAsia="Times New Roman" w:cs="Arial"/>
          <w:color w:val="000000"/>
          <w:szCs w:val="20"/>
          <w:lang w:eastAsia="bg-BG"/>
        </w:rPr>
      </w:pPr>
    </w:p>
    <w:p w14:paraId="0D7B59C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Ефектът от силния понижашащ липидите ефект върху смъртността и заболяваемостта не е изследван в това проучване. Следователно не е ясно клиничното значение на</w:t>
      </w:r>
      <w:r w:rsidRPr="00200DF5">
        <w:rPr>
          <w:rFonts w:eastAsia="Times New Roman" w:cs="Arial"/>
          <w:color w:val="000000"/>
          <w:szCs w:val="20"/>
          <w:lang w:val="ru-RU"/>
        </w:rPr>
        <w:t xml:space="preserve"> </w:t>
      </w:r>
      <w:r w:rsidRPr="00200DF5">
        <w:rPr>
          <w:rFonts w:eastAsia="Times New Roman" w:cs="Arial"/>
          <w:color w:val="000000"/>
          <w:szCs w:val="20"/>
          <w:lang w:eastAsia="bg-BG"/>
        </w:rPr>
        <w:t>тези представени резултати относто първична и вторична профилактика на сърдечно-съдови заболявания.</w:t>
      </w:r>
    </w:p>
    <w:p w14:paraId="5F17423B" w14:textId="77777777" w:rsidR="00200DF5" w:rsidRPr="00200DF5" w:rsidRDefault="00200DF5" w:rsidP="00200DF5">
      <w:pPr>
        <w:spacing w:line="240" w:lineRule="auto"/>
        <w:rPr>
          <w:rFonts w:eastAsia="Times New Roman" w:cs="Arial"/>
          <w:color w:val="000000"/>
          <w:szCs w:val="20"/>
          <w:u w:val="single"/>
          <w:lang w:eastAsia="bg-BG"/>
        </w:rPr>
      </w:pPr>
    </w:p>
    <w:p w14:paraId="5030CC0A" w14:textId="49ABCE54"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Остър коронарен синдром</w:t>
      </w:r>
    </w:p>
    <w:p w14:paraId="7B1068CE"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проучването </w:t>
      </w:r>
      <w:r w:rsidRPr="00200DF5">
        <w:rPr>
          <w:rFonts w:eastAsia="Times New Roman" w:cs="Arial"/>
          <w:color w:val="000000"/>
          <w:szCs w:val="20"/>
          <w:lang w:val="en-US"/>
        </w:rPr>
        <w:t>MIRACL</w:t>
      </w:r>
      <w:r w:rsidRPr="00200DF5">
        <w:rPr>
          <w:rFonts w:eastAsia="Times New Roman" w:cs="Arial"/>
          <w:color w:val="000000"/>
          <w:szCs w:val="20"/>
        </w:rPr>
        <w:t xml:space="preserve"> </w:t>
      </w:r>
      <w:r w:rsidRPr="00200DF5">
        <w:rPr>
          <w:rFonts w:eastAsia="Times New Roman" w:cs="Arial"/>
          <w:color w:val="000000"/>
          <w:szCs w:val="20"/>
          <w:lang w:eastAsia="bg-BG"/>
        </w:rPr>
        <w:t xml:space="preserve">се оценява аторвастатин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при 3086 пациенти (аторвастатин </w:t>
      </w:r>
      <w:r w:rsidRPr="00200DF5">
        <w:rPr>
          <w:rFonts w:eastAsia="Times New Roman" w:cs="Arial"/>
          <w:color w:val="000000"/>
          <w:szCs w:val="20"/>
          <w:lang w:val="en-US"/>
        </w:rPr>
        <w:t>n</w:t>
      </w:r>
      <w:r w:rsidRPr="00200DF5">
        <w:rPr>
          <w:rFonts w:eastAsia="Times New Roman" w:cs="Arial"/>
          <w:color w:val="000000"/>
          <w:szCs w:val="20"/>
          <w:lang w:eastAsia="bg-BG"/>
        </w:rPr>
        <w:t xml:space="preserve">=1538; плацебо </w:t>
      </w:r>
      <w:r w:rsidRPr="00200DF5">
        <w:rPr>
          <w:rFonts w:eastAsia="Times New Roman" w:cs="Arial"/>
          <w:color w:val="000000"/>
          <w:szCs w:val="20"/>
          <w:lang w:val="en-US"/>
        </w:rPr>
        <w:t>n</w:t>
      </w:r>
      <w:r w:rsidRPr="00200DF5">
        <w:rPr>
          <w:rFonts w:eastAsia="Times New Roman" w:cs="Arial"/>
          <w:color w:val="000000"/>
          <w:szCs w:val="20"/>
          <w:lang w:eastAsia="bg-BG"/>
        </w:rPr>
        <w:t xml:space="preserve">=1548) с остър коронарен синдром </w:t>
      </w:r>
      <w:r w:rsidRPr="00200DF5">
        <w:rPr>
          <w:rFonts w:eastAsia="Times New Roman" w:cs="Arial"/>
          <w:color w:val="000000"/>
          <w:szCs w:val="20"/>
        </w:rPr>
        <w:t>(</w:t>
      </w:r>
      <w:r w:rsidRPr="00200DF5">
        <w:rPr>
          <w:rFonts w:eastAsia="Times New Roman" w:cs="Arial"/>
          <w:color w:val="000000"/>
          <w:szCs w:val="20"/>
          <w:lang w:val="en-US"/>
        </w:rPr>
        <w:t>non</w:t>
      </w:r>
      <w:r w:rsidRPr="00200DF5">
        <w:rPr>
          <w:rFonts w:eastAsia="Times New Roman" w:cs="Arial"/>
          <w:color w:val="000000"/>
          <w:szCs w:val="20"/>
        </w:rPr>
        <w:t>-</w:t>
      </w:r>
      <w:r w:rsidRPr="00200DF5">
        <w:rPr>
          <w:rFonts w:eastAsia="Times New Roman" w:cs="Arial"/>
          <w:color w:val="000000"/>
          <w:szCs w:val="20"/>
          <w:lang w:val="en-US"/>
        </w:rPr>
        <w:t>Q</w:t>
      </w:r>
      <w:r w:rsidRPr="00200DF5">
        <w:rPr>
          <w:rFonts w:eastAsia="Times New Roman" w:cs="Arial"/>
          <w:color w:val="000000"/>
          <w:szCs w:val="20"/>
        </w:rPr>
        <w:t xml:space="preserve"> </w:t>
      </w:r>
      <w:r w:rsidRPr="00200DF5">
        <w:rPr>
          <w:rFonts w:eastAsia="Times New Roman" w:cs="Arial"/>
          <w:color w:val="000000"/>
          <w:szCs w:val="20"/>
          <w:lang w:eastAsia="bg-BG"/>
        </w:rPr>
        <w:t xml:space="preserve">миокарден инфаркт или нестабилна ангина пекторис). Лечението е започнато по време на острата фаза след хоспитализирането и е продължило за период от 16 седмици. Лечението с 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дневно увеличава времето до поява на комбинираната първична крайна точка, определена като смърт, независимо от причината, нефатален миокарден инфаркт, ресусцитиран сърдечен арест или ангина пекторис с данни за исхемия на миокарда, налагаща хоспитализация, показвайки редукция на риска с 16% (р=0,048). Това е предимно вследствие на 26% редукция на рехоспитализацията за ангина пекторис с данни за исхемия на миокарда (р=0,018). Другите вторични крайни точки не достигат статичиска значимост сами по себе си (общо: плацебо: 22,2%, аторвастатин: 22,4%).</w:t>
      </w:r>
    </w:p>
    <w:p w14:paraId="3F91AA7C"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Профилът на безопасност на аторвастатин в проучването </w:t>
      </w:r>
      <w:r w:rsidRPr="00200DF5">
        <w:rPr>
          <w:rFonts w:eastAsia="Times New Roman" w:cs="Arial"/>
          <w:color w:val="000000"/>
          <w:szCs w:val="20"/>
          <w:lang w:val="en-US"/>
        </w:rPr>
        <w:t>MIRACL</w:t>
      </w:r>
      <w:r w:rsidRPr="00200DF5">
        <w:rPr>
          <w:rFonts w:eastAsia="Times New Roman" w:cs="Arial"/>
          <w:color w:val="000000"/>
          <w:szCs w:val="20"/>
          <w:lang w:val="ru-RU"/>
        </w:rPr>
        <w:t xml:space="preserve"> </w:t>
      </w:r>
      <w:r w:rsidRPr="00200DF5">
        <w:rPr>
          <w:rFonts w:eastAsia="Times New Roman" w:cs="Arial"/>
          <w:color w:val="000000"/>
          <w:szCs w:val="20"/>
          <w:lang w:eastAsia="bg-BG"/>
        </w:rPr>
        <w:t>съотвества на описаният в раздел 4.8.</w:t>
      </w:r>
    </w:p>
    <w:p w14:paraId="41D03956" w14:textId="77777777" w:rsidR="00200DF5" w:rsidRPr="00200DF5" w:rsidRDefault="00200DF5" w:rsidP="00200DF5">
      <w:pPr>
        <w:spacing w:line="240" w:lineRule="auto"/>
        <w:rPr>
          <w:rFonts w:eastAsia="Times New Roman" w:cs="Arial"/>
          <w:color w:val="000000"/>
          <w:szCs w:val="20"/>
          <w:u w:val="single"/>
          <w:lang w:eastAsia="bg-BG"/>
        </w:rPr>
      </w:pPr>
    </w:p>
    <w:p w14:paraId="5246366E" w14:textId="1A54C9D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Профилактика на сърдечно-съдово заболяване</w:t>
      </w:r>
    </w:p>
    <w:p w14:paraId="6AA2FC9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Ефектът на аторвастатин върху фатална и не-фатална исхемична болест на сърцето е оценен в рандомизирано, двойно-сляпо, плацебо-контролирано проучване, </w:t>
      </w:r>
      <w:r w:rsidRPr="00200DF5">
        <w:rPr>
          <w:rFonts w:eastAsia="Times New Roman" w:cs="Arial"/>
          <w:color w:val="000000"/>
          <w:szCs w:val="20"/>
          <w:lang w:val="en-US"/>
        </w:rPr>
        <w:t>Anglo</w:t>
      </w:r>
      <w:r w:rsidRPr="00200DF5">
        <w:rPr>
          <w:rFonts w:eastAsia="Times New Roman" w:cs="Arial"/>
          <w:color w:val="000000"/>
          <w:szCs w:val="20"/>
        </w:rPr>
        <w:t>-</w:t>
      </w:r>
      <w:r w:rsidRPr="00200DF5">
        <w:rPr>
          <w:rFonts w:eastAsia="Times New Roman" w:cs="Arial"/>
          <w:color w:val="000000"/>
          <w:szCs w:val="20"/>
          <w:lang w:val="en-US"/>
        </w:rPr>
        <w:lastRenderedPageBreak/>
        <w:t>Scandinavian</w:t>
      </w:r>
      <w:r w:rsidRPr="00200DF5">
        <w:rPr>
          <w:rFonts w:eastAsia="Times New Roman" w:cs="Arial"/>
          <w:color w:val="000000"/>
          <w:szCs w:val="20"/>
        </w:rPr>
        <w:t xml:space="preserve"> </w:t>
      </w:r>
      <w:r w:rsidRPr="00200DF5">
        <w:rPr>
          <w:rFonts w:eastAsia="Times New Roman" w:cs="Arial"/>
          <w:color w:val="000000"/>
          <w:szCs w:val="20"/>
          <w:lang w:val="en-US"/>
        </w:rPr>
        <w:t>Cardiac</w:t>
      </w:r>
      <w:r w:rsidRPr="00200DF5">
        <w:rPr>
          <w:rFonts w:eastAsia="Times New Roman" w:cs="Arial"/>
          <w:color w:val="000000"/>
          <w:szCs w:val="20"/>
        </w:rPr>
        <w:t xml:space="preserve"> </w:t>
      </w:r>
      <w:r w:rsidRPr="00200DF5">
        <w:rPr>
          <w:rFonts w:eastAsia="Times New Roman" w:cs="Arial"/>
          <w:color w:val="000000"/>
          <w:szCs w:val="20"/>
          <w:lang w:val="en-US"/>
        </w:rPr>
        <w:t>Outcomes</w:t>
      </w:r>
      <w:r w:rsidRPr="00200DF5">
        <w:rPr>
          <w:rFonts w:eastAsia="Times New Roman" w:cs="Arial"/>
          <w:color w:val="000000"/>
          <w:szCs w:val="20"/>
        </w:rPr>
        <w:t xml:space="preserve"> </w:t>
      </w:r>
      <w:r w:rsidRPr="00200DF5">
        <w:rPr>
          <w:rFonts w:eastAsia="Times New Roman" w:cs="Arial"/>
          <w:color w:val="000000"/>
          <w:szCs w:val="20"/>
          <w:lang w:val="en-US"/>
        </w:rPr>
        <w:t>Trial</w:t>
      </w:r>
      <w:r w:rsidRPr="00200DF5">
        <w:rPr>
          <w:rFonts w:eastAsia="Times New Roman" w:cs="Arial"/>
          <w:color w:val="000000"/>
          <w:szCs w:val="20"/>
        </w:rPr>
        <w:t xml:space="preserve"> </w:t>
      </w:r>
      <w:r w:rsidRPr="00200DF5">
        <w:rPr>
          <w:rFonts w:eastAsia="Times New Roman" w:cs="Arial"/>
          <w:color w:val="000000"/>
          <w:szCs w:val="20"/>
          <w:lang w:val="en-US"/>
        </w:rPr>
        <w:t>Lipid</w:t>
      </w:r>
      <w:r w:rsidRPr="00200DF5">
        <w:rPr>
          <w:rFonts w:eastAsia="Times New Roman" w:cs="Arial"/>
          <w:color w:val="000000"/>
          <w:szCs w:val="20"/>
        </w:rPr>
        <w:t xml:space="preserve"> </w:t>
      </w:r>
      <w:r w:rsidRPr="00200DF5">
        <w:rPr>
          <w:rFonts w:eastAsia="Times New Roman" w:cs="Arial"/>
          <w:color w:val="000000"/>
          <w:szCs w:val="20"/>
          <w:lang w:val="en-US"/>
        </w:rPr>
        <w:t>Lowering</w:t>
      </w:r>
      <w:r w:rsidRPr="00200DF5">
        <w:rPr>
          <w:rFonts w:eastAsia="Times New Roman" w:cs="Arial"/>
          <w:color w:val="000000"/>
          <w:szCs w:val="20"/>
        </w:rPr>
        <w:t xml:space="preserve"> </w:t>
      </w:r>
      <w:r w:rsidRPr="00200DF5">
        <w:rPr>
          <w:rFonts w:eastAsia="Times New Roman" w:cs="Arial"/>
          <w:color w:val="000000"/>
          <w:szCs w:val="20"/>
          <w:lang w:val="en-US"/>
        </w:rPr>
        <w:t>Arm</w:t>
      </w:r>
      <w:r w:rsidRPr="00200DF5">
        <w:rPr>
          <w:rFonts w:eastAsia="Times New Roman" w:cs="Arial"/>
          <w:color w:val="000000"/>
          <w:szCs w:val="20"/>
        </w:rPr>
        <w:t xml:space="preserve"> (</w:t>
      </w:r>
      <w:r w:rsidRPr="00200DF5">
        <w:rPr>
          <w:rFonts w:eastAsia="Times New Roman" w:cs="Arial"/>
          <w:color w:val="000000"/>
          <w:szCs w:val="20"/>
          <w:lang w:val="en-US"/>
        </w:rPr>
        <w:t>ASCOT</w:t>
      </w:r>
      <w:r w:rsidRPr="00200DF5">
        <w:rPr>
          <w:rFonts w:eastAsia="Times New Roman" w:cs="Arial"/>
          <w:color w:val="000000"/>
          <w:szCs w:val="20"/>
        </w:rPr>
        <w:t>-</w:t>
      </w:r>
      <w:r w:rsidRPr="00200DF5">
        <w:rPr>
          <w:rFonts w:eastAsia="Times New Roman" w:cs="Arial"/>
          <w:color w:val="000000"/>
          <w:szCs w:val="20"/>
          <w:lang w:val="en-US"/>
        </w:rPr>
        <w:t>LLA</w:t>
      </w:r>
      <w:r w:rsidRPr="00200DF5">
        <w:rPr>
          <w:rFonts w:eastAsia="Times New Roman" w:cs="Arial"/>
          <w:color w:val="000000"/>
          <w:szCs w:val="20"/>
        </w:rPr>
        <w:t xml:space="preserve">). </w:t>
      </w:r>
      <w:r w:rsidRPr="00200DF5">
        <w:rPr>
          <w:rFonts w:eastAsia="Times New Roman" w:cs="Arial"/>
          <w:color w:val="000000"/>
          <w:szCs w:val="20"/>
          <w:lang w:eastAsia="bg-BG"/>
        </w:rPr>
        <w:t xml:space="preserve">Пациентите са </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хипертония, 40-79-годишни, без предходен миокарден инфаркт или лечение за стенокардия и с нива на общ холестерол (ОХ) &lt;6,5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(251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Всички пациенти са имали най-малко 3 предварително дефинирани сърдечно-съдови рискови фактори: мъжки пол, възраст &gt; 55 години, пушене, диабет, анамнеза за ИБС при родственик от първа линия, </w:t>
      </w:r>
      <w:r w:rsidRPr="00200DF5">
        <w:rPr>
          <w:rFonts w:eastAsia="Times New Roman" w:cs="Arial"/>
          <w:color w:val="000000"/>
          <w:szCs w:val="20"/>
          <w:lang w:val="en-US"/>
        </w:rPr>
        <w:t>OX</w:t>
      </w:r>
      <w:r w:rsidRPr="00200DF5">
        <w:rPr>
          <w:rFonts w:eastAsia="Times New Roman" w:cs="Arial"/>
          <w:color w:val="000000"/>
          <w:szCs w:val="20"/>
          <w:lang w:val="ru-RU"/>
        </w:rPr>
        <w:t>:</w:t>
      </w:r>
      <w:r w:rsidRPr="00200DF5">
        <w:rPr>
          <w:rFonts w:eastAsia="Times New Roman" w:cs="Arial"/>
          <w:color w:val="000000"/>
          <w:szCs w:val="20"/>
          <w:lang w:val="en-US"/>
        </w:rPr>
        <w:t>HDL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&gt;6, периферно съдово заболяване, левокамерна хипертрофия, предходен мозъчно-съдов инцидент, специфична ЕКГ аномалия, протеинурия/албуминурия. Не всички включени пациенти са преценени като пациенти с висок риск за първи сърдечно-съдов инцидент.</w:t>
      </w:r>
    </w:p>
    <w:p w14:paraId="33F516B2" w14:textId="77777777" w:rsidR="00200DF5" w:rsidRPr="00200DF5" w:rsidRDefault="00200DF5" w:rsidP="00200DF5">
      <w:pPr>
        <w:spacing w:line="240" w:lineRule="auto"/>
        <w:rPr>
          <w:rFonts w:eastAsia="Times New Roman" w:cs="Arial"/>
          <w:color w:val="000000"/>
          <w:szCs w:val="20"/>
          <w:lang w:eastAsia="bg-BG"/>
        </w:rPr>
      </w:pPr>
    </w:p>
    <w:p w14:paraId="09C02204" w14:textId="6C34783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Пациентите са лекувани с антихипертензивна терапия (или амлодипин - базиран режим, или атенолол - базиран режим), както и аторвастатин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дневно (</w:t>
      </w:r>
      <w:r w:rsidRPr="00200DF5">
        <w:rPr>
          <w:rFonts w:eastAsia="Times New Roman" w:cs="Arial"/>
          <w:color w:val="000000"/>
          <w:szCs w:val="20"/>
          <w:lang w:val="en-US"/>
        </w:rPr>
        <w:t>n</w:t>
      </w:r>
      <w:r w:rsidRPr="00200DF5">
        <w:rPr>
          <w:rFonts w:eastAsia="Times New Roman" w:cs="Arial"/>
          <w:color w:val="000000"/>
          <w:szCs w:val="20"/>
          <w:lang w:eastAsia="bg-BG"/>
        </w:rPr>
        <w:t>=5,168) или плацебо (</w:t>
      </w:r>
      <w:r w:rsidRPr="00200DF5">
        <w:rPr>
          <w:rFonts w:eastAsia="Times New Roman" w:cs="Arial"/>
          <w:color w:val="000000"/>
          <w:szCs w:val="20"/>
          <w:lang w:val="en-US"/>
        </w:rPr>
        <w:t>n</w:t>
      </w:r>
      <w:r w:rsidRPr="00200DF5">
        <w:rPr>
          <w:rFonts w:eastAsia="Times New Roman" w:cs="Arial"/>
          <w:color w:val="000000"/>
          <w:szCs w:val="20"/>
          <w:lang w:eastAsia="bg-BG"/>
        </w:rPr>
        <w:t>=5,137).</w:t>
      </w:r>
    </w:p>
    <w:p w14:paraId="367C113E" w14:textId="2EE99126" w:rsid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Ефектът за намаляване на абсолютния и относителния риск с аторвастатин е бил както следва:</w:t>
      </w:r>
    </w:p>
    <w:tbl>
      <w:tblPr>
        <w:tblStyle w:val="TableGrid"/>
        <w:tblW w:w="0" w:type="auto"/>
        <w:tblLook w:val="04A0" w:firstRow="1" w:lastRow="0" w:firstColumn="1" w:lastColumn="0" w:noHBand="0" w:noVBand="1"/>
      </w:tblPr>
      <w:tblGrid>
        <w:gridCol w:w="2473"/>
        <w:gridCol w:w="1771"/>
        <w:gridCol w:w="1818"/>
        <w:gridCol w:w="1691"/>
        <w:gridCol w:w="1597"/>
      </w:tblGrid>
      <w:tr w:rsidR="00200DF5" w14:paraId="338AD8F2" w14:textId="77777777" w:rsidTr="00200DF5">
        <w:tc>
          <w:tcPr>
            <w:tcW w:w="1915" w:type="dxa"/>
          </w:tcPr>
          <w:p w14:paraId="3FE90C2F" w14:textId="42A9D9E1" w:rsidR="00200DF5" w:rsidRPr="00200DF5" w:rsidRDefault="00200DF5" w:rsidP="00200DF5">
            <w:pPr>
              <w:rPr>
                <w:rFonts w:eastAsia="Times New Roman" w:cs="Arial"/>
                <w:color w:val="000000"/>
                <w:szCs w:val="20"/>
                <w:lang w:eastAsia="bg-BG"/>
              </w:rPr>
            </w:pPr>
            <w:r w:rsidRPr="00200DF5">
              <w:rPr>
                <w:szCs w:val="20"/>
              </w:rPr>
              <w:t>Инциденти</w:t>
            </w:r>
          </w:p>
        </w:tc>
        <w:tc>
          <w:tcPr>
            <w:tcW w:w="1915" w:type="dxa"/>
          </w:tcPr>
          <w:p w14:paraId="6A8539A5" w14:textId="091877D1" w:rsidR="00200DF5" w:rsidRPr="00200DF5" w:rsidRDefault="00200DF5" w:rsidP="00200DF5">
            <w:pPr>
              <w:rPr>
                <w:rFonts w:eastAsia="Times New Roman" w:cs="Arial"/>
                <w:color w:val="000000"/>
                <w:szCs w:val="20"/>
                <w:lang w:eastAsia="bg-BG"/>
              </w:rPr>
            </w:pPr>
            <w:r w:rsidRPr="00200DF5">
              <w:rPr>
                <w:szCs w:val="20"/>
              </w:rPr>
              <w:t>Относително намаление на риска (%)</w:t>
            </w:r>
          </w:p>
        </w:tc>
        <w:tc>
          <w:tcPr>
            <w:tcW w:w="1915" w:type="dxa"/>
          </w:tcPr>
          <w:p w14:paraId="14014F3A" w14:textId="0AB92FB2" w:rsidR="00200DF5" w:rsidRPr="00200DF5" w:rsidRDefault="00200DF5" w:rsidP="00200DF5">
            <w:pPr>
              <w:rPr>
                <w:rFonts w:eastAsia="Times New Roman" w:cs="Arial"/>
                <w:color w:val="000000"/>
                <w:szCs w:val="20"/>
                <w:lang w:eastAsia="bg-BG"/>
              </w:rPr>
            </w:pPr>
            <w:r w:rsidRPr="00200DF5">
              <w:rPr>
                <w:szCs w:val="20"/>
              </w:rPr>
              <w:t>Брой на инцидентите (аторвастатин спрямо плацебо)</w:t>
            </w:r>
          </w:p>
        </w:tc>
        <w:tc>
          <w:tcPr>
            <w:tcW w:w="1915" w:type="dxa"/>
          </w:tcPr>
          <w:p w14:paraId="11492736" w14:textId="7D677DED" w:rsidR="00200DF5" w:rsidRPr="00200DF5" w:rsidRDefault="00200DF5" w:rsidP="00200DF5">
            <w:pPr>
              <w:rPr>
                <w:rFonts w:eastAsia="Times New Roman" w:cs="Arial"/>
                <w:color w:val="000000"/>
                <w:szCs w:val="20"/>
                <w:lang w:eastAsia="bg-BG"/>
              </w:rPr>
            </w:pPr>
            <w:r w:rsidRPr="00200DF5">
              <w:rPr>
                <w:szCs w:val="20"/>
              </w:rPr>
              <w:t>Абсолютно намаление на риска (%)</w:t>
            </w:r>
          </w:p>
        </w:tc>
        <w:tc>
          <w:tcPr>
            <w:tcW w:w="1916" w:type="dxa"/>
          </w:tcPr>
          <w:p w14:paraId="3E71EC81" w14:textId="0656EB22" w:rsidR="00200DF5" w:rsidRPr="00200DF5" w:rsidRDefault="00200DF5" w:rsidP="00200DF5">
            <w:pPr>
              <w:rPr>
                <w:rFonts w:eastAsia="Times New Roman" w:cs="Arial"/>
                <w:color w:val="000000"/>
                <w:szCs w:val="20"/>
                <w:lang w:eastAsia="bg-BG"/>
              </w:rPr>
            </w:pPr>
            <w:r w:rsidRPr="00200DF5">
              <w:rPr>
                <w:szCs w:val="20"/>
              </w:rPr>
              <w:t>р-стойност</w:t>
            </w:r>
          </w:p>
        </w:tc>
      </w:tr>
      <w:tr w:rsidR="00200DF5" w14:paraId="00644F39" w14:textId="77777777" w:rsidTr="00200DF5">
        <w:tc>
          <w:tcPr>
            <w:tcW w:w="1915" w:type="dxa"/>
          </w:tcPr>
          <w:p w14:paraId="70B18BB6" w14:textId="4F87188B" w:rsidR="00200DF5" w:rsidRPr="00200DF5" w:rsidRDefault="00200DF5" w:rsidP="00200DF5">
            <w:pPr>
              <w:rPr>
                <w:rFonts w:eastAsia="Times New Roman" w:cs="Arial"/>
                <w:color w:val="000000"/>
                <w:szCs w:val="20"/>
                <w:lang w:eastAsia="bg-BG"/>
              </w:rPr>
            </w:pPr>
            <w:r w:rsidRPr="00200DF5">
              <w:rPr>
                <w:szCs w:val="20"/>
              </w:rPr>
              <w:t>Фатална ИБС и нефатален МИ</w:t>
            </w:r>
          </w:p>
        </w:tc>
        <w:tc>
          <w:tcPr>
            <w:tcW w:w="1915" w:type="dxa"/>
          </w:tcPr>
          <w:p w14:paraId="6649B01D" w14:textId="0CC5783F" w:rsidR="00200DF5" w:rsidRPr="00200DF5" w:rsidRDefault="00200DF5" w:rsidP="00200DF5">
            <w:pPr>
              <w:rPr>
                <w:rFonts w:eastAsia="Times New Roman" w:cs="Arial"/>
                <w:color w:val="000000"/>
                <w:szCs w:val="20"/>
                <w:lang w:eastAsia="bg-BG"/>
              </w:rPr>
            </w:pPr>
            <w:r w:rsidRPr="00200DF5">
              <w:rPr>
                <w:szCs w:val="20"/>
              </w:rPr>
              <w:t>36%</w:t>
            </w:r>
          </w:p>
        </w:tc>
        <w:tc>
          <w:tcPr>
            <w:tcW w:w="1915" w:type="dxa"/>
          </w:tcPr>
          <w:p w14:paraId="33F63110" w14:textId="0EA2C402" w:rsidR="00200DF5" w:rsidRPr="00200DF5" w:rsidRDefault="00200DF5" w:rsidP="00200DF5">
            <w:pPr>
              <w:rPr>
                <w:rFonts w:eastAsia="Times New Roman" w:cs="Arial"/>
                <w:color w:val="000000"/>
                <w:szCs w:val="20"/>
                <w:lang w:eastAsia="bg-BG"/>
              </w:rPr>
            </w:pPr>
            <w:r w:rsidRPr="00200DF5">
              <w:rPr>
                <w:szCs w:val="20"/>
              </w:rPr>
              <w:t xml:space="preserve">100 </w:t>
            </w:r>
            <w:r w:rsidRPr="00200DF5">
              <w:rPr>
                <w:szCs w:val="20"/>
                <w:lang w:val="en-US"/>
              </w:rPr>
              <w:t xml:space="preserve">vs. </w:t>
            </w:r>
            <w:r w:rsidRPr="00200DF5">
              <w:rPr>
                <w:szCs w:val="20"/>
              </w:rPr>
              <w:t>154</w:t>
            </w:r>
          </w:p>
        </w:tc>
        <w:tc>
          <w:tcPr>
            <w:tcW w:w="1915" w:type="dxa"/>
          </w:tcPr>
          <w:p w14:paraId="06C4F534" w14:textId="15464045" w:rsidR="00200DF5" w:rsidRPr="00200DF5" w:rsidRDefault="00200DF5" w:rsidP="00200DF5">
            <w:pPr>
              <w:rPr>
                <w:rFonts w:eastAsia="Times New Roman" w:cs="Arial"/>
                <w:color w:val="000000"/>
                <w:szCs w:val="20"/>
                <w:lang w:eastAsia="bg-BG"/>
              </w:rPr>
            </w:pPr>
            <w:r w:rsidRPr="00200DF5">
              <w:rPr>
                <w:szCs w:val="20"/>
              </w:rPr>
              <w:t>1.1%</w:t>
            </w:r>
          </w:p>
        </w:tc>
        <w:tc>
          <w:tcPr>
            <w:tcW w:w="1916" w:type="dxa"/>
          </w:tcPr>
          <w:p w14:paraId="4CFF7CD1" w14:textId="431C4BBE" w:rsidR="00200DF5" w:rsidRPr="00200DF5" w:rsidRDefault="00200DF5" w:rsidP="00200DF5">
            <w:pPr>
              <w:rPr>
                <w:rFonts w:eastAsia="Times New Roman" w:cs="Arial"/>
                <w:color w:val="000000"/>
                <w:szCs w:val="20"/>
                <w:lang w:eastAsia="bg-BG"/>
              </w:rPr>
            </w:pPr>
            <w:r w:rsidRPr="00200DF5">
              <w:rPr>
                <w:szCs w:val="20"/>
              </w:rPr>
              <w:t>0.0005</w:t>
            </w:r>
          </w:p>
        </w:tc>
      </w:tr>
      <w:tr w:rsidR="00200DF5" w14:paraId="415AD1AA" w14:textId="77777777" w:rsidTr="00200DF5">
        <w:tc>
          <w:tcPr>
            <w:tcW w:w="1915" w:type="dxa"/>
          </w:tcPr>
          <w:p w14:paraId="233FE366" w14:textId="2F92861A" w:rsidR="00200DF5" w:rsidRPr="00200DF5" w:rsidRDefault="00200DF5" w:rsidP="00200DF5">
            <w:pPr>
              <w:rPr>
                <w:rFonts w:eastAsia="Times New Roman" w:cs="Arial"/>
                <w:color w:val="000000"/>
                <w:szCs w:val="20"/>
                <w:lang w:eastAsia="bg-BG"/>
              </w:rPr>
            </w:pPr>
            <w:r w:rsidRPr="00200DF5">
              <w:rPr>
                <w:szCs w:val="20"/>
              </w:rPr>
              <w:t>Общо сърдечно-съдови инциденти и реваскуларизационни процедури</w:t>
            </w:r>
          </w:p>
        </w:tc>
        <w:tc>
          <w:tcPr>
            <w:tcW w:w="1915" w:type="dxa"/>
          </w:tcPr>
          <w:p w14:paraId="6503818B" w14:textId="232F5143" w:rsidR="00200DF5" w:rsidRPr="00200DF5" w:rsidRDefault="00200DF5" w:rsidP="00200DF5">
            <w:pPr>
              <w:rPr>
                <w:rFonts w:eastAsia="Times New Roman" w:cs="Arial"/>
                <w:color w:val="000000"/>
                <w:szCs w:val="20"/>
                <w:lang w:eastAsia="bg-BG"/>
              </w:rPr>
            </w:pPr>
            <w:r w:rsidRPr="00200DF5">
              <w:rPr>
                <w:szCs w:val="20"/>
              </w:rPr>
              <w:t>20%</w:t>
            </w:r>
          </w:p>
        </w:tc>
        <w:tc>
          <w:tcPr>
            <w:tcW w:w="1915" w:type="dxa"/>
          </w:tcPr>
          <w:p w14:paraId="528D9048" w14:textId="694D4B8F" w:rsidR="00200DF5" w:rsidRPr="00200DF5" w:rsidRDefault="00200DF5" w:rsidP="00200DF5">
            <w:pPr>
              <w:rPr>
                <w:rFonts w:eastAsia="Times New Roman" w:cs="Arial"/>
                <w:color w:val="000000"/>
                <w:szCs w:val="20"/>
                <w:lang w:eastAsia="bg-BG"/>
              </w:rPr>
            </w:pPr>
            <w:r w:rsidRPr="00200DF5">
              <w:rPr>
                <w:szCs w:val="20"/>
              </w:rPr>
              <w:t xml:space="preserve">389 </w:t>
            </w:r>
            <w:r w:rsidRPr="00200DF5">
              <w:rPr>
                <w:szCs w:val="20"/>
                <w:lang w:val="en-US"/>
              </w:rPr>
              <w:t xml:space="preserve">vs. </w:t>
            </w:r>
            <w:r w:rsidRPr="00200DF5">
              <w:rPr>
                <w:szCs w:val="20"/>
              </w:rPr>
              <w:t>483</w:t>
            </w:r>
          </w:p>
        </w:tc>
        <w:tc>
          <w:tcPr>
            <w:tcW w:w="1915" w:type="dxa"/>
          </w:tcPr>
          <w:p w14:paraId="1BE4EB62" w14:textId="55588D15" w:rsidR="00200DF5" w:rsidRPr="00200DF5" w:rsidRDefault="00200DF5" w:rsidP="00200DF5">
            <w:pPr>
              <w:rPr>
                <w:rFonts w:eastAsia="Times New Roman" w:cs="Arial"/>
                <w:color w:val="000000"/>
                <w:szCs w:val="20"/>
                <w:lang w:eastAsia="bg-BG"/>
              </w:rPr>
            </w:pPr>
            <w:r w:rsidRPr="00200DF5">
              <w:rPr>
                <w:szCs w:val="20"/>
              </w:rPr>
              <w:t>1.9%</w:t>
            </w:r>
          </w:p>
        </w:tc>
        <w:tc>
          <w:tcPr>
            <w:tcW w:w="1916" w:type="dxa"/>
          </w:tcPr>
          <w:p w14:paraId="3826BE2F" w14:textId="41293A31" w:rsidR="00200DF5" w:rsidRPr="00200DF5" w:rsidRDefault="00200DF5" w:rsidP="00200DF5">
            <w:pPr>
              <w:rPr>
                <w:rFonts w:eastAsia="Times New Roman" w:cs="Arial"/>
                <w:color w:val="000000"/>
                <w:szCs w:val="20"/>
                <w:lang w:eastAsia="bg-BG"/>
              </w:rPr>
            </w:pPr>
            <w:r w:rsidRPr="00200DF5">
              <w:rPr>
                <w:szCs w:val="20"/>
              </w:rPr>
              <w:t>0.0008</w:t>
            </w:r>
          </w:p>
        </w:tc>
      </w:tr>
      <w:tr w:rsidR="00200DF5" w14:paraId="58198EEF" w14:textId="77777777" w:rsidTr="00200DF5">
        <w:tc>
          <w:tcPr>
            <w:tcW w:w="1915" w:type="dxa"/>
          </w:tcPr>
          <w:p w14:paraId="542A3043" w14:textId="65AA424A" w:rsidR="00200DF5" w:rsidRPr="00200DF5" w:rsidRDefault="00200DF5" w:rsidP="00200DF5">
            <w:pPr>
              <w:rPr>
                <w:rFonts w:eastAsia="Times New Roman" w:cs="Arial"/>
                <w:color w:val="000000"/>
                <w:szCs w:val="20"/>
                <w:lang w:eastAsia="bg-BG"/>
              </w:rPr>
            </w:pPr>
            <w:r w:rsidRPr="00200DF5">
              <w:rPr>
                <w:szCs w:val="20"/>
              </w:rPr>
              <w:t>Общо коронарни инциденти</w:t>
            </w:r>
          </w:p>
        </w:tc>
        <w:tc>
          <w:tcPr>
            <w:tcW w:w="1915" w:type="dxa"/>
          </w:tcPr>
          <w:p w14:paraId="718A5B72" w14:textId="4FBDFE94" w:rsidR="00200DF5" w:rsidRPr="00200DF5" w:rsidRDefault="00200DF5" w:rsidP="00200DF5">
            <w:pPr>
              <w:rPr>
                <w:rFonts w:eastAsia="Times New Roman" w:cs="Arial"/>
                <w:color w:val="000000"/>
                <w:szCs w:val="20"/>
                <w:lang w:eastAsia="bg-BG"/>
              </w:rPr>
            </w:pPr>
            <w:r w:rsidRPr="00200DF5">
              <w:rPr>
                <w:szCs w:val="20"/>
              </w:rPr>
              <w:t>29%</w:t>
            </w:r>
          </w:p>
        </w:tc>
        <w:tc>
          <w:tcPr>
            <w:tcW w:w="1915" w:type="dxa"/>
          </w:tcPr>
          <w:p w14:paraId="63E30DD6" w14:textId="46DC4A9C" w:rsidR="00200DF5" w:rsidRPr="00200DF5" w:rsidRDefault="00200DF5" w:rsidP="00200DF5">
            <w:pPr>
              <w:rPr>
                <w:rFonts w:eastAsia="Times New Roman" w:cs="Arial"/>
                <w:color w:val="000000"/>
                <w:szCs w:val="20"/>
                <w:lang w:eastAsia="bg-BG"/>
              </w:rPr>
            </w:pPr>
            <w:r w:rsidRPr="00200DF5">
              <w:rPr>
                <w:szCs w:val="20"/>
              </w:rPr>
              <w:t xml:space="preserve">178 </w:t>
            </w:r>
            <w:r w:rsidRPr="00200DF5">
              <w:rPr>
                <w:szCs w:val="20"/>
                <w:lang w:val="en-US"/>
              </w:rPr>
              <w:t xml:space="preserve">vs. </w:t>
            </w:r>
            <w:r w:rsidRPr="00200DF5">
              <w:rPr>
                <w:szCs w:val="20"/>
              </w:rPr>
              <w:t>247</w:t>
            </w:r>
          </w:p>
        </w:tc>
        <w:tc>
          <w:tcPr>
            <w:tcW w:w="1915" w:type="dxa"/>
          </w:tcPr>
          <w:p w14:paraId="1896BA77" w14:textId="0C270A28" w:rsidR="00200DF5" w:rsidRPr="00200DF5" w:rsidRDefault="00200DF5" w:rsidP="00200DF5">
            <w:pPr>
              <w:rPr>
                <w:rFonts w:eastAsia="Times New Roman" w:cs="Arial"/>
                <w:color w:val="000000"/>
                <w:szCs w:val="20"/>
                <w:lang w:eastAsia="bg-BG"/>
              </w:rPr>
            </w:pPr>
            <w:r w:rsidRPr="00200DF5">
              <w:rPr>
                <w:szCs w:val="20"/>
              </w:rPr>
              <w:t>1.4%</w:t>
            </w:r>
          </w:p>
        </w:tc>
        <w:tc>
          <w:tcPr>
            <w:tcW w:w="1916" w:type="dxa"/>
          </w:tcPr>
          <w:p w14:paraId="697C1409" w14:textId="50BD5EF2" w:rsidR="00200DF5" w:rsidRPr="00200DF5" w:rsidRDefault="00200DF5" w:rsidP="00200DF5">
            <w:pPr>
              <w:rPr>
                <w:rFonts w:eastAsia="Times New Roman" w:cs="Arial"/>
                <w:color w:val="000000"/>
                <w:szCs w:val="20"/>
                <w:lang w:eastAsia="bg-BG"/>
              </w:rPr>
            </w:pPr>
            <w:r w:rsidRPr="00200DF5">
              <w:rPr>
                <w:szCs w:val="20"/>
              </w:rPr>
              <w:t>0.0006</w:t>
            </w:r>
          </w:p>
        </w:tc>
      </w:tr>
    </w:tbl>
    <w:p w14:paraId="5172277C" w14:textId="77777777" w:rsidR="00200DF5" w:rsidRPr="00200DF5" w:rsidRDefault="00200DF5" w:rsidP="00200DF5">
      <w:pPr>
        <w:rPr>
          <w:rFonts w:eastAsia="Times New Roman" w:cs="Arial"/>
          <w:color w:val="000000"/>
          <w:szCs w:val="20"/>
          <w:lang w:eastAsia="bg-BG"/>
        </w:rPr>
      </w:pPr>
    </w:p>
    <w:p w14:paraId="6154F84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Въз основа на разликата в общата честота на инцидентите, наблюдавани при средно проследяване от 3,3 години.</w:t>
      </w:r>
    </w:p>
    <w:p w14:paraId="13C68D2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ИБС - исхемична болест на сърцето; МИ - миокарден инфаркт.</w:t>
      </w:r>
    </w:p>
    <w:p w14:paraId="3A669171" w14:textId="54D3F490"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Общата смъртност и сърдечно-съдовата смъртност не са значимо намалени (185</w:t>
      </w:r>
      <w:r w:rsidRPr="00200DF5">
        <w:rPr>
          <w:rFonts w:eastAsia="Times New Roman" w:cs="Arial"/>
          <w:color w:val="000000"/>
          <w:szCs w:val="20"/>
          <w:lang w:val="ru-RU"/>
        </w:rPr>
        <w:t xml:space="preserve"> </w:t>
      </w:r>
      <w:r w:rsidRPr="00200DF5">
        <w:rPr>
          <w:rFonts w:eastAsia="Times New Roman" w:cs="Arial"/>
          <w:color w:val="000000"/>
          <w:szCs w:val="20"/>
          <w:lang w:eastAsia="bg-BG"/>
        </w:rPr>
        <w:t>спрямо 212 инцидента, р=0,17 и 74 спрямо 82, р=0,51). В анализа на подгрупата по пол (81% мъже, 19% жени) благоприятен ефект на аторвастатин е бил наблюдаван при мъжете, но не може да се установи при жените, вероятно поради ниската честота на инциденти в женската подгрупа Общата и сърдечно-съдовата смъртност е числено по-висока при жените (38 спрямо 30 и 17</w:t>
      </w:r>
      <w:r w:rsidRPr="00200DF5">
        <w:rPr>
          <w:rFonts w:eastAsia="Times New Roman" w:cs="Arial"/>
          <w:sz w:val="28"/>
          <w:szCs w:val="24"/>
          <w:lang w:val="ru-RU"/>
        </w:rPr>
        <w:t xml:space="preserve"> </w:t>
      </w:r>
      <w:r w:rsidRPr="00200DF5">
        <w:rPr>
          <w:rFonts w:eastAsia="Times New Roman" w:cs="Arial"/>
          <w:color w:val="000000"/>
          <w:szCs w:val="20"/>
          <w:lang w:eastAsia="bg-BG"/>
        </w:rPr>
        <w:t>спрямо 12), но това не е било статистически значимо. Имало е значително терапевтично</w:t>
      </w:r>
      <w:r w:rsidRPr="00200DF5">
        <w:rPr>
          <w:rFonts w:eastAsia="Times New Roman" w:cs="Arial"/>
          <w:color w:val="000000"/>
          <w:szCs w:val="20"/>
          <w:lang w:val="ru-RU" w:eastAsia="bg-BG"/>
        </w:rPr>
        <w:t xml:space="preserve"> </w:t>
      </w:r>
      <w:r w:rsidRPr="00200DF5">
        <w:rPr>
          <w:rFonts w:eastAsia="Times New Roman" w:cs="Arial"/>
          <w:color w:val="000000"/>
          <w:szCs w:val="20"/>
          <w:lang w:eastAsia="bg-BG"/>
        </w:rPr>
        <w:t xml:space="preserve">взаимодействие от антихипертензивната основна терапия. Първичната крайна точка (фатална ИБС плюс нефатален МИ) са значимо редуцирани от аторвастатин при пациенти, лекувани с амлодипин </w:t>
      </w:r>
      <w:r w:rsidRPr="00200DF5">
        <w:rPr>
          <w:rFonts w:eastAsia="Times New Roman" w:cs="Arial"/>
          <w:color w:val="000000"/>
          <w:szCs w:val="20"/>
          <w:lang w:val="ru-RU"/>
        </w:rPr>
        <w:t>(</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0,47 (0,32-0,69), р=0,00008), но не и при тези, лекувани с атенолол </w:t>
      </w:r>
      <w:r w:rsidRPr="00200DF5">
        <w:rPr>
          <w:rFonts w:eastAsia="Times New Roman" w:cs="Arial"/>
          <w:color w:val="000000"/>
          <w:szCs w:val="20"/>
          <w:lang w:val="ru-RU"/>
        </w:rPr>
        <w:t>(</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0,83 (0,59-1,17), р=0,287).</w:t>
      </w:r>
    </w:p>
    <w:p w14:paraId="0BE67A5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Ефектът на аторвастатин върху фатално и нефатално сърдечно-съдово заболяване е също оценен в рандомизирано, двойно-сляпо, мултицентрово, плацебо-контролирано проучване </w:t>
      </w:r>
      <w:r w:rsidRPr="00200DF5">
        <w:rPr>
          <w:rFonts w:eastAsia="Times New Roman" w:cs="Arial"/>
          <w:color w:val="000000"/>
          <w:szCs w:val="20"/>
          <w:lang w:val="en-US"/>
        </w:rPr>
        <w:t>Collaborative</w:t>
      </w:r>
      <w:r w:rsidRPr="00200DF5">
        <w:rPr>
          <w:rFonts w:eastAsia="Times New Roman" w:cs="Arial"/>
          <w:color w:val="000000"/>
          <w:szCs w:val="20"/>
        </w:rPr>
        <w:t xml:space="preserve"> </w:t>
      </w:r>
      <w:r w:rsidRPr="00200DF5">
        <w:rPr>
          <w:rFonts w:eastAsia="Times New Roman" w:cs="Arial"/>
          <w:color w:val="000000"/>
          <w:szCs w:val="20"/>
          <w:lang w:val="en-US"/>
        </w:rPr>
        <w:t>Atorvastatin</w:t>
      </w:r>
      <w:r w:rsidRPr="00200DF5">
        <w:rPr>
          <w:rFonts w:eastAsia="Times New Roman" w:cs="Arial"/>
          <w:color w:val="000000"/>
          <w:szCs w:val="20"/>
        </w:rPr>
        <w:t xml:space="preserve"> </w:t>
      </w:r>
      <w:r w:rsidRPr="00200DF5">
        <w:rPr>
          <w:rFonts w:eastAsia="Times New Roman" w:cs="Arial"/>
          <w:color w:val="000000"/>
          <w:szCs w:val="20"/>
          <w:lang w:val="en-US"/>
        </w:rPr>
        <w:t>Diabetes</w:t>
      </w:r>
      <w:r w:rsidRPr="00200DF5">
        <w:rPr>
          <w:rFonts w:eastAsia="Times New Roman" w:cs="Arial"/>
          <w:color w:val="000000"/>
          <w:szCs w:val="20"/>
        </w:rPr>
        <w:t xml:space="preserve"> </w:t>
      </w:r>
      <w:r w:rsidRPr="00200DF5">
        <w:rPr>
          <w:rFonts w:eastAsia="Times New Roman" w:cs="Arial"/>
          <w:color w:val="000000"/>
          <w:szCs w:val="20"/>
          <w:lang w:val="en-US"/>
        </w:rPr>
        <w:t>Study</w:t>
      </w:r>
      <w:r w:rsidRPr="00200DF5">
        <w:rPr>
          <w:rFonts w:eastAsia="Times New Roman" w:cs="Arial"/>
          <w:color w:val="000000"/>
          <w:szCs w:val="20"/>
        </w:rPr>
        <w:t xml:space="preserve"> (</w:t>
      </w:r>
      <w:r w:rsidRPr="00200DF5">
        <w:rPr>
          <w:rFonts w:eastAsia="Times New Roman" w:cs="Arial"/>
          <w:color w:val="000000"/>
          <w:szCs w:val="20"/>
          <w:lang w:val="en-US"/>
        </w:rPr>
        <w:t>CARDS</w:t>
      </w:r>
      <w:r w:rsidRPr="00200DF5">
        <w:rPr>
          <w:rFonts w:eastAsia="Times New Roman" w:cs="Arial"/>
          <w:color w:val="000000"/>
          <w:szCs w:val="20"/>
        </w:rPr>
        <w:t xml:space="preserve">) </w:t>
      </w:r>
      <w:r w:rsidRPr="00200DF5">
        <w:rPr>
          <w:rFonts w:eastAsia="Times New Roman" w:cs="Arial"/>
          <w:color w:val="000000"/>
          <w:szCs w:val="20"/>
          <w:lang w:eastAsia="bg-BG"/>
        </w:rPr>
        <w:t xml:space="preserve">при пациенти </w:t>
      </w:r>
      <w:r w:rsidRPr="00200DF5">
        <w:rPr>
          <w:rFonts w:eastAsia="Times New Roman" w:cs="Arial"/>
          <w:color w:val="000000"/>
          <w:szCs w:val="20"/>
          <w:lang w:val="en-US"/>
        </w:rPr>
        <w:t>c</w:t>
      </w:r>
      <w:r w:rsidRPr="00200DF5">
        <w:rPr>
          <w:rFonts w:eastAsia="Times New Roman" w:cs="Arial"/>
          <w:color w:val="000000"/>
          <w:szCs w:val="20"/>
        </w:rPr>
        <w:t xml:space="preserve"> </w:t>
      </w:r>
      <w:r w:rsidRPr="00200DF5">
        <w:rPr>
          <w:rFonts w:eastAsia="Times New Roman" w:cs="Arial"/>
          <w:color w:val="000000"/>
          <w:szCs w:val="20"/>
          <w:lang w:eastAsia="bg-BG"/>
        </w:rPr>
        <w:t>диабет тип 2,</w:t>
      </w:r>
      <w:r w:rsidRPr="00200DF5">
        <w:rPr>
          <w:rFonts w:eastAsia="Times New Roman" w:cs="Arial"/>
          <w:color w:val="000000"/>
          <w:szCs w:val="20"/>
        </w:rPr>
        <w:t xml:space="preserve"> </w:t>
      </w:r>
      <w:r w:rsidRPr="00200DF5">
        <w:rPr>
          <w:rFonts w:eastAsia="Times New Roman" w:cs="Arial"/>
          <w:color w:val="000000"/>
          <w:szCs w:val="20"/>
          <w:lang w:eastAsia="bg-BG"/>
        </w:rPr>
        <w:t xml:space="preserve">40-75-годишни, без предходна анамнеза за сърдечно-съдово заболяване и с </w:t>
      </w:r>
      <w:r w:rsidRPr="00200DF5">
        <w:rPr>
          <w:rFonts w:eastAsia="Times New Roman" w:cs="Arial"/>
          <w:color w:val="000000"/>
          <w:szCs w:val="20"/>
          <w:lang w:val="en-US"/>
        </w:rPr>
        <w:t>LDL</w:t>
      </w:r>
      <w:r w:rsidRPr="00200DF5">
        <w:rPr>
          <w:rFonts w:eastAsia="Times New Roman" w:cs="Arial"/>
          <w:color w:val="000000"/>
          <w:szCs w:val="20"/>
        </w:rPr>
        <w:t>-</w:t>
      </w:r>
      <w:r w:rsidRPr="00200DF5">
        <w:rPr>
          <w:rFonts w:eastAsia="Times New Roman" w:cs="Arial"/>
          <w:color w:val="000000"/>
          <w:szCs w:val="20"/>
          <w:lang w:val="en-US"/>
        </w:rPr>
        <w:t>C</w:t>
      </w:r>
      <w:r w:rsidRPr="00200DF5">
        <w:rPr>
          <w:rFonts w:eastAsia="Times New Roman" w:cs="Arial"/>
          <w:color w:val="000000"/>
          <w:szCs w:val="20"/>
        </w:rPr>
        <w:t xml:space="preserve"> </w:t>
      </w:r>
      <w:r w:rsidRPr="00200DF5">
        <w:rPr>
          <w:rFonts w:eastAsia="Times New Roman" w:cs="Arial"/>
          <w:color w:val="000000"/>
          <w:szCs w:val="20"/>
          <w:lang w:eastAsia="bg-BG"/>
        </w:rPr>
        <w:t xml:space="preserve">≤4=14 </w:t>
      </w:r>
      <w:r w:rsidRPr="00200DF5">
        <w:rPr>
          <w:rFonts w:eastAsia="Times New Roman" w:cs="Arial"/>
          <w:color w:val="000000"/>
          <w:szCs w:val="20"/>
          <w:lang w:val="en-US"/>
        </w:rPr>
        <w:t>mmol</w:t>
      </w:r>
      <w:r w:rsidRPr="00200DF5">
        <w:rPr>
          <w:rFonts w:eastAsia="Times New Roman" w:cs="Arial"/>
          <w:color w:val="000000"/>
          <w:szCs w:val="20"/>
        </w:rPr>
        <w:t xml:space="preserve">/1 </w:t>
      </w:r>
      <w:r w:rsidRPr="00200DF5">
        <w:rPr>
          <w:rFonts w:eastAsia="Times New Roman" w:cs="Arial"/>
          <w:color w:val="000000"/>
          <w:szCs w:val="20"/>
          <w:lang w:eastAsia="bg-BG"/>
        </w:rPr>
        <w:t xml:space="preserve">(160 </w:t>
      </w:r>
      <w:r w:rsidRPr="00200DF5">
        <w:rPr>
          <w:rFonts w:eastAsia="Times New Roman" w:cs="Arial"/>
          <w:color w:val="000000"/>
          <w:szCs w:val="20"/>
          <w:lang w:val="en-US"/>
        </w:rPr>
        <w:t>mg</w:t>
      </w:r>
      <w:r w:rsidRPr="00200DF5">
        <w:rPr>
          <w:rFonts w:eastAsia="Times New Roman" w:cs="Arial"/>
          <w:color w:val="000000"/>
          <w:szCs w:val="20"/>
        </w:rPr>
        <w:t>/</w:t>
      </w:r>
      <w:r w:rsidRPr="00200DF5">
        <w:rPr>
          <w:rFonts w:eastAsia="Times New Roman" w:cs="Arial"/>
          <w:color w:val="000000"/>
          <w:szCs w:val="20"/>
          <w:lang w:val="en-US"/>
        </w:rPr>
        <w:t>dl</w:t>
      </w:r>
      <w:r w:rsidRPr="00200DF5">
        <w:rPr>
          <w:rFonts w:eastAsia="Times New Roman" w:cs="Arial"/>
          <w:color w:val="000000"/>
          <w:szCs w:val="20"/>
        </w:rPr>
        <w:t xml:space="preserve">) </w:t>
      </w:r>
      <w:r w:rsidRPr="00200DF5">
        <w:rPr>
          <w:rFonts w:eastAsia="Times New Roman" w:cs="Arial"/>
          <w:color w:val="000000"/>
          <w:szCs w:val="20"/>
          <w:lang w:eastAsia="bg-BG"/>
        </w:rPr>
        <w:t xml:space="preserve">и триглицериди ≤6,78 </w:t>
      </w:r>
      <w:r w:rsidRPr="00200DF5">
        <w:rPr>
          <w:rFonts w:eastAsia="Times New Roman" w:cs="Arial"/>
          <w:color w:val="000000"/>
          <w:szCs w:val="20"/>
          <w:lang w:val="en-US"/>
        </w:rPr>
        <w:t>mmol</w:t>
      </w:r>
      <w:r w:rsidRPr="00200DF5">
        <w:rPr>
          <w:rFonts w:eastAsia="Times New Roman" w:cs="Arial"/>
          <w:color w:val="000000"/>
          <w:szCs w:val="20"/>
        </w:rPr>
        <w:t xml:space="preserve">/1 </w:t>
      </w:r>
      <w:r w:rsidRPr="00200DF5">
        <w:rPr>
          <w:rFonts w:eastAsia="Times New Roman" w:cs="Arial"/>
          <w:color w:val="000000"/>
          <w:szCs w:val="20"/>
          <w:lang w:eastAsia="bg-BG"/>
        </w:rPr>
        <w:t xml:space="preserve">(600 </w:t>
      </w:r>
      <w:r w:rsidRPr="00200DF5">
        <w:rPr>
          <w:rFonts w:eastAsia="Times New Roman" w:cs="Arial"/>
          <w:color w:val="000000"/>
          <w:szCs w:val="20"/>
          <w:lang w:val="en-US"/>
        </w:rPr>
        <w:t>mg</w:t>
      </w:r>
      <w:r w:rsidRPr="00200DF5">
        <w:rPr>
          <w:rFonts w:eastAsia="Times New Roman" w:cs="Arial"/>
          <w:color w:val="000000"/>
          <w:szCs w:val="20"/>
        </w:rPr>
        <w:t>/</w:t>
      </w:r>
      <w:r w:rsidRPr="00200DF5">
        <w:rPr>
          <w:rFonts w:eastAsia="Times New Roman" w:cs="Arial"/>
          <w:color w:val="000000"/>
          <w:szCs w:val="20"/>
          <w:lang w:val="en-US"/>
        </w:rPr>
        <w:t>dl</w:t>
      </w:r>
      <w:r w:rsidRPr="00200DF5">
        <w:rPr>
          <w:rFonts w:eastAsia="Times New Roman" w:cs="Arial"/>
          <w:color w:val="000000"/>
          <w:szCs w:val="20"/>
        </w:rPr>
        <w:t xml:space="preserve">). </w:t>
      </w:r>
      <w:r w:rsidRPr="00200DF5">
        <w:rPr>
          <w:rFonts w:eastAsia="Times New Roman" w:cs="Arial"/>
          <w:color w:val="000000"/>
          <w:szCs w:val="20"/>
          <w:lang w:eastAsia="bg-BG"/>
        </w:rPr>
        <w:t>Всички пациенти са имали поне 1 от следните рискови фактори: хипертония, настоящо пушене, ретинопатия, микроалбуминурия или макроалбуминурия.</w:t>
      </w:r>
    </w:p>
    <w:p w14:paraId="23EF15DF"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lastRenderedPageBreak/>
        <w:t xml:space="preserve">Пациентите са лекувани с аторвастатин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дневно (</w:t>
      </w:r>
      <w:r w:rsidRPr="00200DF5">
        <w:rPr>
          <w:rFonts w:eastAsia="Times New Roman" w:cs="Arial"/>
          <w:color w:val="000000"/>
          <w:szCs w:val="20"/>
          <w:lang w:val="en-US"/>
        </w:rPr>
        <w:t>n</w:t>
      </w:r>
      <w:r w:rsidRPr="00200DF5">
        <w:rPr>
          <w:rFonts w:eastAsia="Times New Roman" w:cs="Arial"/>
          <w:color w:val="000000"/>
          <w:szCs w:val="20"/>
          <w:lang w:eastAsia="bg-BG"/>
        </w:rPr>
        <w:t>=1,428) или плацебо (</w:t>
      </w:r>
      <w:r w:rsidRPr="00200DF5">
        <w:rPr>
          <w:rFonts w:eastAsia="Times New Roman" w:cs="Arial"/>
          <w:color w:val="000000"/>
          <w:szCs w:val="20"/>
          <w:lang w:val="en-US"/>
        </w:rPr>
        <w:t>n</w:t>
      </w:r>
      <w:r w:rsidRPr="00200DF5">
        <w:rPr>
          <w:rFonts w:eastAsia="Times New Roman" w:cs="Arial"/>
          <w:color w:val="000000"/>
          <w:szCs w:val="20"/>
          <w:lang w:eastAsia="bg-BG"/>
        </w:rPr>
        <w:t>=1,410) при средно проследяване от 3,9 години.</w:t>
      </w:r>
    </w:p>
    <w:p w14:paraId="3672FE12" w14:textId="77777777" w:rsidR="00200DF5" w:rsidRPr="00200DF5" w:rsidRDefault="00200DF5" w:rsidP="00200DF5">
      <w:pPr>
        <w:rPr>
          <w:rFonts w:eastAsia="Times New Roman" w:cs="Arial"/>
          <w:color w:val="000000"/>
          <w:szCs w:val="20"/>
          <w:lang w:eastAsia="bg-BG"/>
        </w:rPr>
      </w:pPr>
    </w:p>
    <w:p w14:paraId="1D27607C" w14:textId="554E4326"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Ефектът за намаляване на абсолютния и относителния риск от аторвастатин е както следва:</w:t>
      </w:r>
    </w:p>
    <w:tbl>
      <w:tblPr>
        <w:tblStyle w:val="TableGrid"/>
        <w:tblW w:w="0" w:type="auto"/>
        <w:tblLook w:val="04A0" w:firstRow="1" w:lastRow="0" w:firstColumn="1" w:lastColumn="0" w:noHBand="0" w:noVBand="1"/>
      </w:tblPr>
      <w:tblGrid>
        <w:gridCol w:w="2090"/>
        <w:gridCol w:w="1835"/>
        <w:gridCol w:w="1852"/>
        <w:gridCol w:w="1804"/>
        <w:gridCol w:w="1769"/>
      </w:tblGrid>
      <w:tr w:rsidR="00200DF5" w14:paraId="0F4890BA" w14:textId="77777777" w:rsidTr="00200DF5">
        <w:tc>
          <w:tcPr>
            <w:tcW w:w="1915" w:type="dxa"/>
          </w:tcPr>
          <w:p w14:paraId="53C19DAD" w14:textId="5D87FDE6" w:rsidR="00200DF5" w:rsidRDefault="00200DF5" w:rsidP="00200DF5">
            <w:pPr>
              <w:rPr>
                <w:rFonts w:ascii="Times New Roman" w:eastAsia="Times New Roman" w:hAnsi="Times New Roman" w:cs="Times New Roman"/>
                <w:color w:val="000000"/>
                <w:sz w:val="20"/>
                <w:szCs w:val="20"/>
                <w:lang w:eastAsia="bg-BG"/>
              </w:rPr>
            </w:pPr>
            <w:r>
              <w:rPr>
                <w:sz w:val="20"/>
                <w:szCs w:val="20"/>
              </w:rPr>
              <w:t>Инциденти</w:t>
            </w:r>
          </w:p>
        </w:tc>
        <w:tc>
          <w:tcPr>
            <w:tcW w:w="1915" w:type="dxa"/>
          </w:tcPr>
          <w:p w14:paraId="45CACB7E" w14:textId="4524536B" w:rsidR="00200DF5" w:rsidRDefault="00200DF5" w:rsidP="00200DF5">
            <w:pPr>
              <w:rPr>
                <w:rFonts w:ascii="Times New Roman" w:eastAsia="Times New Roman" w:hAnsi="Times New Roman" w:cs="Times New Roman"/>
                <w:color w:val="000000"/>
                <w:sz w:val="20"/>
                <w:szCs w:val="20"/>
                <w:lang w:eastAsia="bg-BG"/>
              </w:rPr>
            </w:pPr>
            <w:r>
              <w:rPr>
                <w:sz w:val="20"/>
                <w:szCs w:val="20"/>
              </w:rPr>
              <w:t>Относително намаление на риска (%)</w:t>
            </w:r>
          </w:p>
        </w:tc>
        <w:tc>
          <w:tcPr>
            <w:tcW w:w="1915" w:type="dxa"/>
          </w:tcPr>
          <w:p w14:paraId="0FED6BDB" w14:textId="1DA11B2C" w:rsidR="00200DF5" w:rsidRDefault="00200DF5" w:rsidP="00200DF5">
            <w:pPr>
              <w:rPr>
                <w:rFonts w:ascii="Times New Roman" w:eastAsia="Times New Roman" w:hAnsi="Times New Roman" w:cs="Times New Roman"/>
                <w:color w:val="000000"/>
                <w:sz w:val="20"/>
                <w:szCs w:val="20"/>
                <w:lang w:eastAsia="bg-BG"/>
              </w:rPr>
            </w:pPr>
            <w:r>
              <w:rPr>
                <w:sz w:val="20"/>
                <w:szCs w:val="20"/>
              </w:rPr>
              <w:t>Брой инциденти (аторвастатин спрямо плацебо)</w:t>
            </w:r>
          </w:p>
        </w:tc>
        <w:tc>
          <w:tcPr>
            <w:tcW w:w="1915" w:type="dxa"/>
          </w:tcPr>
          <w:p w14:paraId="224F6430" w14:textId="489C1EA8" w:rsidR="00200DF5" w:rsidRDefault="00200DF5" w:rsidP="00200DF5">
            <w:pPr>
              <w:rPr>
                <w:rFonts w:ascii="Times New Roman" w:eastAsia="Times New Roman" w:hAnsi="Times New Roman" w:cs="Times New Roman"/>
                <w:color w:val="000000"/>
                <w:sz w:val="20"/>
                <w:szCs w:val="20"/>
                <w:lang w:eastAsia="bg-BG"/>
              </w:rPr>
            </w:pPr>
            <w:r>
              <w:rPr>
                <w:sz w:val="20"/>
                <w:szCs w:val="20"/>
              </w:rPr>
              <w:t>Абсолютно намаление на риска (%)</w:t>
            </w:r>
          </w:p>
        </w:tc>
        <w:tc>
          <w:tcPr>
            <w:tcW w:w="1916" w:type="dxa"/>
          </w:tcPr>
          <w:p w14:paraId="5AC33EAE" w14:textId="2850EB4C" w:rsidR="00200DF5" w:rsidRDefault="00200DF5" w:rsidP="00200DF5">
            <w:pPr>
              <w:rPr>
                <w:rFonts w:ascii="Times New Roman" w:eastAsia="Times New Roman" w:hAnsi="Times New Roman" w:cs="Times New Roman"/>
                <w:color w:val="000000"/>
                <w:sz w:val="20"/>
                <w:szCs w:val="20"/>
                <w:lang w:eastAsia="bg-BG"/>
              </w:rPr>
            </w:pPr>
            <w:r>
              <w:rPr>
                <w:sz w:val="20"/>
                <w:szCs w:val="20"/>
              </w:rPr>
              <w:t>р-стойност</w:t>
            </w:r>
          </w:p>
        </w:tc>
      </w:tr>
      <w:tr w:rsidR="00200DF5" w14:paraId="7ECDCBC5" w14:textId="77777777" w:rsidTr="00200DF5">
        <w:tc>
          <w:tcPr>
            <w:tcW w:w="1915" w:type="dxa"/>
          </w:tcPr>
          <w:p w14:paraId="6DE4D82E" w14:textId="435F9B66"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Големи сърдечно-съдови инциденти(фатален и нефатален МИ, тих МИ, внезапна ИБС,смърт, нестабилна ангина пекторис, </w:t>
            </w:r>
            <w:r>
              <w:rPr>
                <w:sz w:val="20"/>
                <w:szCs w:val="20"/>
                <w:lang w:val="en-US"/>
              </w:rPr>
              <w:t>CABG</w:t>
            </w:r>
            <w:r w:rsidRPr="00200DF5">
              <w:rPr>
                <w:sz w:val="20"/>
                <w:szCs w:val="20"/>
                <w:lang w:val="ru-RU"/>
              </w:rPr>
              <w:t xml:space="preserve">, </w:t>
            </w:r>
            <w:r>
              <w:rPr>
                <w:sz w:val="20"/>
                <w:szCs w:val="20"/>
              </w:rPr>
              <w:t>РТСА, реваскуларизация, инсулт)</w:t>
            </w:r>
          </w:p>
        </w:tc>
        <w:tc>
          <w:tcPr>
            <w:tcW w:w="1915" w:type="dxa"/>
          </w:tcPr>
          <w:p w14:paraId="7F4647C8" w14:textId="45D97B42" w:rsidR="00200DF5" w:rsidRDefault="00200DF5" w:rsidP="00200DF5">
            <w:pPr>
              <w:rPr>
                <w:rFonts w:ascii="Times New Roman" w:eastAsia="Times New Roman" w:hAnsi="Times New Roman" w:cs="Times New Roman"/>
                <w:color w:val="000000"/>
                <w:sz w:val="20"/>
                <w:szCs w:val="20"/>
                <w:lang w:eastAsia="bg-BG"/>
              </w:rPr>
            </w:pPr>
            <w:r>
              <w:rPr>
                <w:sz w:val="20"/>
                <w:szCs w:val="20"/>
              </w:rPr>
              <w:t>37%</w:t>
            </w:r>
          </w:p>
        </w:tc>
        <w:tc>
          <w:tcPr>
            <w:tcW w:w="1915" w:type="dxa"/>
          </w:tcPr>
          <w:p w14:paraId="463CB339" w14:textId="410A0407"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83 </w:t>
            </w:r>
            <w:r>
              <w:rPr>
                <w:sz w:val="20"/>
                <w:szCs w:val="20"/>
                <w:lang w:val="en-US"/>
              </w:rPr>
              <w:t>vs.</w:t>
            </w:r>
            <w:r>
              <w:rPr>
                <w:sz w:val="20"/>
                <w:szCs w:val="20"/>
              </w:rPr>
              <w:t>127</w:t>
            </w:r>
          </w:p>
        </w:tc>
        <w:tc>
          <w:tcPr>
            <w:tcW w:w="1915" w:type="dxa"/>
          </w:tcPr>
          <w:p w14:paraId="21B47D62" w14:textId="01E1BF03" w:rsidR="00200DF5" w:rsidRDefault="00200DF5" w:rsidP="00200DF5">
            <w:pPr>
              <w:rPr>
                <w:rFonts w:ascii="Times New Roman" w:eastAsia="Times New Roman" w:hAnsi="Times New Roman" w:cs="Times New Roman"/>
                <w:color w:val="000000"/>
                <w:sz w:val="20"/>
                <w:szCs w:val="20"/>
                <w:lang w:eastAsia="bg-BG"/>
              </w:rPr>
            </w:pPr>
            <w:r>
              <w:rPr>
                <w:sz w:val="20"/>
                <w:szCs w:val="20"/>
              </w:rPr>
              <w:t>3.2%</w:t>
            </w:r>
          </w:p>
        </w:tc>
        <w:tc>
          <w:tcPr>
            <w:tcW w:w="1916" w:type="dxa"/>
          </w:tcPr>
          <w:p w14:paraId="243ACCC1" w14:textId="4C69866B" w:rsidR="00200DF5" w:rsidRDefault="00200DF5" w:rsidP="00200DF5">
            <w:pPr>
              <w:rPr>
                <w:rFonts w:ascii="Times New Roman" w:eastAsia="Times New Roman" w:hAnsi="Times New Roman" w:cs="Times New Roman"/>
                <w:color w:val="000000"/>
                <w:sz w:val="20"/>
                <w:szCs w:val="20"/>
                <w:lang w:eastAsia="bg-BG"/>
              </w:rPr>
            </w:pPr>
            <w:r>
              <w:rPr>
                <w:sz w:val="20"/>
                <w:szCs w:val="20"/>
              </w:rPr>
              <w:t>0.0010</w:t>
            </w:r>
          </w:p>
        </w:tc>
      </w:tr>
      <w:tr w:rsidR="00200DF5" w14:paraId="668BDA17" w14:textId="77777777" w:rsidTr="00200DF5">
        <w:tc>
          <w:tcPr>
            <w:tcW w:w="1915" w:type="dxa"/>
          </w:tcPr>
          <w:p w14:paraId="380F4598" w14:textId="075696C9" w:rsidR="00200DF5" w:rsidRDefault="00200DF5" w:rsidP="00200DF5">
            <w:pPr>
              <w:rPr>
                <w:rFonts w:ascii="Times New Roman" w:eastAsia="Times New Roman" w:hAnsi="Times New Roman" w:cs="Times New Roman"/>
                <w:color w:val="000000"/>
                <w:sz w:val="20"/>
                <w:szCs w:val="20"/>
                <w:lang w:eastAsia="bg-BG"/>
              </w:rPr>
            </w:pPr>
            <w:r>
              <w:rPr>
                <w:sz w:val="20"/>
                <w:szCs w:val="20"/>
              </w:rPr>
              <w:t>МИ (фатален и нефатален МИ, тих МИ)</w:t>
            </w:r>
          </w:p>
        </w:tc>
        <w:tc>
          <w:tcPr>
            <w:tcW w:w="1915" w:type="dxa"/>
          </w:tcPr>
          <w:p w14:paraId="3CEDA9F7" w14:textId="1FE35452" w:rsidR="00200DF5" w:rsidRDefault="00200DF5" w:rsidP="00200DF5">
            <w:pPr>
              <w:rPr>
                <w:rFonts w:ascii="Times New Roman" w:eastAsia="Times New Roman" w:hAnsi="Times New Roman" w:cs="Times New Roman"/>
                <w:color w:val="000000"/>
                <w:sz w:val="20"/>
                <w:szCs w:val="20"/>
                <w:lang w:eastAsia="bg-BG"/>
              </w:rPr>
            </w:pPr>
            <w:r>
              <w:rPr>
                <w:sz w:val="20"/>
                <w:szCs w:val="20"/>
              </w:rPr>
              <w:t>42%</w:t>
            </w:r>
          </w:p>
        </w:tc>
        <w:tc>
          <w:tcPr>
            <w:tcW w:w="1915" w:type="dxa"/>
          </w:tcPr>
          <w:p w14:paraId="049E4918" w14:textId="32A8DE0F"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38 vs.64</w:t>
            </w:r>
          </w:p>
        </w:tc>
        <w:tc>
          <w:tcPr>
            <w:tcW w:w="1915" w:type="dxa"/>
          </w:tcPr>
          <w:p w14:paraId="4766C176" w14:textId="33849C03" w:rsidR="00200DF5" w:rsidRDefault="00200DF5" w:rsidP="00200DF5">
            <w:pPr>
              <w:rPr>
                <w:rFonts w:ascii="Times New Roman" w:eastAsia="Times New Roman" w:hAnsi="Times New Roman" w:cs="Times New Roman"/>
                <w:color w:val="000000"/>
                <w:sz w:val="20"/>
                <w:szCs w:val="20"/>
                <w:lang w:eastAsia="bg-BG"/>
              </w:rPr>
            </w:pPr>
            <w:r>
              <w:rPr>
                <w:sz w:val="20"/>
                <w:szCs w:val="20"/>
              </w:rPr>
              <w:t>1.9%</w:t>
            </w:r>
          </w:p>
        </w:tc>
        <w:tc>
          <w:tcPr>
            <w:tcW w:w="1916" w:type="dxa"/>
          </w:tcPr>
          <w:p w14:paraId="4C1897FE" w14:textId="0162006D" w:rsidR="00200DF5" w:rsidRDefault="00200DF5" w:rsidP="00200DF5">
            <w:pPr>
              <w:rPr>
                <w:rFonts w:ascii="Times New Roman" w:eastAsia="Times New Roman" w:hAnsi="Times New Roman" w:cs="Times New Roman"/>
                <w:color w:val="000000"/>
                <w:sz w:val="20"/>
                <w:szCs w:val="20"/>
                <w:lang w:eastAsia="bg-BG"/>
              </w:rPr>
            </w:pPr>
            <w:r>
              <w:rPr>
                <w:sz w:val="20"/>
                <w:szCs w:val="20"/>
              </w:rPr>
              <w:t>0.0070</w:t>
            </w:r>
          </w:p>
        </w:tc>
      </w:tr>
      <w:tr w:rsidR="00200DF5" w14:paraId="6266E332" w14:textId="77777777" w:rsidTr="00200DF5">
        <w:tc>
          <w:tcPr>
            <w:tcW w:w="1915" w:type="dxa"/>
          </w:tcPr>
          <w:p w14:paraId="1E3A9700" w14:textId="27B70734" w:rsidR="00200DF5" w:rsidRDefault="00200DF5" w:rsidP="00200DF5">
            <w:pPr>
              <w:rPr>
                <w:rFonts w:ascii="Times New Roman" w:eastAsia="Times New Roman" w:hAnsi="Times New Roman" w:cs="Times New Roman"/>
                <w:color w:val="000000"/>
                <w:sz w:val="20"/>
                <w:szCs w:val="20"/>
                <w:lang w:eastAsia="bg-BG"/>
              </w:rPr>
            </w:pPr>
            <w:r>
              <w:rPr>
                <w:sz w:val="20"/>
                <w:szCs w:val="20"/>
              </w:rPr>
              <w:t>Инсулт (фатален и нефатален)</w:t>
            </w:r>
          </w:p>
        </w:tc>
        <w:tc>
          <w:tcPr>
            <w:tcW w:w="1915" w:type="dxa"/>
          </w:tcPr>
          <w:p w14:paraId="48BF8B07" w14:textId="339C12CF" w:rsidR="00200DF5" w:rsidRDefault="00200DF5" w:rsidP="00200DF5">
            <w:pPr>
              <w:rPr>
                <w:rFonts w:ascii="Times New Roman" w:eastAsia="Times New Roman" w:hAnsi="Times New Roman" w:cs="Times New Roman"/>
                <w:color w:val="000000"/>
                <w:sz w:val="20"/>
                <w:szCs w:val="20"/>
                <w:lang w:eastAsia="bg-BG"/>
              </w:rPr>
            </w:pPr>
            <w:r>
              <w:rPr>
                <w:sz w:val="20"/>
                <w:szCs w:val="20"/>
              </w:rPr>
              <w:t>48%</w:t>
            </w:r>
          </w:p>
        </w:tc>
        <w:tc>
          <w:tcPr>
            <w:tcW w:w="1915" w:type="dxa"/>
          </w:tcPr>
          <w:p w14:paraId="774575F0" w14:textId="058A6808"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21 </w:t>
            </w:r>
            <w:r>
              <w:rPr>
                <w:sz w:val="20"/>
                <w:szCs w:val="20"/>
                <w:lang w:val="en-US"/>
              </w:rPr>
              <w:t xml:space="preserve">vs. </w:t>
            </w:r>
            <w:r>
              <w:rPr>
                <w:sz w:val="20"/>
                <w:szCs w:val="20"/>
              </w:rPr>
              <w:t>39</w:t>
            </w:r>
          </w:p>
        </w:tc>
        <w:tc>
          <w:tcPr>
            <w:tcW w:w="1915" w:type="dxa"/>
          </w:tcPr>
          <w:p w14:paraId="3ECA75B1" w14:textId="29C5A80D" w:rsidR="00200DF5" w:rsidRDefault="00200DF5" w:rsidP="00200DF5">
            <w:pPr>
              <w:rPr>
                <w:rFonts w:ascii="Times New Roman" w:eastAsia="Times New Roman" w:hAnsi="Times New Roman" w:cs="Times New Roman"/>
                <w:color w:val="000000"/>
                <w:sz w:val="20"/>
                <w:szCs w:val="20"/>
                <w:lang w:eastAsia="bg-BG"/>
              </w:rPr>
            </w:pPr>
            <w:r>
              <w:rPr>
                <w:sz w:val="20"/>
                <w:szCs w:val="20"/>
              </w:rPr>
              <w:t>1.3%</w:t>
            </w:r>
          </w:p>
        </w:tc>
        <w:tc>
          <w:tcPr>
            <w:tcW w:w="1916" w:type="dxa"/>
          </w:tcPr>
          <w:p w14:paraId="7811EABA" w14:textId="1ECCD234" w:rsidR="00200DF5" w:rsidRDefault="00200DF5" w:rsidP="00200DF5">
            <w:pPr>
              <w:rPr>
                <w:rFonts w:ascii="Times New Roman" w:eastAsia="Times New Roman" w:hAnsi="Times New Roman" w:cs="Times New Roman"/>
                <w:color w:val="000000"/>
                <w:sz w:val="20"/>
                <w:szCs w:val="20"/>
                <w:lang w:eastAsia="bg-BG"/>
              </w:rPr>
            </w:pPr>
            <w:r>
              <w:rPr>
                <w:sz w:val="20"/>
                <w:szCs w:val="20"/>
              </w:rPr>
              <w:t>0.0163</w:t>
            </w:r>
          </w:p>
        </w:tc>
      </w:tr>
    </w:tbl>
    <w:p w14:paraId="22C40706" w14:textId="38494823" w:rsidR="00200DF5" w:rsidRDefault="00200DF5" w:rsidP="00200DF5">
      <w:pPr>
        <w:rPr>
          <w:rFonts w:ascii="Times New Roman" w:eastAsia="Times New Roman" w:hAnsi="Times New Roman" w:cs="Times New Roman"/>
          <w:color w:val="000000"/>
          <w:sz w:val="20"/>
          <w:szCs w:val="20"/>
          <w:lang w:eastAsia="bg-BG"/>
        </w:rPr>
      </w:pPr>
    </w:p>
    <w:p w14:paraId="5559C8BC"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Въз основа на разликата в общата честота на инцидентите, наблюдавани при средно проследяване от 3,9 години.</w:t>
      </w:r>
    </w:p>
    <w:p w14:paraId="7076C45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ОМИ - остър миокарден инфаркт; </w:t>
      </w:r>
      <w:r w:rsidRPr="00200DF5">
        <w:rPr>
          <w:rFonts w:eastAsia="Times New Roman" w:cs="Arial"/>
          <w:color w:val="000000"/>
          <w:szCs w:val="20"/>
          <w:lang w:val="en-US"/>
        </w:rPr>
        <w:t>CABG</w:t>
      </w:r>
      <w:r w:rsidRPr="00200DF5">
        <w:rPr>
          <w:rFonts w:eastAsia="Times New Roman" w:cs="Arial"/>
          <w:color w:val="000000"/>
          <w:szCs w:val="20"/>
          <w:lang w:val="ru-RU"/>
        </w:rPr>
        <w:t xml:space="preserve"> </w:t>
      </w:r>
      <w:r w:rsidRPr="00200DF5">
        <w:rPr>
          <w:rFonts w:eastAsia="Times New Roman" w:cs="Arial"/>
          <w:color w:val="000000"/>
          <w:szCs w:val="20"/>
          <w:lang w:eastAsia="bg-BG"/>
        </w:rPr>
        <w:t>- коронарен артериален байпас; ИБС - исхемична болест на сърцето; МИ - миокарден инфаркт; РТСА - перкутанна транслуминална коронарна ангиопластика.</w:t>
      </w:r>
    </w:p>
    <w:p w14:paraId="4E55561F" w14:textId="77777777" w:rsidR="00200DF5" w:rsidRPr="00200DF5" w:rsidRDefault="00200DF5" w:rsidP="00200DF5">
      <w:pPr>
        <w:spacing w:line="240" w:lineRule="auto"/>
        <w:rPr>
          <w:rFonts w:eastAsia="Times New Roman" w:cs="Arial"/>
          <w:color w:val="000000"/>
          <w:szCs w:val="20"/>
          <w:lang w:eastAsia="bg-BG"/>
        </w:rPr>
      </w:pPr>
    </w:p>
    <w:p w14:paraId="1756201C" w14:textId="1EBCDC1F"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Няма доказателство за разлика в ефекта от лечението според пола, възрастта или първоначалното ниво на </w:t>
      </w:r>
      <w:r w:rsidRPr="00200DF5">
        <w:rPr>
          <w:rFonts w:eastAsia="Times New Roman" w:cs="Arial"/>
          <w:color w:val="000000"/>
          <w:szCs w:val="20"/>
          <w:lang w:val="en-US"/>
        </w:rPr>
        <w:t>LDL</w:t>
      </w:r>
      <w:r w:rsidRPr="00200DF5">
        <w:rPr>
          <w:rFonts w:eastAsia="Times New Roman" w:cs="Arial"/>
          <w:color w:val="000000"/>
          <w:szCs w:val="20"/>
          <w:lang w:eastAsia="bg-BG"/>
        </w:rPr>
        <w:t>-С на пациента. Благоприятна тенденция е наблюдавана при смъртността (82 смъртни случаи при плацебо групата спрямо 61 в групата на аторвастатин, р=0,0592).</w:t>
      </w:r>
    </w:p>
    <w:p w14:paraId="345A04E7" w14:textId="77777777" w:rsidR="00200DF5" w:rsidRPr="00200DF5" w:rsidRDefault="00200DF5" w:rsidP="00200DF5">
      <w:pPr>
        <w:spacing w:line="240" w:lineRule="auto"/>
        <w:rPr>
          <w:rFonts w:eastAsia="Times New Roman" w:cs="Arial"/>
          <w:color w:val="000000"/>
          <w:szCs w:val="20"/>
          <w:u w:val="single"/>
          <w:lang w:eastAsia="bg-BG"/>
        </w:rPr>
      </w:pPr>
    </w:p>
    <w:p w14:paraId="5E1A8D24" w14:textId="3AD5BA54"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Рецидивиращ инсулт</w:t>
      </w:r>
    </w:p>
    <w:p w14:paraId="3BA5760B"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 проучването </w:t>
      </w:r>
      <w:r w:rsidRPr="00200DF5">
        <w:rPr>
          <w:rFonts w:eastAsia="Times New Roman" w:cs="Arial"/>
          <w:color w:val="000000"/>
          <w:szCs w:val="20"/>
          <w:lang w:val="en-US"/>
        </w:rPr>
        <w:t>Stroke</w:t>
      </w:r>
      <w:r w:rsidRPr="00200DF5">
        <w:rPr>
          <w:rFonts w:eastAsia="Times New Roman" w:cs="Arial"/>
          <w:color w:val="000000"/>
          <w:szCs w:val="20"/>
        </w:rPr>
        <w:t xml:space="preserve"> </w:t>
      </w:r>
      <w:r w:rsidRPr="00200DF5">
        <w:rPr>
          <w:rFonts w:eastAsia="Times New Roman" w:cs="Arial"/>
          <w:color w:val="000000"/>
          <w:szCs w:val="20"/>
          <w:lang w:val="en-US"/>
        </w:rPr>
        <w:t>Prevention</w:t>
      </w:r>
      <w:r w:rsidRPr="00200DF5">
        <w:rPr>
          <w:rFonts w:eastAsia="Times New Roman" w:cs="Arial"/>
          <w:color w:val="000000"/>
          <w:szCs w:val="20"/>
        </w:rPr>
        <w:t xml:space="preserve"> </w:t>
      </w:r>
      <w:r w:rsidRPr="00200DF5">
        <w:rPr>
          <w:rFonts w:eastAsia="Times New Roman" w:cs="Arial"/>
          <w:color w:val="000000"/>
          <w:szCs w:val="20"/>
          <w:lang w:val="en-US"/>
        </w:rPr>
        <w:t>by</w:t>
      </w:r>
      <w:r w:rsidRPr="00200DF5">
        <w:rPr>
          <w:rFonts w:eastAsia="Times New Roman" w:cs="Arial"/>
          <w:color w:val="000000"/>
          <w:szCs w:val="20"/>
        </w:rPr>
        <w:t xml:space="preserve"> </w:t>
      </w:r>
      <w:r w:rsidRPr="00200DF5">
        <w:rPr>
          <w:rFonts w:eastAsia="Times New Roman" w:cs="Arial"/>
          <w:color w:val="000000"/>
          <w:szCs w:val="20"/>
          <w:lang w:val="en-US"/>
        </w:rPr>
        <w:t>Aggressive</w:t>
      </w:r>
      <w:r w:rsidRPr="00200DF5">
        <w:rPr>
          <w:rFonts w:eastAsia="Times New Roman" w:cs="Arial"/>
          <w:color w:val="000000"/>
          <w:szCs w:val="20"/>
        </w:rPr>
        <w:t xml:space="preserve"> </w:t>
      </w:r>
      <w:r w:rsidRPr="00200DF5">
        <w:rPr>
          <w:rFonts w:eastAsia="Times New Roman" w:cs="Arial"/>
          <w:color w:val="000000"/>
          <w:szCs w:val="20"/>
          <w:lang w:val="en-US"/>
        </w:rPr>
        <w:t>Reduction</w:t>
      </w:r>
      <w:r w:rsidRPr="00200DF5">
        <w:rPr>
          <w:rFonts w:eastAsia="Times New Roman" w:cs="Arial"/>
          <w:color w:val="000000"/>
          <w:szCs w:val="20"/>
        </w:rPr>
        <w:t xml:space="preserve"> </w:t>
      </w:r>
      <w:r w:rsidRPr="00200DF5">
        <w:rPr>
          <w:rFonts w:eastAsia="Times New Roman" w:cs="Arial"/>
          <w:color w:val="000000"/>
          <w:szCs w:val="20"/>
          <w:lang w:val="en-US"/>
        </w:rPr>
        <w:t>in</w:t>
      </w:r>
      <w:r w:rsidRPr="00200DF5">
        <w:rPr>
          <w:rFonts w:eastAsia="Times New Roman" w:cs="Arial"/>
          <w:color w:val="000000"/>
          <w:szCs w:val="20"/>
        </w:rPr>
        <w:t xml:space="preserve"> </w:t>
      </w:r>
      <w:r w:rsidRPr="00200DF5">
        <w:rPr>
          <w:rFonts w:eastAsia="Times New Roman" w:cs="Arial"/>
          <w:color w:val="000000"/>
          <w:szCs w:val="20"/>
          <w:lang w:val="en-US"/>
        </w:rPr>
        <w:t>Cholesterol</w:t>
      </w:r>
      <w:r w:rsidRPr="00200DF5">
        <w:rPr>
          <w:rFonts w:eastAsia="Times New Roman" w:cs="Arial"/>
          <w:color w:val="000000"/>
          <w:szCs w:val="20"/>
        </w:rPr>
        <w:t xml:space="preserve"> </w:t>
      </w:r>
      <w:r w:rsidRPr="00200DF5">
        <w:rPr>
          <w:rFonts w:eastAsia="Times New Roman" w:cs="Arial"/>
          <w:color w:val="000000"/>
          <w:szCs w:val="20"/>
          <w:lang w:val="en-US"/>
        </w:rPr>
        <w:t>Levels</w:t>
      </w:r>
      <w:r w:rsidRPr="00200DF5">
        <w:rPr>
          <w:rFonts w:eastAsia="Times New Roman" w:cs="Arial"/>
          <w:color w:val="000000"/>
          <w:szCs w:val="20"/>
        </w:rPr>
        <w:t xml:space="preserve"> (</w:t>
      </w:r>
      <w:r w:rsidRPr="00200DF5">
        <w:rPr>
          <w:rFonts w:eastAsia="Times New Roman" w:cs="Arial"/>
          <w:color w:val="000000"/>
          <w:szCs w:val="20"/>
          <w:lang w:val="en-US"/>
        </w:rPr>
        <w:t>SPARCL</w:t>
      </w:r>
      <w:r w:rsidRPr="00200DF5">
        <w:rPr>
          <w:rFonts w:eastAsia="Times New Roman" w:cs="Arial"/>
          <w:color w:val="000000"/>
          <w:szCs w:val="20"/>
        </w:rPr>
        <w:t xml:space="preserve">), </w:t>
      </w:r>
      <w:r w:rsidRPr="00200DF5">
        <w:rPr>
          <w:rFonts w:eastAsia="Times New Roman" w:cs="Arial"/>
          <w:color w:val="000000"/>
          <w:szCs w:val="20"/>
          <w:lang w:val="en-US"/>
        </w:rPr>
        <w:t>e</w:t>
      </w:r>
      <w:r w:rsidRPr="00200DF5">
        <w:rPr>
          <w:rFonts w:eastAsia="Times New Roman" w:cs="Arial"/>
          <w:color w:val="000000"/>
          <w:szCs w:val="20"/>
        </w:rPr>
        <w:t xml:space="preserve"> </w:t>
      </w:r>
      <w:r w:rsidRPr="00200DF5">
        <w:rPr>
          <w:rFonts w:eastAsia="Times New Roman" w:cs="Arial"/>
          <w:color w:val="000000"/>
          <w:szCs w:val="20"/>
          <w:lang w:eastAsia="bg-BG"/>
        </w:rPr>
        <w:t xml:space="preserve">оценен ефектът на аторвастатин 80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дневно или плацебо върху инсулта при 4731 пациенти с инсулт или преходна исхемична атака </w:t>
      </w:r>
      <w:r w:rsidRPr="00200DF5">
        <w:rPr>
          <w:rFonts w:eastAsia="Times New Roman" w:cs="Arial"/>
          <w:color w:val="000000"/>
          <w:szCs w:val="20"/>
        </w:rPr>
        <w:t>(</w:t>
      </w:r>
      <w:r w:rsidRPr="00200DF5">
        <w:rPr>
          <w:rFonts w:eastAsia="Times New Roman" w:cs="Arial"/>
          <w:color w:val="000000"/>
          <w:szCs w:val="20"/>
          <w:lang w:val="en-US"/>
        </w:rPr>
        <w:t>TIA</w:t>
      </w:r>
      <w:r w:rsidRPr="00200DF5">
        <w:rPr>
          <w:rFonts w:eastAsia="Times New Roman" w:cs="Arial"/>
          <w:color w:val="000000"/>
          <w:szCs w:val="20"/>
        </w:rPr>
        <w:t xml:space="preserve">) </w:t>
      </w:r>
      <w:r w:rsidRPr="00200DF5">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изходно ниво на </w:t>
      </w:r>
      <w:r w:rsidRPr="00200DF5">
        <w:rPr>
          <w:rFonts w:eastAsia="Times New Roman" w:cs="Arial"/>
          <w:color w:val="000000"/>
          <w:szCs w:val="20"/>
          <w:lang w:val="en-US"/>
        </w:rPr>
        <w:t>LDL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средно 133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(3,4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Средната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73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(1,9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по време на лечението с аторвастатин и 129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(3,3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по време на лечението с плацебо. Средната продължителност на проследяване е 4,9 години.</w:t>
      </w:r>
    </w:p>
    <w:p w14:paraId="127CA59C" w14:textId="77777777" w:rsidR="00200DF5" w:rsidRPr="00200DF5" w:rsidRDefault="00200DF5" w:rsidP="00200DF5">
      <w:pPr>
        <w:rPr>
          <w:rFonts w:eastAsia="Times New Roman" w:cs="Arial"/>
          <w:color w:val="000000"/>
          <w:szCs w:val="20"/>
          <w:lang w:eastAsia="bg-BG"/>
        </w:rPr>
      </w:pPr>
    </w:p>
    <w:p w14:paraId="6E6142B9" w14:textId="52EA0658"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 xml:space="preserve">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е намалил риска от първичната крайна цел фатален и не-фатален инсулт с 15% </w:t>
      </w:r>
      <w:r w:rsidRPr="00200DF5">
        <w:rPr>
          <w:rFonts w:eastAsia="Times New Roman" w:cs="Arial"/>
          <w:color w:val="000000"/>
          <w:szCs w:val="20"/>
          <w:lang w:val="ru-RU"/>
        </w:rPr>
        <w:t>(</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0,85;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0,71- ,00; Р=0,05 или 0, 84;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 при аторвастатин спрямо 8,9% (211/2366) при плацебо.</w:t>
      </w:r>
    </w:p>
    <w:p w14:paraId="77025267" w14:textId="2F2043F6" w:rsidR="00200DF5" w:rsidRPr="00200DF5" w:rsidRDefault="00200DF5" w:rsidP="00200DF5">
      <w:pPr>
        <w:rPr>
          <w:rFonts w:eastAsia="Times New Roman" w:cs="Arial"/>
          <w:color w:val="000000"/>
          <w:szCs w:val="20"/>
          <w:lang w:eastAsia="bg-BG"/>
        </w:rPr>
      </w:pPr>
    </w:p>
    <w:p w14:paraId="0D5E72A8"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val="en-US"/>
        </w:rPr>
        <w:lastRenderedPageBreak/>
        <w:t>B</w:t>
      </w:r>
      <w:r w:rsidRPr="00200DF5">
        <w:rPr>
          <w:rFonts w:eastAsia="Times New Roman" w:cs="Arial"/>
          <w:color w:val="000000"/>
          <w:szCs w:val="20"/>
          <w:lang w:val="ru-RU"/>
        </w:rPr>
        <w:t xml:space="preserve"> </w:t>
      </w:r>
      <w:r w:rsidRPr="00200DF5">
        <w:rPr>
          <w:rFonts w:eastAsia="Times New Roman" w:cs="Arial"/>
          <w:color w:val="000000"/>
          <w:szCs w:val="20"/>
          <w:lang w:val="en-US"/>
        </w:rPr>
        <w:t>post</w:t>
      </w:r>
      <w:r w:rsidRPr="00200DF5">
        <w:rPr>
          <w:rFonts w:eastAsia="Times New Roman" w:cs="Arial"/>
          <w:color w:val="000000"/>
          <w:szCs w:val="20"/>
          <w:lang w:val="ru-RU"/>
        </w:rPr>
        <w:t>-</w:t>
      </w:r>
      <w:r w:rsidRPr="00200DF5">
        <w:rPr>
          <w:rFonts w:eastAsia="Times New Roman" w:cs="Arial"/>
          <w:color w:val="000000"/>
          <w:szCs w:val="20"/>
          <w:lang w:val="en-US"/>
        </w:rPr>
        <w:t>hoc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анализ 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е намалил честотатата на исхемичен инсулт (218/2365, 9</w:t>
      </w:r>
      <w:proofErr w:type="gramStart"/>
      <w:r w:rsidRPr="00200DF5">
        <w:rPr>
          <w:rFonts w:eastAsia="Times New Roman" w:cs="Arial"/>
          <w:color w:val="000000"/>
          <w:szCs w:val="20"/>
          <w:lang w:eastAsia="bg-BG"/>
        </w:rPr>
        <w:t>,2</w:t>
      </w:r>
      <w:proofErr w:type="gramEnd"/>
      <w:r w:rsidRPr="00200DF5">
        <w:rPr>
          <w:rFonts w:eastAsia="Times New Roman" w:cs="Arial"/>
          <w:color w:val="000000"/>
          <w:szCs w:val="20"/>
          <w:lang w:eastAsia="bg-BG"/>
        </w:rPr>
        <w:t>% спрямо 274/2366,11,6%, р=0,02) и е повишил честотата на хеморагичен инсулт (55/2365, 2,3% спрямо 33/2366, 1,4%, р=0,02) в сравнение с плацебо.</w:t>
      </w:r>
    </w:p>
    <w:p w14:paraId="6ADA1F9E" w14:textId="77777777" w:rsidR="00200DF5" w:rsidRPr="00200DF5" w:rsidRDefault="00200DF5" w:rsidP="00200DF5">
      <w:pPr>
        <w:spacing w:line="240" w:lineRule="auto"/>
        <w:rPr>
          <w:rFonts w:eastAsia="Times New Roman" w:cs="Arial"/>
          <w:color w:val="000000"/>
          <w:szCs w:val="20"/>
          <w:lang w:eastAsia="bg-BG"/>
        </w:rPr>
      </w:pPr>
    </w:p>
    <w:p w14:paraId="7B61500C" w14:textId="514BFA9C"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4,06;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0,84-19,57) и рискът от исхемичен инсулт е сходен в двете групи (3/45 при аторвастатин спрямо 2/48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1,64; 95%» С1, 0,27-9,82).</w:t>
      </w:r>
    </w:p>
    <w:p w14:paraId="732590EC" w14:textId="77777777" w:rsidR="00200DF5" w:rsidRPr="00200DF5" w:rsidRDefault="00200DF5" w:rsidP="00200DF5">
      <w:pPr>
        <w:spacing w:line="240" w:lineRule="auto"/>
        <w:rPr>
          <w:rFonts w:eastAsia="Times New Roman" w:cs="Arial"/>
          <w:color w:val="000000"/>
          <w:szCs w:val="20"/>
          <w:lang w:eastAsia="bg-BG"/>
        </w:rPr>
      </w:pPr>
    </w:p>
    <w:p w14:paraId="5F48E554" w14:textId="4CFBCE48"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Рискът от хеморагичен инсулт е повишен при пациенти, които са с предшестващ лакунарен инфаркт при включване в проучването (20/708 при аторвастатин спрямо 4/701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4,99;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1,71-14,6), но рискът от исхемичен инсулт при тези пациенти също е намалял (79/708 при аторвастатин спрямо 102/701 при плацебо; </w:t>
      </w:r>
      <w:r w:rsidRPr="00200DF5">
        <w:rPr>
          <w:rFonts w:eastAsia="Times New Roman" w:cs="Arial"/>
          <w:color w:val="000000"/>
          <w:szCs w:val="20"/>
          <w:lang w:val="en-US"/>
        </w:rPr>
        <w:t>HR</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0,76; 95% </w:t>
      </w:r>
      <w:r w:rsidRPr="00200DF5">
        <w:rPr>
          <w:rFonts w:eastAsia="Times New Roman" w:cs="Arial"/>
          <w:color w:val="000000"/>
          <w:szCs w:val="20"/>
          <w:lang w:val="en-US"/>
        </w:rPr>
        <w:t>CI</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на ден.</w:t>
      </w:r>
    </w:p>
    <w:p w14:paraId="39BE2BA2" w14:textId="77777777" w:rsidR="00200DF5" w:rsidRPr="00200DF5" w:rsidRDefault="00200DF5" w:rsidP="00200DF5">
      <w:pPr>
        <w:spacing w:line="240" w:lineRule="auto"/>
        <w:rPr>
          <w:rFonts w:eastAsia="Times New Roman" w:cs="Arial"/>
          <w:color w:val="000000"/>
          <w:szCs w:val="20"/>
          <w:lang w:eastAsia="bg-BG"/>
        </w:rPr>
      </w:pPr>
    </w:p>
    <w:p w14:paraId="0A92A2DB" w14:textId="033595BD"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Общата смъртност е 15,6% (7/45) при аторвастатин спрямо 10,4% (5/48) при плацебо в подгрупата пациенти с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49A406CC" w14:textId="77777777" w:rsidR="00200DF5" w:rsidRPr="00200DF5" w:rsidRDefault="00200DF5" w:rsidP="00200DF5">
      <w:pPr>
        <w:spacing w:line="240" w:lineRule="auto"/>
        <w:rPr>
          <w:rFonts w:eastAsia="Times New Roman" w:cs="Arial"/>
          <w:b/>
          <w:bCs/>
          <w:color w:val="000000"/>
          <w:szCs w:val="20"/>
          <w:lang w:eastAsia="bg-BG"/>
        </w:rPr>
      </w:pPr>
    </w:p>
    <w:p w14:paraId="367E6F25" w14:textId="4F9CB3A1" w:rsidR="00200DF5" w:rsidRPr="00200DF5" w:rsidRDefault="00200DF5" w:rsidP="00200DF5">
      <w:pPr>
        <w:spacing w:line="240" w:lineRule="auto"/>
        <w:rPr>
          <w:rFonts w:eastAsia="Times New Roman" w:cs="Arial"/>
          <w:sz w:val="28"/>
          <w:szCs w:val="24"/>
        </w:rPr>
      </w:pPr>
      <w:r w:rsidRPr="00200DF5">
        <w:rPr>
          <w:rFonts w:eastAsia="Times New Roman" w:cs="Arial"/>
          <w:b/>
          <w:bCs/>
          <w:color w:val="000000"/>
          <w:szCs w:val="20"/>
          <w:lang w:eastAsia="bg-BG"/>
        </w:rPr>
        <w:t>Педиатрична популация</w:t>
      </w:r>
    </w:p>
    <w:p w14:paraId="2B7AB223"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Хетерозиготна фамилна хиперхолестеролемия при педиатрични пациенти на възраст 6-17 години</w:t>
      </w:r>
    </w:p>
    <w:p w14:paraId="1D10BE6F"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Осем седмично отворено проучване за оценка на фармакокинетиката, фармакодинамиката и безопасността и поносимостта на аторвастатин е проведено при деца и юноши с потвърдена генетично хетерозиготна фамилна хиперхолестеролемия и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&gt; 4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Общо 39 деца и юноши на възраст от 6 до 17 години са били включени. Кохорт А е включил 15 деца, на възраст от 6 до 12 години в стадия </w:t>
      </w:r>
      <w:r w:rsidRPr="00200DF5">
        <w:rPr>
          <w:rFonts w:eastAsia="Times New Roman" w:cs="Arial"/>
          <w:color w:val="000000"/>
          <w:szCs w:val="20"/>
          <w:lang w:val="en-US"/>
        </w:rPr>
        <w:t>Tanner</w:t>
      </w:r>
      <w:r w:rsidRPr="00200DF5">
        <w:rPr>
          <w:rFonts w:eastAsia="Times New Roman" w:cs="Arial"/>
          <w:color w:val="000000"/>
          <w:szCs w:val="20"/>
          <w:lang w:val="ru-RU"/>
        </w:rPr>
        <w:t xml:space="preserve"> </w:t>
      </w:r>
      <w:r w:rsidRPr="00200DF5">
        <w:rPr>
          <w:rFonts w:eastAsia="Times New Roman" w:cs="Arial"/>
          <w:color w:val="000000"/>
          <w:szCs w:val="20"/>
          <w:lang w:val="en-US"/>
        </w:rPr>
        <w:t>Stage</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1. Кохорт Б е включил 24 деца, на възраст от 10 до 17 години и на </w:t>
      </w:r>
      <w:r w:rsidRPr="00200DF5">
        <w:rPr>
          <w:rFonts w:eastAsia="Times New Roman" w:cs="Arial"/>
          <w:color w:val="000000"/>
          <w:szCs w:val="20"/>
          <w:lang w:val="en-US"/>
        </w:rPr>
        <w:t>Tanner</w:t>
      </w:r>
      <w:r w:rsidRPr="00200DF5">
        <w:rPr>
          <w:rFonts w:eastAsia="Times New Roman" w:cs="Arial"/>
          <w:color w:val="000000"/>
          <w:szCs w:val="20"/>
          <w:lang w:val="ru-RU"/>
        </w:rPr>
        <w:t xml:space="preserve"> </w:t>
      </w:r>
      <w:r w:rsidRPr="00200DF5">
        <w:rPr>
          <w:rFonts w:eastAsia="Times New Roman" w:cs="Arial"/>
          <w:color w:val="000000"/>
          <w:szCs w:val="20"/>
          <w:lang w:val="en-US"/>
        </w:rPr>
        <w:t>Stage</w:t>
      </w:r>
      <w:r w:rsidRPr="00200DF5">
        <w:rPr>
          <w:rFonts w:eastAsia="Times New Roman" w:cs="Arial"/>
          <w:color w:val="000000"/>
          <w:szCs w:val="20"/>
          <w:lang w:val="ru-RU"/>
        </w:rPr>
        <w:t xml:space="preserve"> </w:t>
      </w:r>
      <w:r w:rsidRPr="00200DF5">
        <w:rPr>
          <w:rFonts w:eastAsia="Times New Roman" w:cs="Arial"/>
          <w:color w:val="000000"/>
          <w:szCs w:val="20"/>
          <w:lang w:eastAsia="bg-BG"/>
        </w:rPr>
        <w:t>≥ 2.</w:t>
      </w:r>
    </w:p>
    <w:p w14:paraId="5054CDD8" w14:textId="77777777" w:rsidR="00200DF5" w:rsidRPr="00200DF5" w:rsidRDefault="00200DF5" w:rsidP="00200DF5">
      <w:pPr>
        <w:spacing w:line="240" w:lineRule="auto"/>
        <w:rPr>
          <w:rFonts w:eastAsia="Times New Roman" w:cs="Arial"/>
          <w:color w:val="000000"/>
          <w:szCs w:val="20"/>
          <w:lang w:eastAsia="bg-BG"/>
        </w:rPr>
      </w:pPr>
    </w:p>
    <w:p w14:paraId="26667A5F" w14:textId="34A59BBF"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Началната доза аторвастатин е била 5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дневно дъвчаща таблетка в Кохорт А и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дневно от таблетната формулация в Кохорт Б. Допуснато е дозата на аторвастатин да бъде двойна, ако индивидът не достигне прицелна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от &lt; 3.35 </w:t>
      </w:r>
      <w:r w:rsidRPr="00200DF5">
        <w:rPr>
          <w:rFonts w:eastAsia="Times New Roman" w:cs="Arial"/>
          <w:color w:val="000000"/>
          <w:szCs w:val="20"/>
          <w:lang w:val="en-US"/>
        </w:rPr>
        <w:t>mmol</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на четвъртата седмица и ако аторвастатин се понася добре.</w:t>
      </w:r>
    </w:p>
    <w:p w14:paraId="541F9A36" w14:textId="77777777" w:rsidR="00200DF5" w:rsidRPr="00200DF5" w:rsidRDefault="00200DF5" w:rsidP="00200DF5">
      <w:pPr>
        <w:spacing w:line="240" w:lineRule="auto"/>
        <w:rPr>
          <w:rFonts w:eastAsia="Times New Roman" w:cs="Arial"/>
          <w:color w:val="000000"/>
          <w:szCs w:val="20"/>
          <w:lang w:eastAsia="bg-BG"/>
        </w:rPr>
      </w:pPr>
    </w:p>
    <w:p w14:paraId="44716461" w14:textId="6069C10B"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Средните стойности на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ТС, </w:t>
      </w:r>
      <w:r w:rsidRPr="00200DF5">
        <w:rPr>
          <w:rFonts w:eastAsia="Times New Roman" w:cs="Arial"/>
          <w:color w:val="000000"/>
          <w:szCs w:val="20"/>
          <w:lang w:val="en-US"/>
        </w:rPr>
        <w:t>VLDL</w:t>
      </w:r>
      <w:r w:rsidRPr="00200DF5">
        <w:rPr>
          <w:rFonts w:eastAsia="Times New Roman" w:cs="Arial"/>
          <w:color w:val="000000"/>
          <w:szCs w:val="20"/>
          <w:lang w:eastAsia="bg-BG"/>
        </w:rPr>
        <w:t xml:space="preserve">-С, и Аро В се понижават на 2-рата седмица при всички индивиди. При индивиди, при които дозата е удвоена, допълнително понижаване се наблюдава по-рано от втората седмица, при първо оценяване, след повишаване на дозата. Средният процент понижение при липидните показатели е подобно за двете кохорти, независимо дали индивидите са останали на първоначалните си дози или са ги удвоили. На седмица 8, средно процентната промяна от първоначалната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-С и общ холестерол е била приблизително 40% и 30% съответно, повече от обхвата на експозиция.</w:t>
      </w:r>
    </w:p>
    <w:p w14:paraId="577A34B9" w14:textId="77777777" w:rsidR="00200DF5" w:rsidRPr="00200DF5" w:rsidRDefault="00200DF5" w:rsidP="00200DF5">
      <w:pPr>
        <w:spacing w:line="240" w:lineRule="auto"/>
        <w:rPr>
          <w:rFonts w:eastAsia="Times New Roman" w:cs="Arial"/>
          <w:color w:val="000000"/>
          <w:szCs w:val="20"/>
          <w:lang w:eastAsia="bg-BG"/>
        </w:rPr>
      </w:pPr>
    </w:p>
    <w:p w14:paraId="4D24BD39" w14:textId="5B6BF3F0"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Във второ отворено проучване с едно рамо, 271 участници общо момчета и момичета на възраст 6-15 години с хетерозиготна фамилна хиперхолестеролемия са били включени и лекувани с аторвастатин за период от три години. Условие за включване в проучването е била диагностицирана хетерозиготна фамилна хиперхолестеролемия и изходни стойности на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p>
    <w:p w14:paraId="03DC08AA" w14:textId="064584B0" w:rsidR="00200DF5" w:rsidRPr="00200DF5" w:rsidRDefault="00200DF5" w:rsidP="00200DF5">
      <w:pPr>
        <w:rPr>
          <w:rFonts w:eastAsia="Times New Roman" w:cs="Arial"/>
          <w:color w:val="000000"/>
          <w:szCs w:val="20"/>
          <w:lang w:val="ru-RU"/>
        </w:rPr>
      </w:pPr>
      <w:r w:rsidRPr="00200DF5">
        <w:rPr>
          <w:rFonts w:eastAsia="Times New Roman" w:cs="Arial"/>
          <w:color w:val="000000"/>
          <w:szCs w:val="20"/>
          <w:lang w:eastAsia="bg-BG"/>
        </w:rPr>
        <w:lastRenderedPageBreak/>
        <w:t xml:space="preserve">≥ 4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(152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Проучването е включвало 139 деца с развитие I стадий по скалата на Танер, на възраст от 6 до 10 години. Началната доза на аторвастатин е била 5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(таблетка за дъвчене) веднъж дневно при деца на възраст под 10 години. Началната доза на аторвастатин при деца над 10 години е била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(веднъж дневно). При всички деца дозата е увелич</w:t>
      </w:r>
      <w:r w:rsidRPr="00200DF5">
        <w:rPr>
          <w:rFonts w:eastAsia="Times New Roman" w:cs="Arial"/>
          <w:color w:val="000000"/>
          <w:szCs w:val="20"/>
          <w:u w:val="single"/>
          <w:lang w:eastAsia="bg-BG"/>
        </w:rPr>
        <w:t xml:space="preserve">ена, за </w:t>
      </w:r>
      <w:r w:rsidRPr="00200DF5">
        <w:rPr>
          <w:rFonts w:eastAsia="Times New Roman" w:cs="Arial"/>
          <w:color w:val="000000"/>
          <w:szCs w:val="20"/>
          <w:lang w:eastAsia="bg-BG"/>
        </w:rPr>
        <w:t xml:space="preserve">да се постигне понижение на нивото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до таргетна стойност &lt; 3,35 </w:t>
      </w:r>
      <w:r w:rsidRPr="00200DF5">
        <w:rPr>
          <w:rFonts w:eastAsia="Times New Roman" w:cs="Arial"/>
          <w:color w:val="000000"/>
          <w:szCs w:val="20"/>
          <w:lang w:val="en-US"/>
        </w:rPr>
        <w:t>mmol</w:t>
      </w:r>
      <w:r w:rsidRPr="00200DF5">
        <w:rPr>
          <w:rFonts w:eastAsia="Times New Roman" w:cs="Arial"/>
          <w:color w:val="000000"/>
          <w:szCs w:val="20"/>
          <w:lang w:val="ru-RU"/>
        </w:rPr>
        <w:t>/1.</w:t>
      </w:r>
      <w:r w:rsidRPr="00200DF5">
        <w:rPr>
          <w:rFonts w:eastAsia="Times New Roman" w:cs="Arial"/>
          <w:color w:val="000000"/>
          <w:szCs w:val="20"/>
          <w:lang w:eastAsia="bg-BG"/>
        </w:rPr>
        <w:t xml:space="preserve"> Средната дневна доза аторвастатин при деца на възраст 6-9 години е била 19,6 </w:t>
      </w:r>
      <w:r w:rsidRPr="00200DF5">
        <w:rPr>
          <w:rFonts w:eastAsia="Times New Roman" w:cs="Arial"/>
          <w:color w:val="000000"/>
          <w:szCs w:val="20"/>
          <w:lang w:val="en-US"/>
        </w:rPr>
        <w:t>mg</w:t>
      </w:r>
      <w:r w:rsidRPr="00200DF5">
        <w:rPr>
          <w:rFonts w:eastAsia="Times New Roman" w:cs="Arial"/>
          <w:color w:val="000000"/>
          <w:szCs w:val="20"/>
          <w:lang w:eastAsia="bg-BG"/>
        </w:rPr>
        <w:t xml:space="preserve">, а при деца на и над 10 години - 23,9 </w:t>
      </w:r>
      <w:r w:rsidRPr="00200DF5">
        <w:rPr>
          <w:rFonts w:eastAsia="Times New Roman" w:cs="Arial"/>
          <w:color w:val="000000"/>
          <w:szCs w:val="20"/>
          <w:lang w:val="en-US"/>
        </w:rPr>
        <w:t>mg</w:t>
      </w:r>
      <w:r w:rsidRPr="00200DF5">
        <w:rPr>
          <w:rFonts w:eastAsia="Times New Roman" w:cs="Arial"/>
          <w:color w:val="000000"/>
          <w:szCs w:val="20"/>
          <w:lang w:val="ru-RU"/>
        </w:rPr>
        <w:t>.</w:t>
      </w:r>
    </w:p>
    <w:p w14:paraId="3400017F" w14:textId="7F462965" w:rsidR="00200DF5" w:rsidRPr="00200DF5" w:rsidRDefault="00200DF5" w:rsidP="00200DF5">
      <w:pPr>
        <w:rPr>
          <w:rFonts w:eastAsia="Times New Roman" w:cs="Arial"/>
          <w:color w:val="000000"/>
          <w:szCs w:val="20"/>
          <w:lang w:val="ru-RU"/>
        </w:rPr>
      </w:pPr>
    </w:p>
    <w:p w14:paraId="066007ED"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Средната </w:t>
      </w:r>
      <w:r w:rsidRPr="00200DF5">
        <w:rPr>
          <w:rFonts w:eastAsia="Times New Roman" w:cs="Arial"/>
          <w:color w:val="000000"/>
          <w:szCs w:val="20"/>
          <w:lang w:val="ru-RU"/>
        </w:rPr>
        <w:t>(+/-</w:t>
      </w:r>
      <w:r w:rsidRPr="00200DF5">
        <w:rPr>
          <w:rFonts w:eastAsia="Times New Roman" w:cs="Arial"/>
          <w:color w:val="000000"/>
          <w:szCs w:val="20"/>
          <w:lang w:val="en-US"/>
        </w:rPr>
        <w:t>SD</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изходна стойност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била 6.12 (1.26)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приблизително равна на 233 (48) </w:t>
      </w:r>
      <w:r w:rsidRPr="00200DF5">
        <w:rPr>
          <w:rFonts w:eastAsia="Times New Roman" w:cs="Arial"/>
          <w:color w:val="000000"/>
          <w:szCs w:val="20"/>
          <w:lang w:val="en-US"/>
        </w:rPr>
        <w:t>mg</w:t>
      </w:r>
      <w:r w:rsidRPr="00200DF5">
        <w:rPr>
          <w:rFonts w:eastAsia="Times New Roman" w:cs="Arial"/>
          <w:color w:val="000000"/>
          <w:szCs w:val="20"/>
          <w:lang w:val="ru-RU"/>
        </w:rPr>
        <w:t>/</w:t>
      </w:r>
      <w:r w:rsidRPr="00200DF5">
        <w:rPr>
          <w:rFonts w:eastAsia="Times New Roman" w:cs="Arial"/>
          <w:color w:val="000000"/>
          <w:szCs w:val="20"/>
          <w:lang w:val="en-US"/>
        </w:rPr>
        <w:t>dl</w:t>
      </w:r>
      <w:r w:rsidRPr="00200DF5">
        <w:rPr>
          <w:rFonts w:eastAsia="Times New Roman" w:cs="Arial"/>
          <w:color w:val="000000"/>
          <w:szCs w:val="20"/>
          <w:lang w:val="ru-RU"/>
        </w:rPr>
        <w:t xml:space="preserve">. </w:t>
      </w:r>
      <w:r w:rsidRPr="00200DF5">
        <w:rPr>
          <w:rFonts w:eastAsia="Times New Roman" w:cs="Arial"/>
          <w:color w:val="000000"/>
          <w:szCs w:val="20"/>
          <w:lang w:eastAsia="bg-BG"/>
        </w:rPr>
        <w:t>Вижте таблица 3 по-долу за крайните резултати.</w:t>
      </w:r>
    </w:p>
    <w:p w14:paraId="06B2C1B1" w14:textId="77777777" w:rsidR="00200DF5" w:rsidRPr="00200DF5" w:rsidRDefault="00200DF5" w:rsidP="00200DF5">
      <w:pPr>
        <w:spacing w:line="240" w:lineRule="auto"/>
        <w:rPr>
          <w:rFonts w:eastAsia="Times New Roman" w:cs="Arial"/>
          <w:color w:val="000000"/>
          <w:szCs w:val="20"/>
          <w:lang w:eastAsia="bg-BG"/>
        </w:rPr>
      </w:pPr>
    </w:p>
    <w:p w14:paraId="2D1CC306" w14:textId="1D6354A3"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Данните са били съвместими и не доказват влияние на лекарствения продукт върху показателите за растежа и развитието (напр. ръст, тегло, индекс телесна маса, стадий по Танер, оценка на изследователя върху цялостното полово съзряване и развитие) при деца и юноши с хетерозиготна фамилна хиперхолестеролемия, лекувани с аторвастатин по време на 3- годишното проучване. От наблюдения при визити, според от изследователя ръстта, теглото, индекса на телесната маса или пола не повлияват лечението с аторвастатин.</w:t>
      </w:r>
    </w:p>
    <w:p w14:paraId="052F9C89" w14:textId="77777777" w:rsidR="00200DF5" w:rsidRPr="00200DF5" w:rsidRDefault="00200DF5" w:rsidP="00200DF5">
      <w:pPr>
        <w:spacing w:line="240" w:lineRule="auto"/>
        <w:rPr>
          <w:rFonts w:eastAsia="Times New Roman" w:cs="Arial"/>
          <w:color w:val="000000"/>
          <w:szCs w:val="20"/>
          <w:u w:val="single"/>
          <w:lang w:eastAsia="bg-BG"/>
        </w:rPr>
      </w:pPr>
    </w:p>
    <w:p w14:paraId="4372924C" w14:textId="40F467D0"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 xml:space="preserve">Таблица 3 липидопонижаващ ефект на аторвастатин при подрастващи момчета и момичета с </w:t>
      </w:r>
      <w:r w:rsidRPr="00200DF5">
        <w:rPr>
          <w:rFonts w:eastAsia="Times New Roman" w:cs="Arial"/>
          <w:color w:val="000000"/>
          <w:szCs w:val="20"/>
          <w:lang w:eastAsia="bg-BG"/>
        </w:rPr>
        <w:t xml:space="preserve">хетерозиготна фамилна хиперхолестеролемия </w:t>
      </w:r>
      <w:r w:rsidRPr="00200DF5">
        <w:rPr>
          <w:rFonts w:eastAsia="Times New Roman" w:cs="Arial"/>
          <w:color w:val="000000"/>
          <w:szCs w:val="20"/>
          <w:u w:val="single"/>
          <w:lang w:val="ru-RU"/>
        </w:rPr>
        <w:t>(</w:t>
      </w:r>
      <w:r w:rsidRPr="00200DF5">
        <w:rPr>
          <w:rFonts w:eastAsia="Times New Roman" w:cs="Arial"/>
          <w:color w:val="000000"/>
          <w:szCs w:val="20"/>
          <w:u w:val="single"/>
          <w:lang w:val="en-US"/>
        </w:rPr>
        <w:t>mmol</w:t>
      </w:r>
      <w:r>
        <w:rPr>
          <w:rFonts w:eastAsia="Times New Roman" w:cs="Arial"/>
          <w:color w:val="000000"/>
          <w:szCs w:val="20"/>
          <w:u w:val="single"/>
          <w:lang w:val="ru-RU"/>
        </w:rPr>
        <w:t>/l</w:t>
      </w:r>
      <w:r w:rsidRPr="00200DF5">
        <w:rPr>
          <w:rFonts w:eastAsia="Times New Roman" w:cs="Arial"/>
          <w:color w:val="000000"/>
          <w:szCs w:val="20"/>
          <w:u w:val="single"/>
          <w:lang w:val="ru-RU"/>
        </w:rPr>
        <w:t>)</w:t>
      </w:r>
    </w:p>
    <w:tbl>
      <w:tblPr>
        <w:tblStyle w:val="TableGrid"/>
        <w:tblW w:w="0" w:type="auto"/>
        <w:tblLook w:val="04A0" w:firstRow="1" w:lastRow="0" w:firstColumn="1" w:lastColumn="0" w:noHBand="0" w:noVBand="1"/>
      </w:tblPr>
      <w:tblGrid>
        <w:gridCol w:w="1078"/>
        <w:gridCol w:w="559"/>
        <w:gridCol w:w="256"/>
        <w:gridCol w:w="1384"/>
        <w:gridCol w:w="899"/>
        <w:gridCol w:w="1144"/>
        <w:gridCol w:w="1462"/>
        <w:gridCol w:w="1206"/>
        <w:gridCol w:w="1362"/>
      </w:tblGrid>
      <w:tr w:rsidR="00200DF5" w14:paraId="52F44314" w14:textId="77777777" w:rsidTr="00200DF5">
        <w:tc>
          <w:tcPr>
            <w:tcW w:w="1085" w:type="dxa"/>
          </w:tcPr>
          <w:p w14:paraId="3F3A727E" w14:textId="395DA4E2" w:rsidR="00200DF5" w:rsidRDefault="00200DF5" w:rsidP="00200DF5">
            <w:pPr>
              <w:rPr>
                <w:rFonts w:ascii="Times New Roman" w:eastAsia="Times New Roman" w:hAnsi="Times New Roman" w:cs="Times New Roman"/>
                <w:color w:val="000000"/>
                <w:sz w:val="20"/>
                <w:szCs w:val="20"/>
                <w:lang w:eastAsia="bg-BG"/>
              </w:rPr>
            </w:pPr>
            <w:r>
              <w:rPr>
                <w:sz w:val="20"/>
                <w:szCs w:val="20"/>
              </w:rPr>
              <w:t>Време</w:t>
            </w:r>
          </w:p>
        </w:tc>
        <w:tc>
          <w:tcPr>
            <w:tcW w:w="866" w:type="dxa"/>
            <w:gridSpan w:val="2"/>
          </w:tcPr>
          <w:p w14:paraId="404725B0" w14:textId="588B37C9"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N</w:t>
            </w:r>
          </w:p>
        </w:tc>
        <w:tc>
          <w:tcPr>
            <w:tcW w:w="1418" w:type="dxa"/>
          </w:tcPr>
          <w:p w14:paraId="047DA995" w14:textId="6FE7F102"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ТС </w:t>
            </w:r>
            <w:r>
              <w:rPr>
                <w:sz w:val="20"/>
                <w:szCs w:val="20"/>
                <w:lang w:val="en-US"/>
              </w:rPr>
              <w:t>(S.D.)</w:t>
            </w:r>
          </w:p>
        </w:tc>
        <w:tc>
          <w:tcPr>
            <w:tcW w:w="1030" w:type="dxa"/>
          </w:tcPr>
          <w:p w14:paraId="63DF6808"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0CA6EFDF" w14:textId="3015D582"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LDL-C (S.D.)</w:t>
            </w:r>
          </w:p>
        </w:tc>
        <w:tc>
          <w:tcPr>
            <w:tcW w:w="1462" w:type="dxa"/>
          </w:tcPr>
          <w:p w14:paraId="7B4D063D" w14:textId="50ACB8C3"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HDL-C (S.D.)</w:t>
            </w:r>
          </w:p>
        </w:tc>
        <w:tc>
          <w:tcPr>
            <w:tcW w:w="1206" w:type="dxa"/>
          </w:tcPr>
          <w:p w14:paraId="54F55642" w14:textId="0D38F732" w:rsidR="00200DF5" w:rsidRDefault="00200DF5" w:rsidP="00200DF5">
            <w:pPr>
              <w:rPr>
                <w:rFonts w:ascii="Times New Roman" w:eastAsia="Times New Roman" w:hAnsi="Times New Roman" w:cs="Times New Roman"/>
                <w:color w:val="000000"/>
                <w:sz w:val="20"/>
                <w:szCs w:val="20"/>
                <w:lang w:eastAsia="bg-BG"/>
              </w:rPr>
            </w:pPr>
            <w:r>
              <w:rPr>
                <w:sz w:val="20"/>
                <w:szCs w:val="20"/>
                <w:lang w:val="en-US"/>
              </w:rPr>
              <w:t>TG (S.D.)</w:t>
            </w:r>
          </w:p>
        </w:tc>
        <w:tc>
          <w:tcPr>
            <w:tcW w:w="1362" w:type="dxa"/>
          </w:tcPr>
          <w:p w14:paraId="62FB04CE" w14:textId="5D6FF149" w:rsidR="00200DF5" w:rsidRDefault="00200DF5" w:rsidP="00200DF5">
            <w:pPr>
              <w:rPr>
                <w:rFonts w:ascii="Times New Roman" w:eastAsia="Times New Roman" w:hAnsi="Times New Roman" w:cs="Times New Roman"/>
                <w:color w:val="000000"/>
                <w:sz w:val="20"/>
                <w:szCs w:val="20"/>
                <w:lang w:eastAsia="bg-BG"/>
              </w:rPr>
            </w:pPr>
            <w:r>
              <w:rPr>
                <w:sz w:val="20"/>
                <w:szCs w:val="20"/>
              </w:rPr>
              <w:t xml:space="preserve">Аро В </w:t>
            </w:r>
            <w:r>
              <w:rPr>
                <w:sz w:val="20"/>
                <w:szCs w:val="20"/>
                <w:lang w:val="en-US"/>
              </w:rPr>
              <w:t>(S.D.)*</w:t>
            </w:r>
          </w:p>
        </w:tc>
      </w:tr>
      <w:tr w:rsidR="00200DF5" w14:paraId="7CFFFE77" w14:textId="77777777" w:rsidTr="00200DF5">
        <w:tc>
          <w:tcPr>
            <w:tcW w:w="1085" w:type="dxa"/>
          </w:tcPr>
          <w:p w14:paraId="7FBE33D9" w14:textId="2A88593C" w:rsidR="00200DF5" w:rsidRDefault="00200DF5" w:rsidP="00200DF5">
            <w:pPr>
              <w:rPr>
                <w:rFonts w:ascii="Times New Roman" w:eastAsia="Times New Roman" w:hAnsi="Times New Roman" w:cs="Times New Roman"/>
                <w:color w:val="000000"/>
                <w:sz w:val="20"/>
                <w:szCs w:val="20"/>
                <w:lang w:eastAsia="bg-BG"/>
              </w:rPr>
            </w:pPr>
            <w:r>
              <w:rPr>
                <w:sz w:val="20"/>
                <w:szCs w:val="20"/>
              </w:rPr>
              <w:t>Изходна стойност</w:t>
            </w:r>
          </w:p>
        </w:tc>
        <w:tc>
          <w:tcPr>
            <w:tcW w:w="866" w:type="dxa"/>
            <w:gridSpan w:val="2"/>
          </w:tcPr>
          <w:p w14:paraId="3ED80704" w14:textId="4BD412DC" w:rsidR="00200DF5" w:rsidRDefault="00200DF5" w:rsidP="00200DF5">
            <w:pPr>
              <w:rPr>
                <w:rFonts w:ascii="Times New Roman" w:eastAsia="Times New Roman" w:hAnsi="Times New Roman" w:cs="Times New Roman"/>
                <w:color w:val="000000"/>
                <w:sz w:val="20"/>
                <w:szCs w:val="20"/>
                <w:lang w:eastAsia="bg-BG"/>
              </w:rPr>
            </w:pPr>
            <w:r>
              <w:rPr>
                <w:sz w:val="20"/>
                <w:szCs w:val="20"/>
              </w:rPr>
              <w:t>271</w:t>
            </w:r>
          </w:p>
        </w:tc>
        <w:tc>
          <w:tcPr>
            <w:tcW w:w="1418" w:type="dxa"/>
          </w:tcPr>
          <w:p w14:paraId="0091EF9C" w14:textId="21E46760" w:rsidR="00200DF5" w:rsidRDefault="00200DF5" w:rsidP="00200DF5">
            <w:pPr>
              <w:rPr>
                <w:rFonts w:ascii="Times New Roman" w:eastAsia="Times New Roman" w:hAnsi="Times New Roman" w:cs="Times New Roman"/>
                <w:color w:val="000000"/>
                <w:sz w:val="20"/>
                <w:szCs w:val="20"/>
                <w:lang w:eastAsia="bg-BG"/>
              </w:rPr>
            </w:pPr>
            <w:r>
              <w:rPr>
                <w:sz w:val="20"/>
                <w:szCs w:val="20"/>
              </w:rPr>
              <w:t>7.86(1.30)</w:t>
            </w:r>
          </w:p>
        </w:tc>
        <w:tc>
          <w:tcPr>
            <w:tcW w:w="1030" w:type="dxa"/>
          </w:tcPr>
          <w:p w14:paraId="79A1EE43"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543E8231" w14:textId="525EA577" w:rsidR="00200DF5" w:rsidRDefault="00200DF5" w:rsidP="00200DF5">
            <w:pPr>
              <w:rPr>
                <w:rFonts w:ascii="Times New Roman" w:eastAsia="Times New Roman" w:hAnsi="Times New Roman" w:cs="Times New Roman"/>
                <w:color w:val="000000"/>
                <w:sz w:val="20"/>
                <w:szCs w:val="20"/>
                <w:lang w:eastAsia="bg-BG"/>
              </w:rPr>
            </w:pPr>
            <w:r>
              <w:rPr>
                <w:sz w:val="20"/>
                <w:szCs w:val="20"/>
              </w:rPr>
              <w:t>6.12(1.26)</w:t>
            </w:r>
          </w:p>
        </w:tc>
        <w:tc>
          <w:tcPr>
            <w:tcW w:w="1462" w:type="dxa"/>
          </w:tcPr>
          <w:p w14:paraId="7D156EEF" w14:textId="13FEAD09" w:rsidR="00200DF5" w:rsidRDefault="00200DF5" w:rsidP="00200DF5">
            <w:pPr>
              <w:rPr>
                <w:rFonts w:ascii="Times New Roman" w:eastAsia="Times New Roman" w:hAnsi="Times New Roman" w:cs="Times New Roman"/>
                <w:color w:val="000000"/>
                <w:sz w:val="20"/>
                <w:szCs w:val="20"/>
                <w:lang w:eastAsia="bg-BG"/>
              </w:rPr>
            </w:pPr>
            <w:r>
              <w:rPr>
                <w:sz w:val="20"/>
                <w:szCs w:val="20"/>
              </w:rPr>
              <w:t>1.314(0.2663)</w:t>
            </w:r>
          </w:p>
        </w:tc>
        <w:tc>
          <w:tcPr>
            <w:tcW w:w="1206" w:type="dxa"/>
          </w:tcPr>
          <w:p w14:paraId="3A4DBE8F" w14:textId="2C40EDD7" w:rsidR="00200DF5" w:rsidRDefault="00200DF5" w:rsidP="00200DF5">
            <w:pPr>
              <w:rPr>
                <w:rFonts w:ascii="Times New Roman" w:eastAsia="Times New Roman" w:hAnsi="Times New Roman" w:cs="Times New Roman"/>
                <w:color w:val="000000"/>
                <w:sz w:val="20"/>
                <w:szCs w:val="20"/>
                <w:lang w:eastAsia="bg-BG"/>
              </w:rPr>
            </w:pPr>
            <w:r>
              <w:rPr>
                <w:sz w:val="20"/>
                <w:szCs w:val="20"/>
              </w:rPr>
              <w:t>0.93(0.47)</w:t>
            </w:r>
          </w:p>
        </w:tc>
        <w:tc>
          <w:tcPr>
            <w:tcW w:w="1362" w:type="dxa"/>
          </w:tcPr>
          <w:p w14:paraId="539457FA" w14:textId="51F11417" w:rsidR="00200DF5" w:rsidRDefault="00200DF5" w:rsidP="00200DF5">
            <w:pPr>
              <w:rPr>
                <w:rFonts w:ascii="Times New Roman" w:eastAsia="Times New Roman" w:hAnsi="Times New Roman" w:cs="Times New Roman"/>
                <w:color w:val="000000"/>
                <w:sz w:val="20"/>
                <w:szCs w:val="20"/>
                <w:lang w:eastAsia="bg-BG"/>
              </w:rPr>
            </w:pPr>
            <w:r>
              <w:rPr>
                <w:sz w:val="20"/>
                <w:szCs w:val="20"/>
              </w:rPr>
              <w:t>1.42(0.28)**</w:t>
            </w:r>
          </w:p>
        </w:tc>
      </w:tr>
      <w:tr w:rsidR="00200DF5" w14:paraId="1E94E673" w14:textId="77777777" w:rsidTr="00200DF5">
        <w:tc>
          <w:tcPr>
            <w:tcW w:w="1085" w:type="dxa"/>
          </w:tcPr>
          <w:p w14:paraId="03D2039C" w14:textId="289C9F08" w:rsidR="00200DF5" w:rsidRDefault="00200DF5" w:rsidP="00200DF5">
            <w:pPr>
              <w:rPr>
                <w:rFonts w:ascii="Times New Roman" w:eastAsia="Times New Roman" w:hAnsi="Times New Roman" w:cs="Times New Roman"/>
                <w:color w:val="000000"/>
                <w:sz w:val="20"/>
                <w:szCs w:val="20"/>
                <w:lang w:eastAsia="bg-BG"/>
              </w:rPr>
            </w:pPr>
            <w:r>
              <w:rPr>
                <w:sz w:val="20"/>
                <w:szCs w:val="20"/>
              </w:rPr>
              <w:t>Месец 30</w:t>
            </w:r>
          </w:p>
        </w:tc>
        <w:tc>
          <w:tcPr>
            <w:tcW w:w="866" w:type="dxa"/>
            <w:gridSpan w:val="2"/>
          </w:tcPr>
          <w:p w14:paraId="2AE12C33" w14:textId="1B8DC63B" w:rsidR="00200DF5" w:rsidRDefault="00200DF5" w:rsidP="00200DF5">
            <w:pPr>
              <w:rPr>
                <w:rFonts w:ascii="Times New Roman" w:eastAsia="Times New Roman" w:hAnsi="Times New Roman" w:cs="Times New Roman"/>
                <w:color w:val="000000"/>
                <w:sz w:val="20"/>
                <w:szCs w:val="20"/>
                <w:lang w:eastAsia="bg-BG"/>
              </w:rPr>
            </w:pPr>
            <w:r>
              <w:rPr>
                <w:sz w:val="20"/>
                <w:szCs w:val="20"/>
              </w:rPr>
              <w:t>206</w:t>
            </w:r>
          </w:p>
        </w:tc>
        <w:tc>
          <w:tcPr>
            <w:tcW w:w="1418" w:type="dxa"/>
          </w:tcPr>
          <w:p w14:paraId="1B6960AB" w14:textId="28FA947C" w:rsidR="00200DF5" w:rsidRDefault="00200DF5" w:rsidP="00200DF5">
            <w:pPr>
              <w:rPr>
                <w:rFonts w:ascii="Times New Roman" w:eastAsia="Times New Roman" w:hAnsi="Times New Roman" w:cs="Times New Roman"/>
                <w:color w:val="000000"/>
                <w:sz w:val="20"/>
                <w:szCs w:val="20"/>
                <w:lang w:eastAsia="bg-BG"/>
              </w:rPr>
            </w:pPr>
            <w:r>
              <w:rPr>
                <w:sz w:val="20"/>
                <w:szCs w:val="20"/>
              </w:rPr>
              <w:t>4.95(0.77)*</w:t>
            </w:r>
          </w:p>
        </w:tc>
        <w:tc>
          <w:tcPr>
            <w:tcW w:w="1030" w:type="dxa"/>
          </w:tcPr>
          <w:p w14:paraId="34AE462E"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1CC7262F" w14:textId="301F24BA" w:rsidR="00200DF5" w:rsidRDefault="00200DF5" w:rsidP="00200DF5">
            <w:pPr>
              <w:rPr>
                <w:rFonts w:ascii="Times New Roman" w:eastAsia="Times New Roman" w:hAnsi="Times New Roman" w:cs="Times New Roman"/>
                <w:color w:val="000000"/>
                <w:sz w:val="20"/>
                <w:szCs w:val="20"/>
                <w:lang w:eastAsia="bg-BG"/>
              </w:rPr>
            </w:pPr>
            <w:r>
              <w:rPr>
                <w:sz w:val="20"/>
                <w:szCs w:val="20"/>
              </w:rPr>
              <w:t>3.25(0.67)</w:t>
            </w:r>
          </w:p>
        </w:tc>
        <w:tc>
          <w:tcPr>
            <w:tcW w:w="1462" w:type="dxa"/>
          </w:tcPr>
          <w:p w14:paraId="1F1099E4" w14:textId="35D0B895" w:rsidR="00200DF5" w:rsidRDefault="00200DF5" w:rsidP="00200DF5">
            <w:pPr>
              <w:rPr>
                <w:rFonts w:ascii="Times New Roman" w:eastAsia="Times New Roman" w:hAnsi="Times New Roman" w:cs="Times New Roman"/>
                <w:color w:val="000000"/>
                <w:sz w:val="20"/>
                <w:szCs w:val="20"/>
                <w:lang w:eastAsia="bg-BG"/>
              </w:rPr>
            </w:pPr>
            <w:r>
              <w:rPr>
                <w:sz w:val="20"/>
                <w:szCs w:val="20"/>
              </w:rPr>
              <w:t>1.327(0.2796)</w:t>
            </w:r>
          </w:p>
        </w:tc>
        <w:tc>
          <w:tcPr>
            <w:tcW w:w="1206" w:type="dxa"/>
          </w:tcPr>
          <w:p w14:paraId="5AEC77E0" w14:textId="2345EAC5" w:rsidR="00200DF5" w:rsidRDefault="00200DF5" w:rsidP="00200DF5">
            <w:pPr>
              <w:rPr>
                <w:rFonts w:ascii="Times New Roman" w:eastAsia="Times New Roman" w:hAnsi="Times New Roman" w:cs="Times New Roman"/>
                <w:color w:val="000000"/>
                <w:sz w:val="20"/>
                <w:szCs w:val="20"/>
                <w:lang w:eastAsia="bg-BG"/>
              </w:rPr>
            </w:pPr>
            <w:r>
              <w:rPr>
                <w:sz w:val="20"/>
                <w:szCs w:val="20"/>
              </w:rPr>
              <w:t>0.79(0.38)*</w:t>
            </w:r>
          </w:p>
        </w:tc>
        <w:tc>
          <w:tcPr>
            <w:tcW w:w="1362" w:type="dxa"/>
          </w:tcPr>
          <w:p w14:paraId="3CBFA11F" w14:textId="4C4C5BB6" w:rsidR="00200DF5" w:rsidRDefault="00200DF5" w:rsidP="00200DF5">
            <w:pPr>
              <w:rPr>
                <w:rFonts w:ascii="Times New Roman" w:eastAsia="Times New Roman" w:hAnsi="Times New Roman" w:cs="Times New Roman"/>
                <w:color w:val="000000"/>
                <w:sz w:val="20"/>
                <w:szCs w:val="20"/>
                <w:lang w:eastAsia="bg-BG"/>
              </w:rPr>
            </w:pPr>
            <w:r>
              <w:rPr>
                <w:sz w:val="20"/>
                <w:szCs w:val="20"/>
              </w:rPr>
              <w:t>0.90(0.17)*</w:t>
            </w:r>
          </w:p>
        </w:tc>
      </w:tr>
      <w:tr w:rsidR="00200DF5" w14:paraId="126F4AE3" w14:textId="77777777" w:rsidTr="00200DF5">
        <w:tc>
          <w:tcPr>
            <w:tcW w:w="1085" w:type="dxa"/>
          </w:tcPr>
          <w:p w14:paraId="5159887E" w14:textId="28672E49" w:rsidR="00200DF5" w:rsidRDefault="00200DF5" w:rsidP="00200DF5">
            <w:pPr>
              <w:rPr>
                <w:rFonts w:ascii="Times New Roman" w:eastAsia="Times New Roman" w:hAnsi="Times New Roman" w:cs="Times New Roman"/>
                <w:color w:val="000000"/>
                <w:sz w:val="20"/>
                <w:szCs w:val="20"/>
                <w:lang w:eastAsia="bg-BG"/>
              </w:rPr>
            </w:pPr>
            <w:r>
              <w:rPr>
                <w:sz w:val="20"/>
                <w:szCs w:val="20"/>
              </w:rPr>
              <w:t>Месец 3636/ЕТ</w:t>
            </w:r>
          </w:p>
        </w:tc>
        <w:tc>
          <w:tcPr>
            <w:tcW w:w="866" w:type="dxa"/>
            <w:gridSpan w:val="2"/>
          </w:tcPr>
          <w:p w14:paraId="72D624E2" w14:textId="19675FD8" w:rsidR="00200DF5" w:rsidRDefault="00200DF5" w:rsidP="00200DF5">
            <w:pPr>
              <w:rPr>
                <w:rFonts w:ascii="Times New Roman" w:eastAsia="Times New Roman" w:hAnsi="Times New Roman" w:cs="Times New Roman"/>
                <w:color w:val="000000"/>
                <w:sz w:val="20"/>
                <w:szCs w:val="20"/>
                <w:lang w:eastAsia="bg-BG"/>
              </w:rPr>
            </w:pPr>
            <w:r>
              <w:rPr>
                <w:sz w:val="20"/>
                <w:szCs w:val="20"/>
              </w:rPr>
              <w:t>240</w:t>
            </w:r>
          </w:p>
        </w:tc>
        <w:tc>
          <w:tcPr>
            <w:tcW w:w="1418" w:type="dxa"/>
          </w:tcPr>
          <w:p w14:paraId="1C51ED83" w14:textId="2DD49339" w:rsidR="00200DF5" w:rsidRDefault="00200DF5" w:rsidP="00200DF5">
            <w:pPr>
              <w:rPr>
                <w:rFonts w:ascii="Times New Roman" w:eastAsia="Times New Roman" w:hAnsi="Times New Roman" w:cs="Times New Roman"/>
                <w:color w:val="000000"/>
                <w:sz w:val="20"/>
                <w:szCs w:val="20"/>
                <w:lang w:eastAsia="bg-BG"/>
              </w:rPr>
            </w:pPr>
            <w:r>
              <w:rPr>
                <w:sz w:val="20"/>
                <w:szCs w:val="20"/>
              </w:rPr>
              <w:t>5.12(0.86)</w:t>
            </w:r>
          </w:p>
        </w:tc>
        <w:tc>
          <w:tcPr>
            <w:tcW w:w="1030" w:type="dxa"/>
          </w:tcPr>
          <w:p w14:paraId="0E11745D" w14:textId="77777777" w:rsidR="00200DF5" w:rsidRDefault="00200DF5" w:rsidP="00200DF5">
            <w:pPr>
              <w:rPr>
                <w:rFonts w:ascii="Times New Roman" w:eastAsia="Times New Roman" w:hAnsi="Times New Roman" w:cs="Times New Roman"/>
                <w:color w:val="000000"/>
                <w:sz w:val="20"/>
                <w:szCs w:val="20"/>
                <w:lang w:eastAsia="bg-BG"/>
              </w:rPr>
            </w:pPr>
          </w:p>
        </w:tc>
        <w:tc>
          <w:tcPr>
            <w:tcW w:w="1147" w:type="dxa"/>
          </w:tcPr>
          <w:p w14:paraId="4EA9C8FC" w14:textId="4F20BC8F" w:rsidR="00200DF5" w:rsidRDefault="00200DF5" w:rsidP="00200DF5">
            <w:pPr>
              <w:rPr>
                <w:rFonts w:ascii="Times New Roman" w:eastAsia="Times New Roman" w:hAnsi="Times New Roman" w:cs="Times New Roman"/>
                <w:color w:val="000000"/>
                <w:sz w:val="20"/>
                <w:szCs w:val="20"/>
                <w:lang w:eastAsia="bg-BG"/>
              </w:rPr>
            </w:pPr>
            <w:r>
              <w:rPr>
                <w:sz w:val="20"/>
                <w:szCs w:val="20"/>
              </w:rPr>
              <w:t>3.45(0.81)</w:t>
            </w:r>
          </w:p>
        </w:tc>
        <w:tc>
          <w:tcPr>
            <w:tcW w:w="1462" w:type="dxa"/>
          </w:tcPr>
          <w:p w14:paraId="62904409" w14:textId="35EEA566" w:rsidR="00200DF5" w:rsidRDefault="00200DF5" w:rsidP="00200DF5">
            <w:pPr>
              <w:rPr>
                <w:rFonts w:ascii="Times New Roman" w:eastAsia="Times New Roman" w:hAnsi="Times New Roman" w:cs="Times New Roman"/>
                <w:color w:val="000000"/>
                <w:sz w:val="20"/>
                <w:szCs w:val="20"/>
                <w:lang w:eastAsia="bg-BG"/>
              </w:rPr>
            </w:pPr>
            <w:r>
              <w:rPr>
                <w:sz w:val="20"/>
                <w:szCs w:val="20"/>
              </w:rPr>
              <w:t>1.308(0.2739)</w:t>
            </w:r>
          </w:p>
        </w:tc>
        <w:tc>
          <w:tcPr>
            <w:tcW w:w="1206" w:type="dxa"/>
          </w:tcPr>
          <w:p w14:paraId="538EFAF7" w14:textId="1F4BFFAA" w:rsidR="00200DF5" w:rsidRDefault="00200DF5" w:rsidP="00200DF5">
            <w:pPr>
              <w:rPr>
                <w:rFonts w:ascii="Times New Roman" w:eastAsia="Times New Roman" w:hAnsi="Times New Roman" w:cs="Times New Roman"/>
                <w:color w:val="000000"/>
                <w:sz w:val="20"/>
                <w:szCs w:val="20"/>
                <w:lang w:eastAsia="bg-BG"/>
              </w:rPr>
            </w:pPr>
            <w:r>
              <w:rPr>
                <w:sz w:val="20"/>
                <w:szCs w:val="20"/>
              </w:rPr>
              <w:t>0.78(0.41)</w:t>
            </w:r>
          </w:p>
        </w:tc>
        <w:tc>
          <w:tcPr>
            <w:tcW w:w="1362" w:type="dxa"/>
          </w:tcPr>
          <w:p w14:paraId="2F3EAC93" w14:textId="419BECC8" w:rsidR="00200DF5" w:rsidRDefault="00200DF5" w:rsidP="00200DF5">
            <w:pPr>
              <w:rPr>
                <w:rFonts w:ascii="Times New Roman" w:eastAsia="Times New Roman" w:hAnsi="Times New Roman" w:cs="Times New Roman"/>
                <w:color w:val="000000"/>
                <w:sz w:val="20"/>
                <w:szCs w:val="20"/>
                <w:lang w:eastAsia="bg-BG"/>
              </w:rPr>
            </w:pPr>
            <w:r>
              <w:rPr>
                <w:sz w:val="20"/>
                <w:szCs w:val="20"/>
              </w:rPr>
              <w:t>0.93(0.20)***</w:t>
            </w:r>
          </w:p>
        </w:tc>
      </w:tr>
      <w:tr w:rsidR="00200DF5" w14:paraId="3AAB128D" w14:textId="77777777" w:rsidTr="00200DF5">
        <w:tc>
          <w:tcPr>
            <w:tcW w:w="1668" w:type="dxa"/>
            <w:gridSpan w:val="2"/>
          </w:tcPr>
          <w:p w14:paraId="5298A4E1" w14:textId="77777777" w:rsidR="00200DF5" w:rsidRDefault="00200DF5" w:rsidP="00200DF5">
            <w:pPr>
              <w:rPr>
                <w:rFonts w:ascii="Times New Roman" w:eastAsia="Times New Roman" w:hAnsi="Times New Roman" w:cs="Times New Roman"/>
                <w:color w:val="000000"/>
                <w:sz w:val="20"/>
                <w:szCs w:val="20"/>
                <w:lang w:eastAsia="bg-BG"/>
              </w:rPr>
            </w:pPr>
          </w:p>
        </w:tc>
        <w:tc>
          <w:tcPr>
            <w:tcW w:w="7908" w:type="dxa"/>
            <w:gridSpan w:val="7"/>
          </w:tcPr>
          <w:p w14:paraId="11B3ED25" w14:textId="77777777" w:rsidR="00200DF5" w:rsidRPr="00200DF5" w:rsidRDefault="00200DF5" w:rsidP="00200DF5">
            <w:pPr>
              <w:spacing w:line="240" w:lineRule="auto"/>
              <w:rPr>
                <w:rFonts w:eastAsia="Times New Roman" w:cs="Arial"/>
                <w:szCs w:val="24"/>
              </w:rPr>
            </w:pPr>
            <w:r w:rsidRPr="00200DF5">
              <w:rPr>
                <w:rFonts w:eastAsia="Times New Roman" w:cs="Arial"/>
                <w:color w:val="000000"/>
                <w:szCs w:val="20"/>
                <w:lang w:eastAsia="bg-BG"/>
              </w:rPr>
              <w:t xml:space="preserve">ТС= общ холестерол;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холестерол с ниска плътност; </w:t>
            </w:r>
            <w:r w:rsidRPr="00200DF5">
              <w:rPr>
                <w:rFonts w:eastAsia="Times New Roman" w:cs="Arial"/>
                <w:color w:val="000000"/>
                <w:szCs w:val="20"/>
                <w:lang w:val="en-US"/>
              </w:rPr>
              <w:t>HDL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холестерол с висока плътност; </w:t>
            </w:r>
            <w:r w:rsidRPr="00200DF5">
              <w:rPr>
                <w:rFonts w:eastAsia="Times New Roman" w:cs="Arial"/>
                <w:color w:val="000000"/>
                <w:szCs w:val="20"/>
                <w:lang w:val="en-US"/>
              </w:rPr>
              <w:t>TG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 </w:t>
            </w:r>
            <w:r w:rsidRPr="00200DF5">
              <w:rPr>
                <w:rFonts w:eastAsia="Times New Roman" w:cs="Arial"/>
                <w:color w:val="000000"/>
                <w:szCs w:val="20"/>
                <w:lang w:val="en-US"/>
              </w:rPr>
              <w:t>triglycerides</w:t>
            </w:r>
            <w:r w:rsidRPr="00200DF5">
              <w:rPr>
                <w:rFonts w:eastAsia="Times New Roman" w:cs="Arial"/>
                <w:color w:val="000000"/>
                <w:szCs w:val="20"/>
                <w:lang w:val="ru-RU"/>
              </w:rPr>
              <w:t xml:space="preserve">; </w:t>
            </w:r>
            <w:r w:rsidRPr="00200DF5">
              <w:rPr>
                <w:rFonts w:eastAsia="Times New Roman" w:cs="Arial"/>
                <w:color w:val="000000"/>
                <w:szCs w:val="20"/>
                <w:lang w:val="en-US"/>
              </w:rPr>
              <w:t>Apo</w:t>
            </w:r>
            <w:r w:rsidRPr="00200DF5">
              <w:rPr>
                <w:rFonts w:eastAsia="Times New Roman" w:cs="Arial"/>
                <w:color w:val="000000"/>
                <w:szCs w:val="20"/>
                <w:lang w:val="ru-RU"/>
              </w:rPr>
              <w:t xml:space="preserve"> </w:t>
            </w:r>
            <w:r w:rsidRPr="00200DF5">
              <w:rPr>
                <w:rFonts w:eastAsia="Times New Roman" w:cs="Arial"/>
                <w:color w:val="000000"/>
                <w:szCs w:val="20"/>
                <w:lang w:eastAsia="bg-BG"/>
              </w:rPr>
              <w:t>В = аполипопротеин В; “Месец 36/ЕТ” включва окончателните данни от визитите при индивиди, завършили участието си преди планирания период от 36 месеца, както и пълните данни за участници, приключили участието си на 36-ия месец.</w:t>
            </w:r>
          </w:p>
          <w:p w14:paraId="1866CBF4" w14:textId="3E9D6C5F" w:rsidR="00200DF5" w:rsidRPr="00200DF5" w:rsidRDefault="00200DF5" w:rsidP="00200DF5">
            <w:pPr>
              <w:rPr>
                <w:rFonts w:eastAsia="Times New Roman" w:cs="Arial"/>
                <w:color w:val="000000"/>
                <w:szCs w:val="20"/>
                <w:lang w:eastAsia="bg-BG"/>
              </w:rPr>
            </w:pPr>
            <w:r w:rsidRPr="00200DF5">
              <w:rPr>
                <w:rFonts w:eastAsia="Times New Roman" w:cs="Arial"/>
                <w:color w:val="000000"/>
                <w:szCs w:val="20"/>
                <w:lang w:eastAsia="bg-BG"/>
              </w:rPr>
              <w:t xml:space="preserve">Месец 30 </w:t>
            </w:r>
            <w:r w:rsidRPr="00200DF5">
              <w:rPr>
                <w:rFonts w:eastAsia="Times New Roman" w:cs="Arial"/>
                <w:color w:val="000000"/>
                <w:szCs w:val="20"/>
                <w:lang w:val="en-US"/>
              </w:rPr>
              <w:t>N</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за този показател е 207; “**”= изходна стойност за този показател- 270; “***” = месец 36/ЕТ стойност за този показател- 243; </w:t>
            </w:r>
            <w:r w:rsidRPr="00200DF5">
              <w:rPr>
                <w:rFonts w:eastAsia="Times New Roman" w:cs="Arial"/>
                <w:color w:val="000000"/>
                <w:szCs w:val="20"/>
                <w:lang w:val="ru-RU"/>
              </w:rPr>
              <w:t>“#”=</w:t>
            </w:r>
            <w:r w:rsidRPr="00200DF5">
              <w:rPr>
                <w:rFonts w:eastAsia="Times New Roman" w:cs="Arial"/>
                <w:color w:val="000000"/>
                <w:szCs w:val="20"/>
                <w:lang w:val="en-US"/>
              </w:rPr>
              <w:t>g</w:t>
            </w:r>
            <w:r w:rsidRPr="00200DF5">
              <w:rPr>
                <w:rFonts w:eastAsia="Times New Roman" w:cs="Arial"/>
                <w:color w:val="000000"/>
                <w:szCs w:val="20"/>
                <w:lang w:val="ru-RU"/>
              </w:rPr>
              <w:t>/</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за Аро В.</w:t>
            </w:r>
          </w:p>
        </w:tc>
      </w:tr>
    </w:tbl>
    <w:p w14:paraId="1DB625F3" w14:textId="77777777" w:rsidR="00200DF5" w:rsidRDefault="00200DF5" w:rsidP="00200DF5">
      <w:pPr>
        <w:spacing w:line="240" w:lineRule="auto"/>
        <w:rPr>
          <w:rFonts w:eastAsia="Times New Roman" w:cs="Arial"/>
          <w:color w:val="000000"/>
          <w:szCs w:val="20"/>
          <w:u w:val="single"/>
          <w:lang w:eastAsia="bg-BG"/>
        </w:rPr>
      </w:pPr>
    </w:p>
    <w:p w14:paraId="4F332EBF" w14:textId="1ACBF65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Хетерозиготна Фамилна хиперхолестероемия при педиатрични пациенти на възраст между 10 и 17 години</w:t>
      </w:r>
    </w:p>
    <w:p w14:paraId="799527BB"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В двойно сляпо, плацебо контролирано проучване, последвано от отворена фаза, 187 момчета и момичета на възраст между 10 и 17 години (средна възраст 14,1 години) с хетерозиготна фамилна хиперхолестеролемия или тежка хиперхолестеролемия са били рандомизирани на аторвастатин (</w:t>
      </w:r>
      <w:r w:rsidRPr="00200DF5">
        <w:rPr>
          <w:rFonts w:eastAsia="Times New Roman" w:cs="Arial"/>
          <w:color w:val="000000"/>
          <w:szCs w:val="20"/>
          <w:lang w:val="en-US"/>
        </w:rPr>
        <w:t>n</w:t>
      </w:r>
      <w:r w:rsidRPr="00200DF5">
        <w:rPr>
          <w:rFonts w:eastAsia="Times New Roman" w:cs="Arial"/>
          <w:color w:val="000000"/>
          <w:szCs w:val="20"/>
          <w:lang w:eastAsia="bg-BG"/>
        </w:rPr>
        <w:t>=140) или плацебо (</w:t>
      </w:r>
      <w:r w:rsidRPr="00200DF5">
        <w:rPr>
          <w:rFonts w:eastAsia="Times New Roman" w:cs="Arial"/>
          <w:color w:val="000000"/>
          <w:szCs w:val="20"/>
          <w:lang w:val="en-US"/>
        </w:rPr>
        <w:t>n</w:t>
      </w:r>
      <w:r w:rsidRPr="00200DF5">
        <w:rPr>
          <w:rFonts w:eastAsia="Times New Roman" w:cs="Arial"/>
          <w:color w:val="000000"/>
          <w:szCs w:val="20"/>
          <w:lang w:eastAsia="bg-BG"/>
        </w:rPr>
        <w:t xml:space="preserve">=47) за 26 седмици и тогава всички са приемали аторвастатин за 26 седмици. Дозата на аторвастатин (веднъж дневно) е била 10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за първите 4 седмици и увеличена до 20 </w:t>
      </w:r>
      <w:r w:rsidRPr="00200DF5">
        <w:rPr>
          <w:rFonts w:eastAsia="Times New Roman" w:cs="Arial"/>
          <w:color w:val="000000"/>
          <w:szCs w:val="20"/>
          <w:lang w:val="en-US"/>
        </w:rPr>
        <w:t>mg</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ако нивата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е 3.36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Аторвастатин значително понижава плазмените нива на общия холестерол,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триглицеридите и аполипопротеин В през 26 седмичната двойно сляпа фаза. Средните достигнати стойности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са били 3,38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(1,81 -6,26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в </w:t>
      </w:r>
      <w:r w:rsidRPr="00200DF5">
        <w:rPr>
          <w:rFonts w:eastAsia="Times New Roman" w:cs="Arial"/>
          <w:color w:val="000000"/>
          <w:szCs w:val="20"/>
          <w:lang w:eastAsia="bg-BG"/>
        </w:rPr>
        <w:lastRenderedPageBreak/>
        <w:t xml:space="preserve">групата на аторвастатин в сравнение с 5,91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(3,93 - 9,96 </w:t>
      </w:r>
      <w:r w:rsidRPr="00200DF5">
        <w:rPr>
          <w:rFonts w:eastAsia="Times New Roman" w:cs="Arial"/>
          <w:color w:val="000000"/>
          <w:szCs w:val="20"/>
          <w:lang w:val="en-US"/>
        </w:rPr>
        <w:t>mmol</w:t>
      </w:r>
      <w:r w:rsidRPr="00200DF5">
        <w:rPr>
          <w:rFonts w:eastAsia="Times New Roman" w:cs="Arial"/>
          <w:color w:val="000000"/>
          <w:szCs w:val="20"/>
          <w:lang w:val="ru-RU"/>
        </w:rPr>
        <w:t xml:space="preserve">/1) </w:t>
      </w:r>
      <w:r w:rsidRPr="00200DF5">
        <w:rPr>
          <w:rFonts w:eastAsia="Times New Roman" w:cs="Arial"/>
          <w:color w:val="000000"/>
          <w:szCs w:val="20"/>
          <w:lang w:eastAsia="bg-BG"/>
        </w:rPr>
        <w:t>в плацебо групата през 26 седмичната двойно сляпа фаза.</w:t>
      </w:r>
    </w:p>
    <w:p w14:paraId="2318E5EF" w14:textId="77777777" w:rsidR="00200DF5" w:rsidRPr="00200DF5" w:rsidRDefault="00200DF5" w:rsidP="00200DF5">
      <w:pPr>
        <w:spacing w:line="240" w:lineRule="auto"/>
        <w:rPr>
          <w:rFonts w:eastAsia="Times New Roman" w:cs="Arial"/>
          <w:color w:val="000000"/>
          <w:szCs w:val="20"/>
          <w:lang w:eastAsia="bg-BG"/>
        </w:rPr>
      </w:pPr>
    </w:p>
    <w:p w14:paraId="6A2222AC" w14:textId="1E00E333"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Друго педиатрично проучване е това на аторвастатин спрямо колестипол при пациенти с хиперхолестеролемия на възраст между 10 и 18 години, което показва, че аторвастатин </w:t>
      </w:r>
      <w:r w:rsidRPr="00200DF5">
        <w:rPr>
          <w:rFonts w:eastAsia="Times New Roman" w:cs="Arial"/>
          <w:color w:val="000000"/>
          <w:szCs w:val="20"/>
          <w:lang w:val="ru-RU"/>
        </w:rPr>
        <w:t>(</w:t>
      </w:r>
      <w:r w:rsidRPr="00200DF5">
        <w:rPr>
          <w:rFonts w:eastAsia="Times New Roman" w:cs="Arial"/>
          <w:color w:val="000000"/>
          <w:szCs w:val="20"/>
          <w:lang w:val="en-US"/>
        </w:rPr>
        <w:t>N</w:t>
      </w:r>
      <w:r w:rsidRPr="00200DF5">
        <w:rPr>
          <w:rFonts w:eastAsia="Times New Roman" w:cs="Arial"/>
          <w:color w:val="000000"/>
          <w:szCs w:val="20"/>
          <w:lang w:val="ru-RU"/>
        </w:rPr>
        <w:t xml:space="preserve">=25) </w:t>
      </w:r>
      <w:r w:rsidRPr="00200DF5">
        <w:rPr>
          <w:rFonts w:eastAsia="Times New Roman" w:cs="Arial"/>
          <w:color w:val="000000"/>
          <w:szCs w:val="20"/>
          <w:lang w:eastAsia="bg-BG"/>
        </w:rPr>
        <w:t xml:space="preserve">води до значително намаляване на </w:t>
      </w:r>
      <w:r w:rsidRPr="00200DF5">
        <w:rPr>
          <w:rFonts w:eastAsia="Times New Roman" w:cs="Arial"/>
          <w:color w:val="000000"/>
          <w:szCs w:val="20"/>
          <w:lang w:val="en-US"/>
        </w:rPr>
        <w:t>LDL</w:t>
      </w:r>
      <w:r w:rsidRPr="00200DF5">
        <w:rPr>
          <w:rFonts w:eastAsia="Times New Roman" w:cs="Arial"/>
          <w:color w:val="000000"/>
          <w:szCs w:val="20"/>
          <w:lang w:eastAsia="bg-BG"/>
        </w:rPr>
        <w:t xml:space="preserve">-С в седмица 26 (р&lt;0.05), в сравнение е колетипол </w:t>
      </w:r>
      <w:r w:rsidRPr="00200DF5">
        <w:rPr>
          <w:rFonts w:eastAsia="Times New Roman" w:cs="Arial"/>
          <w:color w:val="000000"/>
          <w:szCs w:val="20"/>
          <w:lang w:val="ru-RU"/>
        </w:rPr>
        <w:t>(</w:t>
      </w:r>
      <w:r w:rsidRPr="00200DF5">
        <w:rPr>
          <w:rFonts w:eastAsia="Times New Roman" w:cs="Arial"/>
          <w:color w:val="000000"/>
          <w:szCs w:val="20"/>
          <w:lang w:val="en-US"/>
        </w:rPr>
        <w:t>N</w:t>
      </w:r>
      <w:r w:rsidRPr="00200DF5">
        <w:rPr>
          <w:rFonts w:eastAsia="Times New Roman" w:cs="Arial"/>
          <w:color w:val="000000"/>
          <w:szCs w:val="20"/>
          <w:lang w:val="ru-RU"/>
        </w:rPr>
        <w:t>=31).</w:t>
      </w:r>
    </w:p>
    <w:p w14:paraId="34F0DB59" w14:textId="0D39C377" w:rsidR="00200DF5" w:rsidRPr="00200DF5" w:rsidRDefault="00200DF5" w:rsidP="00200DF5">
      <w:pPr>
        <w:rPr>
          <w:rFonts w:eastAsia="Times New Roman" w:cs="Arial"/>
          <w:color w:val="000000"/>
          <w:szCs w:val="20"/>
          <w:lang w:eastAsia="bg-BG"/>
        </w:rPr>
      </w:pPr>
    </w:p>
    <w:p w14:paraId="7C0C6433" w14:textId="3BB38821" w:rsidR="00200DF5" w:rsidRPr="00200DF5" w:rsidRDefault="00200DF5" w:rsidP="00200DF5">
      <w:pPr>
        <w:rPr>
          <w:rFonts w:cs="Arial"/>
          <w:szCs w:val="20"/>
        </w:rPr>
      </w:pPr>
      <w:r w:rsidRPr="00200DF5">
        <w:rPr>
          <w:rFonts w:cs="Arial"/>
          <w:szCs w:val="20"/>
        </w:rPr>
        <w:t>Благотворително проучване при пациенти с тежка хиперхолестеролемия</w:t>
      </w:r>
      <w:r w:rsidRPr="00200DF5">
        <w:rPr>
          <w:rFonts w:cs="Arial"/>
          <w:szCs w:val="20"/>
          <w:lang w:val="ru-RU"/>
        </w:rPr>
        <w:t xml:space="preserve"> </w:t>
      </w:r>
      <w:r w:rsidRPr="00200DF5">
        <w:rPr>
          <w:rFonts w:cs="Arial"/>
          <w:szCs w:val="20"/>
        </w:rPr>
        <w:t>(включително</w:t>
      </w:r>
      <w:r w:rsidRPr="00200DF5">
        <w:rPr>
          <w:rFonts w:cs="Arial"/>
          <w:szCs w:val="20"/>
          <w:lang w:val="ru-RU"/>
        </w:rPr>
        <w:t xml:space="preserve"> </w:t>
      </w:r>
      <w:r w:rsidRPr="00200DF5">
        <w:rPr>
          <w:rFonts w:cs="Arial"/>
          <w:szCs w:val="20"/>
        </w:rPr>
        <w:t>хомозиготна хиперхолестеролемия) включва 46 педиатрични пациенти, лекувани с</w:t>
      </w:r>
      <w:r w:rsidRPr="00200DF5">
        <w:rPr>
          <w:rFonts w:cs="Arial"/>
          <w:szCs w:val="20"/>
          <w:lang w:val="ru-RU"/>
        </w:rPr>
        <w:t xml:space="preserve"> </w:t>
      </w:r>
      <w:r w:rsidRPr="00200DF5">
        <w:rPr>
          <w:rFonts w:cs="Arial"/>
          <w:szCs w:val="20"/>
        </w:rPr>
        <w:t xml:space="preserve">аторвастатин според отговора (някои индивиди са приемали 80 </w:t>
      </w:r>
      <w:r w:rsidRPr="00200DF5">
        <w:rPr>
          <w:rFonts w:cs="Arial"/>
          <w:szCs w:val="20"/>
          <w:lang w:val="en-US"/>
        </w:rPr>
        <w:t>mg</w:t>
      </w:r>
      <w:r w:rsidRPr="00200DF5">
        <w:rPr>
          <w:rFonts w:cs="Arial"/>
          <w:szCs w:val="20"/>
          <w:lang w:val="ru-RU"/>
        </w:rPr>
        <w:t xml:space="preserve"> </w:t>
      </w:r>
      <w:r w:rsidRPr="00200DF5">
        <w:rPr>
          <w:rFonts w:cs="Arial"/>
          <w:szCs w:val="20"/>
        </w:rPr>
        <w:t xml:space="preserve">аторвастатин дневно) Проучването е продължило 3 години: </w:t>
      </w:r>
      <w:r w:rsidRPr="00200DF5">
        <w:rPr>
          <w:rFonts w:cs="Arial"/>
          <w:szCs w:val="20"/>
          <w:lang w:val="en-US"/>
        </w:rPr>
        <w:t>LDL</w:t>
      </w:r>
      <w:r w:rsidRPr="00200DF5">
        <w:rPr>
          <w:rFonts w:cs="Arial"/>
          <w:szCs w:val="20"/>
        </w:rPr>
        <w:t>-холестерола е бил понижен с около 36%.</w:t>
      </w:r>
    </w:p>
    <w:p w14:paraId="717A25AA" w14:textId="7603D621" w:rsidR="00200DF5" w:rsidRPr="00200DF5" w:rsidRDefault="00200DF5" w:rsidP="00200DF5">
      <w:pPr>
        <w:rPr>
          <w:rFonts w:cs="Arial"/>
          <w:szCs w:val="20"/>
        </w:rPr>
      </w:pPr>
    </w:p>
    <w:p w14:paraId="49F1181F"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Дългосрочната ефикасност при лечението с аторвастатин в детска възраст и намаляването заболяваемостта и смъртносттта в напреднала възраст не е доказано.</w:t>
      </w:r>
    </w:p>
    <w:p w14:paraId="69DFA9CB" w14:textId="77777777" w:rsidR="00200DF5" w:rsidRPr="00200DF5" w:rsidRDefault="00200DF5" w:rsidP="00200DF5">
      <w:pPr>
        <w:spacing w:line="240" w:lineRule="auto"/>
        <w:rPr>
          <w:rFonts w:eastAsia="Times New Roman" w:cs="Arial"/>
          <w:color w:val="000000"/>
          <w:szCs w:val="20"/>
          <w:lang w:eastAsia="bg-BG"/>
        </w:rPr>
      </w:pPr>
    </w:p>
    <w:p w14:paraId="413747E3" w14:textId="00CD9527" w:rsidR="00200DF5" w:rsidRPr="00200DF5" w:rsidRDefault="00200DF5" w:rsidP="00200DF5">
      <w:pPr>
        <w:spacing w:line="240" w:lineRule="auto"/>
        <w:rPr>
          <w:rFonts w:ascii="Times New Roman" w:eastAsia="Times New Roman" w:hAnsi="Times New Roman" w:cs="Times New Roman"/>
          <w:sz w:val="24"/>
          <w:szCs w:val="24"/>
        </w:rPr>
      </w:pPr>
      <w:r w:rsidRPr="00200DF5">
        <w:rPr>
          <w:rFonts w:eastAsia="Times New Roman" w:cs="Arial"/>
          <w:color w:val="000000"/>
          <w:szCs w:val="20"/>
          <w:lang w:eastAsia="bg-BG"/>
        </w:rPr>
        <w:t>Европейската Агенция по лекарствени продукти се отказа от правото си да подаде резултати от проучвания с аторвастатин при деца на възраст от 0 до по-малко от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смесена хиперхолестеролемия, първична хиперхолестеролемия и за профилактика на сърдечно съдови събития (вижте раздел 4.2 за информация за педиатрична употреба).</w:t>
      </w:r>
    </w:p>
    <w:p w14:paraId="0C3A9512" w14:textId="77777777" w:rsidR="00200DF5" w:rsidRPr="00200DF5" w:rsidRDefault="00200DF5" w:rsidP="00200DF5">
      <w:pPr>
        <w:rPr>
          <w:rFonts w:ascii="Times New Roman" w:eastAsia="Times New Roman" w:hAnsi="Times New Roman" w:cs="Times New Roman"/>
          <w:color w:val="000000"/>
          <w:sz w:val="20"/>
          <w:szCs w:val="20"/>
          <w:lang w:eastAsia="bg-BG"/>
        </w:rPr>
      </w:pPr>
    </w:p>
    <w:p w14:paraId="78DD93AA" w14:textId="567D7930" w:rsidR="00B6672E" w:rsidRDefault="002C50EE" w:rsidP="00936AD0">
      <w:pPr>
        <w:pStyle w:val="Heading2"/>
      </w:pPr>
      <w:r>
        <w:t>5.2. Фармакокинетични свойства</w:t>
      </w:r>
    </w:p>
    <w:p w14:paraId="269F15EF" w14:textId="6FDA938C" w:rsidR="00200DF5" w:rsidRDefault="00200DF5" w:rsidP="00200DF5"/>
    <w:p w14:paraId="780E2121" w14:textId="77777777" w:rsidR="00200DF5" w:rsidRPr="00200DF5" w:rsidRDefault="00200DF5" w:rsidP="00200DF5">
      <w:pPr>
        <w:pStyle w:val="Heading3"/>
        <w:rPr>
          <w:rFonts w:eastAsia="Times New Roman"/>
          <w:sz w:val="28"/>
          <w:u w:val="single"/>
        </w:rPr>
      </w:pPr>
      <w:r w:rsidRPr="00200DF5">
        <w:rPr>
          <w:rFonts w:eastAsia="Times New Roman"/>
          <w:u w:val="single"/>
          <w:lang w:eastAsia="bg-BG"/>
        </w:rPr>
        <w:t>Абсорбция</w:t>
      </w:r>
    </w:p>
    <w:p w14:paraId="5119DF61"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Аторвастатин се абсорбира бързо след перорално приложение, като максимална плазмена концентрация (</w:t>
      </w:r>
      <w:r w:rsidRPr="00200DF5">
        <w:rPr>
          <w:rFonts w:eastAsia="Times New Roman" w:cs="Arial"/>
          <w:color w:val="000000"/>
          <w:szCs w:val="20"/>
          <w:lang w:val="en-US"/>
        </w:rPr>
        <w:t>C</w:t>
      </w:r>
      <w:r w:rsidRPr="00200DF5">
        <w:rPr>
          <w:rFonts w:eastAsia="Times New Roman" w:cs="Arial"/>
          <w:color w:val="000000"/>
          <w:szCs w:val="20"/>
          <w:vertAlign w:val="subscript"/>
          <w:lang w:val="en-US"/>
        </w:rPr>
        <w:t>max</w:t>
      </w:r>
      <w:r w:rsidRPr="00200DF5">
        <w:rPr>
          <w:rFonts w:eastAsia="Times New Roman" w:cs="Arial"/>
          <w:color w:val="000000"/>
          <w:szCs w:val="20"/>
          <w:lang w:eastAsia="bg-BG"/>
        </w:rPr>
        <w:t xml:space="preserve">) се достига след 1-2 часа. Степента на абсорбция се увеличава пропорционално на дозата на аторвастатина. Бионаличностга на аторвастатин след приема на филмирани таблетки е 95-99% в сравнение с бионаличностга на аторвастатин като разтвор. Абсолютната бионаличност е около 12%, а системната наличност на активния редукгазен инхибитор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е около 30%. Ниската системна наличност се дължи на пресистемния клирънс в гастроинтестиналната лигавица и/или </w:t>
      </w:r>
      <w:r w:rsidRPr="00200DF5">
        <w:rPr>
          <w:rFonts w:eastAsia="Times New Roman" w:cs="Arial"/>
          <w:color w:val="000000"/>
          <w:szCs w:val="20"/>
          <w:lang w:val="en-US"/>
        </w:rPr>
        <w:t>first</w:t>
      </w:r>
      <w:r w:rsidRPr="00200DF5">
        <w:rPr>
          <w:rFonts w:eastAsia="Times New Roman" w:cs="Arial"/>
          <w:color w:val="000000"/>
          <w:szCs w:val="20"/>
          <w:lang w:val="ru-RU"/>
        </w:rPr>
        <w:t xml:space="preserve"> </w:t>
      </w:r>
      <w:r w:rsidRPr="00200DF5">
        <w:rPr>
          <w:rFonts w:eastAsia="Times New Roman" w:cs="Arial"/>
          <w:color w:val="000000"/>
          <w:szCs w:val="20"/>
          <w:lang w:val="en-US"/>
        </w:rPr>
        <w:t>pass</w:t>
      </w:r>
      <w:r w:rsidRPr="00200DF5">
        <w:rPr>
          <w:rFonts w:eastAsia="Times New Roman" w:cs="Arial"/>
          <w:color w:val="000000"/>
          <w:szCs w:val="20"/>
          <w:lang w:val="ru-RU"/>
        </w:rPr>
        <w:t xml:space="preserve"> </w:t>
      </w:r>
      <w:r w:rsidRPr="00200DF5">
        <w:rPr>
          <w:rFonts w:eastAsia="Times New Roman" w:cs="Arial"/>
          <w:color w:val="000000"/>
          <w:szCs w:val="20"/>
          <w:lang w:eastAsia="bg-BG"/>
        </w:rPr>
        <w:t>метаболизъм в черния дроб.</w:t>
      </w:r>
    </w:p>
    <w:p w14:paraId="2F8D45DF" w14:textId="77777777" w:rsidR="00200DF5" w:rsidRPr="00200DF5" w:rsidRDefault="00200DF5" w:rsidP="00200DF5">
      <w:pPr>
        <w:spacing w:line="240" w:lineRule="auto"/>
        <w:rPr>
          <w:rFonts w:eastAsia="Times New Roman" w:cs="Arial"/>
          <w:color w:val="000000"/>
          <w:szCs w:val="20"/>
          <w:u w:val="single"/>
          <w:lang w:eastAsia="bg-BG"/>
        </w:rPr>
      </w:pPr>
    </w:p>
    <w:p w14:paraId="689B77C2" w14:textId="5EB3B756" w:rsidR="00200DF5" w:rsidRPr="00200DF5" w:rsidRDefault="00200DF5" w:rsidP="00200DF5">
      <w:pPr>
        <w:pStyle w:val="Heading3"/>
        <w:rPr>
          <w:rFonts w:eastAsia="Times New Roman"/>
          <w:u w:val="single"/>
          <w:lang w:eastAsia="bg-BG"/>
        </w:rPr>
      </w:pPr>
      <w:r w:rsidRPr="00200DF5">
        <w:rPr>
          <w:rFonts w:eastAsia="Times New Roman"/>
          <w:u w:val="single"/>
          <w:lang w:eastAsia="bg-BG"/>
        </w:rPr>
        <w:t>Разпределение</w:t>
      </w:r>
    </w:p>
    <w:p w14:paraId="7164323E" w14:textId="77777777" w:rsidR="00200DF5" w:rsidRPr="00200DF5" w:rsidRDefault="00200DF5" w:rsidP="00200DF5">
      <w:pPr>
        <w:spacing w:line="240" w:lineRule="auto"/>
        <w:rPr>
          <w:rFonts w:eastAsia="Times New Roman" w:cs="Arial"/>
          <w:color w:val="000000"/>
          <w:szCs w:val="20"/>
          <w:lang w:eastAsia="bg-BG"/>
        </w:rPr>
      </w:pPr>
    </w:p>
    <w:p w14:paraId="2F4E406B" w14:textId="59BE3781"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Средният обем на разпределение на аторвастатин е приблизително </w:t>
      </w:r>
      <w:r w:rsidRPr="00200DF5">
        <w:rPr>
          <w:rFonts w:eastAsia="Times New Roman" w:cs="Arial"/>
          <w:color w:val="000000"/>
          <w:szCs w:val="20"/>
          <w:lang w:val="ru-RU"/>
        </w:rPr>
        <w:t>381</w:t>
      </w:r>
      <w:r w:rsidRPr="00200DF5">
        <w:rPr>
          <w:rFonts w:eastAsia="Times New Roman" w:cs="Arial"/>
          <w:color w:val="000000"/>
          <w:szCs w:val="20"/>
          <w:lang w:val="en-US"/>
        </w:rPr>
        <w:t>L</w:t>
      </w:r>
      <w:r w:rsidRPr="00200DF5">
        <w:rPr>
          <w:rFonts w:eastAsia="Times New Roman" w:cs="Arial"/>
          <w:color w:val="000000"/>
          <w:szCs w:val="20"/>
          <w:lang w:val="ru-RU"/>
        </w:rPr>
        <w:t xml:space="preserve">. </w:t>
      </w:r>
      <w:r w:rsidRPr="00200DF5">
        <w:rPr>
          <w:rFonts w:eastAsia="Times New Roman" w:cs="Arial"/>
          <w:color w:val="000000"/>
          <w:szCs w:val="20"/>
          <w:lang w:eastAsia="bg-BG"/>
        </w:rPr>
        <w:t>Аторвастатин се свързва с плазмените протеини в &gt; 98%.</w:t>
      </w:r>
    </w:p>
    <w:p w14:paraId="2F988BFB" w14:textId="77777777" w:rsidR="00200DF5" w:rsidRPr="00200DF5" w:rsidRDefault="00200DF5" w:rsidP="00200DF5">
      <w:pPr>
        <w:spacing w:line="240" w:lineRule="auto"/>
        <w:rPr>
          <w:rFonts w:eastAsia="Times New Roman" w:cs="Arial"/>
          <w:color w:val="000000"/>
          <w:szCs w:val="20"/>
          <w:u w:val="single"/>
          <w:lang w:eastAsia="bg-BG"/>
        </w:rPr>
      </w:pPr>
    </w:p>
    <w:p w14:paraId="680A14C5" w14:textId="6401AEB7" w:rsidR="00200DF5" w:rsidRPr="00200DF5" w:rsidRDefault="00200DF5" w:rsidP="00200DF5">
      <w:pPr>
        <w:pStyle w:val="Heading3"/>
        <w:rPr>
          <w:rFonts w:eastAsia="Times New Roman"/>
          <w:sz w:val="28"/>
          <w:u w:val="single"/>
        </w:rPr>
      </w:pPr>
      <w:r w:rsidRPr="00200DF5">
        <w:rPr>
          <w:rFonts w:eastAsia="Times New Roman"/>
          <w:u w:val="single"/>
          <w:lang w:eastAsia="bg-BG"/>
        </w:rPr>
        <w:t>Биотрансформация</w:t>
      </w:r>
    </w:p>
    <w:p w14:paraId="65CBC9D7" w14:textId="662B3394"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се метаболизира от цитохром Р450 ЗА4 до орто- и парахидроксилни деривати и различни бета-оксидантни продукти. Тези съединения след това се метаболизират от глюкуронирането. Инхибирането </w:t>
      </w:r>
      <w:r w:rsidRPr="00200DF5">
        <w:rPr>
          <w:rFonts w:eastAsia="Times New Roman" w:cs="Arial"/>
          <w:color w:val="000000"/>
          <w:szCs w:val="20"/>
          <w:lang w:val="en-US"/>
        </w:rPr>
        <w:t>in</w:t>
      </w:r>
      <w:r w:rsidRPr="00200DF5">
        <w:rPr>
          <w:rFonts w:eastAsia="Times New Roman" w:cs="Arial"/>
          <w:color w:val="000000"/>
          <w:szCs w:val="20"/>
          <w:lang w:val="ru-RU"/>
        </w:rPr>
        <w:t xml:space="preserve"> </w:t>
      </w:r>
      <w:r w:rsidRPr="00200DF5">
        <w:rPr>
          <w:rFonts w:eastAsia="Times New Roman" w:cs="Arial"/>
          <w:color w:val="000000"/>
          <w:szCs w:val="20"/>
          <w:lang w:val="en-US"/>
        </w:rPr>
        <w:t>vitro</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-редуктазата от орто- и парахидроксилните метаболити е също като при аторвастатин. Приблизително 70% от инхибиторната активност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—редукгазата се дължи на активните метаболити.</w:t>
      </w:r>
    </w:p>
    <w:p w14:paraId="560BE45D" w14:textId="77777777" w:rsidR="00200DF5" w:rsidRPr="00200DF5" w:rsidRDefault="00200DF5" w:rsidP="00200DF5">
      <w:pPr>
        <w:spacing w:line="240" w:lineRule="auto"/>
        <w:rPr>
          <w:rFonts w:eastAsia="Times New Roman" w:cs="Arial"/>
          <w:color w:val="000000"/>
          <w:szCs w:val="20"/>
          <w:u w:val="single"/>
          <w:lang w:eastAsia="bg-BG"/>
        </w:rPr>
      </w:pPr>
    </w:p>
    <w:p w14:paraId="560B3C1C" w14:textId="22669FC4" w:rsidR="00200DF5" w:rsidRPr="00200DF5" w:rsidRDefault="00200DF5" w:rsidP="00200DF5">
      <w:pPr>
        <w:pStyle w:val="Heading3"/>
        <w:rPr>
          <w:rFonts w:eastAsia="Times New Roman"/>
          <w:sz w:val="28"/>
          <w:u w:val="single"/>
        </w:rPr>
      </w:pPr>
      <w:r w:rsidRPr="00200DF5">
        <w:rPr>
          <w:rFonts w:eastAsia="Times New Roman"/>
          <w:u w:val="single"/>
          <w:lang w:eastAsia="bg-BG"/>
        </w:rPr>
        <w:lastRenderedPageBreak/>
        <w:t>Елиминиране</w:t>
      </w:r>
    </w:p>
    <w:p w14:paraId="080DD372"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се екскретира главно в жлъчката след хепатален и екстрахепатален метаболизъм. Лекарственият продукт обаче не претърпява значителна ентерохепатална рециркулация. Средният период на полуелиминиране на аторвастатин при хора е приблизително 14 часа. Поради активните метаболити, полуживотът на инхибиторната активност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 редукгазата е приблизително 20-30 часа.</w:t>
      </w:r>
    </w:p>
    <w:p w14:paraId="629BDB0F" w14:textId="77777777" w:rsidR="00200DF5" w:rsidRPr="00200DF5" w:rsidRDefault="00200DF5" w:rsidP="00200DF5">
      <w:pPr>
        <w:spacing w:line="240" w:lineRule="auto"/>
        <w:rPr>
          <w:rFonts w:eastAsia="Times New Roman" w:cs="Arial"/>
          <w:color w:val="000000"/>
          <w:szCs w:val="20"/>
          <w:lang w:eastAsia="bg-BG"/>
        </w:rPr>
      </w:pPr>
    </w:p>
    <w:p w14:paraId="157564A7" w14:textId="2144AC89"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на протеина, свързан с множествена лекарствена резистентност 1 </w:t>
      </w:r>
      <w:r w:rsidRPr="00200DF5">
        <w:rPr>
          <w:rFonts w:eastAsia="Times New Roman" w:cs="Arial"/>
          <w:color w:val="000000"/>
          <w:szCs w:val="20"/>
          <w:lang w:val="ru-RU"/>
        </w:rPr>
        <w:t>(</w:t>
      </w:r>
      <w:r w:rsidRPr="00200DF5">
        <w:rPr>
          <w:rFonts w:eastAsia="Times New Roman" w:cs="Arial"/>
          <w:color w:val="000000"/>
          <w:szCs w:val="20"/>
          <w:lang w:val="en-US"/>
        </w:rPr>
        <w:t>MDR</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и на протеина на резистентност на рака на гърдата </w:t>
      </w:r>
      <w:r w:rsidRPr="00200DF5">
        <w:rPr>
          <w:rFonts w:eastAsia="Times New Roman" w:cs="Arial"/>
          <w:color w:val="000000"/>
          <w:szCs w:val="20"/>
          <w:lang w:val="ru-RU"/>
        </w:rPr>
        <w:t>(</w:t>
      </w:r>
      <w:r w:rsidRPr="00200DF5">
        <w:rPr>
          <w:rFonts w:eastAsia="Times New Roman" w:cs="Arial"/>
          <w:color w:val="000000"/>
          <w:szCs w:val="20"/>
          <w:lang w:val="en-US"/>
        </w:rPr>
        <w:t>BCRP</w:t>
      </w:r>
      <w:r w:rsidRPr="00200DF5">
        <w:rPr>
          <w:rFonts w:eastAsia="Times New Roman" w:cs="Arial"/>
          <w:color w:val="000000"/>
          <w:szCs w:val="20"/>
          <w:lang w:val="ru-RU"/>
        </w:rPr>
        <w:t xml:space="preserve">), </w:t>
      </w:r>
      <w:r w:rsidRPr="00200DF5">
        <w:rPr>
          <w:rFonts w:eastAsia="Times New Roman" w:cs="Arial"/>
          <w:color w:val="000000"/>
          <w:szCs w:val="20"/>
          <w:lang w:eastAsia="bg-BG"/>
        </w:rPr>
        <w:t>които може да ограничат чревната абсорбция и жлъчния клирънс на аторвастатин.</w:t>
      </w:r>
    </w:p>
    <w:p w14:paraId="12DBA814" w14:textId="77777777" w:rsidR="00200DF5" w:rsidRPr="00200DF5" w:rsidRDefault="00200DF5" w:rsidP="00200DF5">
      <w:pPr>
        <w:spacing w:line="240" w:lineRule="auto"/>
        <w:rPr>
          <w:rFonts w:eastAsia="Times New Roman" w:cs="Arial"/>
          <w:color w:val="000000"/>
          <w:szCs w:val="20"/>
          <w:u w:val="single"/>
          <w:lang w:eastAsia="bg-BG"/>
        </w:rPr>
      </w:pPr>
    </w:p>
    <w:p w14:paraId="53A322E6" w14:textId="102FBFBE"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u w:val="single"/>
          <w:lang w:eastAsia="bg-BG"/>
        </w:rPr>
        <w:t>Специални популации</w:t>
      </w:r>
    </w:p>
    <w:p w14:paraId="347EAF4A" w14:textId="77777777"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Старческа възраст:</w:t>
      </w:r>
    </w:p>
    <w:p w14:paraId="7B178CA3"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Концентрацията на аторвастатин и неговите активни метаболити в плазмата е по-висока при здрави индивиди в напреднала възраст отколкото при по-млади, но стойностите на липидите в кръвта са сходни в двете възрастови групи.</w:t>
      </w:r>
    </w:p>
    <w:p w14:paraId="17E16484" w14:textId="77777777" w:rsidR="00200DF5" w:rsidRPr="00200DF5" w:rsidRDefault="00200DF5" w:rsidP="00200DF5">
      <w:pPr>
        <w:spacing w:line="240" w:lineRule="auto"/>
        <w:rPr>
          <w:rFonts w:eastAsia="Times New Roman" w:cs="Arial"/>
          <w:i/>
          <w:iCs/>
          <w:color w:val="000000"/>
          <w:szCs w:val="20"/>
          <w:lang w:eastAsia="bg-BG"/>
        </w:rPr>
      </w:pPr>
    </w:p>
    <w:p w14:paraId="517B327D" w14:textId="0FCBC8C2"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Педиатрична популация:</w:t>
      </w:r>
    </w:p>
    <w:p w14:paraId="42E1E1A8" w14:textId="77777777" w:rsidR="00200DF5" w:rsidRPr="00200DF5" w:rsidRDefault="00200DF5" w:rsidP="00200DF5">
      <w:pPr>
        <w:rPr>
          <w:rFonts w:eastAsia="Times New Roman" w:cs="Arial"/>
          <w:sz w:val="28"/>
          <w:szCs w:val="24"/>
        </w:rPr>
      </w:pPr>
      <w:r w:rsidRPr="00200DF5">
        <w:rPr>
          <w:rFonts w:eastAsia="Times New Roman" w:cs="Arial"/>
          <w:color w:val="000000"/>
          <w:szCs w:val="20"/>
          <w:lang w:eastAsia="bg-BG"/>
        </w:rPr>
        <w:t xml:space="preserve">В отворено, 8-седмично проучване </w:t>
      </w:r>
      <w:r w:rsidRPr="00200DF5">
        <w:rPr>
          <w:rFonts w:eastAsia="Times New Roman" w:cs="Arial"/>
          <w:color w:val="000000"/>
          <w:szCs w:val="20"/>
          <w:lang w:val="en-US"/>
        </w:rPr>
        <w:t>Tanner</w:t>
      </w:r>
      <w:r w:rsidRPr="00200DF5">
        <w:rPr>
          <w:rFonts w:eastAsia="Times New Roman" w:cs="Arial"/>
          <w:color w:val="000000"/>
          <w:szCs w:val="20"/>
        </w:rPr>
        <w:t xml:space="preserve"> </w:t>
      </w:r>
      <w:r w:rsidRPr="00200DF5">
        <w:rPr>
          <w:rFonts w:eastAsia="Times New Roman" w:cs="Arial"/>
          <w:color w:val="000000"/>
          <w:szCs w:val="20"/>
          <w:lang w:val="en-US"/>
        </w:rPr>
        <w:t>Stage</w:t>
      </w:r>
      <w:r w:rsidRPr="00200DF5">
        <w:rPr>
          <w:rFonts w:eastAsia="Times New Roman" w:cs="Arial"/>
          <w:color w:val="000000"/>
          <w:szCs w:val="20"/>
        </w:rPr>
        <w:t xml:space="preserve"> </w:t>
      </w:r>
      <w:r w:rsidRPr="00200DF5">
        <w:rPr>
          <w:rFonts w:eastAsia="Times New Roman" w:cs="Arial"/>
          <w:color w:val="000000"/>
          <w:szCs w:val="20"/>
          <w:lang w:eastAsia="bg-BG"/>
        </w:rPr>
        <w:t xml:space="preserve">1 </w:t>
      </w:r>
      <w:r w:rsidRPr="00200DF5">
        <w:rPr>
          <w:rFonts w:eastAsia="Times New Roman" w:cs="Arial"/>
          <w:color w:val="000000"/>
          <w:szCs w:val="20"/>
        </w:rPr>
        <w:t>(</w:t>
      </w:r>
      <w:r w:rsidRPr="00200DF5">
        <w:rPr>
          <w:rFonts w:eastAsia="Times New Roman" w:cs="Arial"/>
          <w:color w:val="000000"/>
          <w:szCs w:val="20"/>
          <w:lang w:val="en-US"/>
        </w:rPr>
        <w:t>N</w:t>
      </w:r>
      <w:r w:rsidRPr="00200DF5">
        <w:rPr>
          <w:rFonts w:eastAsia="Times New Roman" w:cs="Arial"/>
          <w:color w:val="000000"/>
          <w:szCs w:val="20"/>
        </w:rPr>
        <w:t>=</w:t>
      </w:r>
      <w:r w:rsidRPr="00200DF5">
        <w:rPr>
          <w:rFonts w:eastAsia="Times New Roman" w:cs="Arial"/>
          <w:color w:val="000000"/>
          <w:szCs w:val="20"/>
          <w:lang w:val="en-US"/>
        </w:rPr>
        <w:t>l</w:t>
      </w:r>
      <w:r w:rsidRPr="00200DF5">
        <w:rPr>
          <w:rFonts w:eastAsia="Times New Roman" w:cs="Arial"/>
          <w:color w:val="000000"/>
          <w:szCs w:val="20"/>
          <w:lang w:eastAsia="bg-BG"/>
        </w:rPr>
        <w:t xml:space="preserve">5) и </w:t>
      </w:r>
      <w:r w:rsidRPr="00200DF5">
        <w:rPr>
          <w:rFonts w:eastAsia="Times New Roman" w:cs="Arial"/>
          <w:color w:val="000000"/>
          <w:szCs w:val="20"/>
          <w:lang w:val="en-US"/>
        </w:rPr>
        <w:t>Tanner</w:t>
      </w:r>
      <w:r w:rsidRPr="00200DF5">
        <w:rPr>
          <w:rFonts w:eastAsia="Times New Roman" w:cs="Arial"/>
          <w:color w:val="000000"/>
          <w:szCs w:val="20"/>
        </w:rPr>
        <w:t xml:space="preserve"> </w:t>
      </w:r>
      <w:r w:rsidRPr="00200DF5">
        <w:rPr>
          <w:rFonts w:eastAsia="Times New Roman" w:cs="Arial"/>
          <w:color w:val="000000"/>
          <w:szCs w:val="20"/>
          <w:lang w:val="en-US"/>
        </w:rPr>
        <w:t>Stage</w:t>
      </w:r>
      <w:r w:rsidRPr="00200DF5">
        <w:rPr>
          <w:rFonts w:eastAsia="Times New Roman" w:cs="Arial"/>
          <w:color w:val="000000"/>
          <w:szCs w:val="20"/>
        </w:rPr>
        <w:t xml:space="preserve"> </w:t>
      </w:r>
      <w:r w:rsidRPr="00200DF5">
        <w:rPr>
          <w:rFonts w:eastAsia="Times New Roman" w:cs="Arial"/>
          <w:color w:val="000000"/>
          <w:szCs w:val="20"/>
          <w:lang w:eastAsia="bg-BG"/>
        </w:rPr>
        <w:t>≥</w:t>
      </w:r>
      <w:r w:rsidRPr="00200DF5">
        <w:rPr>
          <w:rFonts w:eastAsia="Times New Roman" w:cs="Arial"/>
          <w:color w:val="000000"/>
          <w:szCs w:val="20"/>
        </w:rPr>
        <w:t>2</w:t>
      </w:r>
      <w:r w:rsidRPr="00200DF5">
        <w:rPr>
          <w:rFonts w:eastAsia="Times New Roman" w:cs="Arial"/>
          <w:color w:val="000000"/>
          <w:szCs w:val="20"/>
          <w:lang w:eastAsia="bg-BG"/>
        </w:rPr>
        <w:t xml:space="preserve"> (</w:t>
      </w:r>
      <w:r w:rsidRPr="00200DF5">
        <w:rPr>
          <w:rFonts w:eastAsia="Times New Roman" w:cs="Arial"/>
          <w:color w:val="000000"/>
          <w:szCs w:val="20"/>
          <w:lang w:val="en-US"/>
        </w:rPr>
        <w:t>N</w:t>
      </w:r>
      <w:r w:rsidRPr="00200DF5">
        <w:rPr>
          <w:rFonts w:eastAsia="Times New Roman" w:cs="Arial"/>
          <w:color w:val="000000"/>
          <w:szCs w:val="20"/>
        </w:rPr>
        <w:t xml:space="preserve">=24) </w:t>
      </w:r>
      <w:r w:rsidRPr="00200DF5">
        <w:rPr>
          <w:rFonts w:eastAsia="Times New Roman" w:cs="Arial"/>
          <w:color w:val="000000"/>
          <w:szCs w:val="20"/>
          <w:lang w:eastAsia="bg-BG"/>
        </w:rPr>
        <w:t xml:space="preserve">педиатрични пациенти (от 6 до 17 години) с хетерозиготна фамилна хиперхолестеролемия и първоначална стойност на </w:t>
      </w:r>
      <w:r w:rsidRPr="00200DF5">
        <w:rPr>
          <w:rFonts w:eastAsia="Times New Roman" w:cs="Arial"/>
          <w:color w:val="000000"/>
          <w:szCs w:val="20"/>
          <w:lang w:val="en-US"/>
        </w:rPr>
        <w:t>LDL</w:t>
      </w:r>
      <w:r w:rsidRPr="00200DF5">
        <w:rPr>
          <w:rFonts w:eastAsia="Times New Roman" w:cs="Arial"/>
          <w:color w:val="000000"/>
          <w:szCs w:val="20"/>
        </w:rPr>
        <w:t>-</w:t>
      </w:r>
      <w:r w:rsidRPr="00200DF5">
        <w:rPr>
          <w:rFonts w:eastAsia="Times New Roman" w:cs="Arial"/>
          <w:color w:val="000000"/>
          <w:szCs w:val="20"/>
          <w:lang w:val="en-US"/>
        </w:rPr>
        <w:t>C</w:t>
      </w:r>
      <w:r w:rsidRPr="00200DF5">
        <w:rPr>
          <w:rFonts w:eastAsia="Times New Roman" w:cs="Arial"/>
          <w:color w:val="000000"/>
          <w:szCs w:val="20"/>
        </w:rPr>
        <w:t xml:space="preserve"> </w:t>
      </w:r>
      <w:r w:rsidRPr="00200DF5">
        <w:rPr>
          <w:rFonts w:eastAsia="Times New Roman" w:cs="Arial"/>
          <w:color w:val="000000"/>
          <w:szCs w:val="20"/>
          <w:lang w:eastAsia="bg-BG"/>
        </w:rPr>
        <w:t xml:space="preserve">&gt;4 </w:t>
      </w:r>
      <w:r w:rsidRPr="00200DF5">
        <w:rPr>
          <w:rFonts w:eastAsia="Times New Roman" w:cs="Arial"/>
          <w:color w:val="000000"/>
          <w:szCs w:val="20"/>
          <w:lang w:val="en-US"/>
        </w:rPr>
        <w:t>mmol</w:t>
      </w:r>
      <w:r w:rsidRPr="00200DF5">
        <w:rPr>
          <w:rFonts w:eastAsia="Times New Roman" w:cs="Arial"/>
          <w:color w:val="000000"/>
          <w:szCs w:val="20"/>
        </w:rPr>
        <w:t>/</w:t>
      </w:r>
      <w:r w:rsidRPr="00200DF5">
        <w:rPr>
          <w:rFonts w:eastAsia="Times New Roman" w:cs="Arial"/>
          <w:color w:val="000000"/>
          <w:szCs w:val="20"/>
          <w:lang w:val="en-US"/>
        </w:rPr>
        <w:t>L</w:t>
      </w:r>
      <w:r w:rsidRPr="00200DF5">
        <w:rPr>
          <w:rFonts w:eastAsia="Times New Roman" w:cs="Arial"/>
          <w:color w:val="000000"/>
          <w:szCs w:val="20"/>
        </w:rPr>
        <w:t xml:space="preserve"> </w:t>
      </w:r>
      <w:r w:rsidRPr="00200DF5">
        <w:rPr>
          <w:rFonts w:eastAsia="Times New Roman" w:cs="Arial"/>
          <w:color w:val="000000"/>
          <w:szCs w:val="20"/>
          <w:lang w:eastAsia="bg-BG"/>
        </w:rPr>
        <w:t xml:space="preserve">са лекувани с 5 или 10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дьвчащи или 10 или 20 </w:t>
      </w:r>
      <w:r w:rsidRPr="00200DF5">
        <w:rPr>
          <w:rFonts w:eastAsia="Times New Roman" w:cs="Arial"/>
          <w:color w:val="000000"/>
          <w:szCs w:val="20"/>
          <w:lang w:val="en-US"/>
        </w:rPr>
        <w:t>mg</w:t>
      </w:r>
      <w:r w:rsidRPr="00200DF5">
        <w:rPr>
          <w:rFonts w:eastAsia="Times New Roman" w:cs="Arial"/>
          <w:color w:val="000000"/>
          <w:szCs w:val="20"/>
        </w:rPr>
        <w:t xml:space="preserve"> </w:t>
      </w:r>
      <w:r w:rsidRPr="00200DF5">
        <w:rPr>
          <w:rFonts w:eastAsia="Times New Roman" w:cs="Arial"/>
          <w:color w:val="000000"/>
          <w:szCs w:val="20"/>
          <w:lang w:eastAsia="bg-BG"/>
        </w:rPr>
        <w:t xml:space="preserve">филмирани таблетки аторвастатин съответно веднъж дневно. Телесното тегло е било единственият значим показател при популацията модела аторвастатин РК. Пероралният клирънс на аторвастатин при педиатрични индивиди изглежда подобен на този при възрастни, когато се изчислява алометрично чрез телесно тегло. Последващи понижения в </w:t>
      </w:r>
      <w:r w:rsidRPr="00200DF5">
        <w:rPr>
          <w:rFonts w:eastAsia="Times New Roman" w:cs="Arial"/>
          <w:color w:val="000000"/>
          <w:szCs w:val="20"/>
          <w:lang w:val="en-US"/>
        </w:rPr>
        <w:t>LDL</w:t>
      </w:r>
      <w:r w:rsidRPr="00200DF5">
        <w:rPr>
          <w:rFonts w:eastAsia="Times New Roman" w:cs="Arial"/>
          <w:color w:val="000000"/>
          <w:szCs w:val="20"/>
          <w:lang w:val="ru-RU"/>
        </w:rPr>
        <w:t>-</w:t>
      </w:r>
      <w:r w:rsidRPr="00200DF5">
        <w:rPr>
          <w:rFonts w:eastAsia="Times New Roman" w:cs="Arial"/>
          <w:color w:val="000000"/>
          <w:szCs w:val="20"/>
          <w:lang w:val="en-US"/>
        </w:rPr>
        <w:t>C</w:t>
      </w:r>
      <w:r w:rsidRPr="00200DF5">
        <w:rPr>
          <w:rFonts w:eastAsia="Times New Roman" w:cs="Arial"/>
          <w:color w:val="000000"/>
          <w:szCs w:val="20"/>
          <w:lang w:val="ru-RU"/>
        </w:rPr>
        <w:t xml:space="preserve"> </w:t>
      </w:r>
      <w:r w:rsidRPr="00200DF5">
        <w:rPr>
          <w:rFonts w:eastAsia="Times New Roman" w:cs="Arial"/>
          <w:color w:val="000000"/>
          <w:szCs w:val="20"/>
          <w:lang w:eastAsia="bg-BG"/>
        </w:rPr>
        <w:t>и общ холестерол са наблюдавани при експозиция с аторвастатин и о-хидроксиаторвастатин.</w:t>
      </w:r>
    </w:p>
    <w:p w14:paraId="5E7CB07D" w14:textId="77777777" w:rsidR="00200DF5" w:rsidRPr="00200DF5" w:rsidRDefault="00200DF5" w:rsidP="00200DF5">
      <w:pPr>
        <w:spacing w:line="240" w:lineRule="auto"/>
        <w:rPr>
          <w:rFonts w:eastAsia="Times New Roman" w:cs="Arial"/>
          <w:i/>
          <w:iCs/>
          <w:color w:val="000000"/>
          <w:szCs w:val="20"/>
          <w:lang w:eastAsia="bg-BG"/>
        </w:rPr>
      </w:pPr>
    </w:p>
    <w:p w14:paraId="6E9AB8C7" w14:textId="67DE840C"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Пол:</w:t>
      </w:r>
    </w:p>
    <w:p w14:paraId="40AFA6D3"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Концентрациите на аторвастатин и неговите активни метаболити се различават при жени (максималната плазмена концентрация е с около 20% по-висока и </w:t>
      </w:r>
      <w:r w:rsidRPr="00200DF5">
        <w:rPr>
          <w:rFonts w:eastAsia="Times New Roman" w:cs="Arial"/>
          <w:color w:val="000000"/>
          <w:szCs w:val="20"/>
          <w:lang w:val="en-US"/>
        </w:rPr>
        <w:t>AUC</w:t>
      </w:r>
      <w:r w:rsidRPr="00200DF5">
        <w:rPr>
          <w:rFonts w:eastAsia="Times New Roman" w:cs="Arial"/>
          <w:color w:val="000000"/>
          <w:szCs w:val="20"/>
          <w:lang w:val="ru-RU"/>
        </w:rPr>
        <w:t xml:space="preserve"> </w:t>
      </w:r>
      <w:r w:rsidRPr="00200DF5">
        <w:rPr>
          <w:rFonts w:eastAsia="Times New Roman" w:cs="Arial"/>
          <w:color w:val="000000"/>
          <w:szCs w:val="20"/>
          <w:lang w:eastAsia="bg-BG"/>
        </w:rPr>
        <w:t>с около 10% по-ниска) и при мъже. Тази разлика не е клинично значима и разликите в ефектите върху липидите в кръвта между мъже и жени не са значителни.</w:t>
      </w:r>
    </w:p>
    <w:p w14:paraId="3563C453" w14:textId="77777777" w:rsidR="00200DF5" w:rsidRPr="00200DF5" w:rsidRDefault="00200DF5" w:rsidP="00200DF5">
      <w:pPr>
        <w:spacing w:line="240" w:lineRule="auto"/>
        <w:rPr>
          <w:rFonts w:eastAsia="Times New Roman" w:cs="Arial"/>
          <w:i/>
          <w:iCs/>
          <w:color w:val="000000"/>
          <w:szCs w:val="20"/>
          <w:lang w:eastAsia="bg-BG"/>
        </w:rPr>
      </w:pPr>
    </w:p>
    <w:p w14:paraId="2D9FC24C" w14:textId="708B91C2"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Бъбречно увреждане:</w:t>
      </w:r>
    </w:p>
    <w:p w14:paraId="64EDA8B0"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Бъбречните заболявания нямат ефект върху плазмените концентрации или върху стойностите на липидите в кръвта на аторвастатин и неговите активни метаболити.</w:t>
      </w:r>
    </w:p>
    <w:p w14:paraId="038C0796" w14:textId="77777777" w:rsidR="00200DF5" w:rsidRPr="00200DF5" w:rsidRDefault="00200DF5" w:rsidP="00200DF5">
      <w:pPr>
        <w:spacing w:line="240" w:lineRule="auto"/>
        <w:rPr>
          <w:rFonts w:eastAsia="Times New Roman" w:cs="Arial"/>
          <w:i/>
          <w:iCs/>
          <w:color w:val="000000"/>
          <w:szCs w:val="20"/>
          <w:lang w:eastAsia="bg-BG"/>
        </w:rPr>
      </w:pPr>
    </w:p>
    <w:p w14:paraId="0C6D41EE" w14:textId="4F6F7FF0"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eastAsia="bg-BG"/>
        </w:rPr>
        <w:t>Чернодробно увреждане:</w:t>
      </w:r>
    </w:p>
    <w:p w14:paraId="568700B5"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Плазмените концентрации на аторвастатин и неговите активни метаболити значително се повишават (С</w:t>
      </w:r>
      <w:r w:rsidRPr="00200DF5">
        <w:rPr>
          <w:rFonts w:eastAsia="Times New Roman" w:cs="Arial"/>
          <w:color w:val="000000"/>
          <w:szCs w:val="20"/>
          <w:vertAlign w:val="subscript"/>
          <w:lang w:val="en-US"/>
        </w:rPr>
        <w:t>max</w:t>
      </w:r>
      <w:r w:rsidRPr="00200DF5">
        <w:rPr>
          <w:rFonts w:eastAsia="Times New Roman" w:cs="Arial"/>
          <w:color w:val="000000"/>
          <w:szCs w:val="20"/>
          <w:lang w:eastAsia="bg-BG"/>
        </w:rPr>
        <w:t xml:space="preserve"> приблизително 16-кратно и </w:t>
      </w:r>
      <w:r w:rsidRPr="00200DF5">
        <w:rPr>
          <w:rFonts w:eastAsia="Times New Roman" w:cs="Arial"/>
          <w:color w:val="000000"/>
          <w:szCs w:val="20"/>
          <w:lang w:val="en-US"/>
        </w:rPr>
        <w:t>AUC</w:t>
      </w:r>
      <w:r w:rsidRPr="00200DF5">
        <w:rPr>
          <w:rFonts w:eastAsia="Times New Roman" w:cs="Arial"/>
          <w:color w:val="000000"/>
          <w:szCs w:val="20"/>
          <w:lang w:val="ru-RU"/>
        </w:rPr>
        <w:t xml:space="preserve"> 11</w:t>
      </w:r>
      <w:r w:rsidRPr="00200DF5">
        <w:rPr>
          <w:rFonts w:eastAsia="Times New Roman" w:cs="Arial"/>
          <w:color w:val="000000"/>
          <w:szCs w:val="20"/>
          <w:lang w:eastAsia="bg-BG"/>
        </w:rPr>
        <w:t xml:space="preserve">-кратно) при пациенти с хронично чернодробно заболяване свързано със злоупотреба с алкохола </w:t>
      </w:r>
      <w:r w:rsidRPr="00200DF5">
        <w:rPr>
          <w:rFonts w:eastAsia="Times New Roman" w:cs="Arial"/>
          <w:color w:val="000000"/>
          <w:szCs w:val="20"/>
          <w:lang w:val="ru-RU"/>
        </w:rPr>
        <w:t>(</w:t>
      </w:r>
      <w:r w:rsidRPr="00200DF5">
        <w:rPr>
          <w:rFonts w:eastAsia="Times New Roman" w:cs="Arial"/>
          <w:color w:val="000000"/>
          <w:szCs w:val="20"/>
          <w:lang w:val="en-US"/>
        </w:rPr>
        <w:t>Childs</w:t>
      </w:r>
      <w:r w:rsidRPr="00200DF5">
        <w:rPr>
          <w:rFonts w:eastAsia="Times New Roman" w:cs="Arial"/>
          <w:color w:val="000000"/>
          <w:szCs w:val="20"/>
          <w:lang w:val="ru-RU"/>
        </w:rPr>
        <w:t>-</w:t>
      </w:r>
      <w:r w:rsidRPr="00200DF5">
        <w:rPr>
          <w:rFonts w:eastAsia="Times New Roman" w:cs="Arial"/>
          <w:color w:val="000000"/>
          <w:szCs w:val="20"/>
          <w:lang w:val="en-US"/>
        </w:rPr>
        <w:t>Pugh</w:t>
      </w:r>
      <w:r w:rsidRPr="00200DF5">
        <w:rPr>
          <w:rFonts w:eastAsia="Times New Roman" w:cs="Arial"/>
          <w:color w:val="000000"/>
          <w:szCs w:val="20"/>
          <w:lang w:val="ru-RU"/>
        </w:rPr>
        <w:t xml:space="preserve"> </w:t>
      </w:r>
      <w:r w:rsidRPr="00200DF5">
        <w:rPr>
          <w:rFonts w:eastAsia="Times New Roman" w:cs="Arial"/>
          <w:color w:val="000000"/>
          <w:szCs w:val="20"/>
          <w:lang w:eastAsia="bg-BG"/>
        </w:rPr>
        <w:t>В).</w:t>
      </w:r>
    </w:p>
    <w:p w14:paraId="13E346D6" w14:textId="77777777" w:rsidR="00200DF5" w:rsidRPr="00200DF5" w:rsidRDefault="00200DF5" w:rsidP="00200DF5">
      <w:pPr>
        <w:spacing w:line="240" w:lineRule="auto"/>
        <w:rPr>
          <w:rFonts w:eastAsia="Times New Roman" w:cs="Arial"/>
          <w:i/>
          <w:iCs/>
          <w:color w:val="000000"/>
          <w:szCs w:val="20"/>
          <w:lang w:val="en-US"/>
        </w:rPr>
      </w:pPr>
    </w:p>
    <w:p w14:paraId="1432F0E7" w14:textId="2E0BC076" w:rsidR="00200DF5" w:rsidRPr="00200DF5" w:rsidRDefault="00200DF5" w:rsidP="00200DF5">
      <w:pPr>
        <w:spacing w:line="240" w:lineRule="auto"/>
        <w:rPr>
          <w:rFonts w:eastAsia="Times New Roman" w:cs="Arial"/>
          <w:sz w:val="28"/>
          <w:szCs w:val="24"/>
        </w:rPr>
      </w:pPr>
      <w:r w:rsidRPr="00200DF5">
        <w:rPr>
          <w:rFonts w:eastAsia="Times New Roman" w:cs="Arial"/>
          <w:i/>
          <w:iCs/>
          <w:color w:val="000000"/>
          <w:szCs w:val="20"/>
          <w:lang w:val="en-US"/>
        </w:rPr>
        <w:t>SLOC</w:t>
      </w:r>
      <w:r w:rsidRPr="00200DF5">
        <w:rPr>
          <w:rFonts w:eastAsia="Times New Roman" w:cs="Arial"/>
          <w:i/>
          <w:iCs/>
          <w:color w:val="000000"/>
          <w:szCs w:val="20"/>
          <w:lang w:val="ru-RU"/>
        </w:rPr>
        <w:t>1</w:t>
      </w:r>
      <w:r w:rsidRPr="00200DF5">
        <w:rPr>
          <w:rFonts w:eastAsia="Times New Roman" w:cs="Arial"/>
          <w:i/>
          <w:iCs/>
          <w:color w:val="000000"/>
          <w:szCs w:val="20"/>
          <w:lang w:val="en-US"/>
        </w:rPr>
        <w:t>B</w:t>
      </w:r>
      <w:r w:rsidRPr="00200DF5">
        <w:rPr>
          <w:rFonts w:eastAsia="Times New Roman" w:cs="Arial"/>
          <w:i/>
          <w:iCs/>
          <w:color w:val="000000"/>
          <w:szCs w:val="20"/>
          <w:lang w:val="ru-RU"/>
        </w:rPr>
        <w:t xml:space="preserve">1 </w:t>
      </w:r>
      <w:r w:rsidRPr="00200DF5">
        <w:rPr>
          <w:rFonts w:eastAsia="Times New Roman" w:cs="Arial"/>
          <w:i/>
          <w:iCs/>
          <w:color w:val="000000"/>
          <w:szCs w:val="20"/>
          <w:lang w:eastAsia="bg-BG"/>
        </w:rPr>
        <w:t>полиморфизъм</w:t>
      </w:r>
    </w:p>
    <w:p w14:paraId="01509CE6"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eastAsia="bg-BG"/>
        </w:rPr>
        <w:t xml:space="preserve">Чернодробният метаболизъм на всички инхибитори на </w:t>
      </w:r>
      <w:r w:rsidRPr="00200DF5">
        <w:rPr>
          <w:rFonts w:eastAsia="Times New Roman" w:cs="Arial"/>
          <w:color w:val="000000"/>
          <w:szCs w:val="20"/>
          <w:lang w:val="en-US"/>
        </w:rPr>
        <w:t>HMG</w:t>
      </w:r>
      <w:r w:rsidRPr="00200DF5">
        <w:rPr>
          <w:rFonts w:eastAsia="Times New Roman" w:cs="Arial"/>
          <w:color w:val="000000"/>
          <w:szCs w:val="20"/>
          <w:lang w:val="ru-RU"/>
        </w:rPr>
        <w:t>-</w:t>
      </w:r>
      <w:r w:rsidRPr="00200DF5">
        <w:rPr>
          <w:rFonts w:eastAsia="Times New Roman" w:cs="Arial"/>
          <w:color w:val="000000"/>
          <w:szCs w:val="20"/>
          <w:lang w:val="en-US"/>
        </w:rPr>
        <w:t>CoA</w:t>
      </w:r>
      <w:r w:rsidRPr="00200DF5">
        <w:rPr>
          <w:rFonts w:eastAsia="Times New Roman" w:cs="Arial"/>
          <w:color w:val="000000"/>
          <w:szCs w:val="20"/>
          <w:lang w:val="ru-RU"/>
        </w:rPr>
        <w:t xml:space="preserve"> </w:t>
      </w:r>
      <w:r w:rsidRPr="00200DF5">
        <w:rPr>
          <w:rFonts w:eastAsia="Times New Roman" w:cs="Arial"/>
          <w:color w:val="000000"/>
          <w:szCs w:val="20"/>
          <w:lang w:eastAsia="bg-BG"/>
        </w:rPr>
        <w:t>редуктазата, включително аторвастатин включват ОАТР1В1 транспортер. При пациенти с</w:t>
      </w:r>
    </w:p>
    <w:p w14:paraId="0C9FC1E7" w14:textId="77777777" w:rsidR="00200DF5" w:rsidRPr="00200DF5" w:rsidRDefault="00200DF5" w:rsidP="00200DF5">
      <w:pPr>
        <w:spacing w:line="240" w:lineRule="auto"/>
        <w:rPr>
          <w:rFonts w:eastAsia="Times New Roman" w:cs="Arial"/>
          <w:sz w:val="28"/>
          <w:szCs w:val="24"/>
        </w:rPr>
      </w:pPr>
      <w:r w:rsidRPr="00200DF5">
        <w:rPr>
          <w:rFonts w:eastAsia="Times New Roman" w:cs="Arial"/>
          <w:color w:val="000000"/>
          <w:szCs w:val="20"/>
          <w:lang w:val="en-US"/>
        </w:rPr>
        <w:lastRenderedPageBreak/>
        <w:t>SLOC</w:t>
      </w:r>
      <w:r w:rsidRPr="00200DF5">
        <w:rPr>
          <w:rFonts w:eastAsia="Times New Roman" w:cs="Arial"/>
          <w:color w:val="000000"/>
          <w:szCs w:val="20"/>
          <w:lang w:val="ru-RU"/>
        </w:rPr>
        <w:t>1</w:t>
      </w:r>
      <w:r w:rsidRPr="00200DF5">
        <w:rPr>
          <w:rFonts w:eastAsia="Times New Roman" w:cs="Arial"/>
          <w:color w:val="000000"/>
          <w:szCs w:val="20"/>
          <w:lang w:val="en-US"/>
        </w:rPr>
        <w:t>B</w:t>
      </w:r>
      <w:r w:rsidRPr="00200DF5">
        <w:rPr>
          <w:rFonts w:eastAsia="Times New Roman" w:cs="Arial"/>
          <w:color w:val="000000"/>
          <w:szCs w:val="20"/>
          <w:lang w:val="ru-RU"/>
        </w:rPr>
        <w:t xml:space="preserve">1 </w:t>
      </w:r>
      <w:r w:rsidRPr="00200DF5">
        <w:rPr>
          <w:rFonts w:eastAsia="Times New Roman" w:cs="Arial"/>
          <w:color w:val="000000"/>
          <w:szCs w:val="20"/>
          <w:lang w:eastAsia="bg-BG"/>
        </w:rPr>
        <w:t xml:space="preserve">полиморфизъм има риск от увеличена експозиция на аторвастатин, което може да доведе до повишен риск от рабдомиолиза (вижте раздел 4.4). Полиморфизмът в гена, кодиращ ОАТР1В1 </w:t>
      </w:r>
      <w:r w:rsidRPr="00200DF5">
        <w:rPr>
          <w:rFonts w:eastAsia="Times New Roman" w:cs="Arial"/>
          <w:color w:val="000000"/>
          <w:szCs w:val="20"/>
          <w:lang w:val="ru-RU"/>
        </w:rPr>
        <w:t>(</w:t>
      </w:r>
      <w:r w:rsidRPr="00200DF5">
        <w:rPr>
          <w:rFonts w:eastAsia="Times New Roman" w:cs="Arial"/>
          <w:color w:val="000000"/>
          <w:szCs w:val="20"/>
          <w:lang w:val="en-US"/>
        </w:rPr>
        <w:t>SLCO</w:t>
      </w:r>
      <w:r w:rsidRPr="00200DF5">
        <w:rPr>
          <w:rFonts w:eastAsia="Times New Roman" w:cs="Arial"/>
          <w:color w:val="000000"/>
          <w:szCs w:val="20"/>
          <w:lang w:val="ru-RU"/>
        </w:rPr>
        <w:t>1</w:t>
      </w:r>
      <w:r w:rsidRPr="00200DF5">
        <w:rPr>
          <w:rFonts w:eastAsia="Times New Roman" w:cs="Arial"/>
          <w:color w:val="000000"/>
          <w:szCs w:val="20"/>
          <w:lang w:val="en-US"/>
        </w:rPr>
        <w:t>B</w:t>
      </w:r>
      <w:r w:rsidRPr="00200DF5">
        <w:rPr>
          <w:rFonts w:eastAsia="Times New Roman" w:cs="Arial"/>
          <w:color w:val="000000"/>
          <w:szCs w:val="20"/>
          <w:lang w:val="ru-RU"/>
        </w:rPr>
        <w:t xml:space="preserve">1 </w:t>
      </w:r>
      <w:r w:rsidRPr="00200DF5">
        <w:rPr>
          <w:rFonts w:eastAsia="Times New Roman" w:cs="Arial"/>
          <w:color w:val="000000"/>
          <w:szCs w:val="20"/>
          <w:lang w:val="en-US"/>
        </w:rPr>
        <w:t>C</w:t>
      </w:r>
      <w:r w:rsidRPr="00200DF5">
        <w:rPr>
          <w:rFonts w:eastAsia="Times New Roman" w:cs="Arial"/>
          <w:color w:val="000000"/>
          <w:szCs w:val="20"/>
          <w:lang w:val="ru-RU"/>
        </w:rPr>
        <w:t>.521</w:t>
      </w:r>
      <w:r w:rsidRPr="00200DF5">
        <w:rPr>
          <w:rFonts w:eastAsia="Times New Roman" w:cs="Arial"/>
          <w:color w:val="000000"/>
          <w:szCs w:val="20"/>
          <w:lang w:val="en-US"/>
        </w:rPr>
        <w:t>CC</w:t>
      </w:r>
      <w:r w:rsidRPr="00200DF5">
        <w:rPr>
          <w:rFonts w:eastAsia="Times New Roman" w:cs="Arial"/>
          <w:color w:val="000000"/>
          <w:szCs w:val="20"/>
          <w:lang w:val="ru-RU"/>
        </w:rPr>
        <w:t xml:space="preserve">) </w:t>
      </w:r>
      <w:r w:rsidRPr="00200DF5">
        <w:rPr>
          <w:rFonts w:eastAsia="Times New Roman" w:cs="Arial"/>
          <w:color w:val="000000"/>
          <w:szCs w:val="20"/>
          <w:lang w:eastAsia="bg-BG"/>
        </w:rPr>
        <w:t xml:space="preserve">е свързан с 2,4 пъти по-висока експозиция на аторвастатин </w:t>
      </w:r>
      <w:r w:rsidRPr="00200DF5">
        <w:rPr>
          <w:rFonts w:eastAsia="Times New Roman" w:cs="Arial"/>
          <w:color w:val="000000"/>
          <w:szCs w:val="20"/>
          <w:lang w:val="ru-RU"/>
        </w:rPr>
        <w:t>(</w:t>
      </w:r>
      <w:r w:rsidRPr="00200DF5">
        <w:rPr>
          <w:rFonts w:eastAsia="Times New Roman" w:cs="Arial"/>
          <w:color w:val="000000"/>
          <w:szCs w:val="20"/>
          <w:lang w:val="en-US"/>
        </w:rPr>
        <w:t>AUC</w:t>
      </w:r>
      <w:r w:rsidRPr="00200DF5">
        <w:rPr>
          <w:rFonts w:eastAsia="Times New Roman" w:cs="Arial"/>
          <w:color w:val="000000"/>
          <w:szCs w:val="20"/>
          <w:lang w:val="ru-RU"/>
        </w:rPr>
        <w:t xml:space="preserve">) </w:t>
      </w:r>
      <w:r w:rsidRPr="00200DF5">
        <w:rPr>
          <w:rFonts w:eastAsia="Times New Roman" w:cs="Arial"/>
          <w:color w:val="000000"/>
          <w:szCs w:val="20"/>
          <w:lang w:eastAsia="bg-BG"/>
        </w:rPr>
        <w:t>от тази на индивиди, които нямат този генотипен вариант (с.521</w:t>
      </w:r>
      <w:r w:rsidRPr="00200DF5">
        <w:rPr>
          <w:rFonts w:eastAsia="Times New Roman" w:cs="Arial"/>
          <w:color w:val="000000"/>
          <w:szCs w:val="20"/>
          <w:lang w:val="en-US"/>
        </w:rPr>
        <w:t>TT</w:t>
      </w:r>
      <w:r w:rsidRPr="00200DF5">
        <w:rPr>
          <w:rFonts w:eastAsia="Times New Roman" w:cs="Arial"/>
          <w:color w:val="000000"/>
          <w:szCs w:val="20"/>
          <w:lang w:val="ru-RU"/>
        </w:rPr>
        <w:t xml:space="preserve">). </w:t>
      </w:r>
      <w:r w:rsidRPr="00200DF5">
        <w:rPr>
          <w:rFonts w:eastAsia="Times New Roman" w:cs="Arial"/>
          <w:color w:val="000000"/>
          <w:szCs w:val="20"/>
          <w:lang w:eastAsia="bg-BG"/>
        </w:rPr>
        <w:t>Генетично повреденият чернодробен метаболизъм на аторвастатин е също възможен при тези пациенти. Не са ясни възможните последици относно ефикасността.</w:t>
      </w:r>
    </w:p>
    <w:p w14:paraId="2F5B4B82" w14:textId="3CD9CB9C" w:rsidR="00200DF5" w:rsidRPr="00200DF5" w:rsidRDefault="00200DF5" w:rsidP="00200DF5"/>
    <w:p w14:paraId="2156BA06" w14:textId="77777777" w:rsidR="00200DF5" w:rsidRPr="00200DF5" w:rsidRDefault="00200DF5" w:rsidP="00200DF5"/>
    <w:p w14:paraId="4FB791BE" w14:textId="61263A10" w:rsidR="00B6672E" w:rsidRDefault="002C50EE" w:rsidP="00936AD0">
      <w:pPr>
        <w:pStyle w:val="Heading2"/>
      </w:pPr>
      <w:r>
        <w:t>5.3. Предклинични данни за безопасност</w:t>
      </w:r>
    </w:p>
    <w:p w14:paraId="128E753F" w14:textId="7E34A7E8" w:rsidR="00200DF5" w:rsidRDefault="00200DF5" w:rsidP="00200DF5"/>
    <w:p w14:paraId="6F2C9ECF" w14:textId="77777777" w:rsidR="00200DF5" w:rsidRPr="00200DF5" w:rsidRDefault="00200DF5" w:rsidP="00200DF5">
      <w:pPr>
        <w:rPr>
          <w:sz w:val="24"/>
          <w:szCs w:val="24"/>
        </w:rPr>
      </w:pPr>
      <w:r w:rsidRPr="00200DF5">
        <w:rPr>
          <w:lang w:eastAsia="bg-BG"/>
        </w:rPr>
        <w:t xml:space="preserve">Аторвастатин не показва мутагенен и кластогенен потенциал при 4 теста ин витро и 1 ин виво анализ. Аторвастатин не показва канцерогенност при плъхове, но високи дози при мишки (изразяващи се в 6 до 11 пъти по-големи </w:t>
      </w:r>
      <w:r w:rsidRPr="00200DF5">
        <w:rPr>
          <w:lang w:val="en-US"/>
        </w:rPr>
        <w:t>AUC</w:t>
      </w:r>
      <w:r w:rsidRPr="00200DF5">
        <w:rPr>
          <w:lang w:val="ru-RU"/>
        </w:rPr>
        <w:t xml:space="preserve"> </w:t>
      </w:r>
      <w:r w:rsidRPr="00200DF5">
        <w:rPr>
          <w:lang w:eastAsia="bg-BG"/>
        </w:rPr>
        <w:t xml:space="preserve">0-24 </w:t>
      </w:r>
      <w:r w:rsidRPr="00200DF5">
        <w:rPr>
          <w:lang w:val="en-US"/>
        </w:rPr>
        <w:t>h</w:t>
      </w:r>
      <w:r w:rsidRPr="00200DF5">
        <w:rPr>
          <w:lang w:val="ru-RU"/>
        </w:rPr>
        <w:t xml:space="preserve">, </w:t>
      </w:r>
      <w:r w:rsidRPr="00200DF5">
        <w:rPr>
          <w:lang w:eastAsia="bg-BG"/>
        </w:rPr>
        <w:t xml:space="preserve">отколкото тези наблюдавани при хора при най-високите препоръчителни дози) показват хепатоцелуларен аденом при мъжки индивиди и хепатоцелуларен карцином при женски индивиди. Има доказателство от проучванията при животни, че инхибиторите на </w:t>
      </w:r>
      <w:r w:rsidRPr="00200DF5">
        <w:rPr>
          <w:lang w:val="en-US"/>
        </w:rPr>
        <w:t>HMG</w:t>
      </w:r>
      <w:r w:rsidRPr="00200DF5">
        <w:rPr>
          <w:lang w:val="ru-RU"/>
        </w:rPr>
        <w:t xml:space="preserve"> </w:t>
      </w:r>
      <w:r w:rsidRPr="00200DF5">
        <w:rPr>
          <w:lang w:eastAsia="bg-BG"/>
        </w:rPr>
        <w:t>редуктазата може да повлияят върху развитието на ембрионите или фетуса. При плъхове, зайци и кучета аторвастатин не оказва ефект върху фертилитета и не е считан за тератогенен, но при токсични за майката доза се наблюдава фетална токсичност при плъхове и зайци. Забавя се развитието на поколението и се наблюдава намалена постнатална преживяемост по време на експозиция на майките с високи дози аторвастатин. При плъхове има доказателство за плацентарен трансфер. При плъхове плазмените концентрации на аторвастатин са подобни на тези в млякото. Не е известно дали аторвастатин или неговите метаболити с еекскретират в кърмата.</w:t>
      </w:r>
    </w:p>
    <w:p w14:paraId="451A6E0F" w14:textId="77777777" w:rsidR="00200DF5" w:rsidRPr="00200DF5" w:rsidRDefault="00200DF5" w:rsidP="00200DF5"/>
    <w:p w14:paraId="1BA6531D" w14:textId="1DD5517B" w:rsidR="00B6672E" w:rsidRDefault="002C50EE" w:rsidP="00936AD0">
      <w:pPr>
        <w:pStyle w:val="Heading1"/>
      </w:pPr>
      <w:r>
        <w:t>7. ПРИТЕЖАТЕЛ НА РАЗРЕШЕНИЕТО ЗА УПОТРЕБА</w:t>
      </w:r>
    </w:p>
    <w:p w14:paraId="1BA38CEA" w14:textId="6C61AD72" w:rsidR="00200DF5" w:rsidRDefault="00200DF5" w:rsidP="00200DF5"/>
    <w:p w14:paraId="7A47D058" w14:textId="50573F40" w:rsidR="00200DF5" w:rsidRPr="00200DF5" w:rsidRDefault="00200DF5" w:rsidP="00200DF5">
      <w:r>
        <w:t xml:space="preserve">Aliud Pharma GmbH, Gottlieb-Daimler Strasse 19, 89150 Laichingen, </w:t>
      </w:r>
      <w:r>
        <w:rPr>
          <w:lang w:eastAsia="bg-BG"/>
        </w:rPr>
        <w:t>Германия</w:t>
      </w:r>
    </w:p>
    <w:p w14:paraId="508F3A54" w14:textId="3E225D02" w:rsidR="00B6672E" w:rsidRDefault="00936AD0" w:rsidP="00936AD0">
      <w:pPr>
        <w:pStyle w:val="Heading1"/>
      </w:pPr>
      <w:r>
        <w:t>8.</w:t>
      </w:r>
      <w:r w:rsidR="002C50EE">
        <w:t>НОМЕР НА РАЗРЕШЕНИЕТО ЗА УПОТРЕБА</w:t>
      </w:r>
    </w:p>
    <w:p w14:paraId="61856CEB" w14:textId="77777777" w:rsidR="00200DF5" w:rsidRDefault="00200DF5" w:rsidP="00200DF5">
      <w:pPr>
        <w:rPr>
          <w:lang w:eastAsia="bg-BG"/>
        </w:rPr>
      </w:pPr>
    </w:p>
    <w:p w14:paraId="05700BB2" w14:textId="7B32A8DF" w:rsidR="00200DF5" w:rsidRPr="00200DF5" w:rsidRDefault="00200DF5" w:rsidP="00200DF5">
      <w:pPr>
        <w:rPr>
          <w:sz w:val="24"/>
          <w:szCs w:val="24"/>
        </w:rPr>
      </w:pPr>
      <w:r w:rsidRPr="00200DF5">
        <w:rPr>
          <w:lang w:eastAsia="bg-BG"/>
        </w:rPr>
        <w:t xml:space="preserve">Арагил 10 </w:t>
      </w:r>
      <w:r w:rsidRPr="00200DF5">
        <w:rPr>
          <w:lang w:val="en-US"/>
        </w:rPr>
        <w:t>mg</w:t>
      </w:r>
      <w:r w:rsidRPr="00200DF5">
        <w:rPr>
          <w:lang w:val="ru-RU"/>
        </w:rPr>
        <w:t xml:space="preserve">: </w:t>
      </w:r>
      <w:r w:rsidRPr="00200DF5">
        <w:rPr>
          <w:lang w:eastAsia="bg-BG"/>
        </w:rPr>
        <w:t>20110567</w:t>
      </w:r>
    </w:p>
    <w:p w14:paraId="4756D8A3" w14:textId="367D5A58" w:rsidR="00200DF5" w:rsidRPr="00200DF5" w:rsidRDefault="00200DF5" w:rsidP="00200DF5">
      <w:r w:rsidRPr="00200DF5">
        <w:rPr>
          <w:lang w:eastAsia="bg-BG"/>
        </w:rPr>
        <w:t xml:space="preserve">Арагил 20 </w:t>
      </w:r>
      <w:r w:rsidRPr="00200DF5">
        <w:rPr>
          <w:lang w:val="en-US"/>
        </w:rPr>
        <w:t>mg</w:t>
      </w:r>
      <w:r w:rsidRPr="00200DF5">
        <w:rPr>
          <w:lang w:val="ru-RU"/>
        </w:rPr>
        <w:t xml:space="preserve">: </w:t>
      </w:r>
      <w:r w:rsidRPr="00200DF5">
        <w:rPr>
          <w:lang w:eastAsia="bg-BG"/>
        </w:rPr>
        <w:t>20110568</w:t>
      </w:r>
    </w:p>
    <w:p w14:paraId="2CCB5832" w14:textId="01FFC208" w:rsidR="007C605B" w:rsidRDefault="002C50EE" w:rsidP="007C605B">
      <w:pPr>
        <w:pStyle w:val="Heading1"/>
      </w:pPr>
      <w:r>
        <w:t>9. ДАТА НА ПЪРВО РАЗРЕШАВАНЕ/ПОДНОВЯВАНЕ НА РАЗРЕШЕНИЕТО ЗА УПОТРЕБА</w:t>
      </w:r>
    </w:p>
    <w:p w14:paraId="479CBF1D" w14:textId="77777777" w:rsidR="00200DF5" w:rsidRDefault="00200DF5" w:rsidP="00200DF5">
      <w:pPr>
        <w:rPr>
          <w:lang w:eastAsia="bg-BG"/>
        </w:rPr>
      </w:pPr>
    </w:p>
    <w:p w14:paraId="06E777CC" w14:textId="56B06197" w:rsidR="00200DF5" w:rsidRPr="00200DF5" w:rsidRDefault="00200DF5" w:rsidP="00200DF5">
      <w:pPr>
        <w:rPr>
          <w:sz w:val="24"/>
          <w:szCs w:val="24"/>
        </w:rPr>
      </w:pPr>
      <w:r w:rsidRPr="00200DF5">
        <w:rPr>
          <w:lang w:eastAsia="bg-BG"/>
        </w:rPr>
        <w:t>Дата на първо разрешаване: 28.09.2011</w:t>
      </w:r>
    </w:p>
    <w:p w14:paraId="78EB6FF3" w14:textId="77777777" w:rsidR="00200DF5" w:rsidRPr="00200DF5" w:rsidRDefault="00200DF5" w:rsidP="00200DF5">
      <w:pPr>
        <w:rPr>
          <w:sz w:val="24"/>
          <w:szCs w:val="24"/>
        </w:rPr>
      </w:pPr>
      <w:r w:rsidRPr="00200DF5">
        <w:rPr>
          <w:lang w:eastAsia="bg-BG"/>
        </w:rPr>
        <w:t>Дата на последно подновяване: 28.06.2017</w:t>
      </w:r>
    </w:p>
    <w:p w14:paraId="4BC35B23" w14:textId="77777777" w:rsidR="00200DF5" w:rsidRPr="00200DF5" w:rsidRDefault="00200DF5" w:rsidP="00200DF5"/>
    <w:p w14:paraId="0E9D0119" w14:textId="0245C6D7" w:rsidR="002C50EE" w:rsidRDefault="002C50EE" w:rsidP="002C50EE">
      <w:pPr>
        <w:pStyle w:val="Heading1"/>
      </w:pPr>
      <w:r>
        <w:t>10. ДАТА НА АКТУАЛИЗИРАНЕ НА ТЕКСТА</w:t>
      </w:r>
    </w:p>
    <w:bookmarkEnd w:id="0"/>
    <w:p w14:paraId="43FB38A2" w14:textId="1A550878" w:rsidR="007C605B" w:rsidRPr="003E3126" w:rsidRDefault="00200DF5" w:rsidP="00200DF5">
      <w:r>
        <w:t>11/2020</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B37597"/>
    <w:multiLevelType w:val="hybridMultilevel"/>
    <w:tmpl w:val="C574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E410F"/>
    <w:multiLevelType w:val="hybridMultilevel"/>
    <w:tmpl w:val="4A16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43EBB"/>
    <w:multiLevelType w:val="hybridMultilevel"/>
    <w:tmpl w:val="95BA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4"/>
  </w:num>
  <w:num w:numId="12">
    <w:abstractNumId w:val="16"/>
  </w:num>
  <w:num w:numId="13">
    <w:abstractNumId w:val="22"/>
  </w:num>
  <w:num w:numId="14">
    <w:abstractNumId w:val="14"/>
  </w:num>
  <w:num w:numId="15">
    <w:abstractNumId w:val="33"/>
  </w:num>
  <w:num w:numId="16">
    <w:abstractNumId w:val="11"/>
  </w:num>
  <w:num w:numId="17">
    <w:abstractNumId w:val="28"/>
  </w:num>
  <w:num w:numId="18">
    <w:abstractNumId w:val="8"/>
  </w:num>
  <w:num w:numId="19">
    <w:abstractNumId w:val="30"/>
  </w:num>
  <w:num w:numId="20">
    <w:abstractNumId w:val="27"/>
  </w:num>
  <w:num w:numId="21">
    <w:abstractNumId w:val="20"/>
  </w:num>
  <w:num w:numId="22">
    <w:abstractNumId w:val="29"/>
  </w:num>
  <w:num w:numId="23">
    <w:abstractNumId w:val="21"/>
  </w:num>
  <w:num w:numId="24">
    <w:abstractNumId w:val="9"/>
  </w:num>
  <w:num w:numId="25">
    <w:abstractNumId w:val="26"/>
  </w:num>
  <w:num w:numId="26">
    <w:abstractNumId w:val="25"/>
  </w:num>
  <w:num w:numId="27">
    <w:abstractNumId w:val="35"/>
  </w:num>
  <w:num w:numId="28">
    <w:abstractNumId w:val="6"/>
  </w:num>
  <w:num w:numId="29">
    <w:abstractNumId w:val="24"/>
  </w:num>
  <w:num w:numId="30">
    <w:abstractNumId w:val="38"/>
  </w:num>
  <w:num w:numId="31">
    <w:abstractNumId w:val="5"/>
  </w:num>
  <w:num w:numId="32">
    <w:abstractNumId w:val="37"/>
  </w:num>
  <w:num w:numId="33">
    <w:abstractNumId w:val="32"/>
  </w:num>
  <w:num w:numId="34">
    <w:abstractNumId w:val="36"/>
  </w:num>
  <w:num w:numId="35">
    <w:abstractNumId w:val="7"/>
  </w:num>
  <w:num w:numId="36">
    <w:abstractNumId w:val="10"/>
  </w:num>
  <w:num w:numId="37">
    <w:abstractNumId w:val="23"/>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00DF5"/>
    <w:rsid w:val="002B3C38"/>
    <w:rsid w:val="002B4DBB"/>
    <w:rsid w:val="002C50EE"/>
    <w:rsid w:val="00304120"/>
    <w:rsid w:val="00340A0A"/>
    <w:rsid w:val="00360872"/>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6F93"/>
    <w:rsid w:val="00C87E90"/>
    <w:rsid w:val="00CA1B57"/>
    <w:rsid w:val="00CF77F7"/>
    <w:rsid w:val="00D86297"/>
    <w:rsid w:val="00DD466D"/>
    <w:rsid w:val="00EB6364"/>
    <w:rsid w:val="00F37B64"/>
    <w:rsid w:val="00F703B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9311</Words>
  <Characters>53074</Characters>
  <Application>Microsoft Office Word</Application>
  <DocSecurity>0</DocSecurity>
  <Lines>442</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2022-06-16T17:44:00Z</dcterms:created>
  <dcterms:modified xsi:type="dcterms:W3CDTF">2022-06-16T17:44:00Z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