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1E400778" w:rsidR="007122AD" w:rsidRDefault="00DD466D" w:rsidP="00936AD0">
      <w:pPr>
        <w:pStyle w:val="Heading1"/>
      </w:pPr>
      <w:r>
        <w:t>1.ИМЕ НА ЛЕКАРСТВЕНИЯ ПРОДУКТ</w:t>
      </w:r>
    </w:p>
    <w:p w14:paraId="196B51D3" w14:textId="452ECD37" w:rsidR="00DD34FD" w:rsidRDefault="00DD34FD" w:rsidP="00DD34FD"/>
    <w:p w14:paraId="576D1CE0" w14:textId="77777777" w:rsidR="00DD34FD" w:rsidRPr="00DD34FD" w:rsidRDefault="00DD34FD" w:rsidP="00DD34FD">
      <w:pPr>
        <w:rPr>
          <w:sz w:val="24"/>
          <w:szCs w:val="24"/>
        </w:rPr>
      </w:pPr>
      <w:r w:rsidRPr="00DD34FD">
        <w:rPr>
          <w:lang w:eastAsia="bg-BG"/>
        </w:rPr>
        <w:t>Арета</w:t>
      </w:r>
      <w:r w:rsidRPr="00DD34FD">
        <w:t xml:space="preserve"> </w:t>
      </w:r>
      <w:r w:rsidRPr="00DD34FD">
        <w:rPr>
          <w:lang w:eastAsia="bg-BG"/>
        </w:rPr>
        <w:t xml:space="preserve">10 </w:t>
      </w:r>
      <w:r w:rsidRPr="00DD34FD">
        <w:rPr>
          <w:lang w:val="en-US"/>
        </w:rPr>
        <w:t>mg</w:t>
      </w:r>
      <w:r w:rsidRPr="00DD34FD">
        <w:t xml:space="preserve"> </w:t>
      </w:r>
      <w:r w:rsidRPr="00DD34FD">
        <w:rPr>
          <w:lang w:eastAsia="bg-BG"/>
        </w:rPr>
        <w:t>филмирани таблетки</w:t>
      </w:r>
    </w:p>
    <w:p w14:paraId="0FF9AFCB" w14:textId="77777777" w:rsidR="00DD34FD" w:rsidRPr="00DD34FD" w:rsidRDefault="00DD34FD" w:rsidP="00DD34FD">
      <w:pPr>
        <w:rPr>
          <w:sz w:val="24"/>
          <w:szCs w:val="24"/>
        </w:rPr>
      </w:pPr>
      <w:proofErr w:type="spellStart"/>
      <w:r w:rsidRPr="00DD34FD">
        <w:rPr>
          <w:lang w:val="en-US"/>
        </w:rPr>
        <w:t>Areta</w:t>
      </w:r>
      <w:proofErr w:type="spellEnd"/>
      <w:r w:rsidRPr="00DD34FD">
        <w:t xml:space="preserve"> </w:t>
      </w:r>
      <w:r w:rsidRPr="00DD34FD">
        <w:rPr>
          <w:lang w:eastAsia="bg-BG"/>
        </w:rPr>
        <w:t xml:space="preserve">10 </w:t>
      </w:r>
      <w:r w:rsidRPr="00DD34FD">
        <w:rPr>
          <w:lang w:val="en-US"/>
        </w:rPr>
        <w:t>mg</w:t>
      </w:r>
      <w:r w:rsidRPr="00DD34FD">
        <w:t xml:space="preserve"> </w:t>
      </w:r>
      <w:r w:rsidRPr="00DD34FD">
        <w:rPr>
          <w:lang w:val="en-US"/>
        </w:rPr>
        <w:t>film</w:t>
      </w:r>
      <w:r w:rsidRPr="00DD34FD">
        <w:t>-</w:t>
      </w:r>
      <w:r w:rsidRPr="00DD34FD">
        <w:rPr>
          <w:lang w:val="en-US"/>
        </w:rPr>
        <w:t>coated</w:t>
      </w:r>
      <w:r w:rsidRPr="00DD34FD">
        <w:t xml:space="preserve"> </w:t>
      </w:r>
      <w:r w:rsidRPr="00DD34FD">
        <w:rPr>
          <w:lang w:val="en-US"/>
        </w:rPr>
        <w:t>tablets</w:t>
      </w:r>
    </w:p>
    <w:p w14:paraId="3F66B480" w14:textId="77777777" w:rsidR="00DD34FD" w:rsidRDefault="00DD34FD" w:rsidP="00DD34FD">
      <w:pPr>
        <w:rPr>
          <w:lang w:eastAsia="bg-BG"/>
        </w:rPr>
      </w:pPr>
    </w:p>
    <w:p w14:paraId="78D9C03B" w14:textId="144BEA42" w:rsidR="00DD34FD" w:rsidRPr="00DD34FD" w:rsidRDefault="00DD34FD" w:rsidP="00DD34FD">
      <w:pPr>
        <w:rPr>
          <w:sz w:val="24"/>
          <w:szCs w:val="24"/>
        </w:rPr>
      </w:pPr>
      <w:r w:rsidRPr="00DD34FD">
        <w:rPr>
          <w:lang w:eastAsia="bg-BG"/>
        </w:rPr>
        <w:t xml:space="preserve">Арета20 </w:t>
      </w:r>
      <w:r w:rsidRPr="00DD34FD">
        <w:rPr>
          <w:lang w:val="en-US"/>
        </w:rPr>
        <w:t>mg</w:t>
      </w:r>
      <w:r w:rsidRPr="00DD34FD">
        <w:t xml:space="preserve"> </w:t>
      </w:r>
      <w:r w:rsidRPr="00DD34FD">
        <w:rPr>
          <w:lang w:eastAsia="bg-BG"/>
        </w:rPr>
        <w:t>филмирани таблетки</w:t>
      </w:r>
    </w:p>
    <w:p w14:paraId="54B08E32" w14:textId="77777777" w:rsidR="00DD34FD" w:rsidRPr="00DD34FD" w:rsidRDefault="00DD34FD" w:rsidP="00DD34FD">
      <w:pPr>
        <w:rPr>
          <w:sz w:val="24"/>
          <w:szCs w:val="24"/>
        </w:rPr>
      </w:pPr>
      <w:proofErr w:type="spellStart"/>
      <w:r w:rsidRPr="00DD34FD">
        <w:rPr>
          <w:lang w:val="en-US"/>
        </w:rPr>
        <w:t>Areta</w:t>
      </w:r>
      <w:proofErr w:type="spellEnd"/>
      <w:r w:rsidRPr="00DD34FD">
        <w:t xml:space="preserve"> </w:t>
      </w:r>
      <w:r w:rsidRPr="00DD34FD">
        <w:rPr>
          <w:lang w:eastAsia="bg-BG"/>
        </w:rPr>
        <w:t xml:space="preserve">20 </w:t>
      </w:r>
      <w:r w:rsidRPr="00DD34FD">
        <w:rPr>
          <w:lang w:val="en-US"/>
        </w:rPr>
        <w:t>mg</w:t>
      </w:r>
      <w:r w:rsidRPr="00DD34FD">
        <w:t xml:space="preserve"> </w:t>
      </w:r>
      <w:r w:rsidRPr="00DD34FD">
        <w:rPr>
          <w:lang w:val="en-US"/>
        </w:rPr>
        <w:t>film</w:t>
      </w:r>
      <w:r w:rsidRPr="00DD34FD">
        <w:t>-</w:t>
      </w:r>
      <w:r w:rsidRPr="00DD34FD">
        <w:rPr>
          <w:lang w:val="en-US"/>
        </w:rPr>
        <w:t>coated</w:t>
      </w:r>
      <w:r w:rsidRPr="00DD34FD">
        <w:t xml:space="preserve"> </w:t>
      </w:r>
      <w:r w:rsidRPr="00DD34FD">
        <w:rPr>
          <w:lang w:val="en-US"/>
        </w:rPr>
        <w:t>tablets</w:t>
      </w:r>
    </w:p>
    <w:p w14:paraId="2F838E59" w14:textId="77777777" w:rsidR="00DD34FD" w:rsidRPr="00DD34FD" w:rsidRDefault="00DD34FD" w:rsidP="00DD34FD"/>
    <w:p w14:paraId="6920A680" w14:textId="62277A20" w:rsidR="00C40420" w:rsidRDefault="00DD466D" w:rsidP="004A448E">
      <w:pPr>
        <w:pStyle w:val="Heading1"/>
      </w:pPr>
      <w:r>
        <w:t>2. КАЧЕСТВЕН И КОЛИЧЕСТВЕН СЪСТАВ</w:t>
      </w:r>
    </w:p>
    <w:p w14:paraId="1F84FF7C" w14:textId="4C49F410" w:rsidR="00DD34FD" w:rsidRDefault="00DD34FD" w:rsidP="00DD34FD"/>
    <w:p w14:paraId="4FEFB343" w14:textId="77777777" w:rsidR="00DD34FD" w:rsidRPr="00DD34FD" w:rsidRDefault="00DD34FD" w:rsidP="00DD34FD">
      <w:pPr>
        <w:spacing w:line="240" w:lineRule="auto"/>
        <w:rPr>
          <w:rFonts w:eastAsia="Times New Roman" w:cs="Arial"/>
          <w:sz w:val="28"/>
          <w:szCs w:val="24"/>
        </w:rPr>
      </w:pPr>
      <w:bookmarkStart w:id="1" w:name="bookmark0"/>
      <w:r w:rsidRPr="00DD34FD">
        <w:rPr>
          <w:rFonts w:eastAsia="Times New Roman" w:cs="Arial"/>
          <w:b/>
          <w:bCs/>
          <w:color w:val="000000"/>
          <w:szCs w:val="20"/>
          <w:u w:val="single"/>
          <w:lang w:eastAsia="bg-BG"/>
        </w:rPr>
        <w:t xml:space="preserve">Арета 10 </w:t>
      </w:r>
      <w:r w:rsidRPr="00DD34FD">
        <w:rPr>
          <w:rFonts w:eastAsia="Times New Roman" w:cs="Arial"/>
          <w:b/>
          <w:bCs/>
          <w:color w:val="000000"/>
          <w:szCs w:val="20"/>
          <w:u w:val="single"/>
          <w:lang w:val="en-US"/>
        </w:rPr>
        <w:t>mg</w:t>
      </w:r>
      <w:r w:rsidRPr="00DD34FD">
        <w:rPr>
          <w:rFonts w:eastAsia="Times New Roman" w:cs="Arial"/>
          <w:b/>
          <w:bCs/>
          <w:color w:val="000000"/>
          <w:szCs w:val="20"/>
          <w:u w:val="single"/>
          <w:lang w:eastAsia="bg-BG"/>
        </w:rPr>
        <w:t xml:space="preserve"> Филмирани таблени</w:t>
      </w:r>
      <w:bookmarkEnd w:id="1"/>
    </w:p>
    <w:p w14:paraId="39BCFFA3"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Всяка таблетка съдържа 10 </w:t>
      </w:r>
      <w:r w:rsidRPr="00DD34FD">
        <w:rPr>
          <w:rFonts w:eastAsia="Times New Roman" w:cs="Arial"/>
          <w:color w:val="000000"/>
          <w:szCs w:val="20"/>
          <w:lang w:val="en-US"/>
        </w:rPr>
        <w:t>mg</w:t>
      </w:r>
      <w:r w:rsidRPr="00DD34FD">
        <w:rPr>
          <w:rFonts w:eastAsia="Times New Roman" w:cs="Arial"/>
          <w:color w:val="000000"/>
          <w:szCs w:val="20"/>
        </w:rPr>
        <w:t xml:space="preserve"> </w:t>
      </w:r>
      <w:r w:rsidRPr="00DD34FD">
        <w:rPr>
          <w:rFonts w:eastAsia="Times New Roman" w:cs="Arial"/>
          <w:color w:val="000000"/>
          <w:szCs w:val="20"/>
          <w:lang w:eastAsia="bg-BG"/>
        </w:rPr>
        <w:t xml:space="preserve">лерканидипинов хидрохлорид под формата на лерканидипинов хидрохлорид хемихидрат. Това е еквивалентно на 9,4 </w:t>
      </w:r>
      <w:r w:rsidRPr="00DD34FD">
        <w:rPr>
          <w:rFonts w:eastAsia="Times New Roman" w:cs="Arial"/>
          <w:color w:val="000000"/>
          <w:szCs w:val="20"/>
          <w:lang w:val="en-US"/>
        </w:rPr>
        <w:t>mg</w:t>
      </w:r>
      <w:r w:rsidRPr="00DD34FD">
        <w:rPr>
          <w:rFonts w:eastAsia="Times New Roman" w:cs="Arial"/>
          <w:color w:val="000000"/>
          <w:szCs w:val="20"/>
          <w:lang w:val="ru-RU"/>
        </w:rPr>
        <w:t xml:space="preserve"> </w:t>
      </w:r>
      <w:r w:rsidRPr="00DD34FD">
        <w:rPr>
          <w:rFonts w:eastAsia="Times New Roman" w:cs="Arial"/>
          <w:color w:val="000000"/>
          <w:szCs w:val="20"/>
          <w:lang w:eastAsia="bg-BG"/>
        </w:rPr>
        <w:t>лерканидипин.</w:t>
      </w:r>
    </w:p>
    <w:p w14:paraId="248A95BE" w14:textId="77777777" w:rsidR="00DD34FD" w:rsidRPr="00DD34FD" w:rsidRDefault="00DD34FD" w:rsidP="00DD34FD">
      <w:pPr>
        <w:spacing w:line="240" w:lineRule="auto"/>
        <w:rPr>
          <w:rFonts w:eastAsia="Times New Roman" w:cs="Arial"/>
          <w:color w:val="000000"/>
          <w:szCs w:val="20"/>
          <w:lang w:eastAsia="bg-BG"/>
        </w:rPr>
      </w:pPr>
    </w:p>
    <w:p w14:paraId="22A7D214" w14:textId="70D1327B"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Всяка филмирана таблетка съдържа 36,55 </w:t>
      </w:r>
      <w:r w:rsidRPr="00DD34FD">
        <w:rPr>
          <w:rFonts w:eastAsia="Times New Roman" w:cs="Arial"/>
          <w:color w:val="000000"/>
          <w:szCs w:val="20"/>
          <w:lang w:val="en-US"/>
        </w:rPr>
        <w:t>mg</w:t>
      </w:r>
      <w:r w:rsidRPr="00DD34FD">
        <w:rPr>
          <w:rFonts w:eastAsia="Times New Roman" w:cs="Arial"/>
          <w:color w:val="000000"/>
          <w:szCs w:val="20"/>
          <w:lang w:val="ru-RU"/>
        </w:rPr>
        <w:t xml:space="preserve"> </w:t>
      </w:r>
      <w:r w:rsidRPr="00DD34FD">
        <w:rPr>
          <w:rFonts w:eastAsia="Times New Roman" w:cs="Arial"/>
          <w:color w:val="000000"/>
          <w:szCs w:val="20"/>
          <w:lang w:eastAsia="bg-BG"/>
        </w:rPr>
        <w:t>лактоза монохидрат.</w:t>
      </w:r>
    </w:p>
    <w:p w14:paraId="316E5575" w14:textId="77777777" w:rsidR="00DD34FD" w:rsidRPr="00DD34FD" w:rsidRDefault="00DD34FD" w:rsidP="00DD34FD">
      <w:pPr>
        <w:spacing w:line="240" w:lineRule="auto"/>
        <w:rPr>
          <w:rFonts w:eastAsia="Times New Roman" w:cs="Arial"/>
          <w:b/>
          <w:bCs/>
          <w:color w:val="000000"/>
          <w:szCs w:val="20"/>
          <w:u w:val="single"/>
          <w:lang w:eastAsia="bg-BG"/>
        </w:rPr>
      </w:pPr>
      <w:bookmarkStart w:id="2" w:name="bookmark2"/>
    </w:p>
    <w:p w14:paraId="1B331625" w14:textId="03DF87EE" w:rsidR="00DD34FD" w:rsidRPr="00DD34FD" w:rsidRDefault="00DD34FD" w:rsidP="00DD34FD">
      <w:pPr>
        <w:spacing w:line="240" w:lineRule="auto"/>
        <w:rPr>
          <w:rFonts w:eastAsia="Times New Roman" w:cs="Arial"/>
          <w:sz w:val="28"/>
          <w:szCs w:val="24"/>
        </w:rPr>
      </w:pPr>
      <w:r w:rsidRPr="00DD34FD">
        <w:rPr>
          <w:rFonts w:eastAsia="Times New Roman" w:cs="Arial"/>
          <w:b/>
          <w:bCs/>
          <w:color w:val="000000"/>
          <w:szCs w:val="20"/>
          <w:u w:val="single"/>
          <w:lang w:eastAsia="bg-BG"/>
        </w:rPr>
        <w:t xml:space="preserve">Арета 20 </w:t>
      </w:r>
      <w:r w:rsidRPr="00DD34FD">
        <w:rPr>
          <w:rFonts w:eastAsia="Times New Roman" w:cs="Arial"/>
          <w:b/>
          <w:bCs/>
          <w:color w:val="000000"/>
          <w:szCs w:val="20"/>
          <w:u w:val="single"/>
          <w:lang w:val="en-US"/>
        </w:rPr>
        <w:t>mg</w:t>
      </w:r>
      <w:r w:rsidRPr="00DD34FD">
        <w:rPr>
          <w:rFonts w:eastAsia="Times New Roman" w:cs="Arial"/>
          <w:b/>
          <w:bCs/>
          <w:color w:val="000000"/>
          <w:szCs w:val="20"/>
          <w:u w:val="single"/>
          <w:lang w:eastAsia="bg-BG"/>
        </w:rPr>
        <w:t xml:space="preserve"> филмирани таблени</w:t>
      </w:r>
      <w:bookmarkEnd w:id="2"/>
    </w:p>
    <w:p w14:paraId="11E54ADB"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Всяка таблетка съдържа 20 </w:t>
      </w:r>
      <w:r w:rsidRPr="00DD34FD">
        <w:rPr>
          <w:rFonts w:eastAsia="Times New Roman" w:cs="Arial"/>
          <w:color w:val="000000"/>
          <w:szCs w:val="20"/>
          <w:lang w:val="en-US"/>
        </w:rPr>
        <w:t>mg</w:t>
      </w:r>
      <w:r w:rsidRPr="00DD34FD">
        <w:rPr>
          <w:rFonts w:eastAsia="Times New Roman" w:cs="Arial"/>
          <w:color w:val="000000"/>
          <w:szCs w:val="20"/>
        </w:rPr>
        <w:t xml:space="preserve"> </w:t>
      </w:r>
      <w:r w:rsidRPr="00DD34FD">
        <w:rPr>
          <w:rFonts w:eastAsia="Times New Roman" w:cs="Arial"/>
          <w:color w:val="000000"/>
          <w:szCs w:val="20"/>
          <w:lang w:eastAsia="bg-BG"/>
        </w:rPr>
        <w:t xml:space="preserve">лерканидипинов хидрохлорид под формата на лерканидипинов хидрохлорид хемихидрат. Това е еквивалентно на 18,8 </w:t>
      </w:r>
      <w:r w:rsidRPr="00DD34FD">
        <w:rPr>
          <w:rFonts w:eastAsia="Times New Roman" w:cs="Arial"/>
          <w:color w:val="000000"/>
          <w:szCs w:val="20"/>
          <w:lang w:val="en-US"/>
        </w:rPr>
        <w:t xml:space="preserve">mg </w:t>
      </w:r>
      <w:r w:rsidRPr="00DD34FD">
        <w:rPr>
          <w:rFonts w:eastAsia="Times New Roman" w:cs="Arial"/>
          <w:color w:val="000000"/>
          <w:szCs w:val="20"/>
          <w:lang w:eastAsia="bg-BG"/>
        </w:rPr>
        <w:t>лерканидипин.</w:t>
      </w:r>
    </w:p>
    <w:p w14:paraId="4258AE91" w14:textId="77777777" w:rsidR="00DD34FD" w:rsidRPr="00DD34FD" w:rsidRDefault="00DD34FD" w:rsidP="00DD34FD">
      <w:pPr>
        <w:rPr>
          <w:rFonts w:eastAsia="Times New Roman" w:cs="Arial"/>
          <w:color w:val="000000"/>
          <w:szCs w:val="20"/>
          <w:lang w:eastAsia="bg-BG"/>
        </w:rPr>
      </w:pPr>
    </w:p>
    <w:p w14:paraId="4C24F69C" w14:textId="739F53A4" w:rsidR="00DD34FD" w:rsidRPr="00DD34FD" w:rsidRDefault="00DD34FD" w:rsidP="00DD34FD">
      <w:pPr>
        <w:rPr>
          <w:rFonts w:cs="Arial"/>
          <w:sz w:val="24"/>
        </w:rPr>
      </w:pPr>
      <w:r w:rsidRPr="00DD34FD">
        <w:rPr>
          <w:rFonts w:eastAsia="Times New Roman" w:cs="Arial"/>
          <w:color w:val="000000"/>
          <w:szCs w:val="20"/>
          <w:lang w:eastAsia="bg-BG"/>
        </w:rPr>
        <w:t xml:space="preserve">Всяка филмирана таблетка съдържа 73,1 </w:t>
      </w:r>
      <w:r w:rsidRPr="00DD34FD">
        <w:rPr>
          <w:rFonts w:eastAsia="Times New Roman" w:cs="Arial"/>
          <w:color w:val="000000"/>
          <w:szCs w:val="20"/>
          <w:lang w:val="en-US"/>
        </w:rPr>
        <w:t>mg</w:t>
      </w:r>
      <w:r w:rsidRPr="00DD34FD">
        <w:rPr>
          <w:rFonts w:eastAsia="Times New Roman" w:cs="Arial"/>
          <w:color w:val="000000"/>
          <w:szCs w:val="20"/>
          <w:lang w:val="ru-RU"/>
        </w:rPr>
        <w:t xml:space="preserve"> </w:t>
      </w:r>
      <w:r w:rsidRPr="00DD34FD">
        <w:rPr>
          <w:rFonts w:eastAsia="Times New Roman" w:cs="Arial"/>
          <w:color w:val="000000"/>
          <w:szCs w:val="20"/>
          <w:lang w:eastAsia="bg-BG"/>
        </w:rPr>
        <w:t>лактоза монохидрат.</w:t>
      </w:r>
    </w:p>
    <w:p w14:paraId="614984C4" w14:textId="79C832B5" w:rsidR="008A6AF2" w:rsidRDefault="00DD466D" w:rsidP="002C50EE">
      <w:pPr>
        <w:pStyle w:val="Heading1"/>
      </w:pPr>
      <w:r>
        <w:t>3. ЛЕКАРСТВЕНА ФОРМА</w:t>
      </w:r>
    </w:p>
    <w:p w14:paraId="104E55F3" w14:textId="2843F90F" w:rsidR="00DD34FD" w:rsidRDefault="00DD34FD" w:rsidP="00DD34FD"/>
    <w:p w14:paraId="735FED83"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Филмирани таблетки.</w:t>
      </w:r>
    </w:p>
    <w:p w14:paraId="7572B77E" w14:textId="77777777" w:rsidR="00DD34FD" w:rsidRPr="00DD34FD" w:rsidRDefault="00DD34FD" w:rsidP="00DD34FD">
      <w:pPr>
        <w:spacing w:line="240" w:lineRule="auto"/>
        <w:rPr>
          <w:rFonts w:eastAsia="Times New Roman" w:cs="Arial"/>
          <w:i/>
          <w:iCs/>
          <w:color w:val="000000"/>
          <w:szCs w:val="20"/>
          <w:u w:val="single"/>
          <w:lang w:eastAsia="bg-BG"/>
        </w:rPr>
      </w:pPr>
    </w:p>
    <w:p w14:paraId="4227B1F3" w14:textId="247346E0" w:rsidR="00DD34FD" w:rsidRPr="00DD34FD" w:rsidRDefault="00DD34FD" w:rsidP="00DD34FD">
      <w:pPr>
        <w:spacing w:line="240" w:lineRule="auto"/>
        <w:rPr>
          <w:rFonts w:eastAsia="Times New Roman" w:cs="Arial"/>
          <w:sz w:val="28"/>
          <w:szCs w:val="24"/>
        </w:rPr>
      </w:pPr>
      <w:r w:rsidRPr="00DD34FD">
        <w:rPr>
          <w:rFonts w:eastAsia="Times New Roman" w:cs="Arial"/>
          <w:i/>
          <w:iCs/>
          <w:color w:val="000000"/>
          <w:szCs w:val="20"/>
          <w:u w:val="single"/>
          <w:lang w:eastAsia="bg-BG"/>
        </w:rPr>
        <w:t xml:space="preserve">Арета 10 </w:t>
      </w:r>
      <w:r w:rsidRPr="00DD34FD">
        <w:rPr>
          <w:rFonts w:eastAsia="Times New Roman" w:cs="Arial"/>
          <w:i/>
          <w:iCs/>
          <w:color w:val="000000"/>
          <w:szCs w:val="20"/>
          <w:u w:val="single"/>
          <w:lang w:val="en-US"/>
        </w:rPr>
        <w:t>mg</w:t>
      </w:r>
      <w:r w:rsidRPr="00DD34FD">
        <w:rPr>
          <w:rFonts w:eastAsia="Times New Roman" w:cs="Arial"/>
          <w:i/>
          <w:iCs/>
          <w:color w:val="000000"/>
          <w:szCs w:val="20"/>
          <w:u w:val="single"/>
          <w:lang w:val="ru-RU"/>
        </w:rPr>
        <w:t xml:space="preserve"> </w:t>
      </w:r>
      <w:r w:rsidRPr="00DD34FD">
        <w:rPr>
          <w:rFonts w:eastAsia="Times New Roman" w:cs="Arial"/>
          <w:i/>
          <w:iCs/>
          <w:color w:val="000000"/>
          <w:szCs w:val="20"/>
          <w:u w:val="single"/>
          <w:lang w:eastAsia="bg-BG"/>
        </w:rPr>
        <w:t>филмирани таблетки</w:t>
      </w:r>
    </w:p>
    <w:p w14:paraId="07E29EC2"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Жълти, кръгли,биконвексни, филмирани таблетки с делителна черта.</w:t>
      </w:r>
    </w:p>
    <w:p w14:paraId="1BF12609"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Делителната черта е само за улесняване на счупването, за по-лесно поглъщане, а не за да разделя на равни дози.</w:t>
      </w:r>
    </w:p>
    <w:p w14:paraId="54323049" w14:textId="77777777" w:rsidR="00DD34FD" w:rsidRPr="00DD34FD" w:rsidRDefault="00DD34FD" w:rsidP="00DD34FD">
      <w:pPr>
        <w:spacing w:line="240" w:lineRule="auto"/>
        <w:rPr>
          <w:rFonts w:eastAsia="Times New Roman" w:cs="Arial"/>
          <w:i/>
          <w:iCs/>
          <w:color w:val="000000"/>
          <w:szCs w:val="20"/>
          <w:u w:val="single"/>
          <w:lang w:eastAsia="bg-BG"/>
        </w:rPr>
      </w:pPr>
    </w:p>
    <w:p w14:paraId="0D4CEB88" w14:textId="45C5E6C0" w:rsidR="00DD34FD" w:rsidRPr="00DD34FD" w:rsidRDefault="00DD34FD" w:rsidP="00DD34FD">
      <w:pPr>
        <w:spacing w:line="240" w:lineRule="auto"/>
        <w:rPr>
          <w:rFonts w:eastAsia="Times New Roman" w:cs="Arial"/>
          <w:sz w:val="28"/>
          <w:szCs w:val="24"/>
        </w:rPr>
      </w:pPr>
      <w:r w:rsidRPr="00DD34FD">
        <w:rPr>
          <w:rFonts w:eastAsia="Times New Roman" w:cs="Arial"/>
          <w:i/>
          <w:iCs/>
          <w:color w:val="000000"/>
          <w:szCs w:val="20"/>
          <w:u w:val="single"/>
          <w:lang w:eastAsia="bg-BG"/>
        </w:rPr>
        <w:t xml:space="preserve">Арета 20 </w:t>
      </w:r>
      <w:r w:rsidRPr="00DD34FD">
        <w:rPr>
          <w:rFonts w:eastAsia="Times New Roman" w:cs="Arial"/>
          <w:i/>
          <w:iCs/>
          <w:color w:val="000000"/>
          <w:szCs w:val="20"/>
          <w:u w:val="single"/>
          <w:lang w:val="en-US"/>
        </w:rPr>
        <w:t>mg</w:t>
      </w:r>
      <w:r w:rsidRPr="00DD34FD">
        <w:rPr>
          <w:rFonts w:eastAsia="Times New Roman" w:cs="Arial"/>
          <w:i/>
          <w:iCs/>
          <w:color w:val="000000"/>
          <w:szCs w:val="20"/>
          <w:u w:val="single"/>
          <w:lang w:val="ru-RU"/>
        </w:rPr>
        <w:t xml:space="preserve"> </w:t>
      </w:r>
      <w:r w:rsidRPr="00DD34FD">
        <w:rPr>
          <w:rFonts w:eastAsia="Times New Roman" w:cs="Arial"/>
          <w:i/>
          <w:iCs/>
          <w:color w:val="000000"/>
          <w:szCs w:val="20"/>
          <w:u w:val="single"/>
          <w:lang w:eastAsia="bg-BG"/>
        </w:rPr>
        <w:t>филмирани таблетки</w:t>
      </w:r>
    </w:p>
    <w:p w14:paraId="5AF48617"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Розови, кръгли, биконвексни филмирани таблетки с делителна черта.</w:t>
      </w:r>
    </w:p>
    <w:p w14:paraId="71C8F758"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Таблетките може да бъдат разделени на</w:t>
      </w:r>
      <w:r w:rsidRPr="00DD34FD">
        <w:rPr>
          <w:rFonts w:eastAsia="Times New Roman" w:cs="Arial"/>
          <w:color w:val="000000"/>
          <w:szCs w:val="20"/>
          <w:lang w:val="ru-RU"/>
        </w:rPr>
        <w:t xml:space="preserve"> </w:t>
      </w:r>
      <w:r w:rsidRPr="00DD34FD">
        <w:rPr>
          <w:rFonts w:eastAsia="Times New Roman" w:cs="Arial"/>
          <w:color w:val="000000"/>
          <w:szCs w:val="20"/>
          <w:lang w:eastAsia="bg-BG"/>
        </w:rPr>
        <w:t>две равни половини.</w:t>
      </w:r>
    </w:p>
    <w:p w14:paraId="52B68D9D" w14:textId="77777777" w:rsidR="00DD34FD" w:rsidRPr="00DD34FD" w:rsidRDefault="00DD34FD" w:rsidP="00DD34FD"/>
    <w:p w14:paraId="490FC2C4" w14:textId="0F4A4A75" w:rsidR="002C50EE" w:rsidRDefault="002C50EE" w:rsidP="002C50EE">
      <w:pPr>
        <w:pStyle w:val="Heading1"/>
      </w:pPr>
      <w:r>
        <w:t>4. КЛИНИЧНИ ДАННИ</w:t>
      </w:r>
    </w:p>
    <w:p w14:paraId="74330405" w14:textId="2B4E766E" w:rsidR="007122AD" w:rsidRDefault="002C50EE" w:rsidP="00936AD0">
      <w:pPr>
        <w:pStyle w:val="Heading2"/>
      </w:pPr>
      <w:r>
        <w:t>4.1. Терапевтични показания</w:t>
      </w:r>
    </w:p>
    <w:p w14:paraId="7C22318C" w14:textId="46D3D506" w:rsidR="00DD34FD" w:rsidRDefault="00DD34FD" w:rsidP="00DD34FD"/>
    <w:p w14:paraId="47A0291C" w14:textId="4C00E7A7" w:rsidR="00DD34FD" w:rsidRDefault="00DD34FD" w:rsidP="00DD34FD">
      <w:pPr>
        <w:rPr>
          <w:lang w:eastAsia="bg-BG"/>
        </w:rPr>
      </w:pPr>
      <w:r w:rsidRPr="00DD34FD">
        <w:rPr>
          <w:lang w:eastAsia="bg-BG"/>
        </w:rPr>
        <w:t>Арета е показан за лечение на лека до умерена есенциална хипертония.</w:t>
      </w:r>
    </w:p>
    <w:p w14:paraId="59C3CAE8" w14:textId="77777777" w:rsidR="00DD34FD" w:rsidRPr="00DD34FD" w:rsidRDefault="00DD34FD" w:rsidP="00DD34FD">
      <w:pPr>
        <w:rPr>
          <w:sz w:val="24"/>
          <w:szCs w:val="24"/>
        </w:rPr>
      </w:pPr>
    </w:p>
    <w:p w14:paraId="53F5B866" w14:textId="474C0CEF" w:rsidR="007122AD" w:rsidRDefault="002C50EE" w:rsidP="00936AD0">
      <w:pPr>
        <w:pStyle w:val="Heading2"/>
      </w:pPr>
      <w:r>
        <w:lastRenderedPageBreak/>
        <w:t>4.2. Дозировка и начин на приложение</w:t>
      </w:r>
    </w:p>
    <w:p w14:paraId="4B9900D2" w14:textId="47C14384" w:rsidR="00DD34FD" w:rsidRDefault="00DD34FD" w:rsidP="00DD34FD"/>
    <w:p w14:paraId="5F6DE4ED" w14:textId="77777777" w:rsidR="00DD34FD" w:rsidRPr="00DD34FD" w:rsidRDefault="00DD34FD" w:rsidP="00DD34FD">
      <w:pPr>
        <w:pStyle w:val="Heading3"/>
        <w:rPr>
          <w:rFonts w:eastAsia="Times New Roman"/>
          <w:sz w:val="28"/>
          <w:u w:val="single"/>
        </w:rPr>
      </w:pPr>
      <w:r w:rsidRPr="00DD34FD">
        <w:rPr>
          <w:rFonts w:eastAsia="Times New Roman"/>
          <w:u w:val="single"/>
          <w:lang w:eastAsia="bg-BG"/>
        </w:rPr>
        <w:t>Начин на приложение:</w:t>
      </w:r>
    </w:p>
    <w:p w14:paraId="15F45348"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Перорално приложение.</w:t>
      </w:r>
    </w:p>
    <w:p w14:paraId="5C4806E1" w14:textId="592BBC4F" w:rsidR="00DD34FD" w:rsidRPr="00DD34FD" w:rsidRDefault="00DD34FD" w:rsidP="00DD34FD">
      <w:pPr>
        <w:rPr>
          <w:rFonts w:cs="Arial"/>
          <w:sz w:val="24"/>
        </w:rPr>
      </w:pPr>
    </w:p>
    <w:p w14:paraId="7789702E"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Таблетките трябва да се поглъщат с достатъчно количество течност (например чаша вода). Препоръчителната доза е 10 </w:t>
      </w:r>
      <w:r w:rsidRPr="00DD34FD">
        <w:rPr>
          <w:rFonts w:eastAsia="Times New Roman" w:cs="Arial"/>
          <w:color w:val="000000"/>
          <w:szCs w:val="20"/>
          <w:lang w:val="en-US"/>
        </w:rPr>
        <w:t>mg</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перорално един път дневно, поне 15 минути преди хранене (за предпочитане преди закуска). В зависимост от индивидуалния отговор на пациента, дозата може да се увеличи до 20 </w:t>
      </w:r>
      <w:r w:rsidRPr="00DD34FD">
        <w:rPr>
          <w:rFonts w:eastAsia="Times New Roman" w:cs="Arial"/>
          <w:color w:val="000000"/>
          <w:szCs w:val="20"/>
          <w:lang w:val="en-US"/>
        </w:rPr>
        <w:t>mg</w:t>
      </w:r>
      <w:r w:rsidRPr="00DD34FD">
        <w:rPr>
          <w:rFonts w:eastAsia="Times New Roman" w:cs="Arial"/>
          <w:color w:val="000000"/>
          <w:szCs w:val="20"/>
          <w:lang w:val="ru-RU"/>
        </w:rPr>
        <w:t>.</w:t>
      </w:r>
    </w:p>
    <w:p w14:paraId="428751C4" w14:textId="77777777" w:rsidR="00DD34FD" w:rsidRPr="00DD34FD" w:rsidRDefault="00DD34FD" w:rsidP="00DD34FD">
      <w:pPr>
        <w:spacing w:line="240" w:lineRule="auto"/>
        <w:rPr>
          <w:rFonts w:eastAsia="Times New Roman" w:cs="Arial"/>
          <w:color w:val="000000"/>
          <w:szCs w:val="20"/>
          <w:u w:val="single"/>
          <w:lang w:eastAsia="bg-BG"/>
        </w:rPr>
      </w:pPr>
    </w:p>
    <w:p w14:paraId="6EA193A3" w14:textId="2518C69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u w:val="single"/>
          <w:lang w:eastAsia="bg-BG"/>
        </w:rPr>
        <w:t xml:space="preserve">Лерканидипин СТАДА 20 </w:t>
      </w:r>
      <w:r w:rsidRPr="00DD34FD">
        <w:rPr>
          <w:rFonts w:eastAsia="Times New Roman" w:cs="Arial"/>
          <w:color w:val="000000"/>
          <w:szCs w:val="20"/>
          <w:u w:val="single"/>
          <w:lang w:val="en-US"/>
        </w:rPr>
        <w:t>mg</w:t>
      </w:r>
      <w:r w:rsidRPr="00DD34FD">
        <w:rPr>
          <w:rFonts w:eastAsia="Times New Roman" w:cs="Arial"/>
          <w:color w:val="000000"/>
          <w:szCs w:val="20"/>
          <w:u w:val="single"/>
          <w:lang w:val="ru-RU"/>
        </w:rPr>
        <w:t xml:space="preserve"> </w:t>
      </w:r>
      <w:r w:rsidRPr="00DD34FD">
        <w:rPr>
          <w:rFonts w:eastAsia="Times New Roman" w:cs="Arial"/>
          <w:color w:val="000000"/>
          <w:szCs w:val="20"/>
          <w:u w:val="single"/>
          <w:lang w:eastAsia="bg-BG"/>
        </w:rPr>
        <w:t>филмирани таблетки</w:t>
      </w:r>
    </w:p>
    <w:p w14:paraId="47A9C907"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Таблетките могат да бъдат разделени на две равни половини. Останалата половина на таблетката трябва да се съхранява на защитено от светлина място, Тази оставаща половина трябва да бъде приета със следваща доза.</w:t>
      </w:r>
    </w:p>
    <w:p w14:paraId="5791F246"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Дозата трябва да се титрира постепенно, защото за да се прояви максималният антихипертензивен ефект може да са необходими около 2 седмици.</w:t>
      </w:r>
    </w:p>
    <w:p w14:paraId="15085461"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Някои пациенти с незадоволителен контрол от един антихипертензивен лекарствен продукт, може да се повлияят благоприятно при прибавянето на Арета към лечението с бета-блокер (атенолол), диуретик (хидрохлоротиазид) или инхибитор на ангиотензин-конвертиращия ензим (каптоприл или еналаприл).</w:t>
      </w:r>
    </w:p>
    <w:p w14:paraId="7B99C4C2"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Тъй като кривата доза-отговор е стръмна с плато при дози между 20-30 </w:t>
      </w:r>
      <w:r w:rsidRPr="00DD34FD">
        <w:rPr>
          <w:rFonts w:eastAsia="Times New Roman" w:cs="Arial"/>
          <w:color w:val="000000"/>
          <w:szCs w:val="20"/>
          <w:lang w:val="en-US"/>
        </w:rPr>
        <w:t>mg</w:t>
      </w:r>
      <w:r w:rsidRPr="00DD34FD">
        <w:rPr>
          <w:rFonts w:eastAsia="Times New Roman" w:cs="Arial"/>
          <w:color w:val="000000"/>
          <w:szCs w:val="20"/>
          <w:lang w:val="ru-RU"/>
        </w:rPr>
        <w:t xml:space="preserve">, </w:t>
      </w:r>
      <w:r w:rsidRPr="00DD34FD">
        <w:rPr>
          <w:rFonts w:eastAsia="Times New Roman" w:cs="Arial"/>
          <w:color w:val="000000"/>
          <w:szCs w:val="20"/>
          <w:lang w:eastAsia="bg-BG"/>
        </w:rPr>
        <w:t>не се очаква по-добра ефективност при по-високи дози, но нежеланите ефекти могат да се увеличат.</w:t>
      </w:r>
    </w:p>
    <w:p w14:paraId="51149817" w14:textId="77777777" w:rsidR="00DD34FD" w:rsidRPr="00DD34FD" w:rsidRDefault="00DD34FD" w:rsidP="00DD34FD">
      <w:pPr>
        <w:spacing w:line="240" w:lineRule="auto"/>
        <w:rPr>
          <w:rFonts w:eastAsia="Times New Roman" w:cs="Arial"/>
          <w:color w:val="000000"/>
          <w:szCs w:val="20"/>
          <w:u w:val="single"/>
          <w:lang w:eastAsia="bg-BG"/>
        </w:rPr>
      </w:pPr>
    </w:p>
    <w:p w14:paraId="551E372B" w14:textId="5C58ADE9"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u w:val="single"/>
          <w:lang w:eastAsia="bg-BG"/>
        </w:rPr>
        <w:t>Приложение в старческа възраст</w:t>
      </w:r>
    </w:p>
    <w:p w14:paraId="03374DA8"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Въпреки че според фармакокинетичните данни и клиничния опит не се налага коригиране на дозата, при започване на лечението при пациенти в напреднала възраст е необходимо особено внимание.</w:t>
      </w:r>
    </w:p>
    <w:p w14:paraId="1EFEF71C" w14:textId="77777777" w:rsidR="00DD34FD" w:rsidRPr="00DD34FD" w:rsidRDefault="00DD34FD" w:rsidP="00DD34FD">
      <w:pPr>
        <w:spacing w:line="240" w:lineRule="auto"/>
        <w:rPr>
          <w:rFonts w:eastAsia="Times New Roman" w:cs="Arial"/>
          <w:color w:val="000000"/>
          <w:szCs w:val="20"/>
          <w:u w:val="single"/>
          <w:lang w:eastAsia="bg-BG"/>
        </w:rPr>
      </w:pPr>
    </w:p>
    <w:p w14:paraId="7BAAE21F" w14:textId="1E1B7908"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u w:val="single"/>
          <w:lang w:eastAsia="bg-BG"/>
        </w:rPr>
        <w:t>Приложение при деца</w:t>
      </w:r>
    </w:p>
    <w:p w14:paraId="65B1B307"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Арета не се препоръчва за приложение при деца под 18 годишна възраст, поради недостатъчни данни за безопасност и ефикасност.</w:t>
      </w:r>
    </w:p>
    <w:p w14:paraId="4DC9325D" w14:textId="77777777" w:rsidR="00DD34FD" w:rsidRPr="00DD34FD" w:rsidRDefault="00DD34FD" w:rsidP="00DD34FD">
      <w:pPr>
        <w:spacing w:line="240" w:lineRule="auto"/>
        <w:rPr>
          <w:rFonts w:eastAsia="Times New Roman" w:cs="Arial"/>
          <w:color w:val="000000"/>
          <w:szCs w:val="20"/>
          <w:u w:val="single"/>
          <w:lang w:eastAsia="bg-BG"/>
        </w:rPr>
      </w:pPr>
    </w:p>
    <w:p w14:paraId="6D2DF65F" w14:textId="365AA06C"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u w:val="single"/>
          <w:lang w:eastAsia="bg-BG"/>
        </w:rPr>
        <w:t>Приложение при пациенти с нарушена бъбречна или чернодробна функция</w:t>
      </w:r>
    </w:p>
    <w:p w14:paraId="17518AC2"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Необходимо е особено внимание при започване на лечението при пациенти с леко до умерено нарушена бъбречна и чернодробна функция. Въпреки че обичайната препоръчителна доза може да се понася от тези пациенти, увеличението на дозата до 20 </w:t>
      </w:r>
      <w:r w:rsidRPr="00DD34FD">
        <w:rPr>
          <w:rFonts w:eastAsia="Times New Roman" w:cs="Arial"/>
          <w:color w:val="000000"/>
          <w:szCs w:val="20"/>
          <w:lang w:val="en-US"/>
        </w:rPr>
        <w:t>mg</w:t>
      </w:r>
      <w:r w:rsidRPr="00DD34FD">
        <w:rPr>
          <w:rFonts w:eastAsia="Times New Roman" w:cs="Arial"/>
          <w:color w:val="000000"/>
          <w:szCs w:val="20"/>
          <w:lang w:val="ru-RU"/>
        </w:rPr>
        <w:t xml:space="preserve"> </w:t>
      </w:r>
      <w:r w:rsidRPr="00DD34FD">
        <w:rPr>
          <w:rFonts w:eastAsia="Times New Roman" w:cs="Arial"/>
          <w:color w:val="000000"/>
          <w:szCs w:val="20"/>
          <w:lang w:eastAsia="bg-BG"/>
        </w:rPr>
        <w:t>дневно трябва да се осъществява внимателно. Антихипертензивният ефект може да се усили при пациенти с чернодробно увреждане и следователно е необходимо коригиране на дозата.</w:t>
      </w:r>
    </w:p>
    <w:p w14:paraId="7DE403A7" w14:textId="3F352B6E" w:rsidR="00DD34FD" w:rsidRDefault="00DD34FD" w:rsidP="00DD34FD">
      <w:pPr>
        <w:rPr>
          <w:rFonts w:eastAsia="Times New Roman" w:cs="Arial"/>
          <w:color w:val="000000"/>
          <w:szCs w:val="20"/>
          <w:lang w:val="ru-RU"/>
        </w:rPr>
      </w:pPr>
      <w:r w:rsidRPr="00DD34FD">
        <w:rPr>
          <w:rFonts w:eastAsia="Times New Roman" w:cs="Arial"/>
          <w:color w:val="000000"/>
          <w:szCs w:val="20"/>
          <w:lang w:eastAsia="bg-BG"/>
        </w:rPr>
        <w:t xml:space="preserve">Арета не се препоръчва за употреба при пациенти с тежко нарушена чернодробна функция или при пациенти с тежко бъбречно увреждане (скорост на гломерулна филтрация &lt;30 </w:t>
      </w:r>
      <w:r w:rsidRPr="00DD34FD">
        <w:rPr>
          <w:rFonts w:eastAsia="Times New Roman" w:cs="Arial"/>
          <w:color w:val="000000"/>
          <w:szCs w:val="20"/>
          <w:lang w:val="en-US"/>
        </w:rPr>
        <w:t>ml</w:t>
      </w:r>
      <w:r w:rsidRPr="00DD34FD">
        <w:rPr>
          <w:rFonts w:eastAsia="Times New Roman" w:cs="Arial"/>
          <w:color w:val="000000"/>
          <w:szCs w:val="20"/>
          <w:lang w:val="ru-RU"/>
        </w:rPr>
        <w:t>/</w:t>
      </w:r>
      <w:r w:rsidRPr="00DD34FD">
        <w:rPr>
          <w:rFonts w:eastAsia="Times New Roman" w:cs="Arial"/>
          <w:color w:val="000000"/>
          <w:szCs w:val="20"/>
          <w:lang w:val="en-US"/>
        </w:rPr>
        <w:t>min</w:t>
      </w:r>
      <w:r w:rsidRPr="00DD34FD">
        <w:rPr>
          <w:rFonts w:eastAsia="Times New Roman" w:cs="Arial"/>
          <w:color w:val="000000"/>
          <w:szCs w:val="20"/>
          <w:lang w:val="ru-RU"/>
        </w:rPr>
        <w:t>).</w:t>
      </w:r>
    </w:p>
    <w:p w14:paraId="75CFF04D" w14:textId="77777777" w:rsidR="00DD34FD" w:rsidRPr="00DD34FD" w:rsidRDefault="00DD34FD" w:rsidP="00DD34FD">
      <w:pPr>
        <w:rPr>
          <w:rFonts w:cs="Arial"/>
          <w:sz w:val="24"/>
          <w:lang w:val="ru-RU"/>
        </w:rPr>
      </w:pPr>
    </w:p>
    <w:p w14:paraId="0F253247" w14:textId="5AD1BA1D" w:rsidR="007122AD" w:rsidRDefault="002C50EE" w:rsidP="00936AD0">
      <w:pPr>
        <w:pStyle w:val="Heading2"/>
      </w:pPr>
      <w:r>
        <w:t>4.3. Противопоказания</w:t>
      </w:r>
    </w:p>
    <w:p w14:paraId="3ADDCDF7" w14:textId="6A3357FE" w:rsidR="00DD34FD" w:rsidRDefault="00DD34FD" w:rsidP="00DD34FD"/>
    <w:p w14:paraId="6F4DAFDB" w14:textId="77777777" w:rsidR="00DD34FD" w:rsidRPr="00DD34FD" w:rsidRDefault="00DD34FD" w:rsidP="00DD34FD">
      <w:pPr>
        <w:pStyle w:val="ListParagraph"/>
        <w:numPr>
          <w:ilvl w:val="0"/>
          <w:numId w:val="39"/>
        </w:numPr>
        <w:spacing w:line="240" w:lineRule="auto"/>
        <w:rPr>
          <w:rFonts w:eastAsia="Times New Roman" w:cs="Arial"/>
          <w:color w:val="000000"/>
          <w:szCs w:val="20"/>
          <w:lang w:eastAsia="bg-BG"/>
        </w:rPr>
      </w:pPr>
      <w:r w:rsidRPr="00DD34FD">
        <w:rPr>
          <w:rFonts w:eastAsia="Times New Roman" w:cs="Arial"/>
          <w:color w:val="000000"/>
          <w:szCs w:val="20"/>
          <w:lang w:eastAsia="bg-BG"/>
        </w:rPr>
        <w:t>Свръхчувствителност към активното вещество, към някои дихидропиридини, или към някое от помощните вещества;</w:t>
      </w:r>
    </w:p>
    <w:p w14:paraId="2FD6177D" w14:textId="77777777" w:rsidR="00DD34FD" w:rsidRPr="00DD34FD" w:rsidRDefault="00DD34FD" w:rsidP="00DD34FD">
      <w:pPr>
        <w:pStyle w:val="ListParagraph"/>
        <w:numPr>
          <w:ilvl w:val="0"/>
          <w:numId w:val="39"/>
        </w:numPr>
        <w:spacing w:line="240" w:lineRule="auto"/>
        <w:rPr>
          <w:rFonts w:eastAsia="Times New Roman" w:cs="Arial"/>
          <w:color w:val="000000"/>
          <w:szCs w:val="20"/>
          <w:lang w:eastAsia="bg-BG"/>
        </w:rPr>
      </w:pPr>
      <w:r w:rsidRPr="00DD34FD">
        <w:rPr>
          <w:rFonts w:eastAsia="Times New Roman" w:cs="Arial"/>
          <w:color w:val="000000"/>
          <w:szCs w:val="20"/>
          <w:lang w:eastAsia="bg-BG"/>
        </w:rPr>
        <w:t>Бременност и кърмене (виж точка 4.6);</w:t>
      </w:r>
    </w:p>
    <w:p w14:paraId="519F7503" w14:textId="77777777" w:rsidR="00DD34FD" w:rsidRPr="00DD34FD" w:rsidRDefault="00DD34FD" w:rsidP="00DD34FD">
      <w:pPr>
        <w:pStyle w:val="ListParagraph"/>
        <w:numPr>
          <w:ilvl w:val="0"/>
          <w:numId w:val="39"/>
        </w:numPr>
        <w:spacing w:line="240" w:lineRule="auto"/>
        <w:rPr>
          <w:rFonts w:eastAsia="Times New Roman" w:cs="Arial"/>
          <w:color w:val="000000"/>
          <w:szCs w:val="20"/>
          <w:lang w:eastAsia="bg-BG"/>
        </w:rPr>
      </w:pPr>
      <w:r w:rsidRPr="00DD34FD">
        <w:rPr>
          <w:rFonts w:eastAsia="Times New Roman" w:cs="Arial"/>
          <w:color w:val="000000"/>
          <w:szCs w:val="20"/>
          <w:lang w:eastAsia="bg-BG"/>
        </w:rPr>
        <w:t>Жени в детеродна възраст, освен ако не се използва ефективна контрацепция;</w:t>
      </w:r>
    </w:p>
    <w:p w14:paraId="0C57B04D" w14:textId="77777777" w:rsidR="00DD34FD" w:rsidRPr="00DD34FD" w:rsidRDefault="00DD34FD" w:rsidP="00DD34FD">
      <w:pPr>
        <w:pStyle w:val="ListParagraph"/>
        <w:numPr>
          <w:ilvl w:val="0"/>
          <w:numId w:val="39"/>
        </w:numPr>
        <w:spacing w:line="240" w:lineRule="auto"/>
        <w:rPr>
          <w:rFonts w:eastAsia="Times New Roman" w:cs="Arial"/>
          <w:color w:val="000000"/>
          <w:szCs w:val="20"/>
          <w:lang w:eastAsia="bg-BG"/>
        </w:rPr>
      </w:pPr>
      <w:r w:rsidRPr="00DD34FD">
        <w:rPr>
          <w:rFonts w:eastAsia="Times New Roman" w:cs="Arial"/>
          <w:color w:val="000000"/>
          <w:szCs w:val="20"/>
          <w:lang w:eastAsia="bg-BG"/>
        </w:rPr>
        <w:lastRenderedPageBreak/>
        <w:t>Обструкция на изхода на лявата камера;</w:t>
      </w:r>
    </w:p>
    <w:p w14:paraId="7B409E26" w14:textId="77777777" w:rsidR="00DD34FD" w:rsidRPr="00DD34FD" w:rsidRDefault="00DD34FD" w:rsidP="00DD34FD">
      <w:pPr>
        <w:pStyle w:val="ListParagraph"/>
        <w:numPr>
          <w:ilvl w:val="0"/>
          <w:numId w:val="39"/>
        </w:numPr>
        <w:spacing w:line="240" w:lineRule="auto"/>
        <w:rPr>
          <w:rFonts w:eastAsia="Times New Roman" w:cs="Arial"/>
          <w:color w:val="000000"/>
          <w:szCs w:val="20"/>
          <w:lang w:eastAsia="bg-BG"/>
        </w:rPr>
      </w:pPr>
      <w:r w:rsidRPr="00DD34FD">
        <w:rPr>
          <w:rFonts w:eastAsia="Times New Roman" w:cs="Arial"/>
          <w:color w:val="000000"/>
          <w:szCs w:val="20"/>
          <w:lang w:eastAsia="bg-BG"/>
        </w:rPr>
        <w:t>Нелекувана застойна сърдечна недостатъчност;</w:t>
      </w:r>
    </w:p>
    <w:p w14:paraId="6FAB35D7" w14:textId="77777777" w:rsidR="00DD34FD" w:rsidRPr="00DD34FD" w:rsidRDefault="00DD34FD" w:rsidP="00DD34FD">
      <w:pPr>
        <w:pStyle w:val="ListParagraph"/>
        <w:numPr>
          <w:ilvl w:val="0"/>
          <w:numId w:val="39"/>
        </w:numPr>
        <w:spacing w:line="240" w:lineRule="auto"/>
        <w:rPr>
          <w:rFonts w:eastAsia="Times New Roman" w:cs="Arial"/>
          <w:color w:val="000000"/>
          <w:szCs w:val="20"/>
          <w:lang w:eastAsia="bg-BG"/>
        </w:rPr>
      </w:pPr>
      <w:r w:rsidRPr="00DD34FD">
        <w:rPr>
          <w:rFonts w:eastAsia="Times New Roman" w:cs="Arial"/>
          <w:color w:val="000000"/>
          <w:szCs w:val="20"/>
          <w:lang w:eastAsia="bg-BG"/>
        </w:rPr>
        <w:t>Нестабилна ангина пекторис;</w:t>
      </w:r>
    </w:p>
    <w:p w14:paraId="07CF0C95" w14:textId="77777777" w:rsidR="00DD34FD" w:rsidRPr="00DD34FD" w:rsidRDefault="00DD34FD" w:rsidP="00DD34FD">
      <w:pPr>
        <w:pStyle w:val="ListParagraph"/>
        <w:numPr>
          <w:ilvl w:val="0"/>
          <w:numId w:val="39"/>
        </w:numPr>
        <w:spacing w:line="240" w:lineRule="auto"/>
        <w:rPr>
          <w:rFonts w:eastAsia="Times New Roman" w:cs="Arial"/>
          <w:color w:val="000000"/>
          <w:szCs w:val="20"/>
          <w:lang w:eastAsia="bg-BG"/>
        </w:rPr>
      </w:pPr>
      <w:r w:rsidRPr="00DD34FD">
        <w:rPr>
          <w:rFonts w:eastAsia="Times New Roman" w:cs="Arial"/>
          <w:color w:val="000000"/>
          <w:szCs w:val="20"/>
          <w:lang w:eastAsia="bg-BG"/>
        </w:rPr>
        <w:t>Тежко бъбречно или чернодробно увреждане;</w:t>
      </w:r>
    </w:p>
    <w:p w14:paraId="4C656D72" w14:textId="77777777" w:rsidR="00DD34FD" w:rsidRPr="00DD34FD" w:rsidRDefault="00DD34FD" w:rsidP="00DD34FD">
      <w:pPr>
        <w:pStyle w:val="ListParagraph"/>
        <w:numPr>
          <w:ilvl w:val="0"/>
          <w:numId w:val="39"/>
        </w:numPr>
        <w:spacing w:line="240" w:lineRule="auto"/>
        <w:rPr>
          <w:rFonts w:eastAsia="Times New Roman" w:cs="Arial"/>
          <w:color w:val="000000"/>
          <w:szCs w:val="20"/>
          <w:lang w:eastAsia="bg-BG"/>
        </w:rPr>
      </w:pPr>
      <w:r w:rsidRPr="00DD34FD">
        <w:rPr>
          <w:rFonts w:eastAsia="Times New Roman" w:cs="Arial"/>
          <w:color w:val="000000"/>
          <w:szCs w:val="20"/>
          <w:lang w:eastAsia="bg-BG"/>
        </w:rPr>
        <w:t>До един месец след миокарден инфаркт;</w:t>
      </w:r>
    </w:p>
    <w:p w14:paraId="17BCA994" w14:textId="77777777" w:rsidR="00DD34FD" w:rsidRPr="00DD34FD" w:rsidRDefault="00DD34FD" w:rsidP="00DD34FD">
      <w:pPr>
        <w:pStyle w:val="ListParagraph"/>
        <w:numPr>
          <w:ilvl w:val="0"/>
          <w:numId w:val="39"/>
        </w:numPr>
        <w:spacing w:line="240" w:lineRule="auto"/>
        <w:rPr>
          <w:rFonts w:eastAsia="Times New Roman" w:cs="Arial"/>
          <w:color w:val="000000"/>
          <w:szCs w:val="20"/>
          <w:lang w:eastAsia="bg-BG"/>
        </w:rPr>
      </w:pPr>
      <w:r w:rsidRPr="00DD34FD">
        <w:rPr>
          <w:rFonts w:eastAsia="Times New Roman" w:cs="Arial"/>
          <w:color w:val="000000"/>
          <w:szCs w:val="20"/>
          <w:lang w:eastAsia="bg-BG"/>
        </w:rPr>
        <w:t>При едновременно приложение на:</w:t>
      </w:r>
    </w:p>
    <w:p w14:paraId="7A0957D1" w14:textId="77777777" w:rsidR="00DD34FD" w:rsidRPr="00DD34FD" w:rsidRDefault="00DD34FD" w:rsidP="00DD34FD">
      <w:pPr>
        <w:pStyle w:val="ListParagraph"/>
        <w:numPr>
          <w:ilvl w:val="0"/>
          <w:numId w:val="40"/>
        </w:numPr>
        <w:spacing w:line="240" w:lineRule="auto"/>
        <w:rPr>
          <w:rFonts w:eastAsia="Times New Roman" w:cs="Arial"/>
          <w:color w:val="000000"/>
          <w:szCs w:val="20"/>
          <w:lang w:eastAsia="bg-BG"/>
        </w:rPr>
      </w:pPr>
      <w:r w:rsidRPr="00DD34FD">
        <w:rPr>
          <w:rFonts w:eastAsia="Times New Roman" w:cs="Arial"/>
          <w:color w:val="000000"/>
          <w:szCs w:val="20"/>
          <w:lang w:eastAsia="bg-BG"/>
        </w:rPr>
        <w:t xml:space="preserve">Силни инхибитори на </w:t>
      </w:r>
      <w:r w:rsidRPr="00DD34FD">
        <w:rPr>
          <w:rFonts w:eastAsia="Times New Roman" w:cs="Arial"/>
          <w:color w:val="000000"/>
          <w:szCs w:val="20"/>
          <w:lang w:val="en-US"/>
        </w:rPr>
        <w:t>CYP</w:t>
      </w:r>
      <w:r w:rsidRPr="00DD34FD">
        <w:rPr>
          <w:rFonts w:eastAsia="Times New Roman" w:cs="Arial"/>
          <w:color w:val="000000"/>
          <w:szCs w:val="20"/>
          <w:lang w:val="ru-RU"/>
        </w:rPr>
        <w:t xml:space="preserve"> </w:t>
      </w:r>
      <w:r w:rsidRPr="00DD34FD">
        <w:rPr>
          <w:rFonts w:eastAsia="Times New Roman" w:cs="Arial"/>
          <w:color w:val="000000"/>
          <w:szCs w:val="20"/>
          <w:lang w:eastAsia="bg-BG"/>
        </w:rPr>
        <w:t>ЗА4 (виж точка 4.5);</w:t>
      </w:r>
    </w:p>
    <w:p w14:paraId="01C9B976" w14:textId="77777777" w:rsidR="00DD34FD" w:rsidRPr="00DD34FD" w:rsidRDefault="00DD34FD" w:rsidP="00DD34FD">
      <w:pPr>
        <w:pStyle w:val="ListParagraph"/>
        <w:numPr>
          <w:ilvl w:val="0"/>
          <w:numId w:val="40"/>
        </w:numPr>
        <w:spacing w:line="240" w:lineRule="auto"/>
        <w:rPr>
          <w:rFonts w:eastAsia="Times New Roman" w:cs="Arial"/>
          <w:color w:val="000000"/>
          <w:szCs w:val="20"/>
          <w:lang w:eastAsia="bg-BG"/>
        </w:rPr>
      </w:pPr>
      <w:r w:rsidRPr="00DD34FD">
        <w:rPr>
          <w:rFonts w:eastAsia="Times New Roman" w:cs="Arial"/>
          <w:color w:val="000000"/>
          <w:szCs w:val="20"/>
          <w:lang w:eastAsia="bg-BG"/>
        </w:rPr>
        <w:t>Циклоспорин (виж точка 4.5);</w:t>
      </w:r>
    </w:p>
    <w:p w14:paraId="4835D38D" w14:textId="58D1C043" w:rsidR="00DD34FD" w:rsidRPr="00DD34FD" w:rsidRDefault="00DD34FD" w:rsidP="00DD34FD">
      <w:pPr>
        <w:pStyle w:val="ListParagraph"/>
        <w:numPr>
          <w:ilvl w:val="0"/>
          <w:numId w:val="40"/>
        </w:numPr>
        <w:spacing w:line="240" w:lineRule="auto"/>
        <w:rPr>
          <w:rFonts w:eastAsia="Times New Roman" w:cs="Arial"/>
          <w:color w:val="000000"/>
          <w:szCs w:val="20"/>
          <w:lang w:eastAsia="bg-BG"/>
        </w:rPr>
      </w:pPr>
      <w:r w:rsidRPr="00DD34FD">
        <w:rPr>
          <w:rFonts w:eastAsia="Times New Roman" w:cs="Arial"/>
          <w:color w:val="000000"/>
          <w:szCs w:val="20"/>
          <w:lang w:eastAsia="bg-BG"/>
        </w:rPr>
        <w:t>Сок от грейпфрут (виж точка 4.5).</w:t>
      </w:r>
    </w:p>
    <w:p w14:paraId="4EC38E41" w14:textId="77777777" w:rsidR="00DD34FD" w:rsidRPr="00DD34FD" w:rsidRDefault="00DD34FD" w:rsidP="00DD34FD"/>
    <w:p w14:paraId="0E0BDCC7" w14:textId="09F47117" w:rsidR="007122AD" w:rsidRDefault="002C50EE" w:rsidP="00936AD0">
      <w:pPr>
        <w:pStyle w:val="Heading2"/>
      </w:pPr>
      <w:r>
        <w:t>4.4. Специални предупреждения и предпазни мерки при употреба</w:t>
      </w:r>
    </w:p>
    <w:p w14:paraId="01A33F59" w14:textId="6EC1F173" w:rsidR="00DD34FD" w:rsidRDefault="00DD34FD" w:rsidP="00DD34FD"/>
    <w:p w14:paraId="3B80AC23"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Необходимо е особено внимание при приложението на Арета при пациенти със синдром на болния синусов възел (ако не е налице </w:t>
      </w:r>
      <w:r w:rsidRPr="00DD34FD">
        <w:rPr>
          <w:rFonts w:eastAsia="Times New Roman" w:cs="Arial"/>
          <w:color w:val="000000"/>
          <w:szCs w:val="20"/>
          <w:lang w:val="en-US"/>
        </w:rPr>
        <w:t>in</w:t>
      </w:r>
      <w:r w:rsidRPr="00DD34FD">
        <w:rPr>
          <w:rFonts w:eastAsia="Times New Roman" w:cs="Arial"/>
          <w:color w:val="000000"/>
          <w:szCs w:val="20"/>
          <w:lang w:val="ru-RU"/>
        </w:rPr>
        <w:t xml:space="preserve"> </w:t>
      </w:r>
      <w:r w:rsidRPr="00DD34FD">
        <w:rPr>
          <w:rFonts w:eastAsia="Times New Roman" w:cs="Arial"/>
          <w:color w:val="000000"/>
          <w:szCs w:val="20"/>
          <w:lang w:val="en-US"/>
        </w:rPr>
        <w:t>situ</w:t>
      </w:r>
      <w:r w:rsidRPr="00DD34FD">
        <w:rPr>
          <w:rFonts w:eastAsia="Times New Roman" w:cs="Arial"/>
          <w:color w:val="000000"/>
          <w:szCs w:val="20"/>
          <w:lang w:val="ru-RU"/>
        </w:rPr>
        <w:t xml:space="preserve"> </w:t>
      </w:r>
      <w:r w:rsidRPr="00DD34FD">
        <w:rPr>
          <w:rFonts w:eastAsia="Times New Roman" w:cs="Arial"/>
          <w:color w:val="000000"/>
          <w:szCs w:val="20"/>
          <w:lang w:eastAsia="bg-BG"/>
        </w:rPr>
        <w:t>пейсмейкър). Въпреки че хемодинамичните контролирани изпитвания не демонстрират нарушение на камерната функция, необходимо е внимание при пациенти с левокамерна дисфункция. Предполага се, че някои краткодействащи дихидропиридини могат да бъдат свързани с повишен сърдечно-съдов риск при пациенти с исхемична болест на сърцето. Въпреки че Арета е дългодействащ, при тези пациенти е необходимо внимание.</w:t>
      </w:r>
    </w:p>
    <w:p w14:paraId="52589899"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Някои дихидропиридини рядко могат да доведат до прекордиална болка или ангина пекторис. Много рядко при пациенти с предшестваща ангина пекторис може да се проявят увеличение на честотата, продължителността и тежестта на стенокардиите пристъпи. Могат да се наблюдават изолирани случаи на инфаркт на миокарда (вж. 4.8).</w:t>
      </w:r>
    </w:p>
    <w:p w14:paraId="50FA23A4" w14:textId="77777777" w:rsidR="00DD34FD" w:rsidRPr="00DD34FD" w:rsidRDefault="00DD34FD" w:rsidP="00DD34FD">
      <w:pPr>
        <w:spacing w:line="240" w:lineRule="auto"/>
        <w:rPr>
          <w:rFonts w:eastAsia="Times New Roman" w:cs="Arial"/>
          <w:i/>
          <w:iCs/>
          <w:color w:val="000000"/>
          <w:szCs w:val="20"/>
          <w:lang w:eastAsia="bg-BG"/>
        </w:rPr>
      </w:pPr>
    </w:p>
    <w:p w14:paraId="2BE31647" w14:textId="03BBA6C9" w:rsidR="00DD34FD" w:rsidRPr="00DD34FD" w:rsidRDefault="00DD34FD" w:rsidP="00DD34FD">
      <w:pPr>
        <w:spacing w:line="240" w:lineRule="auto"/>
        <w:rPr>
          <w:rFonts w:eastAsia="Times New Roman" w:cs="Arial"/>
          <w:sz w:val="28"/>
          <w:szCs w:val="24"/>
        </w:rPr>
      </w:pPr>
      <w:r w:rsidRPr="00DD34FD">
        <w:rPr>
          <w:rFonts w:eastAsia="Times New Roman" w:cs="Arial"/>
          <w:i/>
          <w:iCs/>
          <w:color w:val="000000"/>
          <w:szCs w:val="20"/>
          <w:lang w:eastAsia="bg-BG"/>
        </w:rPr>
        <w:t>Приложение при нарушена бъбречна или чернодробна функция</w:t>
      </w:r>
    </w:p>
    <w:p w14:paraId="41DA5C76"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Необходимо е особено внимание при започване на лечението при пациенти с леко до умерено нарушена бъбречна и чернодробна функция. Въпреки че обичайната препоръчителна доза може да се понася от тези пациенти, увеличението на дозата до 20 </w:t>
      </w:r>
      <w:r w:rsidRPr="00DD34FD">
        <w:rPr>
          <w:rFonts w:eastAsia="Times New Roman" w:cs="Arial"/>
          <w:color w:val="000000"/>
          <w:szCs w:val="20"/>
          <w:lang w:val="en-US"/>
        </w:rPr>
        <w:t>mg</w:t>
      </w:r>
      <w:r w:rsidRPr="00DD34FD">
        <w:rPr>
          <w:rFonts w:eastAsia="Times New Roman" w:cs="Arial"/>
          <w:color w:val="000000"/>
          <w:szCs w:val="20"/>
          <w:lang w:val="ru-RU"/>
        </w:rPr>
        <w:t xml:space="preserve"> </w:t>
      </w:r>
      <w:r w:rsidRPr="00DD34FD">
        <w:rPr>
          <w:rFonts w:eastAsia="Times New Roman" w:cs="Arial"/>
          <w:color w:val="000000"/>
          <w:szCs w:val="20"/>
          <w:lang w:eastAsia="bg-BG"/>
        </w:rPr>
        <w:t>дневно трябва да се осъществява внимателно. Антихипертензивният ефект може да се усили при пациенти с чернодробно увреждане и следователно е необходимо коригиране на дозата.</w:t>
      </w:r>
    </w:p>
    <w:p w14:paraId="7119FD52"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Арета не се препоръчва за употреба при пациенти с тежко нарушена чернодробна функция и при пациенти с тежко нарушена бъбречна функция </w:t>
      </w:r>
      <w:r w:rsidRPr="00DD34FD">
        <w:rPr>
          <w:rFonts w:eastAsia="Times New Roman" w:cs="Arial"/>
          <w:color w:val="000000"/>
          <w:szCs w:val="20"/>
          <w:lang w:val="ru-RU"/>
        </w:rPr>
        <w:t>(</w:t>
      </w:r>
      <w:r w:rsidRPr="00DD34FD">
        <w:rPr>
          <w:rFonts w:eastAsia="Times New Roman" w:cs="Arial"/>
          <w:color w:val="000000"/>
          <w:szCs w:val="20"/>
          <w:lang w:val="en-US"/>
        </w:rPr>
        <w:t>GFR</w:t>
      </w:r>
      <w:r w:rsidRPr="00DD34FD">
        <w:rPr>
          <w:rFonts w:eastAsia="Times New Roman" w:cs="Arial"/>
          <w:color w:val="000000"/>
          <w:szCs w:val="20"/>
          <w:lang w:val="ru-RU"/>
        </w:rPr>
        <w:t xml:space="preserve">&lt;30 </w:t>
      </w:r>
      <w:r w:rsidRPr="00DD34FD">
        <w:rPr>
          <w:rFonts w:eastAsia="Times New Roman" w:cs="Arial"/>
          <w:color w:val="000000"/>
          <w:szCs w:val="20"/>
          <w:lang w:val="en-US"/>
        </w:rPr>
        <w:t>ml</w:t>
      </w:r>
      <w:r w:rsidRPr="00DD34FD">
        <w:rPr>
          <w:rFonts w:eastAsia="Times New Roman" w:cs="Arial"/>
          <w:color w:val="000000"/>
          <w:szCs w:val="20"/>
          <w:lang w:val="ru-RU"/>
        </w:rPr>
        <w:t>/</w:t>
      </w:r>
      <w:r w:rsidRPr="00DD34FD">
        <w:rPr>
          <w:rFonts w:eastAsia="Times New Roman" w:cs="Arial"/>
          <w:color w:val="000000"/>
          <w:szCs w:val="20"/>
          <w:lang w:val="en-US"/>
        </w:rPr>
        <w:t>min</w:t>
      </w:r>
      <w:r w:rsidRPr="00DD34FD">
        <w:rPr>
          <w:rFonts w:eastAsia="Times New Roman" w:cs="Arial"/>
          <w:color w:val="000000"/>
          <w:szCs w:val="20"/>
          <w:lang w:val="ru-RU"/>
        </w:rPr>
        <w:t xml:space="preserve">) </w:t>
      </w:r>
      <w:r w:rsidRPr="00DD34FD">
        <w:rPr>
          <w:rFonts w:eastAsia="Times New Roman" w:cs="Arial"/>
          <w:color w:val="000000"/>
          <w:szCs w:val="20"/>
          <w:lang w:eastAsia="bg-BG"/>
        </w:rPr>
        <w:t>(вж. 4.2.)</w:t>
      </w:r>
    </w:p>
    <w:p w14:paraId="0D18268F"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Алкохолът трябва да се избягва, тъй като може да усили ефекта на вазодилатативните антихипертензивни лекарства (вж. 4.5).</w:t>
      </w:r>
    </w:p>
    <w:p w14:paraId="728BE17C"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Индукторите на </w:t>
      </w:r>
      <w:r w:rsidRPr="00DD34FD">
        <w:rPr>
          <w:rFonts w:eastAsia="Times New Roman" w:cs="Arial"/>
          <w:color w:val="000000"/>
          <w:szCs w:val="20"/>
          <w:lang w:val="en-US"/>
        </w:rPr>
        <w:t>CYP</w:t>
      </w:r>
      <w:r w:rsidRPr="00DD34FD">
        <w:rPr>
          <w:rFonts w:eastAsia="Times New Roman" w:cs="Arial"/>
          <w:color w:val="000000"/>
          <w:szCs w:val="20"/>
          <w:lang w:val="ru-RU"/>
        </w:rPr>
        <w:t>3</w:t>
      </w:r>
      <w:r w:rsidRPr="00DD34FD">
        <w:rPr>
          <w:rFonts w:eastAsia="Times New Roman" w:cs="Arial"/>
          <w:color w:val="000000"/>
          <w:szCs w:val="20"/>
          <w:lang w:val="en-US"/>
        </w:rPr>
        <w:t>A</w:t>
      </w:r>
      <w:r w:rsidRPr="00DD34FD">
        <w:rPr>
          <w:rFonts w:eastAsia="Times New Roman" w:cs="Arial"/>
          <w:color w:val="000000"/>
          <w:szCs w:val="20"/>
          <w:lang w:val="ru-RU"/>
        </w:rPr>
        <w:t xml:space="preserve">4, </w:t>
      </w:r>
      <w:r w:rsidRPr="00DD34FD">
        <w:rPr>
          <w:rFonts w:eastAsia="Times New Roman" w:cs="Arial"/>
          <w:color w:val="000000"/>
          <w:szCs w:val="20"/>
          <w:lang w:eastAsia="bg-BG"/>
        </w:rPr>
        <w:t>като антиконвулсанти (напр. фенитоин, карбамазепин) и рифампицин могат да намалят плазмените нива на лерканидипин и това да доведе до по-ниска ефективност на лерканидипин, в сравнение с очакваната (вж. 4.5.).</w:t>
      </w:r>
    </w:p>
    <w:p w14:paraId="739A5BAB" w14:textId="77777777" w:rsidR="00DD34FD" w:rsidRPr="00DD34FD" w:rsidRDefault="00DD34FD" w:rsidP="00DD34FD">
      <w:pPr>
        <w:spacing w:line="240" w:lineRule="auto"/>
        <w:rPr>
          <w:rFonts w:eastAsia="Times New Roman" w:cs="Arial"/>
          <w:color w:val="000000"/>
          <w:szCs w:val="20"/>
          <w:u w:val="single"/>
          <w:lang w:eastAsia="bg-BG"/>
        </w:rPr>
      </w:pPr>
    </w:p>
    <w:p w14:paraId="7B565252" w14:textId="63E56D2E"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u w:val="single"/>
          <w:lang w:eastAsia="bg-BG"/>
        </w:rPr>
        <w:t>Помощни вещества</w:t>
      </w:r>
    </w:p>
    <w:p w14:paraId="39A112CB"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този лекарствен продукт.</w:t>
      </w:r>
    </w:p>
    <w:p w14:paraId="69CC765B" w14:textId="77777777" w:rsidR="00DD34FD" w:rsidRPr="00DD34FD" w:rsidRDefault="00DD34FD" w:rsidP="00DD34FD">
      <w:pPr>
        <w:spacing w:line="240" w:lineRule="auto"/>
        <w:rPr>
          <w:rFonts w:eastAsia="Times New Roman" w:cs="Arial"/>
          <w:color w:val="000000"/>
          <w:szCs w:val="20"/>
          <w:lang w:eastAsia="bg-BG"/>
        </w:rPr>
      </w:pPr>
    </w:p>
    <w:p w14:paraId="735ACB16" w14:textId="7D2E06EC"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Този лекарствен продукт съдържа по-малко от 1 </w:t>
      </w:r>
      <w:proofErr w:type="spellStart"/>
      <w:r w:rsidRPr="00DD34FD">
        <w:rPr>
          <w:rFonts w:eastAsia="Times New Roman" w:cs="Arial"/>
          <w:color w:val="000000"/>
          <w:szCs w:val="20"/>
          <w:lang w:val="en-US"/>
        </w:rPr>
        <w:t>mmol</w:t>
      </w:r>
      <w:proofErr w:type="spellEnd"/>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натрий (23 </w:t>
      </w:r>
      <w:r w:rsidRPr="00DD34FD">
        <w:rPr>
          <w:rFonts w:eastAsia="Times New Roman" w:cs="Arial"/>
          <w:color w:val="000000"/>
          <w:szCs w:val="20"/>
          <w:lang w:val="en-US"/>
        </w:rPr>
        <w:t>mg</w:t>
      </w:r>
      <w:r w:rsidRPr="00DD34FD">
        <w:rPr>
          <w:rFonts w:eastAsia="Times New Roman" w:cs="Arial"/>
          <w:color w:val="000000"/>
          <w:szCs w:val="20"/>
          <w:lang w:val="ru-RU"/>
        </w:rPr>
        <w:t xml:space="preserve">) </w:t>
      </w:r>
      <w:r w:rsidRPr="00DD34FD">
        <w:rPr>
          <w:rFonts w:eastAsia="Times New Roman" w:cs="Arial"/>
          <w:color w:val="000000"/>
          <w:szCs w:val="20"/>
          <w:lang w:eastAsia="bg-BG"/>
        </w:rPr>
        <w:t>на таблетка, т.е. може да се каже, че практически не съдържа натрий.</w:t>
      </w:r>
    </w:p>
    <w:p w14:paraId="2158CADB" w14:textId="77777777" w:rsidR="00DD34FD" w:rsidRPr="00DD34FD" w:rsidRDefault="00DD34FD" w:rsidP="00DD34FD"/>
    <w:p w14:paraId="0734264C" w14:textId="1BA53E99" w:rsidR="007122AD" w:rsidRDefault="002C50EE" w:rsidP="00936AD0">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2D5F44E1" w14:textId="3AE248A6" w:rsidR="00DD34FD" w:rsidRDefault="00DD34FD" w:rsidP="00DD34FD"/>
    <w:p w14:paraId="049B14BD"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Известно е, че лерканидипин се метаболизира от ензима </w:t>
      </w:r>
      <w:r w:rsidRPr="00DD34FD">
        <w:rPr>
          <w:rFonts w:eastAsia="Times New Roman" w:cs="Arial"/>
          <w:color w:val="000000"/>
          <w:szCs w:val="20"/>
          <w:lang w:val="en-US"/>
        </w:rPr>
        <w:t>CYP</w:t>
      </w:r>
      <w:r w:rsidRPr="00DD34FD">
        <w:rPr>
          <w:rFonts w:eastAsia="Times New Roman" w:cs="Arial"/>
          <w:color w:val="000000"/>
          <w:szCs w:val="20"/>
          <w:lang w:val="ru-RU"/>
        </w:rPr>
        <w:t>3</w:t>
      </w:r>
      <w:r w:rsidRPr="00DD34FD">
        <w:rPr>
          <w:rFonts w:eastAsia="Times New Roman" w:cs="Arial"/>
          <w:color w:val="000000"/>
          <w:szCs w:val="20"/>
          <w:lang w:eastAsia="bg-BG"/>
        </w:rPr>
        <w:t xml:space="preserve">А4 и поради това едновременното приложение на инхибитори и индуктори на </w:t>
      </w:r>
      <w:r w:rsidRPr="00DD34FD">
        <w:rPr>
          <w:rFonts w:eastAsia="Times New Roman" w:cs="Arial"/>
          <w:color w:val="000000"/>
          <w:szCs w:val="20"/>
          <w:lang w:val="en-US"/>
        </w:rPr>
        <w:t>CYP</w:t>
      </w:r>
      <w:r w:rsidRPr="00DD34FD">
        <w:rPr>
          <w:rFonts w:eastAsia="Times New Roman" w:cs="Arial"/>
          <w:color w:val="000000"/>
          <w:szCs w:val="20"/>
          <w:lang w:val="ru-RU"/>
        </w:rPr>
        <w:t>3</w:t>
      </w:r>
      <w:r w:rsidRPr="00DD34FD">
        <w:rPr>
          <w:rFonts w:eastAsia="Times New Roman" w:cs="Arial"/>
          <w:color w:val="000000"/>
          <w:szCs w:val="20"/>
          <w:lang w:eastAsia="bg-BG"/>
        </w:rPr>
        <w:t>А4 могат да повлияят метаболизма и елиминирането на лерканидипин.</w:t>
      </w:r>
    </w:p>
    <w:p w14:paraId="4C7737A1"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Трябва да се избягва едновременното назначение на лерканидипинов хидрохлорид с инхибитори на </w:t>
      </w:r>
      <w:r w:rsidRPr="00DD34FD">
        <w:rPr>
          <w:rFonts w:eastAsia="Times New Roman" w:cs="Arial"/>
          <w:color w:val="000000"/>
          <w:szCs w:val="20"/>
          <w:lang w:val="en-US"/>
        </w:rPr>
        <w:t>CYP</w:t>
      </w:r>
      <w:r w:rsidRPr="00DD34FD">
        <w:rPr>
          <w:rFonts w:eastAsia="Times New Roman" w:cs="Arial"/>
          <w:color w:val="000000"/>
          <w:szCs w:val="20"/>
          <w:lang w:val="ru-RU"/>
        </w:rPr>
        <w:t>3</w:t>
      </w:r>
      <w:r w:rsidRPr="00DD34FD">
        <w:rPr>
          <w:rFonts w:eastAsia="Times New Roman" w:cs="Arial"/>
          <w:color w:val="000000"/>
          <w:szCs w:val="20"/>
          <w:lang w:val="en-US"/>
        </w:rPr>
        <w:t>A</w:t>
      </w:r>
      <w:r w:rsidRPr="00DD34FD">
        <w:rPr>
          <w:rFonts w:eastAsia="Times New Roman" w:cs="Arial"/>
          <w:color w:val="000000"/>
          <w:szCs w:val="20"/>
          <w:lang w:val="ru-RU"/>
        </w:rPr>
        <w:t xml:space="preserve">4 </w:t>
      </w:r>
      <w:r w:rsidRPr="00DD34FD">
        <w:rPr>
          <w:rFonts w:eastAsia="Times New Roman" w:cs="Arial"/>
          <w:color w:val="000000"/>
          <w:szCs w:val="20"/>
          <w:lang w:eastAsia="bg-BG"/>
        </w:rPr>
        <w:t>(напр. кетоконазол, итраконазол, ритонавир, еритромицин, тролеандомицин (виж точка 4.3).</w:t>
      </w:r>
    </w:p>
    <w:p w14:paraId="149DF255"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Изпитване за взаимодействие със силен инхибитор на </w:t>
      </w:r>
      <w:r w:rsidRPr="00DD34FD">
        <w:rPr>
          <w:rFonts w:eastAsia="Times New Roman" w:cs="Arial"/>
          <w:color w:val="000000"/>
          <w:szCs w:val="20"/>
          <w:lang w:val="en-US"/>
        </w:rPr>
        <w:t>CYP</w:t>
      </w:r>
      <w:r w:rsidRPr="00DD34FD">
        <w:rPr>
          <w:rFonts w:eastAsia="Times New Roman" w:cs="Arial"/>
          <w:color w:val="000000"/>
          <w:szCs w:val="20"/>
          <w:lang w:val="ru-RU"/>
        </w:rPr>
        <w:t>3</w:t>
      </w:r>
      <w:r w:rsidRPr="00DD34FD">
        <w:rPr>
          <w:rFonts w:eastAsia="Times New Roman" w:cs="Arial"/>
          <w:color w:val="000000"/>
          <w:szCs w:val="20"/>
          <w:lang w:val="en-US"/>
        </w:rPr>
        <w:t>A</w:t>
      </w:r>
      <w:r w:rsidRPr="00DD34FD">
        <w:rPr>
          <w:rFonts w:eastAsia="Times New Roman" w:cs="Arial"/>
          <w:color w:val="000000"/>
          <w:szCs w:val="20"/>
          <w:lang w:val="ru-RU"/>
        </w:rPr>
        <w:t xml:space="preserve">4, </w:t>
      </w:r>
      <w:r w:rsidRPr="00DD34FD">
        <w:rPr>
          <w:rFonts w:eastAsia="Times New Roman" w:cs="Arial"/>
          <w:color w:val="000000"/>
          <w:szCs w:val="20"/>
          <w:lang w:eastAsia="bg-BG"/>
        </w:rPr>
        <w:t xml:space="preserve">кетоконазол, показва значително повишение на плазмените нива на лерканидипин (15 пъти повишение на площта под кривата </w:t>
      </w:r>
      <w:r w:rsidRPr="00DD34FD">
        <w:rPr>
          <w:rFonts w:eastAsia="Times New Roman" w:cs="Arial"/>
          <w:color w:val="000000"/>
          <w:szCs w:val="20"/>
          <w:lang w:val="en-US"/>
        </w:rPr>
        <w:t>AUC</w:t>
      </w:r>
      <w:r w:rsidRPr="00DD34FD">
        <w:rPr>
          <w:rFonts w:eastAsia="Times New Roman" w:cs="Arial"/>
          <w:color w:val="000000"/>
          <w:szCs w:val="20"/>
          <w:lang w:val="ru-RU"/>
        </w:rPr>
        <w:t xml:space="preserve"> </w:t>
      </w:r>
      <w:r w:rsidRPr="00DD34FD">
        <w:rPr>
          <w:rFonts w:eastAsia="Times New Roman" w:cs="Arial"/>
          <w:color w:val="000000"/>
          <w:szCs w:val="20"/>
          <w:lang w:eastAsia="bg-BG"/>
        </w:rPr>
        <w:t>и 8 пъти повишение на максималната плазмена концентрация С</w:t>
      </w:r>
      <w:r w:rsidRPr="00DD34FD">
        <w:rPr>
          <w:rFonts w:eastAsia="Times New Roman" w:cs="Arial"/>
          <w:color w:val="000000"/>
          <w:szCs w:val="20"/>
          <w:vertAlign w:val="subscript"/>
          <w:lang w:val="en-US"/>
        </w:rPr>
        <w:t>max</w:t>
      </w:r>
      <w:r w:rsidRPr="00DD34FD">
        <w:rPr>
          <w:rFonts w:eastAsia="Times New Roman" w:cs="Arial"/>
          <w:color w:val="000000"/>
          <w:szCs w:val="20"/>
          <w:lang w:eastAsia="bg-BG"/>
        </w:rPr>
        <w:t xml:space="preserve"> за еутомера </w:t>
      </w:r>
      <w:r w:rsidRPr="00DD34FD">
        <w:rPr>
          <w:rFonts w:eastAsia="Times New Roman" w:cs="Arial"/>
          <w:color w:val="000000"/>
          <w:szCs w:val="20"/>
          <w:lang w:val="en-US"/>
        </w:rPr>
        <w:t>S</w:t>
      </w:r>
      <w:r w:rsidRPr="00DD34FD">
        <w:rPr>
          <w:rFonts w:eastAsia="Times New Roman" w:cs="Arial"/>
          <w:color w:val="000000"/>
          <w:szCs w:val="20"/>
          <w:lang w:eastAsia="bg-BG"/>
        </w:rPr>
        <w:t>-лерканидипин). Циклоспорин и лерканидин не трябва да</w:t>
      </w:r>
      <w:r w:rsidRPr="00DD34FD">
        <w:rPr>
          <w:rFonts w:eastAsia="Times New Roman" w:cs="Arial"/>
          <w:color w:val="000000"/>
          <w:szCs w:val="20"/>
          <w:lang w:val="ru-RU"/>
        </w:rPr>
        <w:t xml:space="preserve"> </w:t>
      </w:r>
      <w:r w:rsidRPr="00DD34FD">
        <w:rPr>
          <w:rFonts w:eastAsia="Times New Roman" w:cs="Arial"/>
          <w:color w:val="000000"/>
          <w:szCs w:val="20"/>
          <w:lang w:eastAsia="bg-BG"/>
        </w:rPr>
        <w:t>се прилагат едновременно (виж точка 4.3).</w:t>
      </w:r>
    </w:p>
    <w:p w14:paraId="453C1E21" w14:textId="77777777" w:rsidR="00DD34FD" w:rsidRPr="00DD34FD" w:rsidRDefault="00DD34FD" w:rsidP="00DD34FD">
      <w:pPr>
        <w:rPr>
          <w:rFonts w:eastAsia="Times New Roman" w:cs="Arial"/>
          <w:color w:val="000000"/>
          <w:szCs w:val="20"/>
          <w:lang w:eastAsia="bg-BG"/>
        </w:rPr>
      </w:pPr>
    </w:p>
    <w:p w14:paraId="02071F6C" w14:textId="77777777" w:rsidR="00DD34FD" w:rsidRPr="00DD34FD" w:rsidRDefault="00DD34FD" w:rsidP="00DD34FD">
      <w:pPr>
        <w:rPr>
          <w:rFonts w:eastAsia="Times New Roman" w:cs="Arial"/>
          <w:sz w:val="28"/>
          <w:szCs w:val="24"/>
        </w:rPr>
      </w:pPr>
      <w:r w:rsidRPr="00DD34FD">
        <w:rPr>
          <w:rFonts w:eastAsia="Times New Roman" w:cs="Arial"/>
          <w:color w:val="000000"/>
          <w:szCs w:val="20"/>
          <w:lang w:eastAsia="bg-BG"/>
        </w:rPr>
        <w:t>При едновременно приложение се наблюдават повишени плазмени нива както на лерканидипин, така и на циклоспорин. Проучване при млади здрави доброволци показва, че ако циклоспорин се прилага 3 часа след прием на лерканидипин, плазмените нива на лерканидипин не се про,емят,</w:t>
      </w:r>
      <w:r w:rsidRPr="00DD34FD">
        <w:rPr>
          <w:rFonts w:eastAsia="Times New Roman" w:cs="Arial"/>
          <w:b/>
          <w:bCs/>
          <w:color w:val="000000"/>
          <w:szCs w:val="20"/>
          <w:lang w:eastAsia="bg-BG"/>
        </w:rPr>
        <w:t xml:space="preserve"> </w:t>
      </w:r>
      <w:r w:rsidRPr="00DD34FD">
        <w:rPr>
          <w:rFonts w:eastAsia="Times New Roman" w:cs="Arial"/>
          <w:color w:val="000000"/>
          <w:szCs w:val="20"/>
          <w:lang w:eastAsia="bg-BG"/>
        </w:rPr>
        <w:t xml:space="preserve">докато </w:t>
      </w:r>
      <w:r w:rsidRPr="00DD34FD">
        <w:rPr>
          <w:rFonts w:eastAsia="Times New Roman" w:cs="Arial"/>
          <w:color w:val="000000"/>
          <w:szCs w:val="20"/>
          <w:lang w:val="en-US"/>
        </w:rPr>
        <w:t>AUC</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на циклоспорин се повишават с 27%. Едновременното приложение обаче на лерканидипинов хидрохлорид с циклоспорин води до 3 пъти увеличение на плазмените нива на лерканидипин и 21 % увеличение на </w:t>
      </w:r>
      <w:r w:rsidRPr="00DD34FD">
        <w:rPr>
          <w:rFonts w:eastAsia="Times New Roman" w:cs="Arial"/>
          <w:color w:val="000000"/>
          <w:szCs w:val="20"/>
          <w:lang w:val="en-US"/>
        </w:rPr>
        <w:t>AUC</w:t>
      </w:r>
      <w:r w:rsidRPr="00DD34FD">
        <w:rPr>
          <w:rFonts w:eastAsia="Times New Roman" w:cs="Arial"/>
          <w:color w:val="000000"/>
          <w:szCs w:val="20"/>
          <w:lang w:val="ru-RU"/>
        </w:rPr>
        <w:t xml:space="preserve"> </w:t>
      </w:r>
      <w:r w:rsidRPr="00DD34FD">
        <w:rPr>
          <w:rFonts w:eastAsia="Times New Roman" w:cs="Arial"/>
          <w:color w:val="000000"/>
          <w:szCs w:val="20"/>
          <w:lang w:eastAsia="bg-BG"/>
        </w:rPr>
        <w:t>на циклоспорин.</w:t>
      </w:r>
    </w:p>
    <w:p w14:paraId="664D2542"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Лерканидипин не трябва да се приема със сок от грейпфрут (виж точка 4.3).</w:t>
      </w:r>
    </w:p>
    <w:p w14:paraId="389B4991"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Подобно на други дихидропиридини, лерканидипин е с метаболизъм, чувствителен към инхибиране от сок от грейпфрут с последващо повишение на системната бионаличност и усилване на хипотензивния ефект.</w:t>
      </w:r>
    </w:p>
    <w:p w14:paraId="3862226F"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При едновременно перорално приложение на 20 </w:t>
      </w:r>
      <w:r w:rsidRPr="00DD34FD">
        <w:rPr>
          <w:rFonts w:eastAsia="Times New Roman" w:cs="Arial"/>
          <w:color w:val="000000"/>
          <w:szCs w:val="20"/>
          <w:lang w:val="en-US"/>
        </w:rPr>
        <w:t>mg</w:t>
      </w:r>
      <w:r w:rsidRPr="00DD34FD">
        <w:rPr>
          <w:rFonts w:eastAsia="Times New Roman" w:cs="Arial"/>
          <w:color w:val="000000"/>
          <w:szCs w:val="20"/>
          <w:lang w:val="ru-RU"/>
        </w:rPr>
        <w:t xml:space="preserve"> </w:t>
      </w:r>
      <w:r w:rsidRPr="00DD34FD">
        <w:rPr>
          <w:rFonts w:eastAsia="Times New Roman" w:cs="Arial"/>
          <w:color w:val="000000"/>
          <w:szCs w:val="20"/>
          <w:lang w:eastAsia="bg-BG"/>
        </w:rPr>
        <w:t>лерканидипин с мидазолам от доброволци в старческа възраст, резорбцията на лерканидипин се увеличава (с около 40 %) и скоростта на резорбцията намалява (Т</w:t>
      </w:r>
      <w:r w:rsidRPr="00DD34FD">
        <w:rPr>
          <w:rFonts w:eastAsia="Times New Roman" w:cs="Arial"/>
          <w:color w:val="000000"/>
          <w:szCs w:val="20"/>
          <w:lang w:val="en-US"/>
        </w:rPr>
        <w:t>max</w:t>
      </w:r>
      <w:r w:rsidRPr="00DD34FD">
        <w:rPr>
          <w:rFonts w:eastAsia="Times New Roman" w:cs="Arial"/>
          <w:color w:val="000000"/>
          <w:szCs w:val="20"/>
          <w:lang w:eastAsia="bg-BG"/>
        </w:rPr>
        <w:t xml:space="preserve"> намалява от 1.75 до 3 часа). Концентрациите на мидазоам остават непроменени.</w:t>
      </w:r>
    </w:p>
    <w:p w14:paraId="27CFBF3D"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Необходимо е внимание при едновременното назначение на лерканидипинов хидрохлорид с други субстрати на </w:t>
      </w:r>
      <w:r w:rsidRPr="00DD34FD">
        <w:rPr>
          <w:rFonts w:eastAsia="Times New Roman" w:cs="Arial"/>
          <w:color w:val="000000"/>
          <w:szCs w:val="20"/>
          <w:lang w:val="en-US"/>
        </w:rPr>
        <w:t>CYP</w:t>
      </w:r>
      <w:r w:rsidRPr="00DD34FD">
        <w:rPr>
          <w:rFonts w:eastAsia="Times New Roman" w:cs="Arial"/>
          <w:color w:val="000000"/>
          <w:szCs w:val="20"/>
          <w:lang w:val="ru-RU"/>
        </w:rPr>
        <w:t>3</w:t>
      </w:r>
      <w:r w:rsidRPr="00DD34FD">
        <w:rPr>
          <w:rFonts w:eastAsia="Times New Roman" w:cs="Arial"/>
          <w:color w:val="000000"/>
          <w:szCs w:val="20"/>
          <w:lang w:val="en-US"/>
        </w:rPr>
        <w:t>A</w:t>
      </w:r>
      <w:r w:rsidRPr="00DD34FD">
        <w:rPr>
          <w:rFonts w:eastAsia="Times New Roman" w:cs="Arial"/>
          <w:color w:val="000000"/>
          <w:szCs w:val="20"/>
          <w:lang w:val="ru-RU"/>
        </w:rPr>
        <w:t xml:space="preserve">4, </w:t>
      </w:r>
      <w:r w:rsidRPr="00DD34FD">
        <w:rPr>
          <w:rFonts w:eastAsia="Times New Roman" w:cs="Arial"/>
          <w:color w:val="000000"/>
          <w:szCs w:val="20"/>
          <w:lang w:eastAsia="bg-BG"/>
        </w:rPr>
        <w:t>като терфенадин, астемизол, антиаритмици клас III, напр. амиодарон, хинидин.</w:t>
      </w:r>
    </w:p>
    <w:p w14:paraId="54639256" w14:textId="77777777" w:rsidR="00DD34FD" w:rsidRPr="00DD34FD" w:rsidRDefault="00DD34FD" w:rsidP="00DD34FD">
      <w:pPr>
        <w:spacing w:line="240" w:lineRule="auto"/>
        <w:rPr>
          <w:rFonts w:eastAsia="Times New Roman" w:cs="Arial"/>
          <w:color w:val="000000"/>
          <w:szCs w:val="20"/>
          <w:lang w:eastAsia="bg-BG"/>
        </w:rPr>
      </w:pPr>
    </w:p>
    <w:p w14:paraId="67E84280" w14:textId="4CBB9C2F"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Едновременното приложение на лерканидипин с индуктори на </w:t>
      </w:r>
      <w:r w:rsidRPr="00DD34FD">
        <w:rPr>
          <w:rFonts w:eastAsia="Times New Roman" w:cs="Arial"/>
          <w:color w:val="000000"/>
          <w:szCs w:val="20"/>
          <w:lang w:val="en-US"/>
        </w:rPr>
        <w:t>CYP</w:t>
      </w:r>
      <w:r w:rsidRPr="00DD34FD">
        <w:rPr>
          <w:rFonts w:eastAsia="Times New Roman" w:cs="Arial"/>
          <w:color w:val="000000"/>
          <w:szCs w:val="20"/>
          <w:lang w:val="ru-RU"/>
        </w:rPr>
        <w:t>3</w:t>
      </w:r>
      <w:r w:rsidRPr="00DD34FD">
        <w:rPr>
          <w:rFonts w:eastAsia="Times New Roman" w:cs="Arial"/>
          <w:color w:val="000000"/>
          <w:szCs w:val="20"/>
          <w:lang w:eastAsia="bg-BG"/>
        </w:rPr>
        <w:t>А4, като антиконвулсанти (напр. фенитоин, карбамазепин) и рифампицин трябва да се осъществява внимателно, тъй като антихипертензивният ефект може да бъде намален и кръвното налягане трябва да се измерва по- често от обичайното.</w:t>
      </w:r>
    </w:p>
    <w:p w14:paraId="544C234E"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При едновременно приложение на лерканидипин с метопролол, бета-блокер, който се елиминира главно чрез черния дроб, бионаличността на метопролол не се променя, докато бионаличността на лерканидипин намалява с 50 %. Този ефект може да се дължи на намаление на чернодробния кръвоток, причинен от бета-блокерите и поради това може да се прояви и при други лекарства от тази група. Следователно лерканидипин може безопасно да се прилага заедно с бета-блокери, като е необходимо коригиране на дозата.</w:t>
      </w:r>
    </w:p>
    <w:p w14:paraId="07F35C61"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Проучване за взаимодействие с флуоксетин (инхибитор на </w:t>
      </w:r>
      <w:r w:rsidRPr="00DD34FD">
        <w:rPr>
          <w:rFonts w:eastAsia="Times New Roman" w:cs="Arial"/>
          <w:color w:val="000000"/>
          <w:szCs w:val="20"/>
          <w:lang w:val="en-US"/>
        </w:rPr>
        <w:t>CYP</w:t>
      </w:r>
      <w:r w:rsidRPr="00DD34FD">
        <w:rPr>
          <w:rFonts w:eastAsia="Times New Roman" w:cs="Arial"/>
          <w:color w:val="000000"/>
          <w:szCs w:val="20"/>
          <w:lang w:val="ru-RU"/>
        </w:rPr>
        <w:t>2</w:t>
      </w:r>
      <w:r w:rsidRPr="00DD34FD">
        <w:rPr>
          <w:rFonts w:eastAsia="Times New Roman" w:cs="Arial"/>
          <w:color w:val="000000"/>
          <w:szCs w:val="20"/>
          <w:lang w:val="en-US"/>
        </w:rPr>
        <w:t>D</w:t>
      </w:r>
      <w:r w:rsidRPr="00DD34FD">
        <w:rPr>
          <w:rFonts w:eastAsia="Times New Roman" w:cs="Arial"/>
          <w:color w:val="000000"/>
          <w:szCs w:val="20"/>
          <w:lang w:val="ru-RU"/>
        </w:rPr>
        <w:t xml:space="preserve">6 </w:t>
      </w:r>
      <w:r w:rsidRPr="00DD34FD">
        <w:rPr>
          <w:rFonts w:eastAsia="Times New Roman" w:cs="Arial"/>
          <w:color w:val="000000"/>
          <w:szCs w:val="20"/>
          <w:lang w:eastAsia="bg-BG"/>
        </w:rPr>
        <w:t xml:space="preserve">и </w:t>
      </w:r>
      <w:r w:rsidRPr="00DD34FD">
        <w:rPr>
          <w:rFonts w:eastAsia="Times New Roman" w:cs="Arial"/>
          <w:color w:val="000000"/>
          <w:szCs w:val="20"/>
          <w:lang w:val="en-US"/>
        </w:rPr>
        <w:t>CYP</w:t>
      </w:r>
      <w:r w:rsidRPr="00DD34FD">
        <w:rPr>
          <w:rFonts w:eastAsia="Times New Roman" w:cs="Arial"/>
          <w:color w:val="000000"/>
          <w:szCs w:val="20"/>
          <w:lang w:val="ru-RU"/>
        </w:rPr>
        <w:t>3</w:t>
      </w:r>
      <w:r w:rsidRPr="00DD34FD">
        <w:rPr>
          <w:rFonts w:eastAsia="Times New Roman" w:cs="Arial"/>
          <w:color w:val="000000"/>
          <w:szCs w:val="20"/>
          <w:lang w:val="en-US"/>
        </w:rPr>
        <w:t>A</w:t>
      </w:r>
      <w:r w:rsidRPr="00DD34FD">
        <w:rPr>
          <w:rFonts w:eastAsia="Times New Roman" w:cs="Arial"/>
          <w:color w:val="000000"/>
          <w:szCs w:val="20"/>
          <w:lang w:val="ru-RU"/>
        </w:rPr>
        <w:t xml:space="preserve">4), </w:t>
      </w:r>
      <w:r w:rsidRPr="00DD34FD">
        <w:rPr>
          <w:rFonts w:eastAsia="Times New Roman" w:cs="Arial"/>
          <w:color w:val="000000"/>
          <w:szCs w:val="20"/>
          <w:lang w:eastAsia="bg-BG"/>
        </w:rPr>
        <w:t>проведено при доброволци на възраст 65 ± 7 години (средно ± стандартно отклонение), не показва клинично значими промени във фармакокинетиката на лерканидипин.</w:t>
      </w:r>
    </w:p>
    <w:p w14:paraId="1E2B9E14"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Едновременното приложение на 800 </w:t>
      </w:r>
      <w:r w:rsidRPr="00DD34FD">
        <w:rPr>
          <w:rFonts w:eastAsia="Times New Roman" w:cs="Arial"/>
          <w:color w:val="000000"/>
          <w:szCs w:val="20"/>
          <w:lang w:val="en-US"/>
        </w:rPr>
        <w:t>mg</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циметидин дневно не води до значителни промени в плазмените концентрации на лерканидипин, но при по-високи дози обаче е </w:t>
      </w:r>
      <w:r w:rsidRPr="00DD34FD">
        <w:rPr>
          <w:rFonts w:eastAsia="Times New Roman" w:cs="Arial"/>
          <w:color w:val="000000"/>
          <w:szCs w:val="20"/>
          <w:lang w:eastAsia="bg-BG"/>
        </w:rPr>
        <w:lastRenderedPageBreak/>
        <w:t>необходимо внимание, тъй като може да се увеличат бионаличността и да се усили хипотензивният ефект на лерканидипин.</w:t>
      </w:r>
    </w:p>
    <w:p w14:paraId="0A5C1885"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Едновременното приложение на 20 </w:t>
      </w:r>
      <w:r w:rsidRPr="00DD34FD">
        <w:rPr>
          <w:rFonts w:eastAsia="Times New Roman" w:cs="Arial"/>
          <w:color w:val="000000"/>
          <w:szCs w:val="20"/>
          <w:lang w:val="en-US"/>
        </w:rPr>
        <w:t>mg</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лерканидипин при пациенти, лекувани продължително време с р-метилдигоксин, не демонстрира фармакокинетични взаимодействия. Здрави доброволци, лекувани с дигоксин след приложение 20 </w:t>
      </w:r>
      <w:r w:rsidRPr="00DD34FD">
        <w:rPr>
          <w:rFonts w:eastAsia="Times New Roman" w:cs="Arial"/>
          <w:color w:val="000000"/>
          <w:szCs w:val="20"/>
          <w:lang w:val="en-US"/>
        </w:rPr>
        <w:t>mg</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лерканидипин на гладно, показват средно увеличение на Стах на дигоксин с 33%, докато </w:t>
      </w:r>
      <w:r w:rsidRPr="00DD34FD">
        <w:rPr>
          <w:rFonts w:eastAsia="Times New Roman" w:cs="Arial"/>
          <w:color w:val="000000"/>
          <w:szCs w:val="20"/>
          <w:lang w:val="en-US"/>
        </w:rPr>
        <w:t>AUC</w:t>
      </w:r>
      <w:r w:rsidRPr="00DD34FD">
        <w:rPr>
          <w:rFonts w:eastAsia="Times New Roman" w:cs="Arial"/>
          <w:color w:val="000000"/>
          <w:szCs w:val="20"/>
          <w:lang w:val="ru-RU"/>
        </w:rPr>
        <w:t xml:space="preserve"> </w:t>
      </w:r>
      <w:r w:rsidRPr="00DD34FD">
        <w:rPr>
          <w:rFonts w:eastAsia="Times New Roman" w:cs="Arial"/>
          <w:color w:val="000000"/>
          <w:szCs w:val="20"/>
          <w:lang w:eastAsia="bg-BG"/>
        </w:rPr>
        <w:t>и бъбречният клирънс не се променят сигнификантно. Пациенти с придружаващо лечение с дигоксин трябва внимателно клинично да се проследяват за белези на дигиталисова интоксикация.</w:t>
      </w:r>
    </w:p>
    <w:p w14:paraId="0A256316"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При едновременно многократно приложение на 20 </w:t>
      </w:r>
      <w:r w:rsidRPr="00DD34FD">
        <w:rPr>
          <w:rFonts w:eastAsia="Times New Roman" w:cs="Arial"/>
          <w:color w:val="000000"/>
          <w:szCs w:val="20"/>
          <w:lang w:val="en-US"/>
        </w:rPr>
        <w:t>mg</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лерканидипин с 40 </w:t>
      </w:r>
      <w:r w:rsidRPr="00DD34FD">
        <w:rPr>
          <w:rFonts w:eastAsia="Times New Roman" w:cs="Arial"/>
          <w:color w:val="000000"/>
          <w:szCs w:val="20"/>
          <w:lang w:val="en-US"/>
        </w:rPr>
        <w:t>mg</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симвастатин, </w:t>
      </w:r>
      <w:r w:rsidRPr="00DD34FD">
        <w:rPr>
          <w:rFonts w:eastAsia="Times New Roman" w:cs="Arial"/>
          <w:color w:val="000000"/>
          <w:szCs w:val="20"/>
          <w:lang w:val="en-US"/>
        </w:rPr>
        <w:t>AUC</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на лерканидипин не се променя сигнификантно, докато </w:t>
      </w:r>
      <w:r w:rsidRPr="00DD34FD">
        <w:rPr>
          <w:rFonts w:eastAsia="Times New Roman" w:cs="Arial"/>
          <w:color w:val="000000"/>
          <w:szCs w:val="20"/>
          <w:lang w:val="en-US"/>
        </w:rPr>
        <w:t>AUC</w:t>
      </w:r>
      <w:r w:rsidRPr="00DD34FD">
        <w:rPr>
          <w:rFonts w:eastAsia="Times New Roman" w:cs="Arial"/>
          <w:color w:val="000000"/>
          <w:szCs w:val="20"/>
          <w:lang w:val="ru-RU"/>
        </w:rPr>
        <w:t xml:space="preserve"> </w:t>
      </w:r>
      <w:r w:rsidRPr="00DD34FD">
        <w:rPr>
          <w:rFonts w:eastAsia="Times New Roman" w:cs="Arial"/>
          <w:color w:val="000000"/>
          <w:szCs w:val="20"/>
          <w:lang w:eastAsia="bg-BG"/>
        </w:rPr>
        <w:t>на симвастатин се увеличава с 56%, а на активния му метаболит β-хидрокси киселина - с 28%. Не се очаква тези промени да имат клинично значение. Не се очаква взаимодействие когато лерканидипин се приема сутрин, а симвастатин се прилага вечер, както се препоръчва за това лекарство.</w:t>
      </w:r>
    </w:p>
    <w:p w14:paraId="57570261"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Едновременното приложение на 20 </w:t>
      </w:r>
      <w:r w:rsidRPr="00DD34FD">
        <w:rPr>
          <w:rFonts w:eastAsia="Times New Roman" w:cs="Arial"/>
          <w:color w:val="000000"/>
          <w:szCs w:val="20"/>
          <w:lang w:val="en-US"/>
        </w:rPr>
        <w:t>mg</w:t>
      </w:r>
      <w:r w:rsidRPr="00DD34FD">
        <w:rPr>
          <w:rFonts w:eastAsia="Times New Roman" w:cs="Arial"/>
          <w:color w:val="000000"/>
          <w:szCs w:val="20"/>
          <w:lang w:val="ru-RU"/>
        </w:rPr>
        <w:t xml:space="preserve"> </w:t>
      </w:r>
      <w:r w:rsidRPr="00DD34FD">
        <w:rPr>
          <w:rFonts w:eastAsia="Times New Roman" w:cs="Arial"/>
          <w:color w:val="000000"/>
          <w:szCs w:val="20"/>
          <w:lang w:eastAsia="bg-BG"/>
        </w:rPr>
        <w:t>лерканидипин на гладно при здрави доброволци не променят фармакокинетиката на варфарин.</w:t>
      </w:r>
    </w:p>
    <w:p w14:paraId="400336B4"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Лерканидипин може да бъде безопасно прилаган с диуретици и АСЕ-инхибитори.</w:t>
      </w:r>
    </w:p>
    <w:p w14:paraId="1609EB23" w14:textId="0AF1D03A" w:rsidR="00DD34FD" w:rsidRPr="00DD34FD" w:rsidRDefault="00DD34FD" w:rsidP="00DD34FD">
      <w:pPr>
        <w:rPr>
          <w:rFonts w:eastAsia="Times New Roman" w:cs="Arial"/>
          <w:color w:val="000000"/>
          <w:szCs w:val="20"/>
          <w:lang w:eastAsia="bg-BG"/>
        </w:rPr>
      </w:pPr>
      <w:r w:rsidRPr="00DD34FD">
        <w:rPr>
          <w:rFonts w:eastAsia="Times New Roman" w:cs="Arial"/>
          <w:color w:val="000000"/>
          <w:szCs w:val="20"/>
          <w:lang w:eastAsia="bg-BG"/>
        </w:rPr>
        <w:t>Алкохол трябва да се избягва, тъй като може да усили ефекта на вазодилатативните антихипертензивни лекарства (виж точка 4.4).</w:t>
      </w:r>
    </w:p>
    <w:p w14:paraId="79CDF285" w14:textId="77777777" w:rsidR="00DD34FD" w:rsidRPr="00DD34FD" w:rsidRDefault="00DD34FD" w:rsidP="00DD34FD"/>
    <w:p w14:paraId="5D9F40EA" w14:textId="649ACCCE" w:rsidR="007122AD" w:rsidRDefault="002C50EE" w:rsidP="00936AD0">
      <w:pPr>
        <w:pStyle w:val="Heading2"/>
      </w:pPr>
      <w:r>
        <w:t>4.6. Фертилитет, бременност и кърмене</w:t>
      </w:r>
    </w:p>
    <w:p w14:paraId="21AFDBCC" w14:textId="728FD63B" w:rsidR="00DD34FD" w:rsidRDefault="00DD34FD" w:rsidP="00DD34FD"/>
    <w:p w14:paraId="0939D7FB" w14:textId="77777777" w:rsidR="00DD34FD" w:rsidRPr="00DD34FD" w:rsidRDefault="00DD34FD" w:rsidP="00DD34FD">
      <w:pPr>
        <w:rPr>
          <w:sz w:val="24"/>
          <w:szCs w:val="24"/>
        </w:rPr>
      </w:pPr>
      <w:r w:rsidRPr="00DD34FD">
        <w:rPr>
          <w:lang w:eastAsia="bg-BG"/>
        </w:rPr>
        <w:t>Данните за лерканидипин не показват доказателства за тератогенен ефект при плъхове и зайци и репродуктивността при плъхове не се нарушава. Независимо от това, поради липса на клиничен</w:t>
      </w:r>
    </w:p>
    <w:p w14:paraId="782BCDC7" w14:textId="77777777" w:rsidR="00DD34FD" w:rsidRPr="00DD34FD" w:rsidRDefault="00DD34FD" w:rsidP="00DD34FD">
      <w:pPr>
        <w:rPr>
          <w:sz w:val="24"/>
          <w:szCs w:val="24"/>
        </w:rPr>
      </w:pPr>
      <w:r w:rsidRPr="00DD34FD">
        <w:rPr>
          <w:lang w:eastAsia="bg-BG"/>
        </w:rPr>
        <w:t>опит с лерканидипин при бременност и кърмене и поради тератогенният ефект на други дихидропиридини при животни, Арета не трябва да се прилага по време на бременност или при жени в детеродна възраст, освен ако не се прилага ефективна контрацепция. Поради високата липофилност на лерканидипин, може да се очаква излъчване в кърмата. Ето защо не трябва да се прилага при кърмещи жени.</w:t>
      </w:r>
    </w:p>
    <w:p w14:paraId="131A8D52" w14:textId="77777777" w:rsidR="00DD34FD" w:rsidRPr="00DD34FD" w:rsidRDefault="00DD34FD" w:rsidP="00DD34FD"/>
    <w:p w14:paraId="5DD7A76D" w14:textId="43823A30" w:rsidR="007122AD" w:rsidRDefault="002C50EE" w:rsidP="00936AD0">
      <w:pPr>
        <w:pStyle w:val="Heading2"/>
      </w:pPr>
      <w:r>
        <w:t>4.7. Ефекти върху способността за шофиране и работа с машини</w:t>
      </w:r>
    </w:p>
    <w:p w14:paraId="75FF16AE" w14:textId="561609D8" w:rsidR="00DD34FD" w:rsidRDefault="00DD34FD" w:rsidP="00DD34FD"/>
    <w:p w14:paraId="26848E65" w14:textId="052460EB" w:rsidR="00DD34FD" w:rsidRDefault="00DD34FD" w:rsidP="00DD34FD">
      <w:r>
        <w:t>Клиничният опит показва, че е малко вероятно лерканидипин да наруши способността на пациента за шофиране и работа с машини. Въпреки това е необходимо внимание, защото понякога може да възникнат замаяност, астения, умора и рядко сънливост.</w:t>
      </w:r>
    </w:p>
    <w:p w14:paraId="5FA6BD49" w14:textId="77777777" w:rsidR="00DD34FD" w:rsidRPr="00DD34FD" w:rsidRDefault="00DD34FD" w:rsidP="00DD34FD"/>
    <w:p w14:paraId="44CE30A3" w14:textId="5E6F852A" w:rsidR="007122AD" w:rsidRDefault="002C50EE" w:rsidP="00936AD0">
      <w:pPr>
        <w:pStyle w:val="Heading2"/>
      </w:pPr>
      <w:r>
        <w:t>4.8. Нежелани лекарствени реакции</w:t>
      </w:r>
    </w:p>
    <w:p w14:paraId="77548E12" w14:textId="1AB86FEA" w:rsidR="00DD34FD" w:rsidRDefault="00DD34FD" w:rsidP="00DD34FD"/>
    <w:p w14:paraId="44CDA4F5"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Честотата на нежеланите лекарствени реакции е определена както следва:</w:t>
      </w:r>
    </w:p>
    <w:p w14:paraId="203E1290"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085AE3B3"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Нежелани реакции се появяват при около 1,8 % от лекуваните пациенти.</w:t>
      </w:r>
    </w:p>
    <w:p w14:paraId="21DE0526"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 xml:space="preserve">Таблицата показва честотата на нежеланите лекарствени реакции, с поне вероятна причинно- следствена връзка, групирани според </w:t>
      </w:r>
      <w:proofErr w:type="spellStart"/>
      <w:r w:rsidRPr="00DD34FD">
        <w:rPr>
          <w:rFonts w:eastAsia="Times New Roman" w:cs="Arial"/>
          <w:color w:val="000000"/>
          <w:lang w:val="en-US"/>
        </w:rPr>
        <w:t>MeDRA</w:t>
      </w:r>
      <w:proofErr w:type="spellEnd"/>
      <w:r w:rsidRPr="00DD34FD">
        <w:rPr>
          <w:rFonts w:eastAsia="Times New Roman" w:cs="Arial"/>
          <w:color w:val="000000"/>
          <w:lang w:val="ru-RU"/>
        </w:rPr>
        <w:t xml:space="preserve"> </w:t>
      </w:r>
      <w:r w:rsidRPr="00DD34FD">
        <w:rPr>
          <w:rFonts w:eastAsia="Times New Roman" w:cs="Arial"/>
          <w:color w:val="000000"/>
          <w:lang w:eastAsia="bg-BG"/>
        </w:rPr>
        <w:t>конвенцията по органи и системи и подредени по честота (нечести, редки).</w:t>
      </w:r>
    </w:p>
    <w:p w14:paraId="5D784258"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lastRenderedPageBreak/>
        <w:t>Най-често срещаните нежелани лекарствени реакции, съобщени от контролирани клинични проучвания са главоболие, замаяност, периферен едем, тахикардия, сърцебиене, зачервяване, като всяка от тях се появява при по-малко от 1 % от пациентите.</w:t>
      </w:r>
    </w:p>
    <w:p w14:paraId="7099C1D7" w14:textId="77777777" w:rsidR="00DD34FD" w:rsidRPr="00DD34FD" w:rsidRDefault="00DD34FD" w:rsidP="00DD34FD">
      <w:pPr>
        <w:spacing w:line="240" w:lineRule="auto"/>
        <w:rPr>
          <w:rFonts w:eastAsia="Times New Roman" w:cs="Arial"/>
          <w:color w:val="000000"/>
          <w:u w:val="single"/>
          <w:lang w:eastAsia="bg-BG"/>
        </w:rPr>
      </w:pPr>
    </w:p>
    <w:p w14:paraId="69960501" w14:textId="299913CF" w:rsidR="00DD34FD" w:rsidRPr="00DD34FD" w:rsidRDefault="00DD34FD" w:rsidP="00DD34FD">
      <w:pPr>
        <w:spacing w:line="240" w:lineRule="auto"/>
        <w:rPr>
          <w:rFonts w:eastAsia="Times New Roman" w:cs="Arial"/>
        </w:rPr>
      </w:pPr>
      <w:r w:rsidRPr="00DD34FD">
        <w:rPr>
          <w:rFonts w:eastAsia="Times New Roman" w:cs="Arial"/>
          <w:color w:val="000000"/>
          <w:u w:val="single"/>
          <w:lang w:eastAsia="bg-BG"/>
        </w:rPr>
        <w:t>Изследвания:</w:t>
      </w:r>
    </w:p>
    <w:p w14:paraId="3B4AEBCD"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Лерканидипин не повлиява кръвната захар или серумните липидни нива.</w:t>
      </w:r>
    </w:p>
    <w:p w14:paraId="19D54300" w14:textId="77777777" w:rsidR="00DD34FD" w:rsidRPr="00DD34FD" w:rsidRDefault="00DD34FD" w:rsidP="00DD34FD">
      <w:pPr>
        <w:spacing w:line="240" w:lineRule="auto"/>
        <w:rPr>
          <w:rFonts w:eastAsia="Times New Roman" w:cs="Arial"/>
          <w:color w:val="000000"/>
          <w:u w:val="single"/>
          <w:lang w:eastAsia="bg-BG"/>
        </w:rPr>
      </w:pPr>
    </w:p>
    <w:p w14:paraId="4444FBA7" w14:textId="55AE468C" w:rsidR="00DD34FD" w:rsidRPr="00DD34FD" w:rsidRDefault="00DD34FD" w:rsidP="00DD34FD">
      <w:pPr>
        <w:spacing w:line="240" w:lineRule="auto"/>
        <w:rPr>
          <w:rFonts w:eastAsia="Times New Roman" w:cs="Arial"/>
        </w:rPr>
      </w:pPr>
      <w:r w:rsidRPr="00DD34FD">
        <w:rPr>
          <w:rFonts w:eastAsia="Times New Roman" w:cs="Arial"/>
          <w:color w:val="000000"/>
          <w:u w:val="single"/>
          <w:lang w:eastAsia="bg-BG"/>
        </w:rPr>
        <w:t>Сърдечни нарушения:</w:t>
      </w:r>
    </w:p>
    <w:p w14:paraId="257709E4"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Нечести: тахикардия, сърцебиене.</w:t>
      </w:r>
    </w:p>
    <w:p w14:paraId="62C32999"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Редки: Ангина пекторис</w:t>
      </w:r>
    </w:p>
    <w:p w14:paraId="741FAE24"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Някои дихидропиридини могат да доведат до прекордиална болка или ангина пекторис.</w:t>
      </w:r>
    </w:p>
    <w:p w14:paraId="7E6899EE"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Много редки: При пациенти с предшестваща ангина пекторис може да се повиши честотата, продължителността или тежестта на тези пристъпи. Може да се наблюдават изолирани случаи на миокарден инфаркт.</w:t>
      </w:r>
    </w:p>
    <w:p w14:paraId="0C2AB9FC" w14:textId="77777777" w:rsidR="00DD34FD" w:rsidRPr="00DD34FD" w:rsidRDefault="00DD34FD" w:rsidP="00DD34FD">
      <w:pPr>
        <w:spacing w:line="240" w:lineRule="auto"/>
        <w:rPr>
          <w:rFonts w:eastAsia="Times New Roman" w:cs="Arial"/>
          <w:color w:val="000000"/>
          <w:u w:val="single"/>
          <w:lang w:eastAsia="bg-BG"/>
        </w:rPr>
      </w:pPr>
    </w:p>
    <w:p w14:paraId="0DE62D3C" w14:textId="25781E2F" w:rsidR="00DD34FD" w:rsidRPr="00DD34FD" w:rsidRDefault="00DD34FD" w:rsidP="00DD34FD">
      <w:pPr>
        <w:spacing w:line="240" w:lineRule="auto"/>
        <w:rPr>
          <w:rFonts w:eastAsia="Times New Roman" w:cs="Arial"/>
        </w:rPr>
      </w:pPr>
      <w:r w:rsidRPr="00DD34FD">
        <w:rPr>
          <w:rFonts w:eastAsia="Times New Roman" w:cs="Arial"/>
          <w:color w:val="000000"/>
          <w:u w:val="single"/>
          <w:lang w:eastAsia="bg-BG"/>
        </w:rPr>
        <w:t>Нарушение на нервната система:</w:t>
      </w:r>
    </w:p>
    <w:p w14:paraId="52620E51"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Нечести: Главоболие, замаяност.</w:t>
      </w:r>
    </w:p>
    <w:p w14:paraId="16CC2A1F"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Редки: Сомнолентност</w:t>
      </w:r>
    </w:p>
    <w:p w14:paraId="17A92550" w14:textId="77777777" w:rsidR="00DD34FD" w:rsidRPr="00DD34FD" w:rsidRDefault="00DD34FD" w:rsidP="00DD34FD">
      <w:pPr>
        <w:spacing w:line="240" w:lineRule="auto"/>
        <w:rPr>
          <w:rFonts w:eastAsia="Times New Roman" w:cs="Arial"/>
          <w:color w:val="000000"/>
          <w:u w:val="single"/>
          <w:lang w:eastAsia="bg-BG"/>
        </w:rPr>
      </w:pPr>
    </w:p>
    <w:p w14:paraId="3178A1EF" w14:textId="5E2DA1E8" w:rsidR="00DD34FD" w:rsidRPr="00DD34FD" w:rsidRDefault="00DD34FD" w:rsidP="00DD34FD">
      <w:pPr>
        <w:spacing w:line="240" w:lineRule="auto"/>
        <w:rPr>
          <w:rFonts w:eastAsia="Times New Roman" w:cs="Arial"/>
        </w:rPr>
      </w:pPr>
      <w:r w:rsidRPr="00DD34FD">
        <w:rPr>
          <w:rFonts w:eastAsia="Times New Roman" w:cs="Arial"/>
          <w:color w:val="000000"/>
          <w:u w:val="single"/>
          <w:lang w:eastAsia="bg-BG"/>
        </w:rPr>
        <w:t>Стомашно-чревни нарушения:</w:t>
      </w:r>
    </w:p>
    <w:p w14:paraId="7BE909EA"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Редки: Гадене, диспепсия, диария, коремна болка, повръщане.</w:t>
      </w:r>
    </w:p>
    <w:p w14:paraId="5C1F5630" w14:textId="77777777" w:rsidR="00DD34FD" w:rsidRPr="00DD34FD" w:rsidRDefault="00DD34FD" w:rsidP="00DD34FD">
      <w:pPr>
        <w:spacing w:line="240" w:lineRule="auto"/>
        <w:rPr>
          <w:rFonts w:eastAsia="Times New Roman" w:cs="Arial"/>
          <w:color w:val="000000"/>
          <w:u w:val="single"/>
          <w:lang w:eastAsia="bg-BG"/>
        </w:rPr>
      </w:pPr>
    </w:p>
    <w:p w14:paraId="0F83D327" w14:textId="77777777" w:rsidR="00DD34FD" w:rsidRPr="00DD34FD" w:rsidRDefault="00DD34FD" w:rsidP="00DD34FD">
      <w:pPr>
        <w:spacing w:line="240" w:lineRule="auto"/>
        <w:rPr>
          <w:rFonts w:eastAsia="Times New Roman" w:cs="Arial"/>
          <w:color w:val="000000"/>
          <w:u w:val="single"/>
          <w:lang w:eastAsia="bg-BG"/>
        </w:rPr>
      </w:pPr>
      <w:r w:rsidRPr="00DD34FD">
        <w:rPr>
          <w:rFonts w:eastAsia="Times New Roman" w:cs="Arial"/>
          <w:color w:val="000000"/>
          <w:u w:val="single"/>
          <w:lang w:eastAsia="bg-BG"/>
        </w:rPr>
        <w:t xml:space="preserve">Нарушения на бъбреците и пикочните пътиша: </w:t>
      </w:r>
    </w:p>
    <w:p w14:paraId="362E49C6" w14:textId="393A600E" w:rsidR="00DD34FD" w:rsidRPr="00DD34FD" w:rsidRDefault="00DD34FD" w:rsidP="00DD34FD">
      <w:pPr>
        <w:spacing w:line="240" w:lineRule="auto"/>
        <w:rPr>
          <w:rFonts w:eastAsia="Times New Roman" w:cs="Arial"/>
        </w:rPr>
      </w:pPr>
      <w:r w:rsidRPr="00DD34FD">
        <w:rPr>
          <w:rFonts w:eastAsia="Times New Roman" w:cs="Arial"/>
          <w:color w:val="000000"/>
          <w:lang w:eastAsia="bg-BG"/>
        </w:rPr>
        <w:t>Редки: Полиурия</w:t>
      </w:r>
    </w:p>
    <w:p w14:paraId="2F29FC58" w14:textId="77777777" w:rsidR="00DD34FD" w:rsidRPr="00DD34FD" w:rsidRDefault="00DD34FD" w:rsidP="00DD34FD">
      <w:pPr>
        <w:spacing w:line="240" w:lineRule="auto"/>
        <w:rPr>
          <w:rFonts w:eastAsia="Times New Roman" w:cs="Arial"/>
          <w:color w:val="000000"/>
          <w:u w:val="single"/>
          <w:lang w:eastAsia="bg-BG"/>
        </w:rPr>
      </w:pPr>
    </w:p>
    <w:p w14:paraId="28D0FCD5" w14:textId="4F093458" w:rsidR="00DD34FD" w:rsidRPr="00DD34FD" w:rsidRDefault="00DD34FD" w:rsidP="00DD34FD">
      <w:pPr>
        <w:spacing w:line="240" w:lineRule="auto"/>
        <w:rPr>
          <w:rFonts w:eastAsia="Times New Roman" w:cs="Arial"/>
        </w:rPr>
      </w:pPr>
      <w:r w:rsidRPr="00DD34FD">
        <w:rPr>
          <w:rFonts w:eastAsia="Times New Roman" w:cs="Arial"/>
          <w:color w:val="000000"/>
          <w:u w:val="single"/>
          <w:lang w:eastAsia="bg-BG"/>
        </w:rPr>
        <w:t>Нарушения на кожата и подкожната тъкан</w:t>
      </w:r>
    </w:p>
    <w:p w14:paraId="7480514A"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Редки: Обрив</w:t>
      </w:r>
    </w:p>
    <w:p w14:paraId="21B45FA1" w14:textId="77777777" w:rsidR="00DD34FD" w:rsidRPr="00DD34FD" w:rsidRDefault="00DD34FD" w:rsidP="00DD34FD">
      <w:pPr>
        <w:spacing w:line="240" w:lineRule="auto"/>
        <w:rPr>
          <w:rFonts w:eastAsia="Times New Roman" w:cs="Arial"/>
          <w:color w:val="000000"/>
          <w:u w:val="single"/>
          <w:lang w:eastAsia="bg-BG"/>
        </w:rPr>
      </w:pPr>
    </w:p>
    <w:p w14:paraId="74D3634A" w14:textId="77777777" w:rsidR="00DD34FD" w:rsidRPr="00DD34FD" w:rsidRDefault="00DD34FD" w:rsidP="00DD34FD">
      <w:pPr>
        <w:spacing w:line="240" w:lineRule="auto"/>
        <w:rPr>
          <w:rFonts w:eastAsia="Times New Roman" w:cs="Arial"/>
          <w:color w:val="000000"/>
          <w:u w:val="single"/>
          <w:lang w:eastAsia="bg-BG"/>
        </w:rPr>
      </w:pPr>
      <w:r w:rsidRPr="00DD34FD">
        <w:rPr>
          <w:rFonts w:eastAsia="Times New Roman" w:cs="Arial"/>
          <w:color w:val="000000"/>
          <w:u w:val="single"/>
          <w:lang w:eastAsia="bg-BG"/>
        </w:rPr>
        <w:t xml:space="preserve">Нарушения на мускулно-скелетната система и съединителната тъкан: </w:t>
      </w:r>
    </w:p>
    <w:p w14:paraId="79BB82E2" w14:textId="6C950F22" w:rsidR="00DD34FD" w:rsidRPr="00DD34FD" w:rsidRDefault="00DD34FD" w:rsidP="00DD34FD">
      <w:pPr>
        <w:spacing w:line="240" w:lineRule="auto"/>
        <w:rPr>
          <w:rFonts w:eastAsia="Times New Roman" w:cs="Arial"/>
          <w:color w:val="000000"/>
          <w:lang w:eastAsia="bg-BG"/>
        </w:rPr>
      </w:pPr>
      <w:r w:rsidRPr="00DD34FD">
        <w:rPr>
          <w:rFonts w:eastAsia="Times New Roman" w:cs="Arial"/>
          <w:color w:val="000000"/>
          <w:lang w:eastAsia="bg-BG"/>
        </w:rPr>
        <w:t>Редки: Миалгия</w:t>
      </w:r>
    </w:p>
    <w:p w14:paraId="2D7271EE" w14:textId="1A898491" w:rsidR="00DD34FD" w:rsidRPr="00DD34FD" w:rsidRDefault="00DD34FD" w:rsidP="00DD34FD">
      <w:pPr>
        <w:spacing w:line="240" w:lineRule="auto"/>
        <w:rPr>
          <w:rFonts w:eastAsia="Times New Roman" w:cs="Arial"/>
          <w:color w:val="000000"/>
          <w:lang w:eastAsia="bg-BG"/>
        </w:rPr>
      </w:pPr>
    </w:p>
    <w:p w14:paraId="5A102F98" w14:textId="77777777" w:rsidR="00DD34FD" w:rsidRPr="00DD34FD" w:rsidRDefault="00DD34FD" w:rsidP="00DD34FD">
      <w:pPr>
        <w:spacing w:line="240" w:lineRule="auto"/>
        <w:rPr>
          <w:rFonts w:eastAsia="Times New Roman" w:cs="Arial"/>
        </w:rPr>
      </w:pPr>
      <w:r w:rsidRPr="00DD34FD">
        <w:rPr>
          <w:rFonts w:eastAsia="Times New Roman" w:cs="Arial"/>
          <w:color w:val="000000"/>
          <w:u w:val="single"/>
          <w:lang w:eastAsia="bg-BG"/>
        </w:rPr>
        <w:t>Съдови нарушения:</w:t>
      </w:r>
    </w:p>
    <w:p w14:paraId="39FEB389"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Нечести: Зачервяване</w:t>
      </w:r>
    </w:p>
    <w:p w14:paraId="7B3A5606"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Много редки: Синкоп</w:t>
      </w:r>
    </w:p>
    <w:p w14:paraId="4BB9ED16" w14:textId="77777777" w:rsidR="00DD34FD" w:rsidRPr="00DD34FD" w:rsidRDefault="00DD34FD" w:rsidP="00DD34FD">
      <w:pPr>
        <w:spacing w:line="240" w:lineRule="auto"/>
        <w:rPr>
          <w:rFonts w:eastAsia="Times New Roman" w:cs="Arial"/>
          <w:color w:val="000000"/>
          <w:u w:val="single"/>
          <w:lang w:eastAsia="bg-BG"/>
        </w:rPr>
      </w:pPr>
    </w:p>
    <w:p w14:paraId="08031A6C" w14:textId="4C7F53AD" w:rsidR="00DD34FD" w:rsidRPr="00DD34FD" w:rsidRDefault="00DD34FD" w:rsidP="00DD34FD">
      <w:pPr>
        <w:spacing w:line="240" w:lineRule="auto"/>
        <w:rPr>
          <w:rFonts w:eastAsia="Times New Roman" w:cs="Arial"/>
        </w:rPr>
      </w:pPr>
      <w:r w:rsidRPr="00DD34FD">
        <w:rPr>
          <w:rFonts w:eastAsia="Times New Roman" w:cs="Arial"/>
          <w:color w:val="000000"/>
          <w:u w:val="single"/>
          <w:lang w:eastAsia="bg-BG"/>
        </w:rPr>
        <w:t>Общи нарушения и ефекти на мястото на приложение:</w:t>
      </w:r>
    </w:p>
    <w:p w14:paraId="7A19469F"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Нечести: Периферен едем</w:t>
      </w:r>
    </w:p>
    <w:p w14:paraId="36B7341A"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Редки: Астения, умора</w:t>
      </w:r>
    </w:p>
    <w:p w14:paraId="2D56AA7B"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От спонтанни съобщения при пост-маркетингови изследвания, са съобщени следните нежелани реакции:</w:t>
      </w:r>
    </w:p>
    <w:p w14:paraId="7C5E6616" w14:textId="77777777" w:rsidR="00DD34FD" w:rsidRPr="00DD34FD" w:rsidRDefault="00DD34FD" w:rsidP="00DD34FD">
      <w:pPr>
        <w:spacing w:line="240" w:lineRule="auto"/>
        <w:rPr>
          <w:rFonts w:eastAsia="Times New Roman" w:cs="Arial"/>
          <w:color w:val="000000"/>
          <w:u w:val="single"/>
          <w:lang w:eastAsia="bg-BG"/>
        </w:rPr>
      </w:pPr>
    </w:p>
    <w:p w14:paraId="70D6ECC6" w14:textId="12F92DCA" w:rsidR="00DD34FD" w:rsidRPr="00DD34FD" w:rsidRDefault="00DD34FD" w:rsidP="00DD34FD">
      <w:pPr>
        <w:spacing w:line="240" w:lineRule="auto"/>
        <w:rPr>
          <w:rFonts w:eastAsia="Times New Roman" w:cs="Arial"/>
        </w:rPr>
      </w:pPr>
      <w:r w:rsidRPr="00DD34FD">
        <w:rPr>
          <w:rFonts w:eastAsia="Times New Roman" w:cs="Arial"/>
          <w:color w:val="000000"/>
          <w:u w:val="single"/>
          <w:lang w:eastAsia="bg-BG"/>
        </w:rPr>
        <w:t>Изследвания:</w:t>
      </w:r>
    </w:p>
    <w:p w14:paraId="00465BB3"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Много редки: Обратимо повишение на серумните нива на чернодробните трансаминази.</w:t>
      </w:r>
    </w:p>
    <w:p w14:paraId="6367CCEF" w14:textId="77777777" w:rsidR="00DD34FD" w:rsidRPr="00DD34FD" w:rsidRDefault="00DD34FD" w:rsidP="00DD34FD">
      <w:pPr>
        <w:spacing w:line="240" w:lineRule="auto"/>
        <w:rPr>
          <w:rFonts w:eastAsia="Times New Roman" w:cs="Arial"/>
          <w:color w:val="000000"/>
          <w:u w:val="single"/>
          <w:lang w:eastAsia="bg-BG"/>
        </w:rPr>
      </w:pPr>
    </w:p>
    <w:p w14:paraId="26388791" w14:textId="36C94BA5" w:rsidR="00DD34FD" w:rsidRPr="00DD34FD" w:rsidRDefault="00DD34FD" w:rsidP="00DD34FD">
      <w:pPr>
        <w:spacing w:line="240" w:lineRule="auto"/>
        <w:rPr>
          <w:rFonts w:eastAsia="Times New Roman" w:cs="Arial"/>
        </w:rPr>
      </w:pPr>
      <w:r w:rsidRPr="00DD34FD">
        <w:rPr>
          <w:rFonts w:eastAsia="Times New Roman" w:cs="Arial"/>
          <w:color w:val="000000"/>
          <w:u w:val="single"/>
          <w:lang w:eastAsia="bg-BG"/>
        </w:rPr>
        <w:t>Стомашно-чревни нарушения:</w:t>
      </w:r>
    </w:p>
    <w:p w14:paraId="61B59F97"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Много редки: Гингивална хипертрофия</w:t>
      </w:r>
    </w:p>
    <w:p w14:paraId="1ABA7070" w14:textId="77777777" w:rsidR="00DD34FD" w:rsidRPr="00DD34FD" w:rsidRDefault="00DD34FD" w:rsidP="00DD34FD">
      <w:pPr>
        <w:spacing w:line="240" w:lineRule="auto"/>
        <w:rPr>
          <w:rFonts w:eastAsia="Times New Roman" w:cs="Arial"/>
          <w:color w:val="000000"/>
          <w:u w:val="single"/>
          <w:lang w:eastAsia="bg-BG"/>
        </w:rPr>
      </w:pPr>
    </w:p>
    <w:p w14:paraId="0FB84AE3" w14:textId="202DDE6B" w:rsidR="00DD34FD" w:rsidRPr="00DD34FD" w:rsidRDefault="00DD34FD" w:rsidP="00DD34FD">
      <w:pPr>
        <w:spacing w:line="240" w:lineRule="auto"/>
        <w:rPr>
          <w:rFonts w:eastAsia="Times New Roman" w:cs="Arial"/>
        </w:rPr>
      </w:pPr>
      <w:r w:rsidRPr="00DD34FD">
        <w:rPr>
          <w:rFonts w:eastAsia="Times New Roman" w:cs="Arial"/>
          <w:color w:val="000000"/>
          <w:u w:val="single"/>
          <w:lang w:eastAsia="bg-BG"/>
        </w:rPr>
        <w:t>Нарушения на бъбреците и пикочните пътища:</w:t>
      </w:r>
    </w:p>
    <w:p w14:paraId="2C1D9093"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Много редки: Често уриниране</w:t>
      </w:r>
    </w:p>
    <w:p w14:paraId="05E43D34" w14:textId="77777777" w:rsidR="00DD34FD" w:rsidRPr="00DD34FD" w:rsidRDefault="00DD34FD" w:rsidP="00DD34FD">
      <w:pPr>
        <w:spacing w:line="240" w:lineRule="auto"/>
        <w:rPr>
          <w:rFonts w:eastAsia="Times New Roman" w:cs="Arial"/>
          <w:color w:val="000000"/>
          <w:u w:val="single"/>
          <w:lang w:eastAsia="bg-BG"/>
        </w:rPr>
      </w:pPr>
    </w:p>
    <w:p w14:paraId="05403464" w14:textId="7D7829B0" w:rsidR="00DD34FD" w:rsidRPr="00DD34FD" w:rsidRDefault="00DD34FD" w:rsidP="00DD34FD">
      <w:pPr>
        <w:spacing w:line="240" w:lineRule="auto"/>
        <w:rPr>
          <w:rFonts w:eastAsia="Times New Roman" w:cs="Arial"/>
        </w:rPr>
      </w:pPr>
      <w:r w:rsidRPr="00DD34FD">
        <w:rPr>
          <w:rFonts w:eastAsia="Times New Roman" w:cs="Arial"/>
          <w:color w:val="000000"/>
          <w:u w:val="single"/>
          <w:lang w:eastAsia="bg-BG"/>
        </w:rPr>
        <w:lastRenderedPageBreak/>
        <w:t>Съдови нарушения:</w:t>
      </w:r>
    </w:p>
    <w:p w14:paraId="0B26A3C4"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Много редки: Хипотония</w:t>
      </w:r>
    </w:p>
    <w:p w14:paraId="23378A9F" w14:textId="77777777" w:rsidR="00DD34FD" w:rsidRPr="00DD34FD" w:rsidRDefault="00DD34FD" w:rsidP="00DD34FD">
      <w:pPr>
        <w:spacing w:line="240" w:lineRule="auto"/>
        <w:rPr>
          <w:rFonts w:eastAsia="Times New Roman" w:cs="Arial"/>
          <w:color w:val="000000"/>
          <w:u w:val="single"/>
          <w:lang w:eastAsia="bg-BG"/>
        </w:rPr>
      </w:pPr>
    </w:p>
    <w:p w14:paraId="64655BF6" w14:textId="22B5602E" w:rsidR="00DD34FD" w:rsidRPr="00DD34FD" w:rsidRDefault="00DD34FD" w:rsidP="00DD34FD">
      <w:pPr>
        <w:spacing w:line="240" w:lineRule="auto"/>
        <w:rPr>
          <w:rFonts w:eastAsia="Times New Roman" w:cs="Arial"/>
        </w:rPr>
      </w:pPr>
      <w:r w:rsidRPr="00DD34FD">
        <w:rPr>
          <w:rFonts w:eastAsia="Times New Roman" w:cs="Arial"/>
          <w:color w:val="000000"/>
          <w:u w:val="single"/>
          <w:lang w:eastAsia="bg-BG"/>
        </w:rPr>
        <w:t>Общи нарушения и ефекти на мястото на приложение:</w:t>
      </w:r>
    </w:p>
    <w:p w14:paraId="1F85CA54" w14:textId="06FFE9B4" w:rsidR="00DD34FD" w:rsidRPr="00DD34FD" w:rsidRDefault="00DD34FD" w:rsidP="00DD34FD">
      <w:pPr>
        <w:spacing w:line="240" w:lineRule="auto"/>
        <w:rPr>
          <w:rFonts w:eastAsia="Times New Roman" w:cs="Arial"/>
        </w:rPr>
      </w:pPr>
      <w:r w:rsidRPr="00DD34FD">
        <w:rPr>
          <w:rFonts w:eastAsia="Times New Roman" w:cs="Arial"/>
          <w:color w:val="000000"/>
          <w:lang w:eastAsia="bg-BG"/>
        </w:rPr>
        <w:t>Много редки: Болка в гърдите</w:t>
      </w:r>
    </w:p>
    <w:p w14:paraId="03971BAB" w14:textId="77777777" w:rsidR="00DD34FD" w:rsidRPr="00DD34FD" w:rsidRDefault="00DD34FD" w:rsidP="00DD34FD">
      <w:pPr>
        <w:spacing w:line="240" w:lineRule="auto"/>
        <w:rPr>
          <w:rFonts w:eastAsia="Times New Roman" w:cs="Arial"/>
          <w:b/>
          <w:bCs/>
          <w:color w:val="000000"/>
          <w:lang w:eastAsia="bg-BG"/>
        </w:rPr>
      </w:pPr>
    </w:p>
    <w:p w14:paraId="6AAFC9CF" w14:textId="24CDBB4C" w:rsidR="00DD34FD" w:rsidRPr="00DD34FD" w:rsidRDefault="00DD34FD" w:rsidP="00DD34FD">
      <w:pPr>
        <w:spacing w:line="240" w:lineRule="auto"/>
        <w:rPr>
          <w:rFonts w:eastAsia="Times New Roman" w:cs="Arial"/>
        </w:rPr>
      </w:pPr>
      <w:r w:rsidRPr="00DD34FD">
        <w:rPr>
          <w:rFonts w:eastAsia="Times New Roman" w:cs="Arial"/>
          <w:b/>
          <w:bCs/>
          <w:color w:val="000000"/>
          <w:lang w:eastAsia="bg-BG"/>
        </w:rPr>
        <w:t>Съобщаване на подозирани нежелани реакции</w:t>
      </w:r>
    </w:p>
    <w:p w14:paraId="74DE0D78"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05B7BDCB"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Изпълнителна агенция по лекарствата</w:t>
      </w:r>
    </w:p>
    <w:p w14:paraId="74F8B856"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ул. „Дамян Груев” № 8</w:t>
      </w:r>
    </w:p>
    <w:p w14:paraId="04C49FCD"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1303 София</w:t>
      </w:r>
    </w:p>
    <w:p w14:paraId="063325F6"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Тел.:+359 2 8903417</w:t>
      </w:r>
    </w:p>
    <w:p w14:paraId="73440177" w14:textId="77777777" w:rsidR="00DD34FD" w:rsidRPr="00DD34FD" w:rsidRDefault="00DD34FD" w:rsidP="00DD34FD">
      <w:pPr>
        <w:spacing w:line="240" w:lineRule="auto"/>
        <w:rPr>
          <w:rFonts w:eastAsia="Times New Roman" w:cs="Arial"/>
        </w:rPr>
      </w:pPr>
      <w:r w:rsidRPr="00DD34FD">
        <w:rPr>
          <w:rFonts w:eastAsia="Times New Roman" w:cs="Arial"/>
          <w:color w:val="000000"/>
          <w:lang w:eastAsia="bg-BG"/>
        </w:rPr>
        <w:t xml:space="preserve">уебсайт: </w:t>
      </w:r>
      <w:r w:rsidRPr="00DD34FD">
        <w:rPr>
          <w:rFonts w:eastAsia="Times New Roman" w:cs="Arial"/>
        </w:rPr>
        <w:fldChar w:fldCharType="begin"/>
      </w:r>
      <w:r w:rsidRPr="00DD34FD">
        <w:rPr>
          <w:rFonts w:eastAsia="Times New Roman" w:cs="Arial"/>
        </w:rPr>
        <w:instrText xml:space="preserve"> HYPERLINK "http://www.bda.bg" </w:instrText>
      </w:r>
      <w:r w:rsidRPr="00DD34FD">
        <w:rPr>
          <w:rFonts w:eastAsia="Times New Roman" w:cs="Arial"/>
        </w:rPr>
      </w:r>
      <w:r w:rsidRPr="00DD34FD">
        <w:rPr>
          <w:rFonts w:eastAsia="Times New Roman" w:cs="Arial"/>
        </w:rPr>
        <w:fldChar w:fldCharType="separate"/>
      </w:r>
      <w:r w:rsidRPr="00DD34FD">
        <w:rPr>
          <w:rFonts w:eastAsia="Times New Roman" w:cs="Arial"/>
          <w:color w:val="000000"/>
          <w:u w:val="single"/>
          <w:lang w:val="en-US"/>
        </w:rPr>
        <w:t>www</w:t>
      </w:r>
      <w:r w:rsidRPr="00DD34FD">
        <w:rPr>
          <w:rFonts w:eastAsia="Times New Roman" w:cs="Arial"/>
          <w:color w:val="000000"/>
          <w:u w:val="single"/>
          <w:lang w:val="ru-RU"/>
        </w:rPr>
        <w:t>.</w:t>
      </w:r>
      <w:proofErr w:type="spellStart"/>
      <w:r w:rsidRPr="00DD34FD">
        <w:rPr>
          <w:rFonts w:eastAsia="Times New Roman" w:cs="Arial"/>
          <w:color w:val="000000"/>
          <w:u w:val="single"/>
          <w:lang w:val="en-US"/>
        </w:rPr>
        <w:t>bda</w:t>
      </w:r>
      <w:proofErr w:type="spellEnd"/>
      <w:r w:rsidRPr="00DD34FD">
        <w:rPr>
          <w:rFonts w:eastAsia="Times New Roman" w:cs="Arial"/>
          <w:color w:val="000000"/>
          <w:u w:val="single"/>
          <w:lang w:val="ru-RU"/>
        </w:rPr>
        <w:t>.</w:t>
      </w:r>
      <w:proofErr w:type="spellStart"/>
      <w:r w:rsidRPr="00DD34FD">
        <w:rPr>
          <w:rFonts w:eastAsia="Times New Roman" w:cs="Arial"/>
          <w:color w:val="000000"/>
          <w:u w:val="single"/>
          <w:lang w:val="en-US"/>
        </w:rPr>
        <w:t>bg</w:t>
      </w:r>
      <w:proofErr w:type="spellEnd"/>
      <w:r w:rsidRPr="00DD34FD">
        <w:rPr>
          <w:rFonts w:eastAsia="Times New Roman" w:cs="Arial"/>
        </w:rPr>
        <w:fldChar w:fldCharType="end"/>
      </w:r>
    </w:p>
    <w:p w14:paraId="30AA280B" w14:textId="79F5E98B" w:rsidR="00DD34FD" w:rsidRPr="00DD34FD" w:rsidRDefault="00DD34FD" w:rsidP="00DD34FD"/>
    <w:p w14:paraId="5A87DBA3" w14:textId="26DDC46E" w:rsidR="007122AD" w:rsidRDefault="002C50EE" w:rsidP="00936AD0">
      <w:pPr>
        <w:pStyle w:val="Heading2"/>
      </w:pPr>
      <w:r>
        <w:t>4.9. Предозиране</w:t>
      </w:r>
    </w:p>
    <w:p w14:paraId="24C56AEE" w14:textId="44A4046D" w:rsidR="00DD34FD" w:rsidRDefault="00DD34FD" w:rsidP="00DD34FD"/>
    <w:p w14:paraId="65BB2777" w14:textId="77777777" w:rsidR="00DD34FD" w:rsidRPr="00DD34FD" w:rsidRDefault="00DD34FD" w:rsidP="00DD34FD">
      <w:pPr>
        <w:rPr>
          <w:sz w:val="24"/>
          <w:szCs w:val="24"/>
        </w:rPr>
      </w:pPr>
      <w:r w:rsidRPr="00DD34FD">
        <w:rPr>
          <w:lang w:eastAsia="bg-BG"/>
        </w:rPr>
        <w:t xml:space="preserve">В пост маркетингови проучвания три случая на предозиране са съобщени (при дози от 150 </w:t>
      </w:r>
      <w:r w:rsidRPr="00DD34FD">
        <w:rPr>
          <w:lang w:val="en-US"/>
        </w:rPr>
        <w:t>mg</w:t>
      </w:r>
      <w:r w:rsidRPr="00DD34FD">
        <w:rPr>
          <w:lang w:val="ru-RU"/>
        </w:rPr>
        <w:t xml:space="preserve">, </w:t>
      </w:r>
      <w:r w:rsidRPr="00DD34FD">
        <w:rPr>
          <w:lang w:eastAsia="bg-BG"/>
        </w:rPr>
        <w:t xml:space="preserve">280 </w:t>
      </w:r>
      <w:r w:rsidRPr="00DD34FD">
        <w:rPr>
          <w:lang w:val="en-US"/>
        </w:rPr>
        <w:t>mg</w:t>
      </w:r>
      <w:r w:rsidRPr="00DD34FD">
        <w:rPr>
          <w:lang w:val="ru-RU"/>
        </w:rPr>
        <w:t xml:space="preserve"> </w:t>
      </w:r>
      <w:r w:rsidRPr="00DD34FD">
        <w:rPr>
          <w:lang w:eastAsia="bg-BG"/>
        </w:rPr>
        <w:t xml:space="preserve">и 800 </w:t>
      </w:r>
      <w:r w:rsidRPr="00DD34FD">
        <w:rPr>
          <w:lang w:val="en-US"/>
        </w:rPr>
        <w:t>mg</w:t>
      </w:r>
      <w:r w:rsidRPr="00DD34FD">
        <w:rPr>
          <w:lang w:val="ru-RU"/>
        </w:rPr>
        <w:t xml:space="preserve"> </w:t>
      </w:r>
      <w:r w:rsidRPr="00DD34FD">
        <w:rPr>
          <w:lang w:eastAsia="bg-BG"/>
        </w:rPr>
        <w:t>лерканидипин, приложени с цел самоубийство). При първия пациент се наблюдава сънливост и е направена стомашна промивка. При втория пациент се развива кардиогенен шок с тежка миокардна исхемия и лека бъбречна недостатъчност и е лекуван с високи дози катехоламини, фуроземид, дигиталис и парентерални плазмени заместители. При третият пациент се наблюдава повръщане и хипотония и е лекуван с активен въглен, лаксативи и инфузия с допамин. И тримата пациенти се възстановяват без последствия.</w:t>
      </w:r>
    </w:p>
    <w:p w14:paraId="35DCFD80" w14:textId="77777777" w:rsidR="00DD34FD" w:rsidRDefault="00DD34FD" w:rsidP="00DD34FD">
      <w:pPr>
        <w:rPr>
          <w:lang w:eastAsia="bg-BG"/>
        </w:rPr>
      </w:pPr>
    </w:p>
    <w:p w14:paraId="634AACE0" w14:textId="6A0D75BA" w:rsidR="00DD34FD" w:rsidRDefault="00DD34FD" w:rsidP="00DD34FD">
      <w:pPr>
        <w:rPr>
          <w:lang w:eastAsia="bg-BG"/>
        </w:rPr>
      </w:pPr>
      <w:r w:rsidRPr="00DD34FD">
        <w:rPr>
          <w:lang w:eastAsia="bg-BG"/>
        </w:rPr>
        <w:t>Може да се очаква, че предозирането ще доведе до прекомерна периферна вазодилатация със значителна хипотония и рефлекторна тахикардия. В случай на тежка хипотония, брадикардия и загуба на съзнание се прилага поддържащо сърдечно-сьдово лечение и интравенозно атроцин за брадикардията.</w:t>
      </w:r>
    </w:p>
    <w:p w14:paraId="216A40B5" w14:textId="044114F5" w:rsidR="00DD34FD" w:rsidRDefault="00DD34FD" w:rsidP="00DD34FD">
      <w:pPr>
        <w:rPr>
          <w:lang w:eastAsia="bg-BG"/>
        </w:rPr>
      </w:pPr>
    </w:p>
    <w:p w14:paraId="57CA7442" w14:textId="77777777" w:rsidR="00DD34FD" w:rsidRPr="00DD34FD" w:rsidRDefault="00DD34FD" w:rsidP="00DD34FD">
      <w:pPr>
        <w:rPr>
          <w:sz w:val="24"/>
          <w:szCs w:val="24"/>
        </w:rPr>
      </w:pPr>
      <w:r w:rsidRPr="00DD34FD">
        <w:rPr>
          <w:lang w:eastAsia="bg-BG"/>
        </w:rPr>
        <w:t>Поради продължителният фармакологичен ефект на лерканидипин, при предозиране е много важно сърдечно-съдовата система на пациентите да се мониторира в продължение поне на 24 часа. Няма информация за ползата от диализата. Тъй като лекарството е високолипофилно, много е вероятно плазмените нива да не са показателни за продължителността на рисковия период и диализата може да не е ефективна.</w:t>
      </w:r>
    </w:p>
    <w:p w14:paraId="4FCDAD21" w14:textId="77777777" w:rsidR="00DD34FD" w:rsidRPr="00DD34FD" w:rsidRDefault="00DD34FD" w:rsidP="00DD34FD"/>
    <w:p w14:paraId="02081B24" w14:textId="1F46E296" w:rsidR="00395555" w:rsidRPr="00395555" w:rsidRDefault="002C50EE" w:rsidP="008A6AF2">
      <w:pPr>
        <w:pStyle w:val="Heading1"/>
      </w:pPr>
      <w:r>
        <w:t>5. ФАРМАКОЛОГИЧНИ СВОЙСТВА</w:t>
      </w:r>
    </w:p>
    <w:p w14:paraId="7DE36AC8" w14:textId="0CDAE7E3" w:rsidR="00B6672E" w:rsidRDefault="002C50EE" w:rsidP="00936AD0">
      <w:pPr>
        <w:pStyle w:val="Heading2"/>
      </w:pPr>
      <w:r>
        <w:t>5.1. Фармакодинамични свойства</w:t>
      </w:r>
    </w:p>
    <w:p w14:paraId="44FEB61F" w14:textId="7A9DA81D" w:rsidR="00DD34FD" w:rsidRDefault="00DD34FD" w:rsidP="00DD34FD"/>
    <w:p w14:paraId="67970EFE"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Фармакотерапевтична група: селективни блокери на калциевите канали главно със съдови ефекти АТС код: С08СА13</w:t>
      </w:r>
    </w:p>
    <w:p w14:paraId="45CBA34A" w14:textId="77777777" w:rsidR="00DD34FD" w:rsidRPr="00DD34FD" w:rsidRDefault="00DD34FD" w:rsidP="00DD34FD">
      <w:pPr>
        <w:spacing w:line="240" w:lineRule="auto"/>
        <w:rPr>
          <w:rFonts w:eastAsia="Times New Roman" w:cs="Arial"/>
          <w:color w:val="000000"/>
          <w:szCs w:val="20"/>
          <w:lang w:eastAsia="bg-BG"/>
        </w:rPr>
      </w:pPr>
    </w:p>
    <w:p w14:paraId="2927249B" w14:textId="5050C613"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Лерканидипин е калциев антагонист от групата на дихидропиридините и инхибира трансмембранния инфлукс на калций в сърцето и в гладката мускулатура. Механизмът на </w:t>
      </w:r>
      <w:r w:rsidRPr="00DD34FD">
        <w:rPr>
          <w:rFonts w:eastAsia="Times New Roman" w:cs="Arial"/>
          <w:color w:val="000000"/>
          <w:szCs w:val="20"/>
          <w:lang w:eastAsia="bg-BG"/>
        </w:rPr>
        <w:lastRenderedPageBreak/>
        <w:t>антихипертензивното му действие се дължи на директен релаксиращ ефект върху съдовата гладка мускулатура и по този начин понижава общото периферно съпротивление. Независимо от краткото му плазмено време на полуживот, лерканидипин притежава продължително антихипертензивно действие поради високия мембранен разделителен коефициент и е лишен от отрицателен инотропен ефект, благодарение на високата съдова селективност.</w:t>
      </w:r>
    </w:p>
    <w:p w14:paraId="5DB40B39"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Тъй като вазодилатацията, предизвикана от лерканидипин е с плавно начало, рядко се наблюдават остра хипотония и рефлекторна тахикардия при хипертоници.</w:t>
      </w:r>
    </w:p>
    <w:p w14:paraId="5F1F7D65"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Подобно на другите асиметрични 1,4-дихидропиридини, антихипертензивното действие на лерканидипин се дължи главно на </w:t>
      </w:r>
      <w:r w:rsidRPr="00DD34FD">
        <w:rPr>
          <w:rFonts w:eastAsia="Times New Roman" w:cs="Arial"/>
          <w:color w:val="000000"/>
          <w:szCs w:val="20"/>
          <w:lang w:val="en-US"/>
        </w:rPr>
        <w:t>S</w:t>
      </w:r>
      <w:r w:rsidRPr="00DD34FD">
        <w:rPr>
          <w:rFonts w:eastAsia="Times New Roman" w:cs="Arial"/>
          <w:color w:val="000000"/>
          <w:szCs w:val="20"/>
          <w:lang w:val="ru-RU"/>
        </w:rPr>
        <w:t xml:space="preserve"> </w:t>
      </w:r>
      <w:r w:rsidRPr="00DD34FD">
        <w:rPr>
          <w:rFonts w:eastAsia="Times New Roman" w:cs="Arial"/>
          <w:color w:val="000000"/>
          <w:szCs w:val="20"/>
          <w:lang w:eastAsia="bg-BG"/>
        </w:rPr>
        <w:t>- енантиомера.</w:t>
      </w:r>
    </w:p>
    <w:p w14:paraId="0D474D1C" w14:textId="3044264D" w:rsidR="00DD34FD" w:rsidRDefault="00DD34FD" w:rsidP="00DD34FD">
      <w:pPr>
        <w:rPr>
          <w:rFonts w:ascii="Times New Roman" w:eastAsia="Times New Roman" w:hAnsi="Times New Roman" w:cs="Times New Roman"/>
          <w:color w:val="000000"/>
          <w:sz w:val="20"/>
          <w:szCs w:val="20"/>
          <w:lang w:val="ru-RU"/>
        </w:rPr>
      </w:pPr>
      <w:r w:rsidRPr="00DD34FD">
        <w:rPr>
          <w:rFonts w:eastAsia="Times New Roman" w:cs="Arial"/>
          <w:color w:val="000000"/>
          <w:szCs w:val="20"/>
          <w:lang w:eastAsia="bg-BG"/>
        </w:rPr>
        <w:t xml:space="preserve">В допълнение към клиничните проучвания за подкрепа на терапевтичните показания, са проведени и допълнителни малки неконтролирани, но рандомизирани проучвания с пациенти с тежка хипертония (средно ± </w:t>
      </w:r>
      <w:r w:rsidRPr="00DD34FD">
        <w:rPr>
          <w:rFonts w:eastAsia="Times New Roman" w:cs="Arial"/>
          <w:color w:val="000000"/>
          <w:szCs w:val="20"/>
          <w:lang w:val="en-US"/>
        </w:rPr>
        <w:t>SD</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диастолно артериално налягане 114.5±3.7 </w:t>
      </w:r>
      <w:r w:rsidRPr="00DD34FD">
        <w:rPr>
          <w:rFonts w:eastAsia="Times New Roman" w:cs="Arial"/>
          <w:color w:val="000000"/>
          <w:szCs w:val="20"/>
          <w:lang w:val="en-US"/>
        </w:rPr>
        <w:t>mmHg</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Тези проучвания доказват, че кръвното налягане се нормализира в 40 % от 25-те пациента при приложение на 20 </w:t>
      </w:r>
      <w:r w:rsidRPr="00DD34FD">
        <w:rPr>
          <w:rFonts w:eastAsia="Times New Roman" w:cs="Arial"/>
          <w:color w:val="000000"/>
          <w:szCs w:val="20"/>
          <w:lang w:val="en-US"/>
        </w:rPr>
        <w:t>mg</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еднократно дневно и в 56 % от 25-те пациента при приложение на 20 </w:t>
      </w:r>
      <w:r w:rsidRPr="00DD34FD">
        <w:rPr>
          <w:rFonts w:eastAsia="Times New Roman" w:cs="Arial"/>
          <w:color w:val="000000"/>
          <w:szCs w:val="20"/>
          <w:lang w:val="en-US"/>
        </w:rPr>
        <w:t>mg</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Арета два пъти дневно. В двойно-сляпо, рандомизирано контролирано проучване спрямо плацебо при пациенти с изолирана систолна хипертония, Арета е ефективен за понижаване на систолното артериално налягане от начални стойности 172.6±5.6 </w:t>
      </w:r>
      <w:r w:rsidRPr="00DD34FD">
        <w:rPr>
          <w:rFonts w:eastAsia="Times New Roman" w:cs="Arial"/>
          <w:color w:val="000000"/>
          <w:szCs w:val="20"/>
          <w:lang w:val="en-US"/>
        </w:rPr>
        <w:t>mmHg</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до 140.2±8.7 </w:t>
      </w:r>
      <w:r w:rsidRPr="00DD34FD">
        <w:rPr>
          <w:rFonts w:eastAsia="Times New Roman" w:cs="Arial"/>
          <w:color w:val="000000"/>
          <w:szCs w:val="20"/>
          <w:lang w:val="en-US"/>
        </w:rPr>
        <w:t>mmHg</w:t>
      </w:r>
      <w:r w:rsidRPr="00DD34FD">
        <w:rPr>
          <w:rFonts w:eastAsia="Times New Roman" w:cs="Arial"/>
          <w:color w:val="000000"/>
          <w:szCs w:val="20"/>
          <w:lang w:val="ru-RU"/>
        </w:rPr>
        <w:t>.</w:t>
      </w:r>
    </w:p>
    <w:p w14:paraId="431FB10B" w14:textId="31D7C99D" w:rsidR="00DD34FD" w:rsidRPr="00DD34FD" w:rsidRDefault="00DD34FD" w:rsidP="00DD34FD">
      <w:pPr>
        <w:rPr>
          <w:lang w:val="ru-RU"/>
        </w:rPr>
      </w:pPr>
    </w:p>
    <w:p w14:paraId="78DD93AA" w14:textId="3E5E64FA" w:rsidR="00B6672E" w:rsidRDefault="002C50EE" w:rsidP="00936AD0">
      <w:pPr>
        <w:pStyle w:val="Heading2"/>
      </w:pPr>
      <w:r>
        <w:t>5.2. Фармакокинетични свойства</w:t>
      </w:r>
    </w:p>
    <w:p w14:paraId="46549599" w14:textId="35FBF310" w:rsidR="00DD34FD" w:rsidRDefault="00DD34FD" w:rsidP="00DD34FD"/>
    <w:p w14:paraId="0C153DE7" w14:textId="77777777" w:rsidR="00DD34FD" w:rsidRPr="00DD34FD" w:rsidRDefault="00DD34FD" w:rsidP="00DD34FD">
      <w:pPr>
        <w:pStyle w:val="Heading3"/>
        <w:rPr>
          <w:rFonts w:eastAsia="Times New Roman"/>
          <w:b/>
          <w:sz w:val="28"/>
        </w:rPr>
      </w:pPr>
      <w:r w:rsidRPr="00DD34FD">
        <w:rPr>
          <w:rFonts w:eastAsia="Times New Roman"/>
          <w:b/>
          <w:lang w:eastAsia="bg-BG"/>
        </w:rPr>
        <w:t>Абсорбция</w:t>
      </w:r>
    </w:p>
    <w:p w14:paraId="25F479F2"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Арета се абсорбира напълно след перорално приложение на 10-20 </w:t>
      </w:r>
      <w:r w:rsidRPr="00DD34FD">
        <w:rPr>
          <w:rFonts w:eastAsia="Times New Roman" w:cs="Arial"/>
          <w:color w:val="000000"/>
          <w:szCs w:val="20"/>
          <w:lang w:val="en-US"/>
        </w:rPr>
        <w:t>mg</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и достига съответни максимални плазмени нива 3.30 </w:t>
      </w:r>
      <w:r w:rsidRPr="00DD34FD">
        <w:rPr>
          <w:rFonts w:eastAsia="Times New Roman" w:cs="Arial"/>
          <w:color w:val="000000"/>
          <w:szCs w:val="20"/>
          <w:lang w:val="en-US"/>
        </w:rPr>
        <w:t>ng</w:t>
      </w:r>
      <w:r w:rsidRPr="00DD34FD">
        <w:rPr>
          <w:rFonts w:eastAsia="Times New Roman" w:cs="Arial"/>
          <w:color w:val="000000"/>
          <w:szCs w:val="20"/>
          <w:lang w:val="ru-RU"/>
        </w:rPr>
        <w:t>/</w:t>
      </w:r>
      <w:r w:rsidRPr="00DD34FD">
        <w:rPr>
          <w:rFonts w:eastAsia="Times New Roman" w:cs="Arial"/>
          <w:color w:val="000000"/>
          <w:szCs w:val="20"/>
          <w:lang w:val="en-US"/>
        </w:rPr>
        <w:t>ml</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 2.09 </w:t>
      </w:r>
      <w:r w:rsidRPr="00DD34FD">
        <w:rPr>
          <w:rFonts w:eastAsia="Times New Roman" w:cs="Arial"/>
          <w:color w:val="000000"/>
          <w:szCs w:val="20"/>
          <w:lang w:val="en-US"/>
        </w:rPr>
        <w:t>s</w:t>
      </w:r>
      <w:r w:rsidRPr="00DD34FD">
        <w:rPr>
          <w:rFonts w:eastAsia="Times New Roman" w:cs="Arial"/>
          <w:color w:val="000000"/>
          <w:szCs w:val="20"/>
          <w:lang w:val="ru-RU"/>
        </w:rPr>
        <w:t>.</w:t>
      </w:r>
      <w:r w:rsidRPr="00DD34FD">
        <w:rPr>
          <w:rFonts w:eastAsia="Times New Roman" w:cs="Arial"/>
          <w:color w:val="000000"/>
          <w:szCs w:val="20"/>
          <w:lang w:val="en-US"/>
        </w:rPr>
        <w:t>d</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и 7.66 </w:t>
      </w:r>
      <w:r w:rsidRPr="00DD34FD">
        <w:rPr>
          <w:rFonts w:eastAsia="Times New Roman" w:cs="Arial"/>
          <w:color w:val="000000"/>
          <w:szCs w:val="20"/>
          <w:lang w:val="en-US"/>
        </w:rPr>
        <w:t>ng</w:t>
      </w:r>
      <w:r w:rsidRPr="00DD34FD">
        <w:rPr>
          <w:rFonts w:eastAsia="Times New Roman" w:cs="Arial"/>
          <w:color w:val="000000"/>
          <w:szCs w:val="20"/>
          <w:lang w:val="ru-RU"/>
        </w:rPr>
        <w:t>/</w:t>
      </w:r>
      <w:r w:rsidRPr="00DD34FD">
        <w:rPr>
          <w:rFonts w:eastAsia="Times New Roman" w:cs="Arial"/>
          <w:color w:val="000000"/>
          <w:szCs w:val="20"/>
          <w:lang w:val="en-US"/>
        </w:rPr>
        <w:t>ml</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 5.90 </w:t>
      </w:r>
      <w:r w:rsidRPr="00DD34FD">
        <w:rPr>
          <w:rFonts w:eastAsia="Times New Roman" w:cs="Arial"/>
          <w:color w:val="000000"/>
          <w:szCs w:val="20"/>
          <w:lang w:val="en-US"/>
        </w:rPr>
        <w:t>s</w:t>
      </w:r>
      <w:r w:rsidRPr="00DD34FD">
        <w:rPr>
          <w:rFonts w:eastAsia="Times New Roman" w:cs="Arial"/>
          <w:color w:val="000000"/>
          <w:szCs w:val="20"/>
          <w:lang w:val="ru-RU"/>
        </w:rPr>
        <w:t>.</w:t>
      </w:r>
      <w:r w:rsidRPr="00DD34FD">
        <w:rPr>
          <w:rFonts w:eastAsia="Times New Roman" w:cs="Arial"/>
          <w:color w:val="000000"/>
          <w:szCs w:val="20"/>
          <w:lang w:val="en-US"/>
        </w:rPr>
        <w:t>d</w:t>
      </w:r>
      <w:r w:rsidRPr="00DD34FD">
        <w:rPr>
          <w:rFonts w:eastAsia="Times New Roman" w:cs="Arial"/>
          <w:color w:val="000000"/>
          <w:szCs w:val="20"/>
          <w:lang w:val="ru-RU"/>
        </w:rPr>
        <w:t xml:space="preserve">., </w:t>
      </w:r>
      <w:r w:rsidRPr="00DD34FD">
        <w:rPr>
          <w:rFonts w:eastAsia="Times New Roman" w:cs="Arial"/>
          <w:color w:val="000000"/>
          <w:szCs w:val="20"/>
          <w:lang w:eastAsia="bg-BG"/>
        </w:rPr>
        <w:t>1.5-3 часа след приложението.</w:t>
      </w:r>
    </w:p>
    <w:p w14:paraId="2EF70724"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Двата енантиомера на лерканидипин имат подобен профил по отношение на плазмените нива: еднакво време за достигане на максимални плазмени концентрции; максималните плазмени концентрации и </w:t>
      </w:r>
      <w:r w:rsidRPr="00DD34FD">
        <w:rPr>
          <w:rFonts w:eastAsia="Times New Roman" w:cs="Arial"/>
          <w:color w:val="000000"/>
          <w:szCs w:val="20"/>
          <w:lang w:val="en-US"/>
        </w:rPr>
        <w:t>AUC</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са средно 1.2 пъти по-високи за </w:t>
      </w:r>
      <w:r w:rsidRPr="00DD34FD">
        <w:rPr>
          <w:rFonts w:eastAsia="Times New Roman" w:cs="Arial"/>
          <w:color w:val="000000"/>
          <w:szCs w:val="20"/>
          <w:lang w:val="en-US"/>
        </w:rPr>
        <w:t>S</w:t>
      </w:r>
      <w:r w:rsidRPr="00DD34FD">
        <w:rPr>
          <w:rFonts w:eastAsia="Times New Roman" w:cs="Arial"/>
          <w:color w:val="000000"/>
          <w:szCs w:val="20"/>
          <w:lang w:eastAsia="bg-BG"/>
        </w:rPr>
        <w:t xml:space="preserve">-енантиомера, времето на полуживот на двата енантиомера е принципно еднакво. Не се наблюдава </w:t>
      </w:r>
      <w:r w:rsidRPr="00DD34FD">
        <w:rPr>
          <w:rFonts w:eastAsia="Times New Roman" w:cs="Arial"/>
          <w:i/>
          <w:iCs/>
          <w:color w:val="000000"/>
          <w:szCs w:val="20"/>
          <w:lang w:val="en-US"/>
        </w:rPr>
        <w:t>in vivo</w:t>
      </w:r>
      <w:r w:rsidRPr="00DD34FD">
        <w:rPr>
          <w:rFonts w:eastAsia="Times New Roman" w:cs="Arial"/>
          <w:color w:val="000000"/>
          <w:szCs w:val="20"/>
          <w:lang w:val="en-US"/>
        </w:rPr>
        <w:t xml:space="preserve"> </w:t>
      </w:r>
      <w:r w:rsidRPr="00DD34FD">
        <w:rPr>
          <w:rFonts w:eastAsia="Times New Roman" w:cs="Arial"/>
          <w:color w:val="000000"/>
          <w:szCs w:val="20"/>
          <w:lang w:eastAsia="bg-BG"/>
        </w:rPr>
        <w:t>интерконверсия на двата енантиомера.</w:t>
      </w:r>
    </w:p>
    <w:p w14:paraId="1DA8768B" w14:textId="1D07A65C" w:rsidR="00DD34FD" w:rsidRPr="00DD34FD" w:rsidRDefault="00DD34FD" w:rsidP="00DD34FD">
      <w:pPr>
        <w:rPr>
          <w:rFonts w:eastAsia="Times New Roman" w:cs="Arial"/>
          <w:color w:val="000000"/>
          <w:szCs w:val="20"/>
          <w:lang w:eastAsia="bg-BG"/>
        </w:rPr>
      </w:pPr>
      <w:r w:rsidRPr="00DD34FD">
        <w:rPr>
          <w:rFonts w:eastAsia="Times New Roman" w:cs="Arial"/>
          <w:color w:val="000000"/>
          <w:szCs w:val="20"/>
          <w:lang w:eastAsia="bg-BG"/>
        </w:rPr>
        <w:t xml:space="preserve">Поради високия </w:t>
      </w:r>
      <w:r w:rsidRPr="00DD34FD">
        <w:rPr>
          <w:rFonts w:eastAsia="Times New Roman" w:cs="Arial"/>
          <w:color w:val="000000"/>
          <w:szCs w:val="20"/>
          <w:lang w:val="en-US"/>
        </w:rPr>
        <w:t>first</w:t>
      </w:r>
      <w:r w:rsidRPr="00DD34FD">
        <w:rPr>
          <w:rFonts w:eastAsia="Times New Roman" w:cs="Arial"/>
          <w:color w:val="000000"/>
          <w:szCs w:val="20"/>
          <w:lang w:val="ru-RU"/>
        </w:rPr>
        <w:t>-</w:t>
      </w:r>
      <w:r w:rsidRPr="00DD34FD">
        <w:rPr>
          <w:rFonts w:eastAsia="Times New Roman" w:cs="Arial"/>
          <w:color w:val="000000"/>
          <w:szCs w:val="20"/>
          <w:lang w:val="en-US"/>
        </w:rPr>
        <w:t>pass</w:t>
      </w:r>
      <w:r w:rsidRPr="00DD34FD">
        <w:rPr>
          <w:rFonts w:eastAsia="Times New Roman" w:cs="Arial"/>
          <w:color w:val="000000"/>
          <w:szCs w:val="20"/>
          <w:lang w:val="ru-RU"/>
        </w:rPr>
        <w:t xml:space="preserve"> </w:t>
      </w:r>
      <w:r w:rsidRPr="00DD34FD">
        <w:rPr>
          <w:rFonts w:eastAsia="Times New Roman" w:cs="Arial"/>
          <w:color w:val="000000"/>
          <w:szCs w:val="20"/>
          <w:lang w:eastAsia="bg-BG"/>
        </w:rPr>
        <w:t>метаболизъм, абсолютната бионаличност на Арета след перорално приложение при пациенти по време на хранене е около 10 %, въпреки че намалява до 1/3 при здрави доброволци, приложен на гладно.</w:t>
      </w:r>
    </w:p>
    <w:p w14:paraId="4985D1F1" w14:textId="2DD3DF12" w:rsidR="00DD34FD" w:rsidRPr="00DD34FD" w:rsidRDefault="00DD34FD" w:rsidP="00DD34FD">
      <w:pPr>
        <w:rPr>
          <w:rFonts w:eastAsia="Times New Roman" w:cs="Arial"/>
          <w:color w:val="000000"/>
          <w:szCs w:val="20"/>
          <w:lang w:eastAsia="bg-BG"/>
        </w:rPr>
      </w:pPr>
    </w:p>
    <w:p w14:paraId="40EA6AB5"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Бионаличността на лерканидипин при перорално приложение се увеличава 4 пъти, ако Арета се приеме до 2 часа след консумация на храна, богата на мазнини. Следователно Арета трябва да се приема преди хранене.</w:t>
      </w:r>
    </w:p>
    <w:p w14:paraId="426BE61B" w14:textId="77777777" w:rsidR="00DD34FD" w:rsidRPr="00DD34FD" w:rsidRDefault="00DD34FD" w:rsidP="00DD34FD">
      <w:pPr>
        <w:spacing w:line="240" w:lineRule="auto"/>
        <w:rPr>
          <w:rFonts w:eastAsia="Times New Roman" w:cs="Arial"/>
          <w:b/>
          <w:bCs/>
          <w:color w:val="000000"/>
          <w:szCs w:val="20"/>
          <w:lang w:eastAsia="bg-BG"/>
        </w:rPr>
      </w:pPr>
    </w:p>
    <w:p w14:paraId="7C0C73CC" w14:textId="585B5229" w:rsidR="00DD34FD" w:rsidRPr="00DD34FD" w:rsidRDefault="00DD34FD" w:rsidP="00DD34FD">
      <w:pPr>
        <w:pStyle w:val="Heading3"/>
        <w:rPr>
          <w:rFonts w:eastAsia="Times New Roman"/>
          <w:b/>
          <w:sz w:val="28"/>
        </w:rPr>
      </w:pPr>
      <w:r w:rsidRPr="00DD34FD">
        <w:rPr>
          <w:rFonts w:eastAsia="Times New Roman"/>
          <w:b/>
          <w:lang w:eastAsia="bg-BG"/>
        </w:rPr>
        <w:t>Разпределение</w:t>
      </w:r>
    </w:p>
    <w:p w14:paraId="04C362FB" w14:textId="6DF4833B"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Разпределението от плазмата към тъканите и органите е бързо и пълно.</w:t>
      </w:r>
    </w:p>
    <w:p w14:paraId="56B8F30D"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Степента на свързване на лерканидипин с плазмените протеини надвишава 98%. Тъй като пациентите с тежка бъбречна и тежка чернодробна недостатъчност имат понижени нива на плазмените протеини, може да се повиши свободната фракция на лекарството.</w:t>
      </w:r>
    </w:p>
    <w:p w14:paraId="73EF8838" w14:textId="77777777" w:rsidR="00DD34FD" w:rsidRPr="00DD34FD" w:rsidRDefault="00DD34FD" w:rsidP="00DD34FD">
      <w:pPr>
        <w:spacing w:line="240" w:lineRule="auto"/>
        <w:rPr>
          <w:rFonts w:eastAsia="Times New Roman" w:cs="Arial"/>
          <w:b/>
          <w:bCs/>
          <w:color w:val="000000"/>
          <w:szCs w:val="20"/>
          <w:lang w:eastAsia="bg-BG"/>
        </w:rPr>
      </w:pPr>
    </w:p>
    <w:p w14:paraId="10511896" w14:textId="1B9D1306" w:rsidR="00DD34FD" w:rsidRPr="00DD34FD" w:rsidRDefault="00DD34FD" w:rsidP="00DD34FD">
      <w:pPr>
        <w:pStyle w:val="Heading3"/>
        <w:rPr>
          <w:rFonts w:eastAsia="Times New Roman"/>
          <w:b/>
          <w:sz w:val="28"/>
        </w:rPr>
      </w:pPr>
      <w:r w:rsidRPr="00DD34FD">
        <w:rPr>
          <w:rFonts w:eastAsia="Times New Roman"/>
          <w:b/>
          <w:lang w:eastAsia="bg-BG"/>
        </w:rPr>
        <w:lastRenderedPageBreak/>
        <w:t>Биотрансформация</w:t>
      </w:r>
    </w:p>
    <w:p w14:paraId="1228E453"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Арета се метаболизира в голяма степен от </w:t>
      </w:r>
      <w:r w:rsidRPr="00DD34FD">
        <w:rPr>
          <w:rFonts w:eastAsia="Times New Roman" w:cs="Arial"/>
          <w:color w:val="000000"/>
          <w:szCs w:val="20"/>
          <w:lang w:val="en-US"/>
        </w:rPr>
        <w:t>CYP</w:t>
      </w:r>
      <w:r w:rsidRPr="00DD34FD">
        <w:rPr>
          <w:rFonts w:eastAsia="Times New Roman" w:cs="Arial"/>
          <w:color w:val="000000"/>
          <w:szCs w:val="20"/>
          <w:lang w:val="ru-RU"/>
        </w:rPr>
        <w:t>3</w:t>
      </w:r>
      <w:r w:rsidRPr="00DD34FD">
        <w:rPr>
          <w:rFonts w:eastAsia="Times New Roman" w:cs="Arial"/>
          <w:color w:val="000000"/>
          <w:szCs w:val="20"/>
          <w:lang w:val="en-US"/>
        </w:rPr>
        <w:t>A</w:t>
      </w:r>
      <w:r w:rsidRPr="00DD34FD">
        <w:rPr>
          <w:rFonts w:eastAsia="Times New Roman" w:cs="Arial"/>
          <w:color w:val="000000"/>
          <w:szCs w:val="20"/>
          <w:lang w:val="ru-RU"/>
        </w:rPr>
        <w:t xml:space="preserve">4, </w:t>
      </w:r>
      <w:r w:rsidRPr="00DD34FD">
        <w:rPr>
          <w:rFonts w:eastAsia="Times New Roman" w:cs="Arial"/>
          <w:color w:val="000000"/>
          <w:szCs w:val="20"/>
          <w:lang w:eastAsia="bg-BG"/>
        </w:rPr>
        <w:t>като в урината и фецеса не се открива непромененото вещество. Превръща се предимно в неактивни метаболити и приблизително 50% от дозата се излъчва с урината.</w:t>
      </w:r>
    </w:p>
    <w:p w14:paraId="5BBE199F" w14:textId="77777777" w:rsidR="00DD34FD" w:rsidRPr="00DD34FD" w:rsidRDefault="00DD34FD" w:rsidP="00DD34FD">
      <w:pPr>
        <w:spacing w:line="240" w:lineRule="auto"/>
        <w:rPr>
          <w:rFonts w:eastAsia="Times New Roman" w:cs="Arial"/>
          <w:color w:val="000000"/>
          <w:szCs w:val="20"/>
          <w:lang w:eastAsia="bg-BG"/>
        </w:rPr>
      </w:pPr>
    </w:p>
    <w:p w14:paraId="45CBEF9C" w14:textId="40677346"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Опити </w:t>
      </w:r>
      <w:r w:rsidRPr="00DD34FD">
        <w:rPr>
          <w:rFonts w:eastAsia="Times New Roman" w:cs="Arial"/>
          <w:i/>
          <w:iCs/>
          <w:color w:val="000000"/>
          <w:szCs w:val="20"/>
          <w:lang w:val="en-US"/>
        </w:rPr>
        <w:t>in</w:t>
      </w:r>
      <w:r w:rsidRPr="00DD34FD">
        <w:rPr>
          <w:rFonts w:eastAsia="Times New Roman" w:cs="Arial"/>
          <w:i/>
          <w:iCs/>
          <w:color w:val="000000"/>
          <w:szCs w:val="20"/>
          <w:lang w:val="ru-RU"/>
        </w:rPr>
        <w:t xml:space="preserve"> </w:t>
      </w:r>
      <w:r w:rsidRPr="00DD34FD">
        <w:rPr>
          <w:rFonts w:eastAsia="Times New Roman" w:cs="Arial"/>
          <w:i/>
          <w:iCs/>
          <w:color w:val="000000"/>
          <w:szCs w:val="20"/>
          <w:lang w:val="en-US"/>
        </w:rPr>
        <w:t>vitro</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с човешки чернодробни микрозоми показват, че лерканидипин в известна степен инхибира </w:t>
      </w:r>
      <w:r w:rsidRPr="00DD34FD">
        <w:rPr>
          <w:rFonts w:eastAsia="Times New Roman" w:cs="Arial"/>
          <w:color w:val="000000"/>
          <w:szCs w:val="20"/>
          <w:lang w:val="en-US"/>
        </w:rPr>
        <w:t>CYP</w:t>
      </w:r>
      <w:r w:rsidRPr="00DD34FD">
        <w:rPr>
          <w:rFonts w:eastAsia="Times New Roman" w:cs="Arial"/>
          <w:color w:val="000000"/>
          <w:szCs w:val="20"/>
          <w:lang w:val="ru-RU"/>
        </w:rPr>
        <w:t>3</w:t>
      </w:r>
      <w:r w:rsidRPr="00DD34FD">
        <w:rPr>
          <w:rFonts w:eastAsia="Times New Roman" w:cs="Arial"/>
          <w:color w:val="000000"/>
          <w:szCs w:val="20"/>
          <w:lang w:val="en-US"/>
        </w:rPr>
        <w:t>A</w:t>
      </w:r>
      <w:r w:rsidRPr="00DD34FD">
        <w:rPr>
          <w:rFonts w:eastAsia="Times New Roman" w:cs="Arial"/>
          <w:color w:val="000000"/>
          <w:szCs w:val="20"/>
          <w:lang w:val="ru-RU"/>
        </w:rPr>
        <w:t xml:space="preserve">4 </w:t>
      </w:r>
      <w:r w:rsidRPr="00DD34FD">
        <w:rPr>
          <w:rFonts w:eastAsia="Times New Roman" w:cs="Arial"/>
          <w:color w:val="000000"/>
          <w:szCs w:val="20"/>
          <w:lang w:eastAsia="bg-BG"/>
        </w:rPr>
        <w:t xml:space="preserve">и </w:t>
      </w:r>
      <w:r w:rsidRPr="00DD34FD">
        <w:rPr>
          <w:rFonts w:eastAsia="Times New Roman" w:cs="Arial"/>
          <w:color w:val="000000"/>
          <w:szCs w:val="20"/>
          <w:lang w:val="en-US"/>
        </w:rPr>
        <w:t>CYP</w:t>
      </w:r>
      <w:r w:rsidRPr="00DD34FD">
        <w:rPr>
          <w:rFonts w:eastAsia="Times New Roman" w:cs="Arial"/>
          <w:color w:val="000000"/>
          <w:szCs w:val="20"/>
          <w:lang w:val="ru-RU"/>
        </w:rPr>
        <w:t>2</w:t>
      </w:r>
      <w:r w:rsidRPr="00DD34FD">
        <w:rPr>
          <w:rFonts w:eastAsia="Times New Roman" w:cs="Arial"/>
          <w:color w:val="000000"/>
          <w:szCs w:val="20"/>
          <w:lang w:val="en-US"/>
        </w:rPr>
        <w:t>D</w:t>
      </w:r>
      <w:r w:rsidRPr="00DD34FD">
        <w:rPr>
          <w:rFonts w:eastAsia="Times New Roman" w:cs="Arial"/>
          <w:color w:val="000000"/>
          <w:szCs w:val="20"/>
          <w:lang w:val="ru-RU"/>
        </w:rPr>
        <w:t xml:space="preserve">6 </w:t>
      </w:r>
      <w:r w:rsidRPr="00DD34FD">
        <w:rPr>
          <w:rFonts w:eastAsia="Times New Roman" w:cs="Arial"/>
          <w:color w:val="000000"/>
          <w:szCs w:val="20"/>
          <w:lang w:eastAsia="bg-BG"/>
        </w:rPr>
        <w:t xml:space="preserve">в концентрации съответно 160 пъти и 40 пъти по-високи от тези, достигнати при максимална плазмена концентрация след приложение на 20 </w:t>
      </w:r>
      <w:r w:rsidRPr="00DD34FD">
        <w:rPr>
          <w:rFonts w:eastAsia="Times New Roman" w:cs="Arial"/>
          <w:color w:val="000000"/>
          <w:szCs w:val="20"/>
          <w:lang w:val="en-US"/>
        </w:rPr>
        <w:t>mg</w:t>
      </w:r>
      <w:r w:rsidRPr="00DD34FD">
        <w:rPr>
          <w:rFonts w:eastAsia="Times New Roman" w:cs="Arial"/>
          <w:color w:val="000000"/>
          <w:szCs w:val="20"/>
          <w:lang w:val="ru-RU"/>
        </w:rPr>
        <w:t>.</w:t>
      </w:r>
    </w:p>
    <w:p w14:paraId="3BB41B00"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Освен това проучванията за взаимодействия при хора показват, че лерканидипин не променя плазмените нива на мидазолам, типичен субстрат на </w:t>
      </w:r>
      <w:r w:rsidRPr="00DD34FD">
        <w:rPr>
          <w:rFonts w:eastAsia="Times New Roman" w:cs="Arial"/>
          <w:color w:val="000000"/>
          <w:szCs w:val="20"/>
          <w:lang w:val="en-US"/>
        </w:rPr>
        <w:t>CYP</w:t>
      </w:r>
      <w:r w:rsidRPr="00DD34FD">
        <w:rPr>
          <w:rFonts w:eastAsia="Times New Roman" w:cs="Arial"/>
          <w:color w:val="000000"/>
          <w:szCs w:val="20"/>
          <w:lang w:val="ru-RU"/>
        </w:rPr>
        <w:t>3</w:t>
      </w:r>
      <w:r w:rsidRPr="00DD34FD">
        <w:rPr>
          <w:rFonts w:eastAsia="Times New Roman" w:cs="Arial"/>
          <w:color w:val="000000"/>
          <w:szCs w:val="20"/>
          <w:lang w:val="en-US"/>
        </w:rPr>
        <w:t>A</w:t>
      </w:r>
      <w:r w:rsidRPr="00DD34FD">
        <w:rPr>
          <w:rFonts w:eastAsia="Times New Roman" w:cs="Arial"/>
          <w:color w:val="000000"/>
          <w:szCs w:val="20"/>
          <w:lang w:val="ru-RU"/>
        </w:rPr>
        <w:t xml:space="preserve">4 </w:t>
      </w:r>
      <w:r w:rsidRPr="00DD34FD">
        <w:rPr>
          <w:rFonts w:eastAsia="Times New Roman" w:cs="Arial"/>
          <w:color w:val="000000"/>
          <w:szCs w:val="20"/>
          <w:lang w:eastAsia="bg-BG"/>
        </w:rPr>
        <w:t xml:space="preserve">или на метопролол, типичен субстрат на </w:t>
      </w:r>
      <w:r w:rsidRPr="00DD34FD">
        <w:rPr>
          <w:rFonts w:eastAsia="Times New Roman" w:cs="Arial"/>
          <w:color w:val="000000"/>
          <w:szCs w:val="20"/>
          <w:lang w:val="en-US"/>
        </w:rPr>
        <w:t>CYP</w:t>
      </w:r>
      <w:r w:rsidRPr="00DD34FD">
        <w:rPr>
          <w:rFonts w:eastAsia="Times New Roman" w:cs="Arial"/>
          <w:color w:val="000000"/>
          <w:szCs w:val="20"/>
          <w:lang w:val="ru-RU"/>
        </w:rPr>
        <w:t>2</w:t>
      </w:r>
      <w:r w:rsidRPr="00DD34FD">
        <w:rPr>
          <w:rFonts w:eastAsia="Times New Roman" w:cs="Arial"/>
          <w:color w:val="000000"/>
          <w:szCs w:val="20"/>
          <w:lang w:val="en-US"/>
        </w:rPr>
        <w:t>D</w:t>
      </w:r>
      <w:r w:rsidRPr="00DD34FD">
        <w:rPr>
          <w:rFonts w:eastAsia="Times New Roman" w:cs="Arial"/>
          <w:color w:val="000000"/>
          <w:szCs w:val="20"/>
          <w:lang w:val="ru-RU"/>
        </w:rPr>
        <w:t xml:space="preserve">6. </w:t>
      </w:r>
      <w:r w:rsidRPr="00DD34FD">
        <w:rPr>
          <w:rFonts w:eastAsia="Times New Roman" w:cs="Arial"/>
          <w:color w:val="000000"/>
          <w:szCs w:val="20"/>
          <w:lang w:eastAsia="bg-BG"/>
        </w:rPr>
        <w:t xml:space="preserve">Следователно в терапевтични дози не се очаква Арета да инхибира биотрансформацията на лекарства, метаболизирани от </w:t>
      </w:r>
      <w:r w:rsidRPr="00DD34FD">
        <w:rPr>
          <w:rFonts w:eastAsia="Times New Roman" w:cs="Arial"/>
          <w:color w:val="000000"/>
          <w:szCs w:val="20"/>
          <w:lang w:val="en-US"/>
        </w:rPr>
        <w:t>CYP</w:t>
      </w:r>
      <w:r w:rsidRPr="00DD34FD">
        <w:rPr>
          <w:rFonts w:eastAsia="Times New Roman" w:cs="Arial"/>
          <w:color w:val="000000"/>
          <w:szCs w:val="20"/>
          <w:lang w:val="ru-RU"/>
        </w:rPr>
        <w:t>3</w:t>
      </w:r>
      <w:r w:rsidRPr="00DD34FD">
        <w:rPr>
          <w:rFonts w:eastAsia="Times New Roman" w:cs="Arial"/>
          <w:color w:val="000000"/>
          <w:szCs w:val="20"/>
          <w:lang w:val="en-US"/>
        </w:rPr>
        <w:t>A</w:t>
      </w:r>
      <w:r w:rsidRPr="00DD34FD">
        <w:rPr>
          <w:rFonts w:eastAsia="Times New Roman" w:cs="Arial"/>
          <w:color w:val="000000"/>
          <w:szCs w:val="20"/>
          <w:lang w:val="ru-RU"/>
        </w:rPr>
        <w:t xml:space="preserve">4 </w:t>
      </w:r>
      <w:r w:rsidRPr="00DD34FD">
        <w:rPr>
          <w:rFonts w:eastAsia="Times New Roman" w:cs="Arial"/>
          <w:color w:val="000000"/>
          <w:szCs w:val="20"/>
          <w:lang w:eastAsia="bg-BG"/>
        </w:rPr>
        <w:t xml:space="preserve">и </w:t>
      </w:r>
      <w:r w:rsidRPr="00DD34FD">
        <w:rPr>
          <w:rFonts w:eastAsia="Times New Roman" w:cs="Arial"/>
          <w:color w:val="000000"/>
          <w:szCs w:val="20"/>
          <w:lang w:val="en-US"/>
        </w:rPr>
        <w:t>CYP</w:t>
      </w:r>
      <w:r w:rsidRPr="00DD34FD">
        <w:rPr>
          <w:rFonts w:eastAsia="Times New Roman" w:cs="Arial"/>
          <w:color w:val="000000"/>
          <w:szCs w:val="20"/>
          <w:lang w:val="ru-RU"/>
        </w:rPr>
        <w:t>2</w:t>
      </w:r>
      <w:r w:rsidRPr="00DD34FD">
        <w:rPr>
          <w:rFonts w:eastAsia="Times New Roman" w:cs="Arial"/>
          <w:color w:val="000000"/>
          <w:szCs w:val="20"/>
          <w:lang w:val="en-US"/>
        </w:rPr>
        <w:t>D</w:t>
      </w:r>
      <w:r w:rsidRPr="00DD34FD">
        <w:rPr>
          <w:rFonts w:eastAsia="Times New Roman" w:cs="Arial"/>
          <w:color w:val="000000"/>
          <w:szCs w:val="20"/>
          <w:lang w:val="ru-RU"/>
        </w:rPr>
        <w:t>6.</w:t>
      </w:r>
    </w:p>
    <w:p w14:paraId="73E09CD3" w14:textId="77777777" w:rsidR="00DD34FD" w:rsidRPr="00DD34FD" w:rsidRDefault="00DD34FD" w:rsidP="00DD34FD">
      <w:pPr>
        <w:spacing w:line="240" w:lineRule="auto"/>
        <w:rPr>
          <w:rFonts w:eastAsia="Times New Roman" w:cs="Arial"/>
          <w:b/>
          <w:bCs/>
          <w:color w:val="000000"/>
          <w:szCs w:val="20"/>
          <w:lang w:eastAsia="bg-BG"/>
        </w:rPr>
      </w:pPr>
      <w:bookmarkStart w:id="3" w:name="bookmark4"/>
    </w:p>
    <w:p w14:paraId="077C94FD" w14:textId="26E9D6C2" w:rsidR="00DD34FD" w:rsidRPr="00DD34FD" w:rsidRDefault="00DD34FD" w:rsidP="00DD34FD">
      <w:pPr>
        <w:pStyle w:val="Heading3"/>
        <w:rPr>
          <w:rFonts w:eastAsia="Times New Roman"/>
          <w:b/>
          <w:sz w:val="28"/>
        </w:rPr>
      </w:pPr>
      <w:r w:rsidRPr="00DD34FD">
        <w:rPr>
          <w:rFonts w:eastAsia="Times New Roman"/>
          <w:b/>
          <w:lang w:eastAsia="bg-BG"/>
        </w:rPr>
        <w:t>Елиминиране</w:t>
      </w:r>
      <w:bookmarkEnd w:id="3"/>
    </w:p>
    <w:p w14:paraId="516C540C"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Елиминирането се осъществява главно чрез биотрансформация.</w:t>
      </w:r>
    </w:p>
    <w:p w14:paraId="43E13BA8"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Средното време на полуживот възлиза на 8-10 часа, а терапевтичната активност продължава 24 часа поради високата степен на свързване с липидната мембрана. При многократно приложение не се наблюдава акумулация.</w:t>
      </w:r>
    </w:p>
    <w:p w14:paraId="4CE49F4D" w14:textId="77777777" w:rsidR="00DD34FD" w:rsidRPr="00DD34FD" w:rsidRDefault="00DD34FD" w:rsidP="00DD34FD">
      <w:pPr>
        <w:spacing w:line="240" w:lineRule="auto"/>
        <w:rPr>
          <w:rFonts w:eastAsia="Times New Roman" w:cs="Arial"/>
          <w:b/>
          <w:bCs/>
          <w:color w:val="000000"/>
          <w:szCs w:val="20"/>
          <w:lang w:eastAsia="bg-BG"/>
        </w:rPr>
      </w:pPr>
      <w:bookmarkStart w:id="4" w:name="bookmark6"/>
    </w:p>
    <w:p w14:paraId="32BA7A11" w14:textId="0AED4E61" w:rsidR="00DD34FD" w:rsidRPr="00DD34FD" w:rsidRDefault="00DD34FD" w:rsidP="00DD34FD">
      <w:pPr>
        <w:pStyle w:val="Heading3"/>
        <w:rPr>
          <w:rFonts w:eastAsia="Times New Roman"/>
          <w:b/>
          <w:sz w:val="28"/>
        </w:rPr>
      </w:pPr>
      <w:r w:rsidRPr="00DD34FD">
        <w:rPr>
          <w:rFonts w:eastAsia="Times New Roman"/>
          <w:b/>
          <w:lang w:eastAsia="bg-BG"/>
        </w:rPr>
        <w:t>Линейност / Нелинейност</w:t>
      </w:r>
      <w:bookmarkEnd w:id="4"/>
    </w:p>
    <w:p w14:paraId="36E9B671"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Пероралното приложение на Арета води до плазмени нива на лерканидипин, които не са правопропорционални на дозата (нелинеарна кинетика). След приложение на 10,20 или 40 </w:t>
      </w:r>
      <w:r w:rsidRPr="00DD34FD">
        <w:rPr>
          <w:rFonts w:eastAsia="Times New Roman" w:cs="Arial"/>
          <w:color w:val="000000"/>
          <w:szCs w:val="20"/>
          <w:lang w:val="en-US"/>
        </w:rPr>
        <w:t>mg</w:t>
      </w:r>
      <w:r w:rsidRPr="00DD34FD">
        <w:rPr>
          <w:rFonts w:eastAsia="Times New Roman" w:cs="Arial"/>
          <w:color w:val="000000"/>
          <w:szCs w:val="20"/>
          <w:lang w:val="ru-RU"/>
        </w:rPr>
        <w:t xml:space="preserve">, </w:t>
      </w:r>
      <w:r w:rsidRPr="00DD34FD">
        <w:rPr>
          <w:rFonts w:eastAsia="Times New Roman" w:cs="Arial"/>
          <w:color w:val="000000"/>
          <w:szCs w:val="20"/>
          <w:lang w:eastAsia="bg-BG"/>
        </w:rPr>
        <w:t xml:space="preserve">съотношението между максималните плазмени концентрации е 1:3:8, а съотношението между площта под кривата плазмена концентрация - време е 1:4:18, което предполага прогресивно насищане на </w:t>
      </w:r>
      <w:r w:rsidRPr="00DD34FD">
        <w:rPr>
          <w:rFonts w:eastAsia="Times New Roman" w:cs="Arial"/>
          <w:color w:val="000000"/>
          <w:szCs w:val="20"/>
          <w:lang w:val="en-US"/>
        </w:rPr>
        <w:t>first</w:t>
      </w:r>
      <w:r w:rsidRPr="00DD34FD">
        <w:rPr>
          <w:rFonts w:eastAsia="Times New Roman" w:cs="Arial"/>
          <w:color w:val="000000"/>
          <w:szCs w:val="20"/>
          <w:lang w:val="ru-RU"/>
        </w:rPr>
        <w:t>-</w:t>
      </w:r>
      <w:r w:rsidRPr="00DD34FD">
        <w:rPr>
          <w:rFonts w:eastAsia="Times New Roman" w:cs="Arial"/>
          <w:color w:val="000000"/>
          <w:szCs w:val="20"/>
          <w:lang w:val="en-US"/>
        </w:rPr>
        <w:t>pass</w:t>
      </w:r>
      <w:r w:rsidRPr="00DD34FD">
        <w:rPr>
          <w:rFonts w:eastAsia="Times New Roman" w:cs="Arial"/>
          <w:color w:val="000000"/>
          <w:szCs w:val="20"/>
          <w:lang w:val="ru-RU"/>
        </w:rPr>
        <w:t xml:space="preserve"> </w:t>
      </w:r>
      <w:r w:rsidRPr="00DD34FD">
        <w:rPr>
          <w:rFonts w:eastAsia="Times New Roman" w:cs="Arial"/>
          <w:color w:val="000000"/>
          <w:szCs w:val="20"/>
          <w:lang w:eastAsia="bg-BG"/>
        </w:rPr>
        <w:t>метаболизма. Следователно наличността нараства с увеличаването на дозата.</w:t>
      </w:r>
    </w:p>
    <w:p w14:paraId="5D5B5730" w14:textId="77777777" w:rsidR="00DD34FD" w:rsidRPr="00DD34FD" w:rsidRDefault="00DD34FD" w:rsidP="00DD34FD">
      <w:pPr>
        <w:spacing w:line="240" w:lineRule="auto"/>
        <w:rPr>
          <w:rFonts w:eastAsia="Times New Roman" w:cs="Arial"/>
          <w:b/>
          <w:bCs/>
          <w:color w:val="000000"/>
          <w:szCs w:val="20"/>
          <w:lang w:eastAsia="bg-BG"/>
        </w:rPr>
      </w:pPr>
      <w:bookmarkStart w:id="5" w:name="bookmark8"/>
    </w:p>
    <w:p w14:paraId="3F08E5D7" w14:textId="79C0326C" w:rsidR="00DD34FD" w:rsidRPr="00DD34FD" w:rsidRDefault="00DD34FD" w:rsidP="00DD34FD">
      <w:pPr>
        <w:pStyle w:val="Heading3"/>
        <w:rPr>
          <w:rFonts w:eastAsia="Times New Roman"/>
          <w:b/>
          <w:sz w:val="28"/>
        </w:rPr>
      </w:pPr>
      <w:r w:rsidRPr="00DD34FD">
        <w:rPr>
          <w:rFonts w:eastAsia="Times New Roman"/>
          <w:b/>
          <w:lang w:eastAsia="bg-BG"/>
        </w:rPr>
        <w:t>Характеристики при пациентите</w:t>
      </w:r>
      <w:bookmarkEnd w:id="5"/>
    </w:p>
    <w:p w14:paraId="53664C4F"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При пациенти в старческа възраст, пациенти с леко до умерено нарушена бъбречна функция или с леко до умерено нарушена чернодробна функция, фармакокинетичното поведение на лерканидипин е било сходно с наблюдаваното при общата популация от пациенти. Пациенти с тежки бъбречни нарушения или пациенти, зависими от диализа, показват по-високи нива (приблизително 70%) на лекарството. При пациенти с умерено до тежко нарушена чернодробна функция има вероятност системната бионаличност на лерканидипин да се увеличи, тъй като по принцип лекарството се метаболизира в голяма степен в черния дроб.</w:t>
      </w:r>
    </w:p>
    <w:p w14:paraId="34218B2F" w14:textId="77777777" w:rsidR="00DD34FD" w:rsidRPr="00DD34FD" w:rsidRDefault="00DD34FD" w:rsidP="00DD34FD"/>
    <w:p w14:paraId="4FB791BE" w14:textId="6B7AE567" w:rsidR="00B6672E" w:rsidRDefault="002C50EE" w:rsidP="00936AD0">
      <w:pPr>
        <w:pStyle w:val="Heading2"/>
      </w:pPr>
      <w:r>
        <w:t>5.3. Предклинични данни за безопасност</w:t>
      </w:r>
    </w:p>
    <w:p w14:paraId="64BF8006" w14:textId="219F5DB1" w:rsidR="00DD34FD" w:rsidRDefault="00DD34FD" w:rsidP="00DD34FD"/>
    <w:p w14:paraId="625BBC91"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Фармакологичните изследвания за безопасност при животни не показват повлияване на автономната нервна система, централната нервна система или стомашно-чревната дейност при антихипертензивни дози.</w:t>
      </w:r>
    </w:p>
    <w:p w14:paraId="745DE010"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Значими ефекти, наблюдавани при продължителни проучвания при плъхове и кучета, са свързани пряко или косвено с известните ефекти на високи дози калциеви антагонисти и се дължат предимно на прекомерно голяма фармакодинамична активност.</w:t>
      </w:r>
    </w:p>
    <w:p w14:paraId="5069BA66"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Лерканидипин не е генотоксичен и не показва данни за карциногенен риск.</w:t>
      </w:r>
    </w:p>
    <w:p w14:paraId="0320CD2D"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lastRenderedPageBreak/>
        <w:t>Фертилитетът и общото репродуктивно поведение при плъховете не се повлияват от лечението с лерканидипин.</w:t>
      </w:r>
    </w:p>
    <w:p w14:paraId="1C6BDCF7"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Няма данни за тератогенен ефект при плъхове и зайци; въпреки това при плъхове, лерканидипин във високи дози предизвиква пре- и постимплантационни загуби и забавяне на феталното развитие.</w:t>
      </w:r>
    </w:p>
    <w:p w14:paraId="4EFCFACA" w14:textId="77777777" w:rsidR="00DD34FD" w:rsidRPr="00DD34FD" w:rsidRDefault="00DD34FD" w:rsidP="00DD34FD">
      <w:pPr>
        <w:spacing w:line="240" w:lineRule="auto"/>
        <w:rPr>
          <w:rFonts w:eastAsia="Times New Roman" w:cs="Arial"/>
          <w:color w:val="000000"/>
          <w:szCs w:val="20"/>
          <w:lang w:eastAsia="bg-BG"/>
        </w:rPr>
      </w:pPr>
    </w:p>
    <w:p w14:paraId="7108AA40" w14:textId="373D8AA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 xml:space="preserve">Когато лерканидипинов хидрохлорид се прилага във високи дози (12 </w:t>
      </w:r>
      <w:r w:rsidRPr="00DD34FD">
        <w:rPr>
          <w:rFonts w:eastAsia="Times New Roman" w:cs="Arial"/>
          <w:color w:val="000000"/>
          <w:szCs w:val="20"/>
          <w:lang w:val="en-US"/>
        </w:rPr>
        <w:t>mg</w:t>
      </w:r>
      <w:r w:rsidRPr="00DD34FD">
        <w:rPr>
          <w:rFonts w:eastAsia="Times New Roman" w:cs="Arial"/>
          <w:color w:val="000000"/>
          <w:szCs w:val="20"/>
          <w:lang w:val="ru-RU"/>
        </w:rPr>
        <w:t>/</w:t>
      </w:r>
      <w:r w:rsidRPr="00DD34FD">
        <w:rPr>
          <w:rFonts w:eastAsia="Times New Roman" w:cs="Arial"/>
          <w:color w:val="000000"/>
          <w:szCs w:val="20"/>
          <w:lang w:val="en-US"/>
        </w:rPr>
        <w:t>kg</w:t>
      </w:r>
      <w:r w:rsidRPr="00DD34FD">
        <w:rPr>
          <w:rFonts w:eastAsia="Times New Roman" w:cs="Arial"/>
          <w:color w:val="000000"/>
          <w:szCs w:val="20"/>
          <w:lang w:eastAsia="bg-BG"/>
        </w:rPr>
        <w:t>/ден) по време на раждане, води до дистокия.</w:t>
      </w:r>
    </w:p>
    <w:p w14:paraId="747844C5" w14:textId="77777777"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Разпределението на лерканидипин и/или неговите метаболити в бременни животни и излъчването му в кърмата им не е изследвано.</w:t>
      </w:r>
    </w:p>
    <w:p w14:paraId="2D086CAA" w14:textId="77777777" w:rsidR="00DD34FD" w:rsidRPr="00DD34FD" w:rsidRDefault="00DD34FD" w:rsidP="00DD34FD">
      <w:pPr>
        <w:spacing w:line="240" w:lineRule="auto"/>
        <w:rPr>
          <w:rFonts w:eastAsia="Times New Roman" w:cs="Arial"/>
          <w:color w:val="000000"/>
          <w:szCs w:val="20"/>
          <w:lang w:eastAsia="bg-BG"/>
        </w:rPr>
      </w:pPr>
    </w:p>
    <w:p w14:paraId="44F32C95" w14:textId="40022313" w:rsidR="00DD34FD" w:rsidRPr="00DD34FD" w:rsidRDefault="00DD34FD" w:rsidP="00DD34FD">
      <w:pPr>
        <w:spacing w:line="240" w:lineRule="auto"/>
        <w:rPr>
          <w:rFonts w:eastAsia="Times New Roman" w:cs="Arial"/>
          <w:sz w:val="28"/>
          <w:szCs w:val="24"/>
        </w:rPr>
      </w:pPr>
      <w:r w:rsidRPr="00DD34FD">
        <w:rPr>
          <w:rFonts w:eastAsia="Times New Roman" w:cs="Arial"/>
          <w:color w:val="000000"/>
          <w:szCs w:val="20"/>
          <w:lang w:eastAsia="bg-BG"/>
        </w:rPr>
        <w:t>Метаболитите не са изследвани поотделно в токсикологични изследвания.</w:t>
      </w:r>
    </w:p>
    <w:p w14:paraId="79DA1E46" w14:textId="77777777" w:rsidR="00DD34FD" w:rsidRPr="00DD34FD" w:rsidRDefault="00DD34FD" w:rsidP="00DD34FD"/>
    <w:p w14:paraId="1BA6531D" w14:textId="60859341" w:rsidR="00B6672E" w:rsidRDefault="002C50EE" w:rsidP="00936AD0">
      <w:pPr>
        <w:pStyle w:val="Heading1"/>
      </w:pPr>
      <w:r>
        <w:t>7. ПРИТЕЖАТЕЛ НА РАЗРЕШЕНИЕТО ЗА УПОТРЕБА</w:t>
      </w:r>
    </w:p>
    <w:p w14:paraId="7F6F01D2" w14:textId="60A5D3FE" w:rsidR="00DD34FD" w:rsidRDefault="00DD34FD" w:rsidP="00DD34FD"/>
    <w:p w14:paraId="22F5EEE9" w14:textId="77777777" w:rsidR="00DD34FD" w:rsidRPr="00DD34FD" w:rsidRDefault="00DD34FD" w:rsidP="00DD34FD">
      <w:pPr>
        <w:rPr>
          <w:sz w:val="24"/>
          <w:szCs w:val="24"/>
          <w:lang w:val="en-US"/>
        </w:rPr>
      </w:pPr>
      <w:r w:rsidRPr="00DD34FD">
        <w:rPr>
          <w:lang w:val="en-US"/>
        </w:rPr>
        <w:t xml:space="preserve">STADA </w:t>
      </w:r>
      <w:proofErr w:type="spellStart"/>
      <w:r w:rsidRPr="00DD34FD">
        <w:rPr>
          <w:lang w:val="en-US"/>
        </w:rPr>
        <w:t>Arzneimittel</w:t>
      </w:r>
      <w:proofErr w:type="spellEnd"/>
      <w:r w:rsidRPr="00DD34FD">
        <w:rPr>
          <w:lang w:val="en-US"/>
        </w:rPr>
        <w:t xml:space="preserve"> AG</w:t>
      </w:r>
    </w:p>
    <w:p w14:paraId="4FDB3790" w14:textId="77777777" w:rsidR="00DD34FD" w:rsidRPr="00DD34FD" w:rsidRDefault="00DD34FD" w:rsidP="00DD34FD">
      <w:pPr>
        <w:rPr>
          <w:sz w:val="24"/>
          <w:szCs w:val="24"/>
          <w:lang w:val="en-US"/>
        </w:rPr>
      </w:pPr>
      <w:proofErr w:type="spellStart"/>
      <w:r w:rsidRPr="00DD34FD">
        <w:rPr>
          <w:lang w:val="en-US"/>
        </w:rPr>
        <w:t>StadastraBe</w:t>
      </w:r>
      <w:proofErr w:type="spellEnd"/>
      <w:r w:rsidRPr="00DD34FD">
        <w:rPr>
          <w:lang w:val="en-US"/>
        </w:rPr>
        <w:t xml:space="preserve"> 2-18</w:t>
      </w:r>
    </w:p>
    <w:p w14:paraId="27EF5DC4" w14:textId="77777777" w:rsidR="00DD34FD" w:rsidRPr="00DD34FD" w:rsidRDefault="00DD34FD" w:rsidP="00DD34FD">
      <w:pPr>
        <w:rPr>
          <w:sz w:val="24"/>
          <w:szCs w:val="24"/>
          <w:lang w:val="en-US"/>
        </w:rPr>
      </w:pPr>
      <w:r w:rsidRPr="00DD34FD">
        <w:rPr>
          <w:lang w:val="en-US"/>
        </w:rPr>
        <w:t xml:space="preserve">D-61118 Bad </w:t>
      </w:r>
      <w:proofErr w:type="spellStart"/>
      <w:r w:rsidRPr="00DD34FD">
        <w:rPr>
          <w:lang w:val="en-US"/>
        </w:rPr>
        <w:t>Vilbel</w:t>
      </w:r>
      <w:proofErr w:type="spellEnd"/>
      <w:r w:rsidRPr="00DD34FD">
        <w:rPr>
          <w:lang w:val="en-US"/>
        </w:rPr>
        <w:t xml:space="preserve">, </w:t>
      </w:r>
      <w:r w:rsidRPr="00DD34FD">
        <w:rPr>
          <w:lang w:eastAsia="bg-BG"/>
        </w:rPr>
        <w:t>Германия</w:t>
      </w:r>
    </w:p>
    <w:p w14:paraId="24ECE280" w14:textId="77777777" w:rsidR="00DD34FD" w:rsidRPr="00DD34FD" w:rsidRDefault="00DD34FD" w:rsidP="00DD34FD">
      <w:pPr>
        <w:rPr>
          <w:sz w:val="24"/>
          <w:szCs w:val="24"/>
          <w:lang w:val="ru-RU"/>
        </w:rPr>
      </w:pPr>
      <w:r w:rsidRPr="00DD34FD">
        <w:rPr>
          <w:lang w:eastAsia="bg-BG"/>
        </w:rPr>
        <w:t xml:space="preserve">Телефон: </w:t>
      </w:r>
      <w:r w:rsidRPr="00DD34FD">
        <w:rPr>
          <w:lang w:val="ru-RU"/>
        </w:rPr>
        <w:t>++49 6101 603-0</w:t>
      </w:r>
    </w:p>
    <w:p w14:paraId="54C2971B" w14:textId="2EBA081E" w:rsidR="00DD34FD" w:rsidRPr="00DD34FD" w:rsidRDefault="00DD34FD" w:rsidP="00DD34FD">
      <w:pPr>
        <w:rPr>
          <w:lang w:val="ru-RU"/>
        </w:rPr>
      </w:pPr>
      <w:r w:rsidRPr="00DD34FD">
        <w:rPr>
          <w:lang w:eastAsia="bg-BG"/>
        </w:rPr>
        <w:t xml:space="preserve">Факс: </w:t>
      </w:r>
      <w:r w:rsidRPr="00DD34FD">
        <w:rPr>
          <w:lang w:val="ru-RU"/>
        </w:rPr>
        <w:t>++49 6101 603-259</w:t>
      </w:r>
    </w:p>
    <w:p w14:paraId="508F3A54" w14:textId="31D6228B" w:rsidR="00B6672E" w:rsidRDefault="00936AD0" w:rsidP="00936AD0">
      <w:pPr>
        <w:pStyle w:val="Heading1"/>
      </w:pPr>
      <w:r>
        <w:t>8.</w:t>
      </w:r>
      <w:r w:rsidR="002C50EE">
        <w:t>НОМЕР НА РАЗРЕШЕНИЕТО ЗА УПОТРЕБА</w:t>
      </w:r>
    </w:p>
    <w:p w14:paraId="7EF7F872" w14:textId="0A033856" w:rsidR="00DD34FD" w:rsidRDefault="00DD34FD" w:rsidP="00DD34FD"/>
    <w:p w14:paraId="19BA9BC2" w14:textId="7A812A7C" w:rsidR="00DD34FD" w:rsidRPr="00DD34FD" w:rsidRDefault="00DD34FD" w:rsidP="00DD34FD">
      <w:pPr>
        <w:rPr>
          <w:sz w:val="24"/>
          <w:szCs w:val="24"/>
        </w:rPr>
      </w:pPr>
      <w:r w:rsidRPr="00DD34FD">
        <w:rPr>
          <w:lang w:eastAsia="bg-BG"/>
        </w:rPr>
        <w:t xml:space="preserve">Арета 10 </w:t>
      </w:r>
      <w:r w:rsidRPr="00DD34FD">
        <w:rPr>
          <w:lang w:val="en-US"/>
        </w:rPr>
        <w:t xml:space="preserve">mg </w:t>
      </w:r>
      <w:r w:rsidRPr="00DD34FD">
        <w:rPr>
          <w:lang w:eastAsia="bg-BG"/>
        </w:rPr>
        <w:t xml:space="preserve">- </w:t>
      </w:r>
      <w:proofErr w:type="spellStart"/>
      <w:r>
        <w:rPr>
          <w:lang w:val="en-US"/>
        </w:rPr>
        <w:t>Pe</w:t>
      </w:r>
      <w:proofErr w:type="spellEnd"/>
      <w:r>
        <w:t>г</w:t>
      </w:r>
      <w:r w:rsidRPr="00DD34FD">
        <w:rPr>
          <w:lang w:val="en-US"/>
        </w:rPr>
        <w:t xml:space="preserve">. </w:t>
      </w:r>
      <w:r w:rsidRPr="00DD34FD">
        <w:rPr>
          <w:lang w:eastAsia="bg-BG"/>
        </w:rPr>
        <w:t>№: 20100211</w:t>
      </w:r>
    </w:p>
    <w:p w14:paraId="26F6230A" w14:textId="20E550FC" w:rsidR="00DD34FD" w:rsidRPr="00DD34FD" w:rsidRDefault="00DD34FD" w:rsidP="00DD34FD">
      <w:pPr>
        <w:rPr>
          <w:sz w:val="24"/>
          <w:szCs w:val="24"/>
        </w:rPr>
      </w:pPr>
      <w:r w:rsidRPr="00DD34FD">
        <w:rPr>
          <w:lang w:eastAsia="bg-BG"/>
        </w:rPr>
        <w:t xml:space="preserve">Арета 20 </w:t>
      </w:r>
      <w:r w:rsidRPr="00DD34FD">
        <w:rPr>
          <w:lang w:val="en-US"/>
        </w:rPr>
        <w:t xml:space="preserve">mg </w:t>
      </w:r>
      <w:r w:rsidRPr="00DD34FD">
        <w:rPr>
          <w:lang w:eastAsia="bg-BG"/>
        </w:rPr>
        <w:t xml:space="preserve">- </w:t>
      </w:r>
      <w:proofErr w:type="spellStart"/>
      <w:r>
        <w:rPr>
          <w:lang w:val="en-US"/>
        </w:rPr>
        <w:t>Peг</w:t>
      </w:r>
      <w:proofErr w:type="spellEnd"/>
      <w:r w:rsidRPr="00DD34FD">
        <w:rPr>
          <w:lang w:val="en-US"/>
        </w:rPr>
        <w:t>, №: 20100212</w:t>
      </w:r>
    </w:p>
    <w:p w14:paraId="3894E5BA" w14:textId="77777777" w:rsidR="00DD34FD" w:rsidRPr="00DD34FD" w:rsidRDefault="00DD34FD" w:rsidP="00DD34FD"/>
    <w:p w14:paraId="2CCB5832" w14:textId="186098DC" w:rsidR="007C605B" w:rsidRDefault="002C50EE" w:rsidP="007C605B">
      <w:pPr>
        <w:pStyle w:val="Heading1"/>
      </w:pPr>
      <w:r>
        <w:t>9. ДАТА НА ПЪРВО РАЗРЕШАВАНЕ/ПОДНОВЯВАНЕ НА РАЗРЕШЕНИЕТО ЗА УПОТРЕБА</w:t>
      </w:r>
    </w:p>
    <w:p w14:paraId="4CD4E412" w14:textId="1E3E7091" w:rsidR="00DD34FD" w:rsidRDefault="00DD34FD" w:rsidP="00DD34FD"/>
    <w:p w14:paraId="56991DB5" w14:textId="77777777" w:rsidR="00DD34FD" w:rsidRPr="00DD34FD" w:rsidRDefault="00DD34FD" w:rsidP="00DD34FD">
      <w:pPr>
        <w:rPr>
          <w:sz w:val="24"/>
          <w:szCs w:val="24"/>
        </w:rPr>
      </w:pPr>
      <w:r w:rsidRPr="00DD34FD">
        <w:rPr>
          <w:lang w:eastAsia="bg-BG"/>
        </w:rPr>
        <w:t>Дата на първо разрешаване: 25.03.2010</w:t>
      </w:r>
    </w:p>
    <w:p w14:paraId="5C711EF9" w14:textId="4B159014" w:rsidR="00DD34FD" w:rsidRPr="00DD34FD" w:rsidRDefault="00DD34FD" w:rsidP="00DD34FD">
      <w:r w:rsidRPr="00DD34FD">
        <w:rPr>
          <w:lang w:eastAsia="bg-BG"/>
        </w:rPr>
        <w:t>Дата на последно подновяване: 29.05.2015</w:t>
      </w:r>
    </w:p>
    <w:p w14:paraId="0E9D0119" w14:textId="0245C6D7" w:rsidR="002C50EE" w:rsidRDefault="002C50EE" w:rsidP="002C50EE">
      <w:pPr>
        <w:pStyle w:val="Heading1"/>
      </w:pPr>
      <w:r>
        <w:t>10. ДАТА НА АКТУАЛИЗИРАНЕ НА ТЕКСТА</w:t>
      </w:r>
    </w:p>
    <w:bookmarkEnd w:id="0"/>
    <w:p w14:paraId="43FB38A2" w14:textId="486549CF" w:rsidR="007C605B" w:rsidRPr="003E3126" w:rsidRDefault="00DD34FD" w:rsidP="00DD34FD">
      <w:r>
        <w:t>03/2020</w:t>
      </w:r>
      <w:bookmarkStart w:id="6" w:name="_GoBack"/>
      <w:bookmarkEnd w:id="6"/>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65AC0"/>
    <w:multiLevelType w:val="hybridMultilevel"/>
    <w:tmpl w:val="A496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81B56"/>
    <w:multiLevelType w:val="hybridMultilevel"/>
    <w:tmpl w:val="D08E8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015FCB"/>
    <w:multiLevelType w:val="hybridMultilevel"/>
    <w:tmpl w:val="8E42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05063"/>
    <w:multiLevelType w:val="hybridMultilevel"/>
    <w:tmpl w:val="476090CA"/>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2"/>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5"/>
  </w:num>
  <w:num w:numId="12">
    <w:abstractNumId w:val="16"/>
  </w:num>
  <w:num w:numId="13">
    <w:abstractNumId w:val="21"/>
  </w:num>
  <w:num w:numId="14">
    <w:abstractNumId w:val="14"/>
  </w:num>
  <w:num w:numId="15">
    <w:abstractNumId w:val="34"/>
  </w:num>
  <w:num w:numId="16">
    <w:abstractNumId w:val="12"/>
  </w:num>
  <w:num w:numId="17">
    <w:abstractNumId w:val="27"/>
  </w:num>
  <w:num w:numId="18">
    <w:abstractNumId w:val="8"/>
  </w:num>
  <w:num w:numId="19">
    <w:abstractNumId w:val="30"/>
  </w:num>
  <w:num w:numId="20">
    <w:abstractNumId w:val="25"/>
  </w:num>
  <w:num w:numId="21">
    <w:abstractNumId w:val="19"/>
  </w:num>
  <w:num w:numId="22">
    <w:abstractNumId w:val="28"/>
  </w:num>
  <w:num w:numId="23">
    <w:abstractNumId w:val="20"/>
  </w:num>
  <w:num w:numId="24">
    <w:abstractNumId w:val="10"/>
  </w:num>
  <w:num w:numId="25">
    <w:abstractNumId w:val="24"/>
  </w:num>
  <w:num w:numId="26">
    <w:abstractNumId w:val="23"/>
  </w:num>
  <w:num w:numId="27">
    <w:abstractNumId w:val="36"/>
  </w:num>
  <w:num w:numId="28">
    <w:abstractNumId w:val="6"/>
  </w:num>
  <w:num w:numId="29">
    <w:abstractNumId w:val="22"/>
  </w:num>
  <w:num w:numId="30">
    <w:abstractNumId w:val="39"/>
  </w:num>
  <w:num w:numId="31">
    <w:abstractNumId w:val="5"/>
  </w:num>
  <w:num w:numId="32">
    <w:abstractNumId w:val="38"/>
  </w:num>
  <w:num w:numId="33">
    <w:abstractNumId w:val="33"/>
  </w:num>
  <w:num w:numId="34">
    <w:abstractNumId w:val="37"/>
  </w:num>
  <w:num w:numId="35">
    <w:abstractNumId w:val="7"/>
  </w:num>
  <w:num w:numId="36">
    <w:abstractNumId w:val="11"/>
  </w:num>
  <w:num w:numId="37">
    <w:abstractNumId w:val="29"/>
  </w:num>
  <w:num w:numId="38">
    <w:abstractNumId w:val="26"/>
  </w:num>
  <w:num w:numId="39">
    <w:abstractNumId w:val="3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34FD"/>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3379</Words>
  <Characters>19262</Characters>
  <Application>Microsoft Office Word</Application>
  <DocSecurity>0</DocSecurity>
  <Lines>160</Lines>
  <Paragraphs>45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2022-06-17T16:16:00Z</dcterms:created>
  <dcterms:modified xsi:type="dcterms:W3CDTF">2022-06-17T16:16:00Z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