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30B94019" w:rsidR="00AA23EC" w:rsidRDefault="00DD466D" w:rsidP="00DD466D">
      <w:pPr>
        <w:pStyle w:val="Heading1"/>
      </w:pPr>
      <w:r>
        <w:t>1.ИМЕ НА ЛЕКАРСТВЕНИЯ ПРОДУКТ</w:t>
      </w:r>
    </w:p>
    <w:p w14:paraId="4DDCD4CD" w14:textId="2BDC8E85" w:rsidR="00266A86" w:rsidRDefault="00266A86" w:rsidP="00266A86"/>
    <w:p w14:paraId="3F90D19C" w14:textId="77777777" w:rsidR="00266A86" w:rsidRPr="00266A86" w:rsidRDefault="00266A86" w:rsidP="00266A86">
      <w:pPr>
        <w:rPr>
          <w:sz w:val="24"/>
          <w:szCs w:val="24"/>
        </w:rPr>
      </w:pPr>
      <w:r w:rsidRPr="00266A86">
        <w:rPr>
          <w:b/>
          <w:bCs/>
          <w:lang w:eastAsia="bg-BG"/>
        </w:rPr>
        <w:t xml:space="preserve">Арилин 500 </w:t>
      </w:r>
      <w:r w:rsidRPr="00266A86">
        <w:rPr>
          <w:lang w:val="en-US"/>
        </w:rPr>
        <w:t>mg</w:t>
      </w:r>
      <w:r w:rsidRPr="00266A86">
        <w:t xml:space="preserve"> </w:t>
      </w:r>
      <w:r w:rsidRPr="00266A86">
        <w:rPr>
          <w:lang w:eastAsia="bg-BG"/>
        </w:rPr>
        <w:t>филмирани таблетки</w:t>
      </w:r>
    </w:p>
    <w:p w14:paraId="31C61681" w14:textId="77777777" w:rsidR="00266A86" w:rsidRPr="00266A86" w:rsidRDefault="00266A86" w:rsidP="00266A86">
      <w:pPr>
        <w:rPr>
          <w:sz w:val="24"/>
          <w:szCs w:val="24"/>
        </w:rPr>
      </w:pPr>
      <w:r w:rsidRPr="00266A86">
        <w:rPr>
          <w:lang w:eastAsia="bg-BG"/>
        </w:rPr>
        <w:t>Метронидазол</w:t>
      </w:r>
    </w:p>
    <w:p w14:paraId="175A1B9F" w14:textId="62324964" w:rsidR="00266A86" w:rsidRPr="00266A86" w:rsidRDefault="00266A86" w:rsidP="00266A86">
      <w:pPr>
        <w:rPr>
          <w:sz w:val="24"/>
          <w:szCs w:val="24"/>
        </w:rPr>
      </w:pPr>
      <w:proofErr w:type="spellStart"/>
      <w:r w:rsidRPr="00266A86">
        <w:rPr>
          <w:b/>
          <w:bCs/>
          <w:lang w:val="en-US"/>
        </w:rPr>
        <w:t>Arilin</w:t>
      </w:r>
      <w:proofErr w:type="spellEnd"/>
      <w:r w:rsidRPr="00266A86">
        <w:rPr>
          <w:b/>
          <w:bCs/>
        </w:rPr>
        <w:t xml:space="preserve"> </w:t>
      </w:r>
      <w:r w:rsidRPr="00266A86">
        <w:rPr>
          <w:b/>
          <w:bCs/>
          <w:lang w:eastAsia="bg-BG"/>
        </w:rPr>
        <w:t xml:space="preserve">500 </w:t>
      </w:r>
      <w:r w:rsidRPr="00266A86">
        <w:rPr>
          <w:b/>
          <w:bCs/>
          <w:lang w:val="en-US"/>
        </w:rPr>
        <w:t>mg</w:t>
      </w:r>
      <w:r w:rsidRPr="00266A86">
        <w:rPr>
          <w:b/>
          <w:bCs/>
        </w:rPr>
        <w:t xml:space="preserve"> </w:t>
      </w:r>
      <w:r w:rsidRPr="00266A86">
        <w:rPr>
          <w:lang w:val="en-US"/>
        </w:rPr>
        <w:t>film</w:t>
      </w:r>
      <w:r w:rsidRPr="00266A86">
        <w:t>-</w:t>
      </w:r>
      <w:r w:rsidRPr="00266A86">
        <w:rPr>
          <w:lang w:val="en-US"/>
        </w:rPr>
        <w:t>coated</w:t>
      </w:r>
      <w:r w:rsidRPr="00266A86">
        <w:t xml:space="preserve"> </w:t>
      </w:r>
      <w:r w:rsidRPr="00266A86">
        <w:rPr>
          <w:lang w:val="en-US"/>
        </w:rPr>
        <w:t>tablets</w:t>
      </w:r>
    </w:p>
    <w:p w14:paraId="76E2648C" w14:textId="77777777" w:rsidR="00266A86" w:rsidRPr="00266A86" w:rsidRDefault="00266A86" w:rsidP="00266A86">
      <w:pPr>
        <w:rPr>
          <w:sz w:val="24"/>
          <w:szCs w:val="24"/>
        </w:rPr>
      </w:pPr>
      <w:r w:rsidRPr="00266A86">
        <w:rPr>
          <w:lang w:val="en-US"/>
        </w:rPr>
        <w:t>Metronidazole</w:t>
      </w:r>
    </w:p>
    <w:p w14:paraId="47545A2F" w14:textId="77777777" w:rsidR="00266A86" w:rsidRPr="00266A86" w:rsidRDefault="00266A86" w:rsidP="00266A86"/>
    <w:p w14:paraId="0A368469" w14:textId="3E365ADE" w:rsidR="00C0049F" w:rsidRDefault="00DD466D" w:rsidP="009F1313">
      <w:pPr>
        <w:pStyle w:val="Heading1"/>
      </w:pPr>
      <w:r>
        <w:t>2. КАЧЕСТВЕН И КОЛИЧЕСТВЕН СЪСТАВ</w:t>
      </w:r>
    </w:p>
    <w:p w14:paraId="4648D2CF" w14:textId="72CC3912" w:rsidR="00266A86" w:rsidRDefault="00266A86" w:rsidP="00266A86"/>
    <w:p w14:paraId="0E609417" w14:textId="77777777" w:rsidR="00266A86" w:rsidRPr="00266A86" w:rsidRDefault="00266A86" w:rsidP="00266A86">
      <w:pPr>
        <w:rPr>
          <w:sz w:val="24"/>
          <w:szCs w:val="24"/>
        </w:rPr>
      </w:pPr>
      <w:r w:rsidRPr="00266A86">
        <w:rPr>
          <w:i/>
          <w:iCs/>
          <w:lang w:eastAsia="bg-BG"/>
        </w:rPr>
        <w:t>Активно вещество:</w:t>
      </w:r>
      <w:r w:rsidRPr="00266A86">
        <w:rPr>
          <w:lang w:eastAsia="bg-BG"/>
        </w:rPr>
        <w:t xml:space="preserve"> метронидазол </w:t>
      </w:r>
      <w:r w:rsidRPr="00266A86">
        <w:rPr>
          <w:lang w:val="ru-RU"/>
        </w:rPr>
        <w:t>(</w:t>
      </w:r>
      <w:r w:rsidRPr="00266A86">
        <w:rPr>
          <w:lang w:val="en-US"/>
        </w:rPr>
        <w:t>Metronidazole</w:t>
      </w:r>
      <w:r w:rsidRPr="00266A86">
        <w:rPr>
          <w:lang w:val="ru-RU"/>
        </w:rPr>
        <w:t>)</w:t>
      </w:r>
    </w:p>
    <w:p w14:paraId="2A1DF66C" w14:textId="77777777" w:rsidR="00266A86" w:rsidRPr="00266A86" w:rsidRDefault="00266A86" w:rsidP="00266A86">
      <w:pPr>
        <w:rPr>
          <w:sz w:val="24"/>
          <w:szCs w:val="24"/>
        </w:rPr>
      </w:pPr>
      <w:r w:rsidRPr="00266A86">
        <w:rPr>
          <w:lang w:eastAsia="bg-BG"/>
        </w:rPr>
        <w:t xml:space="preserve">1 филмирана таблетка съдържа 500 </w:t>
      </w:r>
      <w:r w:rsidRPr="00266A86">
        <w:rPr>
          <w:lang w:val="en-US"/>
        </w:rPr>
        <w:t>mg</w:t>
      </w:r>
      <w:r w:rsidRPr="00266A86">
        <w:rPr>
          <w:lang w:val="ru-RU"/>
        </w:rPr>
        <w:t xml:space="preserve"> </w:t>
      </w:r>
      <w:r w:rsidRPr="00266A86">
        <w:rPr>
          <w:lang w:eastAsia="bg-BG"/>
        </w:rPr>
        <w:t xml:space="preserve">метронидазол </w:t>
      </w:r>
      <w:r w:rsidRPr="00266A86">
        <w:rPr>
          <w:lang w:val="ru-RU"/>
        </w:rPr>
        <w:t>(</w:t>
      </w:r>
      <w:r w:rsidRPr="00266A86">
        <w:rPr>
          <w:lang w:val="en-US"/>
        </w:rPr>
        <w:t>Metronidazole</w:t>
      </w:r>
      <w:r w:rsidRPr="00266A86">
        <w:rPr>
          <w:lang w:val="ru-RU"/>
        </w:rPr>
        <w:t xml:space="preserve">) </w:t>
      </w:r>
      <w:r w:rsidRPr="00266A86">
        <w:rPr>
          <w:lang w:eastAsia="bg-BG"/>
        </w:rPr>
        <w:t>като активно вещество.</w:t>
      </w:r>
    </w:p>
    <w:p w14:paraId="6814D6D3" w14:textId="77777777" w:rsidR="00266A86" w:rsidRDefault="00266A86" w:rsidP="00266A86">
      <w:pPr>
        <w:rPr>
          <w:i/>
          <w:iCs/>
          <w:lang w:eastAsia="bg-BG"/>
        </w:rPr>
      </w:pPr>
    </w:p>
    <w:p w14:paraId="1FB65AA2" w14:textId="7A13E3BE" w:rsidR="00266A86" w:rsidRPr="00266A86" w:rsidRDefault="00266A86" w:rsidP="00266A86">
      <w:r w:rsidRPr="00266A86">
        <w:rPr>
          <w:i/>
          <w:iCs/>
          <w:lang w:eastAsia="bg-BG"/>
        </w:rPr>
        <w:t>Помощни вещества:</w:t>
      </w:r>
      <w:r w:rsidRPr="00266A86">
        <w:rPr>
          <w:lang w:eastAsia="bg-BG"/>
        </w:rPr>
        <w:t xml:space="preserve"> лактоза монохидрат</w:t>
      </w:r>
    </w:p>
    <w:p w14:paraId="614984C4" w14:textId="02823E96" w:rsidR="008A6AF2" w:rsidRDefault="00DD466D" w:rsidP="002C50EE">
      <w:pPr>
        <w:pStyle w:val="Heading1"/>
      </w:pPr>
      <w:r>
        <w:t>3. ЛЕКАРСТВЕНА ФОРМА</w:t>
      </w:r>
    </w:p>
    <w:p w14:paraId="59A7C37A" w14:textId="14030800" w:rsidR="00266A86" w:rsidRDefault="00266A86" w:rsidP="00266A86"/>
    <w:p w14:paraId="258808B1" w14:textId="77777777" w:rsidR="00266A86" w:rsidRPr="00266A86" w:rsidRDefault="00266A86" w:rsidP="00266A86">
      <w:pPr>
        <w:rPr>
          <w:sz w:val="24"/>
          <w:szCs w:val="24"/>
        </w:rPr>
      </w:pPr>
      <w:r w:rsidRPr="00266A86">
        <w:rPr>
          <w:lang w:eastAsia="bg-BG"/>
        </w:rPr>
        <w:t>Филмирана таблетка за перорално приложение.</w:t>
      </w:r>
    </w:p>
    <w:p w14:paraId="6EC2418B" w14:textId="77777777" w:rsidR="00266A86" w:rsidRPr="00266A86" w:rsidRDefault="00266A86" w:rsidP="00266A86">
      <w:pPr>
        <w:rPr>
          <w:sz w:val="24"/>
          <w:szCs w:val="24"/>
        </w:rPr>
      </w:pPr>
      <w:r w:rsidRPr="00266A86">
        <w:rPr>
          <w:lang w:eastAsia="bg-BG"/>
        </w:rPr>
        <w:t>Бели, кръгли, двойно-изпъкнали филмирани таблетки с разделителна линия.</w:t>
      </w:r>
    </w:p>
    <w:p w14:paraId="5356A8F6" w14:textId="2D596A22" w:rsidR="00266A86" w:rsidRPr="00266A86" w:rsidRDefault="00266A86" w:rsidP="00266A86">
      <w:r w:rsidRPr="00266A86">
        <w:rPr>
          <w:lang w:eastAsia="bg-BG"/>
        </w:rPr>
        <w:t>Таблетката може да бъде разделена на две равни половини.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5A495EE9" w:rsidR="00395555" w:rsidRDefault="00395555" w:rsidP="00395555"/>
    <w:p w14:paraId="6E235468" w14:textId="77777777" w:rsidR="00266A86" w:rsidRPr="00266A86" w:rsidRDefault="00266A86" w:rsidP="00266A86">
      <w:pPr>
        <w:rPr>
          <w:sz w:val="24"/>
          <w:szCs w:val="24"/>
        </w:rPr>
      </w:pPr>
      <w:r w:rsidRPr="00266A86">
        <w:rPr>
          <w:lang w:eastAsia="bg-BG"/>
        </w:rPr>
        <w:t xml:space="preserve">Арилин 500 </w:t>
      </w:r>
      <w:r w:rsidRPr="00266A86">
        <w:rPr>
          <w:lang w:val="en-US"/>
        </w:rPr>
        <w:t>mg</w:t>
      </w:r>
      <w:r w:rsidRPr="00266A86">
        <w:rPr>
          <w:lang w:val="ru-RU"/>
        </w:rPr>
        <w:t xml:space="preserve"> </w:t>
      </w:r>
      <w:r w:rsidRPr="00266A86">
        <w:rPr>
          <w:lang w:eastAsia="bg-BG"/>
        </w:rPr>
        <w:t xml:space="preserve">е показан при възрастни и деца на възраст над </w:t>
      </w:r>
      <w:r w:rsidRPr="00266A86">
        <w:rPr>
          <w:i/>
          <w:iCs/>
          <w:lang w:eastAsia="bg-BG"/>
        </w:rPr>
        <w:t>6</w:t>
      </w:r>
      <w:r w:rsidRPr="00266A86">
        <w:rPr>
          <w:lang w:eastAsia="bg-BG"/>
        </w:rPr>
        <w:t xml:space="preserve"> години.</w:t>
      </w:r>
    </w:p>
    <w:p w14:paraId="63AFFF17" w14:textId="77777777" w:rsidR="00266A86" w:rsidRDefault="00266A86" w:rsidP="00266A86">
      <w:pPr>
        <w:rPr>
          <w:i/>
          <w:iCs/>
          <w:lang w:eastAsia="bg-BG"/>
        </w:rPr>
      </w:pPr>
    </w:p>
    <w:p w14:paraId="5C6A11AA" w14:textId="651B4EEE" w:rsidR="00266A86" w:rsidRPr="00266A86" w:rsidRDefault="00266A86" w:rsidP="00266A86">
      <w:pPr>
        <w:rPr>
          <w:sz w:val="24"/>
          <w:szCs w:val="24"/>
        </w:rPr>
      </w:pPr>
      <w:r w:rsidRPr="00266A86">
        <w:rPr>
          <w:i/>
          <w:iCs/>
          <w:lang w:eastAsia="bg-BG"/>
        </w:rPr>
        <w:t xml:space="preserve">Инфекции с идентифицирани или предполагани анаеробни бактерии Към тях спадат </w:t>
      </w:r>
      <w:proofErr w:type="spellStart"/>
      <w:r w:rsidRPr="00266A86">
        <w:rPr>
          <w:i/>
          <w:iCs/>
          <w:lang w:val="en-US"/>
        </w:rPr>
        <w:t>Bacteroides</w:t>
      </w:r>
      <w:proofErr w:type="spellEnd"/>
      <w:r w:rsidRPr="00266A86">
        <w:rPr>
          <w:i/>
          <w:iCs/>
        </w:rPr>
        <w:t xml:space="preserve"> </w:t>
      </w:r>
      <w:proofErr w:type="spellStart"/>
      <w:r w:rsidRPr="00266A86">
        <w:rPr>
          <w:i/>
          <w:iCs/>
          <w:lang w:val="en-US"/>
        </w:rPr>
        <w:t>fragilis</w:t>
      </w:r>
      <w:proofErr w:type="spellEnd"/>
      <w:r w:rsidRPr="00266A86">
        <w:rPr>
          <w:i/>
          <w:iCs/>
        </w:rPr>
        <w:t xml:space="preserve"> </w:t>
      </w:r>
      <w:r w:rsidRPr="00266A86">
        <w:rPr>
          <w:i/>
          <w:iCs/>
          <w:lang w:eastAsia="bg-BG"/>
        </w:rPr>
        <w:t xml:space="preserve">и други видове </w:t>
      </w:r>
      <w:proofErr w:type="spellStart"/>
      <w:r w:rsidRPr="00266A86">
        <w:rPr>
          <w:i/>
          <w:iCs/>
          <w:lang w:val="en-US"/>
        </w:rPr>
        <w:t>Bacteroides</w:t>
      </w:r>
      <w:proofErr w:type="spellEnd"/>
      <w:r w:rsidRPr="00266A86">
        <w:rPr>
          <w:i/>
          <w:iCs/>
        </w:rPr>
        <w:t xml:space="preserve">, </w:t>
      </w:r>
      <w:proofErr w:type="spellStart"/>
      <w:r w:rsidRPr="00266A86">
        <w:rPr>
          <w:i/>
          <w:iCs/>
          <w:lang w:val="en-US"/>
        </w:rPr>
        <w:t>Fusobacteria</w:t>
      </w:r>
      <w:proofErr w:type="spellEnd"/>
      <w:r w:rsidRPr="00266A86">
        <w:rPr>
          <w:i/>
          <w:iCs/>
        </w:rPr>
        <w:t xml:space="preserve">, </w:t>
      </w:r>
      <w:r w:rsidRPr="00266A86">
        <w:rPr>
          <w:i/>
          <w:iCs/>
          <w:lang w:val="en-US"/>
        </w:rPr>
        <w:t>Eubacteria</w:t>
      </w:r>
      <w:r w:rsidRPr="00266A86">
        <w:rPr>
          <w:i/>
          <w:iCs/>
        </w:rPr>
        <w:t xml:space="preserve">, </w:t>
      </w:r>
      <w:r w:rsidRPr="00266A86">
        <w:rPr>
          <w:i/>
          <w:iCs/>
          <w:lang w:val="en-US"/>
        </w:rPr>
        <w:t>Clostridia</w:t>
      </w:r>
      <w:r w:rsidRPr="00266A86">
        <w:rPr>
          <w:i/>
          <w:iCs/>
        </w:rPr>
        <w:t xml:space="preserve">, </w:t>
      </w:r>
      <w:r w:rsidRPr="00266A86">
        <w:rPr>
          <w:i/>
          <w:iCs/>
          <w:lang w:eastAsia="bg-BG"/>
        </w:rPr>
        <w:t>както и чувствителни към препарата анаеробни коки.</w:t>
      </w:r>
    </w:p>
    <w:p w14:paraId="236E9A1F" w14:textId="77777777" w:rsidR="00266A86" w:rsidRDefault="00266A86" w:rsidP="00266A86">
      <w:pPr>
        <w:rPr>
          <w:lang w:eastAsia="bg-BG"/>
        </w:rPr>
      </w:pPr>
    </w:p>
    <w:p w14:paraId="6C349892" w14:textId="15F998FB" w:rsidR="00266A86" w:rsidRPr="00266A86" w:rsidRDefault="00266A86" w:rsidP="00266A86">
      <w:pPr>
        <w:rPr>
          <w:sz w:val="24"/>
          <w:szCs w:val="24"/>
        </w:rPr>
      </w:pPr>
      <w:r w:rsidRPr="00266A86">
        <w:rPr>
          <w:lang w:eastAsia="bg-BG"/>
        </w:rPr>
        <w:t>Към тях спадат:</w:t>
      </w:r>
    </w:p>
    <w:p w14:paraId="38CE15DF" w14:textId="77777777" w:rsidR="00266A86" w:rsidRPr="00266A86" w:rsidRDefault="00266A86" w:rsidP="00266A86">
      <w:pPr>
        <w:pStyle w:val="ListParagraph"/>
        <w:numPr>
          <w:ilvl w:val="0"/>
          <w:numId w:val="35"/>
        </w:numPr>
        <w:rPr>
          <w:lang w:eastAsia="bg-BG"/>
        </w:rPr>
      </w:pPr>
      <w:r w:rsidRPr="00266A86">
        <w:rPr>
          <w:lang w:eastAsia="bg-BG"/>
        </w:rPr>
        <w:t>Инфекции в тазовата област и корема, напр, след операции на стомашно-чревния тракт перитонит, абсцеси;</w:t>
      </w:r>
    </w:p>
    <w:p w14:paraId="5529D72A" w14:textId="77777777" w:rsidR="00266A86" w:rsidRPr="00266A86" w:rsidRDefault="00266A86" w:rsidP="00266A86">
      <w:pPr>
        <w:pStyle w:val="ListParagraph"/>
        <w:numPr>
          <w:ilvl w:val="0"/>
          <w:numId w:val="35"/>
        </w:numPr>
        <w:rPr>
          <w:lang w:eastAsia="bg-BG"/>
        </w:rPr>
      </w:pPr>
      <w:r w:rsidRPr="00266A86">
        <w:rPr>
          <w:lang w:eastAsia="bg-BG"/>
        </w:rPr>
        <w:t>Инфекции на женските полови органи;</w:t>
      </w:r>
    </w:p>
    <w:p w14:paraId="41304737" w14:textId="77777777" w:rsidR="00266A86" w:rsidRPr="00266A86" w:rsidRDefault="00266A86" w:rsidP="00266A86">
      <w:pPr>
        <w:pStyle w:val="ListParagraph"/>
        <w:numPr>
          <w:ilvl w:val="0"/>
          <w:numId w:val="35"/>
        </w:numPr>
        <w:rPr>
          <w:lang w:eastAsia="bg-BG"/>
        </w:rPr>
      </w:pPr>
      <w:r w:rsidRPr="00266A86">
        <w:rPr>
          <w:lang w:eastAsia="bg-BG"/>
        </w:rPr>
        <w:t>Инфекции на дихателните пътища;</w:t>
      </w:r>
    </w:p>
    <w:p w14:paraId="7428E477" w14:textId="77777777" w:rsidR="00266A86" w:rsidRPr="00266A86" w:rsidRDefault="00266A86" w:rsidP="00266A86">
      <w:pPr>
        <w:pStyle w:val="ListParagraph"/>
        <w:numPr>
          <w:ilvl w:val="0"/>
          <w:numId w:val="35"/>
        </w:numPr>
        <w:rPr>
          <w:lang w:eastAsia="bg-BG"/>
        </w:rPr>
      </w:pPr>
      <w:r w:rsidRPr="00266A86">
        <w:rPr>
          <w:lang w:eastAsia="bg-BG"/>
        </w:rPr>
        <w:t>Инфекции на</w:t>
      </w:r>
      <w:r w:rsidRPr="00266A86">
        <w:rPr>
          <w:lang w:val="ru-RU"/>
        </w:rPr>
        <w:t xml:space="preserve"> </w:t>
      </w:r>
      <w:r w:rsidRPr="00266A86">
        <w:rPr>
          <w:lang w:eastAsia="bg-BG"/>
        </w:rPr>
        <w:t>ставите и костите;</w:t>
      </w:r>
    </w:p>
    <w:p w14:paraId="5FD1A11D" w14:textId="77777777" w:rsidR="00266A86" w:rsidRPr="00266A86" w:rsidRDefault="00266A86" w:rsidP="00266A86">
      <w:pPr>
        <w:pStyle w:val="ListParagraph"/>
        <w:numPr>
          <w:ilvl w:val="0"/>
          <w:numId w:val="35"/>
        </w:numPr>
        <w:rPr>
          <w:lang w:eastAsia="bg-BG"/>
        </w:rPr>
      </w:pPr>
      <w:r w:rsidRPr="00266A86">
        <w:rPr>
          <w:lang w:eastAsia="bg-BG"/>
        </w:rPr>
        <w:t>Инфекции на кожата и на меките тъкани;</w:t>
      </w:r>
    </w:p>
    <w:p w14:paraId="081EC75B" w14:textId="77777777" w:rsidR="00266A86" w:rsidRPr="00266A86" w:rsidRDefault="00266A86" w:rsidP="00266A86">
      <w:pPr>
        <w:pStyle w:val="ListParagraph"/>
        <w:numPr>
          <w:ilvl w:val="0"/>
          <w:numId w:val="35"/>
        </w:numPr>
        <w:rPr>
          <w:lang w:eastAsia="bg-BG"/>
        </w:rPr>
      </w:pPr>
      <w:r w:rsidRPr="00266A86">
        <w:rPr>
          <w:lang w:eastAsia="bg-BG"/>
        </w:rPr>
        <w:t xml:space="preserve">Инфекции на централната нервна система (вкл. мозъчен абсцес и менингит), причинени по специално от видовете </w:t>
      </w:r>
      <w:proofErr w:type="spellStart"/>
      <w:r w:rsidRPr="00266A86">
        <w:rPr>
          <w:lang w:val="en-US"/>
        </w:rPr>
        <w:t>Bacteroides</w:t>
      </w:r>
      <w:proofErr w:type="spellEnd"/>
      <w:r w:rsidRPr="00266A86">
        <w:rPr>
          <w:lang w:val="ru-RU"/>
        </w:rPr>
        <w:t>;</w:t>
      </w:r>
    </w:p>
    <w:p w14:paraId="1FD29E2A" w14:textId="77777777" w:rsidR="00266A86" w:rsidRPr="00266A86" w:rsidRDefault="00266A86" w:rsidP="00266A86">
      <w:pPr>
        <w:pStyle w:val="ListParagraph"/>
        <w:numPr>
          <w:ilvl w:val="0"/>
          <w:numId w:val="35"/>
        </w:numPr>
        <w:rPr>
          <w:lang w:eastAsia="bg-BG"/>
        </w:rPr>
      </w:pPr>
      <w:r w:rsidRPr="00266A86">
        <w:rPr>
          <w:lang w:eastAsia="bg-BG"/>
        </w:rPr>
        <w:t>Сепсис;</w:t>
      </w:r>
    </w:p>
    <w:p w14:paraId="6E0A7C42" w14:textId="77777777" w:rsidR="00266A86" w:rsidRPr="00266A86" w:rsidRDefault="00266A86" w:rsidP="00266A86">
      <w:pPr>
        <w:pStyle w:val="ListParagraph"/>
        <w:numPr>
          <w:ilvl w:val="0"/>
          <w:numId w:val="35"/>
        </w:numPr>
        <w:rPr>
          <w:lang w:eastAsia="bg-BG"/>
        </w:rPr>
      </w:pPr>
      <w:r w:rsidRPr="00266A86">
        <w:rPr>
          <w:lang w:eastAsia="bg-BG"/>
        </w:rPr>
        <w:t>Ендокардит;</w:t>
      </w:r>
    </w:p>
    <w:p w14:paraId="565F02C1" w14:textId="77777777" w:rsidR="00266A86" w:rsidRDefault="00266A86" w:rsidP="00266A86">
      <w:pPr>
        <w:rPr>
          <w:lang w:eastAsia="bg-BG"/>
        </w:rPr>
      </w:pPr>
    </w:p>
    <w:p w14:paraId="234DE95D" w14:textId="6031177D" w:rsidR="00266A86" w:rsidRPr="00266A86" w:rsidRDefault="00266A86" w:rsidP="00266A86">
      <w:pPr>
        <w:rPr>
          <w:sz w:val="24"/>
          <w:szCs w:val="24"/>
        </w:rPr>
      </w:pPr>
      <w:r w:rsidRPr="00266A86">
        <w:rPr>
          <w:lang w:eastAsia="bg-BG"/>
        </w:rPr>
        <w:t xml:space="preserve">Мегронидазол е ефективен и при лечение на бактериални вагинози /амино кол пити/, причинени от </w:t>
      </w:r>
      <w:proofErr w:type="spellStart"/>
      <w:r w:rsidRPr="00266A86">
        <w:rPr>
          <w:lang w:val="en-US"/>
        </w:rPr>
        <w:t>Gardnerella</w:t>
      </w:r>
      <w:proofErr w:type="spellEnd"/>
      <w:r w:rsidRPr="00266A86">
        <w:t xml:space="preserve"> </w:t>
      </w:r>
      <w:proofErr w:type="spellStart"/>
      <w:r w:rsidRPr="00266A86">
        <w:rPr>
          <w:lang w:val="en-US"/>
        </w:rPr>
        <w:t>vaginalis</w:t>
      </w:r>
      <w:proofErr w:type="spellEnd"/>
      <w:r w:rsidRPr="00266A86">
        <w:t xml:space="preserve">, </w:t>
      </w:r>
      <w:r w:rsidRPr="00266A86">
        <w:rPr>
          <w:lang w:eastAsia="bg-BG"/>
        </w:rPr>
        <w:t xml:space="preserve">както и при </w:t>
      </w:r>
      <w:r w:rsidRPr="00266A86">
        <w:rPr>
          <w:lang w:val="en-US"/>
        </w:rPr>
        <w:t>Trichomonas</w:t>
      </w:r>
      <w:r w:rsidRPr="00266A86">
        <w:t xml:space="preserve"> </w:t>
      </w:r>
      <w:proofErr w:type="spellStart"/>
      <w:r w:rsidRPr="00266A86">
        <w:rPr>
          <w:lang w:val="en-US"/>
        </w:rPr>
        <w:t>vaginalis</w:t>
      </w:r>
      <w:proofErr w:type="spellEnd"/>
      <w:r w:rsidRPr="00266A86">
        <w:t xml:space="preserve"> </w:t>
      </w:r>
      <w:r w:rsidRPr="00266A86">
        <w:rPr>
          <w:lang w:eastAsia="bg-BG"/>
        </w:rPr>
        <w:t xml:space="preserve">и </w:t>
      </w:r>
      <w:proofErr w:type="spellStart"/>
      <w:r w:rsidRPr="00266A86">
        <w:rPr>
          <w:lang w:val="en-US"/>
        </w:rPr>
        <w:t>Lamblia</w:t>
      </w:r>
      <w:proofErr w:type="spellEnd"/>
      <w:r w:rsidRPr="00266A86">
        <w:t xml:space="preserve"> </w:t>
      </w:r>
      <w:proofErr w:type="spellStart"/>
      <w:r w:rsidRPr="00266A86">
        <w:rPr>
          <w:lang w:val="en-US"/>
        </w:rPr>
        <w:t>intestinalis</w:t>
      </w:r>
      <w:proofErr w:type="spellEnd"/>
      <w:r w:rsidRPr="00266A86">
        <w:t>.</w:t>
      </w:r>
    </w:p>
    <w:p w14:paraId="5C205A32" w14:textId="77777777" w:rsidR="00266A86" w:rsidRDefault="00266A86" w:rsidP="00266A86">
      <w:pPr>
        <w:rPr>
          <w:rFonts w:ascii="Times New Roman" w:eastAsia="Times New Roman" w:hAnsi="Times New Roman" w:cs="Times New Roman"/>
          <w:color w:val="000000"/>
          <w:sz w:val="18"/>
          <w:szCs w:val="18"/>
          <w:lang w:eastAsia="bg-BG"/>
        </w:rPr>
      </w:pPr>
    </w:p>
    <w:p w14:paraId="4BCAF233" w14:textId="18E968F0" w:rsidR="00266A86" w:rsidRDefault="00266A86" w:rsidP="00266A86">
      <w:pPr>
        <w:rPr>
          <w:lang w:eastAsia="bg-BG"/>
        </w:rPr>
      </w:pPr>
      <w:r w:rsidRPr="00266A86">
        <w:rPr>
          <w:lang w:eastAsia="bg-BG"/>
        </w:rPr>
        <w:t>При използване на мегронидазол трябва да се спазват национални</w:t>
      </w:r>
      <w:r>
        <w:rPr>
          <w:lang w:eastAsia="bg-BG"/>
        </w:rPr>
        <w:t>те и М</w:t>
      </w:r>
      <w:r w:rsidRPr="00266A86">
        <w:rPr>
          <w:lang w:val="en-US"/>
        </w:rPr>
        <w:t>EVDUNARODNITE</w:t>
      </w:r>
      <w:r w:rsidRPr="00266A86">
        <w:rPr>
          <w:lang w:eastAsia="bg-BG"/>
        </w:rPr>
        <w:t xml:space="preserve"> препоръки за правилна употреба на антимикробни агенти.</w:t>
      </w:r>
    </w:p>
    <w:p w14:paraId="5BC5D773" w14:textId="77777777" w:rsidR="00266A86" w:rsidRPr="00395555" w:rsidRDefault="00266A86" w:rsidP="00266A86"/>
    <w:p w14:paraId="7C0CA5EB" w14:textId="4D6B8578" w:rsidR="00C0049F" w:rsidRDefault="002C50EE" w:rsidP="009F1313">
      <w:pPr>
        <w:pStyle w:val="Heading2"/>
      </w:pPr>
      <w:r>
        <w:t>4.2. Дозировка и начин на приложение</w:t>
      </w:r>
    </w:p>
    <w:p w14:paraId="30EC34F8" w14:textId="70B8E8E7" w:rsidR="00266A86" w:rsidRDefault="00266A86" w:rsidP="00266A86"/>
    <w:p w14:paraId="1D9E0DD6" w14:textId="77777777" w:rsidR="00266A86" w:rsidRPr="00266A86" w:rsidRDefault="00266A86" w:rsidP="00266A86">
      <w:pPr>
        <w:pStyle w:val="Heading3"/>
        <w:rPr>
          <w:rFonts w:eastAsia="Times New Roman"/>
          <w:u w:val="single"/>
        </w:rPr>
      </w:pPr>
      <w:r w:rsidRPr="00266A86">
        <w:rPr>
          <w:rFonts w:eastAsia="Times New Roman"/>
          <w:u w:val="single"/>
          <w:lang w:eastAsia="bg-BG"/>
        </w:rPr>
        <w:t>Дозировка</w:t>
      </w:r>
    </w:p>
    <w:p w14:paraId="1FABBA3F" w14:textId="77777777" w:rsidR="00266A86" w:rsidRPr="00266A86" w:rsidRDefault="00266A86" w:rsidP="00266A86">
      <w:pPr>
        <w:spacing w:line="240" w:lineRule="auto"/>
        <w:rPr>
          <w:rFonts w:eastAsia="Times New Roman" w:cs="Arial"/>
          <w:b/>
          <w:bCs/>
          <w:i/>
          <w:iCs/>
          <w:color w:val="000000"/>
          <w:lang w:eastAsia="bg-BG"/>
        </w:rPr>
      </w:pPr>
    </w:p>
    <w:p w14:paraId="53859F7C" w14:textId="5BB3E6D7" w:rsidR="00266A86" w:rsidRPr="00266A86" w:rsidRDefault="00266A86" w:rsidP="00266A86">
      <w:pPr>
        <w:spacing w:line="240" w:lineRule="auto"/>
        <w:rPr>
          <w:rFonts w:eastAsia="Times New Roman" w:cs="Arial"/>
        </w:rPr>
      </w:pPr>
      <w:r w:rsidRPr="00266A86">
        <w:rPr>
          <w:rFonts w:eastAsia="Times New Roman" w:cs="Arial"/>
          <w:b/>
          <w:bCs/>
          <w:i/>
          <w:iCs/>
          <w:color w:val="000000"/>
          <w:lang w:eastAsia="bg-BG"/>
        </w:rPr>
        <w:t>Деца на възраст от 6 до 12 години</w:t>
      </w:r>
    </w:p>
    <w:p w14:paraId="32755E6A" w14:textId="77777777" w:rsidR="00266A86" w:rsidRPr="00266A86" w:rsidRDefault="00266A86" w:rsidP="00266A86">
      <w:pPr>
        <w:spacing w:line="240" w:lineRule="auto"/>
        <w:rPr>
          <w:rFonts w:eastAsia="Times New Roman" w:cs="Arial"/>
          <w:color w:val="000000"/>
          <w:lang w:eastAsia="bg-BG"/>
        </w:rPr>
      </w:pPr>
    </w:p>
    <w:p w14:paraId="48444298" w14:textId="065CD573"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При деца до 12-годишна възраст дозата за лечение на инфекции, причинени от анаеробни бактерии, е 20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до 30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телесно тегло веднъж дневно.</w:t>
      </w:r>
    </w:p>
    <w:p w14:paraId="7DBBA64B"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В зависимост от тежестта дозата може да бъде увеличена на 40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телесно тегло дневно. Обикновено продължителността на лечението е 7 дни.</w:t>
      </w:r>
    </w:p>
    <w:p w14:paraId="12CE1087" w14:textId="77777777" w:rsidR="00266A86" w:rsidRPr="00266A86" w:rsidRDefault="00266A86" w:rsidP="00266A86">
      <w:pPr>
        <w:spacing w:line="240" w:lineRule="auto"/>
        <w:rPr>
          <w:rFonts w:eastAsia="Times New Roman" w:cs="Arial"/>
          <w:color w:val="000000"/>
          <w:lang w:eastAsia="bg-BG"/>
        </w:rPr>
      </w:pPr>
    </w:p>
    <w:p w14:paraId="22E78CB9" w14:textId="35EAFBE3"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За профилактика срещу следоперативни инфекции, причинени от анаеробни бактерии, при деца на възраст от 6 до 11 години един до два часа преди операцията се прилага единична доза от 20 до 30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телесно тегло.</w:t>
      </w:r>
    </w:p>
    <w:p w14:paraId="2B6DFF61" w14:textId="77777777" w:rsidR="00266A86" w:rsidRPr="00266A86" w:rsidRDefault="00266A86" w:rsidP="00266A86">
      <w:pPr>
        <w:spacing w:line="240" w:lineRule="auto"/>
        <w:rPr>
          <w:rFonts w:eastAsia="Times New Roman" w:cs="Arial"/>
          <w:color w:val="000000"/>
          <w:lang w:eastAsia="bg-BG"/>
        </w:rPr>
      </w:pPr>
    </w:p>
    <w:p w14:paraId="280E6A41" w14:textId="6E14B4EE"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В случай на бактериална вагиноза при младежи дозата е 400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два пъти дневно за 5 до 7 дни или 2000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метронидазол като единична доза.</w:t>
      </w:r>
    </w:p>
    <w:p w14:paraId="0A2FFD4A" w14:textId="77777777" w:rsidR="00266A86" w:rsidRPr="00266A86" w:rsidRDefault="00266A86" w:rsidP="00266A86">
      <w:pPr>
        <w:spacing w:line="240" w:lineRule="auto"/>
        <w:rPr>
          <w:rFonts w:eastAsia="Times New Roman" w:cs="Arial"/>
          <w:color w:val="000000"/>
          <w:lang w:eastAsia="bg-BG"/>
        </w:rPr>
      </w:pPr>
    </w:p>
    <w:p w14:paraId="4C0EF94F" w14:textId="2AB8AF76"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В случаи на урогенитална трихомониаза при младежи се прилага единична доза от 2000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метронидазол, по 200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три пъти дневно за 7 дни или по 400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два пъти дневно за 5 до 7 дни. Деца на възраст от 6 до 10 години приемат единична доза от 40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 xml:space="preserve">телесно тегло или по 15 - 30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 xml:space="preserve">телесно тегло дневно за 7 дни, разделени на две до три дози дневно. Не трябва да се надвишават 2000 </w:t>
      </w:r>
      <w:r w:rsidRPr="00266A86">
        <w:rPr>
          <w:rFonts w:eastAsia="Times New Roman" w:cs="Arial"/>
          <w:color w:val="000000"/>
          <w:lang w:val="en-US"/>
        </w:rPr>
        <w:t>mg</w:t>
      </w:r>
      <w:r w:rsidRPr="00266A86">
        <w:rPr>
          <w:rFonts w:eastAsia="Times New Roman" w:cs="Arial"/>
          <w:color w:val="000000"/>
          <w:lang w:eastAsia="bg-BG"/>
        </w:rPr>
        <w:t>/доза.</w:t>
      </w:r>
    </w:p>
    <w:p w14:paraId="58F42EEA" w14:textId="77777777" w:rsidR="00266A86" w:rsidRPr="00266A86" w:rsidRDefault="00266A86" w:rsidP="00266A86">
      <w:pPr>
        <w:spacing w:line="240" w:lineRule="auto"/>
        <w:rPr>
          <w:rFonts w:eastAsia="Times New Roman" w:cs="Arial"/>
          <w:color w:val="000000"/>
          <w:lang w:eastAsia="bg-BG"/>
        </w:rPr>
      </w:pPr>
    </w:p>
    <w:p w14:paraId="757F204A" w14:textId="2356EDF9"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При ламблиаза (гиардиаза) за лечение на деца на възраст над 10 години се прилагат по 2000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веднъж дневно за 3 дни, по 400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 xml:space="preserve">три пъти дневно за 5 дни или по 500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два пъти дневно за 7 - 10 дни.</w:t>
      </w:r>
    </w:p>
    <w:p w14:paraId="2906B9DC"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Деца на възраст от 7 до 10 години: 1000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веднъж дневно за 3 дни.</w:t>
      </w:r>
    </w:p>
    <w:p w14:paraId="0214F3E2"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Деца на възраст от 6 до 7 години: 600 - 800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веднъж дневно за 3 дни.</w:t>
      </w:r>
    </w:p>
    <w:p w14:paraId="78DCD919"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Алтернативно при деца на възраст от 6 до 10 години се прилагат по 15-40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телесно тегло на ден за 3 дни, разделени на две до три дози дневно.</w:t>
      </w:r>
    </w:p>
    <w:p w14:paraId="70205482" w14:textId="77777777" w:rsidR="00266A86" w:rsidRPr="00266A86" w:rsidRDefault="00266A86" w:rsidP="00266A86">
      <w:pPr>
        <w:spacing w:line="240" w:lineRule="auto"/>
        <w:rPr>
          <w:rFonts w:eastAsia="Times New Roman" w:cs="Arial"/>
          <w:color w:val="000000"/>
          <w:lang w:eastAsia="bg-BG"/>
        </w:rPr>
      </w:pPr>
    </w:p>
    <w:p w14:paraId="4B819689" w14:textId="49662EDB"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В случай на амебиаза при деца на възраст над 10 години се прилагат по 400 - 800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три пъти дневно за 5 до 10 дни.</w:t>
      </w:r>
    </w:p>
    <w:p w14:paraId="4578D951"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Деца на възраст от 7 до 10 години: 200 - 400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три пъти дневно за 5 до 10 дни</w:t>
      </w:r>
    </w:p>
    <w:p w14:paraId="4835C035"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Деца на възраст 6-7 години: 100 - 200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четири пъти дневно за 5 до 10 дни</w:t>
      </w:r>
    </w:p>
    <w:p w14:paraId="511B8B8B"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Алтернативно при деца на възраст от 6 до 10 години се прилагат по 35 - 50 </w:t>
      </w:r>
      <w:r w:rsidRPr="00266A86">
        <w:rPr>
          <w:rFonts w:eastAsia="Times New Roman" w:cs="Arial"/>
          <w:color w:val="000000"/>
          <w:lang w:val="en-US"/>
        </w:rPr>
        <w:t>mg</w:t>
      </w:r>
      <w:r w:rsidRPr="00266A86">
        <w:rPr>
          <w:rFonts w:eastAsia="Times New Roman" w:cs="Arial"/>
          <w:color w:val="000000"/>
          <w:lang w:val="ru-RU"/>
        </w:rPr>
        <w:t>/</w:t>
      </w:r>
      <w:r w:rsidRPr="00266A86">
        <w:rPr>
          <w:rFonts w:eastAsia="Times New Roman" w:cs="Arial"/>
          <w:color w:val="000000"/>
          <w:lang w:val="en-US"/>
        </w:rPr>
        <w:t>kg</w:t>
      </w:r>
      <w:r w:rsidRPr="00266A86">
        <w:rPr>
          <w:rFonts w:eastAsia="Times New Roman" w:cs="Arial"/>
          <w:color w:val="000000"/>
          <w:lang w:val="ru-RU"/>
        </w:rPr>
        <w:t xml:space="preserve"> </w:t>
      </w:r>
      <w:r w:rsidRPr="00266A86">
        <w:rPr>
          <w:rFonts w:eastAsia="Times New Roman" w:cs="Arial"/>
          <w:color w:val="000000"/>
          <w:lang w:eastAsia="bg-BG"/>
        </w:rPr>
        <w:t xml:space="preserve">телесно тегло на ден за 5 до 10 дни, разделени на три дози дневно; не трябва да се надвишават 2400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дневно.</w:t>
      </w:r>
    </w:p>
    <w:p w14:paraId="57148604" w14:textId="77777777" w:rsidR="00266A86" w:rsidRPr="00266A86" w:rsidRDefault="00266A86" w:rsidP="00266A86">
      <w:pPr>
        <w:spacing w:line="240" w:lineRule="auto"/>
        <w:rPr>
          <w:rFonts w:eastAsia="Times New Roman" w:cs="Arial"/>
          <w:color w:val="000000"/>
          <w:lang w:eastAsia="bg-BG"/>
        </w:rPr>
      </w:pPr>
    </w:p>
    <w:p w14:paraId="28C5289E" w14:textId="530A8EC9" w:rsidR="00266A86" w:rsidRPr="00266A86" w:rsidRDefault="00266A86" w:rsidP="00266A86">
      <w:pPr>
        <w:spacing w:line="240" w:lineRule="auto"/>
        <w:rPr>
          <w:rFonts w:eastAsia="Times New Roman" w:cs="Arial"/>
        </w:rPr>
      </w:pPr>
      <w:r w:rsidRPr="00266A86">
        <w:rPr>
          <w:rFonts w:eastAsia="Times New Roman" w:cs="Arial"/>
          <w:color w:val="000000"/>
          <w:lang w:eastAsia="bg-BG"/>
        </w:rPr>
        <w:t>За деца на възраст под 6 години не са подходящи лекарствени форми като таблетки, които трябва да се поглъщат, без да се дъвчат.</w:t>
      </w:r>
    </w:p>
    <w:p w14:paraId="5D3B9D33" w14:textId="77777777" w:rsidR="00266A86" w:rsidRPr="00266A86" w:rsidRDefault="00266A86" w:rsidP="00266A86">
      <w:pPr>
        <w:spacing w:line="240" w:lineRule="auto"/>
        <w:rPr>
          <w:rFonts w:eastAsia="Times New Roman" w:cs="Arial"/>
          <w:b/>
          <w:bCs/>
          <w:i/>
          <w:iCs/>
          <w:color w:val="000000"/>
          <w:lang w:eastAsia="bg-BG"/>
        </w:rPr>
      </w:pPr>
    </w:p>
    <w:p w14:paraId="2EB3F610" w14:textId="4F572537" w:rsidR="00266A86" w:rsidRPr="00266A86" w:rsidRDefault="00266A86" w:rsidP="00266A86">
      <w:pPr>
        <w:spacing w:line="240" w:lineRule="auto"/>
        <w:rPr>
          <w:rFonts w:eastAsia="Times New Roman" w:cs="Arial"/>
        </w:rPr>
      </w:pPr>
      <w:r w:rsidRPr="00266A86">
        <w:rPr>
          <w:rFonts w:eastAsia="Times New Roman" w:cs="Arial"/>
          <w:b/>
          <w:bCs/>
          <w:i/>
          <w:iCs/>
          <w:color w:val="000000"/>
          <w:lang w:eastAsia="bg-BG"/>
        </w:rPr>
        <w:lastRenderedPageBreak/>
        <w:t>Възрастни и деца над 12-годишна възраст</w:t>
      </w:r>
    </w:p>
    <w:p w14:paraId="62F7968A" w14:textId="77777777" w:rsidR="00266A86" w:rsidRPr="00266A86" w:rsidRDefault="00266A86" w:rsidP="00266A86">
      <w:pPr>
        <w:spacing w:line="240" w:lineRule="auto"/>
        <w:rPr>
          <w:rFonts w:eastAsia="Times New Roman" w:cs="Arial"/>
          <w:color w:val="000000"/>
          <w:lang w:eastAsia="bg-BG"/>
        </w:rPr>
      </w:pPr>
    </w:p>
    <w:p w14:paraId="64879DF4" w14:textId="1B0D2956" w:rsidR="00266A86" w:rsidRPr="00266A86" w:rsidRDefault="00266A86" w:rsidP="00266A86">
      <w:pPr>
        <w:spacing w:line="240" w:lineRule="auto"/>
        <w:rPr>
          <w:rFonts w:eastAsia="Times New Roman" w:cs="Arial"/>
          <w:color w:val="000000"/>
          <w:lang w:val="ru-RU"/>
        </w:rPr>
      </w:pPr>
      <w:r w:rsidRPr="00266A86">
        <w:rPr>
          <w:rFonts w:eastAsia="Times New Roman" w:cs="Arial"/>
          <w:color w:val="000000"/>
          <w:lang w:eastAsia="bg-BG"/>
        </w:rPr>
        <w:t xml:space="preserve">Дневната доза при възрастни и деца на възраст над 12 г, е от 0,25 до максимално 2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 xml:space="preserve">средната доза е 0,75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 xml:space="preserve">до 1 </w:t>
      </w:r>
      <w:r w:rsidRPr="00266A86">
        <w:rPr>
          <w:rFonts w:eastAsia="Times New Roman" w:cs="Arial"/>
          <w:color w:val="000000"/>
          <w:lang w:val="en-US"/>
        </w:rPr>
        <w:t>g</w:t>
      </w:r>
      <w:r w:rsidRPr="00266A86">
        <w:rPr>
          <w:rFonts w:eastAsia="Times New Roman" w:cs="Arial"/>
          <w:color w:val="000000"/>
          <w:lang w:val="ru-RU"/>
        </w:rPr>
        <w:t xml:space="preserve">. </w:t>
      </w:r>
    </w:p>
    <w:p w14:paraId="48F39449" w14:textId="7F026C99" w:rsidR="00266A86" w:rsidRPr="00266A86" w:rsidRDefault="00266A86" w:rsidP="00266A86">
      <w:pPr>
        <w:spacing w:line="240" w:lineRule="auto"/>
        <w:rPr>
          <w:rFonts w:eastAsia="Times New Roman" w:cs="Arial"/>
        </w:rPr>
      </w:pPr>
      <w:r w:rsidRPr="00266A86">
        <w:rPr>
          <w:rFonts w:eastAsia="Times New Roman" w:cs="Arial"/>
          <w:color w:val="000000"/>
          <w:lang w:eastAsia="bg-BG"/>
        </w:rPr>
        <w:t>Обикновено тя се разделя на 2 до 3 отделни дози.</w:t>
      </w:r>
    </w:p>
    <w:p w14:paraId="2DBD61B0" w14:textId="77777777" w:rsidR="00266A86" w:rsidRPr="00266A86" w:rsidRDefault="00266A86" w:rsidP="00266A86">
      <w:pPr>
        <w:spacing w:line="240" w:lineRule="auto"/>
        <w:rPr>
          <w:rFonts w:eastAsia="Times New Roman" w:cs="Arial"/>
          <w:color w:val="000000"/>
          <w:lang w:eastAsia="bg-BG"/>
        </w:rPr>
      </w:pPr>
    </w:p>
    <w:p w14:paraId="438C9181" w14:textId="43E11A5E"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При неусложнени инфекции и по-ниски дози (0,5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 xml:space="preserve">дневно или по-малко) са достатъчни за няколко дни лечение (5 до 7 дни), докато при по-високи дози (1 до 2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дневно) може да бъде достатъчен кратък курс на лечение (1 до 3 дни).</w:t>
      </w:r>
    </w:p>
    <w:p w14:paraId="705D3C59" w14:textId="77777777" w:rsidR="00266A86" w:rsidRPr="00266A86" w:rsidRDefault="00266A86" w:rsidP="00266A86">
      <w:pPr>
        <w:spacing w:line="240" w:lineRule="auto"/>
        <w:rPr>
          <w:rFonts w:eastAsia="Times New Roman" w:cs="Arial"/>
          <w:color w:val="000000"/>
          <w:lang w:eastAsia="bg-BG"/>
        </w:rPr>
      </w:pPr>
    </w:p>
    <w:p w14:paraId="02B6EBAB" w14:textId="191C5E60"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Също така бактериалната вагиноза и трихомониазата могат да бъдат лекувани с еднократна доза от </w:t>
      </w:r>
      <w:r w:rsidRPr="00266A86">
        <w:rPr>
          <w:rFonts w:eastAsia="Times New Roman" w:cs="Arial"/>
          <w:color w:val="000000"/>
          <w:lang w:val="ru-RU"/>
        </w:rPr>
        <w:t>2</w:t>
      </w:r>
      <w:r w:rsidRPr="00266A86">
        <w:rPr>
          <w:rFonts w:eastAsia="Times New Roman" w:cs="Arial"/>
          <w:color w:val="000000"/>
          <w:lang w:val="en-US"/>
        </w:rPr>
        <w:t>g</w:t>
      </w:r>
      <w:r w:rsidRPr="00266A86">
        <w:rPr>
          <w:rFonts w:eastAsia="Times New Roman" w:cs="Arial"/>
          <w:color w:val="000000"/>
          <w:lang w:val="ru-RU"/>
        </w:rPr>
        <w:t>.</w:t>
      </w:r>
    </w:p>
    <w:p w14:paraId="737CE2F9" w14:textId="77777777" w:rsidR="00266A86" w:rsidRPr="00266A86" w:rsidRDefault="00266A86" w:rsidP="00266A86">
      <w:pPr>
        <w:spacing w:line="240" w:lineRule="auto"/>
        <w:rPr>
          <w:rFonts w:eastAsia="Times New Roman" w:cs="Arial"/>
          <w:color w:val="000000"/>
          <w:lang w:eastAsia="bg-BG"/>
        </w:rPr>
      </w:pPr>
    </w:p>
    <w:p w14:paraId="3E7B9E84" w14:textId="2DDC3228" w:rsidR="00266A86" w:rsidRPr="00266A86" w:rsidRDefault="00266A86" w:rsidP="00266A86">
      <w:pPr>
        <w:spacing w:line="240" w:lineRule="auto"/>
        <w:rPr>
          <w:rFonts w:eastAsia="Times New Roman" w:cs="Arial"/>
        </w:rPr>
      </w:pPr>
      <w:r w:rsidRPr="00266A86">
        <w:rPr>
          <w:rFonts w:eastAsia="Times New Roman" w:cs="Arial"/>
          <w:color w:val="000000"/>
          <w:lang w:eastAsia="bg-BG"/>
        </w:rPr>
        <w:t>В случаи на:</w:t>
      </w:r>
    </w:p>
    <w:p w14:paraId="18D00D24" w14:textId="77777777" w:rsidR="00266A86" w:rsidRPr="00266A86" w:rsidRDefault="00266A86" w:rsidP="00266A86">
      <w:pPr>
        <w:pStyle w:val="ListParagraph"/>
        <w:numPr>
          <w:ilvl w:val="0"/>
          <w:numId w:val="36"/>
        </w:numPr>
        <w:spacing w:line="240" w:lineRule="auto"/>
        <w:rPr>
          <w:rFonts w:eastAsia="Times New Roman" w:cs="Arial"/>
        </w:rPr>
      </w:pPr>
      <w:r w:rsidRPr="00266A86">
        <w:rPr>
          <w:rFonts w:eastAsia="Times New Roman" w:cs="Arial"/>
          <w:color w:val="000000"/>
          <w:lang w:eastAsia="bg-BG"/>
        </w:rPr>
        <w:t>ендометрит и аднексит,</w:t>
      </w:r>
    </w:p>
    <w:p w14:paraId="2D6DB271" w14:textId="77777777" w:rsidR="00266A86" w:rsidRPr="00266A86" w:rsidRDefault="00266A86" w:rsidP="00266A86">
      <w:pPr>
        <w:pStyle w:val="ListParagraph"/>
        <w:numPr>
          <w:ilvl w:val="0"/>
          <w:numId w:val="36"/>
        </w:numPr>
        <w:spacing w:line="240" w:lineRule="auto"/>
        <w:rPr>
          <w:rFonts w:eastAsia="Times New Roman" w:cs="Arial"/>
        </w:rPr>
      </w:pPr>
      <w:r w:rsidRPr="00266A86">
        <w:rPr>
          <w:rFonts w:eastAsia="Times New Roman" w:cs="Arial"/>
          <w:color w:val="000000"/>
          <w:lang w:eastAsia="bg-BG"/>
        </w:rPr>
        <w:t>възпаление на ушите, носа и гърлото, и оро-максило-фациалните области,</w:t>
      </w:r>
    </w:p>
    <w:p w14:paraId="2AC3FB82" w14:textId="6B516A73" w:rsidR="00266A86" w:rsidRPr="00266A86" w:rsidRDefault="00266A86" w:rsidP="00266A86">
      <w:pPr>
        <w:pStyle w:val="ListParagraph"/>
        <w:numPr>
          <w:ilvl w:val="0"/>
          <w:numId w:val="36"/>
        </w:numPr>
        <w:spacing w:line="240" w:lineRule="auto"/>
        <w:rPr>
          <w:rFonts w:eastAsia="Times New Roman" w:cs="Arial"/>
        </w:rPr>
      </w:pPr>
      <w:r w:rsidRPr="00266A86">
        <w:rPr>
          <w:rFonts w:eastAsia="Times New Roman" w:cs="Arial"/>
          <w:color w:val="000000"/>
          <w:lang w:eastAsia="bg-BG"/>
        </w:rPr>
        <w:t>перитонит и абдоминален абсцес,</w:t>
      </w:r>
    </w:p>
    <w:p w14:paraId="7D23B0F9"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трябва да бъде приложено системно лечение (лерорално или интравенозно). Началната доза трябва да бъде 1,5 до 2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 xml:space="preserve">с дневна поддържаща доза от 1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 xml:space="preserve">за 5 до 7 дни. Само в изключителни случаи дозата трябва да бъде увеличена на 1,5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дневно.</w:t>
      </w:r>
    </w:p>
    <w:p w14:paraId="134BB9E8" w14:textId="77777777" w:rsidR="00266A86" w:rsidRPr="00266A86" w:rsidRDefault="00266A86" w:rsidP="00266A86">
      <w:pPr>
        <w:spacing w:line="240" w:lineRule="auto"/>
        <w:rPr>
          <w:rFonts w:eastAsia="Times New Roman" w:cs="Arial"/>
          <w:color w:val="000000"/>
          <w:lang w:eastAsia="bg-BG"/>
        </w:rPr>
      </w:pPr>
    </w:p>
    <w:p w14:paraId="5D493EA3" w14:textId="1B4A7A8A"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Профилактиката трябва да остане в границите на еднократна доза от 0,5 </w:t>
      </w:r>
      <w:r w:rsidRPr="00266A86">
        <w:rPr>
          <w:rFonts w:eastAsia="Times New Roman" w:cs="Arial"/>
          <w:color w:val="000000"/>
          <w:lang w:val="en-US"/>
        </w:rPr>
        <w:t>g</w:t>
      </w:r>
      <w:r w:rsidRPr="00266A86">
        <w:rPr>
          <w:rFonts w:eastAsia="Times New Roman" w:cs="Arial"/>
          <w:color w:val="000000"/>
          <w:lang w:val="ru-RU"/>
        </w:rPr>
        <w:t xml:space="preserve"> </w:t>
      </w:r>
      <w:r w:rsidRPr="00266A86">
        <w:rPr>
          <w:rFonts w:eastAsia="Times New Roman" w:cs="Arial"/>
          <w:color w:val="000000"/>
          <w:lang w:eastAsia="bg-BG"/>
        </w:rPr>
        <w:t xml:space="preserve">до максимално 2 </w:t>
      </w:r>
      <w:r w:rsidRPr="00266A86">
        <w:rPr>
          <w:rFonts w:eastAsia="Times New Roman" w:cs="Arial"/>
          <w:color w:val="000000"/>
          <w:lang w:val="en-US"/>
        </w:rPr>
        <w:t>g</w:t>
      </w:r>
      <w:r w:rsidRPr="00266A86">
        <w:rPr>
          <w:rFonts w:eastAsia="Times New Roman" w:cs="Arial"/>
          <w:color w:val="000000"/>
          <w:lang w:val="ru-RU"/>
        </w:rPr>
        <w:t>.</w:t>
      </w:r>
    </w:p>
    <w:p w14:paraId="63C51884" w14:textId="77777777" w:rsidR="00266A86" w:rsidRPr="00266A86" w:rsidRDefault="00266A86" w:rsidP="00266A86">
      <w:pPr>
        <w:spacing w:line="240" w:lineRule="auto"/>
        <w:rPr>
          <w:rFonts w:eastAsia="Times New Roman" w:cs="Arial"/>
          <w:color w:val="000000"/>
          <w:u w:val="single"/>
          <w:lang w:eastAsia="bg-BG"/>
        </w:rPr>
      </w:pPr>
    </w:p>
    <w:p w14:paraId="5DF4C88F" w14:textId="52F03243" w:rsidR="00266A86" w:rsidRPr="00266A86" w:rsidRDefault="00266A86" w:rsidP="00266A86">
      <w:pPr>
        <w:spacing w:line="240" w:lineRule="auto"/>
        <w:rPr>
          <w:rFonts w:eastAsia="Times New Roman" w:cs="Arial"/>
        </w:rPr>
      </w:pPr>
      <w:r w:rsidRPr="00266A86">
        <w:rPr>
          <w:rFonts w:eastAsia="Times New Roman" w:cs="Arial"/>
          <w:color w:val="000000"/>
          <w:u w:val="single"/>
          <w:lang w:eastAsia="bg-BG"/>
        </w:rPr>
        <w:t>Бъбречна недостатъчност и диализа</w:t>
      </w:r>
    </w:p>
    <w:p w14:paraId="7557B5CD" w14:textId="77777777" w:rsidR="00266A86" w:rsidRPr="00266A86" w:rsidRDefault="00266A86" w:rsidP="00266A86">
      <w:pPr>
        <w:spacing w:line="240" w:lineRule="auto"/>
        <w:rPr>
          <w:rFonts w:eastAsia="Times New Roman" w:cs="Arial"/>
          <w:color w:val="000000"/>
          <w:lang w:eastAsia="bg-BG"/>
        </w:rPr>
      </w:pPr>
    </w:p>
    <w:p w14:paraId="12BEEB85" w14:textId="6A205487" w:rsidR="00266A86" w:rsidRPr="00266A86" w:rsidRDefault="00266A86" w:rsidP="00266A86">
      <w:pPr>
        <w:spacing w:line="240" w:lineRule="auto"/>
        <w:rPr>
          <w:rFonts w:eastAsia="Times New Roman" w:cs="Arial"/>
        </w:rPr>
      </w:pPr>
      <w:r w:rsidRPr="00266A86">
        <w:rPr>
          <w:rFonts w:eastAsia="Times New Roman" w:cs="Arial"/>
          <w:color w:val="000000"/>
          <w:lang w:eastAsia="bg-BG"/>
        </w:rPr>
        <w:t>С ограничаването на бъбречната функция метронидазол се изхвърля фекално във все по-голяма степен (по жлъчен път заедно с изпражненията).</w:t>
      </w:r>
    </w:p>
    <w:p w14:paraId="415E116D" w14:textId="77777777" w:rsidR="00266A86" w:rsidRPr="00266A86" w:rsidRDefault="00266A86" w:rsidP="00266A86">
      <w:pPr>
        <w:spacing w:line="240" w:lineRule="auto"/>
        <w:rPr>
          <w:rFonts w:eastAsia="Times New Roman" w:cs="Arial"/>
        </w:rPr>
      </w:pPr>
      <w:r w:rsidRPr="00266A86">
        <w:rPr>
          <w:rFonts w:eastAsia="Times New Roman" w:cs="Arial"/>
          <w:color w:val="000000"/>
          <w:lang w:eastAsia="bg-BG"/>
        </w:rPr>
        <w:t xml:space="preserve">При отказ на бъбреците (анурия) дозировката следвала се снижи до 400-500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метронидазол на 12-часов интервал. Тъй като метаболитите на метронидазол се отстраняват бързо чрез хемодиализатата, при хемодиализираните пациенти не се налага намаляване на дозата (вижте точка 4.4).</w:t>
      </w:r>
    </w:p>
    <w:p w14:paraId="74DB256A" w14:textId="77777777" w:rsidR="00266A86" w:rsidRPr="00266A86" w:rsidRDefault="00266A86" w:rsidP="00266A86">
      <w:pPr>
        <w:spacing w:line="240" w:lineRule="auto"/>
        <w:rPr>
          <w:rFonts w:eastAsia="Times New Roman" w:cs="Arial"/>
          <w:color w:val="000000"/>
          <w:u w:val="single"/>
          <w:lang w:eastAsia="bg-BG"/>
        </w:rPr>
      </w:pPr>
    </w:p>
    <w:p w14:paraId="50CF60B5" w14:textId="160264A1" w:rsidR="00266A86" w:rsidRPr="00266A86" w:rsidRDefault="00266A86" w:rsidP="00266A86">
      <w:pPr>
        <w:spacing w:line="240" w:lineRule="auto"/>
        <w:rPr>
          <w:rFonts w:eastAsia="Times New Roman" w:cs="Arial"/>
        </w:rPr>
      </w:pPr>
      <w:r w:rsidRPr="00266A86">
        <w:rPr>
          <w:rFonts w:eastAsia="Times New Roman" w:cs="Arial"/>
          <w:color w:val="000000"/>
          <w:u w:val="single"/>
          <w:lang w:eastAsia="bg-BG"/>
        </w:rPr>
        <w:t>Нарушения на чернодробната функция</w:t>
      </w:r>
    </w:p>
    <w:p w14:paraId="61573886" w14:textId="77777777" w:rsidR="00266A86" w:rsidRPr="00266A86" w:rsidRDefault="00266A86" w:rsidP="00266A86">
      <w:pPr>
        <w:spacing w:line="240" w:lineRule="auto"/>
        <w:rPr>
          <w:rFonts w:eastAsia="Times New Roman" w:cs="Arial"/>
          <w:color w:val="000000"/>
          <w:lang w:eastAsia="bg-BG"/>
        </w:rPr>
      </w:pPr>
    </w:p>
    <w:p w14:paraId="3EBDDEFD" w14:textId="163744CD" w:rsidR="00266A86" w:rsidRPr="00266A86" w:rsidRDefault="00266A86" w:rsidP="00266A86">
      <w:pPr>
        <w:spacing w:line="240" w:lineRule="auto"/>
        <w:rPr>
          <w:rFonts w:eastAsia="Times New Roman" w:cs="Arial"/>
        </w:rPr>
      </w:pPr>
      <w:r w:rsidRPr="00266A86">
        <w:rPr>
          <w:rFonts w:eastAsia="Times New Roman" w:cs="Arial"/>
          <w:color w:val="000000"/>
          <w:lang w:eastAsia="bg-BG"/>
        </w:rPr>
        <w:t>При пациенти с нарушения на чернодробната функция метронидазол следва да се прилага внимателно (вижте точка 4.4).</w:t>
      </w:r>
    </w:p>
    <w:p w14:paraId="7595FC71" w14:textId="77777777" w:rsidR="00266A86" w:rsidRPr="00266A86" w:rsidRDefault="00266A86" w:rsidP="00266A86">
      <w:pPr>
        <w:pStyle w:val="Heading3"/>
        <w:rPr>
          <w:rFonts w:eastAsia="Times New Roman"/>
          <w:u w:val="single"/>
          <w:lang w:eastAsia="bg-BG"/>
        </w:rPr>
      </w:pPr>
    </w:p>
    <w:p w14:paraId="15206495" w14:textId="30BA492C" w:rsidR="00266A86" w:rsidRPr="00266A86" w:rsidRDefault="00266A86" w:rsidP="00266A86">
      <w:pPr>
        <w:pStyle w:val="Heading3"/>
        <w:rPr>
          <w:rFonts w:eastAsia="Times New Roman"/>
          <w:u w:val="single"/>
        </w:rPr>
      </w:pPr>
      <w:r w:rsidRPr="00266A86">
        <w:rPr>
          <w:rFonts w:eastAsia="Times New Roman"/>
          <w:u w:val="single"/>
          <w:lang w:eastAsia="bg-BG"/>
        </w:rPr>
        <w:t>Начин на приложение:</w:t>
      </w:r>
    </w:p>
    <w:p w14:paraId="26F2191E" w14:textId="77777777" w:rsidR="00266A86" w:rsidRPr="00266A86" w:rsidRDefault="00266A86" w:rsidP="00266A86">
      <w:pPr>
        <w:spacing w:line="240" w:lineRule="auto"/>
        <w:rPr>
          <w:rFonts w:eastAsia="Times New Roman" w:cs="Arial"/>
          <w:color w:val="000000"/>
          <w:lang w:eastAsia="bg-BG"/>
        </w:rPr>
      </w:pPr>
    </w:p>
    <w:p w14:paraId="16BF6559" w14:textId="7DE074E9" w:rsidR="00266A86" w:rsidRPr="00266A86" w:rsidRDefault="00266A86" w:rsidP="00266A86">
      <w:pPr>
        <w:spacing w:line="240" w:lineRule="auto"/>
        <w:rPr>
          <w:rFonts w:eastAsia="Times New Roman" w:cs="Arial"/>
        </w:rPr>
      </w:pPr>
      <w:r w:rsidRPr="00266A86">
        <w:rPr>
          <w:rFonts w:eastAsia="Times New Roman" w:cs="Arial"/>
          <w:color w:val="000000"/>
          <w:lang w:eastAsia="bg-BG"/>
        </w:rPr>
        <w:t>За перорално приложение.</w:t>
      </w:r>
    </w:p>
    <w:p w14:paraId="006355D5" w14:textId="77777777" w:rsidR="00266A86" w:rsidRPr="00266A86" w:rsidRDefault="00266A86" w:rsidP="00266A86">
      <w:pPr>
        <w:spacing w:line="240" w:lineRule="auto"/>
        <w:rPr>
          <w:rFonts w:eastAsia="Times New Roman" w:cs="Arial"/>
          <w:b/>
          <w:bCs/>
          <w:color w:val="000000"/>
          <w:lang w:eastAsia="bg-BG"/>
        </w:rPr>
      </w:pPr>
    </w:p>
    <w:p w14:paraId="479FCA2B" w14:textId="101B3F98" w:rsidR="00266A86" w:rsidRPr="00266A86" w:rsidRDefault="00266A86" w:rsidP="00266A86">
      <w:pPr>
        <w:spacing w:line="240" w:lineRule="auto"/>
        <w:rPr>
          <w:rFonts w:eastAsia="Times New Roman" w:cs="Arial"/>
        </w:rPr>
      </w:pPr>
      <w:r w:rsidRPr="00266A86">
        <w:rPr>
          <w:rFonts w:eastAsia="Times New Roman" w:cs="Arial"/>
          <w:b/>
          <w:bCs/>
          <w:color w:val="000000"/>
          <w:lang w:eastAsia="bg-BG"/>
        </w:rPr>
        <w:t>Филмираните таблетки се поглъщат цели (без сдъвкване) с достатъчно течност по време на или след хранене.</w:t>
      </w:r>
    </w:p>
    <w:p w14:paraId="409ADCF3" w14:textId="77777777" w:rsidR="00266A86" w:rsidRPr="00266A86" w:rsidRDefault="00266A86" w:rsidP="00266A86">
      <w:pPr>
        <w:spacing w:line="240" w:lineRule="auto"/>
        <w:rPr>
          <w:rFonts w:eastAsia="Times New Roman" w:cs="Arial"/>
          <w:b/>
          <w:bCs/>
          <w:i/>
          <w:iCs/>
          <w:color w:val="000000"/>
          <w:lang w:eastAsia="bg-BG"/>
        </w:rPr>
      </w:pPr>
    </w:p>
    <w:p w14:paraId="581BAE5C" w14:textId="19BE9D07" w:rsidR="00266A86" w:rsidRPr="00266A86" w:rsidRDefault="00266A86" w:rsidP="00266A86">
      <w:pPr>
        <w:spacing w:line="240" w:lineRule="auto"/>
        <w:rPr>
          <w:rFonts w:eastAsia="Times New Roman" w:cs="Arial"/>
        </w:rPr>
      </w:pPr>
      <w:r w:rsidRPr="00266A86">
        <w:rPr>
          <w:rFonts w:eastAsia="Times New Roman" w:cs="Arial"/>
          <w:b/>
          <w:bCs/>
          <w:i/>
          <w:iCs/>
          <w:color w:val="000000"/>
          <w:lang w:eastAsia="bg-BG"/>
        </w:rPr>
        <w:t>Продължителност на приложение:</w:t>
      </w:r>
    </w:p>
    <w:p w14:paraId="38FCD7FD" w14:textId="015E4D0D" w:rsidR="00266A86" w:rsidRPr="00266A86" w:rsidRDefault="00266A86" w:rsidP="00266A86">
      <w:pPr>
        <w:spacing w:line="240" w:lineRule="auto"/>
        <w:rPr>
          <w:rFonts w:eastAsia="Times New Roman" w:cs="Arial"/>
        </w:rPr>
      </w:pPr>
      <w:r w:rsidRPr="00266A86">
        <w:rPr>
          <w:rFonts w:eastAsia="Times New Roman" w:cs="Arial"/>
          <w:b/>
          <w:bCs/>
          <w:color w:val="000000"/>
          <w:lang w:eastAsia="bg-BG"/>
        </w:rPr>
        <w:t>Продължителността на приложение зависи от лекуваната нозологична единица.</w:t>
      </w:r>
    </w:p>
    <w:p w14:paraId="2A184D68" w14:textId="77777777" w:rsidR="00266A86" w:rsidRPr="00266A86" w:rsidRDefault="00266A86" w:rsidP="00266A86">
      <w:pPr>
        <w:spacing w:line="240" w:lineRule="auto"/>
        <w:rPr>
          <w:rFonts w:eastAsia="Times New Roman" w:cs="Arial"/>
          <w:color w:val="000000"/>
          <w:lang w:eastAsia="bg-BG"/>
        </w:rPr>
      </w:pPr>
    </w:p>
    <w:p w14:paraId="56F6D336" w14:textId="4ABC04FD" w:rsidR="00266A86" w:rsidRPr="00266A86" w:rsidRDefault="00266A86" w:rsidP="00266A86">
      <w:pPr>
        <w:spacing w:line="240" w:lineRule="auto"/>
        <w:rPr>
          <w:rFonts w:eastAsia="Times New Roman" w:cs="Arial"/>
        </w:rPr>
      </w:pPr>
      <w:r w:rsidRPr="00266A86">
        <w:rPr>
          <w:rFonts w:eastAsia="Times New Roman" w:cs="Arial"/>
          <w:color w:val="000000"/>
          <w:lang w:eastAsia="bg-BG"/>
        </w:rPr>
        <w:t>Предупреждение:</w:t>
      </w:r>
    </w:p>
    <w:p w14:paraId="447EACE7" w14:textId="77777777" w:rsidR="00266A86" w:rsidRPr="00266A86" w:rsidRDefault="00266A86" w:rsidP="00266A86">
      <w:pPr>
        <w:spacing w:line="240" w:lineRule="auto"/>
        <w:rPr>
          <w:rFonts w:eastAsia="Times New Roman" w:cs="Arial"/>
          <w:color w:val="000000"/>
          <w:lang w:eastAsia="bg-BG"/>
        </w:rPr>
      </w:pPr>
    </w:p>
    <w:p w14:paraId="56119156" w14:textId="2EBDDAC6" w:rsidR="00266A86" w:rsidRPr="00266A86" w:rsidRDefault="00266A86" w:rsidP="00266A86">
      <w:pPr>
        <w:spacing w:line="240" w:lineRule="auto"/>
        <w:rPr>
          <w:rFonts w:eastAsia="Times New Roman" w:cs="Arial"/>
        </w:rPr>
      </w:pPr>
      <w:r w:rsidRPr="00266A86">
        <w:rPr>
          <w:rFonts w:eastAsia="Times New Roman" w:cs="Arial"/>
          <w:color w:val="000000"/>
          <w:lang w:eastAsia="bg-BG"/>
        </w:rPr>
        <w:lastRenderedPageBreak/>
        <w:t xml:space="preserve">Лечението с Арилин 500 </w:t>
      </w:r>
      <w:r w:rsidRPr="00266A86">
        <w:rPr>
          <w:rFonts w:eastAsia="Times New Roman" w:cs="Arial"/>
          <w:color w:val="000000"/>
          <w:lang w:val="en-US"/>
        </w:rPr>
        <w:t>mg</w:t>
      </w:r>
      <w:r w:rsidRPr="00266A86">
        <w:rPr>
          <w:rFonts w:eastAsia="Times New Roman" w:cs="Arial"/>
          <w:color w:val="000000"/>
          <w:lang w:val="ru-RU"/>
        </w:rPr>
        <w:t xml:space="preserve"> </w:t>
      </w:r>
      <w:r w:rsidRPr="00266A86">
        <w:rPr>
          <w:rFonts w:eastAsia="Times New Roman" w:cs="Arial"/>
          <w:color w:val="000000"/>
          <w:lang w:eastAsia="bg-BG"/>
        </w:rPr>
        <w:t>или с каквото и да е друго лекарство, съдържащо нитроимидазол, обикновено не трябва да продължава повече от 10 дни. Вж. също точка 4.4 „Специални предупреждения и предпазни мерки при употреба”.</w:t>
      </w:r>
    </w:p>
    <w:p w14:paraId="67B7BD17" w14:textId="77777777" w:rsidR="00266A86" w:rsidRPr="00266A86" w:rsidRDefault="00266A86" w:rsidP="00266A86">
      <w:pPr>
        <w:rPr>
          <w:rFonts w:ascii="Times New Roman" w:eastAsia="Times New Roman" w:hAnsi="Times New Roman" w:cs="Times New Roman"/>
          <w:color w:val="000000"/>
          <w:sz w:val="18"/>
          <w:szCs w:val="18"/>
          <w:lang w:eastAsia="bg-BG"/>
        </w:rPr>
      </w:pPr>
    </w:p>
    <w:p w14:paraId="62B13D0B" w14:textId="582FC227" w:rsidR="00395555" w:rsidRDefault="002C50EE" w:rsidP="008A6AF2">
      <w:pPr>
        <w:pStyle w:val="Heading2"/>
      </w:pPr>
      <w:r>
        <w:t>4.3. Противопоказания</w:t>
      </w:r>
    </w:p>
    <w:p w14:paraId="3B3830E1" w14:textId="75B7F1FD" w:rsidR="00FC29C6" w:rsidRDefault="00FC29C6" w:rsidP="00FC29C6"/>
    <w:p w14:paraId="2CCB7757" w14:textId="0198371E" w:rsidR="00FC29C6" w:rsidRDefault="00FC29C6" w:rsidP="00FC29C6">
      <w:r>
        <w:t xml:space="preserve">Арилин 500 </w:t>
      </w:r>
      <w:r>
        <w:rPr>
          <w:lang w:val="en-US"/>
        </w:rPr>
        <w:t>mg</w:t>
      </w:r>
      <w:r w:rsidRPr="00FC29C6">
        <w:rPr>
          <w:lang w:val="ru-RU"/>
        </w:rPr>
        <w:t xml:space="preserve"> </w:t>
      </w:r>
      <w:r>
        <w:t xml:space="preserve">не трябва да се прилага при пациенти със свръхчувствителност към метронидазол, други 5-нитроимидазоли, лактоза монохидрат или към някое от помощните вещества на Арилин 500 </w:t>
      </w:r>
      <w:r>
        <w:rPr>
          <w:lang w:val="en-US"/>
        </w:rPr>
        <w:t>mg</w:t>
      </w:r>
      <w:r w:rsidRPr="00FC29C6">
        <w:rPr>
          <w:lang w:val="ru-RU"/>
        </w:rPr>
        <w:t xml:space="preserve">. </w:t>
      </w:r>
      <w:r>
        <w:t>Изключение се допуска единствено при наличие на животозастрашаваща инфекция,</w:t>
      </w:r>
      <w:r>
        <w:t xml:space="preserve"> рефрактерна на други лекарства.</w:t>
      </w:r>
    </w:p>
    <w:p w14:paraId="2E7B5E1A" w14:textId="77777777" w:rsidR="00FC29C6" w:rsidRPr="00FC29C6" w:rsidRDefault="00FC29C6" w:rsidP="00FC29C6"/>
    <w:p w14:paraId="5A4AC413" w14:textId="478735D7" w:rsidR="00395555" w:rsidRDefault="002C50EE" w:rsidP="008A6AF2">
      <w:pPr>
        <w:pStyle w:val="Heading2"/>
      </w:pPr>
      <w:r>
        <w:t>4.4. Специални предупреждения и предпазни мерки при употреба</w:t>
      </w:r>
    </w:p>
    <w:p w14:paraId="29295EF0" w14:textId="332BD65C" w:rsidR="00FC29C6" w:rsidRDefault="00FC29C6" w:rsidP="00FC29C6"/>
    <w:p w14:paraId="362A9DC1"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При пациенти с тежки чернодробни увреждания, нарушения на хемопоезата или разстройства на централната/периферната нервна система е необходим внимателен анализ на съотношението полза/риск преди назначаване на терапия с Арилин 500 </w:t>
      </w:r>
      <w:r w:rsidRPr="00FC29C6">
        <w:rPr>
          <w:rFonts w:eastAsia="Times New Roman" w:cs="Arial"/>
          <w:color w:val="000000"/>
          <w:szCs w:val="18"/>
          <w:lang w:val="en-US"/>
        </w:rPr>
        <w:t>mg</w:t>
      </w:r>
      <w:r w:rsidRPr="00FC29C6">
        <w:rPr>
          <w:rFonts w:eastAsia="Times New Roman" w:cs="Arial"/>
          <w:color w:val="000000"/>
          <w:szCs w:val="18"/>
          <w:lang w:val="ru-RU"/>
        </w:rPr>
        <w:t>.</w:t>
      </w:r>
    </w:p>
    <w:p w14:paraId="36301159" w14:textId="77777777" w:rsidR="00FC29C6" w:rsidRPr="00FC29C6" w:rsidRDefault="00FC29C6" w:rsidP="00FC29C6">
      <w:pPr>
        <w:spacing w:line="240" w:lineRule="auto"/>
        <w:rPr>
          <w:rFonts w:eastAsia="Times New Roman" w:cs="Arial"/>
          <w:color w:val="000000"/>
          <w:szCs w:val="18"/>
          <w:lang w:eastAsia="bg-BG"/>
        </w:rPr>
      </w:pPr>
    </w:p>
    <w:p w14:paraId="1BF2D3D3" w14:textId="0A2A1EE4" w:rsidR="00FC29C6" w:rsidRPr="00FC29C6" w:rsidRDefault="00FC29C6" w:rsidP="00FC29C6">
      <w:pPr>
        <w:spacing w:line="240" w:lineRule="auto"/>
        <w:rPr>
          <w:rFonts w:eastAsia="Times New Roman" w:cs="Arial"/>
          <w:color w:val="000000"/>
          <w:szCs w:val="18"/>
          <w:lang w:eastAsia="bg-BG"/>
        </w:rPr>
      </w:pPr>
      <w:r w:rsidRPr="00FC29C6">
        <w:rPr>
          <w:rFonts w:eastAsia="Times New Roman" w:cs="Arial"/>
          <w:color w:val="000000"/>
          <w:szCs w:val="18"/>
          <w:lang w:eastAsia="bg-BG"/>
        </w:rPr>
        <w:t xml:space="preserve">Съобщени са случаи на тежка хепатотоксичност/остра чернодробна недостатъчност, включително случаи с летален изход, с много бързо начало след започване на лечение с продукти, съдържащи метронидазол за системно приложение, при пациенти със синдром на </w:t>
      </w:r>
      <w:proofErr w:type="spellStart"/>
      <w:r w:rsidRPr="00FC29C6">
        <w:rPr>
          <w:rFonts w:eastAsia="Times New Roman" w:cs="Arial"/>
          <w:color w:val="000000"/>
          <w:szCs w:val="18"/>
          <w:lang w:val="en-US"/>
        </w:rPr>
        <w:t>Cockayne</w:t>
      </w:r>
      <w:proofErr w:type="spellEnd"/>
      <w:r w:rsidRPr="00FC29C6">
        <w:rPr>
          <w:rFonts w:eastAsia="Times New Roman" w:cs="Arial"/>
          <w:color w:val="000000"/>
          <w:szCs w:val="18"/>
          <w:lang w:val="ru-RU"/>
        </w:rPr>
        <w:t xml:space="preserve">. </w:t>
      </w:r>
      <w:r w:rsidRPr="00FC29C6">
        <w:rPr>
          <w:rFonts w:eastAsia="Times New Roman" w:cs="Arial"/>
          <w:color w:val="000000"/>
          <w:szCs w:val="18"/>
          <w:lang w:eastAsia="bg-BG"/>
        </w:rPr>
        <w:t>Поради това при тази популация метронидазол трябва да се използва след внимателна оценка на съотношението полза/риск и само ако липсва алтернативно лечение. Изследвания на чернодробните функционални показатели трябва да се правят непосредствено преди началото на лечението, през цялото време на лечението и след края на лечението, докато чернодробните функционални показатели достигнат нормалните си стойности или докато се достигнат изходните стойности. Ако чернодробните функционални показатели се повишат значително по време на лечението, приемът на лекарството трябва да се преустанаови.</w:t>
      </w:r>
    </w:p>
    <w:p w14:paraId="0CEFB9D1" w14:textId="63B8481D" w:rsidR="00FC29C6" w:rsidRPr="00FC29C6" w:rsidRDefault="00FC29C6" w:rsidP="00FC29C6">
      <w:pPr>
        <w:spacing w:line="240" w:lineRule="auto"/>
        <w:rPr>
          <w:rFonts w:eastAsia="Times New Roman" w:cs="Arial"/>
          <w:color w:val="000000"/>
          <w:szCs w:val="18"/>
          <w:lang w:eastAsia="bg-BG"/>
        </w:rPr>
      </w:pPr>
    </w:p>
    <w:p w14:paraId="72EED9FF"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Пациентите със синдром на </w:t>
      </w:r>
      <w:proofErr w:type="spellStart"/>
      <w:r w:rsidRPr="00FC29C6">
        <w:rPr>
          <w:rFonts w:eastAsia="Times New Roman" w:cs="Arial"/>
          <w:color w:val="000000"/>
          <w:szCs w:val="18"/>
          <w:lang w:val="en-US"/>
        </w:rPr>
        <w:t>Cockayne</w:t>
      </w:r>
      <w:proofErr w:type="spellEnd"/>
      <w:r w:rsidRPr="00FC29C6">
        <w:rPr>
          <w:rFonts w:eastAsia="Times New Roman" w:cs="Arial"/>
          <w:color w:val="000000"/>
          <w:szCs w:val="18"/>
          <w:lang w:val="ru-RU"/>
        </w:rPr>
        <w:t xml:space="preserve"> </w:t>
      </w:r>
      <w:r w:rsidRPr="00FC29C6">
        <w:rPr>
          <w:rFonts w:eastAsia="Times New Roman" w:cs="Arial"/>
          <w:color w:val="000000"/>
          <w:szCs w:val="18"/>
          <w:lang w:eastAsia="bg-BG"/>
        </w:rPr>
        <w:t>трябва да бъдат посъветвани да съобщават незабавно на своя лекар всички симптоми на потенциално увреждане на черния дроб и да спрат приема на метронидазол.</w:t>
      </w:r>
    </w:p>
    <w:p w14:paraId="05620B29" w14:textId="77777777" w:rsidR="00FC29C6" w:rsidRPr="00FC29C6" w:rsidRDefault="00FC29C6" w:rsidP="00FC29C6">
      <w:pPr>
        <w:spacing w:line="240" w:lineRule="auto"/>
        <w:rPr>
          <w:rFonts w:eastAsia="Times New Roman" w:cs="Arial"/>
          <w:color w:val="000000"/>
          <w:szCs w:val="18"/>
          <w:lang w:eastAsia="bg-BG"/>
        </w:rPr>
      </w:pPr>
    </w:p>
    <w:p w14:paraId="502E02EC" w14:textId="660C6A9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Както при други лекарства, съдържащи нитроимидазол, лечението с Арилин 500 </w:t>
      </w:r>
      <w:r w:rsidRPr="00FC29C6">
        <w:rPr>
          <w:rFonts w:eastAsia="Times New Roman" w:cs="Arial"/>
          <w:color w:val="000000"/>
          <w:szCs w:val="18"/>
          <w:lang w:val="en-US"/>
        </w:rPr>
        <w:t>mg</w:t>
      </w:r>
      <w:r w:rsidRPr="00FC29C6">
        <w:rPr>
          <w:rFonts w:eastAsia="Times New Roman" w:cs="Arial"/>
          <w:color w:val="000000"/>
          <w:szCs w:val="18"/>
          <w:lang w:val="ru-RU"/>
        </w:rPr>
        <w:t xml:space="preserve"> </w:t>
      </w:r>
      <w:r w:rsidRPr="00FC29C6">
        <w:rPr>
          <w:rFonts w:eastAsia="Times New Roman" w:cs="Arial"/>
          <w:color w:val="000000"/>
          <w:szCs w:val="18"/>
          <w:lang w:eastAsia="bg-BG"/>
        </w:rPr>
        <w:t>по правило не трябва да продължава повече от 10 дни освен в отделни случаи, където има конкретни показания. Пациентите трябва да бъдат подходящо наблюдавани (клинично наблюдение и лабораторни изследвания). Курсът на лечение трябва да се повтаря само в отделни случаи по индивидуална преценка.</w:t>
      </w:r>
    </w:p>
    <w:p w14:paraId="42F2B815" w14:textId="77777777" w:rsidR="00FC29C6" w:rsidRPr="00FC29C6" w:rsidRDefault="00FC29C6" w:rsidP="00FC29C6">
      <w:pPr>
        <w:spacing w:line="240" w:lineRule="auto"/>
        <w:rPr>
          <w:rFonts w:eastAsia="Times New Roman" w:cs="Arial"/>
          <w:b/>
          <w:bCs/>
          <w:color w:val="000000"/>
          <w:szCs w:val="18"/>
          <w:lang w:eastAsia="bg-BG"/>
        </w:rPr>
      </w:pPr>
      <w:bookmarkStart w:id="1" w:name="bookmark0"/>
    </w:p>
    <w:p w14:paraId="1032F82C" w14:textId="088DCCB4" w:rsidR="00FC29C6" w:rsidRPr="00FC29C6" w:rsidRDefault="00FC29C6" w:rsidP="00FC29C6">
      <w:pPr>
        <w:spacing w:line="240" w:lineRule="auto"/>
        <w:rPr>
          <w:rFonts w:eastAsia="Times New Roman" w:cs="Arial"/>
          <w:sz w:val="32"/>
          <w:szCs w:val="24"/>
        </w:rPr>
      </w:pPr>
      <w:r w:rsidRPr="00FC29C6">
        <w:rPr>
          <w:rFonts w:eastAsia="Times New Roman" w:cs="Arial"/>
          <w:b/>
          <w:bCs/>
          <w:color w:val="000000"/>
          <w:szCs w:val="18"/>
          <w:lang w:eastAsia="bg-BG"/>
        </w:rPr>
        <w:t>При трихомониазя е показано едновременното перорално лечение на сексуалния партньор.</w:t>
      </w:r>
      <w:bookmarkEnd w:id="1"/>
    </w:p>
    <w:p w14:paraId="5AC581AB" w14:textId="77777777" w:rsidR="00FC29C6" w:rsidRPr="00FC29C6" w:rsidRDefault="00FC29C6" w:rsidP="00FC29C6">
      <w:pPr>
        <w:spacing w:line="240" w:lineRule="auto"/>
        <w:rPr>
          <w:rFonts w:eastAsia="Times New Roman" w:cs="Arial"/>
          <w:color w:val="000000"/>
          <w:szCs w:val="18"/>
          <w:lang w:eastAsia="bg-BG"/>
        </w:rPr>
      </w:pPr>
    </w:p>
    <w:p w14:paraId="0E675AB2" w14:textId="748CDB49"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Лекарствени форми като филмирани таблетки, капсули и обвити таблетки, които трябва да се поглъщат без сдъвкване, са неподходящи за деца на възраст под 6 г. Трябва да бъдат съблюдавани специалните препоръки за дозировката при деца (вж. точка 4.2).</w:t>
      </w:r>
    </w:p>
    <w:p w14:paraId="2FB35B6D" w14:textId="2E0F26AC" w:rsidR="00FC29C6" w:rsidRPr="00FC29C6" w:rsidRDefault="00FC29C6" w:rsidP="00FC29C6">
      <w:pPr>
        <w:spacing w:line="240" w:lineRule="auto"/>
        <w:rPr>
          <w:rFonts w:eastAsia="Times New Roman" w:cs="Arial"/>
          <w:sz w:val="32"/>
          <w:szCs w:val="24"/>
          <w:lang w:val="ru-RU"/>
        </w:rPr>
      </w:pPr>
      <w:r w:rsidRPr="00FC29C6">
        <w:rPr>
          <w:rFonts w:eastAsia="Times New Roman" w:cs="Arial"/>
          <w:color w:val="000000"/>
          <w:szCs w:val="18"/>
          <w:lang w:eastAsia="bg-BG"/>
        </w:rPr>
        <w:t xml:space="preserve">Пациенти с редките наследствени състояния на галактозна непоносимост, лактазен дефицит или глюкозо-галактозна малабсорбция не трябва да приемат Арилин 500 </w:t>
      </w:r>
      <w:r w:rsidRPr="00FC29C6">
        <w:rPr>
          <w:rFonts w:eastAsia="Times New Roman" w:cs="Arial"/>
          <w:color w:val="000000"/>
          <w:szCs w:val="18"/>
          <w:lang w:val="en-US"/>
        </w:rPr>
        <w:t>mg</w:t>
      </w:r>
      <w:r w:rsidRPr="00FC29C6">
        <w:rPr>
          <w:rFonts w:eastAsia="Times New Roman" w:cs="Arial"/>
          <w:color w:val="000000"/>
          <w:szCs w:val="18"/>
          <w:lang w:val="ru-RU"/>
        </w:rPr>
        <w:t>.</w:t>
      </w:r>
    </w:p>
    <w:p w14:paraId="33CB519A" w14:textId="77777777" w:rsidR="00FC29C6" w:rsidRPr="00FC29C6" w:rsidRDefault="00FC29C6" w:rsidP="00FC29C6"/>
    <w:p w14:paraId="1244F76A" w14:textId="7B50C0C4" w:rsidR="00395555" w:rsidRDefault="002C50EE" w:rsidP="008A6AF2">
      <w:pPr>
        <w:pStyle w:val="Heading2"/>
      </w:pPr>
      <w:r>
        <w:lastRenderedPageBreak/>
        <w:t>4.5. Взаимодействие с други лекарствени продукти и други форми на взаимодействие</w:t>
      </w:r>
    </w:p>
    <w:p w14:paraId="64002732" w14:textId="74EC9D13" w:rsidR="00FC29C6" w:rsidRDefault="00FC29C6" w:rsidP="00FC29C6"/>
    <w:p w14:paraId="4FE398AC"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Едновременното приемане на </w:t>
      </w:r>
      <w:r w:rsidRPr="00FC29C6">
        <w:rPr>
          <w:rFonts w:eastAsia="Times New Roman" w:cs="Arial"/>
          <w:color w:val="000000"/>
          <w:szCs w:val="18"/>
          <w:u w:val="single"/>
          <w:lang w:eastAsia="bg-BG"/>
        </w:rPr>
        <w:t>дисулфирам</w:t>
      </w:r>
      <w:r w:rsidRPr="00FC29C6">
        <w:rPr>
          <w:rFonts w:eastAsia="Times New Roman" w:cs="Arial"/>
          <w:color w:val="000000"/>
          <w:szCs w:val="18"/>
          <w:lang w:eastAsia="bg-BG"/>
        </w:rPr>
        <w:t xml:space="preserve"> може да причини психози и състояния на обърканост.</w:t>
      </w:r>
    </w:p>
    <w:p w14:paraId="70CE29B2" w14:textId="77777777" w:rsidR="00FC29C6" w:rsidRPr="00FC29C6" w:rsidRDefault="00FC29C6" w:rsidP="00FC29C6">
      <w:pPr>
        <w:spacing w:line="240" w:lineRule="auto"/>
        <w:rPr>
          <w:rFonts w:eastAsia="Times New Roman" w:cs="Arial"/>
          <w:color w:val="000000"/>
          <w:szCs w:val="18"/>
          <w:lang w:eastAsia="bg-BG"/>
        </w:rPr>
      </w:pPr>
    </w:p>
    <w:p w14:paraId="6964D40D" w14:textId="31FA77AE"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При пациенти, лекуващи се с </w:t>
      </w:r>
      <w:r w:rsidRPr="00FC29C6">
        <w:rPr>
          <w:rFonts w:eastAsia="Times New Roman" w:cs="Arial"/>
          <w:color w:val="000000"/>
          <w:szCs w:val="18"/>
          <w:u w:val="single"/>
          <w:lang w:eastAsia="bg-BG"/>
        </w:rPr>
        <w:t>антикоагуланги</w:t>
      </w:r>
      <w:r w:rsidRPr="00FC29C6">
        <w:rPr>
          <w:rFonts w:eastAsia="Times New Roman" w:cs="Arial"/>
          <w:color w:val="000000"/>
          <w:szCs w:val="18"/>
          <w:lang w:eastAsia="bg-BG"/>
        </w:rPr>
        <w:t xml:space="preserve"> от типа на варфарин, трябва да се направи преценка на дозировката, понеже подтискането на крьвосъсирването се усилва от метронидазол.</w:t>
      </w:r>
    </w:p>
    <w:p w14:paraId="0017F40E" w14:textId="77777777" w:rsidR="00FC29C6" w:rsidRPr="00FC29C6" w:rsidRDefault="00FC29C6" w:rsidP="00FC29C6">
      <w:pPr>
        <w:spacing w:line="240" w:lineRule="auto"/>
        <w:rPr>
          <w:rFonts w:eastAsia="Times New Roman" w:cs="Arial"/>
          <w:color w:val="000000"/>
          <w:szCs w:val="18"/>
          <w:lang w:eastAsia="bg-BG"/>
        </w:rPr>
      </w:pPr>
    </w:p>
    <w:p w14:paraId="5C27E132" w14:textId="5A22B21D"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При прилагане на </w:t>
      </w:r>
      <w:r w:rsidRPr="00FC29C6">
        <w:rPr>
          <w:rFonts w:eastAsia="Times New Roman" w:cs="Arial"/>
          <w:color w:val="000000"/>
          <w:szCs w:val="18"/>
          <w:u w:val="single"/>
          <w:lang w:eastAsia="bg-BG"/>
        </w:rPr>
        <w:t>литий</w:t>
      </w:r>
      <w:r w:rsidRPr="00FC29C6">
        <w:rPr>
          <w:rFonts w:eastAsia="Times New Roman" w:cs="Arial"/>
          <w:color w:val="000000"/>
          <w:szCs w:val="18"/>
          <w:lang w:eastAsia="bg-BG"/>
        </w:rPr>
        <w:t xml:space="preserve"> се изисква внимание, понеже се наблюдава покачване на неговата серумна концентрация.</w:t>
      </w:r>
    </w:p>
    <w:p w14:paraId="63C365BB" w14:textId="77777777" w:rsidR="00FC29C6" w:rsidRPr="00FC29C6" w:rsidRDefault="00FC29C6" w:rsidP="00FC29C6">
      <w:pPr>
        <w:spacing w:line="240" w:lineRule="auto"/>
        <w:rPr>
          <w:rFonts w:eastAsia="Times New Roman" w:cs="Arial"/>
          <w:color w:val="000000"/>
          <w:szCs w:val="18"/>
          <w:lang w:eastAsia="bg-BG"/>
        </w:rPr>
      </w:pPr>
    </w:p>
    <w:p w14:paraId="00F71947" w14:textId="259F1A5F"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Действието на метронидазол отслабва при едновременното прилагане на </w:t>
      </w:r>
      <w:r w:rsidRPr="00FC29C6">
        <w:rPr>
          <w:rFonts w:eastAsia="Times New Roman" w:cs="Arial"/>
          <w:color w:val="000000"/>
          <w:szCs w:val="18"/>
          <w:u w:val="single"/>
          <w:lang w:eastAsia="bg-BG"/>
        </w:rPr>
        <w:t>барбитурати</w:t>
      </w:r>
      <w:r w:rsidRPr="00FC29C6">
        <w:rPr>
          <w:rFonts w:eastAsia="Times New Roman" w:cs="Arial"/>
          <w:color w:val="000000"/>
          <w:szCs w:val="18"/>
          <w:lang w:eastAsia="bg-BG"/>
        </w:rPr>
        <w:t xml:space="preserve"> или </w:t>
      </w:r>
      <w:r w:rsidRPr="00FC29C6">
        <w:rPr>
          <w:rFonts w:eastAsia="Times New Roman" w:cs="Arial"/>
          <w:color w:val="000000"/>
          <w:szCs w:val="18"/>
          <w:u w:val="single"/>
          <w:lang w:eastAsia="bg-BG"/>
        </w:rPr>
        <w:t>фенитоин.</w:t>
      </w:r>
    </w:p>
    <w:p w14:paraId="325FF0A1" w14:textId="77777777" w:rsidR="00FC29C6" w:rsidRPr="00FC29C6" w:rsidRDefault="00FC29C6" w:rsidP="00FC29C6">
      <w:pPr>
        <w:spacing w:line="240" w:lineRule="auto"/>
        <w:rPr>
          <w:rFonts w:eastAsia="Times New Roman" w:cs="Arial"/>
          <w:color w:val="000000"/>
          <w:szCs w:val="18"/>
          <w:lang w:eastAsia="bg-BG"/>
        </w:rPr>
      </w:pPr>
    </w:p>
    <w:p w14:paraId="229171AA" w14:textId="49B1503C"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При приложение на </w:t>
      </w:r>
      <w:r w:rsidRPr="00FC29C6">
        <w:rPr>
          <w:rFonts w:eastAsia="Times New Roman" w:cs="Arial"/>
          <w:color w:val="000000"/>
          <w:szCs w:val="18"/>
          <w:u w:val="single"/>
          <w:lang w:eastAsia="bg-BG"/>
        </w:rPr>
        <w:t>силимарин/силибинин</w:t>
      </w:r>
      <w:r w:rsidRPr="00FC29C6">
        <w:rPr>
          <w:rFonts w:eastAsia="Times New Roman" w:cs="Arial"/>
          <w:color w:val="000000"/>
          <w:szCs w:val="18"/>
          <w:lang w:eastAsia="bg-BG"/>
        </w:rPr>
        <w:t xml:space="preserve"> настъпва намаляване на действието на метронидазол.</w:t>
      </w:r>
    </w:p>
    <w:p w14:paraId="5FE4056F" w14:textId="77777777" w:rsidR="00FC29C6" w:rsidRPr="00FC29C6" w:rsidRDefault="00FC29C6" w:rsidP="00FC29C6">
      <w:pPr>
        <w:spacing w:line="240" w:lineRule="auto"/>
        <w:rPr>
          <w:rFonts w:eastAsia="Times New Roman" w:cs="Arial"/>
          <w:color w:val="000000"/>
          <w:szCs w:val="18"/>
          <w:u w:val="single"/>
          <w:lang w:eastAsia="bg-BG"/>
        </w:rPr>
      </w:pPr>
    </w:p>
    <w:p w14:paraId="40C25B6E" w14:textId="55BA1C7F"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u w:val="single"/>
          <w:lang w:eastAsia="bg-BG"/>
        </w:rPr>
        <w:t>Циметидинът</w:t>
      </w:r>
      <w:r w:rsidRPr="00FC29C6">
        <w:rPr>
          <w:rFonts w:eastAsia="Times New Roman" w:cs="Arial"/>
          <w:color w:val="000000"/>
          <w:szCs w:val="18"/>
          <w:lang w:eastAsia="bg-BG"/>
        </w:rPr>
        <w:t xml:space="preserve"> може в единични случаи да затрудни елиминирането на метронидазол и по този начин да обуслови високи серумни концентрации на последния.</w:t>
      </w:r>
    </w:p>
    <w:p w14:paraId="18321E1E" w14:textId="77777777" w:rsidR="00FC29C6" w:rsidRPr="00FC29C6" w:rsidRDefault="00FC29C6" w:rsidP="00FC29C6">
      <w:pPr>
        <w:spacing w:line="240" w:lineRule="auto"/>
        <w:rPr>
          <w:rFonts w:eastAsia="Times New Roman" w:cs="Arial"/>
          <w:color w:val="000000"/>
          <w:szCs w:val="18"/>
          <w:u w:val="single"/>
          <w:lang w:eastAsia="bg-BG"/>
        </w:rPr>
      </w:pPr>
    </w:p>
    <w:p w14:paraId="7B3A53AD" w14:textId="2AFF1E1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u w:val="single"/>
          <w:lang w:eastAsia="bg-BG"/>
        </w:rPr>
        <w:t>Диосмин</w:t>
      </w:r>
      <w:r w:rsidRPr="00FC29C6">
        <w:rPr>
          <w:rFonts w:eastAsia="Times New Roman" w:cs="Arial"/>
          <w:color w:val="000000"/>
          <w:szCs w:val="18"/>
          <w:lang w:eastAsia="bg-BG"/>
        </w:rPr>
        <w:t xml:space="preserve"> също може да доведе до увеличение на серумната концентрация на мегронидазол.</w:t>
      </w:r>
    </w:p>
    <w:p w14:paraId="4CF9ECD2" w14:textId="77777777" w:rsidR="00FC29C6" w:rsidRPr="00FC29C6" w:rsidRDefault="00FC29C6" w:rsidP="00FC29C6">
      <w:pPr>
        <w:spacing w:line="240" w:lineRule="auto"/>
        <w:rPr>
          <w:rFonts w:eastAsia="Times New Roman" w:cs="Arial"/>
          <w:color w:val="000000"/>
          <w:szCs w:val="18"/>
          <w:lang w:eastAsia="bg-BG"/>
        </w:rPr>
      </w:pPr>
    </w:p>
    <w:p w14:paraId="07A90BBD" w14:textId="3BA1E5CE"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Метронидазол може да доведе до редукция на стойностите при някои аналитични методи, използващи се за определяне на </w:t>
      </w:r>
      <w:r w:rsidRPr="00FC29C6">
        <w:rPr>
          <w:rFonts w:eastAsia="Times New Roman" w:cs="Arial"/>
          <w:color w:val="000000"/>
          <w:szCs w:val="18"/>
          <w:u w:val="single"/>
          <w:lang w:eastAsia="bg-BG"/>
        </w:rPr>
        <w:t>ГОТ (АСАТ)</w:t>
      </w:r>
      <w:r w:rsidRPr="00FC29C6">
        <w:rPr>
          <w:rFonts w:eastAsia="Times New Roman" w:cs="Arial"/>
          <w:color w:val="000000"/>
          <w:szCs w:val="18"/>
          <w:lang w:eastAsia="bg-BG"/>
        </w:rPr>
        <w:t xml:space="preserve"> в серума.</w:t>
      </w:r>
    </w:p>
    <w:p w14:paraId="30CCCB59" w14:textId="77777777" w:rsidR="00FC29C6" w:rsidRPr="00FC29C6" w:rsidRDefault="00FC29C6" w:rsidP="00FC29C6">
      <w:pPr>
        <w:spacing w:line="240" w:lineRule="auto"/>
        <w:rPr>
          <w:rFonts w:eastAsia="Times New Roman" w:cs="Arial"/>
          <w:color w:val="000000"/>
          <w:szCs w:val="18"/>
          <w:lang w:eastAsia="bg-BG"/>
        </w:rPr>
      </w:pPr>
    </w:p>
    <w:p w14:paraId="48989D68" w14:textId="3AD24C7B" w:rsidR="00FC29C6" w:rsidRPr="00FC29C6" w:rsidRDefault="00FC29C6" w:rsidP="00FC29C6">
      <w:pPr>
        <w:spacing w:line="240" w:lineRule="auto"/>
        <w:rPr>
          <w:rFonts w:eastAsia="Times New Roman" w:cs="Arial"/>
          <w:color w:val="000000"/>
          <w:szCs w:val="18"/>
          <w:lang w:eastAsia="bg-BG"/>
        </w:rPr>
      </w:pPr>
      <w:r w:rsidRPr="00FC29C6">
        <w:rPr>
          <w:rFonts w:eastAsia="Times New Roman" w:cs="Arial"/>
          <w:color w:val="000000"/>
          <w:szCs w:val="18"/>
          <w:lang w:eastAsia="bg-BG"/>
        </w:rPr>
        <w:t xml:space="preserve">При пациенти, лекувани с циклоспорин, съществува риск от повишаване на серумното ниво на </w:t>
      </w:r>
      <w:r w:rsidRPr="00FC29C6">
        <w:rPr>
          <w:rFonts w:eastAsia="Times New Roman" w:cs="Arial"/>
          <w:color w:val="000000"/>
          <w:szCs w:val="18"/>
          <w:u w:val="single"/>
          <w:lang w:eastAsia="bg-BG"/>
        </w:rPr>
        <w:t>циклоспорина</w:t>
      </w:r>
      <w:r w:rsidRPr="00FC29C6">
        <w:rPr>
          <w:rFonts w:eastAsia="Times New Roman" w:cs="Arial"/>
          <w:color w:val="000000"/>
          <w:szCs w:val="18"/>
          <w:lang w:eastAsia="bg-BG"/>
        </w:rPr>
        <w:t xml:space="preserve">. </w:t>
      </w:r>
    </w:p>
    <w:p w14:paraId="7B33F6BF" w14:textId="78B7B61C"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Серумните нива на циклоспорина и креатинина трябва да се проследяват стриктно, когато се налага едновременното им приложение.</w:t>
      </w:r>
    </w:p>
    <w:p w14:paraId="74553ADA" w14:textId="77777777" w:rsidR="00FC29C6" w:rsidRPr="00FC29C6" w:rsidRDefault="00FC29C6" w:rsidP="00FC29C6">
      <w:pPr>
        <w:spacing w:line="240" w:lineRule="auto"/>
        <w:rPr>
          <w:rFonts w:eastAsia="Times New Roman" w:cs="Arial"/>
          <w:color w:val="000000"/>
          <w:szCs w:val="18"/>
          <w:lang w:eastAsia="bg-BG"/>
        </w:rPr>
      </w:pPr>
    </w:p>
    <w:p w14:paraId="138DFA38" w14:textId="44F489BF"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Метронидзол понижава клирънса на </w:t>
      </w:r>
      <w:r w:rsidRPr="00FC29C6">
        <w:rPr>
          <w:rFonts w:eastAsia="Times New Roman" w:cs="Arial"/>
          <w:color w:val="000000"/>
          <w:szCs w:val="18"/>
          <w:u w:val="single"/>
          <w:lang w:eastAsia="bg-BG"/>
        </w:rPr>
        <w:t>5-флуороурацил,</w:t>
      </w:r>
      <w:r w:rsidRPr="00FC29C6">
        <w:rPr>
          <w:rFonts w:eastAsia="Times New Roman" w:cs="Arial"/>
          <w:color w:val="000000"/>
          <w:szCs w:val="18"/>
          <w:lang w:eastAsia="bg-BG"/>
        </w:rPr>
        <w:t xml:space="preserve"> така че може да се стигне до засилена токсичност от 5-флуороурацил.</w:t>
      </w:r>
    </w:p>
    <w:p w14:paraId="3AFADCC7" w14:textId="77777777" w:rsidR="00FC29C6" w:rsidRPr="00FC29C6" w:rsidRDefault="00FC29C6" w:rsidP="00FC29C6">
      <w:pPr>
        <w:spacing w:line="240" w:lineRule="auto"/>
        <w:rPr>
          <w:rFonts w:eastAsia="Times New Roman" w:cs="Arial"/>
          <w:color w:val="000000"/>
          <w:szCs w:val="18"/>
          <w:lang w:eastAsia="bg-BG"/>
        </w:rPr>
      </w:pPr>
    </w:p>
    <w:p w14:paraId="48C5017F" w14:textId="05A8E236"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Плазмените нива на </w:t>
      </w:r>
      <w:r w:rsidRPr="00FC29C6">
        <w:rPr>
          <w:rFonts w:eastAsia="Times New Roman" w:cs="Arial"/>
          <w:color w:val="000000"/>
          <w:szCs w:val="18"/>
          <w:u w:val="single"/>
          <w:lang w:eastAsia="bg-BG"/>
        </w:rPr>
        <w:t>бисулфан</w:t>
      </w:r>
      <w:r w:rsidRPr="00FC29C6">
        <w:rPr>
          <w:rFonts w:eastAsia="Times New Roman" w:cs="Arial"/>
          <w:color w:val="000000"/>
          <w:szCs w:val="18"/>
          <w:lang w:eastAsia="bg-BG"/>
        </w:rPr>
        <w:t xml:space="preserve"> могат да се повишат под действието на метронидазол, което би могло да доведе до тежка бисулфанова токсичност.</w:t>
      </w:r>
    </w:p>
    <w:p w14:paraId="3452E208" w14:textId="30229730" w:rsidR="00FC29C6" w:rsidRPr="00FC29C6" w:rsidRDefault="00FC29C6" w:rsidP="00FC29C6">
      <w:pPr>
        <w:rPr>
          <w:rFonts w:eastAsia="Times New Roman" w:cs="Arial"/>
          <w:color w:val="000000"/>
          <w:szCs w:val="18"/>
          <w:lang w:eastAsia="bg-BG"/>
        </w:rPr>
      </w:pPr>
      <w:r w:rsidRPr="00FC29C6">
        <w:rPr>
          <w:rFonts w:eastAsia="Times New Roman" w:cs="Arial"/>
          <w:color w:val="000000"/>
          <w:szCs w:val="18"/>
          <w:lang w:eastAsia="bg-BG"/>
        </w:rPr>
        <w:t xml:space="preserve">Да се избягва консумацията на </w:t>
      </w:r>
      <w:r w:rsidRPr="00FC29C6">
        <w:rPr>
          <w:rFonts w:eastAsia="Times New Roman" w:cs="Arial"/>
          <w:color w:val="000000"/>
          <w:szCs w:val="18"/>
          <w:u w:val="single"/>
          <w:lang w:eastAsia="bg-BG"/>
        </w:rPr>
        <w:t>алкохол</w:t>
      </w:r>
      <w:r w:rsidRPr="00FC29C6">
        <w:rPr>
          <w:rFonts w:eastAsia="Times New Roman" w:cs="Arial"/>
          <w:color w:val="000000"/>
          <w:szCs w:val="18"/>
          <w:lang w:eastAsia="bg-BG"/>
        </w:rPr>
        <w:t>, защото могат да се появят признаци на непоносимост, като например зачервяване на кожата в областта на главата и шията, както и гадене, повръщане, главоболие и световъртеж (ефект, подобен на действието на дисулфирам).</w:t>
      </w:r>
    </w:p>
    <w:p w14:paraId="3A0EDA4A" w14:textId="66D91828" w:rsidR="00FC29C6" w:rsidRPr="00FC29C6" w:rsidRDefault="00FC29C6" w:rsidP="00FC29C6">
      <w:pPr>
        <w:rPr>
          <w:rFonts w:eastAsia="Times New Roman" w:cs="Arial"/>
          <w:color w:val="000000"/>
          <w:szCs w:val="18"/>
          <w:lang w:eastAsia="bg-BG"/>
        </w:rPr>
      </w:pPr>
    </w:p>
    <w:p w14:paraId="6E339646"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Едновременното приемане на такролимус и метронидезол води до повишаване на нивата на такролимус в кръвта. Поради това нивото на такролимус в кръвта и бъбречната функция често трябва да се контролирал особено в началото и в края на лечението с метронидазол при пациенти, които са стабилизирани с медикамента такролимус.</w:t>
      </w:r>
    </w:p>
    <w:p w14:paraId="567B5C30" w14:textId="77777777" w:rsidR="00FC29C6" w:rsidRPr="00FC29C6" w:rsidRDefault="00FC29C6" w:rsidP="00FC29C6">
      <w:pPr>
        <w:spacing w:line="240" w:lineRule="auto"/>
        <w:rPr>
          <w:rFonts w:eastAsia="Times New Roman" w:cs="Arial"/>
          <w:color w:val="000000"/>
          <w:szCs w:val="18"/>
          <w:lang w:eastAsia="bg-BG"/>
        </w:rPr>
      </w:pPr>
    </w:p>
    <w:p w14:paraId="4C18EFDE" w14:textId="3932372C"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 xml:space="preserve">Във връзка с едновременното приемане на метронидазол и амиодарон се наблюдават удължаване на </w:t>
      </w:r>
      <w:r w:rsidRPr="00FC29C6">
        <w:rPr>
          <w:rFonts w:eastAsia="Times New Roman" w:cs="Arial"/>
          <w:color w:val="000000"/>
          <w:szCs w:val="18"/>
          <w:lang w:val="en-US"/>
        </w:rPr>
        <w:t>QT</w:t>
      </w:r>
      <w:r w:rsidRPr="00FC29C6">
        <w:rPr>
          <w:rFonts w:eastAsia="Times New Roman" w:cs="Arial"/>
          <w:color w:val="000000"/>
          <w:szCs w:val="18"/>
          <w:lang w:val="ru-RU"/>
        </w:rPr>
        <w:t xml:space="preserve"> </w:t>
      </w:r>
      <w:r w:rsidRPr="00FC29C6">
        <w:rPr>
          <w:rFonts w:eastAsia="Times New Roman" w:cs="Arial"/>
          <w:color w:val="000000"/>
          <w:szCs w:val="18"/>
          <w:lang w:eastAsia="bg-BG"/>
        </w:rPr>
        <w:t xml:space="preserve">интервала и полиморфни камерни тахикардии </w:t>
      </w:r>
      <w:r w:rsidRPr="00FC29C6">
        <w:rPr>
          <w:rFonts w:eastAsia="Times New Roman" w:cs="Arial"/>
          <w:color w:val="000000"/>
          <w:szCs w:val="18"/>
          <w:lang w:val="ru-RU"/>
        </w:rPr>
        <w:t>(</w:t>
      </w:r>
      <w:proofErr w:type="spellStart"/>
      <w:r w:rsidRPr="00FC29C6">
        <w:rPr>
          <w:rFonts w:eastAsia="Times New Roman" w:cs="Arial"/>
          <w:color w:val="000000"/>
          <w:szCs w:val="18"/>
          <w:lang w:val="en-US"/>
        </w:rPr>
        <w:t>Torsades</w:t>
      </w:r>
      <w:proofErr w:type="spellEnd"/>
      <w:r w:rsidRPr="00FC29C6">
        <w:rPr>
          <w:rFonts w:eastAsia="Times New Roman" w:cs="Arial"/>
          <w:color w:val="000000"/>
          <w:szCs w:val="18"/>
          <w:lang w:val="ru-RU"/>
        </w:rPr>
        <w:t xml:space="preserve"> </w:t>
      </w:r>
      <w:r w:rsidRPr="00FC29C6">
        <w:rPr>
          <w:rFonts w:eastAsia="Times New Roman" w:cs="Arial"/>
          <w:color w:val="000000"/>
          <w:szCs w:val="18"/>
          <w:lang w:val="en-US"/>
        </w:rPr>
        <w:t>de</w:t>
      </w:r>
      <w:r w:rsidRPr="00FC29C6">
        <w:rPr>
          <w:rFonts w:eastAsia="Times New Roman" w:cs="Arial"/>
          <w:color w:val="000000"/>
          <w:szCs w:val="18"/>
          <w:lang w:val="ru-RU"/>
        </w:rPr>
        <w:t xml:space="preserve"> </w:t>
      </w:r>
      <w:r w:rsidRPr="00FC29C6">
        <w:rPr>
          <w:rFonts w:eastAsia="Times New Roman" w:cs="Arial"/>
          <w:color w:val="000000"/>
          <w:szCs w:val="18"/>
          <w:lang w:val="en-US"/>
        </w:rPr>
        <w:t>Pointes</w:t>
      </w:r>
      <w:r w:rsidRPr="00FC29C6">
        <w:rPr>
          <w:rFonts w:eastAsia="Times New Roman" w:cs="Arial"/>
          <w:color w:val="000000"/>
          <w:szCs w:val="18"/>
          <w:lang w:val="ru-RU"/>
        </w:rPr>
        <w:t xml:space="preserve">). </w:t>
      </w:r>
      <w:r w:rsidRPr="00FC29C6">
        <w:rPr>
          <w:rFonts w:eastAsia="Times New Roman" w:cs="Arial"/>
          <w:color w:val="000000"/>
          <w:szCs w:val="18"/>
          <w:lang w:eastAsia="bg-BG"/>
        </w:rPr>
        <w:lastRenderedPageBreak/>
        <w:t xml:space="preserve">Препоръчва се редовно проследяване на ЕКГ. Амбулаторните пациенти трябва да бъдат посъветвани незабавно да потърсят лекарска помощ, веднага след като забележат признаци на </w:t>
      </w:r>
      <w:proofErr w:type="spellStart"/>
      <w:r w:rsidRPr="00FC29C6">
        <w:rPr>
          <w:rFonts w:eastAsia="Times New Roman" w:cs="Arial"/>
          <w:color w:val="000000"/>
          <w:szCs w:val="18"/>
          <w:lang w:val="en-US"/>
        </w:rPr>
        <w:t>Torsades</w:t>
      </w:r>
      <w:proofErr w:type="spellEnd"/>
      <w:r w:rsidRPr="00FC29C6">
        <w:rPr>
          <w:rFonts w:eastAsia="Times New Roman" w:cs="Arial"/>
          <w:color w:val="000000"/>
          <w:szCs w:val="18"/>
          <w:lang w:val="ru-RU"/>
        </w:rPr>
        <w:t xml:space="preserve"> </w:t>
      </w:r>
      <w:r w:rsidRPr="00FC29C6">
        <w:rPr>
          <w:rFonts w:eastAsia="Times New Roman" w:cs="Arial"/>
          <w:color w:val="000000"/>
          <w:szCs w:val="18"/>
          <w:lang w:val="en-US"/>
        </w:rPr>
        <w:t>de</w:t>
      </w:r>
      <w:r w:rsidRPr="00FC29C6">
        <w:rPr>
          <w:rFonts w:eastAsia="Times New Roman" w:cs="Arial"/>
          <w:color w:val="000000"/>
          <w:szCs w:val="18"/>
          <w:lang w:val="ru-RU"/>
        </w:rPr>
        <w:t xml:space="preserve"> </w:t>
      </w:r>
      <w:r w:rsidRPr="00FC29C6">
        <w:rPr>
          <w:rFonts w:eastAsia="Times New Roman" w:cs="Arial"/>
          <w:color w:val="000000"/>
          <w:szCs w:val="18"/>
          <w:lang w:val="en-US"/>
        </w:rPr>
        <w:t>Pointes</w:t>
      </w:r>
      <w:r w:rsidRPr="00FC29C6">
        <w:rPr>
          <w:rFonts w:eastAsia="Times New Roman" w:cs="Arial"/>
          <w:color w:val="000000"/>
          <w:szCs w:val="18"/>
          <w:lang w:val="ru-RU"/>
        </w:rPr>
        <w:t xml:space="preserve"> </w:t>
      </w:r>
      <w:r w:rsidRPr="00FC29C6">
        <w:rPr>
          <w:rFonts w:eastAsia="Times New Roman" w:cs="Arial"/>
          <w:color w:val="000000"/>
          <w:szCs w:val="18"/>
          <w:lang w:eastAsia="bg-BG"/>
        </w:rPr>
        <w:t>като световъртеж, сърцебиене или синкоп.</w:t>
      </w:r>
    </w:p>
    <w:p w14:paraId="2C8659DD" w14:textId="77777777" w:rsidR="00FC29C6" w:rsidRPr="00FC29C6" w:rsidRDefault="00FC29C6" w:rsidP="00FC29C6">
      <w:pPr>
        <w:rPr>
          <w:rFonts w:eastAsia="Times New Roman" w:cs="Arial"/>
          <w:color w:val="000000"/>
          <w:szCs w:val="18"/>
          <w:lang w:eastAsia="bg-BG"/>
        </w:rPr>
      </w:pPr>
    </w:p>
    <w:p w14:paraId="3180971D" w14:textId="2D56A6B5" w:rsidR="00FC29C6" w:rsidRDefault="00FC29C6" w:rsidP="00FC29C6">
      <w:pPr>
        <w:rPr>
          <w:rFonts w:eastAsia="Times New Roman" w:cs="Arial"/>
          <w:color w:val="000000"/>
          <w:szCs w:val="18"/>
          <w:lang w:eastAsia="bg-BG"/>
        </w:rPr>
      </w:pPr>
      <w:r w:rsidRPr="00FC29C6">
        <w:rPr>
          <w:rFonts w:eastAsia="Times New Roman" w:cs="Arial"/>
          <w:color w:val="000000"/>
          <w:szCs w:val="18"/>
          <w:lang w:eastAsia="bg-BG"/>
        </w:rPr>
        <w:t xml:space="preserve">Веществата, които променят стомашно-чревната флора (напр. антибиотици), могат да намалят биологичната наличност на продуктите на </w:t>
      </w:r>
      <w:r w:rsidRPr="00FC29C6">
        <w:rPr>
          <w:rFonts w:eastAsia="Times New Roman" w:cs="Arial"/>
          <w:color w:val="000000"/>
          <w:szCs w:val="18"/>
          <w:u w:val="single"/>
          <w:lang w:eastAsia="bg-BG"/>
        </w:rPr>
        <w:t>микофеноловага киселина</w:t>
      </w:r>
      <w:r w:rsidRPr="00FC29C6">
        <w:rPr>
          <w:rFonts w:eastAsia="Times New Roman" w:cs="Arial"/>
          <w:color w:val="000000"/>
          <w:szCs w:val="18"/>
          <w:lang w:eastAsia="bg-BG"/>
        </w:rPr>
        <w:t>. При едновременното лечение с противоинфекциозни средства се препоръчват стриктно клинично наблюдение и контролни лабораторни изследвания във връзка с понижението на имукосупресорния ефект от микофеноловата киселина.</w:t>
      </w:r>
    </w:p>
    <w:p w14:paraId="7046480A" w14:textId="77777777" w:rsidR="00FC29C6" w:rsidRPr="00FC29C6" w:rsidRDefault="00FC29C6" w:rsidP="00FC29C6">
      <w:pPr>
        <w:rPr>
          <w:rFonts w:cs="Arial"/>
          <w:sz w:val="28"/>
        </w:rPr>
      </w:pPr>
    </w:p>
    <w:p w14:paraId="6EADE4D6" w14:textId="5346A31D" w:rsidR="00395555" w:rsidRDefault="002C50EE" w:rsidP="008A6AF2">
      <w:pPr>
        <w:pStyle w:val="Heading2"/>
      </w:pPr>
      <w:r>
        <w:t>4.6. Фертилитет, бременност и кърмене</w:t>
      </w:r>
    </w:p>
    <w:p w14:paraId="57EC768F" w14:textId="258D42CA" w:rsidR="00FC29C6" w:rsidRDefault="00FC29C6" w:rsidP="00FC29C6"/>
    <w:p w14:paraId="1BF5E1A1" w14:textId="77777777" w:rsidR="00FC29C6" w:rsidRPr="00FC29C6" w:rsidRDefault="00FC29C6" w:rsidP="00FC29C6">
      <w:pPr>
        <w:rPr>
          <w:sz w:val="24"/>
          <w:szCs w:val="24"/>
        </w:rPr>
      </w:pPr>
      <w:r w:rsidRPr="00FC29C6">
        <w:rPr>
          <w:lang w:eastAsia="bg-BG"/>
        </w:rPr>
        <w:t xml:space="preserve">Няма достатъчно данни за безопасността на употребата на метронидазол по време на бременност. По конкретно, съобщенията, засягащи периода на ранната бременност са противоречиви. В някои проучвания се установяват доказателства за увеличена честота на малформациите. Проучвания при животни не разкриват каквито и да било тератогенни свойства на метронидазол (вж. 5.3). Затова Арилин 500 </w:t>
      </w:r>
      <w:r w:rsidRPr="00FC29C6">
        <w:rPr>
          <w:lang w:val="en-US"/>
        </w:rPr>
        <w:t>mg</w:t>
      </w:r>
      <w:r w:rsidRPr="00FC29C6">
        <w:rPr>
          <w:lang w:val="ru-RU"/>
        </w:rPr>
        <w:t xml:space="preserve"> </w:t>
      </w:r>
      <w:r w:rsidRPr="00FC29C6">
        <w:rPr>
          <w:lang w:eastAsia="bg-BG"/>
        </w:rPr>
        <w:t>не трябва да се използва по време на бременност, особено през нейния първи триместър, освен ако не са налице конкретни показания и други възможни лечения не са дали резултат.</w:t>
      </w:r>
    </w:p>
    <w:p w14:paraId="3747F602" w14:textId="49E3DBD5" w:rsidR="00FC29C6" w:rsidRDefault="00FC29C6" w:rsidP="00FC29C6">
      <w:pPr>
        <w:rPr>
          <w:lang w:eastAsia="bg-BG"/>
        </w:rPr>
      </w:pPr>
      <w:r w:rsidRPr="00FC29C6">
        <w:rPr>
          <w:lang w:eastAsia="bg-BG"/>
        </w:rPr>
        <w:t>Метронидазол преминава в човешката кърма и след перорално приложение може да достигне в нея нива равни на плазмените. Затова при кърмачки трябва да се преустанови или кърменето или прилагането на продукта. Ако през кърмаческия период се приложи лечение с еднократна доза, кърменето трябва да се преустанови за 24 часа и кърмата, продуцирана за този период от време трябва да се изтегли с помпа и да се изхвърли.</w:t>
      </w:r>
    </w:p>
    <w:p w14:paraId="457555B7" w14:textId="77777777" w:rsidR="00FC29C6" w:rsidRPr="00FC29C6" w:rsidRDefault="00FC29C6" w:rsidP="00FC29C6"/>
    <w:p w14:paraId="5766770B" w14:textId="4166376E" w:rsidR="00395555" w:rsidRDefault="002C50EE" w:rsidP="008A6AF2">
      <w:pPr>
        <w:pStyle w:val="Heading2"/>
      </w:pPr>
      <w:r>
        <w:t>4.7. Ефекти върху способността за шофиране и работа с машини</w:t>
      </w:r>
    </w:p>
    <w:p w14:paraId="09694AA9" w14:textId="2761E4C0" w:rsidR="00FC29C6" w:rsidRDefault="00FC29C6" w:rsidP="00FC29C6"/>
    <w:p w14:paraId="6E888F59" w14:textId="77777777" w:rsidR="00FC29C6" w:rsidRPr="00FC29C6" w:rsidRDefault="00FC29C6" w:rsidP="00FC29C6">
      <w:pPr>
        <w:rPr>
          <w:sz w:val="24"/>
          <w:szCs w:val="24"/>
        </w:rPr>
      </w:pPr>
      <w:r w:rsidRPr="00FC29C6">
        <w:rPr>
          <w:lang w:eastAsia="bg-BG"/>
        </w:rPr>
        <w:t xml:space="preserve">Арилин 500 </w:t>
      </w:r>
      <w:r w:rsidRPr="00FC29C6">
        <w:rPr>
          <w:lang w:val="en-US"/>
        </w:rPr>
        <w:t>mg</w:t>
      </w:r>
      <w:r w:rsidRPr="00FC29C6">
        <w:rPr>
          <w:lang w:val="ru-RU"/>
        </w:rPr>
        <w:t xml:space="preserve"> </w:t>
      </w:r>
      <w:r w:rsidRPr="00FC29C6">
        <w:rPr>
          <w:lang w:eastAsia="bg-BG"/>
        </w:rPr>
        <w:t>може да промени способността за ответна реакция до такава степен, че способността за шофиране на превозни средства и работа с машини да бъде нарушена. Това важи особено за началото на лечението и при взаимодействие с алкохол.</w:t>
      </w:r>
    </w:p>
    <w:p w14:paraId="71916BCB" w14:textId="77777777" w:rsidR="00FC29C6" w:rsidRPr="00FC29C6" w:rsidRDefault="00FC29C6" w:rsidP="00FC29C6"/>
    <w:p w14:paraId="4FE16E21" w14:textId="07F032D6" w:rsidR="00395555" w:rsidRDefault="002C50EE" w:rsidP="008A6AF2">
      <w:pPr>
        <w:pStyle w:val="Heading2"/>
      </w:pPr>
      <w:r>
        <w:t>4.8. Нежелани лекарствени реакции</w:t>
      </w:r>
    </w:p>
    <w:p w14:paraId="24DAE5A1" w14:textId="7CA81991" w:rsidR="00FC29C6" w:rsidRDefault="00FC29C6" w:rsidP="00FC29C6"/>
    <w:p w14:paraId="786C4432" w14:textId="77777777" w:rsidR="00FC29C6" w:rsidRPr="00FC29C6" w:rsidRDefault="00FC29C6" w:rsidP="00FC29C6">
      <w:pPr>
        <w:rPr>
          <w:sz w:val="24"/>
          <w:szCs w:val="24"/>
        </w:rPr>
      </w:pPr>
      <w:r w:rsidRPr="00FC29C6">
        <w:rPr>
          <w:lang w:eastAsia="bg-BG"/>
        </w:rPr>
        <w:t>За определяне на честотата на нежеланите реакции се използват следните категории:</w:t>
      </w:r>
    </w:p>
    <w:p w14:paraId="6B8BE0D0" w14:textId="77777777" w:rsidR="00FC29C6" w:rsidRDefault="00FC29C6" w:rsidP="00FC29C6">
      <w:pPr>
        <w:rPr>
          <w:lang w:eastAsia="bg-BG"/>
        </w:rPr>
      </w:pPr>
    </w:p>
    <w:p w14:paraId="6C811F2F" w14:textId="4BE6AD1C" w:rsidR="00FC29C6" w:rsidRPr="00FC29C6" w:rsidRDefault="00FC29C6" w:rsidP="00FC29C6">
      <w:pPr>
        <w:rPr>
          <w:sz w:val="24"/>
          <w:szCs w:val="24"/>
        </w:rPr>
      </w:pPr>
      <w:r w:rsidRPr="00FC29C6">
        <w:rPr>
          <w:lang w:eastAsia="bg-BG"/>
        </w:rPr>
        <w:t>Много чести (</w:t>
      </w:r>
      <w:r w:rsidRPr="00FC29C6">
        <w:rPr>
          <w:lang w:val="ru-RU"/>
        </w:rPr>
        <w:t>≥</w:t>
      </w:r>
      <w:r w:rsidRPr="00FC29C6">
        <w:rPr>
          <w:lang w:eastAsia="bg-BG"/>
        </w:rPr>
        <w:t>1/10)</w:t>
      </w:r>
    </w:p>
    <w:p w14:paraId="30963301" w14:textId="77777777" w:rsidR="00FC29C6" w:rsidRPr="00FC29C6" w:rsidRDefault="00FC29C6" w:rsidP="00FC29C6">
      <w:pPr>
        <w:rPr>
          <w:sz w:val="24"/>
          <w:szCs w:val="24"/>
        </w:rPr>
      </w:pPr>
      <w:r w:rsidRPr="00FC29C6">
        <w:rPr>
          <w:lang w:eastAsia="bg-BG"/>
        </w:rPr>
        <w:t>Чести (</w:t>
      </w:r>
      <w:r w:rsidRPr="00FC29C6">
        <w:rPr>
          <w:lang w:val="ru-RU"/>
        </w:rPr>
        <w:t>≥</w:t>
      </w:r>
      <w:r w:rsidRPr="00FC29C6">
        <w:rPr>
          <w:lang w:eastAsia="bg-BG"/>
        </w:rPr>
        <w:t>1 / 100 до &lt;1 /10)</w:t>
      </w:r>
    </w:p>
    <w:p w14:paraId="0D2F7A9E" w14:textId="77777777" w:rsidR="00FC29C6" w:rsidRPr="00FC29C6" w:rsidRDefault="00FC29C6" w:rsidP="00FC29C6">
      <w:pPr>
        <w:rPr>
          <w:sz w:val="24"/>
          <w:szCs w:val="24"/>
        </w:rPr>
      </w:pPr>
      <w:r w:rsidRPr="00FC29C6">
        <w:rPr>
          <w:lang w:eastAsia="bg-BG"/>
        </w:rPr>
        <w:t>Нечести (</w:t>
      </w:r>
      <w:r w:rsidRPr="00FC29C6">
        <w:rPr>
          <w:lang w:val="ru-RU"/>
        </w:rPr>
        <w:t>≥</w:t>
      </w:r>
      <w:r w:rsidRPr="00FC29C6">
        <w:rPr>
          <w:lang w:eastAsia="bg-BG"/>
        </w:rPr>
        <w:t>1 / 1000 до &lt;1 / 100)</w:t>
      </w:r>
    </w:p>
    <w:p w14:paraId="717FBD49" w14:textId="77777777" w:rsidR="00FC29C6" w:rsidRPr="00FC29C6" w:rsidRDefault="00FC29C6" w:rsidP="00FC29C6">
      <w:pPr>
        <w:rPr>
          <w:sz w:val="24"/>
          <w:szCs w:val="24"/>
        </w:rPr>
      </w:pPr>
      <w:r w:rsidRPr="00FC29C6">
        <w:rPr>
          <w:lang w:eastAsia="bg-BG"/>
        </w:rPr>
        <w:t>Редки (</w:t>
      </w:r>
      <w:r w:rsidRPr="00FC29C6">
        <w:rPr>
          <w:lang w:val="ru-RU"/>
        </w:rPr>
        <w:t>≥</w:t>
      </w:r>
      <w:r w:rsidRPr="00FC29C6">
        <w:rPr>
          <w:lang w:eastAsia="bg-BG"/>
        </w:rPr>
        <w:t>1 / 10 000 до &lt;1 /1 000)</w:t>
      </w:r>
    </w:p>
    <w:p w14:paraId="4C8D9B12" w14:textId="77777777" w:rsidR="00FC29C6" w:rsidRPr="00FC29C6" w:rsidRDefault="00FC29C6" w:rsidP="00FC29C6">
      <w:pPr>
        <w:rPr>
          <w:sz w:val="24"/>
          <w:szCs w:val="24"/>
        </w:rPr>
      </w:pPr>
      <w:r w:rsidRPr="00FC29C6">
        <w:rPr>
          <w:lang w:eastAsia="bg-BG"/>
        </w:rPr>
        <w:t>Много редки (&lt;1 / 10 000)</w:t>
      </w:r>
    </w:p>
    <w:p w14:paraId="6F82DDA0" w14:textId="77777777" w:rsidR="00FC29C6" w:rsidRPr="00FC29C6" w:rsidRDefault="00FC29C6" w:rsidP="00FC29C6">
      <w:pPr>
        <w:rPr>
          <w:sz w:val="24"/>
          <w:szCs w:val="24"/>
        </w:rPr>
      </w:pPr>
      <w:r w:rsidRPr="00FC29C6">
        <w:rPr>
          <w:lang w:eastAsia="bg-BG"/>
        </w:rPr>
        <w:t>Неизвестна честота (от наличните данни не може да бъде направена оценка).</w:t>
      </w:r>
    </w:p>
    <w:p w14:paraId="7F03B293" w14:textId="77777777" w:rsidR="00FC29C6" w:rsidRDefault="00FC29C6" w:rsidP="00FC29C6">
      <w:pPr>
        <w:rPr>
          <w:lang w:eastAsia="bg-BG"/>
        </w:rPr>
      </w:pPr>
    </w:p>
    <w:p w14:paraId="0A7D2609" w14:textId="7E28D1C0" w:rsidR="00FC29C6" w:rsidRPr="00FC29C6" w:rsidRDefault="00FC29C6" w:rsidP="00FC29C6">
      <w:pPr>
        <w:rPr>
          <w:sz w:val="24"/>
          <w:szCs w:val="24"/>
        </w:rPr>
      </w:pPr>
      <w:r w:rsidRPr="00FC29C6">
        <w:rPr>
          <w:lang w:eastAsia="bg-BG"/>
        </w:rPr>
        <w:t>При системно приложение (орално, ректално, интравенозно) са възможни следните нежелани лекарствени реакции:</w:t>
      </w:r>
    </w:p>
    <w:tbl>
      <w:tblPr>
        <w:tblStyle w:val="TableGrid"/>
        <w:tblW w:w="0" w:type="auto"/>
        <w:tblLook w:val="04A0" w:firstRow="1" w:lastRow="0" w:firstColumn="1" w:lastColumn="0" w:noHBand="0" w:noVBand="1"/>
      </w:tblPr>
      <w:tblGrid>
        <w:gridCol w:w="2922"/>
        <w:gridCol w:w="2801"/>
        <w:gridCol w:w="3627"/>
      </w:tblGrid>
      <w:tr w:rsidR="00FC29C6" w14:paraId="00956D25" w14:textId="77777777" w:rsidTr="00FC29C6">
        <w:tc>
          <w:tcPr>
            <w:tcW w:w="3014" w:type="dxa"/>
            <w:vAlign w:val="bottom"/>
          </w:tcPr>
          <w:p w14:paraId="09EF1224" w14:textId="14C442DD" w:rsidR="00FC29C6" w:rsidRPr="00FC29C6" w:rsidRDefault="00FC29C6" w:rsidP="00FC29C6">
            <w:r w:rsidRPr="00FC29C6">
              <w:rPr>
                <w:b/>
                <w:bCs/>
                <w:szCs w:val="18"/>
              </w:rPr>
              <w:t>Системо-органни класове</w:t>
            </w:r>
          </w:p>
        </w:tc>
        <w:tc>
          <w:tcPr>
            <w:tcW w:w="2935" w:type="dxa"/>
          </w:tcPr>
          <w:p w14:paraId="33979452" w14:textId="4845D2F4" w:rsidR="00FC29C6" w:rsidRPr="00FC29C6" w:rsidRDefault="00FC29C6" w:rsidP="00FC29C6">
            <w:r w:rsidRPr="00FC29C6">
              <w:rPr>
                <w:b/>
                <w:bCs/>
                <w:szCs w:val="18"/>
              </w:rPr>
              <w:t>Честота</w:t>
            </w:r>
          </w:p>
        </w:tc>
        <w:tc>
          <w:tcPr>
            <w:tcW w:w="3627" w:type="dxa"/>
          </w:tcPr>
          <w:p w14:paraId="5921CBD4" w14:textId="39BABD19" w:rsidR="00FC29C6" w:rsidRPr="00FC29C6" w:rsidRDefault="00FC29C6" w:rsidP="00FC29C6">
            <w:r w:rsidRPr="00FC29C6">
              <w:rPr>
                <w:b/>
                <w:bCs/>
                <w:szCs w:val="18"/>
              </w:rPr>
              <w:t>Нежелани лекарствени реакции</w:t>
            </w:r>
          </w:p>
        </w:tc>
      </w:tr>
      <w:tr w:rsidR="00FC29C6" w14:paraId="2DD236B9" w14:textId="77777777" w:rsidTr="00FC29C6">
        <w:tc>
          <w:tcPr>
            <w:tcW w:w="3014" w:type="dxa"/>
            <w:vAlign w:val="bottom"/>
          </w:tcPr>
          <w:p w14:paraId="7F88D1D8" w14:textId="4BF5357C" w:rsidR="00FC29C6" w:rsidRPr="00FC29C6" w:rsidRDefault="00FC29C6" w:rsidP="00FC29C6">
            <w:r w:rsidRPr="00FC29C6">
              <w:rPr>
                <w:szCs w:val="18"/>
              </w:rPr>
              <w:lastRenderedPageBreak/>
              <w:t>Инфекции и инфестации</w:t>
            </w:r>
          </w:p>
        </w:tc>
        <w:tc>
          <w:tcPr>
            <w:tcW w:w="2935" w:type="dxa"/>
          </w:tcPr>
          <w:p w14:paraId="3EE74E85" w14:textId="1911A1E1" w:rsidR="00FC29C6" w:rsidRPr="00FC29C6" w:rsidRDefault="00FC29C6" w:rsidP="00FC29C6">
            <w:r w:rsidRPr="00FC29C6">
              <w:rPr>
                <w:szCs w:val="18"/>
              </w:rPr>
              <w:t>Нечести</w:t>
            </w:r>
          </w:p>
        </w:tc>
        <w:tc>
          <w:tcPr>
            <w:tcW w:w="3627" w:type="dxa"/>
          </w:tcPr>
          <w:p w14:paraId="4ABC1DDB" w14:textId="547BE152" w:rsidR="00FC29C6" w:rsidRPr="00FC29C6" w:rsidRDefault="00FC29C6" w:rsidP="00FC29C6">
            <w:r w:rsidRPr="00FC29C6">
              <w:rPr>
                <w:szCs w:val="18"/>
              </w:rPr>
              <w:t xml:space="preserve">Суперинфекции с </w:t>
            </w:r>
            <w:r w:rsidRPr="00FC29C6">
              <w:rPr>
                <w:szCs w:val="18"/>
                <w:lang w:val="en-US"/>
              </w:rPr>
              <w:t>Candida</w:t>
            </w:r>
            <w:r w:rsidRPr="00FC29C6">
              <w:rPr>
                <w:szCs w:val="18"/>
                <w:lang w:val="ru-RU"/>
              </w:rPr>
              <w:t xml:space="preserve"> </w:t>
            </w:r>
            <w:r w:rsidRPr="00FC29C6">
              <w:rPr>
                <w:szCs w:val="18"/>
              </w:rPr>
              <w:t>в гениталната област</w:t>
            </w:r>
          </w:p>
        </w:tc>
      </w:tr>
      <w:tr w:rsidR="00FC29C6" w14:paraId="3940347C" w14:textId="77777777" w:rsidTr="00FC29C6">
        <w:tc>
          <w:tcPr>
            <w:tcW w:w="3014" w:type="dxa"/>
            <w:vMerge w:val="restart"/>
          </w:tcPr>
          <w:p w14:paraId="748A1AB7" w14:textId="5CC13F96" w:rsidR="00FC29C6" w:rsidRPr="00FC29C6" w:rsidRDefault="00FC29C6" w:rsidP="00FC29C6">
            <w:r w:rsidRPr="00FC29C6">
              <w:rPr>
                <w:szCs w:val="18"/>
              </w:rPr>
              <w:t>Нарушения на кръвта и лимфната система</w:t>
            </w:r>
          </w:p>
        </w:tc>
        <w:tc>
          <w:tcPr>
            <w:tcW w:w="2935" w:type="dxa"/>
          </w:tcPr>
          <w:p w14:paraId="712FD191" w14:textId="7CB14F88" w:rsidR="00FC29C6" w:rsidRPr="00FC29C6" w:rsidRDefault="00FC29C6" w:rsidP="00FC29C6">
            <w:r w:rsidRPr="00FC29C6">
              <w:rPr>
                <w:szCs w:val="18"/>
              </w:rPr>
              <w:t>Нечести</w:t>
            </w:r>
          </w:p>
        </w:tc>
        <w:tc>
          <w:tcPr>
            <w:tcW w:w="3627" w:type="dxa"/>
          </w:tcPr>
          <w:p w14:paraId="5287A7E1" w14:textId="2311A8AE" w:rsidR="00FC29C6" w:rsidRPr="00FC29C6" w:rsidRDefault="00FC29C6" w:rsidP="00FC29C6">
            <w:r w:rsidRPr="00FC29C6">
              <w:rPr>
                <w:szCs w:val="18"/>
              </w:rPr>
              <w:t>Левкопения, гранудоцитоза. При по-продължително приложение трябва редовно да се проследява кръвната картина</w:t>
            </w:r>
          </w:p>
        </w:tc>
      </w:tr>
      <w:tr w:rsidR="00FC29C6" w14:paraId="26CD538C" w14:textId="77777777" w:rsidTr="00FC29C6">
        <w:tc>
          <w:tcPr>
            <w:tcW w:w="3014" w:type="dxa"/>
            <w:vMerge/>
          </w:tcPr>
          <w:p w14:paraId="6F2A5967" w14:textId="77777777" w:rsidR="00FC29C6" w:rsidRPr="00FC29C6" w:rsidRDefault="00FC29C6" w:rsidP="00FC29C6"/>
        </w:tc>
        <w:tc>
          <w:tcPr>
            <w:tcW w:w="2935" w:type="dxa"/>
          </w:tcPr>
          <w:p w14:paraId="46B4B4E3" w14:textId="7938C99F" w:rsidR="00FC29C6" w:rsidRPr="00FC29C6" w:rsidRDefault="00FC29C6" w:rsidP="00FC29C6">
            <w:r w:rsidRPr="00FC29C6">
              <w:rPr>
                <w:szCs w:val="18"/>
              </w:rPr>
              <w:t>Много редки</w:t>
            </w:r>
          </w:p>
        </w:tc>
        <w:tc>
          <w:tcPr>
            <w:tcW w:w="3627" w:type="dxa"/>
          </w:tcPr>
          <w:p w14:paraId="1D8C34AB" w14:textId="129BD42C" w:rsidR="00FC29C6" w:rsidRPr="00FC29C6" w:rsidRDefault="00FC29C6" w:rsidP="00FC29C6">
            <w:r w:rsidRPr="00FC29C6">
              <w:rPr>
                <w:szCs w:val="18"/>
              </w:rPr>
              <w:t>Агранулоцитоза, тромбоцитопения</w:t>
            </w:r>
          </w:p>
        </w:tc>
      </w:tr>
      <w:tr w:rsidR="00FC29C6" w14:paraId="1F370E52" w14:textId="77777777" w:rsidTr="00FC29C6">
        <w:tc>
          <w:tcPr>
            <w:tcW w:w="3014" w:type="dxa"/>
            <w:vMerge w:val="restart"/>
          </w:tcPr>
          <w:p w14:paraId="2E0AEA04" w14:textId="3F4E19C6" w:rsidR="00FC29C6" w:rsidRPr="00FC29C6" w:rsidRDefault="00FC29C6" w:rsidP="00FC29C6">
            <w:r w:rsidRPr="00FC29C6">
              <w:rPr>
                <w:szCs w:val="18"/>
              </w:rPr>
              <w:t>Нарушения на имунната система</w:t>
            </w:r>
          </w:p>
        </w:tc>
        <w:tc>
          <w:tcPr>
            <w:tcW w:w="2935" w:type="dxa"/>
          </w:tcPr>
          <w:p w14:paraId="73C07238" w14:textId="3CD6DB66" w:rsidR="00FC29C6" w:rsidRPr="00FC29C6" w:rsidRDefault="00FC29C6" w:rsidP="00FC29C6">
            <w:r w:rsidRPr="00FC29C6">
              <w:rPr>
                <w:szCs w:val="18"/>
              </w:rPr>
              <w:t>Нечести</w:t>
            </w:r>
          </w:p>
        </w:tc>
        <w:tc>
          <w:tcPr>
            <w:tcW w:w="3627" w:type="dxa"/>
          </w:tcPr>
          <w:p w14:paraId="38EAB539" w14:textId="200E4977" w:rsidR="00FC29C6" w:rsidRPr="00FC29C6" w:rsidRDefault="00FC29C6" w:rsidP="00FC29C6">
            <w:r w:rsidRPr="00FC29C6">
              <w:rPr>
                <w:szCs w:val="18"/>
              </w:rPr>
              <w:t>Анафилактични реакции</w:t>
            </w:r>
          </w:p>
        </w:tc>
      </w:tr>
      <w:tr w:rsidR="00FC29C6" w14:paraId="5D307D9B" w14:textId="77777777" w:rsidTr="00FC29C6">
        <w:tc>
          <w:tcPr>
            <w:tcW w:w="3014" w:type="dxa"/>
            <w:vMerge/>
          </w:tcPr>
          <w:p w14:paraId="1E2D25A0" w14:textId="77777777" w:rsidR="00FC29C6" w:rsidRPr="00FC29C6" w:rsidRDefault="00FC29C6" w:rsidP="00FC29C6"/>
        </w:tc>
        <w:tc>
          <w:tcPr>
            <w:tcW w:w="2935" w:type="dxa"/>
          </w:tcPr>
          <w:p w14:paraId="450929B1" w14:textId="17C8983D" w:rsidR="00FC29C6" w:rsidRPr="00FC29C6" w:rsidRDefault="00FC29C6" w:rsidP="00FC29C6">
            <w:r w:rsidRPr="00FC29C6">
              <w:rPr>
                <w:szCs w:val="18"/>
              </w:rPr>
              <w:t>Много редки</w:t>
            </w:r>
          </w:p>
        </w:tc>
        <w:tc>
          <w:tcPr>
            <w:tcW w:w="3627" w:type="dxa"/>
            <w:vAlign w:val="bottom"/>
          </w:tcPr>
          <w:p w14:paraId="0B91387B" w14:textId="0585237F" w:rsidR="00FC29C6" w:rsidRPr="00FC29C6" w:rsidRDefault="00FC29C6" w:rsidP="00FC29C6">
            <w:r w:rsidRPr="00FC29C6">
              <w:rPr>
                <w:szCs w:val="18"/>
              </w:rPr>
              <w:t>Анафилактичен шок. В случай на появяване на тежки, остри реакции на свръхчувствителност (напр. анафилактичен шок ) лечението с Арилин рапид трябва да бъде преустановено незабавно и трябва да бъдат предприети обичайните подходящи спешни мерки (напр. Приложение на антихиетаминови средства, кортикостероиди, симпатикомиметици и ако се наложи - вентилация).</w:t>
            </w:r>
          </w:p>
        </w:tc>
      </w:tr>
      <w:tr w:rsidR="00FC29C6" w14:paraId="18953C26" w14:textId="77777777" w:rsidTr="00FC29C6">
        <w:tc>
          <w:tcPr>
            <w:tcW w:w="3014" w:type="dxa"/>
          </w:tcPr>
          <w:p w14:paraId="284F829F" w14:textId="323F9E5E" w:rsidR="00FC29C6" w:rsidRPr="00FC29C6" w:rsidRDefault="00FC29C6" w:rsidP="00FC29C6">
            <w:r w:rsidRPr="00FC29C6">
              <w:rPr>
                <w:szCs w:val="18"/>
              </w:rPr>
              <w:t>Нарушения на метаболизма и храненето</w:t>
            </w:r>
          </w:p>
        </w:tc>
        <w:tc>
          <w:tcPr>
            <w:tcW w:w="2935" w:type="dxa"/>
          </w:tcPr>
          <w:p w14:paraId="0D52C30A" w14:textId="5FAF6F9D" w:rsidR="00FC29C6" w:rsidRPr="00FC29C6" w:rsidRDefault="00FC29C6" w:rsidP="00FC29C6">
            <w:r w:rsidRPr="00FC29C6">
              <w:rPr>
                <w:szCs w:val="18"/>
              </w:rPr>
              <w:t>Чести</w:t>
            </w:r>
          </w:p>
        </w:tc>
        <w:tc>
          <w:tcPr>
            <w:tcW w:w="3627" w:type="dxa"/>
          </w:tcPr>
          <w:p w14:paraId="3B110FBB" w14:textId="6859C7E1" w:rsidR="00FC29C6" w:rsidRPr="00FC29C6" w:rsidRDefault="00FC29C6" w:rsidP="00FC29C6">
            <w:r w:rsidRPr="00FC29C6">
              <w:rPr>
                <w:szCs w:val="18"/>
              </w:rPr>
              <w:t>Безапетитие</w:t>
            </w:r>
          </w:p>
        </w:tc>
      </w:tr>
      <w:tr w:rsidR="00FC29C6" w14:paraId="408C7AE9" w14:textId="77777777" w:rsidTr="00FC29C6">
        <w:tc>
          <w:tcPr>
            <w:tcW w:w="3014" w:type="dxa"/>
          </w:tcPr>
          <w:p w14:paraId="30312EA9" w14:textId="4DAB4308" w:rsidR="00FC29C6" w:rsidRPr="00FC29C6" w:rsidRDefault="00FC29C6" w:rsidP="00FC29C6">
            <w:r w:rsidRPr="00FC29C6">
              <w:rPr>
                <w:szCs w:val="18"/>
              </w:rPr>
              <w:t>Психични нарушения</w:t>
            </w:r>
          </w:p>
        </w:tc>
        <w:tc>
          <w:tcPr>
            <w:tcW w:w="2935" w:type="dxa"/>
          </w:tcPr>
          <w:p w14:paraId="69D7CD5A" w14:textId="5755E784" w:rsidR="00FC29C6" w:rsidRPr="00FC29C6" w:rsidRDefault="00FC29C6" w:rsidP="00FC29C6">
            <w:r w:rsidRPr="00FC29C6">
              <w:rPr>
                <w:szCs w:val="18"/>
              </w:rPr>
              <w:t>Нечести</w:t>
            </w:r>
          </w:p>
        </w:tc>
        <w:tc>
          <w:tcPr>
            <w:tcW w:w="3627" w:type="dxa"/>
          </w:tcPr>
          <w:p w14:paraId="159F988F" w14:textId="77777777" w:rsidR="00FC29C6" w:rsidRPr="00FC29C6" w:rsidRDefault="00FC29C6" w:rsidP="00FC29C6">
            <w:r w:rsidRPr="00FC29C6">
              <w:rPr>
                <w:szCs w:val="18"/>
              </w:rPr>
              <w:t>Психотични разстройства, включително халюцинации и състояния на обърканост,</w:t>
            </w:r>
          </w:p>
          <w:p w14:paraId="16EDEC3C" w14:textId="26AC651E" w:rsidR="00FC29C6" w:rsidRPr="00FC29C6" w:rsidRDefault="00FC29C6" w:rsidP="00FC29C6">
            <w:r w:rsidRPr="00FC29C6">
              <w:rPr>
                <w:szCs w:val="18"/>
              </w:rPr>
              <w:t>раздразнителност, депресия</w:t>
            </w:r>
          </w:p>
        </w:tc>
      </w:tr>
      <w:tr w:rsidR="00FC29C6" w14:paraId="6509CC27" w14:textId="77777777" w:rsidTr="00FC29C6">
        <w:tc>
          <w:tcPr>
            <w:tcW w:w="3014" w:type="dxa"/>
            <w:vMerge w:val="restart"/>
          </w:tcPr>
          <w:p w14:paraId="68541090" w14:textId="3E375D4D" w:rsidR="00FC29C6" w:rsidRPr="00FC29C6" w:rsidRDefault="00FC29C6" w:rsidP="00FC29C6">
            <w:r w:rsidRPr="00FC29C6">
              <w:rPr>
                <w:szCs w:val="18"/>
              </w:rPr>
              <w:t>Нарушения на нервната система</w:t>
            </w:r>
          </w:p>
        </w:tc>
        <w:tc>
          <w:tcPr>
            <w:tcW w:w="2935" w:type="dxa"/>
          </w:tcPr>
          <w:p w14:paraId="7C0C4EEF" w14:textId="3EAFE818" w:rsidR="00FC29C6" w:rsidRPr="00FC29C6" w:rsidRDefault="00FC29C6" w:rsidP="00FC29C6">
            <w:r w:rsidRPr="00FC29C6">
              <w:rPr>
                <w:szCs w:val="18"/>
              </w:rPr>
              <w:t>Нечести</w:t>
            </w:r>
          </w:p>
        </w:tc>
        <w:tc>
          <w:tcPr>
            <w:tcW w:w="3627" w:type="dxa"/>
            <w:vAlign w:val="bottom"/>
          </w:tcPr>
          <w:p w14:paraId="7D67C365" w14:textId="77777777" w:rsidR="00FC29C6" w:rsidRPr="00FC29C6" w:rsidRDefault="00FC29C6" w:rsidP="00FC29C6">
            <w:r w:rsidRPr="00FC29C6">
              <w:rPr>
                <w:szCs w:val="18"/>
              </w:rPr>
              <w:t>главоболие, световъртеж, сънливост, безсъние, атаксия</w:t>
            </w:r>
          </w:p>
          <w:p w14:paraId="7F3D12DE" w14:textId="10C0025D" w:rsidR="00FC29C6" w:rsidRPr="00FC29C6" w:rsidRDefault="00FC29C6" w:rsidP="00FC29C6">
            <w:r w:rsidRPr="00FC29C6">
              <w:rPr>
                <w:szCs w:val="18"/>
              </w:rPr>
              <w:t>Периферни невропатии (изтръпване, усещане за ; боцкане или мравучкане в крайниците) и конвулсии;</w:t>
            </w:r>
          </w:p>
        </w:tc>
      </w:tr>
      <w:tr w:rsidR="00FC29C6" w14:paraId="5C7DEBAB" w14:textId="77777777" w:rsidTr="00FC29C6">
        <w:tc>
          <w:tcPr>
            <w:tcW w:w="3014" w:type="dxa"/>
            <w:vMerge/>
          </w:tcPr>
          <w:p w14:paraId="43E9D799" w14:textId="77777777" w:rsidR="00FC29C6" w:rsidRDefault="00FC29C6" w:rsidP="00FC29C6"/>
        </w:tc>
        <w:tc>
          <w:tcPr>
            <w:tcW w:w="2935" w:type="dxa"/>
          </w:tcPr>
          <w:p w14:paraId="7D00E3D7" w14:textId="31276940" w:rsidR="00FC29C6" w:rsidRPr="00FC29C6" w:rsidRDefault="00FC29C6" w:rsidP="00FC29C6">
            <w:r w:rsidRPr="00FC29C6">
              <w:rPr>
                <w:szCs w:val="18"/>
              </w:rPr>
              <w:t>С неизвестна честота</w:t>
            </w:r>
          </w:p>
        </w:tc>
        <w:tc>
          <w:tcPr>
            <w:tcW w:w="3627" w:type="dxa"/>
          </w:tcPr>
          <w:p w14:paraId="2631B873" w14:textId="4FFD9052" w:rsidR="00FC29C6" w:rsidRPr="00FC29C6" w:rsidRDefault="00FC29C6" w:rsidP="00FC29C6">
            <w:r w:rsidRPr="00FC29C6">
              <w:rPr>
                <w:szCs w:val="18"/>
              </w:rPr>
              <w:t>Енцефалопатия, церебрален синдром (напр. с нарушение на говора, разстройство в походката, нистагъм и тремор)</w:t>
            </w:r>
          </w:p>
        </w:tc>
      </w:tr>
      <w:tr w:rsidR="00FC29C6" w14:paraId="7427FF18" w14:textId="77777777" w:rsidTr="00FC29C6">
        <w:tc>
          <w:tcPr>
            <w:tcW w:w="3014" w:type="dxa"/>
          </w:tcPr>
          <w:p w14:paraId="65C6DB6E" w14:textId="2DCC6A69" w:rsidR="00FC29C6" w:rsidRPr="00FC29C6" w:rsidRDefault="00FC29C6" w:rsidP="00FC29C6">
            <w:r w:rsidRPr="00FC29C6">
              <w:rPr>
                <w:szCs w:val="18"/>
              </w:rPr>
              <w:t>Нарушения на очите</w:t>
            </w:r>
          </w:p>
        </w:tc>
        <w:tc>
          <w:tcPr>
            <w:tcW w:w="2935" w:type="dxa"/>
          </w:tcPr>
          <w:p w14:paraId="18DD02C6" w14:textId="161B00FC" w:rsidR="00FC29C6" w:rsidRPr="00FC29C6" w:rsidRDefault="00FC29C6" w:rsidP="00FC29C6">
            <w:r w:rsidRPr="00FC29C6">
              <w:rPr>
                <w:szCs w:val="18"/>
              </w:rPr>
              <w:t>Нечести</w:t>
            </w:r>
          </w:p>
        </w:tc>
        <w:tc>
          <w:tcPr>
            <w:tcW w:w="3627" w:type="dxa"/>
          </w:tcPr>
          <w:p w14:paraId="71C02A69" w14:textId="250177EC" w:rsidR="00FC29C6" w:rsidRPr="00FC29C6" w:rsidRDefault="00FC29C6" w:rsidP="00FC29C6">
            <w:r w:rsidRPr="00FC29C6">
              <w:rPr>
                <w:szCs w:val="18"/>
              </w:rPr>
              <w:t>Зрителни смущения</w:t>
            </w:r>
          </w:p>
        </w:tc>
      </w:tr>
      <w:tr w:rsidR="00FC29C6" w14:paraId="0FCBE825" w14:textId="77777777" w:rsidTr="00FC29C6">
        <w:tc>
          <w:tcPr>
            <w:tcW w:w="3014" w:type="dxa"/>
            <w:vMerge w:val="restart"/>
          </w:tcPr>
          <w:p w14:paraId="3D722CC9" w14:textId="4462714D" w:rsidR="00FC29C6" w:rsidRPr="00FC29C6" w:rsidRDefault="00FC29C6" w:rsidP="00FC29C6">
            <w:r w:rsidRPr="00FC29C6">
              <w:rPr>
                <w:szCs w:val="18"/>
              </w:rPr>
              <w:t>Сто машно-чрев ни нарушения</w:t>
            </w:r>
          </w:p>
        </w:tc>
        <w:tc>
          <w:tcPr>
            <w:tcW w:w="2935" w:type="dxa"/>
          </w:tcPr>
          <w:p w14:paraId="602CF89A" w14:textId="0FA16547" w:rsidR="00FC29C6" w:rsidRPr="00FC29C6" w:rsidRDefault="00FC29C6" w:rsidP="00FC29C6">
            <w:r w:rsidRPr="00FC29C6">
              <w:rPr>
                <w:szCs w:val="18"/>
              </w:rPr>
              <w:t>Чести</w:t>
            </w:r>
          </w:p>
        </w:tc>
        <w:tc>
          <w:tcPr>
            <w:tcW w:w="3627" w:type="dxa"/>
          </w:tcPr>
          <w:p w14:paraId="384A2721" w14:textId="3DB70127" w:rsidR="00FC29C6" w:rsidRPr="00FC29C6" w:rsidRDefault="00FC29C6" w:rsidP="00FC29C6">
            <w:r w:rsidRPr="00FC29C6">
              <w:rPr>
                <w:szCs w:val="18"/>
              </w:rPr>
              <w:t>метален вкус, регургитация с горчив вкус, обложен език, глосит, стоматит, тежест в стомаха, повдигане, повръщане, диария</w:t>
            </w:r>
          </w:p>
        </w:tc>
      </w:tr>
      <w:tr w:rsidR="00FC29C6" w14:paraId="27833974" w14:textId="77777777" w:rsidTr="00FC29C6">
        <w:tc>
          <w:tcPr>
            <w:tcW w:w="3014" w:type="dxa"/>
            <w:vMerge/>
          </w:tcPr>
          <w:p w14:paraId="1C958E0A" w14:textId="77777777" w:rsidR="00FC29C6" w:rsidRPr="00FC29C6" w:rsidRDefault="00FC29C6" w:rsidP="00FC29C6"/>
        </w:tc>
        <w:tc>
          <w:tcPr>
            <w:tcW w:w="2935" w:type="dxa"/>
          </w:tcPr>
          <w:p w14:paraId="3076CAC2" w14:textId="30B3FD07" w:rsidR="00FC29C6" w:rsidRPr="00FC29C6" w:rsidRDefault="00FC29C6" w:rsidP="00FC29C6">
            <w:r w:rsidRPr="00FC29C6">
              <w:rPr>
                <w:szCs w:val="18"/>
              </w:rPr>
              <w:t>Много редки</w:t>
            </w:r>
          </w:p>
        </w:tc>
        <w:tc>
          <w:tcPr>
            <w:tcW w:w="3627" w:type="dxa"/>
          </w:tcPr>
          <w:p w14:paraId="584D45FF" w14:textId="03FEB071" w:rsidR="00FC29C6" w:rsidRPr="00FC29C6" w:rsidRDefault="00FC29C6" w:rsidP="00FC29C6">
            <w:r w:rsidRPr="00FC29C6">
              <w:rPr>
                <w:szCs w:val="18"/>
              </w:rPr>
              <w:t xml:space="preserve">Възможно е в хода на лечението с Арилин рапид да се развие </w:t>
            </w:r>
            <w:r w:rsidRPr="00FC29C6">
              <w:rPr>
                <w:szCs w:val="18"/>
              </w:rPr>
              <w:lastRenderedPageBreak/>
              <w:t>псевдомембранозен ентероколит. В такива случаи в зависимост от показанията, трябва да се обсъди прекратяване на лечението като трябва да се предприеме подходящо лечение на състоянието, където е необходимо (напр. приложение на определени антибиотици/химиотерапевтични агенти с доказана клинична ефикасност). Лекарства, подтискащи перисталтиката са противопоказани. Панкреатит</w:t>
            </w:r>
          </w:p>
        </w:tc>
      </w:tr>
      <w:tr w:rsidR="00FC29C6" w14:paraId="4A2ACF40" w14:textId="77777777" w:rsidTr="00FC29C6">
        <w:tc>
          <w:tcPr>
            <w:tcW w:w="3014" w:type="dxa"/>
            <w:vMerge w:val="restart"/>
          </w:tcPr>
          <w:p w14:paraId="703FED9B" w14:textId="5CC389AF" w:rsidR="00FC29C6" w:rsidRPr="00FC29C6" w:rsidRDefault="00FC29C6" w:rsidP="00FC29C6">
            <w:r w:rsidRPr="00FC29C6">
              <w:rPr>
                <w:szCs w:val="18"/>
              </w:rPr>
              <w:lastRenderedPageBreak/>
              <w:t>Хепатобилиарни нарушения</w:t>
            </w:r>
          </w:p>
        </w:tc>
        <w:tc>
          <w:tcPr>
            <w:tcW w:w="2935" w:type="dxa"/>
          </w:tcPr>
          <w:p w14:paraId="5F8B44AC" w14:textId="5485E5F9" w:rsidR="00FC29C6" w:rsidRPr="00FC29C6" w:rsidRDefault="00FC29C6" w:rsidP="00FC29C6">
            <w:r w:rsidRPr="00FC29C6">
              <w:rPr>
                <w:szCs w:val="18"/>
              </w:rPr>
              <w:t>Нечести</w:t>
            </w:r>
          </w:p>
        </w:tc>
        <w:tc>
          <w:tcPr>
            <w:tcW w:w="3627" w:type="dxa"/>
          </w:tcPr>
          <w:p w14:paraId="7CD673F1" w14:textId="2FD474C6" w:rsidR="00FC29C6" w:rsidRPr="00FC29C6" w:rsidRDefault="00FC29C6" w:rsidP="00FC29C6">
            <w:r w:rsidRPr="00FC29C6">
              <w:rPr>
                <w:szCs w:val="18"/>
              </w:rPr>
              <w:t>Нарушена чернодробна функция (напр.увеличение на серумните трансаминази и на билирубина)</w:t>
            </w:r>
          </w:p>
        </w:tc>
      </w:tr>
      <w:tr w:rsidR="00FC29C6" w14:paraId="11B1445E" w14:textId="77777777" w:rsidTr="00FC29C6">
        <w:tc>
          <w:tcPr>
            <w:tcW w:w="3014" w:type="dxa"/>
            <w:vMerge/>
          </w:tcPr>
          <w:p w14:paraId="675D96E6" w14:textId="77777777" w:rsidR="00FC29C6" w:rsidRPr="00FC29C6" w:rsidRDefault="00FC29C6" w:rsidP="00FC29C6"/>
        </w:tc>
        <w:tc>
          <w:tcPr>
            <w:tcW w:w="2935" w:type="dxa"/>
          </w:tcPr>
          <w:p w14:paraId="0C72EECB" w14:textId="04909850" w:rsidR="00FC29C6" w:rsidRPr="00FC29C6" w:rsidRDefault="00FC29C6" w:rsidP="00FC29C6">
            <w:r w:rsidRPr="00FC29C6">
              <w:rPr>
                <w:szCs w:val="18"/>
              </w:rPr>
              <w:t>С неизвестна честота</w:t>
            </w:r>
          </w:p>
        </w:tc>
        <w:tc>
          <w:tcPr>
            <w:tcW w:w="3627" w:type="dxa"/>
          </w:tcPr>
          <w:p w14:paraId="303F912D" w14:textId="3A2FFA5F" w:rsidR="00FC29C6" w:rsidRPr="00FC29C6" w:rsidRDefault="00FC29C6" w:rsidP="00FC29C6">
            <w:r w:rsidRPr="00FC29C6">
              <w:rPr>
                <w:szCs w:val="18"/>
              </w:rPr>
              <w:t>Хепатит, понякога с жълтеница, чернодробна недостатъчност (с нужда от трансплантация на черен дроб) при пациенти, лекувани едновременно с други антибиотици</w:t>
            </w:r>
          </w:p>
        </w:tc>
      </w:tr>
      <w:tr w:rsidR="00FC29C6" w14:paraId="59FAD9E6" w14:textId="77777777" w:rsidTr="00FC29C6">
        <w:tc>
          <w:tcPr>
            <w:tcW w:w="3014" w:type="dxa"/>
            <w:vMerge w:val="restart"/>
          </w:tcPr>
          <w:p w14:paraId="58987588" w14:textId="19B98A1B" w:rsidR="00FC29C6" w:rsidRPr="00FC29C6" w:rsidRDefault="00FC29C6" w:rsidP="00FC29C6">
            <w:r w:rsidRPr="00FC29C6">
              <w:rPr>
                <w:szCs w:val="18"/>
              </w:rPr>
              <w:t xml:space="preserve">Нарушения на кожата </w:t>
            </w:r>
            <w:r w:rsidRPr="00FC29C6">
              <w:rPr>
                <w:szCs w:val="18"/>
              </w:rPr>
              <w:t>и подкожната тъкан</w:t>
            </w:r>
          </w:p>
        </w:tc>
        <w:tc>
          <w:tcPr>
            <w:tcW w:w="2935" w:type="dxa"/>
          </w:tcPr>
          <w:p w14:paraId="6BE1C2C3" w14:textId="1A8C7535" w:rsidR="00FC29C6" w:rsidRPr="00FC29C6" w:rsidRDefault="00FC29C6" w:rsidP="00FC29C6">
            <w:r w:rsidRPr="00FC29C6">
              <w:rPr>
                <w:szCs w:val="18"/>
              </w:rPr>
              <w:t>Нечести</w:t>
            </w:r>
          </w:p>
        </w:tc>
        <w:tc>
          <w:tcPr>
            <w:tcW w:w="3627" w:type="dxa"/>
            <w:vAlign w:val="bottom"/>
          </w:tcPr>
          <w:p w14:paraId="4EF9A34E" w14:textId="1979268E" w:rsidR="00FC29C6" w:rsidRPr="00FC29C6" w:rsidRDefault="00FC29C6" w:rsidP="00FC29C6">
            <w:r w:rsidRPr="00FC29C6">
              <w:rPr>
                <w:szCs w:val="18"/>
              </w:rPr>
              <w:t>кожни реакции като сърбеж и копривна треска</w:t>
            </w:r>
          </w:p>
        </w:tc>
      </w:tr>
      <w:tr w:rsidR="00FC29C6" w14:paraId="793ABF34" w14:textId="77777777" w:rsidTr="00FC29C6">
        <w:tc>
          <w:tcPr>
            <w:tcW w:w="3014" w:type="dxa"/>
            <w:vMerge/>
          </w:tcPr>
          <w:p w14:paraId="07864259" w14:textId="77777777" w:rsidR="00FC29C6" w:rsidRPr="00FC29C6" w:rsidRDefault="00FC29C6" w:rsidP="00FC29C6"/>
        </w:tc>
        <w:tc>
          <w:tcPr>
            <w:tcW w:w="2935" w:type="dxa"/>
          </w:tcPr>
          <w:p w14:paraId="44ABF220" w14:textId="14F51CE8" w:rsidR="00FC29C6" w:rsidRPr="00FC29C6" w:rsidRDefault="00FC29C6" w:rsidP="00FC29C6">
            <w:r w:rsidRPr="00FC29C6">
              <w:rPr>
                <w:szCs w:val="18"/>
              </w:rPr>
              <w:t>С неизвестна честота</w:t>
            </w:r>
          </w:p>
        </w:tc>
        <w:tc>
          <w:tcPr>
            <w:tcW w:w="3627" w:type="dxa"/>
          </w:tcPr>
          <w:p w14:paraId="13748C65" w14:textId="1A62BD3C" w:rsidR="00FC29C6" w:rsidRPr="00FC29C6" w:rsidRDefault="00FC29C6" w:rsidP="00FC29C6">
            <w:r w:rsidRPr="00FC29C6">
              <w:rPr>
                <w:szCs w:val="18"/>
              </w:rPr>
              <w:t>Тежки кожни реакции (напр. синдром на Стивънс- Джонсън, токсична епидермална некролиза, мултиформена еритема)</w:t>
            </w:r>
          </w:p>
        </w:tc>
      </w:tr>
      <w:tr w:rsidR="00FC29C6" w14:paraId="1B217303" w14:textId="77777777" w:rsidTr="00FC29C6">
        <w:tc>
          <w:tcPr>
            <w:tcW w:w="3014" w:type="dxa"/>
            <w:vMerge w:val="restart"/>
          </w:tcPr>
          <w:p w14:paraId="5DC616CA" w14:textId="3D3B6074" w:rsidR="00FC29C6" w:rsidRPr="00FC29C6" w:rsidRDefault="00FC29C6" w:rsidP="00FC29C6">
            <w:r w:rsidRPr="00FC29C6">
              <w:rPr>
                <w:szCs w:val="18"/>
              </w:rPr>
              <w:t>Нарушения на мускулно-скелетната система и съединителната тъкан</w:t>
            </w:r>
          </w:p>
        </w:tc>
        <w:tc>
          <w:tcPr>
            <w:tcW w:w="2935" w:type="dxa"/>
          </w:tcPr>
          <w:p w14:paraId="1365289D" w14:textId="29F008F3" w:rsidR="00FC29C6" w:rsidRPr="00FC29C6" w:rsidRDefault="00FC29C6" w:rsidP="00FC29C6">
            <w:r w:rsidRPr="00FC29C6">
              <w:rPr>
                <w:szCs w:val="18"/>
              </w:rPr>
              <w:t>Нечести</w:t>
            </w:r>
          </w:p>
        </w:tc>
        <w:tc>
          <w:tcPr>
            <w:tcW w:w="3627" w:type="dxa"/>
          </w:tcPr>
          <w:p w14:paraId="2AD3D1B9" w14:textId="78941EB3" w:rsidR="00FC29C6" w:rsidRPr="00FC29C6" w:rsidRDefault="00FC29C6" w:rsidP="00FC29C6">
            <w:r w:rsidRPr="00FC29C6">
              <w:rPr>
                <w:szCs w:val="18"/>
              </w:rPr>
              <w:t>Астения (безсилие, обща слабост)</w:t>
            </w:r>
          </w:p>
        </w:tc>
      </w:tr>
      <w:tr w:rsidR="00FC29C6" w14:paraId="67632A28" w14:textId="77777777" w:rsidTr="00FC29C6">
        <w:tc>
          <w:tcPr>
            <w:tcW w:w="3014" w:type="dxa"/>
            <w:vMerge/>
          </w:tcPr>
          <w:p w14:paraId="6D45F488" w14:textId="77777777" w:rsidR="00FC29C6" w:rsidRPr="00FC29C6" w:rsidRDefault="00FC29C6" w:rsidP="00FC29C6"/>
        </w:tc>
        <w:tc>
          <w:tcPr>
            <w:tcW w:w="2935" w:type="dxa"/>
          </w:tcPr>
          <w:p w14:paraId="2FC2F952" w14:textId="656AC3B8" w:rsidR="00FC29C6" w:rsidRPr="00FC29C6" w:rsidRDefault="00FC29C6" w:rsidP="00FC29C6">
            <w:r w:rsidRPr="00FC29C6">
              <w:rPr>
                <w:szCs w:val="18"/>
              </w:rPr>
              <w:t>Много редки</w:t>
            </w:r>
          </w:p>
        </w:tc>
        <w:tc>
          <w:tcPr>
            <w:tcW w:w="3627" w:type="dxa"/>
          </w:tcPr>
          <w:p w14:paraId="65E398A0" w14:textId="4BE34C13" w:rsidR="00FC29C6" w:rsidRPr="00FC29C6" w:rsidRDefault="00FC29C6" w:rsidP="00FC29C6">
            <w:r w:rsidRPr="00FC29C6">
              <w:rPr>
                <w:szCs w:val="18"/>
              </w:rPr>
              <w:t>Артралгия</w:t>
            </w:r>
          </w:p>
        </w:tc>
      </w:tr>
      <w:tr w:rsidR="00FC29C6" w14:paraId="73947E21" w14:textId="77777777" w:rsidTr="00FC29C6">
        <w:tc>
          <w:tcPr>
            <w:tcW w:w="3014" w:type="dxa"/>
            <w:vMerge w:val="restart"/>
          </w:tcPr>
          <w:p w14:paraId="62554048" w14:textId="69EA53C2" w:rsidR="00FC29C6" w:rsidRPr="00FC29C6" w:rsidRDefault="00FC29C6" w:rsidP="00FC29C6">
            <w:r w:rsidRPr="00FC29C6">
              <w:rPr>
                <w:szCs w:val="18"/>
              </w:rPr>
              <w:t>Нарушения на бъбреците и пикочните пътища</w:t>
            </w:r>
          </w:p>
        </w:tc>
        <w:tc>
          <w:tcPr>
            <w:tcW w:w="2935" w:type="dxa"/>
          </w:tcPr>
          <w:p w14:paraId="7B8FFEBE" w14:textId="5D9C3807" w:rsidR="00FC29C6" w:rsidRPr="00FC29C6" w:rsidRDefault="00FC29C6" w:rsidP="00FC29C6">
            <w:r w:rsidRPr="00FC29C6">
              <w:rPr>
                <w:szCs w:val="18"/>
              </w:rPr>
              <w:t>Чести</w:t>
            </w:r>
          </w:p>
        </w:tc>
        <w:tc>
          <w:tcPr>
            <w:tcW w:w="3627" w:type="dxa"/>
          </w:tcPr>
          <w:p w14:paraId="5E2CB123" w14:textId="4D1E5CBA" w:rsidR="00FC29C6" w:rsidRPr="00FC29C6" w:rsidRDefault="00FC29C6" w:rsidP="00FC29C6">
            <w:r w:rsidRPr="00FC29C6">
              <w:rPr>
                <w:szCs w:val="18"/>
              </w:rPr>
              <w:t>По-тъмно оцветяване на урината без клинично значение (причинено от метабонит на метронидазол).</w:t>
            </w:r>
          </w:p>
        </w:tc>
      </w:tr>
      <w:tr w:rsidR="00FC29C6" w14:paraId="54B81E97" w14:textId="77777777" w:rsidTr="00FC29C6">
        <w:tc>
          <w:tcPr>
            <w:tcW w:w="3014" w:type="dxa"/>
            <w:vMerge/>
          </w:tcPr>
          <w:p w14:paraId="22B79FD7" w14:textId="77777777" w:rsidR="00FC29C6" w:rsidRPr="00FC29C6" w:rsidRDefault="00FC29C6" w:rsidP="00FC29C6"/>
        </w:tc>
        <w:tc>
          <w:tcPr>
            <w:tcW w:w="2935" w:type="dxa"/>
          </w:tcPr>
          <w:p w14:paraId="797BCBA6" w14:textId="20D832E6" w:rsidR="00FC29C6" w:rsidRPr="00FC29C6" w:rsidRDefault="00FC29C6" w:rsidP="00FC29C6">
            <w:r w:rsidRPr="00FC29C6">
              <w:rPr>
                <w:szCs w:val="18"/>
              </w:rPr>
              <w:t>Нечести</w:t>
            </w:r>
          </w:p>
        </w:tc>
        <w:tc>
          <w:tcPr>
            <w:tcW w:w="3627" w:type="dxa"/>
          </w:tcPr>
          <w:p w14:paraId="1D40A9A0" w14:textId="2125678A" w:rsidR="00FC29C6" w:rsidRPr="00FC29C6" w:rsidRDefault="00FC29C6" w:rsidP="00FC29C6">
            <w:r w:rsidRPr="00FC29C6">
              <w:rPr>
                <w:szCs w:val="18"/>
              </w:rPr>
              <w:t>Дизурия, цистит, инконтиненция</w:t>
            </w:r>
          </w:p>
        </w:tc>
      </w:tr>
      <w:tr w:rsidR="00FC29C6" w14:paraId="0EDE0F78" w14:textId="77777777" w:rsidTr="00FC29C6">
        <w:tc>
          <w:tcPr>
            <w:tcW w:w="3014" w:type="dxa"/>
          </w:tcPr>
          <w:p w14:paraId="367A5AED" w14:textId="3301E5A3" w:rsidR="00FC29C6" w:rsidRPr="00FC29C6" w:rsidRDefault="00FC29C6" w:rsidP="00FC29C6">
            <w:r w:rsidRPr="00FC29C6">
              <w:rPr>
                <w:szCs w:val="18"/>
              </w:rPr>
              <w:t>Общи нарушения и ефекти на мястото на приложение</w:t>
            </w:r>
          </w:p>
        </w:tc>
        <w:tc>
          <w:tcPr>
            <w:tcW w:w="2935" w:type="dxa"/>
          </w:tcPr>
          <w:p w14:paraId="0EFF084C" w14:textId="6AD36326" w:rsidR="00FC29C6" w:rsidRPr="00FC29C6" w:rsidRDefault="00FC29C6" w:rsidP="00FC29C6">
            <w:r w:rsidRPr="00FC29C6">
              <w:rPr>
                <w:szCs w:val="18"/>
              </w:rPr>
              <w:t>Нечести</w:t>
            </w:r>
          </w:p>
        </w:tc>
        <w:tc>
          <w:tcPr>
            <w:tcW w:w="3627" w:type="dxa"/>
          </w:tcPr>
          <w:p w14:paraId="68EE090C" w14:textId="4A8F86D7" w:rsidR="00FC29C6" w:rsidRPr="00FC29C6" w:rsidRDefault="00FC29C6" w:rsidP="00FC29C6">
            <w:r w:rsidRPr="00FC29C6">
              <w:rPr>
                <w:szCs w:val="18"/>
              </w:rPr>
              <w:t>Лекарствена треска</w:t>
            </w:r>
          </w:p>
        </w:tc>
      </w:tr>
    </w:tbl>
    <w:p w14:paraId="4080BBBC"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Видът и тежестта на нежеланите лекарствени реакции при деца са същите, както и при възрастни.</w:t>
      </w:r>
    </w:p>
    <w:p w14:paraId="357924B3" w14:textId="77777777" w:rsidR="00FC29C6" w:rsidRPr="00FC29C6" w:rsidRDefault="00FC29C6" w:rsidP="00FC29C6">
      <w:pPr>
        <w:spacing w:line="240" w:lineRule="auto"/>
        <w:rPr>
          <w:rFonts w:eastAsia="Times New Roman" w:cs="Arial"/>
          <w:color w:val="000000"/>
          <w:szCs w:val="18"/>
          <w:u w:val="single"/>
          <w:lang w:eastAsia="bg-BG"/>
        </w:rPr>
      </w:pPr>
    </w:p>
    <w:p w14:paraId="25AEE3C1" w14:textId="2077F831"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u w:val="single"/>
          <w:lang w:eastAsia="bg-BG"/>
        </w:rPr>
        <w:t>Съобщаване на подозирани нежелани реакции</w:t>
      </w:r>
    </w:p>
    <w:p w14:paraId="41642F64"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съоощаване, посочена в Приложение </w:t>
      </w:r>
      <w:r w:rsidRPr="00FC29C6">
        <w:rPr>
          <w:rFonts w:eastAsia="Times New Roman" w:cs="Arial"/>
          <w:color w:val="000000"/>
          <w:szCs w:val="18"/>
          <w:lang w:val="en-US"/>
        </w:rPr>
        <w:t>V</w:t>
      </w:r>
      <w:r w:rsidRPr="00FC29C6">
        <w:rPr>
          <w:rFonts w:eastAsia="Times New Roman" w:cs="Arial"/>
          <w:color w:val="000000"/>
          <w:szCs w:val="18"/>
          <w:lang w:val="ru-RU"/>
        </w:rPr>
        <w:t>*.</w:t>
      </w:r>
    </w:p>
    <w:p w14:paraId="44E857AA" w14:textId="77777777" w:rsidR="00FC29C6" w:rsidRPr="00FC29C6" w:rsidRDefault="00FC29C6" w:rsidP="00FC29C6">
      <w:pPr>
        <w:rPr>
          <w:rFonts w:eastAsia="Times New Roman" w:cs="Arial"/>
          <w:i/>
          <w:iCs/>
          <w:color w:val="000000"/>
          <w:szCs w:val="18"/>
          <w:lang w:eastAsia="bg-BG"/>
        </w:rPr>
      </w:pPr>
    </w:p>
    <w:p w14:paraId="57E9C5D6" w14:textId="2B4957D7" w:rsidR="00FC29C6" w:rsidRDefault="00FC29C6" w:rsidP="00FC29C6">
      <w:pPr>
        <w:rPr>
          <w:rFonts w:eastAsia="Times New Roman" w:cs="Arial"/>
          <w:i/>
          <w:iCs/>
          <w:color w:val="000000"/>
          <w:szCs w:val="18"/>
          <w:lang w:eastAsia="bg-BG"/>
        </w:rPr>
      </w:pPr>
      <w:r w:rsidRPr="00FC29C6">
        <w:rPr>
          <w:rFonts w:eastAsia="Times New Roman" w:cs="Arial"/>
          <w:i/>
          <w:iCs/>
          <w:color w:val="000000"/>
          <w:szCs w:val="18"/>
          <w:lang w:eastAsia="bg-BG"/>
        </w:rPr>
        <w:t>[*Подробностите за националната система за докладване, изброени в допълнение V. ще бъдат показани в отпечатаната информация за продукта]</w:t>
      </w:r>
    </w:p>
    <w:p w14:paraId="37BBA8AD" w14:textId="77777777" w:rsidR="00FC29C6" w:rsidRPr="00FC29C6" w:rsidRDefault="00FC29C6" w:rsidP="00FC29C6">
      <w:pPr>
        <w:rPr>
          <w:rFonts w:cs="Arial"/>
          <w:sz w:val="28"/>
        </w:rPr>
      </w:pPr>
    </w:p>
    <w:p w14:paraId="4ED30546" w14:textId="3542B8F5" w:rsidR="007C605B" w:rsidRDefault="002C50EE" w:rsidP="009F1313">
      <w:pPr>
        <w:pStyle w:val="Heading2"/>
      </w:pPr>
      <w:r>
        <w:t>4.9. Предозиране</w:t>
      </w:r>
    </w:p>
    <w:p w14:paraId="5BBE6D1D" w14:textId="336CD0C5" w:rsidR="00FC29C6" w:rsidRDefault="00FC29C6" w:rsidP="00FC29C6"/>
    <w:p w14:paraId="4ECF0CB3" w14:textId="77777777" w:rsidR="00FC29C6" w:rsidRPr="00FC29C6" w:rsidRDefault="00FC29C6" w:rsidP="00FC29C6">
      <w:pPr>
        <w:rPr>
          <w:sz w:val="24"/>
          <w:szCs w:val="24"/>
        </w:rPr>
      </w:pPr>
      <w:r w:rsidRPr="00FC29C6">
        <w:rPr>
          <w:lang w:eastAsia="bg-BG"/>
        </w:rPr>
        <w:t xml:space="preserve">Наблюдавани са гадене, хиперрефлексия, атаксия, тахикардия, диспнея и дезориентация след еднократни дози от до </w:t>
      </w:r>
      <w:r w:rsidRPr="00FC29C6">
        <w:rPr>
          <w:lang w:val="ru-RU"/>
        </w:rPr>
        <w:t xml:space="preserve">15 </w:t>
      </w:r>
      <w:r w:rsidRPr="00FC29C6">
        <w:rPr>
          <w:lang w:val="en-US"/>
        </w:rPr>
        <w:t>g</w:t>
      </w:r>
      <w:r w:rsidRPr="00FC29C6">
        <w:rPr>
          <w:lang w:val="ru-RU"/>
        </w:rPr>
        <w:t xml:space="preserve"> </w:t>
      </w:r>
      <w:r w:rsidRPr="00FC29C6">
        <w:rPr>
          <w:lang w:eastAsia="bg-BG"/>
        </w:rPr>
        <w:t>метронидазол, приети при суициден опит. Не са описани смъртни случаи.</w:t>
      </w:r>
    </w:p>
    <w:p w14:paraId="34256808" w14:textId="77777777" w:rsidR="00FC29C6" w:rsidRDefault="00FC29C6" w:rsidP="00FC29C6">
      <w:pPr>
        <w:rPr>
          <w:lang w:eastAsia="bg-BG"/>
        </w:rPr>
      </w:pPr>
    </w:p>
    <w:p w14:paraId="78271B85" w14:textId="0F57BE1F" w:rsidR="00FC29C6" w:rsidRPr="00FC29C6" w:rsidRDefault="00FC29C6" w:rsidP="00FC29C6">
      <w:pPr>
        <w:rPr>
          <w:sz w:val="24"/>
          <w:szCs w:val="24"/>
        </w:rPr>
      </w:pPr>
      <w:r w:rsidRPr="00FC29C6">
        <w:rPr>
          <w:lang w:eastAsia="bg-BG"/>
        </w:rPr>
        <w:t>Специфичен антидот не е известен. Чрез симптоматично лечение може да се очаква пълно отзвучаване на симптомите.</w:t>
      </w:r>
    </w:p>
    <w:p w14:paraId="7091EA3C" w14:textId="77777777" w:rsidR="00FC29C6" w:rsidRPr="00FC29C6" w:rsidRDefault="00FC29C6" w:rsidP="00FC29C6"/>
    <w:p w14:paraId="02081B24" w14:textId="1F46E296" w:rsidR="00395555" w:rsidRPr="00395555" w:rsidRDefault="002C50EE" w:rsidP="008A6AF2">
      <w:pPr>
        <w:pStyle w:val="Heading1"/>
      </w:pPr>
      <w:r>
        <w:t>5. ФАРМАКОЛОГИЧНИ СВОЙСТВА</w:t>
      </w:r>
    </w:p>
    <w:p w14:paraId="5350637D" w14:textId="1A14BA4C" w:rsidR="00395555" w:rsidRDefault="002C50EE" w:rsidP="008A6AF2">
      <w:pPr>
        <w:pStyle w:val="Heading2"/>
      </w:pPr>
      <w:r>
        <w:t>5.1. Фармакодинамични свойства</w:t>
      </w:r>
    </w:p>
    <w:p w14:paraId="283BC2B6" w14:textId="17A99670" w:rsidR="00FC29C6" w:rsidRDefault="00FC29C6" w:rsidP="00FC29C6"/>
    <w:p w14:paraId="2978BE05"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Фармакотерапевтична група</w:t>
      </w:r>
    </w:p>
    <w:p w14:paraId="181E7F97"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Метронидазол е антибиотик, принадлежащ към групата на нитроимидазолите.</w:t>
      </w:r>
    </w:p>
    <w:p w14:paraId="741FDD8B" w14:textId="77777777" w:rsidR="00FC29C6" w:rsidRPr="00FC29C6" w:rsidRDefault="00FC29C6" w:rsidP="00FC29C6">
      <w:pPr>
        <w:spacing w:line="240" w:lineRule="auto"/>
        <w:rPr>
          <w:rFonts w:eastAsia="Times New Roman" w:cs="Arial"/>
          <w:i/>
          <w:iCs/>
          <w:color w:val="000000"/>
          <w:szCs w:val="18"/>
          <w:lang w:eastAsia="bg-BG"/>
        </w:rPr>
      </w:pPr>
    </w:p>
    <w:p w14:paraId="6511790D" w14:textId="502D4794" w:rsidR="00FC29C6" w:rsidRPr="00FC29C6" w:rsidRDefault="00FC29C6" w:rsidP="00FC29C6">
      <w:pPr>
        <w:spacing w:line="240" w:lineRule="auto"/>
        <w:rPr>
          <w:rFonts w:eastAsia="Times New Roman" w:cs="Arial"/>
          <w:sz w:val="32"/>
          <w:szCs w:val="24"/>
        </w:rPr>
      </w:pPr>
      <w:r w:rsidRPr="00FC29C6">
        <w:rPr>
          <w:rFonts w:eastAsia="Times New Roman" w:cs="Arial"/>
          <w:i/>
          <w:iCs/>
          <w:color w:val="000000"/>
          <w:szCs w:val="18"/>
          <w:lang w:eastAsia="bg-BG"/>
        </w:rPr>
        <w:t>АТСкод Р01АВ01</w:t>
      </w:r>
    </w:p>
    <w:p w14:paraId="0E1ABB9D" w14:textId="77777777" w:rsidR="00FC29C6" w:rsidRPr="00FC29C6" w:rsidRDefault="00FC29C6" w:rsidP="00FC29C6">
      <w:pPr>
        <w:spacing w:line="240" w:lineRule="auto"/>
        <w:rPr>
          <w:rFonts w:eastAsia="Times New Roman" w:cs="Arial"/>
          <w:color w:val="000000"/>
          <w:szCs w:val="18"/>
          <w:u w:val="single"/>
          <w:lang w:eastAsia="bg-BG"/>
        </w:rPr>
      </w:pPr>
    </w:p>
    <w:p w14:paraId="6A5DE693" w14:textId="0583031A"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u w:val="single"/>
          <w:lang w:eastAsia="bg-BG"/>
        </w:rPr>
        <w:t>Механизъм на действие</w:t>
      </w:r>
    </w:p>
    <w:p w14:paraId="2F638319" w14:textId="77777777" w:rsidR="00FC29C6" w:rsidRPr="00FC29C6" w:rsidRDefault="00FC29C6" w:rsidP="00FC29C6">
      <w:pPr>
        <w:spacing w:line="240" w:lineRule="auto"/>
        <w:rPr>
          <w:rFonts w:eastAsia="Times New Roman" w:cs="Arial"/>
          <w:sz w:val="32"/>
          <w:szCs w:val="24"/>
        </w:rPr>
      </w:pPr>
      <w:r w:rsidRPr="00FC29C6">
        <w:rPr>
          <w:rFonts w:eastAsia="Times New Roman" w:cs="Arial"/>
          <w:color w:val="000000"/>
          <w:szCs w:val="18"/>
          <w:lang w:eastAsia="bg-BG"/>
        </w:rPr>
        <w:t>Самият метронидазол няма антимикробен ефект. Той съставлява стабилното и способно да прониква начално съединение, от което при анаеробни условия се образуват нитрозо-радикали, които атакуват ДНК чрез микробната пируват-фередоксин-оксидоредуктаза, с оксидиране на фередоксина и флаводоксина. Нитрозо-радикалите образуват адукти с чифтовете от бази на</w:t>
      </w:r>
      <w:r w:rsidRPr="00FC29C6">
        <w:rPr>
          <w:rFonts w:eastAsia="Times New Roman" w:cs="Arial"/>
          <w:color w:val="000000"/>
          <w:szCs w:val="18"/>
          <w:u w:val="single"/>
          <w:lang w:eastAsia="bg-BG"/>
        </w:rPr>
        <w:t xml:space="preserve"> </w:t>
      </w:r>
      <w:r w:rsidRPr="00FC29C6">
        <w:rPr>
          <w:rFonts w:eastAsia="Times New Roman" w:cs="Arial"/>
          <w:color w:val="000000"/>
          <w:szCs w:val="18"/>
          <w:lang w:eastAsia="bg-BG"/>
        </w:rPr>
        <w:t>ДНК, което води до разкъсване на ДНК спиралата с последващ клетъчен лизис.</w:t>
      </w:r>
    </w:p>
    <w:p w14:paraId="2CA6701E" w14:textId="77777777" w:rsidR="00FC29C6" w:rsidRPr="00FC29C6" w:rsidRDefault="00FC29C6" w:rsidP="00FC29C6">
      <w:pPr>
        <w:rPr>
          <w:rFonts w:eastAsia="Times New Roman" w:cs="Arial"/>
          <w:color w:val="000000"/>
          <w:szCs w:val="18"/>
          <w:u w:val="single"/>
          <w:lang w:eastAsia="bg-BG"/>
        </w:rPr>
      </w:pPr>
    </w:p>
    <w:p w14:paraId="5FFD03C1" w14:textId="0827EAD8" w:rsidR="00FC29C6" w:rsidRPr="00FC29C6" w:rsidRDefault="00FC29C6" w:rsidP="00FC29C6">
      <w:pPr>
        <w:rPr>
          <w:rFonts w:eastAsia="Times New Roman" w:cs="Arial"/>
          <w:color w:val="000000"/>
          <w:szCs w:val="18"/>
          <w:u w:val="single"/>
          <w:lang w:eastAsia="bg-BG"/>
        </w:rPr>
      </w:pPr>
      <w:r w:rsidRPr="00FC29C6">
        <w:rPr>
          <w:rFonts w:eastAsia="Times New Roman" w:cs="Arial"/>
          <w:color w:val="000000"/>
          <w:szCs w:val="18"/>
          <w:u w:val="single"/>
          <w:lang w:eastAsia="bg-BG"/>
        </w:rPr>
        <w:t>Връзка между фармакокинетика и фармакодинамика</w:t>
      </w:r>
    </w:p>
    <w:p w14:paraId="7E691FEE" w14:textId="167552DF" w:rsidR="00FC29C6" w:rsidRPr="00FC29C6" w:rsidRDefault="00FC29C6" w:rsidP="00FC29C6">
      <w:pPr>
        <w:rPr>
          <w:rFonts w:cs="Arial"/>
          <w:szCs w:val="18"/>
        </w:rPr>
      </w:pPr>
      <w:r w:rsidRPr="00FC29C6">
        <w:rPr>
          <w:rFonts w:cs="Arial"/>
          <w:szCs w:val="18"/>
        </w:rPr>
        <w:t>Ефективността зависи основно от съотношението между максималната серумна концентрация (С</w:t>
      </w:r>
      <w:r w:rsidRPr="00FC29C6">
        <w:rPr>
          <w:rFonts w:cs="Arial"/>
          <w:szCs w:val="18"/>
          <w:vertAlign w:val="subscript"/>
          <w:lang w:val="en-US"/>
        </w:rPr>
        <w:t>max</w:t>
      </w:r>
      <w:r w:rsidRPr="00FC29C6">
        <w:rPr>
          <w:rFonts w:cs="Arial"/>
          <w:szCs w:val="18"/>
        </w:rPr>
        <w:t xml:space="preserve">) и минималната инхибираща концентрация </w:t>
      </w:r>
      <w:r w:rsidRPr="00FC29C6">
        <w:rPr>
          <w:rFonts w:cs="Arial"/>
          <w:szCs w:val="18"/>
          <w:lang w:val="ru-RU"/>
        </w:rPr>
        <w:t>(</w:t>
      </w:r>
      <w:r w:rsidRPr="00FC29C6">
        <w:rPr>
          <w:rFonts w:cs="Arial"/>
          <w:szCs w:val="18"/>
          <w:lang w:val="en-US"/>
        </w:rPr>
        <w:t>MIC</w:t>
      </w:r>
      <w:r w:rsidRPr="00FC29C6">
        <w:rPr>
          <w:rFonts w:cs="Arial"/>
          <w:szCs w:val="18"/>
          <w:lang w:val="ru-RU"/>
        </w:rPr>
        <w:t xml:space="preserve">) </w:t>
      </w:r>
      <w:r w:rsidRPr="00FC29C6">
        <w:rPr>
          <w:rFonts w:cs="Arial"/>
          <w:szCs w:val="18"/>
        </w:rPr>
        <w:t>на патогена.</w:t>
      </w:r>
    </w:p>
    <w:p w14:paraId="2DF8FDB2" w14:textId="77777777" w:rsidR="00FC29C6" w:rsidRPr="00FC29C6" w:rsidRDefault="00FC29C6" w:rsidP="00FC29C6"/>
    <w:p w14:paraId="26535098" w14:textId="520F176C" w:rsidR="00395555" w:rsidRDefault="002C50EE" w:rsidP="008A6AF2">
      <w:pPr>
        <w:pStyle w:val="Heading2"/>
      </w:pPr>
      <w:r>
        <w:t>5.2. Фармакокинетични свойства</w:t>
      </w:r>
    </w:p>
    <w:p w14:paraId="28027D2D" w14:textId="0289011E" w:rsidR="00FC29C6" w:rsidRDefault="00FC29C6" w:rsidP="00FC29C6"/>
    <w:p w14:paraId="4D2D2DE8" w14:textId="77777777" w:rsidR="00FC29C6" w:rsidRPr="00FC29C6" w:rsidRDefault="00FC29C6" w:rsidP="00FC29C6">
      <w:pPr>
        <w:pStyle w:val="Heading3"/>
        <w:rPr>
          <w:rFonts w:eastAsia="Times New Roman"/>
          <w:u w:val="single"/>
        </w:rPr>
      </w:pPr>
      <w:r w:rsidRPr="00FC29C6">
        <w:rPr>
          <w:rFonts w:eastAsia="Times New Roman"/>
          <w:u w:val="single"/>
          <w:lang w:eastAsia="bg-BG"/>
        </w:rPr>
        <w:t>Абсорбция</w:t>
      </w:r>
    </w:p>
    <w:p w14:paraId="5946F28C" w14:textId="77777777" w:rsidR="00FC29C6" w:rsidRPr="00FC29C6" w:rsidRDefault="00FC29C6" w:rsidP="00FC29C6">
      <w:pPr>
        <w:rPr>
          <w:sz w:val="24"/>
          <w:szCs w:val="24"/>
        </w:rPr>
      </w:pPr>
      <w:r w:rsidRPr="00FC29C6">
        <w:rPr>
          <w:lang w:eastAsia="bg-BG"/>
        </w:rPr>
        <w:t>След перорално приложение метронидазол се резорбира бързо и почти изцяло, като максимални серумни нива се достигат след 1 -2 часа. При ректално приложение около 80% от веществото показва системна наличност, като серумен максимум се достига след близо 4 часа. След вагинално приложение само около 20% може да се открие в серума, като максимум се достига дори по- късно - след 8 до 24 часа.</w:t>
      </w:r>
    </w:p>
    <w:p w14:paraId="36C8CFA4" w14:textId="77777777" w:rsidR="00FC29C6" w:rsidRDefault="00FC29C6" w:rsidP="00FC29C6">
      <w:pPr>
        <w:rPr>
          <w:lang w:eastAsia="bg-BG"/>
        </w:rPr>
      </w:pPr>
    </w:p>
    <w:p w14:paraId="11D3D9D3" w14:textId="4FB390DA" w:rsidR="00FC29C6" w:rsidRPr="00FC29C6" w:rsidRDefault="00FC29C6" w:rsidP="00FC29C6">
      <w:pPr>
        <w:pStyle w:val="Heading3"/>
        <w:rPr>
          <w:rFonts w:eastAsia="Times New Roman"/>
          <w:u w:val="single"/>
        </w:rPr>
      </w:pPr>
      <w:r w:rsidRPr="00FC29C6">
        <w:rPr>
          <w:rFonts w:eastAsia="Times New Roman"/>
          <w:u w:val="single"/>
          <w:lang w:eastAsia="bg-BG"/>
        </w:rPr>
        <w:t>Биотрансформация</w:t>
      </w:r>
    </w:p>
    <w:p w14:paraId="07583BE3" w14:textId="77777777" w:rsidR="00FC29C6" w:rsidRPr="00FC29C6" w:rsidRDefault="00FC29C6" w:rsidP="00FC29C6">
      <w:pPr>
        <w:rPr>
          <w:sz w:val="24"/>
          <w:szCs w:val="24"/>
        </w:rPr>
      </w:pPr>
      <w:r w:rsidRPr="00FC29C6">
        <w:rPr>
          <w:lang w:eastAsia="bg-BG"/>
        </w:rPr>
        <w:t>Времето на серумния полуживот е в общи линии 8 (6 до 10) часа. В човешкия организъм се образуват различни метаболити. Главни метаболити са хидроксиметаболитът (1-(2- хидроксиетил)-2-хидроксиметил-5-нитроимидазол) и "киселия" метаболит (2-метил-5- нитроимидазол-1 -ил-оцетна киселина).</w:t>
      </w:r>
    </w:p>
    <w:p w14:paraId="5EFE2AD6" w14:textId="50D29541" w:rsidR="00FC29C6" w:rsidRDefault="00FC29C6" w:rsidP="00FC29C6">
      <w:pPr>
        <w:rPr>
          <w:lang w:eastAsia="bg-BG"/>
        </w:rPr>
      </w:pPr>
      <w:r w:rsidRPr="00FC29C6">
        <w:rPr>
          <w:lang w:eastAsia="bg-BG"/>
        </w:rPr>
        <w:t>Времето на полуживот може да се забави при болни със силно засегната чернодробна функция до 30 часа. Свързването с протеините възлиза на под 20%. Обемът на разпределение е около 36 1.</w:t>
      </w:r>
    </w:p>
    <w:p w14:paraId="39B4ADD0" w14:textId="77777777" w:rsidR="00FC29C6" w:rsidRPr="00FC29C6" w:rsidRDefault="00FC29C6" w:rsidP="00FC29C6">
      <w:pPr>
        <w:rPr>
          <w:sz w:val="24"/>
          <w:szCs w:val="24"/>
        </w:rPr>
      </w:pPr>
    </w:p>
    <w:p w14:paraId="57BE367F" w14:textId="77777777" w:rsidR="00FC29C6" w:rsidRPr="00FC29C6" w:rsidRDefault="00FC29C6" w:rsidP="00FC29C6">
      <w:pPr>
        <w:pStyle w:val="Heading3"/>
        <w:rPr>
          <w:rFonts w:eastAsia="Times New Roman"/>
          <w:u w:val="single"/>
        </w:rPr>
      </w:pPr>
      <w:r w:rsidRPr="00FC29C6">
        <w:rPr>
          <w:rFonts w:eastAsia="Times New Roman"/>
          <w:u w:val="single"/>
          <w:lang w:eastAsia="bg-BG"/>
        </w:rPr>
        <w:t>Елиминиране</w:t>
      </w:r>
    </w:p>
    <w:p w14:paraId="5CFC803D" w14:textId="637CDE2D" w:rsidR="00FC29C6" w:rsidRDefault="00FC29C6" w:rsidP="00FC29C6">
      <w:pPr>
        <w:rPr>
          <w:lang w:eastAsia="bg-BG"/>
        </w:rPr>
      </w:pPr>
      <w:r w:rsidRPr="00FC29C6">
        <w:rPr>
          <w:lang w:eastAsia="bg-BG"/>
        </w:rPr>
        <w:t>Около 80% от веществото се отделя през бъбреците, като на неметаболизираната част се падат по-малко от 10%. Малки количества (около 6%) се отделят също през черния дроб. Бъбречната недостатъчност удължава незначително отделянето. При тежка чернодробна недостатъчност е вероятно забавено елиминиране. Съществува пълна кръстосана резистентност между метронидазол и другите нитроимидазолови производни (тинидазол, орнидазол, ниморазол).</w:t>
      </w:r>
    </w:p>
    <w:p w14:paraId="4864477A" w14:textId="77777777" w:rsidR="00FC29C6" w:rsidRPr="00FC29C6" w:rsidRDefault="00FC29C6" w:rsidP="00FC29C6"/>
    <w:p w14:paraId="028E658A" w14:textId="4A16F913" w:rsidR="00395555" w:rsidRDefault="002C50EE" w:rsidP="008A6AF2">
      <w:pPr>
        <w:pStyle w:val="Heading2"/>
      </w:pPr>
      <w:r>
        <w:t>5.3. Предклинични данни за безопасност</w:t>
      </w:r>
    </w:p>
    <w:p w14:paraId="6E5E1B00" w14:textId="2B3ECBAF" w:rsidR="00FC29C6" w:rsidRDefault="00FC29C6" w:rsidP="00FC29C6"/>
    <w:p w14:paraId="4C54CEFF" w14:textId="77777777" w:rsidR="00FC29C6" w:rsidRPr="00FC29C6" w:rsidRDefault="00FC29C6" w:rsidP="00FC29C6">
      <w:pPr>
        <w:rPr>
          <w:sz w:val="24"/>
          <w:szCs w:val="24"/>
        </w:rPr>
      </w:pPr>
      <w:r w:rsidRPr="00FC29C6">
        <w:rPr>
          <w:lang w:eastAsia="bg-BG"/>
        </w:rPr>
        <w:t>Плъхове са развили дистрофия на тестисите и атрофия на простатата след многократно приложение на високи дози метронидазол за период от 26-80 седмици. Токсичните ефекти при кучета след многократно приложение са се проявили под формата на атаксия и тремор.</w:t>
      </w:r>
    </w:p>
    <w:p w14:paraId="6C95E13A" w14:textId="77777777" w:rsidR="00FC29C6" w:rsidRPr="00FC29C6" w:rsidRDefault="00FC29C6" w:rsidP="00FC29C6">
      <w:pPr>
        <w:rPr>
          <w:sz w:val="24"/>
          <w:szCs w:val="24"/>
        </w:rPr>
      </w:pPr>
      <w:r w:rsidRPr="00FC29C6">
        <w:rPr>
          <w:lang w:eastAsia="bg-BG"/>
        </w:rPr>
        <w:t>Маймуни показват зависима от дозата засилена дегенерация на чернодробните клетки след приложение за период от една година.</w:t>
      </w:r>
    </w:p>
    <w:p w14:paraId="3BFBF321" w14:textId="77777777" w:rsidR="00FC29C6" w:rsidRDefault="00FC29C6" w:rsidP="00FC29C6">
      <w:pPr>
        <w:rPr>
          <w:lang w:eastAsia="bg-BG"/>
        </w:rPr>
      </w:pPr>
    </w:p>
    <w:p w14:paraId="4CEE710B" w14:textId="4E5F603D" w:rsidR="00FC29C6" w:rsidRPr="00FC29C6" w:rsidRDefault="00FC29C6" w:rsidP="00FC29C6">
      <w:pPr>
        <w:rPr>
          <w:sz w:val="24"/>
          <w:szCs w:val="24"/>
        </w:rPr>
      </w:pPr>
      <w:r w:rsidRPr="00FC29C6">
        <w:rPr>
          <w:lang w:eastAsia="bg-BG"/>
        </w:rPr>
        <w:t xml:space="preserve">Метронидазол има мутагенен ефект върху бактерии след нитроредукция. Валидни от методологична гледна точка проучвания не показват данни за мутагенен ефект върху клетки на бозайници </w:t>
      </w:r>
      <w:r w:rsidRPr="00FC29C6">
        <w:rPr>
          <w:i/>
          <w:iCs/>
          <w:lang w:eastAsia="bg-BG"/>
        </w:rPr>
        <w:t>ин витро</w:t>
      </w:r>
      <w:r w:rsidRPr="00FC29C6">
        <w:rPr>
          <w:lang w:eastAsia="bg-BG"/>
        </w:rPr>
        <w:t xml:space="preserve"> и </w:t>
      </w:r>
      <w:r w:rsidRPr="00FC29C6">
        <w:rPr>
          <w:i/>
          <w:iCs/>
          <w:lang w:eastAsia="bg-BG"/>
        </w:rPr>
        <w:t>ин виво.</w:t>
      </w:r>
      <w:r w:rsidRPr="00FC29C6">
        <w:rPr>
          <w:lang w:eastAsia="bg-BG"/>
        </w:rPr>
        <w:t xml:space="preserve"> Изпитвания с лимфоцити от пациенти, лекувани с метронидазол, не показват значими данни за увреждащи ДНК ефекти.</w:t>
      </w:r>
    </w:p>
    <w:p w14:paraId="42B5AA9F" w14:textId="77777777" w:rsidR="00FC29C6" w:rsidRDefault="00FC29C6" w:rsidP="00FC29C6">
      <w:pPr>
        <w:rPr>
          <w:lang w:eastAsia="bg-BG"/>
        </w:rPr>
      </w:pPr>
    </w:p>
    <w:p w14:paraId="7273A050" w14:textId="58DA1DCA" w:rsidR="00FC29C6" w:rsidRPr="00FC29C6" w:rsidRDefault="00FC29C6" w:rsidP="00FC29C6">
      <w:pPr>
        <w:rPr>
          <w:sz w:val="24"/>
          <w:szCs w:val="24"/>
        </w:rPr>
      </w:pPr>
      <w:r w:rsidRPr="00FC29C6">
        <w:rPr>
          <w:lang w:eastAsia="bg-BG"/>
        </w:rPr>
        <w:t>Има данни за канцерогенни ефекти на метронидазол при плъхове и мишки. По конкретно заслужава внимание увеличената честота на белодробните тумори при мишки след перорално приложение. Изглежда, че с генотоксичен механизъм на действие липсва връзка, тъй като след приложение на високи дози метронидазол на трансгенни мишки не се наблюдава увеличаване на честотата на мутациите в различни органи, включително белите дробове. Проучвания при животни не установяват каквито и да било тератогенни ефекти или други ембриотоксични ефекти при плъхове и зайци.</w:t>
      </w:r>
    </w:p>
    <w:p w14:paraId="2318B5A5" w14:textId="77777777" w:rsidR="00FC29C6" w:rsidRPr="00FC29C6" w:rsidRDefault="00FC29C6" w:rsidP="00FC29C6"/>
    <w:p w14:paraId="6A7820AB" w14:textId="4BAB1334" w:rsidR="008A6AF2" w:rsidRDefault="002C50EE" w:rsidP="00395555">
      <w:pPr>
        <w:pStyle w:val="Heading1"/>
      </w:pPr>
      <w:r>
        <w:t>7. ПРИТЕЖАТЕЛ НА РАЗРЕШЕНИЕТО ЗА УПОТРЕБА</w:t>
      </w:r>
    </w:p>
    <w:p w14:paraId="7D0C800A" w14:textId="6398EAC7" w:rsidR="00FC29C6" w:rsidRDefault="00FC29C6" w:rsidP="00FC29C6"/>
    <w:p w14:paraId="716C5DC5" w14:textId="77777777" w:rsidR="00FC29C6" w:rsidRPr="00FC29C6" w:rsidRDefault="00FC29C6" w:rsidP="00FC29C6">
      <w:pPr>
        <w:rPr>
          <w:sz w:val="24"/>
          <w:szCs w:val="24"/>
          <w:lang w:val="en-US"/>
        </w:rPr>
      </w:pPr>
      <w:r w:rsidRPr="00FC29C6">
        <w:rPr>
          <w:lang w:val="en-US"/>
        </w:rPr>
        <w:t xml:space="preserve">Dr. August Wolff </w:t>
      </w:r>
      <w:proofErr w:type="spellStart"/>
      <w:r w:rsidRPr="00FC29C6">
        <w:rPr>
          <w:lang w:val="en-US"/>
        </w:rPr>
        <w:t>GmbH&amp;Co</w:t>
      </w:r>
      <w:proofErr w:type="spellEnd"/>
      <w:r w:rsidRPr="00FC29C6">
        <w:rPr>
          <w:lang w:val="en-US"/>
        </w:rPr>
        <w:t xml:space="preserve">. KG </w:t>
      </w:r>
      <w:proofErr w:type="spellStart"/>
      <w:r w:rsidRPr="00FC29C6">
        <w:rPr>
          <w:lang w:val="en-US"/>
        </w:rPr>
        <w:t>Arzneimittel</w:t>
      </w:r>
      <w:proofErr w:type="spellEnd"/>
    </w:p>
    <w:p w14:paraId="655652F6" w14:textId="77777777" w:rsidR="00FC29C6" w:rsidRPr="00FC29C6" w:rsidRDefault="00FC29C6" w:rsidP="00FC29C6">
      <w:pPr>
        <w:rPr>
          <w:sz w:val="24"/>
          <w:szCs w:val="24"/>
          <w:lang w:val="en-US"/>
        </w:rPr>
      </w:pPr>
      <w:proofErr w:type="spellStart"/>
      <w:r w:rsidRPr="00FC29C6">
        <w:rPr>
          <w:lang w:val="en-US"/>
        </w:rPr>
        <w:t>Sudbrackstrasse</w:t>
      </w:r>
      <w:proofErr w:type="spellEnd"/>
      <w:r w:rsidRPr="00FC29C6">
        <w:rPr>
          <w:lang w:val="en-US"/>
        </w:rPr>
        <w:t xml:space="preserve"> 56</w:t>
      </w:r>
    </w:p>
    <w:p w14:paraId="3BB9A612" w14:textId="77777777" w:rsidR="00FC29C6" w:rsidRPr="00FC29C6" w:rsidRDefault="00FC29C6" w:rsidP="00FC29C6">
      <w:pPr>
        <w:rPr>
          <w:sz w:val="24"/>
          <w:szCs w:val="24"/>
          <w:lang w:val="en-US"/>
        </w:rPr>
      </w:pPr>
      <w:proofErr w:type="gramStart"/>
      <w:r w:rsidRPr="00FC29C6">
        <w:rPr>
          <w:lang w:val="en-US"/>
        </w:rPr>
        <w:t>33611</w:t>
      </w:r>
      <w:proofErr w:type="gramEnd"/>
      <w:r w:rsidRPr="00FC29C6">
        <w:rPr>
          <w:lang w:val="en-US"/>
        </w:rPr>
        <w:t xml:space="preserve"> Bielefeld, </w:t>
      </w:r>
      <w:r w:rsidRPr="00FC29C6">
        <w:rPr>
          <w:lang w:eastAsia="bg-BG"/>
        </w:rPr>
        <w:t>Германия</w:t>
      </w:r>
    </w:p>
    <w:p w14:paraId="5C24E04C" w14:textId="77777777" w:rsidR="00FC29C6" w:rsidRPr="00FC29C6" w:rsidRDefault="00FC29C6" w:rsidP="00FC29C6">
      <w:pPr>
        <w:rPr>
          <w:sz w:val="24"/>
          <w:szCs w:val="24"/>
          <w:lang w:val="en-US"/>
        </w:rPr>
      </w:pPr>
      <w:r w:rsidRPr="00FC29C6">
        <w:rPr>
          <w:lang w:eastAsia="bg-BG"/>
        </w:rPr>
        <w:lastRenderedPageBreak/>
        <w:t>Тел.:</w:t>
      </w:r>
      <w:r w:rsidRPr="00FC29C6">
        <w:rPr>
          <w:lang w:val="en-US"/>
        </w:rPr>
        <w:t>+49(0)5218808-05</w:t>
      </w:r>
    </w:p>
    <w:p w14:paraId="0DBDA2B2" w14:textId="77777777" w:rsidR="00FC29C6" w:rsidRPr="00FC29C6" w:rsidRDefault="00FC29C6" w:rsidP="00FC29C6">
      <w:pPr>
        <w:rPr>
          <w:sz w:val="24"/>
          <w:szCs w:val="24"/>
          <w:lang w:val="en-US"/>
        </w:rPr>
      </w:pPr>
      <w:r w:rsidRPr="00FC29C6">
        <w:rPr>
          <w:lang w:eastAsia="bg-BG"/>
        </w:rPr>
        <w:t>Факс: +</w:t>
      </w:r>
      <w:r w:rsidRPr="00FC29C6">
        <w:rPr>
          <w:lang w:val="en-US"/>
        </w:rPr>
        <w:t>49(0)5218808-334</w:t>
      </w:r>
    </w:p>
    <w:p w14:paraId="7C73CAE7" w14:textId="3F174D66" w:rsidR="00FC29C6" w:rsidRPr="00FC29C6" w:rsidRDefault="00FC29C6" w:rsidP="00FC29C6">
      <w:r w:rsidRPr="00FC29C6">
        <w:rPr>
          <w:lang w:eastAsia="bg-BG"/>
        </w:rPr>
        <w:t xml:space="preserve">Ел. поща: </w:t>
      </w:r>
      <w:r w:rsidRPr="00FC29C6">
        <w:rPr>
          <w:sz w:val="24"/>
          <w:szCs w:val="24"/>
          <w:lang w:val="en-US"/>
        </w:rPr>
        <w:fldChar w:fldCharType="begin"/>
      </w:r>
      <w:r w:rsidRPr="00FC29C6">
        <w:rPr>
          <w:sz w:val="24"/>
          <w:szCs w:val="24"/>
          <w:lang w:val="ru-RU"/>
        </w:rPr>
        <w:instrText xml:space="preserve"> </w:instrText>
      </w:r>
      <w:r w:rsidRPr="00FC29C6">
        <w:rPr>
          <w:sz w:val="24"/>
          <w:szCs w:val="24"/>
          <w:lang w:val="en-US"/>
        </w:rPr>
        <w:instrText>HYPERLINK</w:instrText>
      </w:r>
      <w:r w:rsidRPr="00FC29C6">
        <w:rPr>
          <w:sz w:val="24"/>
          <w:szCs w:val="24"/>
          <w:lang w:val="ru-RU"/>
        </w:rPr>
        <w:instrText xml:space="preserve"> "</w:instrText>
      </w:r>
      <w:r w:rsidRPr="00FC29C6">
        <w:rPr>
          <w:sz w:val="24"/>
          <w:szCs w:val="24"/>
          <w:lang w:val="en-US"/>
        </w:rPr>
        <w:instrText>mailto</w:instrText>
      </w:r>
      <w:r w:rsidRPr="00FC29C6">
        <w:rPr>
          <w:sz w:val="24"/>
          <w:szCs w:val="24"/>
          <w:lang w:val="ru-RU"/>
        </w:rPr>
        <w:instrText>:</w:instrText>
      </w:r>
      <w:r w:rsidRPr="00FC29C6">
        <w:rPr>
          <w:sz w:val="24"/>
          <w:szCs w:val="24"/>
          <w:lang w:val="en-US"/>
        </w:rPr>
        <w:instrText>aw</w:instrText>
      </w:r>
      <w:r w:rsidRPr="00FC29C6">
        <w:rPr>
          <w:sz w:val="24"/>
          <w:szCs w:val="24"/>
          <w:lang w:val="ru-RU"/>
        </w:rPr>
        <w:instrText>-</w:instrText>
      </w:r>
      <w:r w:rsidRPr="00FC29C6">
        <w:rPr>
          <w:sz w:val="24"/>
          <w:szCs w:val="24"/>
          <w:lang w:val="en-US"/>
        </w:rPr>
        <w:instrText>info</w:instrText>
      </w:r>
      <w:r w:rsidRPr="00FC29C6">
        <w:rPr>
          <w:sz w:val="24"/>
          <w:szCs w:val="24"/>
          <w:lang w:val="ru-RU"/>
        </w:rPr>
        <w:instrText>@</w:instrText>
      </w:r>
      <w:r w:rsidRPr="00FC29C6">
        <w:rPr>
          <w:sz w:val="24"/>
          <w:szCs w:val="24"/>
          <w:lang w:val="en-US"/>
        </w:rPr>
        <w:instrText>drwolffgroup</w:instrText>
      </w:r>
      <w:r w:rsidRPr="00FC29C6">
        <w:rPr>
          <w:sz w:val="24"/>
          <w:szCs w:val="24"/>
          <w:lang w:val="ru-RU"/>
        </w:rPr>
        <w:instrText>.</w:instrText>
      </w:r>
      <w:r w:rsidRPr="00FC29C6">
        <w:rPr>
          <w:sz w:val="24"/>
          <w:szCs w:val="24"/>
          <w:lang w:val="en-US"/>
        </w:rPr>
        <w:instrText>com</w:instrText>
      </w:r>
      <w:r w:rsidRPr="00FC29C6">
        <w:rPr>
          <w:sz w:val="24"/>
          <w:szCs w:val="24"/>
          <w:lang w:val="ru-RU"/>
        </w:rPr>
        <w:instrText xml:space="preserve">" </w:instrText>
      </w:r>
      <w:r w:rsidRPr="00FC29C6">
        <w:rPr>
          <w:sz w:val="24"/>
          <w:szCs w:val="24"/>
          <w:lang w:val="en-US"/>
        </w:rPr>
      </w:r>
      <w:r w:rsidRPr="00FC29C6">
        <w:rPr>
          <w:sz w:val="24"/>
          <w:szCs w:val="24"/>
          <w:lang w:val="en-US"/>
        </w:rPr>
        <w:fldChar w:fldCharType="separate"/>
      </w:r>
      <w:r w:rsidRPr="00FC29C6">
        <w:rPr>
          <w:lang w:val="en-US"/>
        </w:rPr>
        <w:t>aw</w:t>
      </w:r>
      <w:r w:rsidRPr="00FC29C6">
        <w:rPr>
          <w:lang w:val="ru-RU"/>
        </w:rPr>
        <w:t>-</w:t>
      </w:r>
      <w:r w:rsidRPr="00FC29C6">
        <w:rPr>
          <w:lang w:val="en-US"/>
        </w:rPr>
        <w:t>info</w:t>
      </w:r>
      <w:r w:rsidRPr="00FC29C6">
        <w:rPr>
          <w:lang w:val="ru-RU"/>
        </w:rPr>
        <w:t>@</w:t>
      </w:r>
      <w:proofErr w:type="spellStart"/>
      <w:r w:rsidRPr="00FC29C6">
        <w:rPr>
          <w:lang w:val="en-US"/>
        </w:rPr>
        <w:t>drwolffgroup</w:t>
      </w:r>
      <w:proofErr w:type="spellEnd"/>
      <w:r w:rsidRPr="00FC29C6">
        <w:rPr>
          <w:lang w:val="ru-RU"/>
        </w:rPr>
        <w:t>.</w:t>
      </w:r>
      <w:r w:rsidRPr="00FC29C6">
        <w:rPr>
          <w:lang w:val="en-US"/>
        </w:rPr>
        <w:t>com</w:t>
      </w:r>
      <w:r w:rsidRPr="00FC29C6">
        <w:rPr>
          <w:sz w:val="24"/>
          <w:szCs w:val="24"/>
          <w:lang w:val="en-US"/>
        </w:rPr>
        <w:fldChar w:fldCharType="end"/>
      </w:r>
    </w:p>
    <w:p w14:paraId="04840D59" w14:textId="7C010783" w:rsidR="002C50EE" w:rsidRDefault="002C50EE" w:rsidP="00395555">
      <w:pPr>
        <w:pStyle w:val="Heading1"/>
      </w:pPr>
      <w:r>
        <w:t>8. НОМЕР НА РАЗРЕШЕНИЕТО ЗА УПОТРЕБА</w:t>
      </w:r>
    </w:p>
    <w:p w14:paraId="3B8B4DFB" w14:textId="77777777" w:rsidR="00FC29C6" w:rsidRDefault="00FC29C6" w:rsidP="00FC29C6">
      <w:pPr>
        <w:rPr>
          <w:lang w:val="en-US"/>
        </w:rPr>
      </w:pPr>
    </w:p>
    <w:p w14:paraId="4E8A150A" w14:textId="02EC3A75" w:rsidR="00FC29C6" w:rsidRPr="00FC29C6" w:rsidRDefault="00FC29C6" w:rsidP="00FC29C6">
      <w:r>
        <w:rPr>
          <w:lang w:val="en-US"/>
        </w:rPr>
        <w:t>Per</w:t>
      </w:r>
      <w:r w:rsidRPr="00FC29C6">
        <w:rPr>
          <w:lang w:val="ru-RU"/>
        </w:rPr>
        <w:t xml:space="preserve">. </w:t>
      </w:r>
      <w:r>
        <w:t>№9900154</w:t>
      </w:r>
    </w:p>
    <w:p w14:paraId="2CCB5832" w14:textId="1584218B" w:rsidR="007C605B" w:rsidRDefault="002C50EE" w:rsidP="007C605B">
      <w:pPr>
        <w:pStyle w:val="Heading1"/>
      </w:pPr>
      <w:r>
        <w:t>9. ДАТА НА ПЪРВО РАЗРЕШАВАНЕ/ПОДНОВЯВАНЕ НА РАЗРЕШЕНИЕТО ЗА УПОТРЕБА</w:t>
      </w:r>
    </w:p>
    <w:p w14:paraId="09079503" w14:textId="6A3B67DB" w:rsidR="00FC29C6" w:rsidRDefault="00FC29C6" w:rsidP="00FC29C6"/>
    <w:p w14:paraId="46D09082" w14:textId="77777777" w:rsidR="00FC29C6" w:rsidRPr="00FC29C6" w:rsidRDefault="00FC29C6" w:rsidP="00FC29C6">
      <w:pPr>
        <w:rPr>
          <w:sz w:val="24"/>
          <w:szCs w:val="24"/>
        </w:rPr>
      </w:pPr>
      <w:r w:rsidRPr="00FC29C6">
        <w:rPr>
          <w:lang w:eastAsia="bg-BG"/>
        </w:rPr>
        <w:t>Дата на първо разрешаване: 17.05.1999</w:t>
      </w:r>
    </w:p>
    <w:p w14:paraId="040C2CF4" w14:textId="4A44B3FA" w:rsidR="00FC29C6" w:rsidRPr="00FC29C6" w:rsidRDefault="00FC29C6" w:rsidP="00FC29C6">
      <w:r w:rsidRPr="00FC29C6">
        <w:rPr>
          <w:lang w:eastAsia="bg-BG"/>
        </w:rPr>
        <w:t>Дата на последно подновяване: 18.08.2011</w:t>
      </w:r>
    </w:p>
    <w:p w14:paraId="0E9D0119" w14:textId="0245C6D7" w:rsidR="002C50EE" w:rsidRDefault="002C50EE" w:rsidP="002C50EE">
      <w:pPr>
        <w:pStyle w:val="Heading1"/>
      </w:pPr>
      <w:r>
        <w:t>10. ДАТА НА АКТУАЛИЗИРАНЕ НА ТЕКСТА</w:t>
      </w:r>
    </w:p>
    <w:bookmarkEnd w:id="0"/>
    <w:p w14:paraId="43FB38A2" w14:textId="0050E27F" w:rsidR="007C605B" w:rsidRPr="003E3126" w:rsidRDefault="00FC29C6" w:rsidP="00FC29C6">
      <w:r>
        <w:t>08/2019</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295130B"/>
    <w:multiLevelType w:val="hybridMultilevel"/>
    <w:tmpl w:val="7E74B4E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34F0"/>
    <w:multiLevelType w:val="hybridMultilevel"/>
    <w:tmpl w:val="21AC236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5C49"/>
    <w:multiLevelType w:val="hybridMultilevel"/>
    <w:tmpl w:val="4AB67C7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1660B"/>
    <w:multiLevelType w:val="hybridMultilevel"/>
    <w:tmpl w:val="D8DE42AC"/>
    <w:lvl w:ilvl="0" w:tplc="453432F8">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2169D"/>
    <w:multiLevelType w:val="hybridMultilevel"/>
    <w:tmpl w:val="723E0DFE"/>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2"/>
  </w:num>
  <w:num w:numId="12">
    <w:abstractNumId w:val="17"/>
  </w:num>
  <w:num w:numId="13">
    <w:abstractNumId w:val="22"/>
  </w:num>
  <w:num w:numId="14">
    <w:abstractNumId w:val="14"/>
  </w:num>
  <w:num w:numId="15">
    <w:abstractNumId w:val="31"/>
  </w:num>
  <w:num w:numId="16">
    <w:abstractNumId w:val="12"/>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1"/>
  </w:num>
  <w:num w:numId="25">
    <w:abstractNumId w:val="25"/>
  </w:num>
  <w:num w:numId="26">
    <w:abstractNumId w:val="24"/>
  </w:num>
  <w:num w:numId="27">
    <w:abstractNumId w:val="34"/>
  </w:num>
  <w:num w:numId="28">
    <w:abstractNumId w:val="6"/>
  </w:num>
  <w:num w:numId="29">
    <w:abstractNumId w:val="23"/>
  </w:num>
  <w:num w:numId="30">
    <w:abstractNumId w:val="35"/>
  </w:num>
  <w:num w:numId="31">
    <w:abstractNumId w:val="5"/>
  </w:num>
  <w:num w:numId="32">
    <w:abstractNumId w:val="7"/>
  </w:num>
  <w:num w:numId="33">
    <w:abstractNumId w:val="8"/>
  </w:num>
  <w:num w:numId="34">
    <w:abstractNumId w:val="33"/>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66A86"/>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C29C6"/>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17683</Characters>
  <Application>Microsoft Office Word</Application>
  <DocSecurity>0</DocSecurity>
  <Lines>147</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2021-12-03T00:08:00Z</dcterms:created>
  <dcterms:modified xsi:type="dcterms:W3CDTF">2021-12-03T00:08:00Z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