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31252175" w:rsidR="007122AD" w:rsidRDefault="00DD466D" w:rsidP="00936AD0">
      <w:pPr>
        <w:pStyle w:val="Heading1"/>
      </w:pPr>
      <w:r>
        <w:t>1.ИМЕ НА ЛЕКАРСТВЕНИЯ ПРОДУКТ</w:t>
      </w:r>
    </w:p>
    <w:p w14:paraId="78814963" w14:textId="12E9560A" w:rsidR="00DA5DA6" w:rsidRDefault="00DA5DA6" w:rsidP="00DA5DA6"/>
    <w:p w14:paraId="633F679C" w14:textId="77777777" w:rsidR="00DA5DA6" w:rsidRPr="00DA5DA6" w:rsidRDefault="00DA5DA6" w:rsidP="00DA5DA6">
      <w:pPr>
        <w:rPr>
          <w:sz w:val="24"/>
          <w:szCs w:val="24"/>
        </w:rPr>
      </w:pPr>
      <w:r w:rsidRPr="00DA5DA6">
        <w:rPr>
          <w:lang w:eastAsia="bg-BG"/>
        </w:rPr>
        <w:t xml:space="preserve">Аримидекс 1 </w:t>
      </w:r>
      <w:r w:rsidRPr="00DA5DA6">
        <w:rPr>
          <w:lang w:val="en-US"/>
        </w:rPr>
        <w:t>mg</w:t>
      </w:r>
      <w:r w:rsidRPr="00DA5DA6">
        <w:t xml:space="preserve"> </w:t>
      </w:r>
      <w:r w:rsidRPr="00DA5DA6">
        <w:rPr>
          <w:lang w:eastAsia="bg-BG"/>
        </w:rPr>
        <w:t>филмирани таблетки</w:t>
      </w:r>
    </w:p>
    <w:p w14:paraId="1C966B44" w14:textId="1276BCD1" w:rsidR="00DA5DA6" w:rsidRPr="00DA5DA6" w:rsidRDefault="00DA5DA6" w:rsidP="00DA5DA6">
      <w:proofErr w:type="spellStart"/>
      <w:r w:rsidRPr="00DA5DA6">
        <w:rPr>
          <w:lang w:val="en-US"/>
        </w:rPr>
        <w:t>Arimidex</w:t>
      </w:r>
      <w:proofErr w:type="spellEnd"/>
      <w:r w:rsidRPr="00DA5DA6">
        <w:t xml:space="preserve"> </w:t>
      </w:r>
      <w:r w:rsidRPr="00DA5DA6">
        <w:rPr>
          <w:lang w:eastAsia="bg-BG"/>
        </w:rPr>
        <w:t xml:space="preserve">1 </w:t>
      </w:r>
      <w:r w:rsidRPr="00DA5DA6">
        <w:rPr>
          <w:lang w:val="en-US"/>
        </w:rPr>
        <w:t>mg</w:t>
      </w:r>
      <w:r w:rsidRPr="00DA5DA6">
        <w:t xml:space="preserve"> </w:t>
      </w:r>
      <w:r w:rsidRPr="00DA5DA6">
        <w:rPr>
          <w:lang w:val="en-US"/>
        </w:rPr>
        <w:t>film</w:t>
      </w:r>
      <w:r w:rsidRPr="00DA5DA6">
        <w:t>-</w:t>
      </w:r>
      <w:r w:rsidRPr="00DA5DA6">
        <w:rPr>
          <w:lang w:val="en-US"/>
        </w:rPr>
        <w:t>coated</w:t>
      </w:r>
      <w:r w:rsidRPr="00DA5DA6">
        <w:t xml:space="preserve"> </w:t>
      </w:r>
      <w:r w:rsidRPr="00DA5DA6">
        <w:rPr>
          <w:lang w:val="en-US"/>
        </w:rPr>
        <w:t>tablets</w:t>
      </w:r>
    </w:p>
    <w:p w14:paraId="6920A680" w14:textId="70365C0A" w:rsidR="00C40420" w:rsidRDefault="00DD466D" w:rsidP="004A448E">
      <w:pPr>
        <w:pStyle w:val="Heading1"/>
      </w:pPr>
      <w:r>
        <w:t>2. КАЧЕСТВЕН И КОЛИЧЕСТВЕН СЪСТАВ</w:t>
      </w:r>
    </w:p>
    <w:p w14:paraId="7075DBB9" w14:textId="747B3E37" w:rsidR="00DA5DA6" w:rsidRDefault="00DA5DA6" w:rsidP="00DA5DA6"/>
    <w:p w14:paraId="40B62A6D" w14:textId="77777777" w:rsidR="00DA5DA6" w:rsidRPr="00DA5DA6" w:rsidRDefault="00DA5DA6" w:rsidP="00DA5DA6">
      <w:pPr>
        <w:rPr>
          <w:sz w:val="24"/>
          <w:szCs w:val="24"/>
        </w:rPr>
      </w:pPr>
      <w:r w:rsidRPr="00DA5DA6">
        <w:rPr>
          <w:lang w:eastAsia="bg-BG"/>
        </w:rPr>
        <w:t xml:space="preserve">Всяка филмирана таблетка съдържа 1 </w:t>
      </w:r>
      <w:r w:rsidRPr="00DA5DA6">
        <w:rPr>
          <w:lang w:val="en-US"/>
        </w:rPr>
        <w:t>mg</w:t>
      </w:r>
      <w:r w:rsidRPr="00DA5DA6">
        <w:t xml:space="preserve"> </w:t>
      </w:r>
      <w:r w:rsidRPr="00DA5DA6">
        <w:rPr>
          <w:lang w:eastAsia="bg-BG"/>
        </w:rPr>
        <w:t xml:space="preserve">анастрозол </w:t>
      </w:r>
      <w:r w:rsidRPr="00DA5DA6">
        <w:t>(</w:t>
      </w:r>
      <w:proofErr w:type="spellStart"/>
      <w:r w:rsidRPr="00DA5DA6">
        <w:rPr>
          <w:lang w:val="en-US"/>
        </w:rPr>
        <w:t>anastrozole</w:t>
      </w:r>
      <w:proofErr w:type="spellEnd"/>
      <w:r w:rsidRPr="00DA5DA6">
        <w:t>).</w:t>
      </w:r>
    </w:p>
    <w:p w14:paraId="10B1A14C" w14:textId="77777777" w:rsidR="00DA5DA6" w:rsidRDefault="00DA5DA6" w:rsidP="00DA5DA6">
      <w:pPr>
        <w:rPr>
          <w:u w:val="single"/>
          <w:lang w:eastAsia="bg-BG"/>
        </w:rPr>
      </w:pPr>
    </w:p>
    <w:p w14:paraId="278680CC" w14:textId="318D3186" w:rsidR="00DA5DA6" w:rsidRPr="00DA5DA6" w:rsidRDefault="00DA5DA6" w:rsidP="00DA5DA6">
      <w:pPr>
        <w:rPr>
          <w:sz w:val="24"/>
          <w:szCs w:val="24"/>
        </w:rPr>
      </w:pPr>
      <w:r w:rsidRPr="00DA5DA6">
        <w:rPr>
          <w:u w:val="single"/>
          <w:lang w:eastAsia="bg-BG"/>
        </w:rPr>
        <w:t>Помощни вещества с известно действие</w:t>
      </w:r>
    </w:p>
    <w:p w14:paraId="07D92C82" w14:textId="77777777" w:rsidR="00DA5DA6" w:rsidRDefault="00DA5DA6" w:rsidP="00DA5DA6">
      <w:pPr>
        <w:rPr>
          <w:lang w:eastAsia="bg-BG"/>
        </w:rPr>
      </w:pPr>
    </w:p>
    <w:p w14:paraId="370EC77B" w14:textId="41161966" w:rsidR="00DA5DA6" w:rsidRPr="00DA5DA6" w:rsidRDefault="00DA5DA6" w:rsidP="00DA5DA6">
      <w:r w:rsidRPr="00DA5DA6">
        <w:rPr>
          <w:lang w:eastAsia="bg-BG"/>
        </w:rPr>
        <w:t xml:space="preserve">Всяка филмирана таблетка съдържа 93 </w:t>
      </w:r>
      <w:r w:rsidRPr="00DA5DA6">
        <w:rPr>
          <w:lang w:val="en-US"/>
        </w:rPr>
        <w:t>mg</w:t>
      </w:r>
      <w:r w:rsidRPr="00DA5DA6">
        <w:rPr>
          <w:lang w:val="ru-RU"/>
        </w:rPr>
        <w:t xml:space="preserve"> </w:t>
      </w:r>
      <w:r w:rsidRPr="00DA5DA6">
        <w:rPr>
          <w:lang w:eastAsia="bg-BG"/>
        </w:rPr>
        <w:t>лактоза монохидрат (вж. точка 4.4).</w:t>
      </w:r>
    </w:p>
    <w:p w14:paraId="614984C4" w14:textId="09859C42" w:rsidR="008A6AF2" w:rsidRDefault="00DD466D" w:rsidP="002C50EE">
      <w:pPr>
        <w:pStyle w:val="Heading1"/>
      </w:pPr>
      <w:r>
        <w:t>3. ЛЕКАРСТВЕНА ФОРМА</w:t>
      </w:r>
    </w:p>
    <w:p w14:paraId="65C83391" w14:textId="4C6F263B" w:rsidR="00DA5DA6" w:rsidRDefault="00DA5DA6" w:rsidP="00DA5DA6"/>
    <w:p w14:paraId="4FE3F373" w14:textId="77777777" w:rsidR="00DA5DA6" w:rsidRPr="00DA5DA6" w:rsidRDefault="00DA5DA6" w:rsidP="00DA5DA6">
      <w:pPr>
        <w:rPr>
          <w:sz w:val="24"/>
          <w:szCs w:val="24"/>
        </w:rPr>
      </w:pPr>
      <w:r w:rsidRPr="00DA5DA6">
        <w:rPr>
          <w:lang w:eastAsia="bg-BG"/>
        </w:rPr>
        <w:t xml:space="preserve">Филмирана таблетка. Бяла, кръгла, двойноизпъкнала филмирана таблетка около 6,1 </w:t>
      </w:r>
      <w:r w:rsidRPr="00DA5DA6">
        <w:rPr>
          <w:lang w:val="en-US"/>
        </w:rPr>
        <w:t>mm</w:t>
      </w:r>
      <w:r w:rsidRPr="00DA5DA6">
        <w:rPr>
          <w:lang w:val="ru-RU"/>
        </w:rPr>
        <w:t xml:space="preserve">, </w:t>
      </w:r>
      <w:r w:rsidRPr="00DA5DA6">
        <w:rPr>
          <w:lang w:eastAsia="bg-BG"/>
        </w:rPr>
        <w:t xml:space="preserve">маркирана с „А” от едната страна и </w:t>
      </w:r>
      <w:r w:rsidRPr="00DA5DA6">
        <w:rPr>
          <w:lang w:val="ru-RU"/>
        </w:rPr>
        <w:t>„</w:t>
      </w:r>
      <w:proofErr w:type="spellStart"/>
      <w:r w:rsidRPr="00DA5DA6">
        <w:rPr>
          <w:lang w:val="en-US"/>
        </w:rPr>
        <w:t>Adxl</w:t>
      </w:r>
      <w:proofErr w:type="spellEnd"/>
      <w:r w:rsidRPr="00DA5DA6">
        <w:rPr>
          <w:lang w:val="ru-RU"/>
        </w:rPr>
        <w:t xml:space="preserve">” </w:t>
      </w:r>
      <w:r w:rsidRPr="00DA5DA6">
        <w:rPr>
          <w:lang w:eastAsia="bg-BG"/>
        </w:rPr>
        <w:t>от другата страна.</w:t>
      </w:r>
    </w:p>
    <w:p w14:paraId="5F1A7621" w14:textId="77777777" w:rsidR="00DA5DA6" w:rsidRPr="00DA5DA6" w:rsidRDefault="00DA5DA6" w:rsidP="00DA5DA6"/>
    <w:p w14:paraId="490FC2C4" w14:textId="0F4A4A75" w:rsidR="002C50EE" w:rsidRDefault="002C50EE" w:rsidP="002C50EE">
      <w:pPr>
        <w:pStyle w:val="Heading1"/>
      </w:pPr>
      <w:r>
        <w:t>4. КЛИНИЧНИ ДАННИ</w:t>
      </w:r>
    </w:p>
    <w:p w14:paraId="74330405" w14:textId="76FF5B7D" w:rsidR="007122AD" w:rsidRDefault="002C50EE" w:rsidP="00936AD0">
      <w:pPr>
        <w:pStyle w:val="Heading2"/>
      </w:pPr>
      <w:r>
        <w:t>4.1. Терапевтични показания</w:t>
      </w:r>
    </w:p>
    <w:p w14:paraId="3D65CD03" w14:textId="0576B6A6" w:rsidR="00DA5DA6" w:rsidRDefault="00DA5DA6" w:rsidP="00DA5DA6"/>
    <w:p w14:paraId="0620FA73" w14:textId="77777777" w:rsidR="00DA5DA6" w:rsidRPr="00DA5DA6" w:rsidRDefault="00DA5DA6" w:rsidP="00DA5DA6">
      <w:pPr>
        <w:spacing w:line="240" w:lineRule="auto"/>
        <w:rPr>
          <w:rFonts w:ascii="Times New Roman" w:eastAsia="Times New Roman" w:hAnsi="Times New Roman" w:cs="Times New Roman"/>
          <w:sz w:val="24"/>
          <w:szCs w:val="24"/>
        </w:rPr>
      </w:pPr>
      <w:r w:rsidRPr="00DA5DA6">
        <w:rPr>
          <w:rFonts w:ascii="Times New Roman" w:eastAsia="Times New Roman" w:hAnsi="Times New Roman" w:cs="Times New Roman"/>
          <w:color w:val="000000"/>
          <w:sz w:val="20"/>
          <w:szCs w:val="20"/>
          <w:lang w:eastAsia="bg-BG"/>
        </w:rPr>
        <w:t>Аримидекс е показан за:</w:t>
      </w:r>
    </w:p>
    <w:p w14:paraId="5905DB10" w14:textId="77777777" w:rsidR="00DA5DA6" w:rsidRDefault="00DA5DA6" w:rsidP="00DA5DA6">
      <w:pPr>
        <w:pStyle w:val="ListParagraph"/>
        <w:numPr>
          <w:ilvl w:val="0"/>
          <w:numId w:val="37"/>
        </w:numPr>
        <w:spacing w:line="240" w:lineRule="auto"/>
        <w:rPr>
          <w:rFonts w:ascii="Times New Roman" w:eastAsia="Times New Roman" w:hAnsi="Times New Roman" w:cs="Times New Roman"/>
          <w:color w:val="000000"/>
          <w:sz w:val="20"/>
          <w:szCs w:val="20"/>
          <w:lang w:eastAsia="bg-BG"/>
        </w:rPr>
      </w:pPr>
      <w:r w:rsidRPr="00DA5DA6">
        <w:rPr>
          <w:rFonts w:ascii="Times New Roman" w:eastAsia="Times New Roman" w:hAnsi="Times New Roman" w:cs="Times New Roman"/>
          <w:color w:val="000000"/>
          <w:sz w:val="20"/>
          <w:szCs w:val="20"/>
          <w:lang w:eastAsia="bg-BG"/>
        </w:rPr>
        <w:t>Лечение на положителен за хормонални рецептори авансирал рак на гърдата при</w:t>
      </w:r>
      <w:r w:rsidRPr="00DA5DA6">
        <w:rPr>
          <w:rFonts w:ascii="Times New Roman" w:eastAsia="Times New Roman" w:hAnsi="Times New Roman" w:cs="Times New Roman"/>
          <w:color w:val="000000"/>
          <w:sz w:val="20"/>
          <w:szCs w:val="20"/>
          <w:lang w:val="ru-RU" w:eastAsia="bg-BG"/>
        </w:rPr>
        <w:t xml:space="preserve"> </w:t>
      </w:r>
      <w:r w:rsidRPr="00DA5DA6">
        <w:rPr>
          <w:rFonts w:ascii="Times New Roman" w:eastAsia="Times New Roman" w:hAnsi="Times New Roman" w:cs="Times New Roman"/>
          <w:color w:val="000000"/>
          <w:sz w:val="20"/>
          <w:szCs w:val="20"/>
          <w:lang w:eastAsia="bg-BG"/>
        </w:rPr>
        <w:t>постменопаузални жени.</w:t>
      </w:r>
    </w:p>
    <w:p w14:paraId="7168B321" w14:textId="77777777" w:rsidR="00DA5DA6" w:rsidRDefault="00DA5DA6" w:rsidP="00DA5DA6">
      <w:pPr>
        <w:pStyle w:val="ListParagraph"/>
        <w:numPr>
          <w:ilvl w:val="0"/>
          <w:numId w:val="37"/>
        </w:numPr>
        <w:spacing w:line="240" w:lineRule="auto"/>
        <w:rPr>
          <w:rFonts w:ascii="Times New Roman" w:eastAsia="Times New Roman" w:hAnsi="Times New Roman" w:cs="Times New Roman"/>
          <w:color w:val="000000"/>
          <w:sz w:val="20"/>
          <w:szCs w:val="20"/>
          <w:lang w:eastAsia="bg-BG"/>
        </w:rPr>
      </w:pPr>
      <w:r w:rsidRPr="00DA5DA6">
        <w:rPr>
          <w:rFonts w:ascii="Times New Roman" w:eastAsia="Times New Roman" w:hAnsi="Times New Roman" w:cs="Times New Roman"/>
          <w:color w:val="000000"/>
          <w:sz w:val="20"/>
          <w:szCs w:val="20"/>
          <w:lang w:eastAsia="bg-BG"/>
        </w:rPr>
        <w:t>Адювантно лечение на положителен за хормонални рецептори ранен инвазивен рак на гърдата при постменопаузални жени.</w:t>
      </w:r>
    </w:p>
    <w:p w14:paraId="4C981F1A" w14:textId="37F92631" w:rsidR="00DA5DA6" w:rsidRPr="00DA5DA6" w:rsidRDefault="00DA5DA6" w:rsidP="00DA5DA6">
      <w:pPr>
        <w:pStyle w:val="ListParagraph"/>
        <w:numPr>
          <w:ilvl w:val="0"/>
          <w:numId w:val="37"/>
        </w:numPr>
        <w:spacing w:line="240" w:lineRule="auto"/>
        <w:rPr>
          <w:rFonts w:ascii="Times New Roman" w:eastAsia="Times New Roman" w:hAnsi="Times New Roman" w:cs="Times New Roman"/>
          <w:color w:val="000000"/>
          <w:sz w:val="20"/>
          <w:szCs w:val="20"/>
          <w:lang w:eastAsia="bg-BG"/>
        </w:rPr>
      </w:pPr>
      <w:r w:rsidRPr="00DA5DA6">
        <w:rPr>
          <w:rFonts w:ascii="Times New Roman" w:eastAsia="Times New Roman" w:hAnsi="Times New Roman" w:cs="Times New Roman"/>
          <w:color w:val="000000"/>
          <w:sz w:val="20"/>
          <w:szCs w:val="20"/>
          <w:lang w:eastAsia="bg-BG"/>
        </w:rPr>
        <w:t>Адювантно лечение на положителен за хормонални рецептори ранен инвазивен рак на</w:t>
      </w:r>
      <w:r w:rsidRPr="00DA5DA6">
        <w:rPr>
          <w:rFonts w:ascii="Times New Roman" w:eastAsia="Times New Roman" w:hAnsi="Times New Roman" w:cs="Times New Roman"/>
          <w:color w:val="000000"/>
          <w:sz w:val="20"/>
          <w:szCs w:val="20"/>
          <w:lang w:val="ru-RU" w:eastAsia="bg-BG"/>
        </w:rPr>
        <w:t xml:space="preserve"> </w:t>
      </w:r>
      <w:r w:rsidRPr="00DA5DA6">
        <w:rPr>
          <w:rFonts w:ascii="Times New Roman" w:eastAsia="Times New Roman" w:hAnsi="Times New Roman" w:cs="Times New Roman"/>
          <w:color w:val="000000"/>
          <w:sz w:val="20"/>
          <w:szCs w:val="20"/>
          <w:lang w:eastAsia="bg-BG"/>
        </w:rPr>
        <w:t>гърдата при постменопаузални жени, които в продължение на 2 до 3 години са били на адювантно лечение с тамоксифен.</w:t>
      </w:r>
    </w:p>
    <w:p w14:paraId="3649A784" w14:textId="77777777" w:rsidR="00DA5DA6" w:rsidRPr="00DA5DA6" w:rsidRDefault="00DA5DA6" w:rsidP="00DA5DA6"/>
    <w:p w14:paraId="53F5B866" w14:textId="6C3AF393" w:rsidR="007122AD" w:rsidRDefault="002C50EE" w:rsidP="00936AD0">
      <w:pPr>
        <w:pStyle w:val="Heading2"/>
      </w:pPr>
      <w:r>
        <w:t>4.2. Дозировка и начин на приложение</w:t>
      </w:r>
    </w:p>
    <w:p w14:paraId="2C9F3D13" w14:textId="73F6C051" w:rsidR="00DA5DA6" w:rsidRDefault="00DA5DA6" w:rsidP="00DA5DA6"/>
    <w:p w14:paraId="2B42F49E" w14:textId="77777777" w:rsidR="00DA5DA6" w:rsidRPr="00DA5DA6" w:rsidRDefault="00DA5DA6" w:rsidP="00DA5DA6">
      <w:pPr>
        <w:pStyle w:val="Heading3"/>
        <w:rPr>
          <w:rFonts w:eastAsia="Times New Roman"/>
          <w:sz w:val="28"/>
          <w:u w:val="single"/>
        </w:rPr>
      </w:pPr>
      <w:r w:rsidRPr="00DA5DA6">
        <w:rPr>
          <w:rFonts w:eastAsia="Times New Roman"/>
          <w:u w:val="single"/>
          <w:lang w:eastAsia="bg-BG"/>
        </w:rPr>
        <w:t>Дозировка</w:t>
      </w:r>
    </w:p>
    <w:p w14:paraId="75698E02" w14:textId="77777777" w:rsidR="00DA5DA6" w:rsidRPr="00DA5DA6" w:rsidRDefault="00DA5DA6" w:rsidP="00DA5DA6">
      <w:pPr>
        <w:spacing w:line="240" w:lineRule="auto"/>
        <w:rPr>
          <w:rFonts w:eastAsia="Times New Roman" w:cs="Arial"/>
          <w:color w:val="000000"/>
          <w:szCs w:val="20"/>
          <w:lang w:eastAsia="bg-BG"/>
        </w:rPr>
      </w:pPr>
    </w:p>
    <w:p w14:paraId="42AF0A92" w14:textId="4F93D545"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Препоръчителната дозировка на Аримидекс при възрастни, включително и в старческа възраст, е една таблетка от 1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веднъж дневно.</w:t>
      </w:r>
    </w:p>
    <w:p w14:paraId="743AE1DD" w14:textId="77777777" w:rsidR="00DA5DA6" w:rsidRPr="00DA5DA6" w:rsidRDefault="00DA5DA6" w:rsidP="00DA5DA6">
      <w:pPr>
        <w:spacing w:line="240" w:lineRule="auto"/>
        <w:rPr>
          <w:rFonts w:eastAsia="Times New Roman" w:cs="Arial"/>
          <w:color w:val="000000"/>
          <w:szCs w:val="20"/>
          <w:lang w:eastAsia="bg-BG"/>
        </w:rPr>
      </w:pPr>
    </w:p>
    <w:p w14:paraId="50354D38" w14:textId="6D79C9AD"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При постменопаузални жени с положителен за хормонални рецептори ранен инвазивен рак на гърдата препоръчителната продължителност на адювантното ендокринно лечение е 5 години.</w:t>
      </w:r>
    </w:p>
    <w:p w14:paraId="6A1CB9A4" w14:textId="77777777" w:rsidR="00DA5DA6" w:rsidRPr="00DA5DA6" w:rsidRDefault="00DA5DA6" w:rsidP="00DA5DA6">
      <w:pPr>
        <w:spacing w:line="240" w:lineRule="auto"/>
        <w:rPr>
          <w:rFonts w:eastAsia="Times New Roman" w:cs="Arial"/>
          <w:i/>
          <w:iCs/>
          <w:color w:val="000000"/>
          <w:szCs w:val="20"/>
          <w:u w:val="single"/>
          <w:lang w:eastAsia="bg-BG"/>
        </w:rPr>
      </w:pPr>
    </w:p>
    <w:p w14:paraId="27E03071" w14:textId="11F7CA68"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u w:val="single"/>
          <w:lang w:eastAsia="bg-BG"/>
        </w:rPr>
        <w:t>Специални популации</w:t>
      </w:r>
    </w:p>
    <w:p w14:paraId="15D428B4" w14:textId="77777777" w:rsidR="00DA5DA6" w:rsidRPr="00DA5DA6" w:rsidRDefault="00DA5DA6" w:rsidP="00DA5DA6">
      <w:pPr>
        <w:spacing w:line="240" w:lineRule="auto"/>
        <w:rPr>
          <w:rFonts w:eastAsia="Times New Roman" w:cs="Arial"/>
          <w:i/>
          <w:iCs/>
          <w:color w:val="000000"/>
          <w:szCs w:val="20"/>
          <w:lang w:eastAsia="bg-BG"/>
        </w:rPr>
      </w:pPr>
    </w:p>
    <w:p w14:paraId="5EAF2362" w14:textId="6B0ABBD1"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lang w:eastAsia="bg-BG"/>
        </w:rPr>
        <w:t>Педиатрична популация</w:t>
      </w:r>
    </w:p>
    <w:p w14:paraId="7FED599D"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Прилагането на Аримидекс при деца и юноши не се препоръчва поради липсата на достатъчно данни относно безопасността и ефикасността му (вж. точки 4.4 и 5.1).</w:t>
      </w:r>
    </w:p>
    <w:p w14:paraId="5C3CC907" w14:textId="072A4AE6" w:rsidR="00DA5DA6" w:rsidRPr="00DA5DA6" w:rsidRDefault="00DA5DA6" w:rsidP="00DA5DA6">
      <w:pPr>
        <w:rPr>
          <w:rFonts w:cs="Arial"/>
          <w:sz w:val="24"/>
        </w:rPr>
      </w:pPr>
    </w:p>
    <w:p w14:paraId="3A175608" w14:textId="77777777"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lang w:eastAsia="bg-BG"/>
        </w:rPr>
        <w:t>Бъбречно увреждане</w:t>
      </w:r>
    </w:p>
    <w:p w14:paraId="2C4C4C2C"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Не се препоръчва корекция на дозата при пациенти с леко или умерено бъбречно увреждане. При пациенти с тежко бъбречно увреждане Аримидекс трябва да се прилага с повишено внимание (вж. точки 4.4 и 5.2).</w:t>
      </w:r>
    </w:p>
    <w:p w14:paraId="27C6C7D6" w14:textId="77777777" w:rsidR="00DA5DA6" w:rsidRPr="00DA5DA6" w:rsidRDefault="00DA5DA6" w:rsidP="00DA5DA6">
      <w:pPr>
        <w:spacing w:line="240" w:lineRule="auto"/>
        <w:rPr>
          <w:rFonts w:eastAsia="Times New Roman" w:cs="Arial"/>
          <w:i/>
          <w:iCs/>
          <w:color w:val="000000"/>
          <w:szCs w:val="20"/>
          <w:lang w:eastAsia="bg-BG"/>
        </w:rPr>
      </w:pPr>
    </w:p>
    <w:p w14:paraId="0612F09B" w14:textId="134A630E"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lang w:eastAsia="bg-BG"/>
        </w:rPr>
        <w:t>Чернодробно увреждане</w:t>
      </w:r>
    </w:p>
    <w:p w14:paraId="1FA51BC3"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Не се препоръчва корекция на дозата при пациенти с леко чернодробно увреждане. Препоръчва се повишено внимание при пациенти с умерено до тежко чернодробно увреждане (вж. точка 4.4).</w:t>
      </w:r>
    </w:p>
    <w:p w14:paraId="1562FCB5" w14:textId="77777777" w:rsidR="00DA5DA6" w:rsidRPr="00DA5DA6" w:rsidRDefault="00DA5DA6" w:rsidP="00DA5DA6">
      <w:pPr>
        <w:spacing w:line="240" w:lineRule="auto"/>
        <w:rPr>
          <w:rFonts w:eastAsia="Times New Roman" w:cs="Arial"/>
          <w:color w:val="000000"/>
          <w:szCs w:val="20"/>
          <w:u w:val="single"/>
          <w:lang w:eastAsia="bg-BG"/>
        </w:rPr>
      </w:pPr>
    </w:p>
    <w:p w14:paraId="1C26DD30" w14:textId="0FED159E" w:rsidR="00DA5DA6" w:rsidRPr="00DA5DA6" w:rsidRDefault="00DA5DA6" w:rsidP="00DA5DA6">
      <w:pPr>
        <w:pStyle w:val="Heading3"/>
        <w:rPr>
          <w:rFonts w:eastAsia="Times New Roman"/>
          <w:sz w:val="28"/>
          <w:u w:val="single"/>
        </w:rPr>
      </w:pPr>
      <w:r w:rsidRPr="00DA5DA6">
        <w:rPr>
          <w:rFonts w:eastAsia="Times New Roman"/>
          <w:u w:val="single"/>
          <w:lang w:eastAsia="bg-BG"/>
        </w:rPr>
        <w:t>Начин на приложение</w:t>
      </w:r>
    </w:p>
    <w:p w14:paraId="4618DB4B" w14:textId="77777777" w:rsidR="00DA5DA6" w:rsidRPr="00DA5DA6" w:rsidRDefault="00DA5DA6" w:rsidP="00DA5DA6">
      <w:pPr>
        <w:spacing w:line="240" w:lineRule="auto"/>
        <w:rPr>
          <w:rFonts w:eastAsia="Times New Roman" w:cs="Arial"/>
          <w:color w:val="000000"/>
          <w:szCs w:val="20"/>
          <w:lang w:eastAsia="bg-BG"/>
        </w:rPr>
      </w:pPr>
    </w:p>
    <w:p w14:paraId="1A0029A5" w14:textId="118568F9" w:rsidR="00DA5DA6" w:rsidRPr="00DA5DA6" w:rsidRDefault="00DA5DA6" w:rsidP="00DA5DA6">
      <w:pPr>
        <w:spacing w:line="240" w:lineRule="auto"/>
        <w:rPr>
          <w:rFonts w:ascii="Times New Roman" w:eastAsia="Times New Roman" w:hAnsi="Times New Roman" w:cs="Times New Roman"/>
          <w:sz w:val="24"/>
          <w:szCs w:val="24"/>
        </w:rPr>
      </w:pPr>
      <w:r w:rsidRPr="00DA5DA6">
        <w:rPr>
          <w:rFonts w:eastAsia="Times New Roman" w:cs="Arial"/>
          <w:color w:val="000000"/>
          <w:szCs w:val="20"/>
          <w:lang w:eastAsia="bg-BG"/>
        </w:rPr>
        <w:t>Аримидекс трябва да се приема перорално.</w:t>
      </w:r>
    </w:p>
    <w:p w14:paraId="37EBCFA0" w14:textId="6C89004B" w:rsidR="00DA5DA6" w:rsidRPr="00DA5DA6" w:rsidRDefault="00DA5DA6" w:rsidP="00DA5DA6"/>
    <w:p w14:paraId="0F253247" w14:textId="021528D7" w:rsidR="007122AD" w:rsidRDefault="002C50EE" w:rsidP="00936AD0">
      <w:pPr>
        <w:pStyle w:val="Heading2"/>
      </w:pPr>
      <w:r>
        <w:t>4.3. Противопоказания</w:t>
      </w:r>
    </w:p>
    <w:p w14:paraId="00CC6C78" w14:textId="3D69D917" w:rsidR="00DA5DA6" w:rsidRDefault="00DA5DA6" w:rsidP="00DA5DA6"/>
    <w:p w14:paraId="6723DE10"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Аримидекс е противопоказан при:</w:t>
      </w:r>
    </w:p>
    <w:p w14:paraId="1AD165DB" w14:textId="77777777" w:rsidR="00DA5DA6" w:rsidRPr="00DA5DA6" w:rsidRDefault="00DA5DA6" w:rsidP="00DA5DA6">
      <w:pPr>
        <w:pStyle w:val="ListParagraph"/>
        <w:numPr>
          <w:ilvl w:val="0"/>
          <w:numId w:val="38"/>
        </w:numPr>
        <w:spacing w:line="240" w:lineRule="auto"/>
        <w:rPr>
          <w:rFonts w:eastAsia="Times New Roman" w:cs="Arial"/>
          <w:color w:val="000000"/>
          <w:szCs w:val="20"/>
          <w:lang w:eastAsia="bg-BG"/>
        </w:rPr>
      </w:pPr>
      <w:r w:rsidRPr="00DA5DA6">
        <w:rPr>
          <w:rFonts w:eastAsia="Times New Roman" w:cs="Arial"/>
          <w:color w:val="000000"/>
          <w:szCs w:val="20"/>
          <w:lang w:eastAsia="bg-BG"/>
        </w:rPr>
        <w:t>Бременни и кърмачки.</w:t>
      </w:r>
    </w:p>
    <w:p w14:paraId="20BA1940" w14:textId="59D902C1" w:rsidR="00DA5DA6" w:rsidRDefault="00DA5DA6" w:rsidP="00DA5DA6">
      <w:pPr>
        <w:pStyle w:val="ListParagraph"/>
        <w:numPr>
          <w:ilvl w:val="0"/>
          <w:numId w:val="38"/>
        </w:numPr>
        <w:spacing w:line="240" w:lineRule="auto"/>
        <w:rPr>
          <w:rFonts w:eastAsia="Times New Roman" w:cs="Arial"/>
          <w:color w:val="000000"/>
          <w:szCs w:val="20"/>
          <w:lang w:eastAsia="bg-BG"/>
        </w:rPr>
      </w:pPr>
      <w:r w:rsidRPr="00DA5DA6">
        <w:rPr>
          <w:rFonts w:eastAsia="Times New Roman" w:cs="Arial"/>
          <w:color w:val="000000"/>
          <w:szCs w:val="20"/>
          <w:lang w:eastAsia="bg-BG"/>
        </w:rPr>
        <w:t>Пациентки с известна свръхчувствителност към анастрозол или към някое от помощните</w:t>
      </w:r>
      <w:r w:rsidRPr="00DA5DA6">
        <w:rPr>
          <w:rFonts w:eastAsia="Times New Roman" w:cs="Arial"/>
          <w:color w:val="000000"/>
          <w:szCs w:val="20"/>
          <w:lang w:val="ru-RU" w:eastAsia="bg-BG"/>
        </w:rPr>
        <w:t xml:space="preserve"> </w:t>
      </w:r>
      <w:r w:rsidRPr="00DA5DA6">
        <w:rPr>
          <w:rFonts w:eastAsia="Times New Roman" w:cs="Arial"/>
          <w:color w:val="000000"/>
          <w:szCs w:val="20"/>
          <w:lang w:eastAsia="bg-BG"/>
        </w:rPr>
        <w:t>вещества, изброени в точка 6.1.</w:t>
      </w:r>
    </w:p>
    <w:p w14:paraId="754B8C3D" w14:textId="77777777" w:rsidR="00DA5DA6" w:rsidRPr="00DA5DA6" w:rsidRDefault="00DA5DA6" w:rsidP="00DA5DA6">
      <w:pPr>
        <w:spacing w:line="240" w:lineRule="auto"/>
        <w:rPr>
          <w:rFonts w:eastAsia="Times New Roman" w:cs="Arial"/>
          <w:color w:val="000000"/>
          <w:szCs w:val="20"/>
          <w:lang w:eastAsia="bg-BG"/>
        </w:rPr>
      </w:pPr>
    </w:p>
    <w:p w14:paraId="0E0BDCC7" w14:textId="14B9A786" w:rsidR="007122AD" w:rsidRDefault="002C50EE" w:rsidP="00936AD0">
      <w:pPr>
        <w:pStyle w:val="Heading2"/>
      </w:pPr>
      <w:r>
        <w:t>4.4. Специални предупреждения и предпазни мерки при употреба</w:t>
      </w:r>
    </w:p>
    <w:p w14:paraId="315C8D88" w14:textId="46AE69AE" w:rsidR="00DA5DA6" w:rsidRDefault="00DA5DA6" w:rsidP="00DA5DA6"/>
    <w:p w14:paraId="519DF0F3" w14:textId="2AE61E32" w:rsidR="00DA5DA6" w:rsidRPr="00DA5DA6" w:rsidRDefault="00DA5DA6" w:rsidP="00DA5DA6">
      <w:pPr>
        <w:spacing w:line="240" w:lineRule="auto"/>
        <w:rPr>
          <w:rFonts w:eastAsia="Times New Roman" w:cs="Arial"/>
          <w:sz w:val="28"/>
          <w:szCs w:val="24"/>
        </w:rPr>
      </w:pPr>
      <w:r>
        <w:rPr>
          <w:rFonts w:eastAsia="Times New Roman" w:cs="Arial"/>
          <w:color w:val="000000"/>
          <w:szCs w:val="20"/>
          <w:u w:val="single"/>
          <w:lang w:eastAsia="bg-BG"/>
        </w:rPr>
        <w:t>Общ</w:t>
      </w:r>
      <w:r w:rsidRPr="00DA5DA6">
        <w:rPr>
          <w:rFonts w:eastAsia="Times New Roman" w:cs="Arial"/>
          <w:color w:val="000000"/>
          <w:szCs w:val="20"/>
          <w:u w:val="single"/>
          <w:lang w:eastAsia="bg-BG"/>
        </w:rPr>
        <w:t>и</w:t>
      </w:r>
    </w:p>
    <w:p w14:paraId="7560EACB" w14:textId="77777777" w:rsidR="00DA5DA6" w:rsidRPr="00DA5DA6" w:rsidRDefault="00DA5DA6" w:rsidP="00DA5DA6">
      <w:pPr>
        <w:spacing w:line="240" w:lineRule="auto"/>
        <w:rPr>
          <w:rFonts w:eastAsia="Times New Roman" w:cs="Arial"/>
          <w:color w:val="000000"/>
          <w:szCs w:val="20"/>
          <w:lang w:eastAsia="bg-BG"/>
        </w:rPr>
      </w:pPr>
    </w:p>
    <w:p w14:paraId="333188DF" w14:textId="37168108"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Аримидекс не трябва да се прилага при предменопаузални жени. При всяка пациентка, при която има съмнения относно менопаузалния статус, менопаузата трябва да се потвърди биохимично (чрез изследване на лутеинизиращ хормон </w:t>
      </w:r>
      <w:r w:rsidRPr="00DA5DA6">
        <w:rPr>
          <w:rFonts w:eastAsia="Times New Roman" w:cs="Arial"/>
          <w:color w:val="000000"/>
          <w:szCs w:val="20"/>
          <w:lang w:val="ru-RU"/>
        </w:rPr>
        <w:t>[</w:t>
      </w:r>
      <w:r w:rsidRPr="00DA5DA6">
        <w:rPr>
          <w:rFonts w:eastAsia="Times New Roman" w:cs="Arial"/>
          <w:color w:val="000000"/>
          <w:szCs w:val="20"/>
          <w:lang w:val="en-US"/>
        </w:rPr>
        <w:t>LH</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фоликулостимулиращ хормон </w:t>
      </w:r>
      <w:r w:rsidRPr="00DA5DA6">
        <w:rPr>
          <w:rFonts w:eastAsia="Times New Roman" w:cs="Arial"/>
          <w:color w:val="000000"/>
          <w:szCs w:val="20"/>
          <w:lang w:val="ru-RU"/>
        </w:rPr>
        <w:t>[</w:t>
      </w:r>
      <w:r w:rsidRPr="00DA5DA6">
        <w:rPr>
          <w:rFonts w:eastAsia="Times New Roman" w:cs="Arial"/>
          <w:color w:val="000000"/>
          <w:szCs w:val="20"/>
          <w:lang w:val="en-US"/>
        </w:rPr>
        <w:t>FSH</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и/или нивата на естрадиол). Няма данни в подкрепа на употребата на Аримидекс с аналози на </w:t>
      </w:r>
      <w:r w:rsidRPr="00DA5DA6">
        <w:rPr>
          <w:rFonts w:eastAsia="Times New Roman" w:cs="Arial"/>
          <w:color w:val="000000"/>
          <w:szCs w:val="20"/>
          <w:lang w:val="en-US"/>
        </w:rPr>
        <w:t>LHRH</w:t>
      </w:r>
      <w:r w:rsidRPr="00DA5DA6">
        <w:rPr>
          <w:rFonts w:eastAsia="Times New Roman" w:cs="Arial"/>
          <w:color w:val="000000"/>
          <w:szCs w:val="20"/>
          <w:lang w:val="ru-RU"/>
        </w:rPr>
        <w:t>.</w:t>
      </w:r>
    </w:p>
    <w:p w14:paraId="33D8E14F" w14:textId="77777777" w:rsidR="00DA5DA6" w:rsidRPr="00DA5DA6" w:rsidRDefault="00DA5DA6" w:rsidP="00DA5DA6">
      <w:pPr>
        <w:spacing w:line="240" w:lineRule="auto"/>
        <w:rPr>
          <w:rFonts w:eastAsia="Times New Roman" w:cs="Arial"/>
          <w:color w:val="000000"/>
          <w:szCs w:val="20"/>
          <w:lang w:eastAsia="bg-BG"/>
        </w:rPr>
      </w:pPr>
    </w:p>
    <w:p w14:paraId="0E5CB0C0" w14:textId="221C5440"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Трябва да се избягва едновременното приложение на Аримидекс с тамоксифен и терапии, съдържащи естроген, тъй като те могат да отслабят фармакологичното му действие (вж. точки 4.5 и 5.1).</w:t>
      </w:r>
    </w:p>
    <w:p w14:paraId="4EAAC3CC" w14:textId="77777777" w:rsidR="00DA5DA6" w:rsidRPr="00DA5DA6" w:rsidRDefault="00DA5DA6" w:rsidP="00DA5DA6">
      <w:pPr>
        <w:spacing w:line="240" w:lineRule="auto"/>
        <w:rPr>
          <w:rFonts w:eastAsia="Times New Roman" w:cs="Arial"/>
          <w:color w:val="000000"/>
          <w:szCs w:val="20"/>
          <w:u w:val="single"/>
          <w:lang w:eastAsia="bg-BG"/>
        </w:rPr>
      </w:pPr>
    </w:p>
    <w:p w14:paraId="14F57225" w14:textId="2248672C"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Ефект върху минералната костна плътност</w:t>
      </w:r>
    </w:p>
    <w:p w14:paraId="3F928E10" w14:textId="77777777" w:rsidR="00DA5DA6" w:rsidRPr="00DA5DA6" w:rsidRDefault="00DA5DA6" w:rsidP="00DA5DA6">
      <w:pPr>
        <w:spacing w:line="240" w:lineRule="auto"/>
        <w:rPr>
          <w:rFonts w:eastAsia="Times New Roman" w:cs="Arial"/>
          <w:color w:val="000000"/>
          <w:szCs w:val="20"/>
          <w:lang w:eastAsia="bg-BG"/>
        </w:rPr>
      </w:pPr>
    </w:p>
    <w:p w14:paraId="2728B85B" w14:textId="08264786"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Понеже Аримидекс намалява концентрацията на циркулиращия естроген, той може да предизвика намаляване на минералната костна плътност с евентуално повишен риск за фрактури като последствие от това (вж. точка 4.8).</w:t>
      </w:r>
    </w:p>
    <w:p w14:paraId="3EB27EB7" w14:textId="77777777" w:rsidR="00DA5DA6" w:rsidRPr="00DA5DA6" w:rsidRDefault="00DA5DA6" w:rsidP="00DA5DA6">
      <w:pPr>
        <w:spacing w:line="240" w:lineRule="auto"/>
        <w:rPr>
          <w:rFonts w:eastAsia="Times New Roman" w:cs="Arial"/>
          <w:color w:val="000000"/>
          <w:szCs w:val="20"/>
          <w:lang w:eastAsia="bg-BG"/>
        </w:rPr>
      </w:pPr>
    </w:p>
    <w:p w14:paraId="60353666" w14:textId="7460BFFF"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При жени с остеопороза или с риск за развитие на остеопороза минералната костна плътност трябва да се определя в началото на лечението, след което - през редовни интервали.</w:t>
      </w:r>
    </w:p>
    <w:p w14:paraId="7474E1DC" w14:textId="3C6C354A"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lastRenderedPageBreak/>
        <w:t>Лечението или профилактиката на остеопорозата трябва да се започнат, когато е необходимо и внимателно да се проследяват. При постменопаузални жени може да се има предвид евентуалното прилагане на специфично лечение, например бифосфонати, което може да спре понижаването на минералната костна плътност, причинено от Аримидекс (вж. точка 4.8).</w:t>
      </w:r>
    </w:p>
    <w:p w14:paraId="5ED96027" w14:textId="77777777" w:rsidR="00DA5DA6" w:rsidRPr="00DA5DA6" w:rsidRDefault="00DA5DA6" w:rsidP="00DA5DA6">
      <w:pPr>
        <w:spacing w:line="240" w:lineRule="auto"/>
        <w:rPr>
          <w:rFonts w:eastAsia="Times New Roman" w:cs="Arial"/>
          <w:color w:val="000000"/>
          <w:szCs w:val="20"/>
          <w:u w:val="single"/>
          <w:lang w:eastAsia="bg-BG"/>
        </w:rPr>
      </w:pPr>
    </w:p>
    <w:p w14:paraId="4309A9F6" w14:textId="1E452CEE"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Чернодробно увреждане</w:t>
      </w:r>
    </w:p>
    <w:p w14:paraId="50C6AF3C" w14:textId="77777777" w:rsidR="00DA5DA6" w:rsidRPr="00DA5DA6" w:rsidRDefault="00DA5DA6" w:rsidP="00DA5DA6">
      <w:pPr>
        <w:spacing w:line="240" w:lineRule="auto"/>
        <w:rPr>
          <w:rFonts w:eastAsia="Times New Roman" w:cs="Arial"/>
          <w:color w:val="000000"/>
          <w:szCs w:val="20"/>
          <w:lang w:eastAsia="bg-BG"/>
        </w:rPr>
      </w:pPr>
    </w:p>
    <w:p w14:paraId="64CA11B7" w14:textId="713D7E1D" w:rsidR="00DA5DA6" w:rsidRPr="00DA5DA6" w:rsidRDefault="00DA5DA6" w:rsidP="00DA5DA6">
      <w:pPr>
        <w:spacing w:line="240" w:lineRule="auto"/>
        <w:rPr>
          <w:rFonts w:eastAsia="Times New Roman" w:cs="Arial"/>
          <w:color w:val="000000"/>
          <w:szCs w:val="20"/>
          <w:lang w:eastAsia="bg-BG"/>
        </w:rPr>
      </w:pPr>
      <w:r w:rsidRPr="00DA5DA6">
        <w:rPr>
          <w:rFonts w:eastAsia="Times New Roman" w:cs="Arial"/>
          <w:color w:val="000000"/>
          <w:szCs w:val="20"/>
          <w:lang w:eastAsia="bg-BG"/>
        </w:rPr>
        <w:t>Аримидекс не е изследван при пациенти с рак на гърдата с умерено или тежко чернодробно увреждане. Експозицията на Аримидекс може да се повиши при пациенти с чернодробно увреждане (вж. точка 5.2); прилагането на анастрозол при пациенти с умерено до тежко чернодробно увреждане трябва да се извършва с повишено внимание (вж. точка 4.2). Лечението трябва да се основава на оценка полза-риск за отделния пациент.</w:t>
      </w:r>
    </w:p>
    <w:p w14:paraId="5F1C1F43" w14:textId="54E82993" w:rsidR="00DA5DA6" w:rsidRPr="00DA5DA6" w:rsidRDefault="00DA5DA6" w:rsidP="00DA5DA6">
      <w:pPr>
        <w:spacing w:line="240" w:lineRule="auto"/>
        <w:rPr>
          <w:rFonts w:eastAsia="Times New Roman" w:cs="Arial"/>
          <w:color w:val="000000"/>
          <w:szCs w:val="20"/>
          <w:lang w:eastAsia="bg-BG"/>
        </w:rPr>
      </w:pPr>
    </w:p>
    <w:p w14:paraId="2529F0A7"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Бъбречно увреждане</w:t>
      </w:r>
    </w:p>
    <w:p w14:paraId="5501EB0B"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Аримидекс не е изследван при пациенти с рак на гърдата с тежко бъбречно увреждане. Експозицията на анастрозол не се повишава при пациенти с тежко бъбречно увреждане (скорост на гломерулна филтрация, </w:t>
      </w:r>
      <w:r w:rsidRPr="00DA5DA6">
        <w:rPr>
          <w:rFonts w:eastAsia="Times New Roman" w:cs="Arial"/>
          <w:color w:val="000000"/>
          <w:szCs w:val="20"/>
          <w:lang w:val="en-US"/>
        </w:rPr>
        <w:t>GRF</w:t>
      </w:r>
      <w:r w:rsidRPr="00DA5DA6">
        <w:rPr>
          <w:rFonts w:eastAsia="Times New Roman" w:cs="Arial"/>
          <w:color w:val="000000"/>
          <w:szCs w:val="20"/>
          <w:lang w:val="ru-RU"/>
        </w:rPr>
        <w:t>&lt; 30</w:t>
      </w:r>
      <w:r w:rsidRPr="00DA5DA6">
        <w:rPr>
          <w:rFonts w:eastAsia="Times New Roman" w:cs="Arial"/>
          <w:color w:val="000000"/>
          <w:szCs w:val="20"/>
          <w:lang w:val="en-US"/>
        </w:rPr>
        <w:t>ml</w:t>
      </w:r>
      <w:r w:rsidRPr="00DA5DA6">
        <w:rPr>
          <w:rFonts w:eastAsia="Times New Roman" w:cs="Arial"/>
          <w:color w:val="000000"/>
          <w:szCs w:val="20"/>
          <w:lang w:val="ru-RU"/>
        </w:rPr>
        <w:t>/</w:t>
      </w:r>
      <w:r w:rsidRPr="00DA5DA6">
        <w:rPr>
          <w:rFonts w:eastAsia="Times New Roman" w:cs="Arial"/>
          <w:color w:val="000000"/>
          <w:szCs w:val="20"/>
          <w:lang w:val="en-US"/>
        </w:rPr>
        <w:t>min</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вж. точка 5.2); при пациенти </w:t>
      </w:r>
      <w:r w:rsidRPr="00DA5DA6">
        <w:rPr>
          <w:rFonts w:eastAsia="Times New Roman" w:cs="Arial"/>
          <w:i/>
          <w:iCs/>
          <w:color w:val="000000"/>
          <w:szCs w:val="20"/>
          <w:lang w:eastAsia="bg-BG"/>
        </w:rPr>
        <w:t xml:space="preserve">с тежко </w:t>
      </w:r>
      <w:r w:rsidRPr="00DA5DA6">
        <w:rPr>
          <w:rFonts w:eastAsia="Times New Roman" w:cs="Arial"/>
          <w:color w:val="000000"/>
          <w:szCs w:val="20"/>
          <w:lang w:eastAsia="bg-BG"/>
        </w:rPr>
        <w:t>бъбречно увреждане прилагането на анастрозол трябва да се извършва с повишено внимание (вж. точка 4.2).</w:t>
      </w:r>
    </w:p>
    <w:p w14:paraId="43F22D7F" w14:textId="77777777" w:rsidR="00DA5DA6" w:rsidRPr="00DA5DA6" w:rsidRDefault="00DA5DA6" w:rsidP="00DA5DA6">
      <w:pPr>
        <w:spacing w:line="240" w:lineRule="auto"/>
        <w:rPr>
          <w:rFonts w:eastAsia="Times New Roman" w:cs="Arial"/>
          <w:color w:val="000000"/>
          <w:szCs w:val="20"/>
          <w:u w:val="single"/>
          <w:lang w:eastAsia="bg-BG"/>
        </w:rPr>
      </w:pPr>
    </w:p>
    <w:p w14:paraId="45A2DD90" w14:textId="06033418"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Педиатрична популация</w:t>
      </w:r>
    </w:p>
    <w:p w14:paraId="69F86A11" w14:textId="77777777" w:rsidR="00DA5DA6" w:rsidRPr="00DA5DA6" w:rsidRDefault="00DA5DA6" w:rsidP="00DA5DA6">
      <w:pPr>
        <w:spacing w:line="240" w:lineRule="auto"/>
        <w:rPr>
          <w:rFonts w:eastAsia="Times New Roman" w:cs="Arial"/>
          <w:color w:val="000000"/>
          <w:szCs w:val="20"/>
          <w:lang w:eastAsia="bg-BG"/>
        </w:rPr>
      </w:pPr>
    </w:p>
    <w:p w14:paraId="141AAB9E" w14:textId="3CC8447E"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Не се препоръчва употребата на Аримидекс при деца и юноши, тъй като безопасността и ефикасността не са установени при тази група пациенти (вж. точка 5.1).</w:t>
      </w:r>
    </w:p>
    <w:p w14:paraId="6B137C3B" w14:textId="77777777" w:rsidR="00DA5DA6" w:rsidRPr="00DA5DA6" w:rsidRDefault="00DA5DA6" w:rsidP="00DA5DA6">
      <w:pPr>
        <w:spacing w:line="240" w:lineRule="auto"/>
        <w:rPr>
          <w:rFonts w:eastAsia="Times New Roman" w:cs="Arial"/>
          <w:color w:val="000000"/>
          <w:szCs w:val="20"/>
          <w:lang w:eastAsia="bg-BG"/>
        </w:rPr>
      </w:pPr>
    </w:p>
    <w:p w14:paraId="5E3678C1" w14:textId="7A09F546"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Аримидекс не трябва да се използва в допълнение към лечението с хормон на растежа при момчета с дефицит на хормона на растежа. В основното клинично проучване не е доказана ефикасност и безопасност на приложението му (вж. точка 5.1). Понеже анастрозол намалява концентрацията на естрадиол, Аримидекс не трябва да се използва като допълнение към лечението с хормон на растежа при момичета с дефицит на хормона на растежа. Няма дългосрочни данни за безопасността при деца и юноши.</w:t>
      </w:r>
    </w:p>
    <w:p w14:paraId="28B43784" w14:textId="77777777" w:rsidR="00DA5DA6" w:rsidRPr="00DA5DA6" w:rsidRDefault="00DA5DA6" w:rsidP="00DA5DA6">
      <w:pPr>
        <w:spacing w:line="240" w:lineRule="auto"/>
        <w:rPr>
          <w:rFonts w:eastAsia="Times New Roman" w:cs="Arial"/>
          <w:color w:val="000000"/>
          <w:szCs w:val="20"/>
          <w:u w:val="single"/>
          <w:lang w:eastAsia="bg-BG"/>
        </w:rPr>
      </w:pPr>
    </w:p>
    <w:p w14:paraId="6AC37255" w14:textId="6591E2BC"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Свръхчувствителност към лактоза</w:t>
      </w:r>
    </w:p>
    <w:p w14:paraId="55E9AD3D" w14:textId="77777777" w:rsidR="00DA5DA6" w:rsidRPr="00DA5DA6" w:rsidRDefault="00DA5DA6" w:rsidP="00DA5DA6">
      <w:pPr>
        <w:spacing w:line="240" w:lineRule="auto"/>
        <w:rPr>
          <w:rFonts w:eastAsia="Times New Roman" w:cs="Arial"/>
          <w:color w:val="000000"/>
          <w:szCs w:val="20"/>
          <w:lang w:eastAsia="bg-BG"/>
        </w:rPr>
      </w:pPr>
    </w:p>
    <w:p w14:paraId="67060822" w14:textId="24C2880A"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Този продукт съдържа лактоза. Пациенти с редки наследствени заболявания като непоносимост към галактоза, обща лактазна недостатъчност или глюкозо-галактозна малабсорбция не бива да приемат това лекарство.</w:t>
      </w:r>
    </w:p>
    <w:p w14:paraId="46371B66" w14:textId="77777777" w:rsidR="00DA5DA6" w:rsidRPr="00DA5DA6" w:rsidRDefault="00DA5DA6" w:rsidP="00DA5DA6">
      <w:pPr>
        <w:spacing w:line="240" w:lineRule="auto"/>
        <w:rPr>
          <w:rFonts w:eastAsia="Times New Roman" w:cs="Arial"/>
          <w:color w:val="000000"/>
          <w:szCs w:val="20"/>
          <w:u w:val="single"/>
          <w:lang w:eastAsia="bg-BG"/>
        </w:rPr>
      </w:pPr>
    </w:p>
    <w:p w14:paraId="6D72F7B6" w14:textId="00A7F38D"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Съдържание на натрий в Аримидекс</w:t>
      </w:r>
    </w:p>
    <w:p w14:paraId="16FFD752" w14:textId="77777777" w:rsidR="00DA5DA6" w:rsidRPr="00DA5DA6" w:rsidRDefault="00DA5DA6" w:rsidP="00DA5DA6">
      <w:pPr>
        <w:spacing w:line="240" w:lineRule="auto"/>
        <w:rPr>
          <w:rFonts w:eastAsia="Times New Roman" w:cs="Arial"/>
          <w:color w:val="000000"/>
          <w:szCs w:val="20"/>
          <w:lang w:eastAsia="bg-BG"/>
        </w:rPr>
      </w:pPr>
    </w:p>
    <w:p w14:paraId="6E95E884" w14:textId="4B22F438"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Това лекарство съдържа по-малко от 1 </w:t>
      </w:r>
      <w:proofErr w:type="spellStart"/>
      <w:r w:rsidRPr="00DA5DA6">
        <w:rPr>
          <w:rFonts w:eastAsia="Times New Roman" w:cs="Arial"/>
          <w:color w:val="000000"/>
          <w:szCs w:val="20"/>
          <w:lang w:val="en-US"/>
        </w:rPr>
        <w:t>mmol</w:t>
      </w:r>
      <w:proofErr w:type="spellEnd"/>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натрий </w:t>
      </w:r>
      <w:r w:rsidRPr="00DA5DA6">
        <w:rPr>
          <w:rFonts w:eastAsia="Times New Roman" w:cs="Arial"/>
          <w:i/>
          <w:iCs/>
          <w:color w:val="000000"/>
          <w:szCs w:val="20"/>
          <w:lang w:eastAsia="bg-BG"/>
        </w:rPr>
        <w:t>(23</w:t>
      </w:r>
      <w:r w:rsidRPr="00DA5DA6">
        <w:rPr>
          <w:rFonts w:eastAsia="Times New Roman" w:cs="Arial"/>
          <w:color w:val="000000"/>
          <w:szCs w:val="20"/>
          <w:lang w:eastAsia="bg-BG"/>
        </w:rPr>
        <w:t xml:space="preserve">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на таблетка, така че практически не съдържа натрий.</w:t>
      </w:r>
    </w:p>
    <w:p w14:paraId="2C1918CC" w14:textId="06830A13" w:rsidR="00DA5DA6" w:rsidRPr="00DA5DA6" w:rsidRDefault="00DA5DA6" w:rsidP="00DA5DA6"/>
    <w:p w14:paraId="0734264C" w14:textId="592123B4"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67638B6D" w14:textId="70E8C909" w:rsidR="00DA5DA6" w:rsidRDefault="00DA5DA6" w:rsidP="00DA5DA6"/>
    <w:p w14:paraId="0A846CB5"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Анастрозол инхибира </w:t>
      </w:r>
      <w:r w:rsidRPr="00DA5DA6">
        <w:rPr>
          <w:rFonts w:eastAsia="Times New Roman" w:cs="Arial"/>
          <w:color w:val="000000"/>
          <w:szCs w:val="20"/>
          <w:lang w:val="en-US"/>
        </w:rPr>
        <w:t>CYP</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1А2,2С8/9 и ЗА4 </w:t>
      </w:r>
      <w:r w:rsidRPr="00DA5DA6">
        <w:rPr>
          <w:rFonts w:eastAsia="Times New Roman" w:cs="Arial"/>
          <w:i/>
          <w:iCs/>
          <w:color w:val="000000"/>
          <w:szCs w:val="20"/>
          <w:lang w:val="en-US"/>
        </w:rPr>
        <w:t>in</w:t>
      </w:r>
      <w:r w:rsidRPr="00DA5DA6">
        <w:rPr>
          <w:rFonts w:eastAsia="Times New Roman" w:cs="Arial"/>
          <w:i/>
          <w:iCs/>
          <w:color w:val="000000"/>
          <w:szCs w:val="20"/>
          <w:lang w:val="ru-RU"/>
        </w:rPr>
        <w:t xml:space="preserve"> </w:t>
      </w:r>
      <w:r w:rsidRPr="00DA5DA6">
        <w:rPr>
          <w:rFonts w:eastAsia="Times New Roman" w:cs="Arial"/>
          <w:i/>
          <w:iCs/>
          <w:color w:val="000000"/>
          <w:szCs w:val="20"/>
          <w:lang w:val="en-US"/>
        </w:rPr>
        <w:t>vitro</w:t>
      </w:r>
      <w:r w:rsidRPr="00DA5DA6">
        <w:rPr>
          <w:rFonts w:eastAsia="Times New Roman" w:cs="Arial"/>
          <w:i/>
          <w:iCs/>
          <w:color w:val="000000"/>
          <w:szCs w:val="20"/>
          <w:lang w:val="ru-RU"/>
        </w:rPr>
        <w:t>.</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Клинични проучвания с антипирин и варфарин показват, че анастрозол в доза от 1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не инхибира значимо метаболизма на </w:t>
      </w:r>
      <w:r w:rsidRPr="00DA5DA6">
        <w:rPr>
          <w:rFonts w:eastAsia="Times New Roman" w:cs="Arial"/>
          <w:color w:val="000000"/>
          <w:szCs w:val="20"/>
          <w:lang w:eastAsia="bg-BG"/>
        </w:rPr>
        <w:lastRenderedPageBreak/>
        <w:t xml:space="preserve">антипирин и на </w:t>
      </w:r>
      <w:r w:rsidRPr="00DA5DA6">
        <w:rPr>
          <w:rFonts w:eastAsia="Times New Roman" w:cs="Arial"/>
          <w:color w:val="000000"/>
          <w:szCs w:val="20"/>
          <w:lang w:val="en-US"/>
        </w:rPr>
        <w:t>R</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и </w:t>
      </w:r>
      <w:r w:rsidRPr="00DA5DA6">
        <w:rPr>
          <w:rFonts w:eastAsia="Times New Roman" w:cs="Arial"/>
          <w:color w:val="000000"/>
          <w:szCs w:val="20"/>
          <w:lang w:val="en-US"/>
        </w:rPr>
        <w:t>S</w:t>
      </w:r>
      <w:r w:rsidRPr="00DA5DA6">
        <w:rPr>
          <w:rFonts w:eastAsia="Times New Roman" w:cs="Arial"/>
          <w:color w:val="000000"/>
          <w:szCs w:val="20"/>
          <w:lang w:eastAsia="bg-BG"/>
        </w:rPr>
        <w:t xml:space="preserve">-варфарин, което посочва, че едновременното приложение на Аримидекс с други лекарствени продукти е малко вероятно да доведе до клинично заначими лекарствени взаимодействия, медиирани от </w:t>
      </w:r>
      <w:r w:rsidRPr="00DA5DA6">
        <w:rPr>
          <w:rFonts w:eastAsia="Times New Roman" w:cs="Arial"/>
          <w:color w:val="000000"/>
          <w:szCs w:val="20"/>
          <w:lang w:val="en-US"/>
        </w:rPr>
        <w:t>CYP</w:t>
      </w:r>
      <w:r w:rsidRPr="00DA5DA6">
        <w:rPr>
          <w:rFonts w:eastAsia="Times New Roman" w:cs="Arial"/>
          <w:color w:val="000000"/>
          <w:szCs w:val="20"/>
          <w:lang w:val="ru-RU"/>
        </w:rPr>
        <w:t xml:space="preserve"> </w:t>
      </w:r>
      <w:r w:rsidRPr="00DA5DA6">
        <w:rPr>
          <w:rFonts w:eastAsia="Times New Roman" w:cs="Arial"/>
          <w:color w:val="000000"/>
          <w:szCs w:val="20"/>
          <w:lang w:eastAsia="bg-BG"/>
        </w:rPr>
        <w:t>ензимите.</w:t>
      </w:r>
    </w:p>
    <w:p w14:paraId="4C31CCE6" w14:textId="77777777" w:rsidR="00DA5DA6" w:rsidRPr="00DA5DA6" w:rsidRDefault="00DA5DA6" w:rsidP="00DA5DA6">
      <w:pPr>
        <w:spacing w:line="240" w:lineRule="auto"/>
        <w:rPr>
          <w:rFonts w:eastAsia="Times New Roman" w:cs="Arial"/>
          <w:color w:val="000000"/>
          <w:szCs w:val="20"/>
          <w:lang w:eastAsia="bg-BG"/>
        </w:rPr>
      </w:pPr>
    </w:p>
    <w:p w14:paraId="154B1693" w14:textId="796253B2"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Не са установени ензимите, медииращи метаболизма на анастрозол. Циметидин, слаб, неспецифичен инхибитор на </w:t>
      </w:r>
      <w:r w:rsidRPr="00DA5DA6">
        <w:rPr>
          <w:rFonts w:eastAsia="Times New Roman" w:cs="Arial"/>
          <w:color w:val="000000"/>
          <w:szCs w:val="20"/>
          <w:lang w:val="en-US"/>
        </w:rPr>
        <w:t>CYP</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ензимите, не повлиява плазмените концентрации на анастрозол. Ефектът на мощни инхибитори на </w:t>
      </w:r>
      <w:r w:rsidRPr="00DA5DA6">
        <w:rPr>
          <w:rFonts w:eastAsia="Times New Roman" w:cs="Arial"/>
          <w:color w:val="000000"/>
          <w:szCs w:val="20"/>
          <w:lang w:val="en-US"/>
        </w:rPr>
        <w:t>CYP</w:t>
      </w:r>
      <w:r w:rsidRPr="00DA5DA6">
        <w:rPr>
          <w:rFonts w:eastAsia="Times New Roman" w:cs="Arial"/>
          <w:color w:val="000000"/>
          <w:szCs w:val="20"/>
          <w:lang w:val="ru-RU"/>
        </w:rPr>
        <w:t xml:space="preserve"> </w:t>
      </w:r>
      <w:r w:rsidRPr="00DA5DA6">
        <w:rPr>
          <w:rFonts w:eastAsia="Times New Roman" w:cs="Arial"/>
          <w:color w:val="000000"/>
          <w:szCs w:val="20"/>
          <w:lang w:eastAsia="bg-BG"/>
        </w:rPr>
        <w:t>не е известен.</w:t>
      </w:r>
    </w:p>
    <w:p w14:paraId="4B721416" w14:textId="77777777" w:rsidR="00DA5DA6" w:rsidRPr="00DA5DA6" w:rsidRDefault="00DA5DA6" w:rsidP="00DA5DA6">
      <w:pPr>
        <w:spacing w:line="240" w:lineRule="auto"/>
        <w:rPr>
          <w:rFonts w:eastAsia="Times New Roman" w:cs="Arial"/>
          <w:color w:val="000000"/>
          <w:szCs w:val="20"/>
          <w:lang w:eastAsia="bg-BG"/>
        </w:rPr>
      </w:pPr>
    </w:p>
    <w:p w14:paraId="7CADCF6E" w14:textId="2D8E6980"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Преглед на резултатите за безопасността в базата-данни от клинични проучвания не показва наличие на данни за клинично значими взаимодействия при лекувани с Аримидекс пациенти, които са получавали и други често предписвани лекарствени продукти. Няма клинично значими взаимодействия с бифосфонати (вж. точка 5.1).</w:t>
      </w:r>
    </w:p>
    <w:p w14:paraId="3A2AFC08" w14:textId="77777777" w:rsidR="00DA5DA6" w:rsidRPr="00DA5DA6" w:rsidRDefault="00DA5DA6" w:rsidP="00DA5DA6">
      <w:pPr>
        <w:spacing w:line="240" w:lineRule="auto"/>
        <w:rPr>
          <w:rFonts w:eastAsia="Times New Roman" w:cs="Arial"/>
          <w:color w:val="000000"/>
          <w:szCs w:val="20"/>
          <w:lang w:eastAsia="bg-BG"/>
        </w:rPr>
      </w:pPr>
    </w:p>
    <w:p w14:paraId="32FB9A7C" w14:textId="72797FDB" w:rsidR="00DA5DA6" w:rsidRPr="00DA5DA6" w:rsidRDefault="00DA5DA6" w:rsidP="00DA5DA6">
      <w:pPr>
        <w:spacing w:line="240" w:lineRule="auto"/>
        <w:rPr>
          <w:rFonts w:ascii="Times New Roman" w:eastAsia="Times New Roman" w:hAnsi="Times New Roman" w:cs="Times New Roman"/>
          <w:sz w:val="24"/>
          <w:szCs w:val="24"/>
        </w:rPr>
      </w:pPr>
      <w:r w:rsidRPr="00DA5DA6">
        <w:rPr>
          <w:rFonts w:eastAsia="Times New Roman" w:cs="Arial"/>
          <w:color w:val="000000"/>
          <w:szCs w:val="20"/>
          <w:lang w:eastAsia="bg-BG"/>
        </w:rPr>
        <w:t>Трябва да се избягва едновременното приложение на Аримидекс с тамоксифен и терапии, съдържащи естроген, тъй като те могат да отслабят фармакологичното му действие (вж. точки 4.5 и 5.1).</w:t>
      </w:r>
    </w:p>
    <w:p w14:paraId="11CADA06" w14:textId="2E1ACAC2" w:rsidR="00DA5DA6" w:rsidRPr="00DA5DA6" w:rsidRDefault="00DA5DA6" w:rsidP="00DA5DA6"/>
    <w:p w14:paraId="5D9F40EA" w14:textId="28DFBF14" w:rsidR="007122AD" w:rsidRDefault="002C50EE" w:rsidP="00936AD0">
      <w:pPr>
        <w:pStyle w:val="Heading2"/>
      </w:pPr>
      <w:r>
        <w:t>4.6. Фертилитет, бременност и кърмене</w:t>
      </w:r>
    </w:p>
    <w:p w14:paraId="2AB231C4" w14:textId="112BFB55" w:rsidR="00DA5DA6" w:rsidRDefault="00DA5DA6" w:rsidP="00DA5DA6"/>
    <w:p w14:paraId="5F559829" w14:textId="5AA89B48" w:rsidR="00DA5DA6" w:rsidRPr="00DA5DA6" w:rsidRDefault="00DA5DA6" w:rsidP="00DA5DA6">
      <w:pPr>
        <w:pStyle w:val="Heading3"/>
        <w:rPr>
          <w:u w:val="single"/>
        </w:rPr>
      </w:pPr>
      <w:r w:rsidRPr="00DA5DA6">
        <w:rPr>
          <w:u w:val="single"/>
        </w:rPr>
        <w:t>Бременност</w:t>
      </w:r>
    </w:p>
    <w:p w14:paraId="1159F46C" w14:textId="43028FDA" w:rsidR="00DA5DA6" w:rsidRPr="00DA5DA6" w:rsidRDefault="00DA5DA6" w:rsidP="00DA5DA6">
      <w:pPr>
        <w:rPr>
          <w:rFonts w:cs="Arial"/>
        </w:rPr>
      </w:pPr>
    </w:p>
    <w:p w14:paraId="2143F17B"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Няма данни от приложение на Аримидекс при бременни жени. Проучвания при животни показват репродуктивна токсичност (вж. точка 5.3). Аримидекс е противопоказан по време на бременност (вж. точка 4.3).</w:t>
      </w:r>
    </w:p>
    <w:p w14:paraId="51128AE0" w14:textId="77777777" w:rsidR="00DA5DA6" w:rsidRPr="00DA5DA6" w:rsidRDefault="00DA5DA6" w:rsidP="00DA5DA6">
      <w:pPr>
        <w:spacing w:line="240" w:lineRule="auto"/>
        <w:rPr>
          <w:rFonts w:eastAsia="Times New Roman" w:cs="Arial"/>
          <w:color w:val="000000"/>
          <w:u w:val="single"/>
          <w:lang w:eastAsia="bg-BG"/>
        </w:rPr>
      </w:pPr>
    </w:p>
    <w:p w14:paraId="4693BE72" w14:textId="442B6D72" w:rsidR="00DA5DA6" w:rsidRPr="00DA5DA6" w:rsidRDefault="00DA5DA6" w:rsidP="00DA5DA6">
      <w:pPr>
        <w:pStyle w:val="Heading3"/>
        <w:rPr>
          <w:rFonts w:eastAsia="Times New Roman"/>
          <w:u w:val="single"/>
        </w:rPr>
      </w:pPr>
      <w:r w:rsidRPr="00DA5DA6">
        <w:rPr>
          <w:rFonts w:eastAsia="Times New Roman"/>
          <w:u w:val="single"/>
          <w:lang w:eastAsia="bg-BG"/>
        </w:rPr>
        <w:t>Кърмене</w:t>
      </w:r>
    </w:p>
    <w:p w14:paraId="0EF26C14" w14:textId="77777777" w:rsidR="00DA5DA6" w:rsidRDefault="00DA5DA6" w:rsidP="00DA5DA6">
      <w:pPr>
        <w:spacing w:line="240" w:lineRule="auto"/>
        <w:rPr>
          <w:rFonts w:eastAsia="Times New Roman" w:cs="Arial"/>
          <w:color w:val="000000"/>
          <w:lang w:eastAsia="bg-BG"/>
        </w:rPr>
      </w:pPr>
    </w:p>
    <w:p w14:paraId="2CFDEF2F" w14:textId="0ABCFAE9" w:rsidR="00DA5DA6" w:rsidRPr="00DA5DA6" w:rsidRDefault="00DA5DA6" w:rsidP="00DA5DA6">
      <w:pPr>
        <w:spacing w:line="240" w:lineRule="auto"/>
        <w:rPr>
          <w:rFonts w:eastAsia="Times New Roman" w:cs="Arial"/>
        </w:rPr>
      </w:pPr>
      <w:r w:rsidRPr="00DA5DA6">
        <w:rPr>
          <w:rFonts w:eastAsia="Times New Roman" w:cs="Arial"/>
          <w:color w:val="000000"/>
          <w:lang w:eastAsia="bg-BG"/>
        </w:rPr>
        <w:t xml:space="preserve">Няма данни от приложение на Аримидекс по време на кърмене. Аримидекс е противопоказан в периода </w:t>
      </w:r>
      <w:r w:rsidRPr="00DA5DA6">
        <w:rPr>
          <w:rFonts w:eastAsia="Times New Roman" w:cs="Arial"/>
          <w:i/>
          <w:iCs/>
          <w:color w:val="000000"/>
          <w:lang w:eastAsia="bg-BG"/>
        </w:rPr>
        <w:t>на кърмене (вж.</w:t>
      </w:r>
      <w:r w:rsidRPr="00DA5DA6">
        <w:rPr>
          <w:rFonts w:eastAsia="Times New Roman" w:cs="Arial"/>
          <w:color w:val="000000"/>
          <w:lang w:eastAsia="bg-BG"/>
        </w:rPr>
        <w:t xml:space="preserve"> точка 4.3).</w:t>
      </w:r>
    </w:p>
    <w:p w14:paraId="2D18FF15" w14:textId="77777777" w:rsidR="00DA5DA6" w:rsidRPr="00DA5DA6" w:rsidRDefault="00DA5DA6" w:rsidP="00DA5DA6">
      <w:pPr>
        <w:spacing w:line="240" w:lineRule="auto"/>
        <w:rPr>
          <w:rFonts w:eastAsia="Times New Roman" w:cs="Arial"/>
          <w:color w:val="000000"/>
          <w:u w:val="single"/>
          <w:lang w:eastAsia="bg-BG"/>
        </w:rPr>
      </w:pPr>
    </w:p>
    <w:p w14:paraId="24CDBAC3" w14:textId="4F6692C2" w:rsidR="00DA5DA6" w:rsidRPr="00DA5DA6" w:rsidRDefault="00DA5DA6" w:rsidP="00DA5DA6">
      <w:pPr>
        <w:pStyle w:val="Heading3"/>
        <w:rPr>
          <w:rFonts w:eastAsia="Times New Roman"/>
          <w:u w:val="single"/>
        </w:rPr>
      </w:pPr>
      <w:r w:rsidRPr="00DA5DA6">
        <w:rPr>
          <w:rFonts w:eastAsia="Times New Roman"/>
          <w:u w:val="single"/>
          <w:lang w:eastAsia="bg-BG"/>
        </w:rPr>
        <w:t>Фептилитет</w:t>
      </w:r>
    </w:p>
    <w:p w14:paraId="0E3C221F" w14:textId="77777777" w:rsidR="00DA5DA6" w:rsidRDefault="00DA5DA6" w:rsidP="00DA5DA6">
      <w:pPr>
        <w:spacing w:line="240" w:lineRule="auto"/>
        <w:rPr>
          <w:rFonts w:eastAsia="Times New Roman" w:cs="Arial"/>
          <w:color w:val="000000"/>
          <w:lang w:eastAsia="bg-BG"/>
        </w:rPr>
      </w:pPr>
    </w:p>
    <w:p w14:paraId="038298C5" w14:textId="0528EDEC" w:rsidR="00DA5DA6" w:rsidRPr="00DA5DA6" w:rsidRDefault="00DA5DA6" w:rsidP="00DA5DA6">
      <w:pPr>
        <w:spacing w:line="240" w:lineRule="auto"/>
        <w:rPr>
          <w:rFonts w:eastAsia="Times New Roman" w:cs="Arial"/>
        </w:rPr>
      </w:pPr>
      <w:r w:rsidRPr="00DA5DA6">
        <w:rPr>
          <w:rFonts w:eastAsia="Times New Roman" w:cs="Arial"/>
          <w:color w:val="000000"/>
          <w:lang w:eastAsia="bg-BG"/>
        </w:rPr>
        <w:t>Ефектите на Аримидекс върху фертилитета при хора не са проучвани. Проучванията при животни показват репродуктивна токсичност (вж. точка 5.3).</w:t>
      </w:r>
    </w:p>
    <w:p w14:paraId="54557603" w14:textId="77777777" w:rsidR="00DA5DA6" w:rsidRPr="00DA5DA6" w:rsidRDefault="00DA5DA6" w:rsidP="00DA5DA6"/>
    <w:p w14:paraId="5DD7A76D" w14:textId="33F5B942" w:rsidR="007122AD" w:rsidRDefault="002C50EE" w:rsidP="00936AD0">
      <w:pPr>
        <w:pStyle w:val="Heading2"/>
      </w:pPr>
      <w:r>
        <w:t>4.7. Ефекти върху способността за шофиране и работа с машини</w:t>
      </w:r>
    </w:p>
    <w:p w14:paraId="74D0E314" w14:textId="0CA468C2" w:rsidR="00DA5DA6" w:rsidRDefault="00DA5DA6" w:rsidP="00DA5DA6"/>
    <w:p w14:paraId="017C4E0F" w14:textId="77777777" w:rsidR="00DA5DA6" w:rsidRPr="00DA5DA6" w:rsidRDefault="00DA5DA6" w:rsidP="00DA5DA6">
      <w:pPr>
        <w:rPr>
          <w:sz w:val="24"/>
          <w:szCs w:val="24"/>
        </w:rPr>
      </w:pPr>
      <w:r w:rsidRPr="00DA5DA6">
        <w:rPr>
          <w:lang w:eastAsia="bg-BG"/>
        </w:rPr>
        <w:t>Аримидекс не повлиява или повлиява пренебрежимо способността за шофиране и работа с машини. Все пак има съобщения за астения и сомнолентност при прилагане на Аримидекс и, при шофиране или работа с машини трябва да се подхожда с повишено внимание, докато тези симптоми продължават.</w:t>
      </w:r>
    </w:p>
    <w:p w14:paraId="1A53A2EF" w14:textId="77777777" w:rsidR="00DA5DA6" w:rsidRPr="00DA5DA6" w:rsidRDefault="00DA5DA6" w:rsidP="00DA5DA6"/>
    <w:p w14:paraId="44CE30A3" w14:textId="18CB554A" w:rsidR="007122AD" w:rsidRDefault="002C50EE" w:rsidP="00936AD0">
      <w:pPr>
        <w:pStyle w:val="Heading2"/>
      </w:pPr>
      <w:r>
        <w:t>4.8. Нежелани лекарствени реакции</w:t>
      </w:r>
    </w:p>
    <w:p w14:paraId="4B93C86E" w14:textId="7F7D136A" w:rsidR="00DA5DA6" w:rsidRDefault="00DA5DA6" w:rsidP="00DA5DA6"/>
    <w:p w14:paraId="6A4279A2"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В дадената по-долу таблица са представени нежелани реакции от клинични проучвания, пост- маркетингови проучвания или спонтанни съобщения. Освен ако не е посочено друго, честотата е изчислена въз основа на броя нежелани реакции, съобщени в голямо клинично проучване във фаза III, включващо 9 </w:t>
      </w:r>
      <w:r w:rsidRPr="00DA5DA6">
        <w:rPr>
          <w:rFonts w:eastAsia="Times New Roman" w:cs="Arial"/>
          <w:i/>
          <w:iCs/>
          <w:color w:val="000000"/>
          <w:szCs w:val="20"/>
          <w:lang w:eastAsia="bg-BG"/>
        </w:rPr>
        <w:t>366</w:t>
      </w:r>
      <w:r w:rsidRPr="00DA5DA6">
        <w:rPr>
          <w:rFonts w:eastAsia="Times New Roman" w:cs="Arial"/>
          <w:color w:val="000000"/>
          <w:szCs w:val="20"/>
          <w:lang w:eastAsia="bg-BG"/>
        </w:rPr>
        <w:t xml:space="preserve"> постменопаузални жени с операбилен </w:t>
      </w:r>
      <w:r w:rsidRPr="00DA5DA6">
        <w:rPr>
          <w:rFonts w:eastAsia="Times New Roman" w:cs="Arial"/>
          <w:color w:val="000000"/>
          <w:szCs w:val="20"/>
          <w:lang w:eastAsia="bg-BG"/>
        </w:rPr>
        <w:lastRenderedPageBreak/>
        <w:t xml:space="preserve">рак на гърдата, на които е прилагано адювантно лечение в продължение на 5 години (Проучване за лечение с тамоксифен и Аримидекс самостоятелно или в комбинация, </w:t>
      </w:r>
      <w:r w:rsidRPr="00DA5DA6">
        <w:rPr>
          <w:rFonts w:eastAsia="Times New Roman" w:cs="Arial"/>
          <w:color w:val="000000"/>
          <w:szCs w:val="20"/>
          <w:lang w:val="en-US"/>
        </w:rPr>
        <w:t>The</w:t>
      </w:r>
      <w:r w:rsidRPr="00DA5DA6">
        <w:rPr>
          <w:rFonts w:eastAsia="Times New Roman" w:cs="Arial"/>
          <w:color w:val="000000"/>
          <w:szCs w:val="20"/>
          <w:lang w:val="ru-RU"/>
        </w:rPr>
        <w:t xml:space="preserve"> </w:t>
      </w:r>
      <w:proofErr w:type="spellStart"/>
      <w:r w:rsidRPr="00DA5DA6">
        <w:rPr>
          <w:rFonts w:eastAsia="Times New Roman" w:cs="Arial"/>
          <w:color w:val="000000"/>
          <w:szCs w:val="20"/>
          <w:lang w:val="en-US"/>
        </w:rPr>
        <w:t>Arimidex</w:t>
      </w:r>
      <w:proofErr w:type="spellEnd"/>
      <w:r w:rsidRPr="00DA5DA6">
        <w:rPr>
          <w:rFonts w:eastAsia="Times New Roman" w:cs="Arial"/>
          <w:color w:val="000000"/>
          <w:szCs w:val="20"/>
          <w:lang w:val="ru-RU"/>
        </w:rPr>
        <w:t xml:space="preserve">, </w:t>
      </w:r>
      <w:r w:rsidRPr="00DA5DA6">
        <w:rPr>
          <w:rFonts w:eastAsia="Times New Roman" w:cs="Arial"/>
          <w:color w:val="000000"/>
          <w:szCs w:val="20"/>
          <w:lang w:val="en-US"/>
        </w:rPr>
        <w:t>Tamoxifen</w:t>
      </w:r>
      <w:r w:rsidRPr="00DA5DA6">
        <w:rPr>
          <w:rFonts w:eastAsia="Times New Roman" w:cs="Arial"/>
          <w:color w:val="000000"/>
          <w:szCs w:val="20"/>
          <w:lang w:val="ru-RU"/>
        </w:rPr>
        <w:t xml:space="preserve">, </w:t>
      </w:r>
      <w:r w:rsidRPr="00DA5DA6">
        <w:rPr>
          <w:rFonts w:eastAsia="Times New Roman" w:cs="Arial"/>
          <w:color w:val="000000"/>
          <w:szCs w:val="20"/>
          <w:lang w:val="en-US"/>
        </w:rPr>
        <w:t>Alone</w:t>
      </w:r>
      <w:r w:rsidRPr="00DA5DA6">
        <w:rPr>
          <w:rFonts w:eastAsia="Times New Roman" w:cs="Arial"/>
          <w:color w:val="000000"/>
          <w:szCs w:val="20"/>
          <w:lang w:val="ru-RU"/>
        </w:rPr>
        <w:t xml:space="preserve"> </w:t>
      </w:r>
      <w:r w:rsidRPr="00DA5DA6">
        <w:rPr>
          <w:rFonts w:eastAsia="Times New Roman" w:cs="Arial"/>
          <w:color w:val="000000"/>
          <w:szCs w:val="20"/>
          <w:lang w:val="en-US"/>
        </w:rPr>
        <w:t>or</w:t>
      </w:r>
      <w:r w:rsidRPr="00DA5DA6">
        <w:rPr>
          <w:rFonts w:eastAsia="Times New Roman" w:cs="Arial"/>
          <w:color w:val="000000"/>
          <w:szCs w:val="20"/>
          <w:lang w:val="ru-RU"/>
        </w:rPr>
        <w:t xml:space="preserve"> </w:t>
      </w:r>
      <w:r w:rsidRPr="00DA5DA6">
        <w:rPr>
          <w:rFonts w:eastAsia="Times New Roman" w:cs="Arial"/>
          <w:color w:val="000000"/>
          <w:szCs w:val="20"/>
          <w:lang w:val="en-US"/>
        </w:rPr>
        <w:t>in</w:t>
      </w:r>
      <w:r w:rsidRPr="00DA5DA6">
        <w:rPr>
          <w:rFonts w:eastAsia="Times New Roman" w:cs="Arial"/>
          <w:color w:val="000000"/>
          <w:szCs w:val="20"/>
          <w:lang w:val="ru-RU"/>
        </w:rPr>
        <w:t xml:space="preserve"> </w:t>
      </w:r>
      <w:r w:rsidRPr="00DA5DA6">
        <w:rPr>
          <w:rFonts w:eastAsia="Times New Roman" w:cs="Arial"/>
          <w:color w:val="000000"/>
          <w:szCs w:val="20"/>
          <w:lang w:val="en-US"/>
        </w:rPr>
        <w:t>Combination</w:t>
      </w:r>
      <w:r w:rsidRPr="00DA5DA6">
        <w:rPr>
          <w:rFonts w:eastAsia="Times New Roman" w:cs="Arial"/>
          <w:color w:val="000000"/>
          <w:szCs w:val="20"/>
          <w:lang w:val="ru-RU"/>
        </w:rPr>
        <w:t xml:space="preserve"> [</w:t>
      </w:r>
      <w:r w:rsidRPr="00DA5DA6">
        <w:rPr>
          <w:rFonts w:eastAsia="Times New Roman" w:cs="Arial"/>
          <w:color w:val="000000"/>
          <w:szCs w:val="20"/>
          <w:lang w:val="en-US"/>
        </w:rPr>
        <w:t>ATAC</w:t>
      </w:r>
      <w:r w:rsidRPr="00DA5DA6">
        <w:rPr>
          <w:rFonts w:eastAsia="Times New Roman" w:cs="Arial"/>
          <w:color w:val="000000"/>
          <w:szCs w:val="20"/>
          <w:lang w:val="ru-RU"/>
        </w:rPr>
        <w:t>]).</w:t>
      </w:r>
    </w:p>
    <w:p w14:paraId="01D44AE7" w14:textId="77777777" w:rsidR="00DA5DA6" w:rsidRPr="00DA5DA6" w:rsidRDefault="00DA5DA6" w:rsidP="00DA5DA6">
      <w:pPr>
        <w:spacing w:line="240" w:lineRule="auto"/>
        <w:rPr>
          <w:rFonts w:eastAsia="Times New Roman" w:cs="Arial"/>
          <w:color w:val="000000"/>
          <w:szCs w:val="20"/>
          <w:lang w:eastAsia="bg-BG"/>
        </w:rPr>
      </w:pPr>
    </w:p>
    <w:p w14:paraId="13413743" w14:textId="203A90DE"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Изброените по-долу нежелани реакции са групирани по честота и системо-органен клас (СОК). Групите по честота са дефинирани както следва: много чести (≥ 1/10), чести (≥1/100 до &lt; 1/10), нечести (≥ 1/1 000 до &lt; 1/100), редки (≥ 1/10 000 до &lt; 1/1 000) и много редки (&lt; 1/10 000). Най- често съобщаваните нежелани реакции са главоболие, горещи вълни, гадене, обрив, артралгия, скованост на ставите, артрит и астения.</w:t>
      </w:r>
    </w:p>
    <w:p w14:paraId="5ECE1BF4" w14:textId="77777777" w:rsidR="00DA5DA6" w:rsidRPr="00DA5DA6" w:rsidRDefault="00DA5DA6" w:rsidP="00DA5DA6">
      <w:pPr>
        <w:rPr>
          <w:rFonts w:eastAsia="Times New Roman" w:cs="Arial"/>
          <w:b/>
          <w:bCs/>
          <w:color w:val="000000"/>
          <w:szCs w:val="20"/>
          <w:u w:val="single"/>
          <w:lang w:eastAsia="bg-BG"/>
        </w:rPr>
      </w:pPr>
    </w:p>
    <w:p w14:paraId="7C5EBDCB" w14:textId="4ED2E29A" w:rsidR="00DA5DA6" w:rsidRDefault="00DA5DA6" w:rsidP="00DA5DA6">
      <w:pPr>
        <w:rPr>
          <w:rFonts w:eastAsia="Times New Roman" w:cs="Arial"/>
          <w:b/>
          <w:bCs/>
          <w:color w:val="000000"/>
          <w:szCs w:val="20"/>
          <w:lang w:eastAsia="bg-BG"/>
        </w:rPr>
      </w:pPr>
      <w:r w:rsidRPr="00DA5DA6">
        <w:rPr>
          <w:rFonts w:eastAsia="Times New Roman" w:cs="Arial"/>
          <w:b/>
          <w:bCs/>
          <w:color w:val="000000"/>
          <w:szCs w:val="20"/>
          <w:u w:val="single"/>
          <w:lang w:eastAsia="bg-BG"/>
        </w:rPr>
        <w:t>Таблица 1 Нежелани реакции по системо-органен</w:t>
      </w:r>
      <w:r w:rsidRPr="00DA5DA6">
        <w:rPr>
          <w:rFonts w:eastAsia="Times New Roman" w:cs="Arial"/>
          <w:b/>
          <w:bCs/>
          <w:color w:val="000000"/>
          <w:szCs w:val="20"/>
          <w:lang w:eastAsia="bg-BG"/>
        </w:rPr>
        <w:t xml:space="preserve"> клас и честота</w:t>
      </w:r>
    </w:p>
    <w:tbl>
      <w:tblPr>
        <w:tblStyle w:val="TableGrid"/>
        <w:tblW w:w="0" w:type="auto"/>
        <w:tblLook w:val="04A0" w:firstRow="1" w:lastRow="0" w:firstColumn="1" w:lastColumn="0" w:noHBand="0" w:noVBand="1"/>
      </w:tblPr>
      <w:tblGrid>
        <w:gridCol w:w="3095"/>
        <w:gridCol w:w="2907"/>
        <w:gridCol w:w="3348"/>
      </w:tblGrid>
      <w:tr w:rsidR="00DA5DA6" w14:paraId="6FE468A0" w14:textId="77777777" w:rsidTr="00DA5DA6">
        <w:tc>
          <w:tcPr>
            <w:tcW w:w="9576" w:type="dxa"/>
            <w:gridSpan w:val="3"/>
          </w:tcPr>
          <w:p w14:paraId="4A887459" w14:textId="0E3EE30D" w:rsidR="00DA5DA6" w:rsidRPr="00DA5DA6" w:rsidRDefault="00DA5DA6" w:rsidP="00DA5DA6">
            <w:pPr>
              <w:rPr>
                <w:rFonts w:cs="Arial"/>
              </w:rPr>
            </w:pPr>
            <w:r w:rsidRPr="00DA5DA6">
              <w:rPr>
                <w:b/>
                <w:bCs/>
                <w:szCs w:val="20"/>
              </w:rPr>
              <w:t>Нежелани реакции по СОК и честота</w:t>
            </w:r>
          </w:p>
        </w:tc>
      </w:tr>
      <w:tr w:rsidR="00DA5DA6" w14:paraId="12E6D040" w14:textId="77777777" w:rsidTr="00DA5DA6">
        <w:tc>
          <w:tcPr>
            <w:tcW w:w="3152" w:type="dxa"/>
            <w:vMerge w:val="restart"/>
          </w:tcPr>
          <w:p w14:paraId="288EAA5A" w14:textId="022F5BC9" w:rsidR="00DA5DA6" w:rsidRPr="00DA5DA6" w:rsidRDefault="00DA5DA6" w:rsidP="00DA5DA6">
            <w:pPr>
              <w:rPr>
                <w:rFonts w:cs="Arial"/>
              </w:rPr>
            </w:pPr>
            <w:r w:rsidRPr="00DA5DA6">
              <w:rPr>
                <w:szCs w:val="20"/>
              </w:rPr>
              <w:t>Нарушения на метаболизма и храненето</w:t>
            </w:r>
          </w:p>
        </w:tc>
        <w:tc>
          <w:tcPr>
            <w:tcW w:w="3076" w:type="dxa"/>
          </w:tcPr>
          <w:p w14:paraId="042A0BA7" w14:textId="6DE0EB3C" w:rsidR="00DA5DA6" w:rsidRPr="00DA5DA6" w:rsidRDefault="00DA5DA6" w:rsidP="00DA5DA6">
            <w:pPr>
              <w:rPr>
                <w:rFonts w:cs="Arial"/>
              </w:rPr>
            </w:pPr>
            <w:r w:rsidRPr="00DA5DA6">
              <w:rPr>
                <w:szCs w:val="20"/>
              </w:rPr>
              <w:t>Чести</w:t>
            </w:r>
          </w:p>
        </w:tc>
        <w:tc>
          <w:tcPr>
            <w:tcW w:w="3348" w:type="dxa"/>
          </w:tcPr>
          <w:p w14:paraId="68AD45FF" w14:textId="77777777" w:rsidR="00DA5DA6" w:rsidRPr="00DA5DA6" w:rsidRDefault="00DA5DA6" w:rsidP="00DA5DA6">
            <w:r w:rsidRPr="00DA5DA6">
              <w:rPr>
                <w:szCs w:val="20"/>
              </w:rPr>
              <w:t>Анорексия</w:t>
            </w:r>
          </w:p>
          <w:p w14:paraId="5C0DA7AF" w14:textId="5A633974" w:rsidR="00DA5DA6" w:rsidRPr="00DA5DA6" w:rsidRDefault="00DA5DA6" w:rsidP="00DA5DA6">
            <w:pPr>
              <w:rPr>
                <w:rFonts w:cs="Arial"/>
              </w:rPr>
            </w:pPr>
            <w:r w:rsidRPr="00DA5DA6">
              <w:rPr>
                <w:szCs w:val="20"/>
              </w:rPr>
              <w:t>Хиперхолестеролемия</w:t>
            </w:r>
          </w:p>
        </w:tc>
      </w:tr>
      <w:tr w:rsidR="00DA5DA6" w14:paraId="011AA310" w14:textId="77777777" w:rsidTr="00DA5DA6">
        <w:tc>
          <w:tcPr>
            <w:tcW w:w="3152" w:type="dxa"/>
            <w:vMerge/>
          </w:tcPr>
          <w:p w14:paraId="3BCFDB67" w14:textId="77777777" w:rsidR="00DA5DA6" w:rsidRPr="00DA5DA6" w:rsidRDefault="00DA5DA6" w:rsidP="00DA5DA6">
            <w:pPr>
              <w:rPr>
                <w:rFonts w:cs="Arial"/>
              </w:rPr>
            </w:pPr>
          </w:p>
        </w:tc>
        <w:tc>
          <w:tcPr>
            <w:tcW w:w="3076" w:type="dxa"/>
          </w:tcPr>
          <w:p w14:paraId="3020C214" w14:textId="2B9FED9C" w:rsidR="00DA5DA6" w:rsidRPr="00DA5DA6" w:rsidRDefault="00DA5DA6" w:rsidP="00DA5DA6">
            <w:pPr>
              <w:rPr>
                <w:rFonts w:cs="Arial"/>
              </w:rPr>
            </w:pPr>
            <w:r w:rsidRPr="00DA5DA6">
              <w:rPr>
                <w:szCs w:val="20"/>
              </w:rPr>
              <w:t>Нечести</w:t>
            </w:r>
          </w:p>
        </w:tc>
        <w:tc>
          <w:tcPr>
            <w:tcW w:w="3348" w:type="dxa"/>
          </w:tcPr>
          <w:p w14:paraId="73C253ED" w14:textId="316B44AD" w:rsidR="00DA5DA6" w:rsidRPr="00DA5DA6" w:rsidRDefault="00DA5DA6" w:rsidP="00DA5DA6">
            <w:pPr>
              <w:rPr>
                <w:rFonts w:cs="Arial"/>
              </w:rPr>
            </w:pPr>
            <w:r w:rsidRPr="00DA5DA6">
              <w:rPr>
                <w:szCs w:val="20"/>
              </w:rPr>
              <w:t>Хиперкалциемия (с или без повишаване на паратхормона)</w:t>
            </w:r>
          </w:p>
        </w:tc>
      </w:tr>
      <w:tr w:rsidR="00DA5DA6" w14:paraId="36109542" w14:textId="77777777" w:rsidTr="00DA5DA6">
        <w:tc>
          <w:tcPr>
            <w:tcW w:w="3152" w:type="dxa"/>
          </w:tcPr>
          <w:p w14:paraId="75EE48F1" w14:textId="7B3673DD" w:rsidR="00DA5DA6" w:rsidRPr="00DA5DA6" w:rsidRDefault="00DA5DA6" w:rsidP="00DA5DA6">
            <w:pPr>
              <w:rPr>
                <w:rFonts w:cs="Arial"/>
              </w:rPr>
            </w:pPr>
            <w:r w:rsidRPr="00DA5DA6">
              <w:rPr>
                <w:szCs w:val="20"/>
              </w:rPr>
              <w:t>Психични нарушения</w:t>
            </w:r>
          </w:p>
        </w:tc>
        <w:tc>
          <w:tcPr>
            <w:tcW w:w="3076" w:type="dxa"/>
          </w:tcPr>
          <w:p w14:paraId="5171453B" w14:textId="7307EF60" w:rsidR="00DA5DA6" w:rsidRPr="00DA5DA6" w:rsidRDefault="00DA5DA6" w:rsidP="00DA5DA6">
            <w:pPr>
              <w:rPr>
                <w:rFonts w:cs="Arial"/>
              </w:rPr>
            </w:pPr>
            <w:r w:rsidRPr="00DA5DA6">
              <w:rPr>
                <w:szCs w:val="20"/>
              </w:rPr>
              <w:t>Много чести</w:t>
            </w:r>
          </w:p>
        </w:tc>
        <w:tc>
          <w:tcPr>
            <w:tcW w:w="3348" w:type="dxa"/>
          </w:tcPr>
          <w:p w14:paraId="0179BB3C" w14:textId="12772D17" w:rsidR="00DA5DA6" w:rsidRPr="00DA5DA6" w:rsidRDefault="00DA5DA6" w:rsidP="00DA5DA6">
            <w:pPr>
              <w:rPr>
                <w:rFonts w:cs="Arial"/>
              </w:rPr>
            </w:pPr>
            <w:r w:rsidRPr="00DA5DA6">
              <w:rPr>
                <w:szCs w:val="20"/>
              </w:rPr>
              <w:t>Депресия</w:t>
            </w:r>
          </w:p>
        </w:tc>
      </w:tr>
      <w:tr w:rsidR="00DA5DA6" w14:paraId="49DCEFE0" w14:textId="77777777" w:rsidTr="00DA5DA6">
        <w:tc>
          <w:tcPr>
            <w:tcW w:w="3152" w:type="dxa"/>
            <w:vMerge w:val="restart"/>
          </w:tcPr>
          <w:p w14:paraId="353AE21D" w14:textId="01097E89" w:rsidR="00DA5DA6" w:rsidRPr="00DA5DA6" w:rsidRDefault="00DA5DA6" w:rsidP="00DA5DA6">
            <w:pPr>
              <w:rPr>
                <w:rFonts w:cs="Arial"/>
              </w:rPr>
            </w:pPr>
            <w:r w:rsidRPr="00DA5DA6">
              <w:rPr>
                <w:szCs w:val="20"/>
              </w:rPr>
              <w:t>Нарушения на нервната система</w:t>
            </w:r>
          </w:p>
        </w:tc>
        <w:tc>
          <w:tcPr>
            <w:tcW w:w="3076" w:type="dxa"/>
          </w:tcPr>
          <w:p w14:paraId="2F014F5F" w14:textId="64480391" w:rsidR="00DA5DA6" w:rsidRPr="00DA5DA6" w:rsidRDefault="00DA5DA6" w:rsidP="00DA5DA6">
            <w:pPr>
              <w:rPr>
                <w:rFonts w:cs="Arial"/>
              </w:rPr>
            </w:pPr>
            <w:r w:rsidRPr="00DA5DA6">
              <w:rPr>
                <w:szCs w:val="20"/>
              </w:rPr>
              <w:t>Много чести</w:t>
            </w:r>
          </w:p>
        </w:tc>
        <w:tc>
          <w:tcPr>
            <w:tcW w:w="3348" w:type="dxa"/>
          </w:tcPr>
          <w:p w14:paraId="604ECB5F" w14:textId="39BDBB8D" w:rsidR="00DA5DA6" w:rsidRPr="00DA5DA6" w:rsidRDefault="00DA5DA6" w:rsidP="00DA5DA6">
            <w:pPr>
              <w:rPr>
                <w:rFonts w:cs="Arial"/>
              </w:rPr>
            </w:pPr>
            <w:r w:rsidRPr="00DA5DA6">
              <w:rPr>
                <w:szCs w:val="20"/>
              </w:rPr>
              <w:t>Главоболие</w:t>
            </w:r>
          </w:p>
        </w:tc>
      </w:tr>
      <w:tr w:rsidR="00DA5DA6" w14:paraId="3A1F83CD" w14:textId="77777777" w:rsidTr="00DA5DA6">
        <w:tc>
          <w:tcPr>
            <w:tcW w:w="3152" w:type="dxa"/>
            <w:vMerge/>
          </w:tcPr>
          <w:p w14:paraId="3BEB4196" w14:textId="77777777" w:rsidR="00DA5DA6" w:rsidRPr="00DA5DA6" w:rsidRDefault="00DA5DA6" w:rsidP="00DA5DA6">
            <w:pPr>
              <w:rPr>
                <w:rFonts w:cs="Arial"/>
              </w:rPr>
            </w:pPr>
          </w:p>
        </w:tc>
        <w:tc>
          <w:tcPr>
            <w:tcW w:w="3076" w:type="dxa"/>
          </w:tcPr>
          <w:p w14:paraId="4B3FEFD5" w14:textId="3ED0E86A" w:rsidR="00DA5DA6" w:rsidRPr="00DA5DA6" w:rsidRDefault="00DA5DA6" w:rsidP="00DA5DA6">
            <w:pPr>
              <w:rPr>
                <w:rFonts w:cs="Arial"/>
              </w:rPr>
            </w:pPr>
            <w:r w:rsidRPr="00DA5DA6">
              <w:rPr>
                <w:szCs w:val="20"/>
              </w:rPr>
              <w:t>Чести</w:t>
            </w:r>
          </w:p>
        </w:tc>
        <w:tc>
          <w:tcPr>
            <w:tcW w:w="3348" w:type="dxa"/>
          </w:tcPr>
          <w:p w14:paraId="6F70FC54" w14:textId="77777777" w:rsidR="00DA5DA6" w:rsidRPr="00DA5DA6" w:rsidRDefault="00DA5DA6" w:rsidP="00DA5DA6">
            <w:r w:rsidRPr="00DA5DA6">
              <w:rPr>
                <w:szCs w:val="20"/>
              </w:rPr>
              <w:t>Сомнолентност</w:t>
            </w:r>
          </w:p>
          <w:p w14:paraId="5C8D09D7" w14:textId="77777777" w:rsidR="00DA5DA6" w:rsidRPr="00DA5DA6" w:rsidRDefault="00DA5DA6" w:rsidP="00DA5DA6">
            <w:r w:rsidRPr="00DA5DA6">
              <w:rPr>
                <w:szCs w:val="20"/>
              </w:rPr>
              <w:t>Синдром на карпалния канал*</w:t>
            </w:r>
          </w:p>
          <w:p w14:paraId="6EE09E22" w14:textId="29BF6987" w:rsidR="00DA5DA6" w:rsidRPr="00DA5DA6" w:rsidRDefault="00DA5DA6" w:rsidP="00DA5DA6">
            <w:pPr>
              <w:rPr>
                <w:rFonts w:cs="Arial"/>
              </w:rPr>
            </w:pPr>
            <w:r w:rsidRPr="00DA5DA6">
              <w:rPr>
                <w:szCs w:val="20"/>
              </w:rPr>
              <w:t>Сензорни нарушения (включително парестезия, загуба на вкуса и извратен вкус).</w:t>
            </w:r>
          </w:p>
        </w:tc>
      </w:tr>
      <w:tr w:rsidR="00DA5DA6" w14:paraId="7BFCF6A8" w14:textId="77777777" w:rsidTr="00DA5DA6">
        <w:tc>
          <w:tcPr>
            <w:tcW w:w="3152" w:type="dxa"/>
          </w:tcPr>
          <w:p w14:paraId="66101647" w14:textId="2F403384" w:rsidR="00DA5DA6" w:rsidRPr="00DA5DA6" w:rsidRDefault="00DA5DA6" w:rsidP="00DA5DA6">
            <w:pPr>
              <w:rPr>
                <w:rFonts w:cs="Arial"/>
              </w:rPr>
            </w:pPr>
            <w:r w:rsidRPr="00DA5DA6">
              <w:rPr>
                <w:szCs w:val="20"/>
              </w:rPr>
              <w:t>Съдови нарушения</w:t>
            </w:r>
          </w:p>
        </w:tc>
        <w:tc>
          <w:tcPr>
            <w:tcW w:w="3076" w:type="dxa"/>
          </w:tcPr>
          <w:p w14:paraId="12339496" w14:textId="4D050FC4" w:rsidR="00DA5DA6" w:rsidRPr="00DA5DA6" w:rsidRDefault="00DA5DA6" w:rsidP="00DA5DA6">
            <w:pPr>
              <w:rPr>
                <w:rFonts w:cs="Arial"/>
              </w:rPr>
            </w:pPr>
            <w:r w:rsidRPr="00DA5DA6">
              <w:rPr>
                <w:szCs w:val="20"/>
              </w:rPr>
              <w:t>Много чести</w:t>
            </w:r>
          </w:p>
        </w:tc>
        <w:tc>
          <w:tcPr>
            <w:tcW w:w="3348" w:type="dxa"/>
          </w:tcPr>
          <w:p w14:paraId="5FD7FC75" w14:textId="563AB09D" w:rsidR="00DA5DA6" w:rsidRPr="00DA5DA6" w:rsidRDefault="00DA5DA6" w:rsidP="00DA5DA6">
            <w:pPr>
              <w:rPr>
                <w:rFonts w:cs="Arial"/>
              </w:rPr>
            </w:pPr>
            <w:r w:rsidRPr="00DA5DA6">
              <w:rPr>
                <w:szCs w:val="20"/>
              </w:rPr>
              <w:t>Горещи вълни</w:t>
            </w:r>
          </w:p>
        </w:tc>
      </w:tr>
      <w:tr w:rsidR="00DA5DA6" w14:paraId="22BC1865" w14:textId="77777777" w:rsidTr="00DA5DA6">
        <w:tc>
          <w:tcPr>
            <w:tcW w:w="3152" w:type="dxa"/>
            <w:vMerge w:val="restart"/>
          </w:tcPr>
          <w:p w14:paraId="328F8949" w14:textId="24964BC8" w:rsidR="00DA5DA6" w:rsidRPr="00DA5DA6" w:rsidRDefault="00DA5DA6" w:rsidP="00DA5DA6">
            <w:pPr>
              <w:rPr>
                <w:rFonts w:cs="Arial"/>
              </w:rPr>
            </w:pPr>
            <w:r w:rsidRPr="00DA5DA6">
              <w:t>Стомашно-чревни нарушения</w:t>
            </w:r>
          </w:p>
        </w:tc>
        <w:tc>
          <w:tcPr>
            <w:tcW w:w="3076" w:type="dxa"/>
          </w:tcPr>
          <w:p w14:paraId="479291E8" w14:textId="34E5FBD8" w:rsidR="00DA5DA6" w:rsidRPr="00DA5DA6" w:rsidRDefault="00DA5DA6" w:rsidP="00DA5DA6">
            <w:pPr>
              <w:rPr>
                <w:rFonts w:cs="Arial"/>
              </w:rPr>
            </w:pPr>
            <w:r w:rsidRPr="00DA5DA6">
              <w:t>Много чести</w:t>
            </w:r>
          </w:p>
        </w:tc>
        <w:tc>
          <w:tcPr>
            <w:tcW w:w="3348" w:type="dxa"/>
          </w:tcPr>
          <w:p w14:paraId="5CF449B2" w14:textId="75FB4C2E" w:rsidR="00DA5DA6" w:rsidRPr="00DA5DA6" w:rsidRDefault="00DA5DA6" w:rsidP="00DA5DA6">
            <w:pPr>
              <w:rPr>
                <w:rFonts w:cs="Arial"/>
              </w:rPr>
            </w:pPr>
            <w:r w:rsidRPr="00DA5DA6">
              <w:t>Гадене</w:t>
            </w:r>
          </w:p>
        </w:tc>
      </w:tr>
      <w:tr w:rsidR="00DA5DA6" w14:paraId="612B4D7B" w14:textId="77777777" w:rsidTr="00DA5DA6">
        <w:tc>
          <w:tcPr>
            <w:tcW w:w="3152" w:type="dxa"/>
            <w:vMerge/>
          </w:tcPr>
          <w:p w14:paraId="25008F4B" w14:textId="77777777" w:rsidR="00DA5DA6" w:rsidRPr="00DA5DA6" w:rsidRDefault="00DA5DA6" w:rsidP="00DA5DA6">
            <w:pPr>
              <w:rPr>
                <w:rFonts w:cs="Arial"/>
              </w:rPr>
            </w:pPr>
          </w:p>
        </w:tc>
        <w:tc>
          <w:tcPr>
            <w:tcW w:w="3076" w:type="dxa"/>
          </w:tcPr>
          <w:p w14:paraId="2185F75B" w14:textId="44A68230" w:rsidR="00DA5DA6" w:rsidRPr="00DA5DA6" w:rsidRDefault="00DA5DA6" w:rsidP="00DA5DA6">
            <w:pPr>
              <w:rPr>
                <w:rFonts w:cs="Arial"/>
              </w:rPr>
            </w:pPr>
            <w:r w:rsidRPr="00DA5DA6">
              <w:t>Чести</w:t>
            </w:r>
          </w:p>
        </w:tc>
        <w:tc>
          <w:tcPr>
            <w:tcW w:w="3348" w:type="dxa"/>
          </w:tcPr>
          <w:p w14:paraId="42DD407B" w14:textId="77777777" w:rsidR="00DA5DA6" w:rsidRPr="00DA5DA6" w:rsidRDefault="00DA5DA6" w:rsidP="00DA5DA6">
            <w:r w:rsidRPr="00DA5DA6">
              <w:t>Диария</w:t>
            </w:r>
          </w:p>
          <w:p w14:paraId="2B6F1FFF" w14:textId="3CFF8EBE" w:rsidR="00DA5DA6" w:rsidRPr="00DA5DA6" w:rsidRDefault="00DA5DA6" w:rsidP="00DA5DA6">
            <w:pPr>
              <w:rPr>
                <w:rFonts w:cs="Arial"/>
              </w:rPr>
            </w:pPr>
            <w:r w:rsidRPr="00DA5DA6">
              <w:t>Повръщане</w:t>
            </w:r>
          </w:p>
        </w:tc>
      </w:tr>
      <w:tr w:rsidR="00DA5DA6" w14:paraId="6D463DC7" w14:textId="77777777" w:rsidTr="00DA5DA6">
        <w:tc>
          <w:tcPr>
            <w:tcW w:w="3152" w:type="dxa"/>
            <w:vMerge w:val="restart"/>
          </w:tcPr>
          <w:p w14:paraId="55484B56" w14:textId="31CCAFB8" w:rsidR="00DA5DA6" w:rsidRPr="00DA5DA6" w:rsidRDefault="00DA5DA6" w:rsidP="00DA5DA6">
            <w:pPr>
              <w:rPr>
                <w:rFonts w:cs="Arial"/>
              </w:rPr>
            </w:pPr>
            <w:r w:rsidRPr="00DA5DA6">
              <w:t>Хепатобилиарни нарушения</w:t>
            </w:r>
          </w:p>
        </w:tc>
        <w:tc>
          <w:tcPr>
            <w:tcW w:w="3076" w:type="dxa"/>
          </w:tcPr>
          <w:p w14:paraId="517F1269" w14:textId="147E006F" w:rsidR="00DA5DA6" w:rsidRPr="00DA5DA6" w:rsidRDefault="00DA5DA6" w:rsidP="00DA5DA6">
            <w:pPr>
              <w:rPr>
                <w:rFonts w:cs="Arial"/>
              </w:rPr>
            </w:pPr>
            <w:r w:rsidRPr="00DA5DA6">
              <w:t>Чести</w:t>
            </w:r>
          </w:p>
        </w:tc>
        <w:tc>
          <w:tcPr>
            <w:tcW w:w="3348" w:type="dxa"/>
          </w:tcPr>
          <w:p w14:paraId="12F21CC4" w14:textId="40E36CF4" w:rsidR="00DA5DA6" w:rsidRPr="00DA5DA6" w:rsidRDefault="00DA5DA6" w:rsidP="00DA5DA6">
            <w:pPr>
              <w:rPr>
                <w:rFonts w:cs="Arial"/>
              </w:rPr>
            </w:pPr>
            <w:r w:rsidRPr="00DA5DA6">
              <w:t>Повишаване на алкалната фосфатаза, аланинаминотрансферазата и аспартатаминотрансферазата</w:t>
            </w:r>
          </w:p>
        </w:tc>
      </w:tr>
      <w:tr w:rsidR="00DA5DA6" w14:paraId="23A83842" w14:textId="77777777" w:rsidTr="00DA5DA6">
        <w:tc>
          <w:tcPr>
            <w:tcW w:w="3152" w:type="dxa"/>
            <w:vMerge/>
          </w:tcPr>
          <w:p w14:paraId="3ABCEC6F" w14:textId="77777777" w:rsidR="00DA5DA6" w:rsidRPr="00DA5DA6" w:rsidRDefault="00DA5DA6" w:rsidP="00DA5DA6">
            <w:pPr>
              <w:rPr>
                <w:rFonts w:cs="Arial"/>
              </w:rPr>
            </w:pPr>
          </w:p>
        </w:tc>
        <w:tc>
          <w:tcPr>
            <w:tcW w:w="3076" w:type="dxa"/>
          </w:tcPr>
          <w:p w14:paraId="7CC742F3" w14:textId="6FD7A32E" w:rsidR="00DA5DA6" w:rsidRPr="00DA5DA6" w:rsidRDefault="00DA5DA6" w:rsidP="00DA5DA6">
            <w:pPr>
              <w:rPr>
                <w:rFonts w:cs="Arial"/>
              </w:rPr>
            </w:pPr>
            <w:r w:rsidRPr="00DA5DA6">
              <w:t>Нечести</w:t>
            </w:r>
          </w:p>
        </w:tc>
        <w:tc>
          <w:tcPr>
            <w:tcW w:w="3348" w:type="dxa"/>
          </w:tcPr>
          <w:p w14:paraId="03606250" w14:textId="3E9C140C" w:rsidR="00DA5DA6" w:rsidRPr="00DA5DA6" w:rsidRDefault="00DA5DA6" w:rsidP="00DA5DA6">
            <w:pPr>
              <w:rPr>
                <w:rFonts w:cs="Arial"/>
              </w:rPr>
            </w:pPr>
            <w:r w:rsidRPr="00DA5DA6">
              <w:t>Повишаване на ГГТ и билирубина Хепатит</w:t>
            </w:r>
          </w:p>
        </w:tc>
      </w:tr>
      <w:tr w:rsidR="00DA5DA6" w14:paraId="27A96954" w14:textId="77777777" w:rsidTr="00DA5DA6">
        <w:tc>
          <w:tcPr>
            <w:tcW w:w="3152" w:type="dxa"/>
            <w:vMerge w:val="restart"/>
          </w:tcPr>
          <w:p w14:paraId="0783015D" w14:textId="04B9DF6A" w:rsidR="00DA5DA6" w:rsidRPr="00DA5DA6" w:rsidRDefault="00DA5DA6" w:rsidP="00DA5DA6">
            <w:pPr>
              <w:rPr>
                <w:rFonts w:cs="Arial"/>
              </w:rPr>
            </w:pPr>
            <w:r w:rsidRPr="00DA5DA6">
              <w:t>Нарушения на кожата и подкожната тъкан</w:t>
            </w:r>
          </w:p>
        </w:tc>
        <w:tc>
          <w:tcPr>
            <w:tcW w:w="3076" w:type="dxa"/>
          </w:tcPr>
          <w:p w14:paraId="47D807E7" w14:textId="69BC8AD2" w:rsidR="00DA5DA6" w:rsidRPr="00DA5DA6" w:rsidRDefault="00DA5DA6" w:rsidP="00DA5DA6">
            <w:pPr>
              <w:rPr>
                <w:rFonts w:cs="Arial"/>
              </w:rPr>
            </w:pPr>
            <w:r w:rsidRPr="00DA5DA6">
              <w:t>Много чести</w:t>
            </w:r>
          </w:p>
        </w:tc>
        <w:tc>
          <w:tcPr>
            <w:tcW w:w="3348" w:type="dxa"/>
          </w:tcPr>
          <w:p w14:paraId="45B40ED2" w14:textId="012685AA" w:rsidR="00DA5DA6" w:rsidRPr="00DA5DA6" w:rsidRDefault="00DA5DA6" w:rsidP="00DA5DA6">
            <w:pPr>
              <w:rPr>
                <w:rFonts w:cs="Arial"/>
              </w:rPr>
            </w:pPr>
            <w:r w:rsidRPr="00DA5DA6">
              <w:t>Обрив</w:t>
            </w:r>
          </w:p>
        </w:tc>
      </w:tr>
      <w:tr w:rsidR="00DA5DA6" w14:paraId="41350E8B" w14:textId="77777777" w:rsidTr="00DA5DA6">
        <w:tc>
          <w:tcPr>
            <w:tcW w:w="3152" w:type="dxa"/>
            <w:vMerge/>
          </w:tcPr>
          <w:p w14:paraId="293A8998" w14:textId="77777777" w:rsidR="00DA5DA6" w:rsidRPr="00DA5DA6" w:rsidRDefault="00DA5DA6" w:rsidP="00DA5DA6">
            <w:pPr>
              <w:rPr>
                <w:rFonts w:cs="Arial"/>
              </w:rPr>
            </w:pPr>
          </w:p>
        </w:tc>
        <w:tc>
          <w:tcPr>
            <w:tcW w:w="3076" w:type="dxa"/>
          </w:tcPr>
          <w:p w14:paraId="45BD4A09" w14:textId="3DE28966" w:rsidR="00DA5DA6" w:rsidRPr="00DA5DA6" w:rsidRDefault="00DA5DA6" w:rsidP="00DA5DA6">
            <w:pPr>
              <w:rPr>
                <w:rFonts w:cs="Arial"/>
              </w:rPr>
            </w:pPr>
            <w:r w:rsidRPr="00DA5DA6">
              <w:t>Чести</w:t>
            </w:r>
          </w:p>
        </w:tc>
        <w:tc>
          <w:tcPr>
            <w:tcW w:w="3348" w:type="dxa"/>
          </w:tcPr>
          <w:p w14:paraId="09CE0F7E" w14:textId="36BDE234" w:rsidR="00DA5DA6" w:rsidRPr="00DA5DA6" w:rsidRDefault="00DA5DA6" w:rsidP="00DA5DA6">
            <w:pPr>
              <w:rPr>
                <w:rFonts w:cs="Arial"/>
              </w:rPr>
            </w:pPr>
            <w:r w:rsidRPr="00DA5DA6">
              <w:t>Косопад (алопеция) Алергични реакции</w:t>
            </w:r>
          </w:p>
        </w:tc>
      </w:tr>
      <w:tr w:rsidR="00DA5DA6" w14:paraId="07B875F2" w14:textId="77777777" w:rsidTr="00DA5DA6">
        <w:tc>
          <w:tcPr>
            <w:tcW w:w="3152" w:type="dxa"/>
            <w:vMerge/>
          </w:tcPr>
          <w:p w14:paraId="2B7BC60F" w14:textId="77777777" w:rsidR="00DA5DA6" w:rsidRPr="00DA5DA6" w:rsidRDefault="00DA5DA6" w:rsidP="00DA5DA6">
            <w:pPr>
              <w:rPr>
                <w:rFonts w:cs="Arial"/>
              </w:rPr>
            </w:pPr>
          </w:p>
        </w:tc>
        <w:tc>
          <w:tcPr>
            <w:tcW w:w="3076" w:type="dxa"/>
          </w:tcPr>
          <w:p w14:paraId="466A05F1" w14:textId="2D9BA328" w:rsidR="00DA5DA6" w:rsidRPr="00DA5DA6" w:rsidRDefault="00DA5DA6" w:rsidP="00DA5DA6">
            <w:pPr>
              <w:rPr>
                <w:rFonts w:cs="Arial"/>
              </w:rPr>
            </w:pPr>
            <w:r w:rsidRPr="00DA5DA6">
              <w:t>Нечести</w:t>
            </w:r>
          </w:p>
        </w:tc>
        <w:tc>
          <w:tcPr>
            <w:tcW w:w="3348" w:type="dxa"/>
          </w:tcPr>
          <w:p w14:paraId="6C72B5E1" w14:textId="46CF0D32" w:rsidR="00DA5DA6" w:rsidRPr="00DA5DA6" w:rsidRDefault="00DA5DA6" w:rsidP="00DA5DA6">
            <w:pPr>
              <w:rPr>
                <w:rFonts w:cs="Arial"/>
              </w:rPr>
            </w:pPr>
            <w:r w:rsidRPr="00DA5DA6">
              <w:t>Уртикария</w:t>
            </w:r>
          </w:p>
        </w:tc>
      </w:tr>
      <w:tr w:rsidR="00DA5DA6" w14:paraId="4F62ABE5" w14:textId="77777777" w:rsidTr="00DA5DA6">
        <w:tc>
          <w:tcPr>
            <w:tcW w:w="3152" w:type="dxa"/>
            <w:vMerge/>
          </w:tcPr>
          <w:p w14:paraId="4A918C78" w14:textId="77777777" w:rsidR="00DA5DA6" w:rsidRPr="00DA5DA6" w:rsidRDefault="00DA5DA6" w:rsidP="00DA5DA6">
            <w:pPr>
              <w:rPr>
                <w:rFonts w:cs="Arial"/>
              </w:rPr>
            </w:pPr>
          </w:p>
        </w:tc>
        <w:tc>
          <w:tcPr>
            <w:tcW w:w="3076" w:type="dxa"/>
          </w:tcPr>
          <w:p w14:paraId="4CC6C357" w14:textId="103A24F0" w:rsidR="00DA5DA6" w:rsidRPr="00DA5DA6" w:rsidRDefault="00DA5DA6" w:rsidP="00DA5DA6">
            <w:pPr>
              <w:rPr>
                <w:rFonts w:cs="Arial"/>
              </w:rPr>
            </w:pPr>
            <w:r w:rsidRPr="00DA5DA6">
              <w:t>Редки</w:t>
            </w:r>
          </w:p>
        </w:tc>
        <w:tc>
          <w:tcPr>
            <w:tcW w:w="3348" w:type="dxa"/>
          </w:tcPr>
          <w:p w14:paraId="21A7C2A3" w14:textId="77777777" w:rsidR="00DA5DA6" w:rsidRPr="00DA5DA6" w:rsidRDefault="00DA5DA6" w:rsidP="00DA5DA6">
            <w:r w:rsidRPr="00DA5DA6">
              <w:t>Еритема мултиформе</w:t>
            </w:r>
          </w:p>
          <w:p w14:paraId="3BE2AA93" w14:textId="77777777" w:rsidR="00DA5DA6" w:rsidRPr="00DA5DA6" w:rsidRDefault="00DA5DA6" w:rsidP="00DA5DA6">
            <w:r w:rsidRPr="00DA5DA6">
              <w:t>Анафилактоидни реакции</w:t>
            </w:r>
          </w:p>
          <w:p w14:paraId="0040C217" w14:textId="01B6AE8F" w:rsidR="00DA5DA6" w:rsidRPr="00DA5DA6" w:rsidRDefault="00DA5DA6" w:rsidP="00DA5DA6">
            <w:pPr>
              <w:rPr>
                <w:rFonts w:cs="Arial"/>
              </w:rPr>
            </w:pPr>
            <w:r w:rsidRPr="00DA5DA6">
              <w:t xml:space="preserve">Кожен васкулит (включително няколко съобщения за пурпура на </w:t>
            </w:r>
            <w:r w:rsidRPr="00DA5DA6">
              <w:rPr>
                <w:lang w:val="en-US"/>
              </w:rPr>
              <w:t>Henoch</w:t>
            </w:r>
            <w:r w:rsidRPr="00DA5DA6">
              <w:rPr>
                <w:lang w:val="ru-RU"/>
              </w:rPr>
              <w:t xml:space="preserve">- </w:t>
            </w:r>
            <w:proofErr w:type="spellStart"/>
            <w:r w:rsidRPr="00DA5DA6">
              <w:rPr>
                <w:lang w:val="en-US"/>
              </w:rPr>
              <w:t>Schonlein</w:t>
            </w:r>
            <w:proofErr w:type="spellEnd"/>
            <w:r w:rsidRPr="00DA5DA6">
              <w:rPr>
                <w:lang w:val="ru-RU"/>
              </w:rPr>
              <w:t>)**</w:t>
            </w:r>
          </w:p>
        </w:tc>
      </w:tr>
      <w:tr w:rsidR="00DA5DA6" w14:paraId="5B3E5C02" w14:textId="77777777" w:rsidTr="00DA5DA6">
        <w:tc>
          <w:tcPr>
            <w:tcW w:w="3152" w:type="dxa"/>
            <w:vMerge/>
          </w:tcPr>
          <w:p w14:paraId="17694B3C" w14:textId="77777777" w:rsidR="00DA5DA6" w:rsidRPr="00DA5DA6" w:rsidRDefault="00DA5DA6" w:rsidP="00DA5DA6">
            <w:pPr>
              <w:rPr>
                <w:rFonts w:cs="Arial"/>
              </w:rPr>
            </w:pPr>
          </w:p>
        </w:tc>
        <w:tc>
          <w:tcPr>
            <w:tcW w:w="3076" w:type="dxa"/>
          </w:tcPr>
          <w:p w14:paraId="3D77F2E5" w14:textId="58535FAA" w:rsidR="00DA5DA6" w:rsidRPr="00DA5DA6" w:rsidRDefault="00DA5DA6" w:rsidP="00DA5DA6">
            <w:pPr>
              <w:rPr>
                <w:rFonts w:cs="Arial"/>
              </w:rPr>
            </w:pPr>
            <w:r w:rsidRPr="00DA5DA6">
              <w:t>Много редки</w:t>
            </w:r>
          </w:p>
        </w:tc>
        <w:tc>
          <w:tcPr>
            <w:tcW w:w="3348" w:type="dxa"/>
          </w:tcPr>
          <w:p w14:paraId="3DAE1A93" w14:textId="1189F40D" w:rsidR="00DA5DA6" w:rsidRPr="00DA5DA6" w:rsidRDefault="00DA5DA6" w:rsidP="00DA5DA6">
            <w:pPr>
              <w:rPr>
                <w:rFonts w:cs="Arial"/>
              </w:rPr>
            </w:pPr>
            <w:r w:rsidRPr="00DA5DA6">
              <w:t xml:space="preserve">Синдром на </w:t>
            </w:r>
            <w:r w:rsidRPr="00DA5DA6">
              <w:rPr>
                <w:lang w:val="en-US"/>
              </w:rPr>
              <w:t>Stevens</w:t>
            </w:r>
            <w:r w:rsidRPr="00DA5DA6">
              <w:t>-</w:t>
            </w:r>
            <w:r w:rsidRPr="00DA5DA6">
              <w:rPr>
                <w:lang w:val="en-US"/>
              </w:rPr>
              <w:t>Johnson</w:t>
            </w:r>
            <w:r w:rsidRPr="00DA5DA6">
              <w:t xml:space="preserve"> Ангиоедем</w:t>
            </w:r>
          </w:p>
        </w:tc>
      </w:tr>
      <w:tr w:rsidR="00DA5DA6" w14:paraId="0FF6BB7E" w14:textId="77777777" w:rsidTr="00DA5DA6">
        <w:tc>
          <w:tcPr>
            <w:tcW w:w="3152" w:type="dxa"/>
            <w:vMerge w:val="restart"/>
          </w:tcPr>
          <w:p w14:paraId="025C9411" w14:textId="7464416E" w:rsidR="00DA5DA6" w:rsidRPr="00DA5DA6" w:rsidRDefault="00DA5DA6" w:rsidP="00DA5DA6">
            <w:pPr>
              <w:rPr>
                <w:rFonts w:cs="Arial"/>
              </w:rPr>
            </w:pPr>
            <w:r w:rsidRPr="00DA5DA6">
              <w:t>Нарушения на мускулно-скелетната система и съединителната тъкан</w:t>
            </w:r>
          </w:p>
        </w:tc>
        <w:tc>
          <w:tcPr>
            <w:tcW w:w="3076" w:type="dxa"/>
          </w:tcPr>
          <w:p w14:paraId="34A913C3" w14:textId="452F0755" w:rsidR="00DA5DA6" w:rsidRPr="00DA5DA6" w:rsidRDefault="00DA5DA6" w:rsidP="00DA5DA6">
            <w:pPr>
              <w:rPr>
                <w:rFonts w:cs="Arial"/>
              </w:rPr>
            </w:pPr>
            <w:r w:rsidRPr="00DA5DA6">
              <w:t>Много чести</w:t>
            </w:r>
          </w:p>
        </w:tc>
        <w:tc>
          <w:tcPr>
            <w:tcW w:w="3348" w:type="dxa"/>
          </w:tcPr>
          <w:p w14:paraId="383910C9" w14:textId="77777777" w:rsidR="00DA5DA6" w:rsidRPr="00DA5DA6" w:rsidRDefault="00DA5DA6" w:rsidP="00DA5DA6">
            <w:r w:rsidRPr="00DA5DA6">
              <w:t>Артралгия/скованост на ставите</w:t>
            </w:r>
          </w:p>
          <w:p w14:paraId="0045BEBF" w14:textId="77777777" w:rsidR="00DA5DA6" w:rsidRPr="00DA5DA6" w:rsidRDefault="00DA5DA6" w:rsidP="00DA5DA6">
            <w:r w:rsidRPr="00DA5DA6">
              <w:t>Артрит</w:t>
            </w:r>
          </w:p>
          <w:p w14:paraId="5567F389" w14:textId="0EB3630E" w:rsidR="00DA5DA6" w:rsidRPr="00DA5DA6" w:rsidRDefault="00DA5DA6" w:rsidP="00DA5DA6">
            <w:pPr>
              <w:rPr>
                <w:rFonts w:cs="Arial"/>
              </w:rPr>
            </w:pPr>
            <w:r w:rsidRPr="00DA5DA6">
              <w:t>Остеопороза</w:t>
            </w:r>
          </w:p>
        </w:tc>
      </w:tr>
      <w:tr w:rsidR="00DA5DA6" w14:paraId="6E5EBB0B" w14:textId="77777777" w:rsidTr="00DA5DA6">
        <w:tc>
          <w:tcPr>
            <w:tcW w:w="3152" w:type="dxa"/>
            <w:vMerge/>
          </w:tcPr>
          <w:p w14:paraId="078399C2" w14:textId="77777777" w:rsidR="00DA5DA6" w:rsidRPr="00DA5DA6" w:rsidRDefault="00DA5DA6" w:rsidP="00DA5DA6">
            <w:pPr>
              <w:rPr>
                <w:rFonts w:cs="Arial"/>
              </w:rPr>
            </w:pPr>
          </w:p>
        </w:tc>
        <w:tc>
          <w:tcPr>
            <w:tcW w:w="3076" w:type="dxa"/>
          </w:tcPr>
          <w:p w14:paraId="5EAE57CE" w14:textId="12EBD660" w:rsidR="00DA5DA6" w:rsidRPr="00DA5DA6" w:rsidRDefault="00DA5DA6" w:rsidP="00DA5DA6">
            <w:pPr>
              <w:rPr>
                <w:rFonts w:cs="Arial"/>
              </w:rPr>
            </w:pPr>
            <w:r w:rsidRPr="00DA5DA6">
              <w:t>Чести</w:t>
            </w:r>
          </w:p>
        </w:tc>
        <w:tc>
          <w:tcPr>
            <w:tcW w:w="3348" w:type="dxa"/>
          </w:tcPr>
          <w:p w14:paraId="616B59BE" w14:textId="7C8BCAE3" w:rsidR="00DA5DA6" w:rsidRPr="00DA5DA6" w:rsidRDefault="00DA5DA6" w:rsidP="00DA5DA6">
            <w:pPr>
              <w:rPr>
                <w:rFonts w:cs="Arial"/>
              </w:rPr>
            </w:pPr>
            <w:r w:rsidRPr="00DA5DA6">
              <w:t>Костни болки Миалгия</w:t>
            </w:r>
          </w:p>
        </w:tc>
      </w:tr>
      <w:tr w:rsidR="00DA5DA6" w14:paraId="70A9775D" w14:textId="77777777" w:rsidTr="00DA5DA6">
        <w:tc>
          <w:tcPr>
            <w:tcW w:w="3152" w:type="dxa"/>
            <w:vMerge/>
          </w:tcPr>
          <w:p w14:paraId="433A79DA" w14:textId="77777777" w:rsidR="00DA5DA6" w:rsidRPr="00DA5DA6" w:rsidRDefault="00DA5DA6" w:rsidP="00DA5DA6">
            <w:pPr>
              <w:rPr>
                <w:rFonts w:cs="Arial"/>
              </w:rPr>
            </w:pPr>
          </w:p>
        </w:tc>
        <w:tc>
          <w:tcPr>
            <w:tcW w:w="3076" w:type="dxa"/>
          </w:tcPr>
          <w:p w14:paraId="3561668E" w14:textId="19F36AB2" w:rsidR="00DA5DA6" w:rsidRPr="00DA5DA6" w:rsidRDefault="00DA5DA6" w:rsidP="00DA5DA6">
            <w:pPr>
              <w:rPr>
                <w:rFonts w:cs="Arial"/>
              </w:rPr>
            </w:pPr>
            <w:r w:rsidRPr="00DA5DA6">
              <w:t>Нечести</w:t>
            </w:r>
          </w:p>
        </w:tc>
        <w:tc>
          <w:tcPr>
            <w:tcW w:w="3348" w:type="dxa"/>
          </w:tcPr>
          <w:p w14:paraId="74A81E90" w14:textId="2A5100DD" w:rsidR="00DA5DA6" w:rsidRPr="00DA5DA6" w:rsidRDefault="00DA5DA6" w:rsidP="00DA5DA6">
            <w:pPr>
              <w:rPr>
                <w:rFonts w:cs="Arial"/>
              </w:rPr>
            </w:pPr>
            <w:r w:rsidRPr="00DA5DA6">
              <w:t>Щракащ пръст</w:t>
            </w:r>
          </w:p>
        </w:tc>
      </w:tr>
      <w:tr w:rsidR="00DA5DA6" w14:paraId="18ABD510" w14:textId="77777777" w:rsidTr="00DA5DA6">
        <w:tc>
          <w:tcPr>
            <w:tcW w:w="3152" w:type="dxa"/>
          </w:tcPr>
          <w:p w14:paraId="30553122" w14:textId="009ADBBB" w:rsidR="00DA5DA6" w:rsidRPr="00DA5DA6" w:rsidRDefault="00DA5DA6" w:rsidP="00DA5DA6">
            <w:pPr>
              <w:rPr>
                <w:rFonts w:cs="Arial"/>
              </w:rPr>
            </w:pPr>
            <w:r w:rsidRPr="00DA5DA6">
              <w:t>Нарушения на възпроизводителната система и гърдата</w:t>
            </w:r>
          </w:p>
        </w:tc>
        <w:tc>
          <w:tcPr>
            <w:tcW w:w="3076" w:type="dxa"/>
          </w:tcPr>
          <w:p w14:paraId="4F4AB30D" w14:textId="4FEC4650" w:rsidR="00DA5DA6" w:rsidRPr="00DA5DA6" w:rsidRDefault="00DA5DA6" w:rsidP="00DA5DA6">
            <w:pPr>
              <w:rPr>
                <w:rFonts w:cs="Arial"/>
              </w:rPr>
            </w:pPr>
            <w:r w:rsidRPr="00DA5DA6">
              <w:t>Чести</w:t>
            </w:r>
          </w:p>
        </w:tc>
        <w:tc>
          <w:tcPr>
            <w:tcW w:w="3348" w:type="dxa"/>
          </w:tcPr>
          <w:p w14:paraId="36523971" w14:textId="77777777" w:rsidR="00DA5DA6" w:rsidRPr="00DA5DA6" w:rsidRDefault="00DA5DA6" w:rsidP="00DA5DA6">
            <w:r w:rsidRPr="00DA5DA6">
              <w:t>Вагинална сухота</w:t>
            </w:r>
          </w:p>
          <w:p w14:paraId="7FC3E16B" w14:textId="0B7262D8" w:rsidR="00DA5DA6" w:rsidRPr="00DA5DA6" w:rsidRDefault="00DA5DA6" w:rsidP="00DA5DA6">
            <w:pPr>
              <w:rPr>
                <w:rFonts w:cs="Arial"/>
              </w:rPr>
            </w:pPr>
            <w:r w:rsidRPr="00DA5DA6">
              <w:t>Вагинално кървене ***</w:t>
            </w:r>
          </w:p>
        </w:tc>
      </w:tr>
      <w:tr w:rsidR="00DA5DA6" w14:paraId="26173B37" w14:textId="77777777" w:rsidTr="00DA5DA6">
        <w:tc>
          <w:tcPr>
            <w:tcW w:w="3152" w:type="dxa"/>
          </w:tcPr>
          <w:p w14:paraId="13197EC9" w14:textId="3E46B430" w:rsidR="00DA5DA6" w:rsidRPr="00DA5DA6" w:rsidRDefault="00DA5DA6" w:rsidP="00DA5DA6">
            <w:pPr>
              <w:rPr>
                <w:rFonts w:cs="Arial"/>
              </w:rPr>
            </w:pPr>
            <w:r w:rsidRPr="00DA5DA6">
              <w:t>Общи нарушения и ефекти на мястото на приложение</w:t>
            </w:r>
          </w:p>
        </w:tc>
        <w:tc>
          <w:tcPr>
            <w:tcW w:w="3076" w:type="dxa"/>
          </w:tcPr>
          <w:p w14:paraId="5421B2CB" w14:textId="397B665C" w:rsidR="00DA5DA6" w:rsidRPr="00DA5DA6" w:rsidRDefault="00DA5DA6" w:rsidP="00DA5DA6">
            <w:pPr>
              <w:rPr>
                <w:rFonts w:cs="Arial"/>
              </w:rPr>
            </w:pPr>
            <w:r w:rsidRPr="00DA5DA6">
              <w:t>Много чести</w:t>
            </w:r>
          </w:p>
        </w:tc>
        <w:tc>
          <w:tcPr>
            <w:tcW w:w="3348" w:type="dxa"/>
          </w:tcPr>
          <w:p w14:paraId="2BD5046B" w14:textId="4E12B7DB" w:rsidR="00DA5DA6" w:rsidRPr="00DA5DA6" w:rsidRDefault="00DA5DA6" w:rsidP="00DA5DA6">
            <w:pPr>
              <w:rPr>
                <w:rFonts w:cs="Arial"/>
              </w:rPr>
            </w:pPr>
            <w:r w:rsidRPr="00DA5DA6">
              <w:t>Астения</w:t>
            </w:r>
          </w:p>
        </w:tc>
      </w:tr>
    </w:tbl>
    <w:p w14:paraId="4D17DE64" w14:textId="727A9C46" w:rsidR="00DA5DA6" w:rsidRPr="00DA5DA6" w:rsidRDefault="00DA5DA6" w:rsidP="00DA5DA6">
      <w:pPr>
        <w:spacing w:line="240" w:lineRule="auto"/>
        <w:rPr>
          <w:rFonts w:eastAsia="Times New Roman" w:cs="Arial"/>
          <w:color w:val="000000"/>
          <w:szCs w:val="20"/>
          <w:lang w:eastAsia="bg-BG"/>
        </w:rPr>
      </w:pPr>
      <w:r w:rsidRPr="00DA5DA6">
        <w:rPr>
          <w:rFonts w:eastAsia="Times New Roman" w:cs="Arial"/>
          <w:color w:val="000000"/>
          <w:szCs w:val="20"/>
          <w:lang w:eastAsia="bg-BG"/>
        </w:rPr>
        <w:t>*Случаите на Синдром на карпалния канал са съобщени при по-голям брой пациенти, получаващи лечение с Аримидекс в клинични проучвания, отколкото тези, получаващи лечение с тамоксифен. По-голямата част от тези случаи, обаче се появяват при пациенти с идентифицирани рискови фактори за развитие на това състояние.</w:t>
      </w:r>
    </w:p>
    <w:p w14:paraId="27BB7460" w14:textId="71CA21AB" w:rsidR="00DA5DA6" w:rsidRPr="00DA5DA6" w:rsidRDefault="00DA5DA6" w:rsidP="00DA5DA6">
      <w:pPr>
        <w:spacing w:line="240" w:lineRule="auto"/>
        <w:rPr>
          <w:rFonts w:eastAsia="Times New Roman" w:cs="Arial"/>
          <w:color w:val="000000"/>
          <w:szCs w:val="20"/>
          <w:lang w:eastAsia="bg-BG"/>
        </w:rPr>
      </w:pPr>
      <w:r w:rsidRPr="00DA5DA6">
        <w:rPr>
          <w:rFonts w:eastAsia="Times New Roman" w:cs="Arial"/>
          <w:color w:val="000000"/>
          <w:szCs w:val="20"/>
          <w:lang w:eastAsia="bg-BG"/>
        </w:rPr>
        <w:t xml:space="preserve">** Понеже от проучването АТАС няма съобщения за кожен васкулит и пурпура на </w:t>
      </w:r>
      <w:r w:rsidRPr="00DA5DA6">
        <w:rPr>
          <w:rFonts w:eastAsia="Times New Roman" w:cs="Arial"/>
          <w:i/>
          <w:iCs/>
          <w:color w:val="000000"/>
          <w:szCs w:val="20"/>
          <w:lang w:val="en-US"/>
        </w:rPr>
        <w:t>Henoch</w:t>
      </w:r>
      <w:r w:rsidRPr="00DA5DA6">
        <w:rPr>
          <w:rFonts w:eastAsia="Times New Roman" w:cs="Arial"/>
          <w:i/>
          <w:iCs/>
          <w:color w:val="000000"/>
          <w:szCs w:val="20"/>
          <w:lang w:val="ru-RU"/>
        </w:rPr>
        <w:t xml:space="preserve">- </w:t>
      </w:r>
      <w:proofErr w:type="spellStart"/>
      <w:r w:rsidRPr="00DA5DA6">
        <w:rPr>
          <w:rFonts w:eastAsia="Times New Roman" w:cs="Arial"/>
          <w:i/>
          <w:iCs/>
          <w:color w:val="000000"/>
          <w:szCs w:val="20"/>
          <w:lang w:val="en-US"/>
        </w:rPr>
        <w:t>Schonlein</w:t>
      </w:r>
      <w:proofErr w:type="spellEnd"/>
      <w:r w:rsidRPr="00DA5DA6">
        <w:rPr>
          <w:rFonts w:eastAsia="Times New Roman" w:cs="Arial"/>
          <w:i/>
          <w:iCs/>
          <w:color w:val="000000"/>
          <w:szCs w:val="20"/>
          <w:lang w:val="ru-RU"/>
        </w:rPr>
        <w:t>,</w:t>
      </w:r>
      <w:r w:rsidRPr="00DA5DA6">
        <w:rPr>
          <w:rFonts w:eastAsia="Times New Roman" w:cs="Arial"/>
          <w:color w:val="000000"/>
          <w:szCs w:val="20"/>
          <w:lang w:val="ru-RU"/>
        </w:rPr>
        <w:t xml:space="preserve"> </w:t>
      </w:r>
      <w:r w:rsidRPr="00DA5DA6">
        <w:rPr>
          <w:rFonts w:eastAsia="Times New Roman" w:cs="Arial"/>
          <w:color w:val="000000"/>
          <w:szCs w:val="20"/>
          <w:lang w:eastAsia="bg-BG"/>
        </w:rPr>
        <w:t>тези нежелани лекарствени реакции могат да бъдат отнесени към категория „редки” (≥ 0,01 % и &lt; 0,1 %), основавайки се на най-голямата приблизително оценена честота.</w:t>
      </w:r>
    </w:p>
    <w:p w14:paraId="5D6C5CBE" w14:textId="27EE0888" w:rsidR="00DA5DA6" w:rsidRPr="00DA5DA6" w:rsidRDefault="00DA5DA6" w:rsidP="00DA5DA6">
      <w:pPr>
        <w:spacing w:line="240" w:lineRule="auto"/>
        <w:rPr>
          <w:rFonts w:eastAsia="Times New Roman" w:cs="Arial"/>
          <w:color w:val="000000"/>
          <w:szCs w:val="20"/>
          <w:lang w:eastAsia="bg-BG"/>
        </w:rPr>
      </w:pPr>
      <w:r w:rsidRPr="00DA5DA6">
        <w:rPr>
          <w:rFonts w:eastAsia="Times New Roman" w:cs="Arial"/>
          <w:color w:val="000000"/>
          <w:szCs w:val="20"/>
          <w:lang w:eastAsia="bg-BG"/>
        </w:rPr>
        <w:t xml:space="preserve">*** Съобщенията за вагинално </w:t>
      </w:r>
      <w:r w:rsidRPr="00DA5DA6">
        <w:rPr>
          <w:rFonts w:eastAsia="Times New Roman" w:cs="Arial"/>
          <w:i/>
          <w:iCs/>
          <w:color w:val="000000"/>
          <w:szCs w:val="20"/>
          <w:lang w:eastAsia="bg-BG"/>
        </w:rPr>
        <w:t>кървене</w:t>
      </w:r>
      <w:r w:rsidRPr="00DA5DA6">
        <w:rPr>
          <w:rFonts w:eastAsia="Times New Roman" w:cs="Arial"/>
          <w:color w:val="000000"/>
          <w:szCs w:val="20"/>
          <w:lang w:eastAsia="bg-BG"/>
        </w:rPr>
        <w:t xml:space="preserve"> са чести, предимно при пациентки с авансирал рак на гърдата, главно през първите няколко седмици след преминаване от хормонално лечение към лечение с Аримидекс. Ако кървенето персистира, трябва да се обсъди провеждането на допълнителни изследвания.</w:t>
      </w:r>
    </w:p>
    <w:p w14:paraId="36566F85" w14:textId="77777777" w:rsidR="00DA5DA6" w:rsidRPr="00DA5DA6" w:rsidRDefault="00DA5DA6" w:rsidP="00DA5DA6">
      <w:pPr>
        <w:spacing w:line="240" w:lineRule="auto"/>
        <w:rPr>
          <w:rFonts w:eastAsia="Times New Roman" w:cs="Arial"/>
          <w:color w:val="000000"/>
          <w:szCs w:val="20"/>
          <w:lang w:eastAsia="bg-BG"/>
        </w:rPr>
      </w:pPr>
    </w:p>
    <w:p w14:paraId="212EC502" w14:textId="64CA0CB5"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В дадената по-долу таблица са представени честотите на предварително определени нежелани събития от проучването АТАС след медиана на периода на проследяване от 68 месеца, без значение от причинно-следствената връзка, съобщени при пациенти, получавали проучваното лекарство и развили се до 14 дни след спиране на проучваното лечение.</w:t>
      </w:r>
    </w:p>
    <w:p w14:paraId="3BCC4E8B" w14:textId="77777777" w:rsidR="00DA5DA6" w:rsidRPr="00DA5DA6" w:rsidRDefault="00DA5DA6" w:rsidP="00DA5DA6">
      <w:pPr>
        <w:rPr>
          <w:rFonts w:eastAsia="Times New Roman" w:cs="Arial"/>
          <w:b/>
          <w:bCs/>
          <w:color w:val="000000"/>
          <w:szCs w:val="20"/>
          <w:lang w:eastAsia="bg-BG"/>
        </w:rPr>
      </w:pPr>
    </w:p>
    <w:p w14:paraId="0B4C0757" w14:textId="31AB406E" w:rsidR="00DA5DA6" w:rsidRDefault="00DA5DA6" w:rsidP="00DA5DA6">
      <w:pPr>
        <w:rPr>
          <w:rFonts w:eastAsia="Times New Roman" w:cs="Arial"/>
          <w:b/>
          <w:bCs/>
          <w:color w:val="000000"/>
          <w:szCs w:val="20"/>
          <w:lang w:eastAsia="bg-BG"/>
        </w:rPr>
      </w:pPr>
      <w:r w:rsidRPr="00DA5DA6">
        <w:rPr>
          <w:rFonts w:eastAsia="Times New Roman" w:cs="Arial"/>
          <w:b/>
          <w:bCs/>
          <w:color w:val="000000"/>
          <w:szCs w:val="20"/>
          <w:lang w:eastAsia="bg-BG"/>
        </w:rPr>
        <w:t>Таблица 2 Предварително зададени нежелани реакции от проучването АТАС</w:t>
      </w:r>
    </w:p>
    <w:tbl>
      <w:tblPr>
        <w:tblStyle w:val="TableGrid"/>
        <w:tblW w:w="0" w:type="auto"/>
        <w:tblLook w:val="04A0" w:firstRow="1" w:lastRow="0" w:firstColumn="1" w:lastColumn="0" w:noHBand="0" w:noVBand="1"/>
      </w:tblPr>
      <w:tblGrid>
        <w:gridCol w:w="3136"/>
        <w:gridCol w:w="3103"/>
        <w:gridCol w:w="3111"/>
      </w:tblGrid>
      <w:tr w:rsidR="00DA5DA6" w14:paraId="66A38FF2" w14:textId="77777777" w:rsidTr="00DA5DA6">
        <w:tc>
          <w:tcPr>
            <w:tcW w:w="3192" w:type="dxa"/>
          </w:tcPr>
          <w:p w14:paraId="0435EEB5" w14:textId="77777777" w:rsidR="00DA5DA6" w:rsidRPr="00DA5DA6" w:rsidRDefault="00DA5DA6" w:rsidP="00DA5DA6"/>
          <w:p w14:paraId="289EE1C6" w14:textId="241357B1" w:rsidR="00DA5DA6" w:rsidRPr="00DA5DA6" w:rsidRDefault="00DA5DA6" w:rsidP="00DA5DA6">
            <w:pPr>
              <w:rPr>
                <w:rFonts w:cs="Arial"/>
              </w:rPr>
            </w:pPr>
            <w:r w:rsidRPr="00DA5DA6">
              <w:rPr>
                <w:b/>
                <w:bCs/>
                <w:szCs w:val="20"/>
              </w:rPr>
              <w:t>Нежелани реакции</w:t>
            </w:r>
          </w:p>
        </w:tc>
        <w:tc>
          <w:tcPr>
            <w:tcW w:w="3192" w:type="dxa"/>
          </w:tcPr>
          <w:p w14:paraId="72483F2B" w14:textId="1517F526" w:rsidR="00DA5DA6" w:rsidRPr="00DA5DA6" w:rsidRDefault="00DA5DA6" w:rsidP="00DA5DA6">
            <w:pPr>
              <w:rPr>
                <w:rFonts w:cs="Arial"/>
              </w:rPr>
            </w:pPr>
            <w:r w:rsidRPr="00DA5DA6">
              <w:rPr>
                <w:b/>
                <w:bCs/>
                <w:szCs w:val="20"/>
              </w:rPr>
              <w:t xml:space="preserve">Аримидекс </w:t>
            </w:r>
            <w:r w:rsidRPr="00DA5DA6">
              <w:rPr>
                <w:b/>
                <w:bCs/>
                <w:szCs w:val="20"/>
                <w:lang w:val="en-US"/>
              </w:rPr>
              <w:t xml:space="preserve">(N-3 </w:t>
            </w:r>
            <w:r w:rsidRPr="00DA5DA6">
              <w:rPr>
                <w:b/>
                <w:bCs/>
                <w:szCs w:val="20"/>
              </w:rPr>
              <w:t>092)</w:t>
            </w:r>
          </w:p>
        </w:tc>
        <w:tc>
          <w:tcPr>
            <w:tcW w:w="3192" w:type="dxa"/>
          </w:tcPr>
          <w:p w14:paraId="58AC5772" w14:textId="53247018" w:rsidR="00DA5DA6" w:rsidRPr="00DA5DA6" w:rsidRDefault="00DA5DA6" w:rsidP="00DA5DA6">
            <w:pPr>
              <w:rPr>
                <w:rFonts w:cs="Arial"/>
              </w:rPr>
            </w:pPr>
            <w:r w:rsidRPr="00DA5DA6">
              <w:rPr>
                <w:b/>
                <w:bCs/>
                <w:szCs w:val="20"/>
              </w:rPr>
              <w:t xml:space="preserve">Тамоксифен </w:t>
            </w:r>
            <w:r w:rsidRPr="00DA5DA6">
              <w:rPr>
                <w:b/>
                <w:bCs/>
                <w:szCs w:val="20"/>
                <w:lang w:val="en-US"/>
              </w:rPr>
              <w:t xml:space="preserve">(N=3 </w:t>
            </w:r>
            <w:r w:rsidRPr="00DA5DA6">
              <w:rPr>
                <w:b/>
                <w:bCs/>
                <w:szCs w:val="20"/>
              </w:rPr>
              <w:t>094)</w:t>
            </w:r>
          </w:p>
        </w:tc>
      </w:tr>
      <w:tr w:rsidR="00DA5DA6" w14:paraId="30D844CF" w14:textId="77777777" w:rsidTr="00DA5DA6">
        <w:tc>
          <w:tcPr>
            <w:tcW w:w="3192" w:type="dxa"/>
          </w:tcPr>
          <w:p w14:paraId="2BD62775" w14:textId="37ED38E3" w:rsidR="00DA5DA6" w:rsidRPr="00DA5DA6" w:rsidRDefault="00DA5DA6" w:rsidP="00DA5DA6">
            <w:pPr>
              <w:rPr>
                <w:rFonts w:cs="Arial"/>
              </w:rPr>
            </w:pPr>
            <w:r w:rsidRPr="00DA5DA6">
              <w:rPr>
                <w:szCs w:val="20"/>
              </w:rPr>
              <w:t>Горещи вълни</w:t>
            </w:r>
          </w:p>
        </w:tc>
        <w:tc>
          <w:tcPr>
            <w:tcW w:w="3192" w:type="dxa"/>
          </w:tcPr>
          <w:p w14:paraId="51B48699" w14:textId="22AC3316" w:rsidR="00DA5DA6" w:rsidRPr="00DA5DA6" w:rsidRDefault="00DA5DA6" w:rsidP="00DA5DA6">
            <w:pPr>
              <w:rPr>
                <w:rFonts w:cs="Arial"/>
              </w:rPr>
            </w:pPr>
            <w:r w:rsidRPr="00DA5DA6">
              <w:rPr>
                <w:szCs w:val="20"/>
              </w:rPr>
              <w:t>1 104 (35,7 %)</w:t>
            </w:r>
          </w:p>
        </w:tc>
        <w:tc>
          <w:tcPr>
            <w:tcW w:w="3192" w:type="dxa"/>
          </w:tcPr>
          <w:p w14:paraId="159C8648" w14:textId="43308592" w:rsidR="00DA5DA6" w:rsidRPr="00DA5DA6" w:rsidRDefault="00DA5DA6" w:rsidP="00DA5DA6">
            <w:pPr>
              <w:rPr>
                <w:rFonts w:cs="Arial"/>
              </w:rPr>
            </w:pPr>
            <w:r w:rsidRPr="00DA5DA6">
              <w:rPr>
                <w:szCs w:val="20"/>
              </w:rPr>
              <w:t>1264(40,9%)</w:t>
            </w:r>
          </w:p>
        </w:tc>
      </w:tr>
      <w:tr w:rsidR="00DA5DA6" w14:paraId="22BBA7D0" w14:textId="77777777" w:rsidTr="00DA5DA6">
        <w:tc>
          <w:tcPr>
            <w:tcW w:w="3192" w:type="dxa"/>
          </w:tcPr>
          <w:p w14:paraId="73D48C11" w14:textId="3780FCD1" w:rsidR="00DA5DA6" w:rsidRPr="00DA5DA6" w:rsidRDefault="00DA5DA6" w:rsidP="00DA5DA6">
            <w:pPr>
              <w:rPr>
                <w:rFonts w:cs="Arial"/>
              </w:rPr>
            </w:pPr>
            <w:r w:rsidRPr="00DA5DA6">
              <w:rPr>
                <w:szCs w:val="20"/>
              </w:rPr>
              <w:t>Болки в ставите/скованост на ставите</w:t>
            </w:r>
          </w:p>
        </w:tc>
        <w:tc>
          <w:tcPr>
            <w:tcW w:w="3192" w:type="dxa"/>
          </w:tcPr>
          <w:p w14:paraId="3C0E6455" w14:textId="6A6FC267" w:rsidR="00DA5DA6" w:rsidRPr="00DA5DA6" w:rsidRDefault="00DA5DA6" w:rsidP="00DA5DA6">
            <w:pPr>
              <w:rPr>
                <w:rFonts w:cs="Arial"/>
              </w:rPr>
            </w:pPr>
            <w:r w:rsidRPr="00DA5DA6">
              <w:rPr>
                <w:szCs w:val="20"/>
              </w:rPr>
              <w:t>1 100(35,6%)</w:t>
            </w:r>
          </w:p>
        </w:tc>
        <w:tc>
          <w:tcPr>
            <w:tcW w:w="3192" w:type="dxa"/>
          </w:tcPr>
          <w:p w14:paraId="0F2BE9F9" w14:textId="5C81D982" w:rsidR="00DA5DA6" w:rsidRPr="00DA5DA6" w:rsidRDefault="00DA5DA6" w:rsidP="00DA5DA6">
            <w:pPr>
              <w:rPr>
                <w:rFonts w:cs="Arial"/>
              </w:rPr>
            </w:pPr>
            <w:r w:rsidRPr="00DA5DA6">
              <w:rPr>
                <w:szCs w:val="20"/>
              </w:rPr>
              <w:t>911(29,4%)</w:t>
            </w:r>
          </w:p>
        </w:tc>
      </w:tr>
      <w:tr w:rsidR="00DA5DA6" w14:paraId="1674C449" w14:textId="77777777" w:rsidTr="00DA5DA6">
        <w:tc>
          <w:tcPr>
            <w:tcW w:w="3192" w:type="dxa"/>
          </w:tcPr>
          <w:p w14:paraId="14218C70" w14:textId="7C82463C" w:rsidR="00DA5DA6" w:rsidRPr="00DA5DA6" w:rsidRDefault="00DA5DA6" w:rsidP="00DA5DA6">
            <w:pPr>
              <w:rPr>
                <w:rFonts w:cs="Arial"/>
              </w:rPr>
            </w:pPr>
            <w:r w:rsidRPr="00DA5DA6">
              <w:rPr>
                <w:szCs w:val="20"/>
              </w:rPr>
              <w:t>Разстройства на настроението</w:t>
            </w:r>
          </w:p>
        </w:tc>
        <w:tc>
          <w:tcPr>
            <w:tcW w:w="3192" w:type="dxa"/>
          </w:tcPr>
          <w:p w14:paraId="66156F2A" w14:textId="2CCD6F39" w:rsidR="00DA5DA6" w:rsidRPr="00DA5DA6" w:rsidRDefault="00DA5DA6" w:rsidP="00DA5DA6">
            <w:pPr>
              <w:rPr>
                <w:rFonts w:cs="Arial"/>
              </w:rPr>
            </w:pPr>
            <w:r w:rsidRPr="00DA5DA6">
              <w:rPr>
                <w:szCs w:val="20"/>
              </w:rPr>
              <w:t>597(19,3%)</w:t>
            </w:r>
          </w:p>
        </w:tc>
        <w:tc>
          <w:tcPr>
            <w:tcW w:w="3192" w:type="dxa"/>
          </w:tcPr>
          <w:p w14:paraId="5F568D3A" w14:textId="6030A842" w:rsidR="00DA5DA6" w:rsidRPr="00DA5DA6" w:rsidRDefault="00DA5DA6" w:rsidP="00DA5DA6">
            <w:pPr>
              <w:rPr>
                <w:rFonts w:cs="Arial"/>
              </w:rPr>
            </w:pPr>
            <w:r w:rsidRPr="00DA5DA6">
              <w:rPr>
                <w:szCs w:val="20"/>
              </w:rPr>
              <w:t>554(17,9%)</w:t>
            </w:r>
          </w:p>
        </w:tc>
      </w:tr>
      <w:tr w:rsidR="00DA5DA6" w14:paraId="5B3F33C4" w14:textId="77777777" w:rsidTr="00DA5DA6">
        <w:tc>
          <w:tcPr>
            <w:tcW w:w="3192" w:type="dxa"/>
          </w:tcPr>
          <w:p w14:paraId="189AF2AC" w14:textId="45B3E1EA" w:rsidR="00DA5DA6" w:rsidRPr="00DA5DA6" w:rsidRDefault="00DA5DA6" w:rsidP="00DA5DA6">
            <w:pPr>
              <w:rPr>
                <w:rFonts w:cs="Arial"/>
              </w:rPr>
            </w:pPr>
            <w:r w:rsidRPr="00DA5DA6">
              <w:rPr>
                <w:szCs w:val="20"/>
              </w:rPr>
              <w:t>Отпадналост/ астения</w:t>
            </w:r>
          </w:p>
        </w:tc>
        <w:tc>
          <w:tcPr>
            <w:tcW w:w="3192" w:type="dxa"/>
          </w:tcPr>
          <w:p w14:paraId="0B5C7546" w14:textId="20EEA41A" w:rsidR="00DA5DA6" w:rsidRPr="00DA5DA6" w:rsidRDefault="00DA5DA6" w:rsidP="00DA5DA6">
            <w:pPr>
              <w:rPr>
                <w:rFonts w:cs="Arial"/>
              </w:rPr>
            </w:pPr>
            <w:r w:rsidRPr="00DA5DA6">
              <w:rPr>
                <w:szCs w:val="20"/>
              </w:rPr>
              <w:t>575 (18,6 %)</w:t>
            </w:r>
          </w:p>
        </w:tc>
        <w:tc>
          <w:tcPr>
            <w:tcW w:w="3192" w:type="dxa"/>
          </w:tcPr>
          <w:p w14:paraId="750BA829" w14:textId="7E1A47F7" w:rsidR="00DA5DA6" w:rsidRPr="00DA5DA6" w:rsidRDefault="00DA5DA6" w:rsidP="00DA5DA6">
            <w:pPr>
              <w:rPr>
                <w:rFonts w:cs="Arial"/>
              </w:rPr>
            </w:pPr>
            <w:r w:rsidRPr="00DA5DA6">
              <w:rPr>
                <w:szCs w:val="20"/>
              </w:rPr>
              <w:t>544(17,6%)</w:t>
            </w:r>
          </w:p>
        </w:tc>
      </w:tr>
      <w:tr w:rsidR="00DA5DA6" w14:paraId="5F980EF2" w14:textId="77777777" w:rsidTr="00DA5DA6">
        <w:tc>
          <w:tcPr>
            <w:tcW w:w="3192" w:type="dxa"/>
          </w:tcPr>
          <w:p w14:paraId="22B1BE3F" w14:textId="4E14ECB3" w:rsidR="00DA5DA6" w:rsidRPr="00DA5DA6" w:rsidRDefault="00DA5DA6" w:rsidP="00DA5DA6">
            <w:pPr>
              <w:rPr>
                <w:rFonts w:cs="Arial"/>
              </w:rPr>
            </w:pPr>
            <w:r w:rsidRPr="00DA5DA6">
              <w:rPr>
                <w:szCs w:val="20"/>
              </w:rPr>
              <w:t>Гадене и повръщане</w:t>
            </w:r>
          </w:p>
        </w:tc>
        <w:tc>
          <w:tcPr>
            <w:tcW w:w="3192" w:type="dxa"/>
          </w:tcPr>
          <w:p w14:paraId="17DC3AC6" w14:textId="13C95D55" w:rsidR="00DA5DA6" w:rsidRPr="00DA5DA6" w:rsidRDefault="00DA5DA6" w:rsidP="00DA5DA6">
            <w:pPr>
              <w:rPr>
                <w:rFonts w:cs="Arial"/>
              </w:rPr>
            </w:pPr>
            <w:r w:rsidRPr="00DA5DA6">
              <w:rPr>
                <w:szCs w:val="20"/>
              </w:rPr>
              <w:t>393 (12,7 %)</w:t>
            </w:r>
          </w:p>
        </w:tc>
        <w:tc>
          <w:tcPr>
            <w:tcW w:w="3192" w:type="dxa"/>
          </w:tcPr>
          <w:p w14:paraId="76C78722" w14:textId="2F0E323D" w:rsidR="00DA5DA6" w:rsidRPr="00DA5DA6" w:rsidRDefault="00DA5DA6" w:rsidP="00DA5DA6">
            <w:pPr>
              <w:rPr>
                <w:rFonts w:cs="Arial"/>
              </w:rPr>
            </w:pPr>
            <w:r w:rsidRPr="00DA5DA6">
              <w:rPr>
                <w:szCs w:val="20"/>
              </w:rPr>
              <w:t>384(12,4%)</w:t>
            </w:r>
          </w:p>
        </w:tc>
      </w:tr>
      <w:tr w:rsidR="00DA5DA6" w14:paraId="4BD01D27" w14:textId="77777777" w:rsidTr="00DA5DA6">
        <w:tc>
          <w:tcPr>
            <w:tcW w:w="3192" w:type="dxa"/>
          </w:tcPr>
          <w:p w14:paraId="678253D2" w14:textId="4EAA1604" w:rsidR="00DA5DA6" w:rsidRPr="00DA5DA6" w:rsidRDefault="00DA5DA6" w:rsidP="00DA5DA6">
            <w:pPr>
              <w:rPr>
                <w:rFonts w:cs="Arial"/>
              </w:rPr>
            </w:pPr>
            <w:r w:rsidRPr="00DA5DA6">
              <w:rPr>
                <w:szCs w:val="20"/>
              </w:rPr>
              <w:t>Фрактури</w:t>
            </w:r>
          </w:p>
        </w:tc>
        <w:tc>
          <w:tcPr>
            <w:tcW w:w="3192" w:type="dxa"/>
          </w:tcPr>
          <w:p w14:paraId="0DD68D70" w14:textId="6E1B78B5" w:rsidR="00DA5DA6" w:rsidRPr="00DA5DA6" w:rsidRDefault="00DA5DA6" w:rsidP="00DA5DA6">
            <w:pPr>
              <w:rPr>
                <w:rFonts w:cs="Arial"/>
              </w:rPr>
            </w:pPr>
            <w:r w:rsidRPr="00DA5DA6">
              <w:rPr>
                <w:szCs w:val="20"/>
              </w:rPr>
              <w:t>315(10,2%)</w:t>
            </w:r>
          </w:p>
        </w:tc>
        <w:tc>
          <w:tcPr>
            <w:tcW w:w="3192" w:type="dxa"/>
          </w:tcPr>
          <w:p w14:paraId="7AFCB59C" w14:textId="2EF2AF1E" w:rsidR="00DA5DA6" w:rsidRPr="00DA5DA6" w:rsidRDefault="00DA5DA6" w:rsidP="00DA5DA6">
            <w:pPr>
              <w:rPr>
                <w:rFonts w:cs="Arial"/>
              </w:rPr>
            </w:pPr>
            <w:r w:rsidRPr="00DA5DA6">
              <w:rPr>
                <w:szCs w:val="20"/>
              </w:rPr>
              <w:t>209 (6,8 %)</w:t>
            </w:r>
          </w:p>
        </w:tc>
      </w:tr>
      <w:tr w:rsidR="00DA5DA6" w14:paraId="4D4C1653" w14:textId="77777777" w:rsidTr="00DA5DA6">
        <w:tc>
          <w:tcPr>
            <w:tcW w:w="3192" w:type="dxa"/>
          </w:tcPr>
          <w:p w14:paraId="09FB4833" w14:textId="2F34D303" w:rsidR="00DA5DA6" w:rsidRPr="00DA5DA6" w:rsidRDefault="00DA5DA6" w:rsidP="00DA5DA6">
            <w:pPr>
              <w:rPr>
                <w:rFonts w:cs="Arial"/>
              </w:rPr>
            </w:pPr>
            <w:r w:rsidRPr="00DA5DA6">
              <w:rPr>
                <w:szCs w:val="20"/>
              </w:rPr>
              <w:t xml:space="preserve">Фрактури на прешлени, проксималната бедрена кост или китката/фрактури на </w:t>
            </w:r>
            <w:proofErr w:type="spellStart"/>
            <w:r w:rsidRPr="00DA5DA6">
              <w:rPr>
                <w:i/>
                <w:iCs/>
                <w:szCs w:val="20"/>
                <w:lang w:val="en-US"/>
              </w:rPr>
              <w:t>Colles</w:t>
            </w:r>
            <w:proofErr w:type="spellEnd"/>
          </w:p>
        </w:tc>
        <w:tc>
          <w:tcPr>
            <w:tcW w:w="3192" w:type="dxa"/>
          </w:tcPr>
          <w:p w14:paraId="080D76A4" w14:textId="188FEE03" w:rsidR="00DA5DA6" w:rsidRPr="00DA5DA6" w:rsidRDefault="00DA5DA6" w:rsidP="00DA5DA6">
            <w:pPr>
              <w:rPr>
                <w:rFonts w:cs="Arial"/>
              </w:rPr>
            </w:pPr>
            <w:r w:rsidRPr="00DA5DA6">
              <w:rPr>
                <w:szCs w:val="20"/>
              </w:rPr>
              <w:t>133(4,3%)</w:t>
            </w:r>
          </w:p>
        </w:tc>
        <w:tc>
          <w:tcPr>
            <w:tcW w:w="3192" w:type="dxa"/>
          </w:tcPr>
          <w:p w14:paraId="078D2834" w14:textId="64AAAD59" w:rsidR="00DA5DA6" w:rsidRPr="00DA5DA6" w:rsidRDefault="00DA5DA6" w:rsidP="00DA5DA6">
            <w:pPr>
              <w:rPr>
                <w:rFonts w:cs="Arial"/>
              </w:rPr>
            </w:pPr>
            <w:r w:rsidRPr="00DA5DA6">
              <w:rPr>
                <w:szCs w:val="20"/>
              </w:rPr>
              <w:t>91 (2,9 %)</w:t>
            </w:r>
          </w:p>
        </w:tc>
      </w:tr>
      <w:tr w:rsidR="00DA5DA6" w14:paraId="208E44DB" w14:textId="77777777" w:rsidTr="00DA5DA6">
        <w:tc>
          <w:tcPr>
            <w:tcW w:w="3192" w:type="dxa"/>
          </w:tcPr>
          <w:p w14:paraId="7B015A45" w14:textId="02C91B62" w:rsidR="00DA5DA6" w:rsidRPr="00DA5DA6" w:rsidRDefault="00DA5DA6" w:rsidP="00DA5DA6">
            <w:pPr>
              <w:rPr>
                <w:rFonts w:cs="Arial"/>
              </w:rPr>
            </w:pPr>
            <w:r w:rsidRPr="00DA5DA6">
              <w:rPr>
                <w:szCs w:val="20"/>
              </w:rPr>
              <w:lastRenderedPageBreak/>
              <w:t xml:space="preserve">Фрактури на китката/фрактури на </w:t>
            </w:r>
            <w:proofErr w:type="spellStart"/>
            <w:r w:rsidRPr="00DA5DA6">
              <w:rPr>
                <w:i/>
                <w:iCs/>
                <w:szCs w:val="20"/>
                <w:lang w:val="en-US"/>
              </w:rPr>
              <w:t>Colles</w:t>
            </w:r>
            <w:proofErr w:type="spellEnd"/>
          </w:p>
        </w:tc>
        <w:tc>
          <w:tcPr>
            <w:tcW w:w="3192" w:type="dxa"/>
          </w:tcPr>
          <w:p w14:paraId="7DF10D63" w14:textId="782C2F3A" w:rsidR="00DA5DA6" w:rsidRPr="00DA5DA6" w:rsidRDefault="00DA5DA6" w:rsidP="00DA5DA6">
            <w:pPr>
              <w:rPr>
                <w:rFonts w:cs="Arial"/>
              </w:rPr>
            </w:pPr>
            <w:r w:rsidRPr="00DA5DA6">
              <w:rPr>
                <w:szCs w:val="20"/>
              </w:rPr>
              <w:t>67 (2,2%)</w:t>
            </w:r>
          </w:p>
        </w:tc>
        <w:tc>
          <w:tcPr>
            <w:tcW w:w="3192" w:type="dxa"/>
          </w:tcPr>
          <w:p w14:paraId="239B86C7" w14:textId="521CBFDA" w:rsidR="00DA5DA6" w:rsidRPr="00DA5DA6" w:rsidRDefault="00DA5DA6" w:rsidP="00DA5DA6">
            <w:pPr>
              <w:rPr>
                <w:rFonts w:cs="Arial"/>
              </w:rPr>
            </w:pPr>
            <w:r w:rsidRPr="00DA5DA6">
              <w:rPr>
                <w:szCs w:val="20"/>
              </w:rPr>
              <w:t>50 (1,6%)</w:t>
            </w:r>
          </w:p>
        </w:tc>
      </w:tr>
      <w:tr w:rsidR="00DA5DA6" w14:paraId="25A0A5AA" w14:textId="77777777" w:rsidTr="00DA5DA6">
        <w:tc>
          <w:tcPr>
            <w:tcW w:w="3192" w:type="dxa"/>
          </w:tcPr>
          <w:p w14:paraId="0CF440C1" w14:textId="33F901D0" w:rsidR="00DA5DA6" w:rsidRPr="00DA5DA6" w:rsidRDefault="00DA5DA6" w:rsidP="00DA5DA6">
            <w:pPr>
              <w:rPr>
                <w:rFonts w:cs="Arial"/>
              </w:rPr>
            </w:pPr>
            <w:r w:rsidRPr="00DA5DA6">
              <w:rPr>
                <w:szCs w:val="20"/>
              </w:rPr>
              <w:t>Фрактури на прешлени</w:t>
            </w:r>
          </w:p>
        </w:tc>
        <w:tc>
          <w:tcPr>
            <w:tcW w:w="3192" w:type="dxa"/>
          </w:tcPr>
          <w:p w14:paraId="1164F2A0" w14:textId="72C74673" w:rsidR="00DA5DA6" w:rsidRPr="00DA5DA6" w:rsidRDefault="00DA5DA6" w:rsidP="00DA5DA6">
            <w:pPr>
              <w:rPr>
                <w:rFonts w:cs="Arial"/>
              </w:rPr>
            </w:pPr>
            <w:r w:rsidRPr="00DA5DA6">
              <w:rPr>
                <w:szCs w:val="20"/>
              </w:rPr>
              <w:t>43 (1,4 %)</w:t>
            </w:r>
          </w:p>
        </w:tc>
        <w:tc>
          <w:tcPr>
            <w:tcW w:w="3192" w:type="dxa"/>
          </w:tcPr>
          <w:p w14:paraId="68BC94AD" w14:textId="61E6AB54" w:rsidR="00DA5DA6" w:rsidRPr="00DA5DA6" w:rsidRDefault="00DA5DA6" w:rsidP="00DA5DA6">
            <w:pPr>
              <w:rPr>
                <w:rFonts w:cs="Arial"/>
              </w:rPr>
            </w:pPr>
            <w:r w:rsidRPr="00DA5DA6">
              <w:rPr>
                <w:szCs w:val="20"/>
              </w:rPr>
              <w:t>22 (0,7 %)</w:t>
            </w:r>
          </w:p>
        </w:tc>
      </w:tr>
      <w:tr w:rsidR="00DA5DA6" w14:paraId="70613539" w14:textId="77777777" w:rsidTr="00DA5DA6">
        <w:tc>
          <w:tcPr>
            <w:tcW w:w="3192" w:type="dxa"/>
          </w:tcPr>
          <w:p w14:paraId="1F00250E" w14:textId="6947919A" w:rsidR="00DA5DA6" w:rsidRPr="00DA5DA6" w:rsidRDefault="00DA5DA6" w:rsidP="00DA5DA6">
            <w:pPr>
              <w:rPr>
                <w:rFonts w:cs="Arial"/>
              </w:rPr>
            </w:pPr>
            <w:r w:rsidRPr="00DA5DA6">
              <w:rPr>
                <w:szCs w:val="20"/>
              </w:rPr>
              <w:t>Фрактури на проксималната бедрена кост</w:t>
            </w:r>
          </w:p>
        </w:tc>
        <w:tc>
          <w:tcPr>
            <w:tcW w:w="3192" w:type="dxa"/>
          </w:tcPr>
          <w:p w14:paraId="639A49B3" w14:textId="79A9A3D9" w:rsidR="00DA5DA6" w:rsidRPr="00DA5DA6" w:rsidRDefault="00DA5DA6" w:rsidP="00DA5DA6">
            <w:pPr>
              <w:rPr>
                <w:rFonts w:cs="Arial"/>
              </w:rPr>
            </w:pPr>
            <w:r w:rsidRPr="00DA5DA6">
              <w:rPr>
                <w:szCs w:val="20"/>
              </w:rPr>
              <w:t>28 (0,9%)</w:t>
            </w:r>
          </w:p>
        </w:tc>
        <w:tc>
          <w:tcPr>
            <w:tcW w:w="3192" w:type="dxa"/>
          </w:tcPr>
          <w:p w14:paraId="310A3A09" w14:textId="7BFFB30A" w:rsidR="00DA5DA6" w:rsidRPr="00DA5DA6" w:rsidRDefault="00DA5DA6" w:rsidP="00DA5DA6">
            <w:pPr>
              <w:rPr>
                <w:rFonts w:cs="Arial"/>
              </w:rPr>
            </w:pPr>
            <w:r w:rsidRPr="00DA5DA6">
              <w:rPr>
                <w:szCs w:val="20"/>
              </w:rPr>
              <w:t>26 (0,8 %)</w:t>
            </w:r>
          </w:p>
        </w:tc>
      </w:tr>
      <w:tr w:rsidR="00DA5DA6" w14:paraId="3366781D" w14:textId="77777777" w:rsidTr="00DA5DA6">
        <w:tc>
          <w:tcPr>
            <w:tcW w:w="3192" w:type="dxa"/>
          </w:tcPr>
          <w:p w14:paraId="5C43B042" w14:textId="1B84868A" w:rsidR="00DA5DA6" w:rsidRPr="00DA5DA6" w:rsidRDefault="00DA5DA6" w:rsidP="00DA5DA6">
            <w:pPr>
              <w:rPr>
                <w:rFonts w:cs="Arial"/>
              </w:rPr>
            </w:pPr>
            <w:r w:rsidRPr="00DA5DA6">
              <w:rPr>
                <w:szCs w:val="20"/>
              </w:rPr>
              <w:t>Катаракта</w:t>
            </w:r>
          </w:p>
        </w:tc>
        <w:tc>
          <w:tcPr>
            <w:tcW w:w="3192" w:type="dxa"/>
          </w:tcPr>
          <w:p w14:paraId="2BCDCB30" w14:textId="462A1202" w:rsidR="00DA5DA6" w:rsidRPr="00DA5DA6" w:rsidRDefault="00DA5DA6" w:rsidP="00DA5DA6">
            <w:pPr>
              <w:rPr>
                <w:rFonts w:cs="Arial"/>
              </w:rPr>
            </w:pPr>
            <w:r w:rsidRPr="00DA5DA6">
              <w:rPr>
                <w:szCs w:val="20"/>
              </w:rPr>
              <w:t>182 (5,9 %)</w:t>
            </w:r>
          </w:p>
        </w:tc>
        <w:tc>
          <w:tcPr>
            <w:tcW w:w="3192" w:type="dxa"/>
          </w:tcPr>
          <w:p w14:paraId="10F8C9E8" w14:textId="5701A134" w:rsidR="00DA5DA6" w:rsidRPr="00DA5DA6" w:rsidRDefault="00DA5DA6" w:rsidP="00DA5DA6">
            <w:pPr>
              <w:rPr>
                <w:rFonts w:cs="Arial"/>
              </w:rPr>
            </w:pPr>
            <w:r w:rsidRPr="00DA5DA6">
              <w:rPr>
                <w:szCs w:val="20"/>
              </w:rPr>
              <w:t>213(6,9%)</w:t>
            </w:r>
          </w:p>
        </w:tc>
      </w:tr>
      <w:tr w:rsidR="00DA5DA6" w14:paraId="6180EE12" w14:textId="77777777" w:rsidTr="00DA5DA6">
        <w:tc>
          <w:tcPr>
            <w:tcW w:w="3192" w:type="dxa"/>
          </w:tcPr>
          <w:p w14:paraId="7D1AB82A" w14:textId="749236DB" w:rsidR="00DA5DA6" w:rsidRPr="00DA5DA6" w:rsidRDefault="00DA5DA6" w:rsidP="00DA5DA6">
            <w:pPr>
              <w:rPr>
                <w:rFonts w:cs="Arial"/>
              </w:rPr>
            </w:pPr>
            <w:r w:rsidRPr="00DA5DA6">
              <w:rPr>
                <w:szCs w:val="20"/>
              </w:rPr>
              <w:t>Вагинално кървене</w:t>
            </w:r>
          </w:p>
        </w:tc>
        <w:tc>
          <w:tcPr>
            <w:tcW w:w="3192" w:type="dxa"/>
          </w:tcPr>
          <w:p w14:paraId="051815FA" w14:textId="284F7023" w:rsidR="00DA5DA6" w:rsidRPr="00DA5DA6" w:rsidRDefault="00DA5DA6" w:rsidP="00DA5DA6">
            <w:pPr>
              <w:rPr>
                <w:rFonts w:cs="Arial"/>
              </w:rPr>
            </w:pPr>
            <w:r w:rsidRPr="00DA5DA6">
              <w:rPr>
                <w:szCs w:val="20"/>
              </w:rPr>
              <w:t>167 (5,4%)</w:t>
            </w:r>
          </w:p>
        </w:tc>
        <w:tc>
          <w:tcPr>
            <w:tcW w:w="3192" w:type="dxa"/>
          </w:tcPr>
          <w:p w14:paraId="080FCEE5" w14:textId="0A8DBCDE" w:rsidR="00DA5DA6" w:rsidRPr="00DA5DA6" w:rsidRDefault="00DA5DA6" w:rsidP="00DA5DA6">
            <w:pPr>
              <w:rPr>
                <w:rFonts w:cs="Arial"/>
              </w:rPr>
            </w:pPr>
            <w:r w:rsidRPr="00DA5DA6">
              <w:rPr>
                <w:szCs w:val="20"/>
              </w:rPr>
              <w:t>317 (10,2 %)</w:t>
            </w:r>
          </w:p>
        </w:tc>
      </w:tr>
      <w:tr w:rsidR="00DA5DA6" w14:paraId="7A1B85DF" w14:textId="77777777" w:rsidTr="00DA5DA6">
        <w:trPr>
          <w:trHeight w:val="64"/>
        </w:trPr>
        <w:tc>
          <w:tcPr>
            <w:tcW w:w="3192" w:type="dxa"/>
          </w:tcPr>
          <w:p w14:paraId="2A3A224D" w14:textId="7A93556E" w:rsidR="00DA5DA6" w:rsidRPr="00DA5DA6" w:rsidRDefault="00DA5DA6" w:rsidP="00DA5DA6">
            <w:pPr>
              <w:rPr>
                <w:rFonts w:cs="Arial"/>
              </w:rPr>
            </w:pPr>
            <w:r w:rsidRPr="00DA5DA6">
              <w:rPr>
                <w:szCs w:val="20"/>
              </w:rPr>
              <w:t>Исхемична болест</w:t>
            </w:r>
          </w:p>
        </w:tc>
        <w:tc>
          <w:tcPr>
            <w:tcW w:w="3192" w:type="dxa"/>
          </w:tcPr>
          <w:p w14:paraId="13429DD2" w14:textId="0141536D" w:rsidR="00DA5DA6" w:rsidRPr="00DA5DA6" w:rsidRDefault="00DA5DA6" w:rsidP="00DA5DA6">
            <w:pPr>
              <w:rPr>
                <w:rFonts w:cs="Arial"/>
              </w:rPr>
            </w:pPr>
            <w:r w:rsidRPr="00DA5DA6">
              <w:rPr>
                <w:szCs w:val="20"/>
              </w:rPr>
              <w:t>127 (4,1 %)</w:t>
            </w:r>
          </w:p>
        </w:tc>
        <w:tc>
          <w:tcPr>
            <w:tcW w:w="3192" w:type="dxa"/>
          </w:tcPr>
          <w:p w14:paraId="7DAD3D74" w14:textId="422A36D1" w:rsidR="00DA5DA6" w:rsidRPr="00DA5DA6" w:rsidRDefault="00DA5DA6" w:rsidP="00DA5DA6">
            <w:pPr>
              <w:rPr>
                <w:rFonts w:cs="Arial"/>
              </w:rPr>
            </w:pPr>
            <w:r w:rsidRPr="00DA5DA6">
              <w:rPr>
                <w:szCs w:val="20"/>
              </w:rPr>
              <w:t>104(3,4%)</w:t>
            </w:r>
          </w:p>
        </w:tc>
      </w:tr>
      <w:tr w:rsidR="00DA5DA6" w14:paraId="4DE319E7" w14:textId="77777777" w:rsidTr="00DA5DA6">
        <w:tc>
          <w:tcPr>
            <w:tcW w:w="3192" w:type="dxa"/>
          </w:tcPr>
          <w:p w14:paraId="0CEBAA3C" w14:textId="6885CEEF" w:rsidR="00DA5DA6" w:rsidRPr="00DA5DA6" w:rsidRDefault="00DA5DA6" w:rsidP="00DA5DA6">
            <w:pPr>
              <w:rPr>
                <w:rFonts w:cs="Arial"/>
              </w:rPr>
            </w:pPr>
            <w:r w:rsidRPr="00DA5DA6">
              <w:rPr>
                <w:szCs w:val="20"/>
              </w:rPr>
              <w:t>Ангина пекторис</w:t>
            </w:r>
          </w:p>
        </w:tc>
        <w:tc>
          <w:tcPr>
            <w:tcW w:w="3192" w:type="dxa"/>
          </w:tcPr>
          <w:p w14:paraId="47EE7AC4" w14:textId="7060986A" w:rsidR="00DA5DA6" w:rsidRPr="00DA5DA6" w:rsidRDefault="00DA5DA6" w:rsidP="00DA5DA6">
            <w:pPr>
              <w:rPr>
                <w:rFonts w:cs="Arial"/>
              </w:rPr>
            </w:pPr>
            <w:r w:rsidRPr="00DA5DA6">
              <w:rPr>
                <w:szCs w:val="20"/>
              </w:rPr>
              <w:t>71 (23 %)</w:t>
            </w:r>
          </w:p>
        </w:tc>
        <w:tc>
          <w:tcPr>
            <w:tcW w:w="3192" w:type="dxa"/>
          </w:tcPr>
          <w:p w14:paraId="22E8892C" w14:textId="44C4026F" w:rsidR="00DA5DA6" w:rsidRPr="00DA5DA6" w:rsidRDefault="00DA5DA6" w:rsidP="00DA5DA6">
            <w:pPr>
              <w:rPr>
                <w:rFonts w:cs="Arial"/>
              </w:rPr>
            </w:pPr>
            <w:r w:rsidRPr="00DA5DA6">
              <w:rPr>
                <w:szCs w:val="20"/>
              </w:rPr>
              <w:t>51(1,6%)</w:t>
            </w:r>
          </w:p>
        </w:tc>
      </w:tr>
      <w:tr w:rsidR="00DA5DA6" w:rsidRPr="00DA5DA6" w14:paraId="2F3E39AE" w14:textId="77777777" w:rsidTr="00DA5DA6">
        <w:tc>
          <w:tcPr>
            <w:tcW w:w="3192" w:type="dxa"/>
          </w:tcPr>
          <w:p w14:paraId="1C65803F" w14:textId="0E2C7DEB" w:rsidR="00DA5DA6" w:rsidRPr="00DA5DA6" w:rsidRDefault="00DA5DA6" w:rsidP="00DA5DA6">
            <w:pPr>
              <w:rPr>
                <w:rFonts w:cs="Arial"/>
                <w:b/>
              </w:rPr>
            </w:pPr>
            <w:r w:rsidRPr="00DA5DA6">
              <w:rPr>
                <w:szCs w:val="20"/>
              </w:rPr>
              <w:t>Инфаркт на миокарда</w:t>
            </w:r>
          </w:p>
        </w:tc>
        <w:tc>
          <w:tcPr>
            <w:tcW w:w="3192" w:type="dxa"/>
          </w:tcPr>
          <w:p w14:paraId="7CF5B5BE" w14:textId="5BE74D40" w:rsidR="00DA5DA6" w:rsidRPr="00DA5DA6" w:rsidRDefault="00DA5DA6" w:rsidP="00DA5DA6">
            <w:pPr>
              <w:rPr>
                <w:rFonts w:cs="Arial"/>
                <w:b/>
              </w:rPr>
            </w:pPr>
            <w:r w:rsidRPr="00DA5DA6">
              <w:rPr>
                <w:szCs w:val="20"/>
              </w:rPr>
              <w:t>37 (1,2%)</w:t>
            </w:r>
          </w:p>
        </w:tc>
        <w:tc>
          <w:tcPr>
            <w:tcW w:w="3192" w:type="dxa"/>
          </w:tcPr>
          <w:p w14:paraId="794A3773" w14:textId="538B88E2" w:rsidR="00DA5DA6" w:rsidRPr="00DA5DA6" w:rsidRDefault="00DA5DA6" w:rsidP="00DA5DA6">
            <w:pPr>
              <w:rPr>
                <w:rFonts w:cs="Arial"/>
                <w:b/>
              </w:rPr>
            </w:pPr>
            <w:r w:rsidRPr="00DA5DA6">
              <w:rPr>
                <w:szCs w:val="20"/>
              </w:rPr>
              <w:t>34(1,1 %)</w:t>
            </w:r>
          </w:p>
        </w:tc>
      </w:tr>
      <w:tr w:rsidR="00DA5DA6" w:rsidRPr="00DA5DA6" w14:paraId="1108D392" w14:textId="77777777" w:rsidTr="00DA5DA6">
        <w:tc>
          <w:tcPr>
            <w:tcW w:w="3192" w:type="dxa"/>
          </w:tcPr>
          <w:p w14:paraId="01378847" w14:textId="2B0F30E0" w:rsidR="00DA5DA6" w:rsidRPr="00DA5DA6" w:rsidRDefault="00DA5DA6" w:rsidP="00DA5DA6">
            <w:pPr>
              <w:rPr>
                <w:rFonts w:cs="Arial"/>
                <w:b/>
              </w:rPr>
            </w:pPr>
            <w:r w:rsidRPr="00DA5DA6">
              <w:rPr>
                <w:szCs w:val="20"/>
              </w:rPr>
              <w:t>Коронарно-съдова болест</w:t>
            </w:r>
          </w:p>
        </w:tc>
        <w:tc>
          <w:tcPr>
            <w:tcW w:w="3192" w:type="dxa"/>
          </w:tcPr>
          <w:p w14:paraId="4A73CAE2" w14:textId="00D2D500" w:rsidR="00DA5DA6" w:rsidRPr="00DA5DA6" w:rsidRDefault="00DA5DA6" w:rsidP="00DA5DA6">
            <w:pPr>
              <w:rPr>
                <w:rFonts w:cs="Arial"/>
                <w:b/>
              </w:rPr>
            </w:pPr>
            <w:r w:rsidRPr="00DA5DA6">
              <w:rPr>
                <w:szCs w:val="20"/>
              </w:rPr>
              <w:t>25 (0,8 %)</w:t>
            </w:r>
          </w:p>
        </w:tc>
        <w:tc>
          <w:tcPr>
            <w:tcW w:w="3192" w:type="dxa"/>
          </w:tcPr>
          <w:p w14:paraId="573B17B1" w14:textId="33420963" w:rsidR="00DA5DA6" w:rsidRPr="00DA5DA6" w:rsidRDefault="00DA5DA6" w:rsidP="00DA5DA6">
            <w:pPr>
              <w:rPr>
                <w:rFonts w:cs="Arial"/>
                <w:b/>
              </w:rPr>
            </w:pPr>
            <w:r w:rsidRPr="00DA5DA6">
              <w:rPr>
                <w:szCs w:val="20"/>
              </w:rPr>
              <w:t>23 (0,7 %)</w:t>
            </w:r>
          </w:p>
        </w:tc>
      </w:tr>
      <w:tr w:rsidR="00DA5DA6" w:rsidRPr="00DA5DA6" w14:paraId="5312D561" w14:textId="77777777" w:rsidTr="00DA5DA6">
        <w:tc>
          <w:tcPr>
            <w:tcW w:w="3192" w:type="dxa"/>
          </w:tcPr>
          <w:p w14:paraId="1AA93B98" w14:textId="076EF123" w:rsidR="00DA5DA6" w:rsidRPr="00DA5DA6" w:rsidRDefault="00DA5DA6" w:rsidP="00DA5DA6">
            <w:pPr>
              <w:rPr>
                <w:rFonts w:cs="Arial"/>
                <w:b/>
              </w:rPr>
            </w:pPr>
            <w:r w:rsidRPr="00DA5DA6">
              <w:rPr>
                <w:szCs w:val="20"/>
              </w:rPr>
              <w:t>Миокардна исхемия</w:t>
            </w:r>
          </w:p>
        </w:tc>
        <w:tc>
          <w:tcPr>
            <w:tcW w:w="3192" w:type="dxa"/>
          </w:tcPr>
          <w:p w14:paraId="695FE87E" w14:textId="46258659" w:rsidR="00DA5DA6" w:rsidRPr="00DA5DA6" w:rsidRDefault="00DA5DA6" w:rsidP="00DA5DA6">
            <w:pPr>
              <w:rPr>
                <w:rFonts w:cs="Arial"/>
                <w:b/>
              </w:rPr>
            </w:pPr>
            <w:r w:rsidRPr="00DA5DA6">
              <w:rPr>
                <w:szCs w:val="20"/>
              </w:rPr>
              <w:t>22 (0,7 %)</w:t>
            </w:r>
          </w:p>
        </w:tc>
        <w:tc>
          <w:tcPr>
            <w:tcW w:w="3192" w:type="dxa"/>
          </w:tcPr>
          <w:p w14:paraId="1F672568" w14:textId="289FD020" w:rsidR="00DA5DA6" w:rsidRPr="00DA5DA6" w:rsidRDefault="00DA5DA6" w:rsidP="00DA5DA6">
            <w:pPr>
              <w:rPr>
                <w:rFonts w:cs="Arial"/>
                <w:b/>
              </w:rPr>
            </w:pPr>
            <w:r w:rsidRPr="00DA5DA6">
              <w:rPr>
                <w:szCs w:val="20"/>
              </w:rPr>
              <w:t>14 (0,5 %)</w:t>
            </w:r>
          </w:p>
        </w:tc>
      </w:tr>
      <w:tr w:rsidR="00DA5DA6" w:rsidRPr="00DA5DA6" w14:paraId="743F7827" w14:textId="77777777" w:rsidTr="00DA5DA6">
        <w:tc>
          <w:tcPr>
            <w:tcW w:w="3192" w:type="dxa"/>
          </w:tcPr>
          <w:p w14:paraId="1490D8D6" w14:textId="160017DF" w:rsidR="00DA5DA6" w:rsidRPr="00DA5DA6" w:rsidRDefault="00DA5DA6" w:rsidP="00DA5DA6">
            <w:pPr>
              <w:rPr>
                <w:rFonts w:cs="Arial"/>
                <w:b/>
              </w:rPr>
            </w:pPr>
            <w:r w:rsidRPr="00DA5DA6">
              <w:rPr>
                <w:szCs w:val="20"/>
              </w:rPr>
              <w:t>Вагинално течение</w:t>
            </w:r>
          </w:p>
        </w:tc>
        <w:tc>
          <w:tcPr>
            <w:tcW w:w="3192" w:type="dxa"/>
          </w:tcPr>
          <w:p w14:paraId="13DB411E" w14:textId="1CA07AFD" w:rsidR="00DA5DA6" w:rsidRPr="00DA5DA6" w:rsidRDefault="00DA5DA6" w:rsidP="00DA5DA6">
            <w:pPr>
              <w:rPr>
                <w:rFonts w:cs="Arial"/>
                <w:b/>
              </w:rPr>
            </w:pPr>
            <w:r w:rsidRPr="00DA5DA6">
              <w:rPr>
                <w:szCs w:val="20"/>
              </w:rPr>
              <w:t>109 (3,5 %)</w:t>
            </w:r>
          </w:p>
        </w:tc>
        <w:tc>
          <w:tcPr>
            <w:tcW w:w="3192" w:type="dxa"/>
          </w:tcPr>
          <w:p w14:paraId="5D5DD84A" w14:textId="539AFF7F" w:rsidR="00DA5DA6" w:rsidRPr="00DA5DA6" w:rsidRDefault="00DA5DA6" w:rsidP="00DA5DA6">
            <w:pPr>
              <w:rPr>
                <w:rFonts w:cs="Arial"/>
                <w:b/>
              </w:rPr>
            </w:pPr>
            <w:r w:rsidRPr="00DA5DA6">
              <w:rPr>
                <w:szCs w:val="20"/>
              </w:rPr>
              <w:t>408 (13,2 %)</w:t>
            </w:r>
          </w:p>
        </w:tc>
      </w:tr>
      <w:tr w:rsidR="00DA5DA6" w:rsidRPr="00DA5DA6" w14:paraId="2C488ABF" w14:textId="77777777" w:rsidTr="00DA5DA6">
        <w:tc>
          <w:tcPr>
            <w:tcW w:w="3192" w:type="dxa"/>
          </w:tcPr>
          <w:p w14:paraId="41F1783D" w14:textId="7C487ED4" w:rsidR="00DA5DA6" w:rsidRPr="00DA5DA6" w:rsidRDefault="00DA5DA6" w:rsidP="00DA5DA6">
            <w:pPr>
              <w:rPr>
                <w:rFonts w:cs="Arial"/>
                <w:b/>
              </w:rPr>
            </w:pPr>
            <w:r w:rsidRPr="00DA5DA6">
              <w:rPr>
                <w:szCs w:val="20"/>
              </w:rPr>
              <w:t>Венозен тромбоемболичен инцидент от какъвто и да е произход</w:t>
            </w:r>
          </w:p>
        </w:tc>
        <w:tc>
          <w:tcPr>
            <w:tcW w:w="3192" w:type="dxa"/>
          </w:tcPr>
          <w:p w14:paraId="679E909A" w14:textId="0436871A" w:rsidR="00DA5DA6" w:rsidRPr="00DA5DA6" w:rsidRDefault="00DA5DA6" w:rsidP="00DA5DA6">
            <w:pPr>
              <w:rPr>
                <w:rFonts w:cs="Arial"/>
                <w:b/>
              </w:rPr>
            </w:pPr>
            <w:r w:rsidRPr="00DA5DA6">
              <w:rPr>
                <w:szCs w:val="20"/>
              </w:rPr>
              <w:t>87 (2,8 %)</w:t>
            </w:r>
          </w:p>
        </w:tc>
        <w:tc>
          <w:tcPr>
            <w:tcW w:w="3192" w:type="dxa"/>
          </w:tcPr>
          <w:p w14:paraId="491E58FC" w14:textId="3AE99C21" w:rsidR="00DA5DA6" w:rsidRPr="00DA5DA6" w:rsidRDefault="00DA5DA6" w:rsidP="00DA5DA6">
            <w:pPr>
              <w:rPr>
                <w:rFonts w:cs="Arial"/>
                <w:b/>
              </w:rPr>
            </w:pPr>
            <w:r w:rsidRPr="00DA5DA6">
              <w:rPr>
                <w:szCs w:val="20"/>
              </w:rPr>
              <w:t>140 (4,5 %)</w:t>
            </w:r>
          </w:p>
        </w:tc>
      </w:tr>
      <w:tr w:rsidR="00DA5DA6" w:rsidRPr="00DA5DA6" w14:paraId="745C82FE" w14:textId="77777777" w:rsidTr="00DA5DA6">
        <w:tc>
          <w:tcPr>
            <w:tcW w:w="3192" w:type="dxa"/>
          </w:tcPr>
          <w:p w14:paraId="75FF9AFF" w14:textId="2F1773DC" w:rsidR="00DA5DA6" w:rsidRPr="00DA5DA6" w:rsidRDefault="00DA5DA6" w:rsidP="00DA5DA6">
            <w:pPr>
              <w:rPr>
                <w:rFonts w:cs="Arial"/>
                <w:b/>
              </w:rPr>
            </w:pPr>
            <w:r w:rsidRPr="00DA5DA6">
              <w:rPr>
                <w:szCs w:val="20"/>
              </w:rPr>
              <w:t>Дълбока венозна тромбоза, включително и БТЕ (белодробна тромбоемболия)</w:t>
            </w:r>
          </w:p>
        </w:tc>
        <w:tc>
          <w:tcPr>
            <w:tcW w:w="3192" w:type="dxa"/>
          </w:tcPr>
          <w:p w14:paraId="69EA3221" w14:textId="31C4788B" w:rsidR="00DA5DA6" w:rsidRPr="00DA5DA6" w:rsidRDefault="00DA5DA6" w:rsidP="00DA5DA6">
            <w:pPr>
              <w:rPr>
                <w:rFonts w:cs="Arial"/>
                <w:b/>
              </w:rPr>
            </w:pPr>
            <w:r w:rsidRPr="00DA5DA6">
              <w:rPr>
                <w:szCs w:val="20"/>
              </w:rPr>
              <w:t>48(1,6%)</w:t>
            </w:r>
          </w:p>
        </w:tc>
        <w:tc>
          <w:tcPr>
            <w:tcW w:w="3192" w:type="dxa"/>
          </w:tcPr>
          <w:p w14:paraId="589201D1" w14:textId="59513A1F" w:rsidR="00DA5DA6" w:rsidRPr="00DA5DA6" w:rsidRDefault="00DA5DA6" w:rsidP="00DA5DA6">
            <w:pPr>
              <w:rPr>
                <w:rFonts w:cs="Arial"/>
                <w:b/>
              </w:rPr>
            </w:pPr>
            <w:r w:rsidRPr="00DA5DA6">
              <w:rPr>
                <w:szCs w:val="20"/>
              </w:rPr>
              <w:t>74 (2,4 %)</w:t>
            </w:r>
          </w:p>
        </w:tc>
      </w:tr>
      <w:tr w:rsidR="00DA5DA6" w:rsidRPr="00DA5DA6" w14:paraId="254C7532" w14:textId="77777777" w:rsidTr="00DA5DA6">
        <w:tc>
          <w:tcPr>
            <w:tcW w:w="3192" w:type="dxa"/>
          </w:tcPr>
          <w:p w14:paraId="1C1A42D6" w14:textId="1C2F97FF" w:rsidR="00DA5DA6" w:rsidRPr="00DA5DA6" w:rsidRDefault="00DA5DA6" w:rsidP="00DA5DA6">
            <w:pPr>
              <w:rPr>
                <w:rFonts w:cs="Arial"/>
                <w:b/>
              </w:rPr>
            </w:pPr>
            <w:r w:rsidRPr="00DA5DA6">
              <w:rPr>
                <w:szCs w:val="20"/>
              </w:rPr>
              <w:t>Мозъчно-съдова исхемия</w:t>
            </w:r>
          </w:p>
        </w:tc>
        <w:tc>
          <w:tcPr>
            <w:tcW w:w="3192" w:type="dxa"/>
          </w:tcPr>
          <w:p w14:paraId="3682C942" w14:textId="68E6D838" w:rsidR="00DA5DA6" w:rsidRPr="00DA5DA6" w:rsidRDefault="00DA5DA6" w:rsidP="00DA5DA6">
            <w:pPr>
              <w:rPr>
                <w:rFonts w:cs="Arial"/>
                <w:b/>
              </w:rPr>
            </w:pPr>
            <w:r w:rsidRPr="00DA5DA6">
              <w:rPr>
                <w:szCs w:val="20"/>
              </w:rPr>
              <w:t>62(2,0%)</w:t>
            </w:r>
          </w:p>
        </w:tc>
        <w:tc>
          <w:tcPr>
            <w:tcW w:w="3192" w:type="dxa"/>
          </w:tcPr>
          <w:p w14:paraId="526FC7AF" w14:textId="7B01BA3A" w:rsidR="00DA5DA6" w:rsidRPr="00DA5DA6" w:rsidRDefault="00DA5DA6" w:rsidP="00DA5DA6">
            <w:pPr>
              <w:rPr>
                <w:rFonts w:cs="Arial"/>
                <w:b/>
              </w:rPr>
            </w:pPr>
            <w:r w:rsidRPr="00DA5DA6">
              <w:rPr>
                <w:szCs w:val="20"/>
              </w:rPr>
              <w:t>88 (2,8 %)</w:t>
            </w:r>
          </w:p>
        </w:tc>
      </w:tr>
      <w:tr w:rsidR="00DA5DA6" w:rsidRPr="00DA5DA6" w14:paraId="335C280C" w14:textId="77777777" w:rsidTr="00DA5DA6">
        <w:tc>
          <w:tcPr>
            <w:tcW w:w="3192" w:type="dxa"/>
          </w:tcPr>
          <w:p w14:paraId="7E826D67" w14:textId="0C5233C4" w:rsidR="00DA5DA6" w:rsidRPr="00DA5DA6" w:rsidRDefault="00DA5DA6" w:rsidP="00DA5DA6">
            <w:pPr>
              <w:rPr>
                <w:rFonts w:cs="Arial"/>
                <w:b/>
              </w:rPr>
            </w:pPr>
            <w:r w:rsidRPr="00DA5DA6">
              <w:rPr>
                <w:szCs w:val="20"/>
              </w:rPr>
              <w:t>Рак на ендометриума</w:t>
            </w:r>
          </w:p>
        </w:tc>
        <w:tc>
          <w:tcPr>
            <w:tcW w:w="3192" w:type="dxa"/>
          </w:tcPr>
          <w:p w14:paraId="6CABF74F" w14:textId="4898A0DF" w:rsidR="00DA5DA6" w:rsidRPr="00DA5DA6" w:rsidRDefault="00DA5DA6" w:rsidP="00DA5DA6">
            <w:pPr>
              <w:rPr>
                <w:rFonts w:cs="Arial"/>
                <w:b/>
              </w:rPr>
            </w:pPr>
            <w:r w:rsidRPr="00DA5DA6">
              <w:rPr>
                <w:szCs w:val="20"/>
              </w:rPr>
              <w:t>4(0,2%)</w:t>
            </w:r>
          </w:p>
        </w:tc>
        <w:tc>
          <w:tcPr>
            <w:tcW w:w="3192" w:type="dxa"/>
          </w:tcPr>
          <w:p w14:paraId="1C3B8B4F" w14:textId="22606D78" w:rsidR="00DA5DA6" w:rsidRPr="00DA5DA6" w:rsidRDefault="00DA5DA6" w:rsidP="00DA5DA6">
            <w:pPr>
              <w:rPr>
                <w:rFonts w:cs="Arial"/>
                <w:b/>
              </w:rPr>
            </w:pPr>
            <w:r w:rsidRPr="00DA5DA6">
              <w:rPr>
                <w:szCs w:val="20"/>
              </w:rPr>
              <w:t>13(0,6%)</w:t>
            </w:r>
          </w:p>
        </w:tc>
      </w:tr>
    </w:tbl>
    <w:p w14:paraId="597A7EF2" w14:textId="77777777" w:rsidR="00DA5DA6" w:rsidRDefault="00DA5DA6" w:rsidP="00DA5DA6">
      <w:pPr>
        <w:spacing w:line="240" w:lineRule="auto"/>
        <w:rPr>
          <w:rFonts w:ascii="Times New Roman" w:eastAsia="Times New Roman" w:hAnsi="Times New Roman" w:cs="Times New Roman"/>
          <w:color w:val="000000"/>
          <w:sz w:val="20"/>
          <w:szCs w:val="20"/>
          <w:lang w:eastAsia="bg-BG"/>
        </w:rPr>
      </w:pPr>
    </w:p>
    <w:p w14:paraId="41DD3CF4" w14:textId="34A5D8CA" w:rsidR="00DA5DA6" w:rsidRPr="00DA5DA6" w:rsidRDefault="00DA5DA6" w:rsidP="00DA5DA6">
      <w:pPr>
        <w:spacing w:line="240" w:lineRule="auto"/>
        <w:rPr>
          <w:rFonts w:eastAsia="Times New Roman" w:cs="Arial"/>
        </w:rPr>
      </w:pPr>
      <w:r w:rsidRPr="00DA5DA6">
        <w:rPr>
          <w:rFonts w:eastAsia="Times New Roman" w:cs="Arial"/>
          <w:color w:val="000000"/>
          <w:lang w:eastAsia="bg-BG"/>
        </w:rPr>
        <w:t>При медиана на периода на проследяване от средно 68 месеца при пациентките на Аримидекс и тамоксифен е наблюдавана честота на фрактури съответно 22 на 1 000 пациентогодини и 15 на 1 000 пациентогодини. Рискът при прием на Аримидекс е сходен с този за популацията постменопаузални жени на същата възраст. Честотата на развитие на остеопороза е 10,5 % при лекуваните с Аримидекс пациентки и 7,3 % при лекуваните с тамоксифен пациентки.</w:t>
      </w:r>
    </w:p>
    <w:p w14:paraId="7823590D" w14:textId="77777777" w:rsidR="00DA5DA6" w:rsidRPr="00DA5DA6" w:rsidRDefault="00DA5DA6" w:rsidP="00DA5DA6">
      <w:pPr>
        <w:spacing w:line="240" w:lineRule="auto"/>
        <w:rPr>
          <w:rFonts w:eastAsia="Times New Roman" w:cs="Arial"/>
          <w:color w:val="000000"/>
          <w:lang w:eastAsia="bg-BG"/>
        </w:rPr>
      </w:pPr>
    </w:p>
    <w:p w14:paraId="5F7844B7" w14:textId="4B64E148" w:rsidR="00DA5DA6" w:rsidRPr="00DA5DA6" w:rsidRDefault="00DA5DA6" w:rsidP="00DA5DA6">
      <w:pPr>
        <w:spacing w:line="240" w:lineRule="auto"/>
        <w:rPr>
          <w:rFonts w:eastAsia="Times New Roman" w:cs="Arial"/>
        </w:rPr>
      </w:pPr>
      <w:r w:rsidRPr="00DA5DA6">
        <w:rPr>
          <w:rFonts w:eastAsia="Times New Roman" w:cs="Arial"/>
          <w:color w:val="000000"/>
          <w:lang w:eastAsia="bg-BG"/>
        </w:rPr>
        <w:t>Не е известно дали честотите на развитие на фрактури и остеопороза, наблюдавани при лекуваните с Аримидекс пациентки в проучването АТАС, отразяват протективен ефект на тамоксифен, специфичен ефект на Аримидекс, или и двете.</w:t>
      </w:r>
    </w:p>
    <w:p w14:paraId="78511FAD" w14:textId="77777777" w:rsidR="00DA5DA6" w:rsidRPr="00DA5DA6" w:rsidRDefault="00DA5DA6" w:rsidP="00DA5DA6">
      <w:pPr>
        <w:spacing w:line="240" w:lineRule="auto"/>
        <w:rPr>
          <w:rFonts w:eastAsia="Times New Roman" w:cs="Arial"/>
          <w:color w:val="000000"/>
          <w:u w:val="single"/>
          <w:lang w:eastAsia="bg-BG"/>
        </w:rPr>
      </w:pPr>
    </w:p>
    <w:p w14:paraId="23F105C9" w14:textId="7F1C3603" w:rsidR="00DA5DA6" w:rsidRPr="00DA5DA6" w:rsidRDefault="00DA5DA6" w:rsidP="00DA5DA6">
      <w:pPr>
        <w:spacing w:line="240" w:lineRule="auto"/>
        <w:rPr>
          <w:rFonts w:eastAsia="Times New Roman" w:cs="Arial"/>
        </w:rPr>
      </w:pPr>
      <w:r w:rsidRPr="00DA5DA6">
        <w:rPr>
          <w:rFonts w:eastAsia="Times New Roman" w:cs="Arial"/>
          <w:color w:val="000000"/>
          <w:u w:val="single"/>
          <w:lang w:eastAsia="bg-BG"/>
        </w:rPr>
        <w:t>Съобщаване на подозирани нежелани реакции</w:t>
      </w:r>
    </w:p>
    <w:p w14:paraId="7077B9AC"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до:</w:t>
      </w:r>
    </w:p>
    <w:p w14:paraId="3A06CAB7" w14:textId="77777777" w:rsidR="00DA5DA6" w:rsidRPr="00DA5DA6" w:rsidRDefault="00DA5DA6" w:rsidP="00DA5DA6">
      <w:pPr>
        <w:spacing w:line="240" w:lineRule="auto"/>
        <w:rPr>
          <w:rFonts w:eastAsia="Times New Roman" w:cs="Arial"/>
          <w:b/>
          <w:bCs/>
          <w:color w:val="000000"/>
          <w:lang w:eastAsia="bg-BG"/>
        </w:rPr>
      </w:pPr>
      <w:bookmarkStart w:id="1" w:name="bookmark0"/>
    </w:p>
    <w:p w14:paraId="3C1AEA87" w14:textId="5B392329" w:rsidR="00DA5DA6" w:rsidRPr="00DA5DA6" w:rsidRDefault="00DA5DA6" w:rsidP="00DA5DA6">
      <w:pPr>
        <w:spacing w:line="240" w:lineRule="auto"/>
        <w:rPr>
          <w:rFonts w:eastAsia="Times New Roman" w:cs="Arial"/>
        </w:rPr>
      </w:pPr>
      <w:r w:rsidRPr="00DA5DA6">
        <w:rPr>
          <w:rFonts w:eastAsia="Times New Roman" w:cs="Arial"/>
          <w:b/>
          <w:bCs/>
          <w:color w:val="000000"/>
          <w:lang w:eastAsia="bg-BG"/>
        </w:rPr>
        <w:t>България</w:t>
      </w:r>
      <w:bookmarkEnd w:id="1"/>
    </w:p>
    <w:p w14:paraId="6FA41E5F"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Изпълнителна агенция по лекарствата</w:t>
      </w:r>
    </w:p>
    <w:p w14:paraId="062E20D8"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ул.,Дамян Груев” № 8</w:t>
      </w:r>
    </w:p>
    <w:p w14:paraId="32AEBB89"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1303 София</w:t>
      </w:r>
    </w:p>
    <w:p w14:paraId="745D5208"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Тел.:+359 2 8903417</w:t>
      </w:r>
    </w:p>
    <w:p w14:paraId="3B20DFE3" w14:textId="77777777" w:rsidR="00DA5DA6" w:rsidRPr="00DA5DA6" w:rsidRDefault="00DA5DA6" w:rsidP="00DA5DA6">
      <w:pPr>
        <w:spacing w:line="240" w:lineRule="auto"/>
        <w:rPr>
          <w:rFonts w:eastAsia="Times New Roman" w:cs="Arial"/>
        </w:rPr>
      </w:pPr>
      <w:r w:rsidRPr="00DA5DA6">
        <w:rPr>
          <w:rFonts w:eastAsia="Times New Roman" w:cs="Arial"/>
          <w:color w:val="000000"/>
          <w:lang w:eastAsia="bg-BG"/>
        </w:rPr>
        <w:t xml:space="preserve">уебсайт: </w:t>
      </w:r>
      <w:r w:rsidRPr="00DA5DA6">
        <w:rPr>
          <w:rFonts w:eastAsia="Times New Roman" w:cs="Arial"/>
        </w:rPr>
        <w:fldChar w:fldCharType="begin"/>
      </w:r>
      <w:r w:rsidRPr="00DA5DA6">
        <w:rPr>
          <w:rFonts w:eastAsia="Times New Roman" w:cs="Arial"/>
        </w:rPr>
        <w:instrText xml:space="preserve"> HYPERLINK "http://www.bda.bg" </w:instrText>
      </w:r>
      <w:r w:rsidRPr="00DA5DA6">
        <w:rPr>
          <w:rFonts w:eastAsia="Times New Roman" w:cs="Arial"/>
        </w:rPr>
      </w:r>
      <w:r w:rsidRPr="00DA5DA6">
        <w:rPr>
          <w:rFonts w:eastAsia="Times New Roman" w:cs="Arial"/>
        </w:rPr>
        <w:fldChar w:fldCharType="separate"/>
      </w:r>
      <w:r w:rsidRPr="00DA5DA6">
        <w:rPr>
          <w:rFonts w:eastAsia="Times New Roman" w:cs="Arial"/>
          <w:color w:val="000000"/>
          <w:u w:val="single"/>
          <w:lang w:val="en-US"/>
        </w:rPr>
        <w:t>www</w:t>
      </w:r>
      <w:r w:rsidRPr="00DA5DA6">
        <w:rPr>
          <w:rFonts w:eastAsia="Times New Roman" w:cs="Arial"/>
          <w:color w:val="000000"/>
          <w:u w:val="single"/>
          <w:lang w:val="ru-RU"/>
        </w:rPr>
        <w:t>.</w:t>
      </w:r>
      <w:proofErr w:type="spellStart"/>
      <w:r w:rsidRPr="00DA5DA6">
        <w:rPr>
          <w:rFonts w:eastAsia="Times New Roman" w:cs="Arial"/>
          <w:color w:val="000000"/>
          <w:u w:val="single"/>
          <w:lang w:val="en-US"/>
        </w:rPr>
        <w:t>bda</w:t>
      </w:r>
      <w:proofErr w:type="spellEnd"/>
      <w:r w:rsidRPr="00DA5DA6">
        <w:rPr>
          <w:rFonts w:eastAsia="Times New Roman" w:cs="Arial"/>
          <w:color w:val="000000"/>
          <w:u w:val="single"/>
          <w:lang w:val="ru-RU"/>
        </w:rPr>
        <w:t>.</w:t>
      </w:r>
      <w:proofErr w:type="spellStart"/>
      <w:r w:rsidRPr="00DA5DA6">
        <w:rPr>
          <w:rFonts w:eastAsia="Times New Roman" w:cs="Arial"/>
          <w:color w:val="000000"/>
          <w:u w:val="single"/>
          <w:lang w:val="en-US"/>
        </w:rPr>
        <w:t>bg</w:t>
      </w:r>
      <w:proofErr w:type="spellEnd"/>
      <w:r w:rsidRPr="00DA5DA6">
        <w:rPr>
          <w:rFonts w:eastAsia="Times New Roman" w:cs="Arial"/>
        </w:rPr>
        <w:fldChar w:fldCharType="end"/>
      </w:r>
    </w:p>
    <w:p w14:paraId="11D3797B" w14:textId="77777777" w:rsidR="00DA5DA6" w:rsidRPr="00DA5DA6" w:rsidRDefault="00DA5DA6" w:rsidP="00DA5DA6">
      <w:pPr>
        <w:rPr>
          <w:rFonts w:cs="Arial"/>
          <w:b/>
          <w:sz w:val="28"/>
        </w:rPr>
      </w:pPr>
    </w:p>
    <w:p w14:paraId="5A87DBA3" w14:textId="12F601BE" w:rsidR="007122AD" w:rsidRDefault="002C50EE" w:rsidP="00936AD0">
      <w:pPr>
        <w:pStyle w:val="Heading2"/>
      </w:pPr>
      <w:r>
        <w:lastRenderedPageBreak/>
        <w:t>4.9. Предозиране</w:t>
      </w:r>
    </w:p>
    <w:p w14:paraId="02AD85FB" w14:textId="55F9AB40" w:rsidR="00DA5DA6" w:rsidRDefault="00DA5DA6" w:rsidP="00DA5DA6"/>
    <w:p w14:paraId="5700DC4E" w14:textId="77777777" w:rsidR="00DA5DA6" w:rsidRPr="00DA5DA6" w:rsidRDefault="00DA5DA6" w:rsidP="00DA5DA6">
      <w:pPr>
        <w:rPr>
          <w:rFonts w:eastAsia="Times New Roman" w:cs="Arial"/>
          <w:sz w:val="28"/>
          <w:szCs w:val="24"/>
        </w:rPr>
      </w:pPr>
      <w:r w:rsidRPr="00DA5DA6">
        <w:rPr>
          <w:rFonts w:cs="Arial"/>
          <w:szCs w:val="20"/>
        </w:rPr>
        <w:t xml:space="preserve">Клиничният опит с инцидентното предозиране е ограничен. В проучванията при животни анастрозол показва ограничена остра токсичност. Проведени са клинични проучвания с различни дози Аримидекс - до 60 </w:t>
      </w:r>
      <w:r w:rsidRPr="00DA5DA6">
        <w:rPr>
          <w:rFonts w:cs="Arial"/>
          <w:szCs w:val="20"/>
          <w:lang w:val="en-US"/>
        </w:rPr>
        <w:t>mg</w:t>
      </w:r>
      <w:r w:rsidRPr="00DA5DA6">
        <w:rPr>
          <w:rFonts w:cs="Arial"/>
          <w:szCs w:val="20"/>
          <w:lang w:val="ru-RU"/>
        </w:rPr>
        <w:t xml:space="preserve"> </w:t>
      </w:r>
      <w:r w:rsidRPr="00DA5DA6">
        <w:rPr>
          <w:rFonts w:cs="Arial"/>
          <w:szCs w:val="20"/>
        </w:rPr>
        <w:t xml:space="preserve">като еднократна доза при здрави доброволци-мъже и до 10 </w:t>
      </w:r>
      <w:r w:rsidRPr="00DA5DA6">
        <w:rPr>
          <w:rFonts w:cs="Arial"/>
          <w:szCs w:val="20"/>
          <w:lang w:val="en-US"/>
        </w:rPr>
        <w:t>mg</w:t>
      </w:r>
      <w:r w:rsidRPr="00DA5DA6">
        <w:rPr>
          <w:rFonts w:cs="Arial"/>
          <w:szCs w:val="20"/>
          <w:lang w:val="ru-RU"/>
        </w:rPr>
        <w:t xml:space="preserve"> </w:t>
      </w:r>
      <w:r w:rsidRPr="00DA5DA6">
        <w:rPr>
          <w:rFonts w:cs="Arial"/>
          <w:szCs w:val="20"/>
        </w:rPr>
        <w:t>дневно при постменопаузални жени с авансирал рак на гърдата; тези дози се Понасят</w:t>
      </w:r>
      <w:r w:rsidRPr="00DA5DA6">
        <w:rPr>
          <w:rFonts w:cs="Arial"/>
          <w:szCs w:val="20"/>
          <w:vertAlign w:val="subscript"/>
        </w:rPr>
        <w:t xml:space="preserve"> </w:t>
      </w:r>
      <w:r w:rsidRPr="00DA5DA6">
        <w:rPr>
          <w:rFonts w:cs="Arial"/>
          <w:szCs w:val="20"/>
        </w:rPr>
        <w:t xml:space="preserve">добре. Не е установено каква е единичната доза Аримидекс, която води до развитие на </w:t>
      </w:r>
      <w:r w:rsidRPr="00DA5DA6">
        <w:rPr>
          <w:rFonts w:eastAsia="Times New Roman" w:cs="Arial"/>
          <w:color w:val="000000"/>
          <w:szCs w:val="20"/>
          <w:lang w:eastAsia="bg-BG"/>
        </w:rPr>
        <w:t>животозастрашаващи симптоми. При предозиране няма специфичен антидот и лечението трябва да е симптоматично.</w:t>
      </w:r>
    </w:p>
    <w:p w14:paraId="4E254CE8" w14:textId="77777777" w:rsidR="00DA5DA6" w:rsidRPr="00DA5DA6" w:rsidRDefault="00DA5DA6" w:rsidP="00DA5DA6">
      <w:pPr>
        <w:rPr>
          <w:rFonts w:eastAsia="Times New Roman" w:cs="Arial"/>
          <w:color w:val="000000"/>
          <w:szCs w:val="20"/>
          <w:lang w:eastAsia="bg-BG"/>
        </w:rPr>
      </w:pPr>
    </w:p>
    <w:p w14:paraId="25D246B7" w14:textId="168AFBAA" w:rsidR="00DA5DA6" w:rsidRPr="00DA5DA6" w:rsidRDefault="00DA5DA6" w:rsidP="00DA5DA6">
      <w:pPr>
        <w:rPr>
          <w:rFonts w:eastAsia="Times New Roman" w:cs="Arial"/>
          <w:color w:val="000000"/>
          <w:szCs w:val="20"/>
          <w:lang w:eastAsia="bg-BG"/>
        </w:rPr>
      </w:pPr>
      <w:r w:rsidRPr="00DA5DA6">
        <w:rPr>
          <w:rFonts w:eastAsia="Times New Roman" w:cs="Arial"/>
          <w:color w:val="000000"/>
          <w:szCs w:val="20"/>
          <w:lang w:eastAsia="bg-BG"/>
        </w:rPr>
        <w:t>При лечение в случай на предозиране трябва да се има предвид вероятността пациентът да е приел няколко лекарства. Ако пациентът е контактен, може да се предизвика повръщане. Диализата може да е от полза, понеже Аримидекс не се свързва във висока степен с плазмените протеини. Показани са общи поддържащи мерки, включително стриктно наблюдение на пациента и чест контрол на жизнените показатели.</w:t>
      </w:r>
    </w:p>
    <w:p w14:paraId="02081B24" w14:textId="1F46E296" w:rsidR="00395555" w:rsidRPr="00395555" w:rsidRDefault="002C50EE" w:rsidP="008A6AF2">
      <w:pPr>
        <w:pStyle w:val="Heading1"/>
      </w:pPr>
      <w:r>
        <w:t>5. ФАРМАКОЛОГИЧНИ СВОЙСТВА</w:t>
      </w:r>
    </w:p>
    <w:p w14:paraId="7DE36AC8" w14:textId="6CE563B9" w:rsidR="00B6672E" w:rsidRDefault="002C50EE" w:rsidP="00936AD0">
      <w:pPr>
        <w:pStyle w:val="Heading2"/>
      </w:pPr>
      <w:r>
        <w:t>5.1. Фармакодинамични свойства</w:t>
      </w:r>
    </w:p>
    <w:p w14:paraId="372FAE89" w14:textId="3B47A133" w:rsidR="00DA5DA6" w:rsidRDefault="00DA5DA6" w:rsidP="00DA5DA6"/>
    <w:p w14:paraId="0290D9EC" w14:textId="777777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Фармакотерапевтична група: Ензимни инхибитори, АТС код: </w:t>
      </w:r>
      <w:r w:rsidRPr="00DA5DA6">
        <w:rPr>
          <w:rFonts w:eastAsia="Times New Roman" w:cs="Arial"/>
          <w:color w:val="000000"/>
          <w:szCs w:val="20"/>
          <w:lang w:val="en-US"/>
        </w:rPr>
        <w:t>L</w:t>
      </w:r>
      <w:r w:rsidRPr="00DA5DA6">
        <w:rPr>
          <w:rFonts w:eastAsia="Times New Roman" w:cs="Arial"/>
          <w:color w:val="000000"/>
          <w:szCs w:val="20"/>
          <w:lang w:val="ru-RU"/>
        </w:rPr>
        <w:t>02</w:t>
      </w:r>
      <w:r w:rsidRPr="00DA5DA6">
        <w:rPr>
          <w:rFonts w:eastAsia="Times New Roman" w:cs="Arial"/>
          <w:color w:val="000000"/>
          <w:szCs w:val="20"/>
          <w:lang w:val="en-US"/>
        </w:rPr>
        <w:t>B</w:t>
      </w:r>
      <w:r w:rsidRPr="00DA5DA6">
        <w:rPr>
          <w:rFonts w:eastAsia="Times New Roman" w:cs="Arial"/>
          <w:color w:val="000000"/>
          <w:szCs w:val="20"/>
          <w:lang w:val="ru-RU"/>
        </w:rPr>
        <w:t xml:space="preserve"> </w:t>
      </w:r>
      <w:r w:rsidRPr="00DA5DA6">
        <w:rPr>
          <w:rFonts w:eastAsia="Times New Roman" w:cs="Arial"/>
          <w:color w:val="000000"/>
          <w:szCs w:val="20"/>
          <w:lang w:val="en-US"/>
        </w:rPr>
        <w:t>G</w:t>
      </w:r>
      <w:r w:rsidRPr="00DA5DA6">
        <w:rPr>
          <w:rFonts w:eastAsia="Times New Roman" w:cs="Arial"/>
          <w:color w:val="000000"/>
          <w:szCs w:val="20"/>
          <w:lang w:val="ru-RU"/>
        </w:rPr>
        <w:t>03</w:t>
      </w:r>
    </w:p>
    <w:p w14:paraId="68B76B34" w14:textId="77777777" w:rsidR="00DA5DA6" w:rsidRPr="00DA5DA6" w:rsidRDefault="00DA5DA6" w:rsidP="00DA5DA6">
      <w:pPr>
        <w:spacing w:line="240" w:lineRule="auto"/>
        <w:rPr>
          <w:rFonts w:eastAsia="Times New Roman" w:cs="Arial"/>
          <w:color w:val="000000"/>
          <w:szCs w:val="20"/>
          <w:u w:val="single"/>
          <w:lang w:eastAsia="bg-BG"/>
        </w:rPr>
      </w:pPr>
    </w:p>
    <w:p w14:paraId="0A04F0DB" w14:textId="70723711"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Механизъм на действие и Фармакодннамични ефекти</w:t>
      </w:r>
    </w:p>
    <w:p w14:paraId="7BD6CE03" w14:textId="77777777" w:rsidR="00DA5DA6" w:rsidRPr="00DA5DA6" w:rsidRDefault="00DA5DA6" w:rsidP="00DA5DA6">
      <w:pPr>
        <w:spacing w:line="240" w:lineRule="auto"/>
        <w:rPr>
          <w:rFonts w:eastAsia="Times New Roman" w:cs="Arial"/>
          <w:color w:val="000000"/>
          <w:szCs w:val="20"/>
          <w:lang w:eastAsia="bg-BG"/>
        </w:rPr>
      </w:pPr>
    </w:p>
    <w:p w14:paraId="7A98A4ED" w14:textId="5F98969C"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Аримидекс е мощен и високо селективен нестероиден ароматазен инхибитор. При постменопаузални жени естрадиол се продуцира главно чрез превръщане в периферните тъкани на андростендион в естрон под действие на ароматазния ензимен комплекс. Впоследствие естронът се превръща в естрадиол. Доказано е, че при жени с рак на гърдата намаляването на концентрацията на циркулиращия естрадиол има благоприятен ефект. Чрез използване на високочувствителен метод се доказва, че при постменопаузални жени приемът на Аримидекс в дневна доза 1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предизвиква супресия на естрадиола над 80 %.</w:t>
      </w:r>
    </w:p>
    <w:p w14:paraId="6E3E5AB3" w14:textId="77777777" w:rsidR="00DA5DA6" w:rsidRPr="00DA5DA6" w:rsidRDefault="00DA5DA6" w:rsidP="00DA5DA6">
      <w:pPr>
        <w:spacing w:line="240" w:lineRule="auto"/>
        <w:rPr>
          <w:rFonts w:eastAsia="Times New Roman" w:cs="Arial"/>
          <w:color w:val="000000"/>
          <w:szCs w:val="20"/>
          <w:lang w:eastAsia="bg-BG"/>
        </w:rPr>
      </w:pPr>
    </w:p>
    <w:p w14:paraId="4CFBFEBD" w14:textId="7AE99677"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Аримидекс няма прогестеронова, андрогенна или естрогенна активност.</w:t>
      </w:r>
    </w:p>
    <w:p w14:paraId="15586363" w14:textId="77777777" w:rsidR="00DA5DA6" w:rsidRPr="00DA5DA6" w:rsidRDefault="00DA5DA6" w:rsidP="00DA5DA6">
      <w:pPr>
        <w:spacing w:line="240" w:lineRule="auto"/>
        <w:rPr>
          <w:rFonts w:eastAsia="Times New Roman" w:cs="Arial"/>
          <w:color w:val="000000"/>
          <w:szCs w:val="20"/>
          <w:lang w:eastAsia="bg-BG"/>
        </w:rPr>
      </w:pPr>
    </w:p>
    <w:p w14:paraId="7A6883E1" w14:textId="6C0EF84C"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 xml:space="preserve">Дневни дози Аримидекс до 10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нямат ефект върху секрецията на кортизол или алдостерон, измерени преди или след стандартно изпитване с адренокортикотропен хормон (АКТХ). Следователно, не е необходимо заместително лечение с кортикостероиди.</w:t>
      </w:r>
    </w:p>
    <w:p w14:paraId="7151D96C" w14:textId="77777777" w:rsidR="00DA5DA6" w:rsidRPr="00DA5DA6" w:rsidRDefault="00DA5DA6" w:rsidP="00DA5DA6">
      <w:pPr>
        <w:spacing w:line="240" w:lineRule="auto"/>
        <w:rPr>
          <w:rFonts w:eastAsia="Times New Roman" w:cs="Arial"/>
          <w:color w:val="000000"/>
          <w:szCs w:val="20"/>
          <w:u w:val="single"/>
          <w:lang w:eastAsia="bg-BG"/>
        </w:rPr>
      </w:pPr>
    </w:p>
    <w:p w14:paraId="16984C2C" w14:textId="7AAA4624"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u w:val="single"/>
          <w:lang w:eastAsia="bg-BG"/>
        </w:rPr>
        <w:t>Клинична ефикасност и безопасност</w:t>
      </w:r>
    </w:p>
    <w:p w14:paraId="1BDC217F" w14:textId="77777777" w:rsidR="00DA5DA6" w:rsidRPr="00DA5DA6" w:rsidRDefault="00DA5DA6" w:rsidP="00DA5DA6">
      <w:pPr>
        <w:spacing w:line="240" w:lineRule="auto"/>
        <w:rPr>
          <w:rFonts w:eastAsia="Times New Roman" w:cs="Arial"/>
          <w:i/>
          <w:iCs/>
          <w:color w:val="000000"/>
          <w:szCs w:val="20"/>
          <w:u w:val="single"/>
          <w:lang w:eastAsia="bg-BG"/>
        </w:rPr>
      </w:pPr>
    </w:p>
    <w:p w14:paraId="6BAEEA28" w14:textId="692A6E73"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u w:val="single"/>
          <w:lang w:eastAsia="bg-BG"/>
        </w:rPr>
        <w:t>Авансирал рак на гърдата</w:t>
      </w:r>
    </w:p>
    <w:p w14:paraId="33601A01" w14:textId="77777777" w:rsidR="00DA5DA6" w:rsidRPr="00DA5DA6" w:rsidRDefault="00DA5DA6" w:rsidP="00DA5DA6">
      <w:pPr>
        <w:spacing w:line="240" w:lineRule="auto"/>
        <w:rPr>
          <w:rFonts w:eastAsia="Times New Roman" w:cs="Arial"/>
          <w:i/>
          <w:iCs/>
          <w:color w:val="000000"/>
          <w:szCs w:val="20"/>
          <w:lang w:eastAsia="bg-BG"/>
        </w:rPr>
      </w:pPr>
    </w:p>
    <w:p w14:paraId="3059E6E2" w14:textId="66FDD84E"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lang w:eastAsia="bg-BG"/>
        </w:rPr>
        <w:t xml:space="preserve">Лечение от първа линия при постменопаузални жени с авансирал рак на гърдата </w:t>
      </w:r>
      <w:r w:rsidRPr="00DA5DA6">
        <w:rPr>
          <w:rFonts w:eastAsia="Times New Roman" w:cs="Arial"/>
          <w:color w:val="000000"/>
          <w:szCs w:val="20"/>
          <w:lang w:eastAsia="bg-BG"/>
        </w:rPr>
        <w:t>Проведени са 2 двойно-слепи, контролирани клинични проучвания със сходен дизайн (Проучване 1</w:t>
      </w:r>
      <w:r w:rsidRPr="00DA5DA6">
        <w:rPr>
          <w:rFonts w:eastAsia="Times New Roman" w:cs="Arial"/>
          <w:color w:val="000000"/>
          <w:szCs w:val="20"/>
          <w:lang w:val="ru-RU"/>
        </w:rPr>
        <w:t>033</w:t>
      </w:r>
      <w:r w:rsidRPr="00DA5DA6">
        <w:rPr>
          <w:rFonts w:eastAsia="Times New Roman" w:cs="Arial"/>
          <w:color w:val="000000"/>
          <w:szCs w:val="20"/>
          <w:lang w:val="en-US"/>
        </w:rPr>
        <w:t>IL</w:t>
      </w:r>
      <w:r w:rsidRPr="00DA5DA6">
        <w:rPr>
          <w:rFonts w:eastAsia="Times New Roman" w:cs="Arial"/>
          <w:color w:val="000000"/>
          <w:szCs w:val="20"/>
          <w:lang w:val="ru-RU"/>
        </w:rPr>
        <w:t xml:space="preserve">/0030 </w:t>
      </w:r>
      <w:r w:rsidRPr="00DA5DA6">
        <w:rPr>
          <w:rFonts w:eastAsia="Times New Roman" w:cs="Arial"/>
          <w:color w:val="000000"/>
          <w:szCs w:val="20"/>
          <w:lang w:eastAsia="bg-BG"/>
        </w:rPr>
        <w:t>и Проучване 1</w:t>
      </w:r>
      <w:r w:rsidRPr="00DA5DA6">
        <w:rPr>
          <w:rFonts w:eastAsia="Times New Roman" w:cs="Arial"/>
          <w:color w:val="000000"/>
          <w:szCs w:val="20"/>
          <w:lang w:val="ru-RU"/>
        </w:rPr>
        <w:t>033</w:t>
      </w:r>
      <w:r w:rsidRPr="00DA5DA6">
        <w:rPr>
          <w:rFonts w:eastAsia="Times New Roman" w:cs="Arial"/>
          <w:color w:val="000000"/>
          <w:szCs w:val="20"/>
          <w:lang w:val="en-US"/>
        </w:rPr>
        <w:t>IL</w:t>
      </w:r>
      <w:r w:rsidRPr="00DA5DA6">
        <w:rPr>
          <w:rFonts w:eastAsia="Times New Roman" w:cs="Arial"/>
          <w:color w:val="000000"/>
          <w:szCs w:val="20"/>
          <w:lang w:val="ru-RU"/>
        </w:rPr>
        <w:t xml:space="preserve">/0027) </w:t>
      </w:r>
      <w:r w:rsidRPr="00DA5DA6">
        <w:rPr>
          <w:rFonts w:eastAsia="Times New Roman" w:cs="Arial"/>
          <w:color w:val="000000"/>
          <w:szCs w:val="20"/>
          <w:lang w:eastAsia="bg-BG"/>
        </w:rPr>
        <w:t xml:space="preserve">с цел оценка на ефикасността на Аримидекс в сравнение с тамоксифен, като лечение от първа линия на положителен за хормонални рецептори или с неизвестна експресия на хормонални рецептори локално авансирал или метастазирал рак на гърдата при постменопаузални жени. Общо 1 021 </w:t>
      </w:r>
      <w:r w:rsidRPr="00DA5DA6">
        <w:rPr>
          <w:rFonts w:eastAsia="Times New Roman" w:cs="Arial"/>
          <w:color w:val="000000"/>
          <w:szCs w:val="20"/>
          <w:lang w:eastAsia="bg-BG"/>
        </w:rPr>
        <w:lastRenderedPageBreak/>
        <w:t xml:space="preserve">пациентки са рандомизирани да получават или Аримидекс 1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еднократно дневно, или тамоксифен 20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еднократно дневно. И в двете проучвания първичните крайни точки са време до прогресия на тумора, степен на обективно повлияване на тумора и безопасност.</w:t>
      </w:r>
    </w:p>
    <w:p w14:paraId="09DC0471" w14:textId="77777777" w:rsidR="00DA5DA6" w:rsidRPr="00DA5DA6" w:rsidRDefault="00DA5DA6" w:rsidP="00DA5DA6">
      <w:pPr>
        <w:rPr>
          <w:rFonts w:eastAsia="Times New Roman" w:cs="Arial"/>
          <w:color w:val="000000"/>
          <w:szCs w:val="20"/>
          <w:lang w:eastAsia="bg-BG"/>
        </w:rPr>
      </w:pPr>
    </w:p>
    <w:p w14:paraId="45FFFCCA" w14:textId="58A30EF5" w:rsidR="00DA5DA6" w:rsidRPr="00DA5DA6" w:rsidRDefault="00DA5DA6" w:rsidP="00DA5DA6">
      <w:pPr>
        <w:rPr>
          <w:rFonts w:eastAsia="Times New Roman" w:cs="Arial"/>
          <w:color w:val="000000"/>
          <w:szCs w:val="20"/>
          <w:lang w:eastAsia="bg-BG"/>
        </w:rPr>
      </w:pPr>
      <w:r w:rsidRPr="00DA5DA6">
        <w:rPr>
          <w:rFonts w:eastAsia="Times New Roman" w:cs="Arial"/>
          <w:color w:val="000000"/>
          <w:szCs w:val="20"/>
          <w:lang w:eastAsia="bg-BG"/>
        </w:rPr>
        <w:t>По отношение на първичните крайни точки, Проучване 1</w:t>
      </w:r>
      <w:r w:rsidRPr="00DA5DA6">
        <w:rPr>
          <w:rFonts w:eastAsia="Times New Roman" w:cs="Arial"/>
          <w:color w:val="000000"/>
          <w:szCs w:val="20"/>
          <w:lang w:val="ru-RU"/>
        </w:rPr>
        <w:t>033</w:t>
      </w:r>
      <w:r w:rsidRPr="00DA5DA6">
        <w:rPr>
          <w:rFonts w:eastAsia="Times New Roman" w:cs="Arial"/>
          <w:color w:val="000000"/>
          <w:szCs w:val="20"/>
          <w:lang w:val="en-US"/>
        </w:rPr>
        <w:t>IL</w:t>
      </w:r>
      <w:r w:rsidRPr="00DA5DA6">
        <w:rPr>
          <w:rFonts w:eastAsia="Times New Roman" w:cs="Arial"/>
          <w:color w:val="000000"/>
          <w:szCs w:val="20"/>
          <w:lang w:val="ru-RU"/>
        </w:rPr>
        <w:t xml:space="preserve">/0030 </w:t>
      </w:r>
      <w:r w:rsidRPr="00DA5DA6">
        <w:rPr>
          <w:rFonts w:eastAsia="Times New Roman" w:cs="Arial"/>
          <w:color w:val="000000"/>
          <w:szCs w:val="20"/>
          <w:lang w:eastAsia="bg-BG"/>
        </w:rPr>
        <w:t xml:space="preserve">показва, че Аримидекс е със статистически значимо предимство пред тамоксифен за времето до прогресия на тумора (Коефициент на риск </w:t>
      </w:r>
      <w:r w:rsidRPr="00DA5DA6">
        <w:rPr>
          <w:rFonts w:eastAsia="Times New Roman" w:cs="Arial"/>
          <w:color w:val="000000"/>
          <w:szCs w:val="20"/>
          <w:lang w:val="ru-RU"/>
        </w:rPr>
        <w:t>(</w:t>
      </w:r>
      <w:r w:rsidRPr="00DA5DA6">
        <w:rPr>
          <w:rFonts w:eastAsia="Times New Roman" w:cs="Arial"/>
          <w:color w:val="000000"/>
          <w:szCs w:val="20"/>
          <w:lang w:val="en-US"/>
        </w:rPr>
        <w:t>HR</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1,42; 95 % Доверителен интервал </w:t>
      </w:r>
      <w:r w:rsidRPr="00DA5DA6">
        <w:rPr>
          <w:rFonts w:eastAsia="Times New Roman" w:cs="Arial"/>
          <w:color w:val="000000"/>
          <w:szCs w:val="20"/>
          <w:lang w:val="ru-RU"/>
        </w:rPr>
        <w:t>(</w:t>
      </w:r>
      <w:r w:rsidRPr="00DA5DA6">
        <w:rPr>
          <w:rFonts w:eastAsia="Times New Roman" w:cs="Arial"/>
          <w:color w:val="000000"/>
          <w:szCs w:val="20"/>
          <w:lang w:val="en-US"/>
        </w:rPr>
        <w:t>CI</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[1,11;1,82]; Медиана на времето до прогресия 11,1 и 5,6 месеца съответно за Аримидекс и тамоксифен, р=0,006); степента на обективно повлияване на тумора е сходна при Аримидекс и тамоксифен. Проучване </w:t>
      </w:r>
      <w:r w:rsidRPr="00DA5DA6">
        <w:rPr>
          <w:rFonts w:eastAsia="Times New Roman" w:cs="Arial"/>
          <w:color w:val="000000"/>
          <w:szCs w:val="20"/>
          <w:lang w:val="ru-RU"/>
        </w:rPr>
        <w:t>1033</w:t>
      </w:r>
      <w:r w:rsidRPr="00DA5DA6">
        <w:rPr>
          <w:rFonts w:eastAsia="Times New Roman" w:cs="Arial"/>
          <w:color w:val="000000"/>
          <w:szCs w:val="20"/>
          <w:lang w:val="en-US"/>
        </w:rPr>
        <w:t>IL</w:t>
      </w:r>
      <w:r w:rsidRPr="00DA5DA6">
        <w:rPr>
          <w:rFonts w:eastAsia="Times New Roman" w:cs="Arial"/>
          <w:color w:val="000000"/>
          <w:szCs w:val="20"/>
          <w:lang w:val="ru-RU"/>
        </w:rPr>
        <w:t xml:space="preserve">/0027 </w:t>
      </w:r>
      <w:r w:rsidRPr="00DA5DA6">
        <w:rPr>
          <w:rFonts w:eastAsia="Times New Roman" w:cs="Arial"/>
          <w:color w:val="000000"/>
          <w:szCs w:val="20"/>
          <w:lang w:eastAsia="bg-BG"/>
        </w:rPr>
        <w:t>показва, че Аримидекс и тамоксифен са със сходни степен на обективно повлияване на тумора и време до прогресия на тумора. Резултатите за вторичните крайни точки подкрепят резултатите за първичните крайни точки за ефикасност. В терапевтичните групи и в двете проучвания има твърде малко смъртни случаи, за да може да се правят заключения относно разликите в общата преживяемост.</w:t>
      </w:r>
    </w:p>
    <w:p w14:paraId="0281B7C8" w14:textId="457420EA" w:rsidR="00DA5DA6" w:rsidRPr="00DA5DA6" w:rsidRDefault="00DA5DA6" w:rsidP="00DA5DA6">
      <w:pPr>
        <w:rPr>
          <w:rFonts w:eastAsia="Times New Roman" w:cs="Arial"/>
          <w:color w:val="000000"/>
          <w:szCs w:val="20"/>
          <w:lang w:eastAsia="bg-BG"/>
        </w:rPr>
      </w:pPr>
    </w:p>
    <w:p w14:paraId="1A8A6813" w14:textId="77777777"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lang w:eastAsia="bg-BG"/>
        </w:rPr>
        <w:t xml:space="preserve">Лечение от втора линия при постменопаузални жени с авансирал рак на гърдата </w:t>
      </w:r>
      <w:r w:rsidRPr="00DA5DA6">
        <w:rPr>
          <w:rFonts w:eastAsia="Times New Roman" w:cs="Arial"/>
          <w:color w:val="000000"/>
          <w:szCs w:val="20"/>
          <w:lang w:eastAsia="bg-BG"/>
        </w:rPr>
        <w:t xml:space="preserve">Аримидекс е проучван в две контролирани клинични проучвания (Проучване 0004 и Проучване 0005) при постменопаузални жени с авансирал рак на гърдата и прогресия на заболяването след лечение с тамоксифен за авансирал или ранен рак на гърдата. Общо 764 пациентки са рандомизирани да получават или единична дневна доза Аримидекс 1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или 10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 xml:space="preserve">или мегестрол ацетат 40 </w:t>
      </w:r>
      <w:r w:rsidRPr="00DA5DA6">
        <w:rPr>
          <w:rFonts w:eastAsia="Times New Roman" w:cs="Arial"/>
          <w:color w:val="000000"/>
          <w:szCs w:val="20"/>
          <w:lang w:val="en-US"/>
        </w:rPr>
        <w:t>mg</w:t>
      </w:r>
      <w:r w:rsidRPr="00DA5DA6">
        <w:rPr>
          <w:rFonts w:eastAsia="Times New Roman" w:cs="Arial"/>
          <w:color w:val="000000"/>
          <w:szCs w:val="20"/>
          <w:lang w:val="ru-RU"/>
        </w:rPr>
        <w:t xml:space="preserve"> </w:t>
      </w:r>
      <w:r w:rsidRPr="00DA5DA6">
        <w:rPr>
          <w:rFonts w:eastAsia="Times New Roman" w:cs="Arial"/>
          <w:color w:val="000000"/>
          <w:szCs w:val="20"/>
          <w:lang w:eastAsia="bg-BG"/>
        </w:rPr>
        <w:t>четири пъти дневно. Първичните променливи за ефикасност са време до прогресия и степени на обективно повлияване. Изчислена е и степента на дългосрочно стабилизиране (над 24 седмици), степента на прогресия и на преживяемост. По отношение на показателите за ефикасност и в двете проучвания няма значими разлики между терапевтичните рамена.</w:t>
      </w:r>
    </w:p>
    <w:p w14:paraId="32465E85" w14:textId="77777777" w:rsidR="00DA5DA6" w:rsidRPr="00DA5DA6" w:rsidRDefault="00DA5DA6" w:rsidP="00DA5DA6">
      <w:pPr>
        <w:spacing w:line="240" w:lineRule="auto"/>
        <w:rPr>
          <w:rFonts w:eastAsia="Times New Roman" w:cs="Arial"/>
          <w:i/>
          <w:iCs/>
          <w:color w:val="000000"/>
          <w:szCs w:val="20"/>
          <w:u w:val="single"/>
          <w:lang w:eastAsia="bg-BG"/>
        </w:rPr>
      </w:pPr>
    </w:p>
    <w:p w14:paraId="4AC7689C" w14:textId="186D403F" w:rsidR="00DA5DA6" w:rsidRPr="00DA5DA6" w:rsidRDefault="00DA5DA6" w:rsidP="00DA5DA6">
      <w:pPr>
        <w:spacing w:line="240" w:lineRule="auto"/>
        <w:rPr>
          <w:rFonts w:eastAsia="Times New Roman" w:cs="Arial"/>
          <w:sz w:val="28"/>
          <w:szCs w:val="24"/>
        </w:rPr>
      </w:pPr>
      <w:r w:rsidRPr="00DA5DA6">
        <w:rPr>
          <w:rFonts w:eastAsia="Times New Roman" w:cs="Arial"/>
          <w:i/>
          <w:iCs/>
          <w:color w:val="000000"/>
          <w:szCs w:val="20"/>
          <w:u w:val="single"/>
          <w:lang w:eastAsia="bg-BG"/>
        </w:rPr>
        <w:t>Адювантно лечение на ранен инвазивен рак на гърдата при положителни за хормонални рецептори пациентки</w:t>
      </w:r>
    </w:p>
    <w:p w14:paraId="6020BF6C" w14:textId="77777777" w:rsidR="00DA5DA6" w:rsidRPr="00DA5DA6" w:rsidRDefault="00DA5DA6" w:rsidP="00DA5DA6">
      <w:pPr>
        <w:spacing w:line="240" w:lineRule="auto"/>
        <w:rPr>
          <w:rFonts w:eastAsia="Times New Roman" w:cs="Arial"/>
          <w:color w:val="000000"/>
          <w:szCs w:val="20"/>
          <w:lang w:eastAsia="bg-BG"/>
        </w:rPr>
      </w:pPr>
    </w:p>
    <w:p w14:paraId="5F04FBFE" w14:textId="50A4DF8B" w:rsidR="00DA5DA6" w:rsidRPr="00DA5DA6" w:rsidRDefault="00DA5DA6" w:rsidP="00DA5DA6">
      <w:pPr>
        <w:spacing w:line="240" w:lineRule="auto"/>
        <w:rPr>
          <w:rFonts w:eastAsia="Times New Roman" w:cs="Arial"/>
          <w:sz w:val="28"/>
          <w:szCs w:val="24"/>
        </w:rPr>
      </w:pPr>
      <w:r w:rsidRPr="00DA5DA6">
        <w:rPr>
          <w:rFonts w:eastAsia="Times New Roman" w:cs="Arial"/>
          <w:color w:val="000000"/>
          <w:szCs w:val="20"/>
          <w:lang w:eastAsia="bg-BG"/>
        </w:rPr>
        <w:t>В голямо проучване във фаза 111, проведено при 9 366 постменопаузални жени с операбилен рак на гърдата, лекувани в продължение на 5 години (вж. по-долу), Аримидекс показва статистически значимо превъзходство пред тамоксифен по отношение на свободната от заболяване преживяемост. В проспективно дефинираната положителна за хормонални рецептори популация се установява превъзходство на Аримидекс по отношение на свободната от заболяване преживяемост в сравнение с тамоксифен.</w:t>
      </w:r>
    </w:p>
    <w:p w14:paraId="6B4C0AD7" w14:textId="77777777" w:rsidR="00DA5DA6" w:rsidRPr="00DA5DA6" w:rsidRDefault="00DA5DA6" w:rsidP="00DA5DA6">
      <w:pPr>
        <w:rPr>
          <w:rFonts w:eastAsia="Times New Roman" w:cs="Arial"/>
          <w:b/>
          <w:bCs/>
          <w:color w:val="000000"/>
          <w:szCs w:val="20"/>
          <w:lang w:eastAsia="bg-BG"/>
        </w:rPr>
      </w:pPr>
    </w:p>
    <w:p w14:paraId="131F7FC3" w14:textId="67686C08" w:rsidR="00DA5DA6" w:rsidRDefault="00DA5DA6" w:rsidP="00DA5DA6">
      <w:pPr>
        <w:rPr>
          <w:rFonts w:eastAsia="Times New Roman" w:cs="Arial"/>
          <w:b/>
          <w:bCs/>
          <w:color w:val="000000"/>
          <w:szCs w:val="20"/>
          <w:lang w:eastAsia="bg-BG"/>
        </w:rPr>
      </w:pPr>
      <w:r w:rsidRPr="00DA5DA6">
        <w:rPr>
          <w:rFonts w:eastAsia="Times New Roman" w:cs="Arial"/>
          <w:b/>
          <w:bCs/>
          <w:color w:val="000000"/>
          <w:szCs w:val="20"/>
          <w:lang w:eastAsia="bg-BG"/>
        </w:rPr>
        <w:t>Таблица 3 Резюме на крайните точки от АТАС: Анализ след приключване на 5-годишнотс лечение</w:t>
      </w:r>
    </w:p>
    <w:tbl>
      <w:tblPr>
        <w:tblStyle w:val="TableGrid"/>
        <w:tblW w:w="0" w:type="auto"/>
        <w:tblLook w:val="04A0" w:firstRow="1" w:lastRow="0" w:firstColumn="1" w:lastColumn="0" w:noHBand="0" w:noVBand="1"/>
      </w:tblPr>
      <w:tblGrid>
        <w:gridCol w:w="3030"/>
        <w:gridCol w:w="1566"/>
        <w:gridCol w:w="1594"/>
        <w:gridCol w:w="1566"/>
        <w:gridCol w:w="1594"/>
      </w:tblGrid>
      <w:tr w:rsidR="00DA5DA6" w14:paraId="18139DB6" w14:textId="77777777" w:rsidTr="00DA5DA6">
        <w:tc>
          <w:tcPr>
            <w:tcW w:w="3192" w:type="dxa"/>
            <w:vMerge w:val="restart"/>
          </w:tcPr>
          <w:p w14:paraId="3614AE69" w14:textId="4103C4EF" w:rsidR="00DA5DA6" w:rsidRPr="00DA5DA6" w:rsidRDefault="00DA5DA6" w:rsidP="00DA5DA6">
            <w:pPr>
              <w:rPr>
                <w:rFonts w:cs="Arial"/>
              </w:rPr>
            </w:pPr>
            <w:r w:rsidRPr="00DA5DA6">
              <w:rPr>
                <w:rFonts w:cs="Arial"/>
                <w:b/>
                <w:bCs/>
                <w:szCs w:val="18"/>
              </w:rPr>
              <w:t>Крайни точки за ефикасност</w:t>
            </w:r>
          </w:p>
        </w:tc>
        <w:tc>
          <w:tcPr>
            <w:tcW w:w="6384" w:type="dxa"/>
            <w:gridSpan w:val="4"/>
          </w:tcPr>
          <w:p w14:paraId="3D238E37" w14:textId="38079D1A" w:rsidR="00DA5DA6" w:rsidRPr="00DA5DA6" w:rsidRDefault="00DA5DA6" w:rsidP="00DA5DA6">
            <w:pPr>
              <w:rPr>
                <w:rFonts w:cs="Arial"/>
              </w:rPr>
            </w:pPr>
            <w:r w:rsidRPr="00DA5DA6">
              <w:rPr>
                <w:rFonts w:eastAsia="Times New Roman" w:cs="Arial"/>
                <w:b/>
                <w:bCs/>
                <w:color w:val="000000"/>
                <w:szCs w:val="18"/>
                <w:lang w:eastAsia="bg-BG"/>
              </w:rPr>
              <w:t>Брой събития (честота)</w:t>
            </w:r>
          </w:p>
        </w:tc>
      </w:tr>
      <w:tr w:rsidR="00DA5DA6" w14:paraId="757FD4E2" w14:textId="77777777" w:rsidTr="00DA5DA6">
        <w:tc>
          <w:tcPr>
            <w:tcW w:w="3192" w:type="dxa"/>
            <w:vMerge/>
          </w:tcPr>
          <w:p w14:paraId="43961EC4" w14:textId="77777777" w:rsidR="00DA5DA6" w:rsidRPr="00DA5DA6" w:rsidRDefault="00DA5DA6" w:rsidP="00DA5DA6">
            <w:pPr>
              <w:rPr>
                <w:rFonts w:cs="Arial"/>
              </w:rPr>
            </w:pPr>
          </w:p>
        </w:tc>
        <w:tc>
          <w:tcPr>
            <w:tcW w:w="3192" w:type="dxa"/>
            <w:gridSpan w:val="2"/>
          </w:tcPr>
          <w:p w14:paraId="71272243" w14:textId="67A15526" w:rsidR="00DA5DA6" w:rsidRPr="00DA5DA6" w:rsidRDefault="00DA5DA6" w:rsidP="00DA5DA6">
            <w:pPr>
              <w:rPr>
                <w:rFonts w:cs="Arial"/>
              </w:rPr>
            </w:pPr>
            <w:r w:rsidRPr="00DA5DA6">
              <w:rPr>
                <w:rFonts w:cs="Arial"/>
                <w:b/>
                <w:bCs/>
                <w:szCs w:val="18"/>
                <w:lang w:val="en-US"/>
              </w:rPr>
              <w:t xml:space="preserve">Intention-To-Treat </w:t>
            </w:r>
            <w:r w:rsidRPr="00DA5DA6">
              <w:rPr>
                <w:rFonts w:cs="Arial"/>
                <w:b/>
                <w:bCs/>
                <w:szCs w:val="18"/>
              </w:rPr>
              <w:t>популация</w:t>
            </w:r>
          </w:p>
        </w:tc>
        <w:tc>
          <w:tcPr>
            <w:tcW w:w="3192" w:type="dxa"/>
            <w:gridSpan w:val="2"/>
          </w:tcPr>
          <w:p w14:paraId="055A551C" w14:textId="334C72CA" w:rsidR="00DA5DA6" w:rsidRPr="00DA5DA6" w:rsidRDefault="00DA5DA6" w:rsidP="00DA5DA6">
            <w:pPr>
              <w:rPr>
                <w:rFonts w:cs="Arial"/>
              </w:rPr>
            </w:pPr>
            <w:r w:rsidRPr="00DA5DA6">
              <w:rPr>
                <w:rFonts w:cs="Arial"/>
                <w:b/>
                <w:bCs/>
                <w:szCs w:val="18"/>
              </w:rPr>
              <w:t>Положителен за хормонални рецептори туморен статус</w:t>
            </w:r>
          </w:p>
        </w:tc>
      </w:tr>
      <w:tr w:rsidR="00DA5DA6" w14:paraId="19B21E55" w14:textId="77777777" w:rsidTr="00DA5DA6">
        <w:tc>
          <w:tcPr>
            <w:tcW w:w="3192" w:type="dxa"/>
            <w:vMerge/>
          </w:tcPr>
          <w:p w14:paraId="4416C768" w14:textId="77777777" w:rsidR="00DA5DA6" w:rsidRPr="00DA5DA6" w:rsidRDefault="00DA5DA6" w:rsidP="00DA5DA6">
            <w:pPr>
              <w:rPr>
                <w:rFonts w:cs="Arial"/>
              </w:rPr>
            </w:pPr>
          </w:p>
        </w:tc>
        <w:tc>
          <w:tcPr>
            <w:tcW w:w="1596" w:type="dxa"/>
          </w:tcPr>
          <w:p w14:paraId="45AC5376" w14:textId="2CFA3767" w:rsidR="00DA5DA6" w:rsidRPr="00DA5DA6" w:rsidRDefault="00DA5DA6" w:rsidP="00DA5DA6">
            <w:pPr>
              <w:rPr>
                <w:rFonts w:cs="Arial"/>
              </w:rPr>
            </w:pPr>
            <w:r w:rsidRPr="00DA5DA6">
              <w:rPr>
                <w:rFonts w:cs="Arial"/>
                <w:b/>
                <w:bCs/>
                <w:szCs w:val="18"/>
              </w:rPr>
              <w:t xml:space="preserve">Аримидекс </w:t>
            </w:r>
            <w:r w:rsidRPr="00DA5DA6">
              <w:rPr>
                <w:rFonts w:cs="Arial"/>
                <w:b/>
                <w:bCs/>
                <w:szCs w:val="18"/>
                <w:lang w:val="en-US"/>
              </w:rPr>
              <w:t xml:space="preserve">(N=3 </w:t>
            </w:r>
            <w:r w:rsidRPr="00DA5DA6">
              <w:rPr>
                <w:rFonts w:cs="Arial"/>
                <w:b/>
                <w:bCs/>
                <w:szCs w:val="18"/>
              </w:rPr>
              <w:t>125)</w:t>
            </w:r>
          </w:p>
        </w:tc>
        <w:tc>
          <w:tcPr>
            <w:tcW w:w="1596" w:type="dxa"/>
          </w:tcPr>
          <w:p w14:paraId="38ECAA70" w14:textId="162C2A1C" w:rsidR="00DA5DA6" w:rsidRPr="00DA5DA6" w:rsidRDefault="00DA5DA6" w:rsidP="00DA5DA6">
            <w:pPr>
              <w:rPr>
                <w:rFonts w:cs="Arial"/>
              </w:rPr>
            </w:pPr>
            <w:r w:rsidRPr="00DA5DA6">
              <w:rPr>
                <w:rFonts w:cs="Arial"/>
                <w:b/>
                <w:bCs/>
                <w:szCs w:val="18"/>
              </w:rPr>
              <w:t xml:space="preserve">Тамоксифен </w:t>
            </w:r>
            <w:r w:rsidRPr="00DA5DA6">
              <w:rPr>
                <w:rFonts w:cs="Arial"/>
                <w:b/>
                <w:bCs/>
                <w:szCs w:val="18"/>
                <w:lang w:val="en-US"/>
              </w:rPr>
              <w:t>(N=3 116</w:t>
            </w:r>
            <w:r w:rsidRPr="00DA5DA6">
              <w:rPr>
                <w:rFonts w:cs="Arial"/>
                <w:b/>
                <w:bCs/>
                <w:szCs w:val="18"/>
              </w:rPr>
              <w:t>)</w:t>
            </w:r>
          </w:p>
        </w:tc>
        <w:tc>
          <w:tcPr>
            <w:tcW w:w="1596" w:type="dxa"/>
          </w:tcPr>
          <w:p w14:paraId="748339D4" w14:textId="375836C9" w:rsidR="00DA5DA6" w:rsidRPr="00DA5DA6" w:rsidRDefault="00DA5DA6" w:rsidP="00DA5DA6">
            <w:pPr>
              <w:rPr>
                <w:rFonts w:cs="Arial"/>
              </w:rPr>
            </w:pPr>
            <w:r w:rsidRPr="00DA5DA6">
              <w:rPr>
                <w:rFonts w:cs="Arial"/>
                <w:b/>
                <w:bCs/>
                <w:szCs w:val="18"/>
              </w:rPr>
              <w:t xml:space="preserve">Аримидекс </w:t>
            </w:r>
            <w:r w:rsidRPr="00DA5DA6">
              <w:rPr>
                <w:rFonts w:cs="Arial"/>
                <w:szCs w:val="18"/>
                <w:lang w:val="en-US"/>
              </w:rPr>
              <w:t xml:space="preserve">(N=2 </w:t>
            </w:r>
            <w:r w:rsidRPr="00DA5DA6">
              <w:rPr>
                <w:rFonts w:cs="Arial"/>
                <w:szCs w:val="18"/>
              </w:rPr>
              <w:t>618)</w:t>
            </w:r>
          </w:p>
        </w:tc>
        <w:tc>
          <w:tcPr>
            <w:tcW w:w="1596" w:type="dxa"/>
          </w:tcPr>
          <w:p w14:paraId="6A53535E" w14:textId="4E3A82DA" w:rsidR="00DA5DA6" w:rsidRPr="00DA5DA6" w:rsidRDefault="00DA5DA6" w:rsidP="00DA5DA6">
            <w:pPr>
              <w:rPr>
                <w:rFonts w:cs="Arial"/>
              </w:rPr>
            </w:pPr>
            <w:r w:rsidRPr="00DA5DA6">
              <w:rPr>
                <w:rFonts w:cs="Arial"/>
                <w:b/>
                <w:bCs/>
                <w:szCs w:val="18"/>
              </w:rPr>
              <w:t xml:space="preserve">Тамоксифен </w:t>
            </w:r>
            <w:r w:rsidRPr="00DA5DA6">
              <w:rPr>
                <w:rFonts w:cs="Arial"/>
                <w:b/>
                <w:bCs/>
                <w:szCs w:val="18"/>
                <w:lang w:val="en-US"/>
              </w:rPr>
              <w:t xml:space="preserve">(N=2 </w:t>
            </w:r>
            <w:r w:rsidRPr="00DA5DA6">
              <w:rPr>
                <w:rFonts w:cs="Arial"/>
                <w:b/>
                <w:bCs/>
                <w:szCs w:val="18"/>
              </w:rPr>
              <w:t>598)</w:t>
            </w:r>
          </w:p>
        </w:tc>
      </w:tr>
      <w:tr w:rsidR="00DA5DA6" w14:paraId="61AB5069" w14:textId="77777777" w:rsidTr="00DA5DA6">
        <w:tc>
          <w:tcPr>
            <w:tcW w:w="3192" w:type="dxa"/>
          </w:tcPr>
          <w:p w14:paraId="61426CE8" w14:textId="06461012" w:rsidR="00DA5DA6" w:rsidRPr="00DA5DA6" w:rsidRDefault="00DA5DA6" w:rsidP="00DA5DA6">
            <w:pPr>
              <w:rPr>
                <w:rFonts w:cs="Arial"/>
              </w:rPr>
            </w:pPr>
            <w:r w:rsidRPr="00DA5DA6">
              <w:rPr>
                <w:rFonts w:cs="Arial"/>
                <w:b/>
                <w:bCs/>
                <w:szCs w:val="18"/>
              </w:rPr>
              <w:t>Свободна от заболяване преживяемост</w:t>
            </w:r>
            <w:r w:rsidRPr="00DA5DA6">
              <w:rPr>
                <w:rFonts w:cs="Arial"/>
                <w:b/>
                <w:bCs/>
                <w:szCs w:val="18"/>
                <w:vertAlign w:val="superscript"/>
                <w:lang w:val="en-US"/>
              </w:rPr>
              <w:t>a</w:t>
            </w:r>
          </w:p>
        </w:tc>
        <w:tc>
          <w:tcPr>
            <w:tcW w:w="1596" w:type="dxa"/>
          </w:tcPr>
          <w:p w14:paraId="3BC61A7E" w14:textId="48E33C29" w:rsidR="00DA5DA6" w:rsidRPr="00DA5DA6" w:rsidRDefault="00DA5DA6" w:rsidP="00DA5DA6">
            <w:pPr>
              <w:rPr>
                <w:rFonts w:cs="Arial"/>
              </w:rPr>
            </w:pPr>
            <w:r w:rsidRPr="00DA5DA6">
              <w:rPr>
                <w:rFonts w:cs="Arial"/>
                <w:szCs w:val="18"/>
              </w:rPr>
              <w:t>575 (18,4)</w:t>
            </w:r>
          </w:p>
        </w:tc>
        <w:tc>
          <w:tcPr>
            <w:tcW w:w="1596" w:type="dxa"/>
          </w:tcPr>
          <w:p w14:paraId="4C58EBCE" w14:textId="5087BE85" w:rsidR="00DA5DA6" w:rsidRPr="00DA5DA6" w:rsidRDefault="00DA5DA6" w:rsidP="00DA5DA6">
            <w:pPr>
              <w:rPr>
                <w:rFonts w:cs="Arial"/>
              </w:rPr>
            </w:pPr>
            <w:r w:rsidRPr="00DA5DA6">
              <w:rPr>
                <w:rFonts w:cs="Arial"/>
                <w:szCs w:val="18"/>
              </w:rPr>
              <w:t>651 (20,9)</w:t>
            </w:r>
          </w:p>
        </w:tc>
        <w:tc>
          <w:tcPr>
            <w:tcW w:w="1596" w:type="dxa"/>
          </w:tcPr>
          <w:p w14:paraId="0E0F8D9C" w14:textId="02A4D50E" w:rsidR="00DA5DA6" w:rsidRPr="00DA5DA6" w:rsidRDefault="00DA5DA6" w:rsidP="00DA5DA6">
            <w:pPr>
              <w:rPr>
                <w:rFonts w:cs="Arial"/>
              </w:rPr>
            </w:pPr>
            <w:r w:rsidRPr="00DA5DA6">
              <w:rPr>
                <w:rFonts w:cs="Arial"/>
                <w:szCs w:val="18"/>
              </w:rPr>
              <w:t>424 (16,2)</w:t>
            </w:r>
          </w:p>
        </w:tc>
        <w:tc>
          <w:tcPr>
            <w:tcW w:w="1596" w:type="dxa"/>
          </w:tcPr>
          <w:p w14:paraId="0A5B0A6B" w14:textId="088E1A4F" w:rsidR="00DA5DA6" w:rsidRPr="00DA5DA6" w:rsidRDefault="00DA5DA6" w:rsidP="00DA5DA6">
            <w:pPr>
              <w:rPr>
                <w:rFonts w:cs="Arial"/>
              </w:rPr>
            </w:pPr>
            <w:r w:rsidRPr="00DA5DA6">
              <w:rPr>
                <w:rFonts w:cs="Arial"/>
                <w:szCs w:val="18"/>
              </w:rPr>
              <w:t>497 (19,1)</w:t>
            </w:r>
          </w:p>
        </w:tc>
      </w:tr>
      <w:tr w:rsidR="00DA5DA6" w14:paraId="4EF5A9B9" w14:textId="77777777" w:rsidTr="00DA5DA6">
        <w:tc>
          <w:tcPr>
            <w:tcW w:w="3192" w:type="dxa"/>
          </w:tcPr>
          <w:p w14:paraId="0438A610" w14:textId="47FF4233" w:rsidR="00DA5DA6" w:rsidRPr="00DA5DA6" w:rsidRDefault="00DA5DA6" w:rsidP="00DA5DA6">
            <w:pPr>
              <w:rPr>
                <w:rFonts w:cs="Arial"/>
              </w:rPr>
            </w:pPr>
            <w:r w:rsidRPr="00DA5DA6">
              <w:rPr>
                <w:szCs w:val="18"/>
              </w:rPr>
              <w:t>Коефициент на риск</w:t>
            </w:r>
          </w:p>
        </w:tc>
        <w:tc>
          <w:tcPr>
            <w:tcW w:w="3192" w:type="dxa"/>
            <w:gridSpan w:val="2"/>
          </w:tcPr>
          <w:p w14:paraId="0C476618" w14:textId="269B7645" w:rsidR="00DA5DA6" w:rsidRPr="00DA5DA6" w:rsidRDefault="00DA5DA6" w:rsidP="00DA5DA6">
            <w:pPr>
              <w:rPr>
                <w:rFonts w:cs="Arial"/>
              </w:rPr>
            </w:pPr>
            <w:r w:rsidRPr="00DA5DA6">
              <w:rPr>
                <w:szCs w:val="18"/>
              </w:rPr>
              <w:t>0,87</w:t>
            </w:r>
          </w:p>
        </w:tc>
        <w:tc>
          <w:tcPr>
            <w:tcW w:w="3192" w:type="dxa"/>
            <w:gridSpan w:val="2"/>
          </w:tcPr>
          <w:p w14:paraId="2A2455A0" w14:textId="35150371" w:rsidR="00DA5DA6" w:rsidRPr="00DA5DA6" w:rsidRDefault="00DA5DA6" w:rsidP="00DA5DA6">
            <w:pPr>
              <w:rPr>
                <w:rFonts w:cs="Arial"/>
              </w:rPr>
            </w:pPr>
            <w:r w:rsidRPr="00DA5DA6">
              <w:rPr>
                <w:szCs w:val="18"/>
              </w:rPr>
              <w:t>0,83</w:t>
            </w:r>
          </w:p>
        </w:tc>
      </w:tr>
      <w:tr w:rsidR="00DA5DA6" w14:paraId="52DE3C26" w14:textId="77777777" w:rsidTr="00DA5DA6">
        <w:tc>
          <w:tcPr>
            <w:tcW w:w="3192" w:type="dxa"/>
          </w:tcPr>
          <w:p w14:paraId="417D0CCD" w14:textId="0231DFBE" w:rsidR="00DA5DA6" w:rsidRPr="00DA5DA6" w:rsidRDefault="00DA5DA6" w:rsidP="00DA5DA6">
            <w:pPr>
              <w:rPr>
                <w:rFonts w:cs="Arial"/>
              </w:rPr>
            </w:pPr>
            <w:r w:rsidRPr="00DA5DA6">
              <w:rPr>
                <w:szCs w:val="18"/>
              </w:rPr>
              <w:lastRenderedPageBreak/>
              <w:t xml:space="preserve">Двустранен 95 % </w:t>
            </w:r>
            <w:r w:rsidRPr="00DA5DA6">
              <w:rPr>
                <w:szCs w:val="18"/>
                <w:lang w:val="en-US"/>
              </w:rPr>
              <w:t>CI</w:t>
            </w:r>
          </w:p>
        </w:tc>
        <w:tc>
          <w:tcPr>
            <w:tcW w:w="3192" w:type="dxa"/>
            <w:gridSpan w:val="2"/>
          </w:tcPr>
          <w:p w14:paraId="7560F234" w14:textId="4E613FC2" w:rsidR="00DA5DA6" w:rsidRPr="00DA5DA6" w:rsidRDefault="00DA5DA6" w:rsidP="00DA5DA6">
            <w:pPr>
              <w:rPr>
                <w:rFonts w:cs="Arial"/>
              </w:rPr>
            </w:pPr>
            <w:r w:rsidRPr="00DA5DA6">
              <w:rPr>
                <w:szCs w:val="18"/>
              </w:rPr>
              <w:t>0,78 до 0,97</w:t>
            </w:r>
          </w:p>
        </w:tc>
        <w:tc>
          <w:tcPr>
            <w:tcW w:w="3192" w:type="dxa"/>
            <w:gridSpan w:val="2"/>
          </w:tcPr>
          <w:p w14:paraId="2338BE03" w14:textId="03D7D71D" w:rsidR="00DA5DA6" w:rsidRPr="00DA5DA6" w:rsidRDefault="00DA5DA6" w:rsidP="00DA5DA6">
            <w:pPr>
              <w:rPr>
                <w:rFonts w:cs="Arial"/>
              </w:rPr>
            </w:pPr>
            <w:r w:rsidRPr="00DA5DA6">
              <w:rPr>
                <w:szCs w:val="18"/>
              </w:rPr>
              <w:t>0,73 до 0,94</w:t>
            </w:r>
          </w:p>
        </w:tc>
      </w:tr>
      <w:tr w:rsidR="00DA5DA6" w14:paraId="00F404D5" w14:textId="77777777" w:rsidTr="00DA5DA6">
        <w:tc>
          <w:tcPr>
            <w:tcW w:w="3192" w:type="dxa"/>
          </w:tcPr>
          <w:p w14:paraId="32B66D73" w14:textId="0A6431A8" w:rsidR="00DA5DA6" w:rsidRPr="00DA5DA6" w:rsidRDefault="00DA5DA6" w:rsidP="00DA5DA6">
            <w:pPr>
              <w:rPr>
                <w:rFonts w:cs="Arial"/>
              </w:rPr>
            </w:pPr>
            <w:r w:rsidRPr="00DA5DA6">
              <w:rPr>
                <w:szCs w:val="18"/>
              </w:rPr>
              <w:t>р-стойност</w:t>
            </w:r>
          </w:p>
        </w:tc>
        <w:tc>
          <w:tcPr>
            <w:tcW w:w="3192" w:type="dxa"/>
            <w:gridSpan w:val="2"/>
          </w:tcPr>
          <w:p w14:paraId="1B91A0FB" w14:textId="40D19D66" w:rsidR="00DA5DA6" w:rsidRPr="00DA5DA6" w:rsidRDefault="00DA5DA6" w:rsidP="00DA5DA6">
            <w:pPr>
              <w:rPr>
                <w:rFonts w:cs="Arial"/>
              </w:rPr>
            </w:pPr>
            <w:r w:rsidRPr="00DA5DA6">
              <w:rPr>
                <w:szCs w:val="18"/>
              </w:rPr>
              <w:t>0,0127</w:t>
            </w:r>
          </w:p>
        </w:tc>
        <w:tc>
          <w:tcPr>
            <w:tcW w:w="3192" w:type="dxa"/>
            <w:gridSpan w:val="2"/>
          </w:tcPr>
          <w:p w14:paraId="3CD98C9C" w14:textId="449021B4" w:rsidR="00DA5DA6" w:rsidRPr="00DA5DA6" w:rsidRDefault="00DA5DA6" w:rsidP="00DA5DA6">
            <w:pPr>
              <w:rPr>
                <w:rFonts w:cs="Arial"/>
              </w:rPr>
            </w:pPr>
            <w:r w:rsidRPr="00DA5DA6">
              <w:rPr>
                <w:szCs w:val="18"/>
              </w:rPr>
              <w:t>0,0049</w:t>
            </w:r>
          </w:p>
        </w:tc>
      </w:tr>
      <w:tr w:rsidR="00DA5DA6" w14:paraId="5BFC15C0" w14:textId="77777777" w:rsidTr="00DA5DA6">
        <w:tc>
          <w:tcPr>
            <w:tcW w:w="3192" w:type="dxa"/>
          </w:tcPr>
          <w:p w14:paraId="2C6A0FC9" w14:textId="6F74B48A" w:rsidR="00DA5DA6" w:rsidRPr="00DA5DA6" w:rsidRDefault="00DA5DA6" w:rsidP="00DA5DA6">
            <w:pPr>
              <w:rPr>
                <w:rFonts w:cs="Arial"/>
              </w:rPr>
            </w:pPr>
            <w:r w:rsidRPr="00DA5DA6">
              <w:rPr>
                <w:b/>
                <w:bCs/>
                <w:szCs w:val="18"/>
              </w:rPr>
              <w:t>Отдалечена свободна от заболяване преживяемост</w:t>
            </w:r>
            <w:r w:rsidRPr="00DA5DA6">
              <w:rPr>
                <w:b/>
                <w:bCs/>
                <w:szCs w:val="18"/>
                <w:vertAlign w:val="superscript"/>
                <w:lang w:val="en-US"/>
              </w:rPr>
              <w:t>b</w:t>
            </w:r>
          </w:p>
        </w:tc>
        <w:tc>
          <w:tcPr>
            <w:tcW w:w="1596" w:type="dxa"/>
          </w:tcPr>
          <w:p w14:paraId="68872C8C" w14:textId="6B3EF676" w:rsidR="00DA5DA6" w:rsidRPr="00DA5DA6" w:rsidRDefault="00DA5DA6" w:rsidP="00DA5DA6">
            <w:pPr>
              <w:rPr>
                <w:rFonts w:cs="Arial"/>
              </w:rPr>
            </w:pPr>
            <w:r w:rsidRPr="00DA5DA6">
              <w:rPr>
                <w:szCs w:val="18"/>
              </w:rPr>
              <w:t>500 (16,0)</w:t>
            </w:r>
          </w:p>
        </w:tc>
        <w:tc>
          <w:tcPr>
            <w:tcW w:w="1596" w:type="dxa"/>
          </w:tcPr>
          <w:p w14:paraId="7BEC5288" w14:textId="6981EF19" w:rsidR="00DA5DA6" w:rsidRPr="00DA5DA6" w:rsidRDefault="00DA5DA6" w:rsidP="00DA5DA6">
            <w:pPr>
              <w:rPr>
                <w:rFonts w:cs="Arial"/>
              </w:rPr>
            </w:pPr>
            <w:r w:rsidRPr="00DA5DA6">
              <w:rPr>
                <w:szCs w:val="18"/>
              </w:rPr>
              <w:t>530 (17,0)</w:t>
            </w:r>
          </w:p>
        </w:tc>
        <w:tc>
          <w:tcPr>
            <w:tcW w:w="1596" w:type="dxa"/>
          </w:tcPr>
          <w:p w14:paraId="7E987298" w14:textId="38BE7104" w:rsidR="00DA5DA6" w:rsidRPr="00DA5DA6" w:rsidRDefault="00DA5DA6" w:rsidP="00DA5DA6">
            <w:pPr>
              <w:rPr>
                <w:rFonts w:cs="Arial"/>
              </w:rPr>
            </w:pPr>
            <w:r w:rsidRPr="00DA5DA6">
              <w:rPr>
                <w:szCs w:val="18"/>
              </w:rPr>
              <w:t>370 (14,1)</w:t>
            </w:r>
          </w:p>
        </w:tc>
        <w:tc>
          <w:tcPr>
            <w:tcW w:w="1596" w:type="dxa"/>
          </w:tcPr>
          <w:p w14:paraId="34271FCF" w14:textId="7D02859C" w:rsidR="00DA5DA6" w:rsidRPr="00DA5DA6" w:rsidRDefault="00DA5DA6" w:rsidP="00DA5DA6">
            <w:pPr>
              <w:rPr>
                <w:rFonts w:cs="Arial"/>
              </w:rPr>
            </w:pPr>
            <w:r w:rsidRPr="00DA5DA6">
              <w:rPr>
                <w:szCs w:val="18"/>
              </w:rPr>
              <w:t>394 (15,2)</w:t>
            </w:r>
          </w:p>
        </w:tc>
      </w:tr>
      <w:tr w:rsidR="00DA5DA6" w14:paraId="22170638" w14:textId="77777777" w:rsidTr="00DA5DA6">
        <w:tc>
          <w:tcPr>
            <w:tcW w:w="3192" w:type="dxa"/>
          </w:tcPr>
          <w:p w14:paraId="70DB4083" w14:textId="562B44A6" w:rsidR="00DA5DA6" w:rsidRPr="00DA5DA6" w:rsidRDefault="00DA5DA6" w:rsidP="00DA5DA6">
            <w:pPr>
              <w:rPr>
                <w:rFonts w:cs="Arial"/>
              </w:rPr>
            </w:pPr>
            <w:r w:rsidRPr="00DA5DA6">
              <w:rPr>
                <w:szCs w:val="18"/>
              </w:rPr>
              <w:t>Коефициент на риск</w:t>
            </w:r>
          </w:p>
        </w:tc>
        <w:tc>
          <w:tcPr>
            <w:tcW w:w="3192" w:type="dxa"/>
            <w:gridSpan w:val="2"/>
          </w:tcPr>
          <w:p w14:paraId="2646D2A9" w14:textId="54F58991" w:rsidR="00DA5DA6" w:rsidRPr="00DA5DA6" w:rsidRDefault="00DA5DA6" w:rsidP="00DA5DA6">
            <w:pPr>
              <w:rPr>
                <w:rFonts w:cs="Arial"/>
              </w:rPr>
            </w:pPr>
            <w:r w:rsidRPr="00DA5DA6">
              <w:rPr>
                <w:b/>
                <w:bCs/>
                <w:szCs w:val="18"/>
              </w:rPr>
              <w:t>0,94</w:t>
            </w:r>
          </w:p>
        </w:tc>
        <w:tc>
          <w:tcPr>
            <w:tcW w:w="3192" w:type="dxa"/>
            <w:gridSpan w:val="2"/>
          </w:tcPr>
          <w:p w14:paraId="060C549F" w14:textId="6AAB63C7" w:rsidR="00DA5DA6" w:rsidRPr="00DA5DA6" w:rsidRDefault="00DA5DA6" w:rsidP="00DA5DA6">
            <w:pPr>
              <w:rPr>
                <w:rFonts w:cs="Arial"/>
              </w:rPr>
            </w:pPr>
            <w:r w:rsidRPr="00DA5DA6">
              <w:rPr>
                <w:szCs w:val="18"/>
              </w:rPr>
              <w:t>0,93</w:t>
            </w:r>
          </w:p>
        </w:tc>
      </w:tr>
      <w:tr w:rsidR="00DA5DA6" w14:paraId="3CB1A8C7" w14:textId="77777777" w:rsidTr="00DA5DA6">
        <w:tc>
          <w:tcPr>
            <w:tcW w:w="3192" w:type="dxa"/>
          </w:tcPr>
          <w:p w14:paraId="68565D7F" w14:textId="4C1FBCE8" w:rsidR="00DA5DA6" w:rsidRPr="00DA5DA6" w:rsidRDefault="00DA5DA6" w:rsidP="00DA5DA6">
            <w:pPr>
              <w:rPr>
                <w:rFonts w:cs="Arial"/>
              </w:rPr>
            </w:pPr>
            <w:r w:rsidRPr="00DA5DA6">
              <w:rPr>
                <w:szCs w:val="18"/>
              </w:rPr>
              <w:t xml:space="preserve">Двустранен 95 % </w:t>
            </w:r>
            <w:r w:rsidRPr="00DA5DA6">
              <w:rPr>
                <w:szCs w:val="18"/>
                <w:lang w:val="en-US"/>
              </w:rPr>
              <w:t>CI</w:t>
            </w:r>
          </w:p>
        </w:tc>
        <w:tc>
          <w:tcPr>
            <w:tcW w:w="3192" w:type="dxa"/>
            <w:gridSpan w:val="2"/>
          </w:tcPr>
          <w:p w14:paraId="544DB218" w14:textId="789EF488" w:rsidR="00DA5DA6" w:rsidRPr="00DA5DA6" w:rsidRDefault="00DA5DA6" w:rsidP="00DA5DA6">
            <w:pPr>
              <w:rPr>
                <w:rFonts w:cs="Arial"/>
              </w:rPr>
            </w:pPr>
            <w:r w:rsidRPr="00DA5DA6">
              <w:rPr>
                <w:szCs w:val="18"/>
              </w:rPr>
              <w:t>0,83 до 1,06</w:t>
            </w:r>
          </w:p>
        </w:tc>
        <w:tc>
          <w:tcPr>
            <w:tcW w:w="3192" w:type="dxa"/>
            <w:gridSpan w:val="2"/>
          </w:tcPr>
          <w:p w14:paraId="43B61E35" w14:textId="051806F6" w:rsidR="00DA5DA6" w:rsidRPr="00DA5DA6" w:rsidRDefault="00DA5DA6" w:rsidP="00DA5DA6">
            <w:pPr>
              <w:rPr>
                <w:rFonts w:cs="Arial"/>
              </w:rPr>
            </w:pPr>
            <w:r w:rsidRPr="00DA5DA6">
              <w:rPr>
                <w:szCs w:val="18"/>
              </w:rPr>
              <w:t>0,80 до 1,07</w:t>
            </w:r>
          </w:p>
        </w:tc>
      </w:tr>
      <w:tr w:rsidR="00DA5DA6" w14:paraId="3AE92969" w14:textId="77777777" w:rsidTr="00DA5DA6">
        <w:tc>
          <w:tcPr>
            <w:tcW w:w="3192" w:type="dxa"/>
          </w:tcPr>
          <w:p w14:paraId="06A4A5C0" w14:textId="05CFC118" w:rsidR="00DA5DA6" w:rsidRPr="00DA5DA6" w:rsidRDefault="00DA5DA6" w:rsidP="00DA5DA6">
            <w:pPr>
              <w:rPr>
                <w:rFonts w:cs="Arial"/>
              </w:rPr>
            </w:pPr>
            <w:r w:rsidRPr="00DA5DA6">
              <w:rPr>
                <w:szCs w:val="18"/>
              </w:rPr>
              <w:t>р-стойност</w:t>
            </w:r>
          </w:p>
        </w:tc>
        <w:tc>
          <w:tcPr>
            <w:tcW w:w="3192" w:type="dxa"/>
            <w:gridSpan w:val="2"/>
          </w:tcPr>
          <w:p w14:paraId="757766DA" w14:textId="0E2F7244" w:rsidR="00DA5DA6" w:rsidRPr="00DA5DA6" w:rsidRDefault="00DA5DA6" w:rsidP="00DA5DA6">
            <w:pPr>
              <w:rPr>
                <w:rFonts w:cs="Arial"/>
              </w:rPr>
            </w:pPr>
            <w:r w:rsidRPr="00DA5DA6">
              <w:rPr>
                <w:szCs w:val="18"/>
              </w:rPr>
              <w:t>0,2850</w:t>
            </w:r>
          </w:p>
        </w:tc>
        <w:tc>
          <w:tcPr>
            <w:tcW w:w="3192" w:type="dxa"/>
            <w:gridSpan w:val="2"/>
          </w:tcPr>
          <w:p w14:paraId="00B1AA91" w14:textId="4D3F4530" w:rsidR="00DA5DA6" w:rsidRPr="00DA5DA6" w:rsidRDefault="00DA5DA6" w:rsidP="00DA5DA6">
            <w:pPr>
              <w:rPr>
                <w:rFonts w:cs="Arial"/>
              </w:rPr>
            </w:pPr>
            <w:r w:rsidRPr="00DA5DA6">
              <w:rPr>
                <w:szCs w:val="18"/>
              </w:rPr>
              <w:t>0,2838</w:t>
            </w:r>
          </w:p>
        </w:tc>
      </w:tr>
      <w:tr w:rsidR="00DA5DA6" w14:paraId="5EFDE199" w14:textId="77777777" w:rsidTr="00DA5DA6">
        <w:tc>
          <w:tcPr>
            <w:tcW w:w="3192" w:type="dxa"/>
          </w:tcPr>
          <w:p w14:paraId="1DE6657C" w14:textId="0B45FA02" w:rsidR="00DA5DA6" w:rsidRPr="00DA5DA6" w:rsidRDefault="00DA5DA6" w:rsidP="00DA5DA6">
            <w:pPr>
              <w:rPr>
                <w:rFonts w:cs="Arial"/>
              </w:rPr>
            </w:pPr>
            <w:r w:rsidRPr="00DA5DA6">
              <w:rPr>
                <w:b/>
                <w:bCs/>
                <w:szCs w:val="18"/>
              </w:rPr>
              <w:t>Време до настъпване на рецидив</w:t>
            </w:r>
            <w:r w:rsidRPr="00DA5DA6">
              <w:rPr>
                <w:b/>
                <w:bCs/>
                <w:szCs w:val="18"/>
                <w:vertAlign w:val="superscript"/>
                <w:lang w:val="en-US"/>
              </w:rPr>
              <w:t>c</w:t>
            </w:r>
          </w:p>
        </w:tc>
        <w:tc>
          <w:tcPr>
            <w:tcW w:w="1596" w:type="dxa"/>
          </w:tcPr>
          <w:p w14:paraId="3AB2F834" w14:textId="1694DC05" w:rsidR="00DA5DA6" w:rsidRPr="00DA5DA6" w:rsidRDefault="00DA5DA6" w:rsidP="00DA5DA6">
            <w:pPr>
              <w:rPr>
                <w:rFonts w:cs="Arial"/>
              </w:rPr>
            </w:pPr>
            <w:r w:rsidRPr="00DA5DA6">
              <w:rPr>
                <w:szCs w:val="18"/>
              </w:rPr>
              <w:t>402 (12,9)</w:t>
            </w:r>
          </w:p>
        </w:tc>
        <w:tc>
          <w:tcPr>
            <w:tcW w:w="1596" w:type="dxa"/>
          </w:tcPr>
          <w:p w14:paraId="2ACFF7CD" w14:textId="67C9759E" w:rsidR="00DA5DA6" w:rsidRPr="00DA5DA6" w:rsidRDefault="00DA5DA6" w:rsidP="00DA5DA6">
            <w:pPr>
              <w:rPr>
                <w:rFonts w:cs="Arial"/>
              </w:rPr>
            </w:pPr>
            <w:r w:rsidRPr="00DA5DA6">
              <w:rPr>
                <w:szCs w:val="18"/>
              </w:rPr>
              <w:t>498 (16,0)</w:t>
            </w:r>
          </w:p>
        </w:tc>
        <w:tc>
          <w:tcPr>
            <w:tcW w:w="1596" w:type="dxa"/>
          </w:tcPr>
          <w:p w14:paraId="4670383B" w14:textId="36B22B61" w:rsidR="00DA5DA6" w:rsidRPr="00DA5DA6" w:rsidRDefault="00DA5DA6" w:rsidP="00DA5DA6">
            <w:pPr>
              <w:rPr>
                <w:rFonts w:cs="Arial"/>
              </w:rPr>
            </w:pPr>
            <w:r w:rsidRPr="00DA5DA6">
              <w:rPr>
                <w:szCs w:val="18"/>
              </w:rPr>
              <w:t>282 (10,8)</w:t>
            </w:r>
          </w:p>
        </w:tc>
        <w:tc>
          <w:tcPr>
            <w:tcW w:w="1596" w:type="dxa"/>
          </w:tcPr>
          <w:p w14:paraId="07623E54" w14:textId="6C37012D" w:rsidR="00DA5DA6" w:rsidRPr="00DA5DA6" w:rsidRDefault="00DA5DA6" w:rsidP="00DA5DA6">
            <w:pPr>
              <w:rPr>
                <w:rFonts w:cs="Arial"/>
              </w:rPr>
            </w:pPr>
            <w:r w:rsidRPr="00DA5DA6">
              <w:rPr>
                <w:szCs w:val="18"/>
              </w:rPr>
              <w:t>370(14,2)</w:t>
            </w:r>
          </w:p>
        </w:tc>
      </w:tr>
      <w:tr w:rsidR="00DA5DA6" w14:paraId="30A002C8" w14:textId="77777777" w:rsidTr="00DA5DA6">
        <w:tc>
          <w:tcPr>
            <w:tcW w:w="3192" w:type="dxa"/>
          </w:tcPr>
          <w:p w14:paraId="4CC4968E" w14:textId="0F90718B" w:rsidR="00DA5DA6" w:rsidRPr="00DA5DA6" w:rsidRDefault="00DA5DA6" w:rsidP="00DA5DA6">
            <w:pPr>
              <w:rPr>
                <w:rFonts w:cs="Arial"/>
              </w:rPr>
            </w:pPr>
            <w:r w:rsidRPr="00DA5DA6">
              <w:rPr>
                <w:szCs w:val="18"/>
              </w:rPr>
              <w:t>Коефициент на риск</w:t>
            </w:r>
          </w:p>
        </w:tc>
        <w:tc>
          <w:tcPr>
            <w:tcW w:w="3192" w:type="dxa"/>
            <w:gridSpan w:val="2"/>
          </w:tcPr>
          <w:p w14:paraId="2CD0959C" w14:textId="3360AB87" w:rsidR="00DA5DA6" w:rsidRPr="00DA5DA6" w:rsidRDefault="00DA5DA6" w:rsidP="00DA5DA6">
            <w:pPr>
              <w:rPr>
                <w:rFonts w:cs="Arial"/>
              </w:rPr>
            </w:pPr>
            <w:r w:rsidRPr="00DA5DA6">
              <w:rPr>
                <w:szCs w:val="18"/>
              </w:rPr>
              <w:t>0,79</w:t>
            </w:r>
          </w:p>
        </w:tc>
        <w:tc>
          <w:tcPr>
            <w:tcW w:w="3192" w:type="dxa"/>
            <w:gridSpan w:val="2"/>
          </w:tcPr>
          <w:p w14:paraId="59085B36" w14:textId="1EA11F34" w:rsidR="00DA5DA6" w:rsidRPr="00DA5DA6" w:rsidRDefault="00DA5DA6" w:rsidP="00DA5DA6">
            <w:pPr>
              <w:rPr>
                <w:rFonts w:cs="Arial"/>
              </w:rPr>
            </w:pPr>
            <w:r w:rsidRPr="00DA5DA6">
              <w:rPr>
                <w:szCs w:val="18"/>
              </w:rPr>
              <w:t>0,74</w:t>
            </w:r>
          </w:p>
        </w:tc>
      </w:tr>
      <w:tr w:rsidR="00DA5DA6" w14:paraId="41BDD5A8" w14:textId="77777777" w:rsidTr="00DA5DA6">
        <w:tc>
          <w:tcPr>
            <w:tcW w:w="3192" w:type="dxa"/>
          </w:tcPr>
          <w:p w14:paraId="0597762C" w14:textId="2636DA78" w:rsidR="00DA5DA6" w:rsidRPr="00DA5DA6" w:rsidRDefault="00DA5DA6" w:rsidP="00DA5DA6">
            <w:pPr>
              <w:rPr>
                <w:rFonts w:cs="Arial"/>
              </w:rPr>
            </w:pPr>
            <w:r w:rsidRPr="00DA5DA6">
              <w:rPr>
                <w:szCs w:val="18"/>
              </w:rPr>
              <w:t xml:space="preserve">Двустранен 95 % </w:t>
            </w:r>
            <w:r w:rsidRPr="00DA5DA6">
              <w:rPr>
                <w:szCs w:val="18"/>
                <w:lang w:val="en-US"/>
              </w:rPr>
              <w:t>CI</w:t>
            </w:r>
          </w:p>
        </w:tc>
        <w:tc>
          <w:tcPr>
            <w:tcW w:w="3192" w:type="dxa"/>
            <w:gridSpan w:val="2"/>
          </w:tcPr>
          <w:p w14:paraId="1E9D1C5A" w14:textId="2167F980" w:rsidR="00DA5DA6" w:rsidRPr="00DA5DA6" w:rsidRDefault="00DA5DA6" w:rsidP="00DA5DA6">
            <w:pPr>
              <w:rPr>
                <w:rFonts w:cs="Arial"/>
              </w:rPr>
            </w:pPr>
            <w:r w:rsidRPr="00DA5DA6">
              <w:rPr>
                <w:szCs w:val="18"/>
              </w:rPr>
              <w:t>0,70 до 0,90</w:t>
            </w:r>
          </w:p>
        </w:tc>
        <w:tc>
          <w:tcPr>
            <w:tcW w:w="3192" w:type="dxa"/>
            <w:gridSpan w:val="2"/>
          </w:tcPr>
          <w:p w14:paraId="0C555C2D" w14:textId="2CDB570D" w:rsidR="00DA5DA6" w:rsidRPr="00DA5DA6" w:rsidRDefault="00DA5DA6" w:rsidP="00DA5DA6">
            <w:pPr>
              <w:rPr>
                <w:rFonts w:cs="Arial"/>
              </w:rPr>
            </w:pPr>
            <w:r w:rsidRPr="00DA5DA6">
              <w:rPr>
                <w:szCs w:val="18"/>
              </w:rPr>
              <w:t>0,64 до 0,87</w:t>
            </w:r>
          </w:p>
        </w:tc>
      </w:tr>
      <w:tr w:rsidR="00DA5DA6" w14:paraId="49FA99BD" w14:textId="77777777" w:rsidTr="00DA5DA6">
        <w:tc>
          <w:tcPr>
            <w:tcW w:w="3192" w:type="dxa"/>
          </w:tcPr>
          <w:p w14:paraId="2ABA676C" w14:textId="75A7665C" w:rsidR="00DA5DA6" w:rsidRPr="00DA5DA6" w:rsidRDefault="00DA5DA6" w:rsidP="00DA5DA6">
            <w:pPr>
              <w:rPr>
                <w:rFonts w:cs="Arial"/>
              </w:rPr>
            </w:pPr>
            <w:r w:rsidRPr="00DA5DA6">
              <w:rPr>
                <w:szCs w:val="18"/>
              </w:rPr>
              <w:t>р-стойност</w:t>
            </w:r>
          </w:p>
        </w:tc>
        <w:tc>
          <w:tcPr>
            <w:tcW w:w="3192" w:type="dxa"/>
            <w:gridSpan w:val="2"/>
          </w:tcPr>
          <w:p w14:paraId="4C1E6876" w14:textId="320ED30E" w:rsidR="00DA5DA6" w:rsidRPr="00DA5DA6" w:rsidRDefault="00DA5DA6" w:rsidP="00DA5DA6">
            <w:pPr>
              <w:rPr>
                <w:rFonts w:cs="Arial"/>
              </w:rPr>
            </w:pPr>
            <w:r w:rsidRPr="00DA5DA6">
              <w:rPr>
                <w:szCs w:val="18"/>
              </w:rPr>
              <w:t>0,0005</w:t>
            </w:r>
          </w:p>
        </w:tc>
        <w:tc>
          <w:tcPr>
            <w:tcW w:w="3192" w:type="dxa"/>
            <w:gridSpan w:val="2"/>
          </w:tcPr>
          <w:p w14:paraId="459A429F" w14:textId="7DC38ED5" w:rsidR="00DA5DA6" w:rsidRPr="00DA5DA6" w:rsidRDefault="00DA5DA6" w:rsidP="00DA5DA6">
            <w:pPr>
              <w:rPr>
                <w:rFonts w:cs="Arial"/>
              </w:rPr>
            </w:pPr>
            <w:r w:rsidRPr="00DA5DA6">
              <w:rPr>
                <w:szCs w:val="18"/>
              </w:rPr>
              <w:t>0,0002</w:t>
            </w:r>
          </w:p>
        </w:tc>
      </w:tr>
      <w:tr w:rsidR="00DA5DA6" w14:paraId="456A7629" w14:textId="77777777" w:rsidTr="00DA5DA6">
        <w:tc>
          <w:tcPr>
            <w:tcW w:w="3192" w:type="dxa"/>
          </w:tcPr>
          <w:p w14:paraId="2DE8C88B" w14:textId="1EFEB440" w:rsidR="00DA5DA6" w:rsidRPr="00DA5DA6" w:rsidRDefault="00DA5DA6" w:rsidP="00DA5DA6">
            <w:pPr>
              <w:rPr>
                <w:rFonts w:cs="Arial"/>
              </w:rPr>
            </w:pPr>
            <w:r w:rsidRPr="00DA5DA6">
              <w:rPr>
                <w:b/>
                <w:bCs/>
                <w:szCs w:val="18"/>
              </w:rPr>
              <w:t>Време до настъпване на далечен рецидив</w:t>
            </w:r>
            <w:r w:rsidRPr="00DA5DA6">
              <w:rPr>
                <w:b/>
                <w:bCs/>
                <w:szCs w:val="18"/>
                <w:vertAlign w:val="superscript"/>
                <w:lang w:val="en-US"/>
              </w:rPr>
              <w:t>d</w:t>
            </w:r>
          </w:p>
        </w:tc>
        <w:tc>
          <w:tcPr>
            <w:tcW w:w="1596" w:type="dxa"/>
          </w:tcPr>
          <w:p w14:paraId="1A613845" w14:textId="2C55BCAA" w:rsidR="00DA5DA6" w:rsidRPr="00DA5DA6" w:rsidRDefault="00DA5DA6" w:rsidP="00DA5DA6">
            <w:pPr>
              <w:rPr>
                <w:rFonts w:cs="Arial"/>
              </w:rPr>
            </w:pPr>
            <w:r w:rsidRPr="00DA5DA6">
              <w:rPr>
                <w:szCs w:val="18"/>
              </w:rPr>
              <w:t>324 (10,4)</w:t>
            </w:r>
          </w:p>
        </w:tc>
        <w:tc>
          <w:tcPr>
            <w:tcW w:w="1596" w:type="dxa"/>
          </w:tcPr>
          <w:p w14:paraId="56625104" w14:textId="70338F2F" w:rsidR="00DA5DA6" w:rsidRPr="00DA5DA6" w:rsidRDefault="00DA5DA6" w:rsidP="00DA5DA6">
            <w:pPr>
              <w:rPr>
                <w:rFonts w:cs="Arial"/>
              </w:rPr>
            </w:pPr>
            <w:r w:rsidRPr="00DA5DA6">
              <w:rPr>
                <w:szCs w:val="18"/>
              </w:rPr>
              <w:t>375 (12,0)</w:t>
            </w:r>
          </w:p>
        </w:tc>
        <w:tc>
          <w:tcPr>
            <w:tcW w:w="1596" w:type="dxa"/>
          </w:tcPr>
          <w:p w14:paraId="46812E80" w14:textId="0508FE95" w:rsidR="00DA5DA6" w:rsidRPr="00DA5DA6" w:rsidRDefault="00DA5DA6" w:rsidP="00DA5DA6">
            <w:pPr>
              <w:rPr>
                <w:rFonts w:cs="Arial"/>
              </w:rPr>
            </w:pPr>
            <w:r w:rsidRPr="00DA5DA6">
              <w:rPr>
                <w:szCs w:val="18"/>
              </w:rPr>
              <w:t>226 (8,6)</w:t>
            </w:r>
          </w:p>
        </w:tc>
        <w:tc>
          <w:tcPr>
            <w:tcW w:w="1596" w:type="dxa"/>
          </w:tcPr>
          <w:p w14:paraId="14CADC19" w14:textId="451B3B06" w:rsidR="00DA5DA6" w:rsidRPr="00DA5DA6" w:rsidRDefault="00DA5DA6" w:rsidP="00DA5DA6">
            <w:pPr>
              <w:rPr>
                <w:rFonts w:cs="Arial"/>
              </w:rPr>
            </w:pPr>
            <w:r w:rsidRPr="00DA5DA6">
              <w:rPr>
                <w:szCs w:val="18"/>
              </w:rPr>
              <w:t>265 (10,2)</w:t>
            </w:r>
          </w:p>
        </w:tc>
      </w:tr>
      <w:tr w:rsidR="00DA5DA6" w14:paraId="41800BAE" w14:textId="77777777" w:rsidTr="00DA5DA6">
        <w:tc>
          <w:tcPr>
            <w:tcW w:w="3192" w:type="dxa"/>
          </w:tcPr>
          <w:p w14:paraId="2043DCE3" w14:textId="1BF9314C" w:rsidR="00DA5DA6" w:rsidRPr="00DA5DA6" w:rsidRDefault="00DA5DA6" w:rsidP="00DA5DA6">
            <w:pPr>
              <w:rPr>
                <w:rFonts w:cs="Arial"/>
              </w:rPr>
            </w:pPr>
            <w:r w:rsidRPr="00DA5DA6">
              <w:rPr>
                <w:szCs w:val="18"/>
              </w:rPr>
              <w:t>Коефициент на риск</w:t>
            </w:r>
          </w:p>
        </w:tc>
        <w:tc>
          <w:tcPr>
            <w:tcW w:w="3192" w:type="dxa"/>
            <w:gridSpan w:val="2"/>
          </w:tcPr>
          <w:p w14:paraId="667DA9B5" w14:textId="41E4F56E" w:rsidR="00DA5DA6" w:rsidRPr="00DA5DA6" w:rsidRDefault="00DA5DA6" w:rsidP="00DA5DA6">
            <w:pPr>
              <w:rPr>
                <w:rFonts w:cs="Arial"/>
              </w:rPr>
            </w:pPr>
            <w:r w:rsidRPr="00DA5DA6">
              <w:rPr>
                <w:szCs w:val="18"/>
              </w:rPr>
              <w:t>0,86</w:t>
            </w:r>
          </w:p>
        </w:tc>
        <w:tc>
          <w:tcPr>
            <w:tcW w:w="3192" w:type="dxa"/>
            <w:gridSpan w:val="2"/>
          </w:tcPr>
          <w:p w14:paraId="7DE47C43" w14:textId="07A863BB" w:rsidR="00DA5DA6" w:rsidRPr="00DA5DA6" w:rsidRDefault="00DA5DA6" w:rsidP="00DA5DA6">
            <w:pPr>
              <w:rPr>
                <w:rFonts w:cs="Arial"/>
              </w:rPr>
            </w:pPr>
            <w:r w:rsidRPr="00DA5DA6">
              <w:rPr>
                <w:szCs w:val="18"/>
              </w:rPr>
              <w:t>0,84</w:t>
            </w:r>
          </w:p>
        </w:tc>
      </w:tr>
      <w:tr w:rsidR="00DA5DA6" w14:paraId="07574715" w14:textId="77777777" w:rsidTr="00DA5DA6">
        <w:tc>
          <w:tcPr>
            <w:tcW w:w="3192" w:type="dxa"/>
          </w:tcPr>
          <w:p w14:paraId="684CD711" w14:textId="6206A1CC" w:rsidR="00DA5DA6" w:rsidRPr="00DA5DA6" w:rsidRDefault="00DA5DA6" w:rsidP="00DA5DA6">
            <w:pPr>
              <w:rPr>
                <w:rFonts w:cs="Arial"/>
              </w:rPr>
            </w:pPr>
            <w:r w:rsidRPr="00DA5DA6">
              <w:rPr>
                <w:szCs w:val="18"/>
              </w:rPr>
              <w:t xml:space="preserve">Двустранен 95 % </w:t>
            </w:r>
            <w:r w:rsidRPr="00DA5DA6">
              <w:rPr>
                <w:szCs w:val="18"/>
                <w:lang w:val="en-US"/>
              </w:rPr>
              <w:t>CI</w:t>
            </w:r>
          </w:p>
        </w:tc>
        <w:tc>
          <w:tcPr>
            <w:tcW w:w="3192" w:type="dxa"/>
            <w:gridSpan w:val="2"/>
          </w:tcPr>
          <w:p w14:paraId="66E3A49B" w14:textId="3379F709" w:rsidR="00DA5DA6" w:rsidRPr="00DA5DA6" w:rsidRDefault="00DA5DA6" w:rsidP="00DA5DA6">
            <w:pPr>
              <w:rPr>
                <w:rFonts w:cs="Arial"/>
              </w:rPr>
            </w:pPr>
            <w:r w:rsidRPr="00DA5DA6">
              <w:rPr>
                <w:szCs w:val="18"/>
              </w:rPr>
              <w:t>0,74 до 0,99</w:t>
            </w:r>
          </w:p>
        </w:tc>
        <w:tc>
          <w:tcPr>
            <w:tcW w:w="3192" w:type="dxa"/>
            <w:gridSpan w:val="2"/>
          </w:tcPr>
          <w:p w14:paraId="462EAAB2" w14:textId="6906EBA2" w:rsidR="00DA5DA6" w:rsidRPr="00DA5DA6" w:rsidRDefault="00DA5DA6" w:rsidP="00DA5DA6">
            <w:pPr>
              <w:rPr>
                <w:rFonts w:cs="Arial"/>
              </w:rPr>
            </w:pPr>
            <w:r w:rsidRPr="00DA5DA6">
              <w:rPr>
                <w:szCs w:val="18"/>
              </w:rPr>
              <w:t>0,70 до 1,00</w:t>
            </w:r>
          </w:p>
        </w:tc>
      </w:tr>
      <w:tr w:rsidR="00DA5DA6" w14:paraId="27726B14" w14:textId="77777777" w:rsidTr="00DA5DA6">
        <w:tc>
          <w:tcPr>
            <w:tcW w:w="3192" w:type="dxa"/>
          </w:tcPr>
          <w:p w14:paraId="3A4EB0FE" w14:textId="498A9E1C" w:rsidR="00DA5DA6" w:rsidRPr="00DA5DA6" w:rsidRDefault="00DA5DA6" w:rsidP="00DA5DA6">
            <w:pPr>
              <w:rPr>
                <w:rFonts w:cs="Arial"/>
              </w:rPr>
            </w:pPr>
            <w:r w:rsidRPr="00DA5DA6">
              <w:rPr>
                <w:szCs w:val="18"/>
              </w:rPr>
              <w:t>р-стойност</w:t>
            </w:r>
          </w:p>
        </w:tc>
        <w:tc>
          <w:tcPr>
            <w:tcW w:w="3192" w:type="dxa"/>
            <w:gridSpan w:val="2"/>
          </w:tcPr>
          <w:p w14:paraId="77E8DB3C" w14:textId="65E08677" w:rsidR="00DA5DA6" w:rsidRPr="00DA5DA6" w:rsidRDefault="00DA5DA6" w:rsidP="00DA5DA6">
            <w:pPr>
              <w:rPr>
                <w:rFonts w:cs="Arial"/>
              </w:rPr>
            </w:pPr>
            <w:r w:rsidRPr="00DA5DA6">
              <w:rPr>
                <w:szCs w:val="18"/>
              </w:rPr>
              <w:t>0,0427</w:t>
            </w:r>
          </w:p>
        </w:tc>
        <w:tc>
          <w:tcPr>
            <w:tcW w:w="3192" w:type="dxa"/>
            <w:gridSpan w:val="2"/>
          </w:tcPr>
          <w:p w14:paraId="3B2F7A45" w14:textId="71936B74" w:rsidR="00DA5DA6" w:rsidRPr="00DA5DA6" w:rsidRDefault="00DA5DA6" w:rsidP="00DA5DA6">
            <w:pPr>
              <w:rPr>
                <w:rFonts w:cs="Arial"/>
              </w:rPr>
            </w:pPr>
            <w:r w:rsidRPr="00DA5DA6">
              <w:rPr>
                <w:szCs w:val="18"/>
              </w:rPr>
              <w:t>0,0559</w:t>
            </w:r>
          </w:p>
        </w:tc>
      </w:tr>
      <w:tr w:rsidR="00DA5DA6" w14:paraId="3CB3DEA2" w14:textId="77777777" w:rsidTr="00DA5DA6">
        <w:tc>
          <w:tcPr>
            <w:tcW w:w="3192" w:type="dxa"/>
          </w:tcPr>
          <w:p w14:paraId="6B82B914" w14:textId="7706C09E" w:rsidR="00DA5DA6" w:rsidRPr="00DA5DA6" w:rsidRDefault="00DA5DA6" w:rsidP="00DA5DA6">
            <w:pPr>
              <w:rPr>
                <w:rFonts w:cs="Arial"/>
              </w:rPr>
            </w:pPr>
            <w:r w:rsidRPr="00DA5DA6">
              <w:rPr>
                <w:b/>
                <w:bCs/>
                <w:szCs w:val="18"/>
              </w:rPr>
              <w:t>Първично засягане на контралатералната гърда</w:t>
            </w:r>
          </w:p>
        </w:tc>
        <w:tc>
          <w:tcPr>
            <w:tcW w:w="1596" w:type="dxa"/>
          </w:tcPr>
          <w:p w14:paraId="0E018B67" w14:textId="59185F23" w:rsidR="00DA5DA6" w:rsidRPr="00DA5DA6" w:rsidRDefault="00DA5DA6" w:rsidP="00DA5DA6">
            <w:pPr>
              <w:rPr>
                <w:rFonts w:cs="Arial"/>
              </w:rPr>
            </w:pPr>
            <w:r w:rsidRPr="00DA5DA6">
              <w:rPr>
                <w:szCs w:val="18"/>
              </w:rPr>
              <w:t>35(1,1)</w:t>
            </w:r>
          </w:p>
        </w:tc>
        <w:tc>
          <w:tcPr>
            <w:tcW w:w="1596" w:type="dxa"/>
          </w:tcPr>
          <w:p w14:paraId="110313CD" w14:textId="1706B7BB" w:rsidR="00DA5DA6" w:rsidRPr="00DA5DA6" w:rsidRDefault="00DA5DA6" w:rsidP="00DA5DA6">
            <w:pPr>
              <w:rPr>
                <w:rFonts w:cs="Arial"/>
              </w:rPr>
            </w:pPr>
            <w:r w:rsidRPr="00DA5DA6">
              <w:rPr>
                <w:szCs w:val="18"/>
              </w:rPr>
              <w:t>59 (1,9)</w:t>
            </w:r>
          </w:p>
        </w:tc>
        <w:tc>
          <w:tcPr>
            <w:tcW w:w="1596" w:type="dxa"/>
          </w:tcPr>
          <w:p w14:paraId="573F6528" w14:textId="77C337A1" w:rsidR="00DA5DA6" w:rsidRPr="00DA5DA6" w:rsidRDefault="00DA5DA6" w:rsidP="00DA5DA6">
            <w:pPr>
              <w:rPr>
                <w:rFonts w:cs="Arial"/>
              </w:rPr>
            </w:pPr>
            <w:r w:rsidRPr="00DA5DA6">
              <w:rPr>
                <w:szCs w:val="18"/>
              </w:rPr>
              <w:t>26 (1,0)</w:t>
            </w:r>
          </w:p>
        </w:tc>
        <w:tc>
          <w:tcPr>
            <w:tcW w:w="1596" w:type="dxa"/>
          </w:tcPr>
          <w:p w14:paraId="3E1B69BA" w14:textId="173A0C42" w:rsidR="00DA5DA6" w:rsidRPr="00DA5DA6" w:rsidRDefault="00DA5DA6" w:rsidP="00DA5DA6">
            <w:pPr>
              <w:rPr>
                <w:rFonts w:cs="Arial"/>
              </w:rPr>
            </w:pPr>
            <w:r w:rsidRPr="00DA5DA6">
              <w:rPr>
                <w:szCs w:val="18"/>
              </w:rPr>
              <w:t>54(2,1)</w:t>
            </w:r>
          </w:p>
        </w:tc>
      </w:tr>
      <w:tr w:rsidR="00DA5DA6" w14:paraId="7B2BA786" w14:textId="77777777" w:rsidTr="00DA5DA6">
        <w:tc>
          <w:tcPr>
            <w:tcW w:w="3192" w:type="dxa"/>
          </w:tcPr>
          <w:p w14:paraId="5B70D36D" w14:textId="177551B1" w:rsidR="00DA5DA6" w:rsidRPr="00DA5DA6" w:rsidRDefault="00DA5DA6" w:rsidP="00DA5DA6">
            <w:pPr>
              <w:rPr>
                <w:rFonts w:cs="Arial"/>
              </w:rPr>
            </w:pPr>
            <w:r w:rsidRPr="00DA5DA6">
              <w:rPr>
                <w:szCs w:val="18"/>
              </w:rPr>
              <w:t>Съотношение на шансовете</w:t>
            </w:r>
          </w:p>
        </w:tc>
        <w:tc>
          <w:tcPr>
            <w:tcW w:w="3192" w:type="dxa"/>
            <w:gridSpan w:val="2"/>
          </w:tcPr>
          <w:p w14:paraId="126BEFFE" w14:textId="0ACBB7DD" w:rsidR="00DA5DA6" w:rsidRPr="00DA5DA6" w:rsidRDefault="00DA5DA6" w:rsidP="00DA5DA6">
            <w:pPr>
              <w:rPr>
                <w:rFonts w:cs="Arial"/>
              </w:rPr>
            </w:pPr>
            <w:r w:rsidRPr="00DA5DA6">
              <w:rPr>
                <w:szCs w:val="18"/>
              </w:rPr>
              <w:t>0,59</w:t>
            </w:r>
          </w:p>
        </w:tc>
        <w:tc>
          <w:tcPr>
            <w:tcW w:w="3192" w:type="dxa"/>
            <w:gridSpan w:val="2"/>
          </w:tcPr>
          <w:p w14:paraId="51E28C42" w14:textId="4459547B" w:rsidR="00DA5DA6" w:rsidRPr="00DA5DA6" w:rsidRDefault="00DA5DA6" w:rsidP="00DA5DA6">
            <w:pPr>
              <w:rPr>
                <w:rFonts w:cs="Arial"/>
              </w:rPr>
            </w:pPr>
            <w:r w:rsidRPr="00DA5DA6">
              <w:rPr>
                <w:szCs w:val="18"/>
              </w:rPr>
              <w:t>0,47</w:t>
            </w:r>
          </w:p>
        </w:tc>
      </w:tr>
      <w:tr w:rsidR="00DA5DA6" w14:paraId="1FB057BF" w14:textId="77777777" w:rsidTr="00DA5DA6">
        <w:tc>
          <w:tcPr>
            <w:tcW w:w="3192" w:type="dxa"/>
          </w:tcPr>
          <w:p w14:paraId="54C6C0EE" w14:textId="320AB931" w:rsidR="00DA5DA6" w:rsidRPr="00DA5DA6" w:rsidRDefault="00DA5DA6" w:rsidP="00DA5DA6">
            <w:pPr>
              <w:rPr>
                <w:rFonts w:cs="Arial"/>
              </w:rPr>
            </w:pPr>
            <w:r w:rsidRPr="00DA5DA6">
              <w:rPr>
                <w:szCs w:val="18"/>
              </w:rPr>
              <w:t xml:space="preserve">Двустранен 95 % </w:t>
            </w:r>
            <w:r w:rsidRPr="00DA5DA6">
              <w:rPr>
                <w:szCs w:val="18"/>
                <w:lang w:val="en-US"/>
              </w:rPr>
              <w:t>CI</w:t>
            </w:r>
          </w:p>
        </w:tc>
        <w:tc>
          <w:tcPr>
            <w:tcW w:w="3192" w:type="dxa"/>
            <w:gridSpan w:val="2"/>
          </w:tcPr>
          <w:p w14:paraId="67E45109" w14:textId="606F63B7" w:rsidR="00DA5DA6" w:rsidRPr="00DA5DA6" w:rsidRDefault="00DA5DA6" w:rsidP="00DA5DA6">
            <w:pPr>
              <w:rPr>
                <w:rFonts w:cs="Arial"/>
              </w:rPr>
            </w:pPr>
            <w:r w:rsidRPr="00DA5DA6">
              <w:rPr>
                <w:szCs w:val="18"/>
              </w:rPr>
              <w:t>0,39 до 0,89</w:t>
            </w:r>
          </w:p>
        </w:tc>
        <w:tc>
          <w:tcPr>
            <w:tcW w:w="3192" w:type="dxa"/>
            <w:gridSpan w:val="2"/>
          </w:tcPr>
          <w:p w14:paraId="3D05B9A9" w14:textId="2C51584C" w:rsidR="00DA5DA6" w:rsidRPr="00DA5DA6" w:rsidRDefault="00DA5DA6" w:rsidP="00DA5DA6">
            <w:pPr>
              <w:rPr>
                <w:rFonts w:cs="Arial"/>
              </w:rPr>
            </w:pPr>
            <w:r w:rsidRPr="00DA5DA6">
              <w:rPr>
                <w:szCs w:val="20"/>
                <w:lang w:val="en-US"/>
              </w:rPr>
              <w:t xml:space="preserve">0,30 </w:t>
            </w:r>
            <w:r w:rsidRPr="00DA5DA6">
              <w:rPr>
                <w:szCs w:val="20"/>
              </w:rPr>
              <w:t>до 0,76</w:t>
            </w:r>
          </w:p>
        </w:tc>
      </w:tr>
      <w:tr w:rsidR="00DA5DA6" w14:paraId="5C64DE05" w14:textId="77777777" w:rsidTr="00DA5DA6">
        <w:tc>
          <w:tcPr>
            <w:tcW w:w="3192" w:type="dxa"/>
          </w:tcPr>
          <w:p w14:paraId="4B22FB93" w14:textId="47B515E7" w:rsidR="00DA5DA6" w:rsidRPr="00DA5DA6" w:rsidRDefault="00DA5DA6" w:rsidP="00DA5DA6">
            <w:pPr>
              <w:rPr>
                <w:rFonts w:cs="Arial"/>
              </w:rPr>
            </w:pPr>
            <w:r w:rsidRPr="00DA5DA6">
              <w:rPr>
                <w:szCs w:val="18"/>
              </w:rPr>
              <w:t>р-стойност</w:t>
            </w:r>
          </w:p>
        </w:tc>
        <w:tc>
          <w:tcPr>
            <w:tcW w:w="3192" w:type="dxa"/>
            <w:gridSpan w:val="2"/>
          </w:tcPr>
          <w:p w14:paraId="181A114B" w14:textId="091624E6" w:rsidR="00DA5DA6" w:rsidRPr="00DA5DA6" w:rsidRDefault="00DA5DA6" w:rsidP="00DA5DA6">
            <w:pPr>
              <w:rPr>
                <w:rFonts w:cs="Arial"/>
              </w:rPr>
            </w:pPr>
            <w:r w:rsidRPr="00DA5DA6">
              <w:rPr>
                <w:szCs w:val="18"/>
              </w:rPr>
              <w:t>0,0131</w:t>
            </w:r>
          </w:p>
        </w:tc>
        <w:tc>
          <w:tcPr>
            <w:tcW w:w="3192" w:type="dxa"/>
            <w:gridSpan w:val="2"/>
          </w:tcPr>
          <w:p w14:paraId="3B162A63" w14:textId="31924733" w:rsidR="00DA5DA6" w:rsidRPr="00DA5DA6" w:rsidRDefault="00DA5DA6" w:rsidP="00DA5DA6">
            <w:pPr>
              <w:rPr>
                <w:rFonts w:cs="Arial"/>
              </w:rPr>
            </w:pPr>
            <w:r w:rsidRPr="00DA5DA6">
              <w:rPr>
                <w:szCs w:val="20"/>
              </w:rPr>
              <w:t>0,0018</w:t>
            </w:r>
          </w:p>
        </w:tc>
      </w:tr>
      <w:tr w:rsidR="00DA5DA6" w14:paraId="46E98076" w14:textId="77777777" w:rsidTr="00DA5DA6">
        <w:tc>
          <w:tcPr>
            <w:tcW w:w="3192" w:type="dxa"/>
          </w:tcPr>
          <w:p w14:paraId="24A65FA7" w14:textId="3A0C323D" w:rsidR="00DA5DA6" w:rsidRPr="00DA5DA6" w:rsidRDefault="00DA5DA6" w:rsidP="00DA5DA6">
            <w:pPr>
              <w:rPr>
                <w:rFonts w:cs="Arial"/>
              </w:rPr>
            </w:pPr>
            <w:r w:rsidRPr="00DA5DA6">
              <w:rPr>
                <w:b/>
                <w:bCs/>
                <w:szCs w:val="18"/>
              </w:rPr>
              <w:t>Обща преживяемост</w:t>
            </w:r>
            <w:r w:rsidRPr="00DA5DA6">
              <w:rPr>
                <w:b/>
                <w:bCs/>
                <w:szCs w:val="18"/>
                <w:vertAlign w:val="superscript"/>
                <w:lang w:val="en-US"/>
              </w:rPr>
              <w:t>e</w:t>
            </w:r>
          </w:p>
        </w:tc>
        <w:tc>
          <w:tcPr>
            <w:tcW w:w="1596" w:type="dxa"/>
          </w:tcPr>
          <w:p w14:paraId="5D4F80DC" w14:textId="00F02E26" w:rsidR="00DA5DA6" w:rsidRPr="00DA5DA6" w:rsidRDefault="00DA5DA6" w:rsidP="00DA5DA6">
            <w:pPr>
              <w:rPr>
                <w:rFonts w:cs="Arial"/>
              </w:rPr>
            </w:pPr>
            <w:r w:rsidRPr="00DA5DA6">
              <w:rPr>
                <w:szCs w:val="18"/>
              </w:rPr>
              <w:t>411 (13,2)</w:t>
            </w:r>
          </w:p>
        </w:tc>
        <w:tc>
          <w:tcPr>
            <w:tcW w:w="1596" w:type="dxa"/>
          </w:tcPr>
          <w:p w14:paraId="1DB04A7C" w14:textId="19270F12" w:rsidR="00DA5DA6" w:rsidRPr="00DA5DA6" w:rsidRDefault="00DA5DA6" w:rsidP="00DA5DA6">
            <w:pPr>
              <w:rPr>
                <w:rFonts w:cs="Arial"/>
              </w:rPr>
            </w:pPr>
            <w:r w:rsidRPr="00DA5DA6">
              <w:rPr>
                <w:szCs w:val="18"/>
              </w:rPr>
              <w:t>420 (13,5)</w:t>
            </w:r>
          </w:p>
        </w:tc>
        <w:tc>
          <w:tcPr>
            <w:tcW w:w="1596" w:type="dxa"/>
          </w:tcPr>
          <w:p w14:paraId="714B30AC" w14:textId="0A79DFEA" w:rsidR="00DA5DA6" w:rsidRPr="00DA5DA6" w:rsidRDefault="00DA5DA6" w:rsidP="00DA5DA6">
            <w:pPr>
              <w:rPr>
                <w:rFonts w:cs="Arial"/>
              </w:rPr>
            </w:pPr>
            <w:r w:rsidRPr="00DA5DA6">
              <w:rPr>
                <w:szCs w:val="18"/>
              </w:rPr>
              <w:t>296(11,3)</w:t>
            </w:r>
          </w:p>
        </w:tc>
        <w:tc>
          <w:tcPr>
            <w:tcW w:w="1596" w:type="dxa"/>
          </w:tcPr>
          <w:p w14:paraId="0F262F19" w14:textId="06A60F7A" w:rsidR="00DA5DA6" w:rsidRPr="00DA5DA6" w:rsidRDefault="00DA5DA6" w:rsidP="00DA5DA6">
            <w:pPr>
              <w:rPr>
                <w:rFonts w:cs="Arial"/>
              </w:rPr>
            </w:pPr>
            <w:r w:rsidRPr="00DA5DA6">
              <w:rPr>
                <w:rFonts w:cs="Arial"/>
              </w:rPr>
              <w:t>301(11,6)</w:t>
            </w:r>
          </w:p>
        </w:tc>
      </w:tr>
      <w:tr w:rsidR="00DA5DA6" w14:paraId="185DAC5B" w14:textId="77777777" w:rsidTr="00DA5DA6">
        <w:tc>
          <w:tcPr>
            <w:tcW w:w="3192" w:type="dxa"/>
          </w:tcPr>
          <w:p w14:paraId="06F2196B" w14:textId="597D59A5" w:rsidR="00DA5DA6" w:rsidRPr="00DA5DA6" w:rsidRDefault="00DA5DA6" w:rsidP="00DA5DA6">
            <w:pPr>
              <w:rPr>
                <w:rFonts w:cs="Arial"/>
              </w:rPr>
            </w:pPr>
            <w:r w:rsidRPr="00DA5DA6">
              <w:rPr>
                <w:szCs w:val="18"/>
              </w:rPr>
              <w:t>Коефициент на риск</w:t>
            </w:r>
          </w:p>
        </w:tc>
        <w:tc>
          <w:tcPr>
            <w:tcW w:w="3192" w:type="dxa"/>
            <w:gridSpan w:val="2"/>
          </w:tcPr>
          <w:p w14:paraId="10C5DC97" w14:textId="38E4EEED" w:rsidR="00DA5DA6" w:rsidRPr="00DA5DA6" w:rsidRDefault="00DA5DA6" w:rsidP="00DA5DA6">
            <w:pPr>
              <w:rPr>
                <w:rFonts w:cs="Arial"/>
              </w:rPr>
            </w:pPr>
            <w:r w:rsidRPr="00DA5DA6">
              <w:rPr>
                <w:szCs w:val="18"/>
              </w:rPr>
              <w:t>0,97</w:t>
            </w:r>
          </w:p>
        </w:tc>
        <w:tc>
          <w:tcPr>
            <w:tcW w:w="3192" w:type="dxa"/>
            <w:gridSpan w:val="2"/>
          </w:tcPr>
          <w:p w14:paraId="11AC419C" w14:textId="41AEC7B9" w:rsidR="00DA5DA6" w:rsidRPr="00DA5DA6" w:rsidRDefault="00DA5DA6" w:rsidP="00DA5DA6">
            <w:pPr>
              <w:rPr>
                <w:rFonts w:cs="Arial"/>
              </w:rPr>
            </w:pPr>
            <w:r w:rsidRPr="00DA5DA6">
              <w:rPr>
                <w:szCs w:val="18"/>
              </w:rPr>
              <w:t>0,97</w:t>
            </w:r>
          </w:p>
        </w:tc>
      </w:tr>
      <w:tr w:rsidR="00DA5DA6" w14:paraId="56A2611B" w14:textId="77777777" w:rsidTr="00DA5DA6">
        <w:tc>
          <w:tcPr>
            <w:tcW w:w="3192" w:type="dxa"/>
          </w:tcPr>
          <w:p w14:paraId="5CA9D8C1" w14:textId="6930E4F0" w:rsidR="00DA5DA6" w:rsidRPr="00DA5DA6" w:rsidRDefault="00DA5DA6" w:rsidP="00DA5DA6">
            <w:pPr>
              <w:rPr>
                <w:rFonts w:cs="Arial"/>
              </w:rPr>
            </w:pPr>
            <w:r w:rsidRPr="00DA5DA6">
              <w:rPr>
                <w:szCs w:val="18"/>
              </w:rPr>
              <w:t xml:space="preserve">Двустранен 95 % </w:t>
            </w:r>
            <w:r w:rsidRPr="00DA5DA6">
              <w:rPr>
                <w:szCs w:val="18"/>
                <w:lang w:val="en-US"/>
              </w:rPr>
              <w:t>CI</w:t>
            </w:r>
          </w:p>
        </w:tc>
        <w:tc>
          <w:tcPr>
            <w:tcW w:w="3192" w:type="dxa"/>
            <w:gridSpan w:val="2"/>
          </w:tcPr>
          <w:p w14:paraId="7AED38B4" w14:textId="13CBB823" w:rsidR="00DA5DA6" w:rsidRPr="00DA5DA6" w:rsidRDefault="00DA5DA6" w:rsidP="00DA5DA6">
            <w:pPr>
              <w:rPr>
                <w:rFonts w:cs="Arial"/>
              </w:rPr>
            </w:pPr>
            <w:r w:rsidRPr="00DA5DA6">
              <w:rPr>
                <w:szCs w:val="18"/>
              </w:rPr>
              <w:t>0,85 до 1,12</w:t>
            </w:r>
          </w:p>
        </w:tc>
        <w:tc>
          <w:tcPr>
            <w:tcW w:w="3192" w:type="dxa"/>
            <w:gridSpan w:val="2"/>
          </w:tcPr>
          <w:p w14:paraId="79A5545D" w14:textId="0963CE3E" w:rsidR="00DA5DA6" w:rsidRPr="00DA5DA6" w:rsidRDefault="00DA5DA6" w:rsidP="00DA5DA6">
            <w:pPr>
              <w:rPr>
                <w:rFonts w:cs="Arial"/>
              </w:rPr>
            </w:pPr>
            <w:r w:rsidRPr="00DA5DA6">
              <w:rPr>
                <w:szCs w:val="18"/>
              </w:rPr>
              <w:t>0,83 до 1,14</w:t>
            </w:r>
          </w:p>
        </w:tc>
      </w:tr>
      <w:tr w:rsidR="00DA5DA6" w14:paraId="6AB81A76" w14:textId="77777777" w:rsidTr="00DA5DA6">
        <w:tc>
          <w:tcPr>
            <w:tcW w:w="3192" w:type="dxa"/>
          </w:tcPr>
          <w:p w14:paraId="2E742340" w14:textId="54EBC47D" w:rsidR="00DA5DA6" w:rsidRPr="00DA5DA6" w:rsidRDefault="00DA5DA6" w:rsidP="00DA5DA6">
            <w:pPr>
              <w:rPr>
                <w:rFonts w:cs="Arial"/>
              </w:rPr>
            </w:pPr>
            <w:r w:rsidRPr="00DA5DA6">
              <w:rPr>
                <w:szCs w:val="18"/>
              </w:rPr>
              <w:t>р-стойност</w:t>
            </w:r>
          </w:p>
        </w:tc>
        <w:tc>
          <w:tcPr>
            <w:tcW w:w="3192" w:type="dxa"/>
            <w:gridSpan w:val="2"/>
          </w:tcPr>
          <w:p w14:paraId="38790AF1" w14:textId="73DDD071" w:rsidR="00DA5DA6" w:rsidRPr="00DA5DA6" w:rsidRDefault="00DA5DA6" w:rsidP="00DA5DA6">
            <w:pPr>
              <w:rPr>
                <w:rFonts w:cs="Arial"/>
              </w:rPr>
            </w:pPr>
            <w:r w:rsidRPr="00DA5DA6">
              <w:rPr>
                <w:szCs w:val="18"/>
              </w:rPr>
              <w:t>0,7142</w:t>
            </w:r>
          </w:p>
        </w:tc>
        <w:tc>
          <w:tcPr>
            <w:tcW w:w="3192" w:type="dxa"/>
            <w:gridSpan w:val="2"/>
          </w:tcPr>
          <w:p w14:paraId="16A59E57" w14:textId="1F926182" w:rsidR="00DA5DA6" w:rsidRPr="00DA5DA6" w:rsidRDefault="00DA5DA6" w:rsidP="00DA5DA6">
            <w:pPr>
              <w:rPr>
                <w:rFonts w:cs="Arial"/>
              </w:rPr>
            </w:pPr>
            <w:r w:rsidRPr="00DA5DA6">
              <w:rPr>
                <w:szCs w:val="18"/>
              </w:rPr>
              <w:t>0,7339</w:t>
            </w:r>
          </w:p>
        </w:tc>
      </w:tr>
    </w:tbl>
    <w:p w14:paraId="2C579AE6" w14:textId="3750CE07" w:rsidR="00DA5DA6" w:rsidRPr="00DA5DA6" w:rsidRDefault="00DA5DA6" w:rsidP="00DA5DA6">
      <w:pPr>
        <w:spacing w:line="240" w:lineRule="auto"/>
        <w:rPr>
          <w:rFonts w:eastAsia="Times New Roman" w:cs="Arial"/>
          <w:szCs w:val="20"/>
        </w:rPr>
      </w:pPr>
      <w:r w:rsidRPr="00DA5DA6">
        <w:rPr>
          <w:rFonts w:eastAsia="Times New Roman" w:cs="Arial"/>
          <w:color w:val="000000"/>
          <w:szCs w:val="20"/>
          <w:vertAlign w:val="superscript"/>
          <w:lang w:eastAsia="bg-BG"/>
        </w:rPr>
        <w:t>а</w:t>
      </w:r>
      <w:r w:rsidRPr="00DA5DA6">
        <w:rPr>
          <w:rFonts w:eastAsia="Times New Roman" w:cs="Arial"/>
          <w:color w:val="000000"/>
          <w:szCs w:val="20"/>
          <w:lang w:eastAsia="bg-BG"/>
        </w:rPr>
        <w:t xml:space="preserve">В свободната от заболяване преживяемост се </w:t>
      </w:r>
      <w:r w:rsidRPr="00DA5DA6">
        <w:rPr>
          <w:rFonts w:eastAsia="Times New Roman" w:cs="Arial"/>
          <w:i/>
          <w:iCs/>
          <w:color w:val="000000"/>
          <w:szCs w:val="20"/>
          <w:lang w:eastAsia="bg-BG"/>
        </w:rPr>
        <w:t>включват</w:t>
      </w:r>
      <w:r w:rsidRPr="00DA5DA6">
        <w:rPr>
          <w:rFonts w:eastAsia="Times New Roman" w:cs="Arial"/>
          <w:color w:val="000000"/>
          <w:szCs w:val="20"/>
          <w:lang w:eastAsia="bg-BG"/>
        </w:rPr>
        <w:t xml:space="preserve"> всички рецидиви и се дефинира като</w:t>
      </w:r>
    </w:p>
    <w:p w14:paraId="37DE2DE4" w14:textId="77777777" w:rsidR="00DA5DA6" w:rsidRPr="00DA5DA6" w:rsidRDefault="00DA5DA6" w:rsidP="00DA5DA6">
      <w:pPr>
        <w:spacing w:line="240" w:lineRule="auto"/>
        <w:rPr>
          <w:rFonts w:eastAsia="Times New Roman" w:cs="Arial"/>
          <w:szCs w:val="20"/>
        </w:rPr>
      </w:pPr>
      <w:r w:rsidRPr="00DA5DA6">
        <w:rPr>
          <w:rFonts w:eastAsia="Times New Roman" w:cs="Arial"/>
          <w:color w:val="000000"/>
          <w:szCs w:val="20"/>
          <w:lang w:eastAsia="bg-BG"/>
        </w:rPr>
        <w:t>времето до първи локо-регионален рецидив, нов рак на контралатералната гърда, далечен рецидив или смърт (по каквато и да е причина).</w:t>
      </w:r>
    </w:p>
    <w:p w14:paraId="6193507A" w14:textId="44197836" w:rsidR="00DA5DA6" w:rsidRPr="00DA5DA6" w:rsidRDefault="00DA5DA6" w:rsidP="00DA5DA6">
      <w:pPr>
        <w:spacing w:line="240" w:lineRule="auto"/>
        <w:rPr>
          <w:rFonts w:eastAsia="Times New Roman" w:cs="Arial"/>
          <w:szCs w:val="20"/>
        </w:rPr>
      </w:pPr>
      <w:proofErr w:type="gramStart"/>
      <w:r w:rsidRPr="00DA5DA6">
        <w:rPr>
          <w:rFonts w:eastAsia="Times New Roman" w:cs="Arial"/>
          <w:color w:val="000000"/>
          <w:szCs w:val="20"/>
          <w:vertAlign w:val="superscript"/>
          <w:lang w:val="en-US"/>
        </w:rPr>
        <w:t>b</w:t>
      </w:r>
      <w:r w:rsidRPr="00DA5DA6">
        <w:rPr>
          <w:rFonts w:eastAsia="Times New Roman" w:cs="Arial"/>
          <w:color w:val="000000"/>
          <w:szCs w:val="20"/>
          <w:lang w:eastAsia="bg-BG"/>
        </w:rPr>
        <w:t>Отдалечена</w:t>
      </w:r>
      <w:proofErr w:type="gramEnd"/>
      <w:r w:rsidRPr="00DA5DA6">
        <w:rPr>
          <w:rFonts w:eastAsia="Times New Roman" w:cs="Arial"/>
          <w:color w:val="000000"/>
          <w:szCs w:val="20"/>
          <w:lang w:eastAsia="bg-BG"/>
        </w:rPr>
        <w:t xml:space="preserve"> свободна от заболяване преживяемост се дефинира като времето до първи далечен</w:t>
      </w:r>
    </w:p>
    <w:p w14:paraId="6B83518D" w14:textId="77777777" w:rsidR="00DA5DA6" w:rsidRPr="00DA5DA6" w:rsidRDefault="00DA5DA6" w:rsidP="00DA5DA6">
      <w:pPr>
        <w:spacing w:line="240" w:lineRule="auto"/>
        <w:rPr>
          <w:rFonts w:eastAsia="Times New Roman" w:cs="Arial"/>
          <w:szCs w:val="20"/>
        </w:rPr>
      </w:pPr>
      <w:r w:rsidRPr="00DA5DA6">
        <w:rPr>
          <w:rFonts w:eastAsia="Times New Roman" w:cs="Arial"/>
          <w:color w:val="000000"/>
          <w:szCs w:val="20"/>
          <w:lang w:eastAsia="bg-BG"/>
        </w:rPr>
        <w:t>рецидив или смърт (по каквато и да е причина).</w:t>
      </w:r>
    </w:p>
    <w:p w14:paraId="27DC8A61" w14:textId="77777777" w:rsidR="00DA5DA6" w:rsidRPr="00DA5DA6" w:rsidRDefault="00DA5DA6" w:rsidP="00DA5DA6">
      <w:pPr>
        <w:spacing w:line="240" w:lineRule="auto"/>
        <w:rPr>
          <w:rFonts w:eastAsia="Times New Roman" w:cs="Arial"/>
          <w:szCs w:val="20"/>
        </w:rPr>
      </w:pPr>
      <w:proofErr w:type="gramStart"/>
      <w:r w:rsidRPr="00DA5DA6">
        <w:rPr>
          <w:rFonts w:eastAsia="Times New Roman" w:cs="Arial"/>
          <w:color w:val="000000"/>
          <w:szCs w:val="20"/>
          <w:vertAlign w:val="superscript"/>
          <w:lang w:val="en-US"/>
        </w:rPr>
        <w:t>c</w:t>
      </w:r>
      <w:proofErr w:type="gramEnd"/>
      <w:r w:rsidRPr="00DA5DA6">
        <w:rPr>
          <w:rFonts w:eastAsia="Times New Roman" w:cs="Arial"/>
          <w:color w:val="000000"/>
          <w:szCs w:val="20"/>
          <w:lang w:eastAsia="bg-BG"/>
        </w:rPr>
        <w:t xml:space="preserve"> Времето до настъпване на рецидив се дефинира като времето до първи случай на локо-регионален рецидив, нов рак на контралатералната гърда, далечен рецидив или смърт вследствие на рака на гърдата.</w:t>
      </w:r>
    </w:p>
    <w:p w14:paraId="52B58454" w14:textId="77777777" w:rsidR="00DA5DA6" w:rsidRPr="00DA5DA6" w:rsidRDefault="00DA5DA6" w:rsidP="00DA5DA6">
      <w:pPr>
        <w:spacing w:line="240" w:lineRule="auto"/>
        <w:rPr>
          <w:rFonts w:eastAsia="Times New Roman" w:cs="Arial"/>
          <w:szCs w:val="20"/>
        </w:rPr>
      </w:pPr>
      <w:proofErr w:type="gramStart"/>
      <w:r w:rsidRPr="00DA5DA6">
        <w:rPr>
          <w:rFonts w:eastAsia="Times New Roman" w:cs="Arial"/>
          <w:color w:val="000000"/>
          <w:szCs w:val="20"/>
          <w:vertAlign w:val="superscript"/>
          <w:lang w:val="en-US"/>
        </w:rPr>
        <w:t>d</w:t>
      </w:r>
      <w:proofErr w:type="gramEnd"/>
      <w:r w:rsidRPr="00DA5DA6">
        <w:rPr>
          <w:rFonts w:eastAsia="Times New Roman" w:cs="Arial"/>
          <w:color w:val="000000"/>
          <w:szCs w:val="20"/>
          <w:lang w:val="ru-RU"/>
        </w:rPr>
        <w:t xml:space="preserve"> </w:t>
      </w:r>
      <w:r w:rsidRPr="00DA5DA6">
        <w:rPr>
          <w:rFonts w:eastAsia="Times New Roman" w:cs="Arial"/>
          <w:color w:val="000000"/>
          <w:szCs w:val="20"/>
          <w:lang w:eastAsia="bg-BG"/>
        </w:rPr>
        <w:t>Времето до настъпване на далечен рецидив се дефинира като времето до настъпване на първи далечен рецидив или смърт вследствие на рак на гърдата.</w:t>
      </w:r>
    </w:p>
    <w:p w14:paraId="18A2633C" w14:textId="77777777" w:rsidR="00DA5DA6" w:rsidRPr="00DA5DA6" w:rsidRDefault="00DA5DA6" w:rsidP="00DA5DA6">
      <w:pPr>
        <w:spacing w:line="240" w:lineRule="auto"/>
        <w:rPr>
          <w:rFonts w:eastAsia="Times New Roman" w:cs="Arial"/>
          <w:szCs w:val="20"/>
        </w:rPr>
      </w:pPr>
      <w:proofErr w:type="gramStart"/>
      <w:r w:rsidRPr="00DA5DA6">
        <w:rPr>
          <w:rFonts w:eastAsia="Times New Roman" w:cs="Arial"/>
          <w:color w:val="000000"/>
          <w:szCs w:val="20"/>
          <w:vertAlign w:val="superscript"/>
          <w:lang w:val="en-US"/>
        </w:rPr>
        <w:t>e</w:t>
      </w:r>
      <w:proofErr w:type="gramEnd"/>
      <w:r w:rsidRPr="00DA5DA6">
        <w:rPr>
          <w:rFonts w:eastAsia="Times New Roman" w:cs="Arial"/>
          <w:color w:val="000000"/>
          <w:szCs w:val="20"/>
          <w:lang w:eastAsia="bg-BG"/>
        </w:rPr>
        <w:t xml:space="preserve"> Брой (%) починали пациенти.</w:t>
      </w:r>
    </w:p>
    <w:p w14:paraId="31EBF0AF" w14:textId="77777777" w:rsidR="00DA5DA6" w:rsidRPr="00DA5DA6" w:rsidRDefault="00DA5DA6" w:rsidP="00DA5DA6">
      <w:pPr>
        <w:spacing w:line="240" w:lineRule="auto"/>
        <w:rPr>
          <w:rFonts w:eastAsia="Times New Roman" w:cs="Arial"/>
          <w:color w:val="000000"/>
          <w:szCs w:val="20"/>
          <w:lang w:eastAsia="bg-BG"/>
        </w:rPr>
      </w:pPr>
    </w:p>
    <w:p w14:paraId="28C5AAAC" w14:textId="095235F0" w:rsidR="00DA5DA6" w:rsidRPr="00DA5DA6" w:rsidRDefault="00DA5DA6" w:rsidP="00DA5DA6">
      <w:pPr>
        <w:spacing w:line="240" w:lineRule="auto"/>
        <w:rPr>
          <w:rFonts w:eastAsia="Times New Roman" w:cs="Arial"/>
          <w:szCs w:val="20"/>
        </w:rPr>
      </w:pPr>
      <w:r w:rsidRPr="00DA5DA6">
        <w:rPr>
          <w:rFonts w:eastAsia="Times New Roman" w:cs="Arial"/>
          <w:color w:val="000000"/>
          <w:szCs w:val="20"/>
          <w:lang w:eastAsia="bg-BG"/>
        </w:rPr>
        <w:t>В сравнение с тамоксифен, комбинацията от Аримидекс и тамоксифен не показва предимство по отношение на ефикасността - както в общата група, така и в популацията положителни за хормонални рецептори пациентки. Този терапевтичен ръкав отпадна от проучването.</w:t>
      </w:r>
    </w:p>
    <w:p w14:paraId="4ECF7F44" w14:textId="77777777" w:rsidR="00DA5DA6" w:rsidRPr="00DA5DA6" w:rsidRDefault="00DA5DA6" w:rsidP="00DA5DA6">
      <w:pPr>
        <w:spacing w:line="240" w:lineRule="auto"/>
        <w:rPr>
          <w:rFonts w:eastAsia="Times New Roman" w:cs="Arial"/>
          <w:color w:val="000000"/>
          <w:szCs w:val="20"/>
          <w:lang w:eastAsia="bg-BG"/>
        </w:rPr>
      </w:pPr>
    </w:p>
    <w:p w14:paraId="423152F7" w14:textId="291968A0" w:rsidR="00DA5DA6" w:rsidRPr="00DA5DA6" w:rsidRDefault="00DA5DA6" w:rsidP="00DA5DA6">
      <w:pPr>
        <w:spacing w:line="240" w:lineRule="auto"/>
        <w:rPr>
          <w:rFonts w:eastAsia="Times New Roman" w:cs="Arial"/>
          <w:szCs w:val="20"/>
        </w:rPr>
      </w:pPr>
      <w:r w:rsidRPr="00DA5DA6">
        <w:rPr>
          <w:rFonts w:eastAsia="Times New Roman" w:cs="Arial"/>
          <w:color w:val="000000"/>
          <w:szCs w:val="20"/>
          <w:lang w:eastAsia="bg-BG"/>
        </w:rPr>
        <w:lastRenderedPageBreak/>
        <w:t>При удължаване на проследяването до средно 10 години се установява, че дългосрочното сравнение на терапевтичните ефекти на Аримидекс и тамоксифен е в съответствие с предшестващите анализи.</w:t>
      </w:r>
    </w:p>
    <w:p w14:paraId="500D4B95" w14:textId="77777777" w:rsidR="00DA5DA6" w:rsidRPr="00DA5DA6" w:rsidRDefault="00DA5DA6" w:rsidP="00DA5DA6">
      <w:pPr>
        <w:spacing w:line="240" w:lineRule="auto"/>
        <w:rPr>
          <w:rFonts w:eastAsia="Times New Roman" w:cs="Arial"/>
          <w:i/>
          <w:iCs/>
          <w:color w:val="000000"/>
          <w:szCs w:val="20"/>
          <w:u w:val="single"/>
          <w:lang w:eastAsia="bg-BG"/>
        </w:rPr>
      </w:pPr>
    </w:p>
    <w:p w14:paraId="79489655" w14:textId="2EF6E072" w:rsidR="00DA5DA6" w:rsidRPr="00DA5DA6" w:rsidRDefault="00DA5DA6" w:rsidP="00DA5DA6">
      <w:pPr>
        <w:spacing w:line="240" w:lineRule="auto"/>
        <w:rPr>
          <w:rFonts w:eastAsia="Times New Roman" w:cs="Arial"/>
          <w:szCs w:val="20"/>
        </w:rPr>
      </w:pPr>
      <w:r w:rsidRPr="00DA5DA6">
        <w:rPr>
          <w:rFonts w:eastAsia="Times New Roman" w:cs="Arial"/>
          <w:i/>
          <w:iCs/>
          <w:color w:val="000000"/>
          <w:szCs w:val="20"/>
          <w:u w:val="single"/>
          <w:lang w:eastAsia="bg-BG"/>
        </w:rPr>
        <w:t>Адювантно лечение на ранен инвазивен рак на гърдата, при пациентки, положителни за хормонални рецептори, на адювантно лечение с тамоксифен</w:t>
      </w:r>
    </w:p>
    <w:p w14:paraId="63BB9959" w14:textId="77777777" w:rsidR="00DA5DA6" w:rsidRPr="00DA5DA6" w:rsidRDefault="00DA5DA6" w:rsidP="00DA5DA6">
      <w:pPr>
        <w:spacing w:line="240" w:lineRule="auto"/>
        <w:rPr>
          <w:rFonts w:eastAsia="Times New Roman" w:cs="Arial"/>
          <w:color w:val="000000"/>
          <w:szCs w:val="20"/>
          <w:lang w:eastAsia="bg-BG"/>
        </w:rPr>
      </w:pPr>
    </w:p>
    <w:p w14:paraId="70BC3B74" w14:textId="5A50AAF7" w:rsidR="00DA5DA6" w:rsidRPr="00DA5DA6" w:rsidRDefault="00DA5DA6" w:rsidP="00DA5DA6">
      <w:pPr>
        <w:spacing w:line="240" w:lineRule="auto"/>
        <w:rPr>
          <w:rFonts w:eastAsia="Times New Roman" w:cs="Arial"/>
          <w:szCs w:val="20"/>
        </w:rPr>
      </w:pPr>
      <w:r w:rsidRPr="00DA5DA6">
        <w:rPr>
          <w:rFonts w:eastAsia="Times New Roman" w:cs="Arial"/>
          <w:color w:val="000000"/>
          <w:szCs w:val="20"/>
          <w:lang w:eastAsia="bg-BG"/>
        </w:rPr>
        <w:t xml:space="preserve">В проучване във фаза III (Проучване 8 на Австрийската група за изучаване на рака на гърдата и колоректалния карцином, </w:t>
      </w:r>
      <w:r w:rsidRPr="00DA5DA6">
        <w:rPr>
          <w:rFonts w:eastAsia="Times New Roman" w:cs="Arial"/>
          <w:color w:val="000000"/>
          <w:szCs w:val="20"/>
          <w:lang w:val="en-US"/>
        </w:rPr>
        <w:t>Austrian</w:t>
      </w:r>
      <w:r w:rsidRPr="00DA5DA6">
        <w:rPr>
          <w:rFonts w:eastAsia="Times New Roman" w:cs="Arial"/>
          <w:color w:val="000000"/>
          <w:szCs w:val="20"/>
          <w:lang w:val="ru-RU"/>
        </w:rPr>
        <w:t xml:space="preserve"> </w:t>
      </w:r>
      <w:r w:rsidRPr="00DA5DA6">
        <w:rPr>
          <w:rFonts w:eastAsia="Times New Roman" w:cs="Arial"/>
          <w:color w:val="000000"/>
          <w:szCs w:val="20"/>
          <w:lang w:val="en-US"/>
        </w:rPr>
        <w:t>Breast</w:t>
      </w:r>
      <w:r w:rsidRPr="00DA5DA6">
        <w:rPr>
          <w:rFonts w:eastAsia="Times New Roman" w:cs="Arial"/>
          <w:color w:val="000000"/>
          <w:szCs w:val="20"/>
          <w:lang w:val="ru-RU"/>
        </w:rPr>
        <w:t xml:space="preserve"> </w:t>
      </w:r>
      <w:r w:rsidRPr="00DA5DA6">
        <w:rPr>
          <w:rFonts w:eastAsia="Times New Roman" w:cs="Arial"/>
          <w:color w:val="000000"/>
          <w:szCs w:val="20"/>
          <w:lang w:val="en-US"/>
        </w:rPr>
        <w:t>and</w:t>
      </w:r>
      <w:r w:rsidRPr="00DA5DA6">
        <w:rPr>
          <w:rFonts w:eastAsia="Times New Roman" w:cs="Arial"/>
          <w:color w:val="000000"/>
          <w:szCs w:val="20"/>
          <w:lang w:val="ru-RU"/>
        </w:rPr>
        <w:t xml:space="preserve"> </w:t>
      </w:r>
      <w:r w:rsidRPr="00DA5DA6">
        <w:rPr>
          <w:rFonts w:eastAsia="Times New Roman" w:cs="Arial"/>
          <w:color w:val="000000"/>
          <w:szCs w:val="20"/>
          <w:lang w:val="en-US"/>
        </w:rPr>
        <w:t>Colorectal</w:t>
      </w:r>
      <w:r w:rsidRPr="00DA5DA6">
        <w:rPr>
          <w:rFonts w:eastAsia="Times New Roman" w:cs="Arial"/>
          <w:color w:val="000000"/>
          <w:szCs w:val="20"/>
          <w:lang w:val="ru-RU"/>
        </w:rPr>
        <w:t xml:space="preserve"> </w:t>
      </w:r>
      <w:r w:rsidRPr="00DA5DA6">
        <w:rPr>
          <w:rFonts w:eastAsia="Times New Roman" w:cs="Arial"/>
          <w:color w:val="000000"/>
          <w:szCs w:val="20"/>
          <w:lang w:val="en-US"/>
        </w:rPr>
        <w:t>Cancer</w:t>
      </w:r>
      <w:r w:rsidRPr="00DA5DA6">
        <w:rPr>
          <w:rFonts w:eastAsia="Times New Roman" w:cs="Arial"/>
          <w:color w:val="000000"/>
          <w:szCs w:val="20"/>
          <w:lang w:val="ru-RU"/>
        </w:rPr>
        <w:t xml:space="preserve"> </w:t>
      </w:r>
      <w:r w:rsidRPr="00DA5DA6">
        <w:rPr>
          <w:rFonts w:eastAsia="Times New Roman" w:cs="Arial"/>
          <w:color w:val="000000"/>
          <w:szCs w:val="20"/>
          <w:lang w:val="en-US"/>
        </w:rPr>
        <w:t>Study</w:t>
      </w:r>
      <w:r w:rsidRPr="00DA5DA6">
        <w:rPr>
          <w:rFonts w:eastAsia="Times New Roman" w:cs="Arial"/>
          <w:color w:val="000000"/>
          <w:szCs w:val="20"/>
          <w:lang w:val="ru-RU"/>
        </w:rPr>
        <w:t xml:space="preserve"> </w:t>
      </w:r>
      <w:r w:rsidRPr="00DA5DA6">
        <w:rPr>
          <w:rFonts w:eastAsia="Times New Roman" w:cs="Arial"/>
          <w:color w:val="000000"/>
          <w:szCs w:val="20"/>
          <w:lang w:val="en-US"/>
        </w:rPr>
        <w:t>Group</w:t>
      </w:r>
      <w:r w:rsidRPr="00DA5DA6">
        <w:rPr>
          <w:rFonts w:eastAsia="Times New Roman" w:cs="Arial"/>
          <w:color w:val="000000"/>
          <w:szCs w:val="20"/>
          <w:lang w:val="ru-RU"/>
        </w:rPr>
        <w:t xml:space="preserve"> [</w:t>
      </w:r>
      <w:r w:rsidRPr="00DA5DA6">
        <w:rPr>
          <w:rFonts w:eastAsia="Times New Roman" w:cs="Arial"/>
          <w:color w:val="000000"/>
          <w:szCs w:val="20"/>
          <w:lang w:val="en-US"/>
        </w:rPr>
        <w:t>ABCSG</w:t>
      </w:r>
      <w:r w:rsidRPr="00DA5DA6">
        <w:rPr>
          <w:rFonts w:eastAsia="Times New Roman" w:cs="Arial"/>
          <w:color w:val="000000"/>
          <w:szCs w:val="20"/>
          <w:lang w:val="ru-RU"/>
        </w:rPr>
        <w:t xml:space="preserve">] 8), </w:t>
      </w:r>
      <w:r w:rsidRPr="00DA5DA6">
        <w:rPr>
          <w:rFonts w:eastAsia="Times New Roman" w:cs="Arial"/>
          <w:color w:val="000000"/>
          <w:szCs w:val="20"/>
          <w:lang w:eastAsia="bg-BG"/>
        </w:rPr>
        <w:t xml:space="preserve">проведено при </w:t>
      </w:r>
      <w:r w:rsidRPr="00DA5DA6">
        <w:rPr>
          <w:rFonts w:eastAsia="Times New Roman" w:cs="Arial"/>
          <w:color w:val="000000"/>
          <w:szCs w:val="20"/>
          <w:lang w:val="ru-RU"/>
        </w:rPr>
        <w:t xml:space="preserve">2 579 </w:t>
      </w:r>
      <w:r w:rsidRPr="00DA5DA6">
        <w:rPr>
          <w:rFonts w:eastAsia="Times New Roman" w:cs="Arial"/>
          <w:color w:val="000000"/>
          <w:szCs w:val="20"/>
          <w:lang w:eastAsia="bg-BG"/>
        </w:rPr>
        <w:t>постменопаузални жени с положителен за хормонални рецептори ранен рак на гърдата, които са оперирани с или без провеждане на лъчелечение, и без провеждане на химиотерапия (вж. по-долу), при които след 2-годишно адювантно лечение с тамоксифен се преминава към лечение с Аримидекс, след средно 24-месечно проследяване анализът показва статистически значимо превъзходство по отношение свободната от заболяване преживяемост в сравнение с групата пациентки, останали на лечение с тамоксифен.</w:t>
      </w:r>
    </w:p>
    <w:p w14:paraId="56D23BE5" w14:textId="77777777" w:rsidR="00DA5DA6" w:rsidRPr="00DA5DA6" w:rsidRDefault="00DA5DA6" w:rsidP="00DA5DA6">
      <w:pPr>
        <w:rPr>
          <w:rFonts w:eastAsia="Times New Roman" w:cs="Arial"/>
          <w:b/>
          <w:bCs/>
          <w:color w:val="000000"/>
          <w:szCs w:val="20"/>
          <w:lang w:eastAsia="bg-BG"/>
        </w:rPr>
      </w:pPr>
    </w:p>
    <w:p w14:paraId="6D599D80" w14:textId="2870C75F" w:rsidR="00DA5DA6" w:rsidRDefault="00DA5DA6" w:rsidP="00DA5DA6">
      <w:pPr>
        <w:rPr>
          <w:rFonts w:eastAsia="Times New Roman" w:cs="Arial"/>
          <w:b/>
          <w:bCs/>
          <w:color w:val="000000"/>
          <w:szCs w:val="20"/>
          <w:lang w:eastAsia="bg-BG"/>
        </w:rPr>
      </w:pPr>
      <w:r w:rsidRPr="00DA5DA6">
        <w:rPr>
          <w:rFonts w:eastAsia="Times New Roman" w:cs="Arial"/>
          <w:b/>
          <w:bCs/>
          <w:color w:val="000000"/>
          <w:szCs w:val="20"/>
          <w:lang w:eastAsia="bg-BG"/>
        </w:rPr>
        <w:t xml:space="preserve">Таблица 4 Крайни точки и резюме на резултатите от проучването </w:t>
      </w:r>
      <w:r w:rsidRPr="00DA5DA6">
        <w:rPr>
          <w:rFonts w:eastAsia="Times New Roman" w:cs="Arial"/>
          <w:b/>
          <w:bCs/>
          <w:color w:val="000000"/>
          <w:szCs w:val="20"/>
          <w:lang w:val="en-US"/>
        </w:rPr>
        <w:t>ABCSG</w:t>
      </w:r>
      <w:r w:rsidRPr="00DA5DA6">
        <w:rPr>
          <w:rFonts w:eastAsia="Times New Roman" w:cs="Arial"/>
          <w:b/>
          <w:bCs/>
          <w:color w:val="000000"/>
          <w:szCs w:val="20"/>
          <w:lang w:val="ru-RU"/>
        </w:rPr>
        <w:t xml:space="preserve"> </w:t>
      </w:r>
      <w:r w:rsidRPr="00DA5DA6">
        <w:rPr>
          <w:rFonts w:eastAsia="Times New Roman" w:cs="Arial"/>
          <w:b/>
          <w:bCs/>
          <w:color w:val="000000"/>
          <w:szCs w:val="20"/>
          <w:lang w:eastAsia="bg-BG"/>
        </w:rPr>
        <w:t>8</w:t>
      </w:r>
    </w:p>
    <w:tbl>
      <w:tblPr>
        <w:tblStyle w:val="TableGrid"/>
        <w:tblW w:w="0" w:type="auto"/>
        <w:tblLook w:val="04A0" w:firstRow="1" w:lastRow="0" w:firstColumn="1" w:lastColumn="0" w:noHBand="0" w:noVBand="1"/>
      </w:tblPr>
      <w:tblGrid>
        <w:gridCol w:w="3116"/>
        <w:gridCol w:w="3117"/>
        <w:gridCol w:w="3117"/>
      </w:tblGrid>
      <w:tr w:rsidR="008E7E3C" w14:paraId="7105F156" w14:textId="77777777" w:rsidTr="00F71645">
        <w:tc>
          <w:tcPr>
            <w:tcW w:w="3116" w:type="dxa"/>
            <w:vMerge w:val="restart"/>
          </w:tcPr>
          <w:p w14:paraId="7623915E" w14:textId="40FAA33C" w:rsidR="008E7E3C" w:rsidRPr="008E7E3C" w:rsidRDefault="008E7E3C" w:rsidP="008E7E3C">
            <w:pPr>
              <w:spacing w:line="240" w:lineRule="auto"/>
              <w:jc w:val="center"/>
              <w:rPr>
                <w:rFonts w:eastAsia="Times New Roman" w:cs="Arial"/>
              </w:rPr>
            </w:pPr>
            <w:r w:rsidRPr="008E7E3C">
              <w:rPr>
                <w:rFonts w:eastAsia="Times New Roman" w:cs="Arial"/>
                <w:b/>
                <w:bCs/>
                <w:color w:val="000000"/>
                <w:lang w:eastAsia="bg-BG"/>
              </w:rPr>
              <w:t>Крайни точки за ефикасност</w:t>
            </w:r>
          </w:p>
        </w:tc>
        <w:tc>
          <w:tcPr>
            <w:tcW w:w="6234" w:type="dxa"/>
            <w:gridSpan w:val="2"/>
          </w:tcPr>
          <w:p w14:paraId="299FC2EE" w14:textId="1A20BDB0" w:rsidR="008E7E3C" w:rsidRPr="008E7E3C" w:rsidRDefault="008E7E3C" w:rsidP="008E7E3C">
            <w:pPr>
              <w:jc w:val="center"/>
              <w:rPr>
                <w:rFonts w:cs="Arial"/>
              </w:rPr>
            </w:pPr>
            <w:r w:rsidRPr="008E7E3C">
              <w:rPr>
                <w:rFonts w:eastAsia="Times New Roman" w:cs="Arial"/>
                <w:b/>
                <w:bCs/>
                <w:color w:val="000000"/>
                <w:lang w:eastAsia="bg-BG"/>
              </w:rPr>
              <w:t>Брой събития (честота)</w:t>
            </w:r>
          </w:p>
        </w:tc>
      </w:tr>
      <w:tr w:rsidR="008E7E3C" w14:paraId="6B3EC59D" w14:textId="77777777" w:rsidTr="008E7E3C">
        <w:tc>
          <w:tcPr>
            <w:tcW w:w="3116" w:type="dxa"/>
            <w:vMerge/>
          </w:tcPr>
          <w:p w14:paraId="0C085805" w14:textId="77777777" w:rsidR="008E7E3C" w:rsidRPr="008E7E3C" w:rsidRDefault="008E7E3C" w:rsidP="008E7E3C">
            <w:pPr>
              <w:jc w:val="center"/>
              <w:rPr>
                <w:rFonts w:cs="Arial"/>
              </w:rPr>
            </w:pPr>
          </w:p>
        </w:tc>
        <w:tc>
          <w:tcPr>
            <w:tcW w:w="3117" w:type="dxa"/>
          </w:tcPr>
          <w:p w14:paraId="37258152" w14:textId="5C692494" w:rsidR="008E7E3C" w:rsidRPr="008E7E3C" w:rsidRDefault="008E7E3C" w:rsidP="008E7E3C">
            <w:pPr>
              <w:jc w:val="center"/>
              <w:rPr>
                <w:rFonts w:cs="Arial"/>
              </w:rPr>
            </w:pPr>
            <w:r w:rsidRPr="008E7E3C">
              <w:rPr>
                <w:rFonts w:cs="Arial"/>
                <w:b/>
                <w:bCs/>
              </w:rPr>
              <w:t>Аримццекс (</w:t>
            </w:r>
            <w:r w:rsidRPr="008E7E3C">
              <w:rPr>
                <w:rFonts w:cs="Arial"/>
                <w:b/>
                <w:bCs/>
                <w:lang w:val="en-US"/>
              </w:rPr>
              <w:t>N</w:t>
            </w:r>
            <w:r w:rsidRPr="008E7E3C">
              <w:rPr>
                <w:rFonts w:cs="Arial"/>
                <w:b/>
                <w:bCs/>
              </w:rPr>
              <w:t>=1 297)</w:t>
            </w:r>
          </w:p>
        </w:tc>
        <w:tc>
          <w:tcPr>
            <w:tcW w:w="3117" w:type="dxa"/>
          </w:tcPr>
          <w:p w14:paraId="34DF07E6" w14:textId="0FCC3560" w:rsidR="008E7E3C" w:rsidRPr="008E7E3C" w:rsidRDefault="008E7E3C" w:rsidP="008E7E3C">
            <w:pPr>
              <w:jc w:val="center"/>
              <w:rPr>
                <w:rFonts w:cs="Arial"/>
              </w:rPr>
            </w:pPr>
            <w:r w:rsidRPr="008E7E3C">
              <w:rPr>
                <w:rFonts w:cs="Arial"/>
                <w:b/>
                <w:bCs/>
              </w:rPr>
              <w:t xml:space="preserve">Тамоксифен </w:t>
            </w:r>
            <w:r w:rsidRPr="008E7E3C">
              <w:rPr>
                <w:rFonts w:cs="Arial"/>
                <w:b/>
                <w:bCs/>
                <w:lang w:val="en-US"/>
              </w:rPr>
              <w:t xml:space="preserve">(N=1 </w:t>
            </w:r>
            <w:r w:rsidRPr="008E7E3C">
              <w:rPr>
                <w:rFonts w:cs="Arial"/>
                <w:b/>
                <w:bCs/>
              </w:rPr>
              <w:t>282)</w:t>
            </w:r>
          </w:p>
        </w:tc>
      </w:tr>
      <w:tr w:rsidR="008E7E3C" w14:paraId="2DFFF3C3" w14:textId="77777777" w:rsidTr="008E7E3C">
        <w:tc>
          <w:tcPr>
            <w:tcW w:w="3116" w:type="dxa"/>
          </w:tcPr>
          <w:p w14:paraId="623007AD" w14:textId="2A4F4BE7" w:rsidR="008E7E3C" w:rsidRPr="008E7E3C" w:rsidRDefault="008E7E3C" w:rsidP="008E7E3C">
            <w:pPr>
              <w:jc w:val="center"/>
              <w:rPr>
                <w:rFonts w:cs="Arial"/>
              </w:rPr>
            </w:pPr>
            <w:r w:rsidRPr="008E7E3C">
              <w:rPr>
                <w:rFonts w:cs="Arial"/>
                <w:b/>
                <w:bCs/>
              </w:rPr>
              <w:t>Свободна от заболяване преживяемост</w:t>
            </w:r>
          </w:p>
        </w:tc>
        <w:tc>
          <w:tcPr>
            <w:tcW w:w="3117" w:type="dxa"/>
          </w:tcPr>
          <w:p w14:paraId="67A36A90" w14:textId="3F1F963D" w:rsidR="008E7E3C" w:rsidRPr="008E7E3C" w:rsidRDefault="008E7E3C" w:rsidP="008E7E3C">
            <w:pPr>
              <w:jc w:val="center"/>
              <w:rPr>
                <w:rFonts w:cs="Arial"/>
              </w:rPr>
            </w:pPr>
            <w:r w:rsidRPr="008E7E3C">
              <w:rPr>
                <w:rFonts w:cs="Arial"/>
              </w:rPr>
              <w:t>65 (5,0)</w:t>
            </w:r>
          </w:p>
        </w:tc>
        <w:tc>
          <w:tcPr>
            <w:tcW w:w="3117" w:type="dxa"/>
          </w:tcPr>
          <w:p w14:paraId="033BF3AD" w14:textId="39D37A47" w:rsidR="008E7E3C" w:rsidRPr="008E7E3C" w:rsidRDefault="008E7E3C" w:rsidP="008E7E3C">
            <w:pPr>
              <w:jc w:val="center"/>
              <w:rPr>
                <w:rFonts w:cs="Arial"/>
              </w:rPr>
            </w:pPr>
            <w:r w:rsidRPr="008E7E3C">
              <w:rPr>
                <w:rFonts w:cs="Arial"/>
              </w:rPr>
              <w:t>93 (7,3)</w:t>
            </w:r>
          </w:p>
        </w:tc>
      </w:tr>
      <w:tr w:rsidR="008E7E3C" w14:paraId="0AEF3226" w14:textId="77777777" w:rsidTr="0053546C">
        <w:tc>
          <w:tcPr>
            <w:tcW w:w="3116" w:type="dxa"/>
          </w:tcPr>
          <w:p w14:paraId="4F37575C" w14:textId="41BA4E98" w:rsidR="008E7E3C" w:rsidRPr="008E7E3C" w:rsidRDefault="008E7E3C" w:rsidP="008E7E3C">
            <w:pPr>
              <w:jc w:val="center"/>
              <w:rPr>
                <w:rFonts w:cs="Arial"/>
              </w:rPr>
            </w:pPr>
            <w:r w:rsidRPr="008E7E3C">
              <w:rPr>
                <w:rFonts w:cs="Arial"/>
              </w:rPr>
              <w:t>Коефициент на риск</w:t>
            </w:r>
          </w:p>
        </w:tc>
        <w:tc>
          <w:tcPr>
            <w:tcW w:w="6234" w:type="dxa"/>
            <w:gridSpan w:val="2"/>
          </w:tcPr>
          <w:p w14:paraId="5D3D122D" w14:textId="2365EA5C" w:rsidR="008E7E3C" w:rsidRPr="008E7E3C" w:rsidRDefault="008E7E3C" w:rsidP="008E7E3C">
            <w:pPr>
              <w:jc w:val="center"/>
              <w:rPr>
                <w:rFonts w:cs="Arial"/>
              </w:rPr>
            </w:pPr>
            <w:r w:rsidRPr="008E7E3C">
              <w:rPr>
                <w:rFonts w:cs="Arial"/>
              </w:rPr>
              <w:t>0,67</w:t>
            </w:r>
          </w:p>
        </w:tc>
      </w:tr>
      <w:tr w:rsidR="008E7E3C" w14:paraId="2623B97C" w14:textId="77777777" w:rsidTr="00592BB8">
        <w:tc>
          <w:tcPr>
            <w:tcW w:w="3116" w:type="dxa"/>
          </w:tcPr>
          <w:p w14:paraId="1563A191" w14:textId="17DC9202" w:rsidR="008E7E3C" w:rsidRPr="008E7E3C" w:rsidRDefault="008E7E3C" w:rsidP="008E7E3C">
            <w:pPr>
              <w:jc w:val="center"/>
              <w:rPr>
                <w:rFonts w:cs="Arial"/>
              </w:rPr>
            </w:pPr>
            <w:r w:rsidRPr="008E7E3C">
              <w:rPr>
                <w:rFonts w:cs="Arial"/>
              </w:rPr>
              <w:t xml:space="preserve">Двустранен 95 % </w:t>
            </w:r>
            <w:r w:rsidRPr="008E7E3C">
              <w:rPr>
                <w:rFonts w:cs="Arial"/>
                <w:lang w:val="en-US"/>
              </w:rPr>
              <w:t>CI</w:t>
            </w:r>
          </w:p>
        </w:tc>
        <w:tc>
          <w:tcPr>
            <w:tcW w:w="6234" w:type="dxa"/>
            <w:gridSpan w:val="2"/>
          </w:tcPr>
          <w:p w14:paraId="0B9D21BB" w14:textId="03DA0E41" w:rsidR="008E7E3C" w:rsidRPr="008E7E3C" w:rsidRDefault="008E7E3C" w:rsidP="008E7E3C">
            <w:pPr>
              <w:jc w:val="center"/>
              <w:rPr>
                <w:rFonts w:cs="Arial"/>
              </w:rPr>
            </w:pPr>
            <w:r w:rsidRPr="008E7E3C">
              <w:rPr>
                <w:rFonts w:cs="Arial"/>
              </w:rPr>
              <w:t>0,49 до 0,92</w:t>
            </w:r>
          </w:p>
        </w:tc>
      </w:tr>
      <w:tr w:rsidR="008E7E3C" w14:paraId="0B42F7A1" w14:textId="77777777" w:rsidTr="00B52015">
        <w:tc>
          <w:tcPr>
            <w:tcW w:w="3116" w:type="dxa"/>
          </w:tcPr>
          <w:p w14:paraId="438F8684" w14:textId="5F617794" w:rsidR="008E7E3C" w:rsidRPr="008E7E3C" w:rsidRDefault="008E7E3C" w:rsidP="008E7E3C">
            <w:pPr>
              <w:jc w:val="center"/>
              <w:rPr>
                <w:rFonts w:cs="Arial"/>
              </w:rPr>
            </w:pPr>
            <w:r w:rsidRPr="008E7E3C">
              <w:rPr>
                <w:rFonts w:cs="Arial"/>
              </w:rPr>
              <w:t>р-стойност</w:t>
            </w:r>
          </w:p>
        </w:tc>
        <w:tc>
          <w:tcPr>
            <w:tcW w:w="6234" w:type="dxa"/>
            <w:gridSpan w:val="2"/>
          </w:tcPr>
          <w:p w14:paraId="4725ABF7" w14:textId="393549CC" w:rsidR="008E7E3C" w:rsidRPr="008E7E3C" w:rsidRDefault="008E7E3C" w:rsidP="008E7E3C">
            <w:pPr>
              <w:jc w:val="center"/>
              <w:rPr>
                <w:rFonts w:cs="Arial"/>
              </w:rPr>
            </w:pPr>
            <w:r w:rsidRPr="008E7E3C">
              <w:rPr>
                <w:rFonts w:cs="Arial"/>
              </w:rPr>
              <w:t>0,014</w:t>
            </w:r>
          </w:p>
        </w:tc>
      </w:tr>
      <w:tr w:rsidR="008E7E3C" w14:paraId="1B6BB9B1" w14:textId="77777777" w:rsidTr="008E7E3C">
        <w:tc>
          <w:tcPr>
            <w:tcW w:w="3116" w:type="dxa"/>
          </w:tcPr>
          <w:p w14:paraId="23228740" w14:textId="52F2DF45" w:rsidR="008E7E3C" w:rsidRPr="008E7E3C" w:rsidRDefault="008E7E3C" w:rsidP="008E7E3C">
            <w:pPr>
              <w:jc w:val="center"/>
              <w:rPr>
                <w:rFonts w:cs="Arial"/>
              </w:rPr>
            </w:pPr>
            <w:r w:rsidRPr="008E7E3C">
              <w:rPr>
                <w:rFonts w:cs="Arial"/>
                <w:b/>
                <w:bCs/>
              </w:rPr>
              <w:t>Време до настъпване на какъвто и  да е рецидив</w:t>
            </w:r>
          </w:p>
        </w:tc>
        <w:tc>
          <w:tcPr>
            <w:tcW w:w="3117" w:type="dxa"/>
          </w:tcPr>
          <w:p w14:paraId="7EAB58B8" w14:textId="4A6C406B" w:rsidR="008E7E3C" w:rsidRPr="008E7E3C" w:rsidRDefault="008E7E3C" w:rsidP="008E7E3C">
            <w:pPr>
              <w:jc w:val="center"/>
              <w:rPr>
                <w:rFonts w:cs="Arial"/>
              </w:rPr>
            </w:pPr>
            <w:r w:rsidRPr="008E7E3C">
              <w:rPr>
                <w:rFonts w:cs="Arial"/>
              </w:rPr>
              <w:t>36 (2,8)</w:t>
            </w:r>
          </w:p>
        </w:tc>
        <w:tc>
          <w:tcPr>
            <w:tcW w:w="3117" w:type="dxa"/>
          </w:tcPr>
          <w:p w14:paraId="0E778D13" w14:textId="35F0275B" w:rsidR="008E7E3C" w:rsidRPr="008E7E3C" w:rsidRDefault="008E7E3C" w:rsidP="008E7E3C">
            <w:pPr>
              <w:jc w:val="center"/>
              <w:rPr>
                <w:rFonts w:cs="Arial"/>
              </w:rPr>
            </w:pPr>
            <w:r w:rsidRPr="008E7E3C">
              <w:rPr>
                <w:rFonts w:cs="Arial"/>
              </w:rPr>
              <w:t>66 (5,1)</w:t>
            </w:r>
          </w:p>
        </w:tc>
      </w:tr>
      <w:tr w:rsidR="008E7E3C" w14:paraId="4A573C53" w14:textId="77777777" w:rsidTr="0078240B">
        <w:tc>
          <w:tcPr>
            <w:tcW w:w="3116" w:type="dxa"/>
          </w:tcPr>
          <w:p w14:paraId="0EBF8017" w14:textId="5E312D04" w:rsidR="008E7E3C" w:rsidRPr="008E7E3C" w:rsidRDefault="008E7E3C" w:rsidP="008E7E3C">
            <w:pPr>
              <w:jc w:val="center"/>
              <w:rPr>
                <w:rFonts w:cs="Arial"/>
              </w:rPr>
            </w:pPr>
            <w:r w:rsidRPr="008E7E3C">
              <w:rPr>
                <w:rFonts w:cs="Arial"/>
              </w:rPr>
              <w:t>Коефициент на риск</w:t>
            </w:r>
          </w:p>
        </w:tc>
        <w:tc>
          <w:tcPr>
            <w:tcW w:w="6234" w:type="dxa"/>
            <w:gridSpan w:val="2"/>
          </w:tcPr>
          <w:p w14:paraId="49EDFEDD" w14:textId="1F98DB21" w:rsidR="008E7E3C" w:rsidRPr="008E7E3C" w:rsidRDefault="008E7E3C" w:rsidP="008E7E3C">
            <w:pPr>
              <w:jc w:val="center"/>
              <w:rPr>
                <w:rFonts w:cs="Arial"/>
              </w:rPr>
            </w:pPr>
            <w:r w:rsidRPr="008E7E3C">
              <w:rPr>
                <w:rFonts w:cs="Arial"/>
                <w:b/>
                <w:bCs/>
              </w:rPr>
              <w:t>0,53</w:t>
            </w:r>
          </w:p>
        </w:tc>
      </w:tr>
      <w:tr w:rsidR="008E7E3C" w14:paraId="2078B5F8" w14:textId="77777777" w:rsidTr="006A7C6B">
        <w:tc>
          <w:tcPr>
            <w:tcW w:w="3116" w:type="dxa"/>
          </w:tcPr>
          <w:p w14:paraId="0FB22667" w14:textId="461B5150" w:rsidR="008E7E3C" w:rsidRPr="008E7E3C" w:rsidRDefault="008E7E3C" w:rsidP="008E7E3C">
            <w:pPr>
              <w:jc w:val="center"/>
              <w:rPr>
                <w:rFonts w:cs="Arial"/>
              </w:rPr>
            </w:pPr>
            <w:r w:rsidRPr="008E7E3C">
              <w:rPr>
                <w:rFonts w:cs="Arial"/>
              </w:rPr>
              <w:t xml:space="preserve">Двустранен 95 % </w:t>
            </w:r>
            <w:r w:rsidRPr="008E7E3C">
              <w:rPr>
                <w:rFonts w:cs="Arial"/>
                <w:lang w:val="en-US"/>
              </w:rPr>
              <w:t>CI</w:t>
            </w:r>
          </w:p>
        </w:tc>
        <w:tc>
          <w:tcPr>
            <w:tcW w:w="6234" w:type="dxa"/>
            <w:gridSpan w:val="2"/>
          </w:tcPr>
          <w:p w14:paraId="57A2ED5C" w14:textId="210B391D" w:rsidR="008E7E3C" w:rsidRPr="008E7E3C" w:rsidRDefault="008E7E3C" w:rsidP="008E7E3C">
            <w:pPr>
              <w:jc w:val="center"/>
              <w:rPr>
                <w:rFonts w:cs="Arial"/>
              </w:rPr>
            </w:pPr>
            <w:r w:rsidRPr="008E7E3C">
              <w:rPr>
                <w:rFonts w:cs="Arial"/>
              </w:rPr>
              <w:t>0,35 до 0,79</w:t>
            </w:r>
          </w:p>
        </w:tc>
      </w:tr>
      <w:tr w:rsidR="008E7E3C" w14:paraId="7BBE4B66" w14:textId="77777777" w:rsidTr="00770047">
        <w:tc>
          <w:tcPr>
            <w:tcW w:w="3116" w:type="dxa"/>
          </w:tcPr>
          <w:p w14:paraId="51E9B2E0" w14:textId="469AD936" w:rsidR="008E7E3C" w:rsidRPr="008E7E3C" w:rsidRDefault="008E7E3C" w:rsidP="008E7E3C">
            <w:pPr>
              <w:jc w:val="center"/>
              <w:rPr>
                <w:rFonts w:cs="Arial"/>
              </w:rPr>
            </w:pPr>
            <w:r w:rsidRPr="008E7E3C">
              <w:rPr>
                <w:rFonts w:cs="Arial"/>
                <w:b/>
                <w:bCs/>
              </w:rPr>
              <w:t>р-СТОЙНОСТ</w:t>
            </w:r>
          </w:p>
        </w:tc>
        <w:tc>
          <w:tcPr>
            <w:tcW w:w="6234" w:type="dxa"/>
            <w:gridSpan w:val="2"/>
          </w:tcPr>
          <w:p w14:paraId="05CBEFE1" w14:textId="3D8BD7FD" w:rsidR="008E7E3C" w:rsidRPr="008E7E3C" w:rsidRDefault="008E7E3C" w:rsidP="008E7E3C">
            <w:pPr>
              <w:jc w:val="center"/>
              <w:rPr>
                <w:rFonts w:cs="Arial"/>
              </w:rPr>
            </w:pPr>
            <w:r w:rsidRPr="008E7E3C">
              <w:rPr>
                <w:rFonts w:cs="Arial"/>
                <w:b/>
                <w:bCs/>
              </w:rPr>
              <w:t>0,002</w:t>
            </w:r>
          </w:p>
        </w:tc>
      </w:tr>
      <w:tr w:rsidR="008E7E3C" w14:paraId="272E1F54" w14:textId="77777777" w:rsidTr="008E7E3C">
        <w:tc>
          <w:tcPr>
            <w:tcW w:w="3116" w:type="dxa"/>
          </w:tcPr>
          <w:p w14:paraId="4E5F7EE4" w14:textId="6275E835" w:rsidR="008E7E3C" w:rsidRPr="008E7E3C" w:rsidRDefault="008E7E3C" w:rsidP="008E7E3C">
            <w:pPr>
              <w:jc w:val="center"/>
              <w:rPr>
                <w:rFonts w:cs="Arial"/>
              </w:rPr>
            </w:pPr>
            <w:r w:rsidRPr="008E7E3C">
              <w:rPr>
                <w:rFonts w:cs="Arial"/>
                <w:b/>
                <w:bCs/>
              </w:rPr>
              <w:t>Време до настъпване на далечен рецидив</w:t>
            </w:r>
          </w:p>
        </w:tc>
        <w:tc>
          <w:tcPr>
            <w:tcW w:w="3117" w:type="dxa"/>
          </w:tcPr>
          <w:p w14:paraId="4093CDF7" w14:textId="605A1677" w:rsidR="008E7E3C" w:rsidRPr="008E7E3C" w:rsidRDefault="008E7E3C" w:rsidP="008E7E3C">
            <w:pPr>
              <w:jc w:val="center"/>
              <w:rPr>
                <w:rFonts w:cs="Arial"/>
              </w:rPr>
            </w:pPr>
            <w:r w:rsidRPr="008E7E3C">
              <w:rPr>
                <w:rFonts w:cs="Arial"/>
              </w:rPr>
              <w:t>22 (1,7)</w:t>
            </w:r>
          </w:p>
        </w:tc>
        <w:tc>
          <w:tcPr>
            <w:tcW w:w="3117" w:type="dxa"/>
          </w:tcPr>
          <w:p w14:paraId="01514E1B" w14:textId="7B1CAB91" w:rsidR="008E7E3C" w:rsidRPr="008E7E3C" w:rsidRDefault="008E7E3C" w:rsidP="008E7E3C">
            <w:pPr>
              <w:jc w:val="center"/>
              <w:rPr>
                <w:rFonts w:cs="Arial"/>
              </w:rPr>
            </w:pPr>
            <w:r w:rsidRPr="008E7E3C">
              <w:rPr>
                <w:rFonts w:cs="Arial"/>
              </w:rPr>
              <w:t>41(3,2)</w:t>
            </w:r>
          </w:p>
        </w:tc>
      </w:tr>
      <w:tr w:rsidR="008E7E3C" w14:paraId="648D47F5" w14:textId="77777777" w:rsidTr="008E7E3C">
        <w:trPr>
          <w:trHeight w:val="130"/>
        </w:trPr>
        <w:tc>
          <w:tcPr>
            <w:tcW w:w="3116" w:type="dxa"/>
          </w:tcPr>
          <w:p w14:paraId="2F7491DD" w14:textId="3A102EDB" w:rsidR="008E7E3C" w:rsidRPr="008E7E3C" w:rsidRDefault="008E7E3C" w:rsidP="008E7E3C">
            <w:pPr>
              <w:jc w:val="center"/>
              <w:rPr>
                <w:rFonts w:cs="Arial"/>
              </w:rPr>
            </w:pPr>
            <w:r w:rsidRPr="008E7E3C">
              <w:rPr>
                <w:rFonts w:cs="Arial"/>
              </w:rPr>
              <w:t>Коефициент на риск</w:t>
            </w:r>
          </w:p>
        </w:tc>
        <w:tc>
          <w:tcPr>
            <w:tcW w:w="6234" w:type="dxa"/>
            <w:gridSpan w:val="2"/>
          </w:tcPr>
          <w:p w14:paraId="4D8AE558" w14:textId="19E25ACE" w:rsidR="008E7E3C" w:rsidRPr="008E7E3C" w:rsidRDefault="008E7E3C" w:rsidP="008E7E3C">
            <w:pPr>
              <w:jc w:val="center"/>
              <w:rPr>
                <w:rFonts w:cs="Arial"/>
              </w:rPr>
            </w:pPr>
            <w:r w:rsidRPr="008E7E3C">
              <w:rPr>
                <w:rFonts w:cs="Arial"/>
              </w:rPr>
              <w:t>0,52</w:t>
            </w:r>
          </w:p>
        </w:tc>
      </w:tr>
      <w:tr w:rsidR="008E7E3C" w14:paraId="0094680F" w14:textId="77777777" w:rsidTr="0095683C">
        <w:tc>
          <w:tcPr>
            <w:tcW w:w="3116" w:type="dxa"/>
          </w:tcPr>
          <w:p w14:paraId="1B0E6237" w14:textId="1BC2631C" w:rsidR="008E7E3C" w:rsidRPr="008E7E3C" w:rsidRDefault="008E7E3C" w:rsidP="008E7E3C">
            <w:pPr>
              <w:jc w:val="center"/>
              <w:rPr>
                <w:rFonts w:cs="Arial"/>
              </w:rPr>
            </w:pPr>
            <w:r w:rsidRPr="008E7E3C">
              <w:rPr>
                <w:rFonts w:cs="Arial"/>
              </w:rPr>
              <w:t xml:space="preserve">Двустранен 95 % </w:t>
            </w:r>
            <w:r w:rsidRPr="008E7E3C">
              <w:rPr>
                <w:rFonts w:cs="Arial"/>
                <w:lang w:val="en-US"/>
              </w:rPr>
              <w:t>CI</w:t>
            </w:r>
          </w:p>
        </w:tc>
        <w:tc>
          <w:tcPr>
            <w:tcW w:w="6234" w:type="dxa"/>
            <w:gridSpan w:val="2"/>
          </w:tcPr>
          <w:p w14:paraId="09724A2D" w14:textId="0B60ED96" w:rsidR="008E7E3C" w:rsidRPr="008E7E3C" w:rsidRDefault="008E7E3C" w:rsidP="008E7E3C">
            <w:pPr>
              <w:jc w:val="center"/>
              <w:rPr>
                <w:rFonts w:cs="Arial"/>
              </w:rPr>
            </w:pPr>
            <w:r w:rsidRPr="008E7E3C">
              <w:rPr>
                <w:rFonts w:cs="Arial"/>
              </w:rPr>
              <w:t>0,31 до 0,88</w:t>
            </w:r>
          </w:p>
        </w:tc>
      </w:tr>
      <w:tr w:rsidR="008E7E3C" w14:paraId="726194CC" w14:textId="77777777" w:rsidTr="002C7B86">
        <w:tc>
          <w:tcPr>
            <w:tcW w:w="3116" w:type="dxa"/>
          </w:tcPr>
          <w:p w14:paraId="5868B468" w14:textId="208740C0" w:rsidR="008E7E3C" w:rsidRPr="008E7E3C" w:rsidRDefault="008E7E3C" w:rsidP="008E7E3C">
            <w:pPr>
              <w:jc w:val="center"/>
              <w:rPr>
                <w:rFonts w:cs="Arial"/>
              </w:rPr>
            </w:pPr>
            <w:r w:rsidRPr="008E7E3C">
              <w:rPr>
                <w:rFonts w:cs="Arial"/>
              </w:rPr>
              <w:t>р-стойност</w:t>
            </w:r>
          </w:p>
        </w:tc>
        <w:tc>
          <w:tcPr>
            <w:tcW w:w="6234" w:type="dxa"/>
            <w:gridSpan w:val="2"/>
          </w:tcPr>
          <w:p w14:paraId="2FF558EF" w14:textId="7FCBD47F" w:rsidR="008E7E3C" w:rsidRPr="008E7E3C" w:rsidRDefault="008E7E3C" w:rsidP="008E7E3C">
            <w:pPr>
              <w:jc w:val="center"/>
              <w:rPr>
                <w:rFonts w:cs="Arial"/>
              </w:rPr>
            </w:pPr>
            <w:r w:rsidRPr="008E7E3C">
              <w:rPr>
                <w:rFonts w:cs="Arial"/>
              </w:rPr>
              <w:t>0,015</w:t>
            </w:r>
          </w:p>
        </w:tc>
      </w:tr>
      <w:tr w:rsidR="008E7E3C" w14:paraId="08C7481E" w14:textId="77777777" w:rsidTr="008E7E3C">
        <w:tc>
          <w:tcPr>
            <w:tcW w:w="3116" w:type="dxa"/>
          </w:tcPr>
          <w:p w14:paraId="24965D5B" w14:textId="3EE4D394" w:rsidR="008E7E3C" w:rsidRPr="008E7E3C" w:rsidRDefault="008E7E3C" w:rsidP="008E7E3C">
            <w:pPr>
              <w:jc w:val="center"/>
              <w:rPr>
                <w:rFonts w:cs="Arial"/>
              </w:rPr>
            </w:pPr>
            <w:r w:rsidRPr="008E7E3C">
              <w:rPr>
                <w:rFonts w:cs="Arial"/>
                <w:b/>
                <w:bCs/>
              </w:rPr>
              <w:t>Нов рак на гърдата в контралатералната гърда</w:t>
            </w:r>
          </w:p>
        </w:tc>
        <w:tc>
          <w:tcPr>
            <w:tcW w:w="3117" w:type="dxa"/>
          </w:tcPr>
          <w:p w14:paraId="378840A7" w14:textId="6B959C3F" w:rsidR="008E7E3C" w:rsidRPr="008E7E3C" w:rsidRDefault="008E7E3C" w:rsidP="008E7E3C">
            <w:pPr>
              <w:jc w:val="center"/>
              <w:rPr>
                <w:rFonts w:cs="Arial"/>
              </w:rPr>
            </w:pPr>
            <w:r w:rsidRPr="008E7E3C">
              <w:rPr>
                <w:rFonts w:cs="Arial"/>
              </w:rPr>
              <w:t>7(0,5)</w:t>
            </w:r>
          </w:p>
        </w:tc>
        <w:tc>
          <w:tcPr>
            <w:tcW w:w="3117" w:type="dxa"/>
          </w:tcPr>
          <w:p w14:paraId="01252349" w14:textId="659801AA" w:rsidR="008E7E3C" w:rsidRPr="008E7E3C" w:rsidRDefault="008E7E3C" w:rsidP="008E7E3C">
            <w:pPr>
              <w:jc w:val="center"/>
              <w:rPr>
                <w:rFonts w:cs="Arial"/>
              </w:rPr>
            </w:pPr>
            <w:r w:rsidRPr="008E7E3C">
              <w:rPr>
                <w:rFonts w:cs="Arial"/>
              </w:rPr>
              <w:t>15 (1,2)</w:t>
            </w:r>
          </w:p>
        </w:tc>
      </w:tr>
      <w:tr w:rsidR="008E7E3C" w14:paraId="60F81F0C" w14:textId="77777777" w:rsidTr="00FF24F0">
        <w:tc>
          <w:tcPr>
            <w:tcW w:w="3116" w:type="dxa"/>
          </w:tcPr>
          <w:p w14:paraId="60265AE6" w14:textId="7BAD6002" w:rsidR="008E7E3C" w:rsidRPr="008E7E3C" w:rsidRDefault="008E7E3C" w:rsidP="008E7E3C">
            <w:pPr>
              <w:jc w:val="center"/>
              <w:rPr>
                <w:rFonts w:cs="Arial"/>
              </w:rPr>
            </w:pPr>
            <w:r w:rsidRPr="008E7E3C">
              <w:rPr>
                <w:rFonts w:cs="Arial"/>
              </w:rPr>
              <w:t>Съотношение на шансовете</w:t>
            </w:r>
          </w:p>
        </w:tc>
        <w:tc>
          <w:tcPr>
            <w:tcW w:w="6234" w:type="dxa"/>
            <w:gridSpan w:val="2"/>
          </w:tcPr>
          <w:p w14:paraId="77F083AB" w14:textId="45492702" w:rsidR="008E7E3C" w:rsidRPr="008E7E3C" w:rsidRDefault="008E7E3C" w:rsidP="008E7E3C">
            <w:pPr>
              <w:jc w:val="center"/>
              <w:rPr>
                <w:rFonts w:cs="Arial"/>
              </w:rPr>
            </w:pPr>
            <w:r w:rsidRPr="008E7E3C">
              <w:rPr>
                <w:rFonts w:cs="Arial"/>
                <w:b/>
                <w:bCs/>
              </w:rPr>
              <w:t>0,46</w:t>
            </w:r>
          </w:p>
        </w:tc>
      </w:tr>
      <w:tr w:rsidR="008E7E3C" w14:paraId="24D79B1C" w14:textId="77777777" w:rsidTr="001C0E17">
        <w:tc>
          <w:tcPr>
            <w:tcW w:w="3116" w:type="dxa"/>
          </w:tcPr>
          <w:p w14:paraId="29CBE6CD" w14:textId="226A625A" w:rsidR="008E7E3C" w:rsidRPr="008E7E3C" w:rsidRDefault="008E7E3C" w:rsidP="008E7E3C">
            <w:pPr>
              <w:jc w:val="center"/>
              <w:rPr>
                <w:rFonts w:cs="Arial"/>
              </w:rPr>
            </w:pPr>
            <w:r w:rsidRPr="008E7E3C">
              <w:rPr>
                <w:rFonts w:cs="Arial"/>
              </w:rPr>
              <w:t xml:space="preserve">Двустранен 95 % </w:t>
            </w:r>
            <w:r w:rsidRPr="008E7E3C">
              <w:rPr>
                <w:rFonts w:cs="Arial"/>
                <w:lang w:val="en-US"/>
              </w:rPr>
              <w:t>CI</w:t>
            </w:r>
          </w:p>
        </w:tc>
        <w:tc>
          <w:tcPr>
            <w:tcW w:w="6234" w:type="dxa"/>
            <w:gridSpan w:val="2"/>
          </w:tcPr>
          <w:p w14:paraId="6559106A" w14:textId="664BDC60" w:rsidR="008E7E3C" w:rsidRPr="008E7E3C" w:rsidRDefault="008E7E3C" w:rsidP="008E7E3C">
            <w:pPr>
              <w:jc w:val="center"/>
              <w:rPr>
                <w:rFonts w:cs="Arial"/>
              </w:rPr>
            </w:pPr>
            <w:r w:rsidRPr="008E7E3C">
              <w:rPr>
                <w:rFonts w:cs="Arial"/>
              </w:rPr>
              <w:t>0,19 до 1,13</w:t>
            </w:r>
          </w:p>
        </w:tc>
      </w:tr>
      <w:tr w:rsidR="008E7E3C" w14:paraId="17312DCB" w14:textId="77777777" w:rsidTr="00AF0D9B">
        <w:tc>
          <w:tcPr>
            <w:tcW w:w="3116" w:type="dxa"/>
          </w:tcPr>
          <w:p w14:paraId="7E664A86" w14:textId="07524C3C" w:rsidR="008E7E3C" w:rsidRPr="008E7E3C" w:rsidRDefault="008E7E3C" w:rsidP="008E7E3C">
            <w:pPr>
              <w:jc w:val="center"/>
              <w:rPr>
                <w:rFonts w:cs="Arial"/>
              </w:rPr>
            </w:pPr>
            <w:r w:rsidRPr="008E7E3C">
              <w:rPr>
                <w:rFonts w:cs="Arial"/>
              </w:rPr>
              <w:t>р-стойност</w:t>
            </w:r>
          </w:p>
        </w:tc>
        <w:tc>
          <w:tcPr>
            <w:tcW w:w="6234" w:type="dxa"/>
            <w:gridSpan w:val="2"/>
          </w:tcPr>
          <w:p w14:paraId="571D396F" w14:textId="7B4348D9" w:rsidR="008E7E3C" w:rsidRPr="008E7E3C" w:rsidRDefault="008E7E3C" w:rsidP="008E7E3C">
            <w:pPr>
              <w:jc w:val="center"/>
              <w:rPr>
                <w:rFonts w:cs="Arial"/>
              </w:rPr>
            </w:pPr>
            <w:r w:rsidRPr="008E7E3C">
              <w:rPr>
                <w:rFonts w:cs="Arial"/>
              </w:rPr>
              <w:t>0,090</w:t>
            </w:r>
          </w:p>
        </w:tc>
      </w:tr>
      <w:tr w:rsidR="008E7E3C" w14:paraId="5A3F7C75" w14:textId="77777777" w:rsidTr="008E7E3C">
        <w:tc>
          <w:tcPr>
            <w:tcW w:w="3116" w:type="dxa"/>
          </w:tcPr>
          <w:p w14:paraId="54B68FC0" w14:textId="5F2138E6" w:rsidR="008E7E3C" w:rsidRPr="008E7E3C" w:rsidRDefault="008E7E3C" w:rsidP="008E7E3C">
            <w:pPr>
              <w:jc w:val="center"/>
              <w:rPr>
                <w:rFonts w:cs="Arial"/>
              </w:rPr>
            </w:pPr>
            <w:r w:rsidRPr="008E7E3C">
              <w:rPr>
                <w:rFonts w:cs="Arial"/>
                <w:b/>
                <w:bCs/>
              </w:rPr>
              <w:t>Обща преживяемост</w:t>
            </w:r>
          </w:p>
        </w:tc>
        <w:tc>
          <w:tcPr>
            <w:tcW w:w="3117" w:type="dxa"/>
          </w:tcPr>
          <w:p w14:paraId="7AB58BC4" w14:textId="1890A8B9" w:rsidR="008E7E3C" w:rsidRPr="008E7E3C" w:rsidRDefault="008E7E3C" w:rsidP="008E7E3C">
            <w:pPr>
              <w:jc w:val="center"/>
              <w:rPr>
                <w:rFonts w:cs="Arial"/>
              </w:rPr>
            </w:pPr>
            <w:r w:rsidRPr="008E7E3C">
              <w:rPr>
                <w:rFonts w:cs="Arial"/>
              </w:rPr>
              <w:t>43(3,3)</w:t>
            </w:r>
          </w:p>
        </w:tc>
        <w:tc>
          <w:tcPr>
            <w:tcW w:w="3117" w:type="dxa"/>
          </w:tcPr>
          <w:p w14:paraId="21BFE84C" w14:textId="00A57A88" w:rsidR="008E7E3C" w:rsidRPr="008E7E3C" w:rsidRDefault="008E7E3C" w:rsidP="008E7E3C">
            <w:pPr>
              <w:jc w:val="center"/>
              <w:rPr>
                <w:rFonts w:cs="Arial"/>
              </w:rPr>
            </w:pPr>
            <w:r w:rsidRPr="008E7E3C">
              <w:rPr>
                <w:rFonts w:cs="Arial"/>
              </w:rPr>
              <w:t>45 (3,5)</w:t>
            </w:r>
          </w:p>
        </w:tc>
      </w:tr>
      <w:tr w:rsidR="008E7E3C" w14:paraId="715C924D" w14:textId="77777777" w:rsidTr="000D1574">
        <w:tc>
          <w:tcPr>
            <w:tcW w:w="3116" w:type="dxa"/>
          </w:tcPr>
          <w:p w14:paraId="50966DF8" w14:textId="4238E9C1" w:rsidR="008E7E3C" w:rsidRPr="008E7E3C" w:rsidRDefault="008E7E3C" w:rsidP="008E7E3C">
            <w:pPr>
              <w:jc w:val="center"/>
              <w:rPr>
                <w:rFonts w:cs="Arial"/>
              </w:rPr>
            </w:pPr>
            <w:r w:rsidRPr="008E7E3C">
              <w:rPr>
                <w:rFonts w:cs="Arial"/>
              </w:rPr>
              <w:t>Коефициент на риск</w:t>
            </w:r>
          </w:p>
        </w:tc>
        <w:tc>
          <w:tcPr>
            <w:tcW w:w="6234" w:type="dxa"/>
            <w:gridSpan w:val="2"/>
          </w:tcPr>
          <w:p w14:paraId="0FB01684" w14:textId="1C6C79A4" w:rsidR="008E7E3C" w:rsidRPr="008E7E3C" w:rsidRDefault="008E7E3C" w:rsidP="008E7E3C">
            <w:pPr>
              <w:jc w:val="center"/>
              <w:rPr>
                <w:rFonts w:cs="Arial"/>
              </w:rPr>
            </w:pPr>
            <w:r w:rsidRPr="008E7E3C">
              <w:rPr>
                <w:rFonts w:cs="Arial"/>
              </w:rPr>
              <w:t>0,96</w:t>
            </w:r>
          </w:p>
        </w:tc>
      </w:tr>
      <w:tr w:rsidR="008E7E3C" w14:paraId="0B92D5CB" w14:textId="77777777" w:rsidTr="00786A67">
        <w:tc>
          <w:tcPr>
            <w:tcW w:w="3116" w:type="dxa"/>
          </w:tcPr>
          <w:p w14:paraId="076597B3" w14:textId="08834AF8" w:rsidR="008E7E3C" w:rsidRPr="008E7E3C" w:rsidRDefault="008E7E3C" w:rsidP="008E7E3C">
            <w:pPr>
              <w:jc w:val="center"/>
              <w:rPr>
                <w:rFonts w:cs="Arial"/>
              </w:rPr>
            </w:pPr>
            <w:r w:rsidRPr="008E7E3C">
              <w:rPr>
                <w:rFonts w:cs="Arial"/>
              </w:rPr>
              <w:t xml:space="preserve">Двустранен 95 % </w:t>
            </w:r>
            <w:r w:rsidRPr="008E7E3C">
              <w:rPr>
                <w:rFonts w:cs="Arial"/>
                <w:lang w:val="en-US"/>
              </w:rPr>
              <w:t>CI</w:t>
            </w:r>
          </w:p>
        </w:tc>
        <w:tc>
          <w:tcPr>
            <w:tcW w:w="6234" w:type="dxa"/>
            <w:gridSpan w:val="2"/>
          </w:tcPr>
          <w:p w14:paraId="50814DCF" w14:textId="2FDFBD06" w:rsidR="008E7E3C" w:rsidRPr="008E7E3C" w:rsidRDefault="008E7E3C" w:rsidP="008E7E3C">
            <w:pPr>
              <w:jc w:val="center"/>
              <w:rPr>
                <w:rFonts w:cs="Arial"/>
              </w:rPr>
            </w:pPr>
            <w:r w:rsidRPr="008E7E3C">
              <w:rPr>
                <w:rFonts w:cs="Arial"/>
              </w:rPr>
              <w:t>0,63 до 1,46</w:t>
            </w:r>
          </w:p>
        </w:tc>
      </w:tr>
      <w:tr w:rsidR="008E7E3C" w14:paraId="578977CA" w14:textId="77777777" w:rsidTr="00A14078">
        <w:tc>
          <w:tcPr>
            <w:tcW w:w="3116" w:type="dxa"/>
          </w:tcPr>
          <w:p w14:paraId="1B208D30" w14:textId="35635A1C" w:rsidR="008E7E3C" w:rsidRPr="008E7E3C" w:rsidRDefault="008E7E3C" w:rsidP="008E7E3C">
            <w:pPr>
              <w:jc w:val="center"/>
              <w:rPr>
                <w:rFonts w:cs="Arial"/>
              </w:rPr>
            </w:pPr>
            <w:r w:rsidRPr="008E7E3C">
              <w:rPr>
                <w:rFonts w:cs="Arial"/>
              </w:rPr>
              <w:t>р-стойност</w:t>
            </w:r>
          </w:p>
        </w:tc>
        <w:tc>
          <w:tcPr>
            <w:tcW w:w="6234" w:type="dxa"/>
            <w:gridSpan w:val="2"/>
          </w:tcPr>
          <w:p w14:paraId="6E1FDDB6" w14:textId="3F84B039" w:rsidR="008E7E3C" w:rsidRPr="008E7E3C" w:rsidRDefault="008E7E3C" w:rsidP="008E7E3C">
            <w:pPr>
              <w:jc w:val="center"/>
              <w:rPr>
                <w:rFonts w:cs="Arial"/>
              </w:rPr>
            </w:pPr>
            <w:r w:rsidRPr="008E7E3C">
              <w:rPr>
                <w:rFonts w:cs="Arial"/>
              </w:rPr>
              <w:t>0,840</w:t>
            </w:r>
          </w:p>
        </w:tc>
      </w:tr>
    </w:tbl>
    <w:p w14:paraId="099D3E4A" w14:textId="29D6A45A" w:rsidR="008E7E3C" w:rsidRDefault="008E7E3C" w:rsidP="00DA5DA6">
      <w:pPr>
        <w:rPr>
          <w:rFonts w:cs="Arial"/>
          <w:szCs w:val="20"/>
        </w:rPr>
      </w:pPr>
    </w:p>
    <w:p w14:paraId="139A371B"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lastRenderedPageBreak/>
        <w:t xml:space="preserve">Тези резултати се подкрепят и от данните от две други сходни проучвания </w:t>
      </w:r>
      <w:r w:rsidRPr="008E7E3C">
        <w:rPr>
          <w:rFonts w:eastAsia="Times New Roman" w:cs="Arial"/>
          <w:color w:val="000000"/>
          <w:szCs w:val="20"/>
          <w:lang w:val="ru-RU"/>
        </w:rPr>
        <w:t>(</w:t>
      </w:r>
      <w:r w:rsidRPr="008E7E3C">
        <w:rPr>
          <w:rFonts w:eastAsia="Times New Roman" w:cs="Arial"/>
          <w:color w:val="000000"/>
          <w:szCs w:val="20"/>
          <w:lang w:val="en-US"/>
        </w:rPr>
        <w:t>GABG</w:t>
      </w:r>
      <w:r w:rsidRPr="008E7E3C">
        <w:rPr>
          <w:rFonts w:eastAsia="Times New Roman" w:cs="Arial"/>
          <w:color w:val="000000"/>
          <w:szCs w:val="20"/>
          <w:lang w:val="ru-RU"/>
        </w:rPr>
        <w:t>/</w:t>
      </w:r>
      <w:r w:rsidRPr="008E7E3C">
        <w:rPr>
          <w:rFonts w:eastAsia="Times New Roman" w:cs="Arial"/>
          <w:color w:val="000000"/>
          <w:szCs w:val="20"/>
          <w:lang w:val="en-US"/>
        </w:rPr>
        <w:t>ARNO</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95 и </w:t>
      </w:r>
      <w:r w:rsidRPr="008E7E3C">
        <w:rPr>
          <w:rFonts w:eastAsia="Times New Roman" w:cs="Arial"/>
          <w:color w:val="000000"/>
          <w:szCs w:val="20"/>
          <w:lang w:val="en-US"/>
        </w:rPr>
        <w:t>IT</w:t>
      </w:r>
      <w:r w:rsidRPr="008E7E3C">
        <w:rPr>
          <w:rFonts w:eastAsia="Times New Roman" w:cs="Arial"/>
          <w:color w:val="000000"/>
          <w:szCs w:val="20"/>
          <w:lang w:eastAsia="bg-BG"/>
        </w:rPr>
        <w:t xml:space="preserve">А), в едното от които пациентките са оперирани и преминали курс химиотерапия, както и комбинираният анализ на </w:t>
      </w:r>
      <w:r w:rsidRPr="008E7E3C">
        <w:rPr>
          <w:rFonts w:eastAsia="Times New Roman" w:cs="Arial"/>
          <w:color w:val="000000"/>
          <w:szCs w:val="20"/>
          <w:lang w:val="en-US"/>
        </w:rPr>
        <w:t>ABCSG</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8 и </w:t>
      </w:r>
      <w:r w:rsidRPr="008E7E3C">
        <w:rPr>
          <w:rFonts w:eastAsia="Times New Roman" w:cs="Arial"/>
          <w:color w:val="000000"/>
          <w:szCs w:val="20"/>
          <w:lang w:val="en-US"/>
        </w:rPr>
        <w:t>GABG</w:t>
      </w:r>
      <w:r w:rsidRPr="008E7E3C">
        <w:rPr>
          <w:rFonts w:eastAsia="Times New Roman" w:cs="Arial"/>
          <w:color w:val="000000"/>
          <w:szCs w:val="20"/>
          <w:lang w:val="ru-RU"/>
        </w:rPr>
        <w:t>/</w:t>
      </w:r>
      <w:r w:rsidRPr="008E7E3C">
        <w:rPr>
          <w:rFonts w:eastAsia="Times New Roman" w:cs="Arial"/>
          <w:color w:val="000000"/>
          <w:szCs w:val="20"/>
          <w:lang w:val="en-US"/>
        </w:rPr>
        <w:t>ARNO</w:t>
      </w:r>
      <w:r w:rsidRPr="008E7E3C">
        <w:rPr>
          <w:rFonts w:eastAsia="Times New Roman" w:cs="Arial"/>
          <w:color w:val="000000"/>
          <w:szCs w:val="20"/>
          <w:lang w:val="ru-RU"/>
        </w:rPr>
        <w:t xml:space="preserve"> </w:t>
      </w:r>
      <w:r w:rsidRPr="008E7E3C">
        <w:rPr>
          <w:rFonts w:eastAsia="Times New Roman" w:cs="Arial"/>
          <w:color w:val="000000"/>
          <w:szCs w:val="20"/>
          <w:lang w:eastAsia="bg-BG"/>
        </w:rPr>
        <w:t>95.</w:t>
      </w:r>
    </w:p>
    <w:p w14:paraId="0244E5D7" w14:textId="77777777" w:rsidR="008E7E3C" w:rsidRPr="008E7E3C" w:rsidRDefault="008E7E3C" w:rsidP="008E7E3C">
      <w:pPr>
        <w:spacing w:line="240" w:lineRule="auto"/>
        <w:rPr>
          <w:rFonts w:eastAsia="Times New Roman" w:cs="Arial"/>
          <w:color w:val="000000"/>
          <w:szCs w:val="20"/>
          <w:lang w:eastAsia="bg-BG"/>
        </w:rPr>
      </w:pPr>
    </w:p>
    <w:p w14:paraId="1E40CD8B" w14:textId="2988DAF6"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В тези 3 проучвания профилът на безопасност на Аримидекс е в съответствие с профила на безопасност, уточнен при постменопаузални жени с положителен за хормонални рецептори ранен рак на гърдата.</w:t>
      </w:r>
    </w:p>
    <w:p w14:paraId="23462B69" w14:textId="77777777" w:rsidR="008E7E3C" w:rsidRPr="008E7E3C" w:rsidRDefault="008E7E3C" w:rsidP="008E7E3C">
      <w:pPr>
        <w:spacing w:line="240" w:lineRule="auto"/>
        <w:rPr>
          <w:rFonts w:eastAsia="Times New Roman" w:cs="Arial"/>
          <w:i/>
          <w:iCs/>
          <w:color w:val="000000"/>
          <w:szCs w:val="20"/>
          <w:u w:val="single"/>
          <w:lang w:eastAsia="bg-BG"/>
        </w:rPr>
      </w:pPr>
    </w:p>
    <w:p w14:paraId="371A12F5" w14:textId="28320DBF"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u w:val="single"/>
          <w:lang w:eastAsia="bg-BG"/>
        </w:rPr>
        <w:t>Минерална костна плътност (МКП)</w:t>
      </w:r>
    </w:p>
    <w:p w14:paraId="46B7A2A9" w14:textId="77777777" w:rsidR="008E7E3C" w:rsidRPr="008E7E3C" w:rsidRDefault="008E7E3C" w:rsidP="008E7E3C">
      <w:pPr>
        <w:spacing w:line="240" w:lineRule="auto"/>
        <w:rPr>
          <w:rFonts w:eastAsia="Times New Roman" w:cs="Arial"/>
          <w:color w:val="000000"/>
          <w:szCs w:val="20"/>
          <w:lang w:eastAsia="bg-BG"/>
        </w:rPr>
      </w:pPr>
    </w:p>
    <w:p w14:paraId="7E560316" w14:textId="55FC2F83"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В проучване във фаза </w:t>
      </w:r>
      <w:r w:rsidRPr="008E7E3C">
        <w:rPr>
          <w:rFonts w:eastAsia="Times New Roman" w:cs="Arial"/>
          <w:color w:val="000000"/>
          <w:szCs w:val="20"/>
          <w:lang w:val="en-US"/>
        </w:rPr>
        <w:t>III</w:t>
      </w:r>
      <w:r w:rsidRPr="008E7E3C">
        <w:rPr>
          <w:rFonts w:eastAsia="Times New Roman" w:cs="Arial"/>
          <w:color w:val="000000"/>
          <w:szCs w:val="20"/>
          <w:lang w:val="ru-RU"/>
        </w:rPr>
        <w:t>/</w:t>
      </w:r>
      <w:r w:rsidRPr="008E7E3C">
        <w:rPr>
          <w:rFonts w:eastAsia="Times New Roman" w:cs="Arial"/>
          <w:color w:val="000000"/>
          <w:szCs w:val="20"/>
          <w:lang w:val="en-US"/>
        </w:rPr>
        <w:t>I</w:t>
      </w:r>
      <w:r w:rsidRPr="008E7E3C">
        <w:rPr>
          <w:rFonts w:eastAsia="Times New Roman" w:cs="Arial"/>
          <w:color w:val="000000"/>
          <w:szCs w:val="20"/>
          <w:lang w:eastAsia="bg-BG"/>
        </w:rPr>
        <w:t xml:space="preserve">V (Проучване на приложението на анастрозол с бифосфоната ризедронат, </w:t>
      </w:r>
      <w:r w:rsidRPr="008E7E3C">
        <w:rPr>
          <w:rFonts w:eastAsia="Times New Roman" w:cs="Arial"/>
          <w:color w:val="000000"/>
          <w:szCs w:val="20"/>
          <w:lang w:val="en-US"/>
        </w:rPr>
        <w:t>Study</w:t>
      </w:r>
      <w:r w:rsidRPr="008E7E3C">
        <w:rPr>
          <w:rFonts w:eastAsia="Times New Roman" w:cs="Arial"/>
          <w:color w:val="000000"/>
          <w:szCs w:val="20"/>
          <w:lang w:val="ru-RU"/>
        </w:rPr>
        <w:t xml:space="preserve"> </w:t>
      </w:r>
      <w:r w:rsidRPr="008E7E3C">
        <w:rPr>
          <w:rFonts w:eastAsia="Times New Roman" w:cs="Arial"/>
          <w:color w:val="000000"/>
          <w:szCs w:val="20"/>
          <w:lang w:val="en-US"/>
        </w:rPr>
        <w:t>of</w:t>
      </w:r>
      <w:r w:rsidRPr="008E7E3C">
        <w:rPr>
          <w:rFonts w:eastAsia="Times New Roman" w:cs="Arial"/>
          <w:color w:val="000000"/>
          <w:szCs w:val="20"/>
          <w:lang w:val="ru-RU"/>
        </w:rPr>
        <w:t xml:space="preserve"> </w:t>
      </w:r>
      <w:proofErr w:type="spellStart"/>
      <w:r w:rsidRPr="008E7E3C">
        <w:rPr>
          <w:rFonts w:eastAsia="Times New Roman" w:cs="Arial"/>
          <w:color w:val="000000"/>
          <w:szCs w:val="20"/>
          <w:lang w:val="en-US"/>
        </w:rPr>
        <w:t>Anastrozole</w:t>
      </w:r>
      <w:proofErr w:type="spellEnd"/>
      <w:r w:rsidRPr="008E7E3C">
        <w:rPr>
          <w:rFonts w:eastAsia="Times New Roman" w:cs="Arial"/>
          <w:color w:val="000000"/>
          <w:szCs w:val="20"/>
          <w:lang w:val="ru-RU"/>
        </w:rPr>
        <w:t xml:space="preserve"> </w:t>
      </w:r>
      <w:r w:rsidRPr="008E7E3C">
        <w:rPr>
          <w:rFonts w:eastAsia="Times New Roman" w:cs="Arial"/>
          <w:color w:val="000000"/>
          <w:szCs w:val="20"/>
          <w:lang w:val="en-US"/>
        </w:rPr>
        <w:t>with</w:t>
      </w:r>
      <w:r w:rsidRPr="008E7E3C">
        <w:rPr>
          <w:rFonts w:eastAsia="Times New Roman" w:cs="Arial"/>
          <w:color w:val="000000"/>
          <w:szCs w:val="20"/>
          <w:lang w:val="ru-RU"/>
        </w:rPr>
        <w:t xml:space="preserve"> </w:t>
      </w:r>
      <w:r w:rsidRPr="008E7E3C">
        <w:rPr>
          <w:rFonts w:eastAsia="Times New Roman" w:cs="Arial"/>
          <w:color w:val="000000"/>
          <w:szCs w:val="20"/>
          <w:lang w:val="en-US"/>
        </w:rPr>
        <w:t>the</w:t>
      </w:r>
      <w:r w:rsidRPr="008E7E3C">
        <w:rPr>
          <w:rFonts w:eastAsia="Times New Roman" w:cs="Arial"/>
          <w:color w:val="000000"/>
          <w:szCs w:val="20"/>
          <w:lang w:val="ru-RU"/>
        </w:rPr>
        <w:t xml:space="preserve"> </w:t>
      </w:r>
      <w:r w:rsidRPr="008E7E3C">
        <w:rPr>
          <w:rFonts w:eastAsia="Times New Roman" w:cs="Arial"/>
          <w:color w:val="000000"/>
          <w:szCs w:val="20"/>
          <w:lang w:val="en-US"/>
        </w:rPr>
        <w:t>Bisphosphonate</w:t>
      </w:r>
      <w:r w:rsidRPr="008E7E3C">
        <w:rPr>
          <w:rFonts w:eastAsia="Times New Roman" w:cs="Arial"/>
          <w:color w:val="000000"/>
          <w:szCs w:val="20"/>
          <w:lang w:val="ru-RU"/>
        </w:rPr>
        <w:t xml:space="preserve"> </w:t>
      </w:r>
      <w:proofErr w:type="spellStart"/>
      <w:r w:rsidRPr="008E7E3C">
        <w:rPr>
          <w:rFonts w:eastAsia="Times New Roman" w:cs="Arial"/>
          <w:color w:val="000000"/>
          <w:szCs w:val="20"/>
          <w:lang w:val="en-US"/>
        </w:rPr>
        <w:t>Risedronate</w:t>
      </w:r>
      <w:proofErr w:type="spellEnd"/>
      <w:r w:rsidRPr="008E7E3C">
        <w:rPr>
          <w:rFonts w:eastAsia="Times New Roman" w:cs="Arial"/>
          <w:color w:val="000000"/>
          <w:szCs w:val="20"/>
          <w:lang w:val="ru-RU"/>
        </w:rPr>
        <w:t xml:space="preserve"> [</w:t>
      </w:r>
      <w:r w:rsidRPr="008E7E3C">
        <w:rPr>
          <w:rFonts w:eastAsia="Times New Roman" w:cs="Arial"/>
          <w:color w:val="000000"/>
          <w:szCs w:val="20"/>
          <w:lang w:val="en-US"/>
        </w:rPr>
        <w:t>SABRE</w:t>
      </w:r>
      <w:r w:rsidRPr="008E7E3C">
        <w:rPr>
          <w:rFonts w:eastAsia="Times New Roman" w:cs="Arial"/>
          <w:color w:val="000000"/>
          <w:szCs w:val="20"/>
          <w:lang w:val="ru-RU"/>
        </w:rPr>
        <w:t xml:space="preserve">]), 234 </w:t>
      </w:r>
      <w:r w:rsidRPr="008E7E3C">
        <w:rPr>
          <w:rFonts w:eastAsia="Times New Roman" w:cs="Arial"/>
          <w:color w:val="000000"/>
          <w:szCs w:val="20"/>
          <w:lang w:eastAsia="bg-BG"/>
        </w:rPr>
        <w:t xml:space="preserve">постменопаузални жени </w:t>
      </w:r>
      <w:r w:rsidRPr="008E7E3C">
        <w:rPr>
          <w:rFonts w:eastAsia="Times New Roman" w:cs="Arial"/>
          <w:color w:val="000000"/>
          <w:szCs w:val="20"/>
          <w:lang w:val="en-US"/>
        </w:rPr>
        <w:t>c</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положителен за хормонални рецептори ранен рак на гърдата, планирани за лечение с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 xml:space="preserve">/дневно, са разделени в групи с нисък, умерен и висок риск според риска за развитие на патологична фрактура. Първичният показател за ефикасност е анализът на костната плътност на поясните прешлени, определена чрез </w:t>
      </w:r>
      <w:r w:rsidRPr="008E7E3C">
        <w:rPr>
          <w:rFonts w:eastAsia="Times New Roman" w:cs="Arial"/>
          <w:color w:val="000000"/>
          <w:szCs w:val="20"/>
          <w:lang w:val="en-US"/>
        </w:rPr>
        <w:t>DEXA</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сканиране. Всички пациентки са получавали витамин </w:t>
      </w:r>
      <w:r w:rsidRPr="008E7E3C">
        <w:rPr>
          <w:rFonts w:eastAsia="Times New Roman" w:cs="Arial"/>
          <w:color w:val="000000"/>
          <w:szCs w:val="20"/>
          <w:lang w:val="en-US"/>
        </w:rPr>
        <w:t>D</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и калций. Пациентките в трупата с нисък риск са получавали само Аримидекс </w:t>
      </w:r>
      <w:r w:rsidRPr="008E7E3C">
        <w:rPr>
          <w:rFonts w:eastAsia="Times New Roman" w:cs="Arial"/>
          <w:color w:val="000000"/>
          <w:szCs w:val="20"/>
          <w:lang w:val="ru-RU"/>
        </w:rPr>
        <w:t>(</w:t>
      </w:r>
      <w:r w:rsidRPr="008E7E3C">
        <w:rPr>
          <w:rFonts w:eastAsia="Times New Roman" w:cs="Arial"/>
          <w:color w:val="000000"/>
          <w:szCs w:val="20"/>
          <w:lang w:val="en-US"/>
        </w:rPr>
        <w:t>N</w:t>
      </w:r>
      <w:r w:rsidRPr="008E7E3C">
        <w:rPr>
          <w:rFonts w:eastAsia="Times New Roman" w:cs="Arial"/>
          <w:color w:val="000000"/>
          <w:szCs w:val="20"/>
          <w:lang w:val="ru-RU"/>
        </w:rPr>
        <w:t xml:space="preserve">=42), </w:t>
      </w:r>
      <w:r w:rsidRPr="008E7E3C">
        <w:rPr>
          <w:rFonts w:eastAsia="Times New Roman" w:cs="Arial"/>
          <w:color w:val="000000"/>
          <w:szCs w:val="20"/>
          <w:lang w:eastAsia="bg-BG"/>
        </w:rPr>
        <w:t xml:space="preserve">пациентките в групата с умерен риск са рандомизирани да получават или Аримидекс плюс ризедронат 35 </w:t>
      </w:r>
      <w:r w:rsidRPr="008E7E3C">
        <w:rPr>
          <w:rFonts w:eastAsia="Times New Roman" w:cs="Arial"/>
          <w:color w:val="000000"/>
          <w:szCs w:val="20"/>
          <w:lang w:val="en-US"/>
        </w:rPr>
        <w:t>mg</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веднъж седмично </w:t>
      </w:r>
      <w:r w:rsidRPr="008E7E3C">
        <w:rPr>
          <w:rFonts w:eastAsia="Times New Roman" w:cs="Arial"/>
          <w:color w:val="000000"/>
          <w:szCs w:val="20"/>
          <w:lang w:val="ru-RU"/>
        </w:rPr>
        <w:t>(</w:t>
      </w:r>
      <w:r w:rsidRPr="008E7E3C">
        <w:rPr>
          <w:rFonts w:eastAsia="Times New Roman" w:cs="Arial"/>
          <w:color w:val="000000"/>
          <w:szCs w:val="20"/>
          <w:lang w:val="en-US"/>
        </w:rPr>
        <w:t>N</w:t>
      </w:r>
      <w:r w:rsidRPr="008E7E3C">
        <w:rPr>
          <w:rFonts w:eastAsia="Times New Roman" w:cs="Arial"/>
          <w:color w:val="000000"/>
          <w:szCs w:val="20"/>
          <w:lang w:val="ru-RU"/>
        </w:rPr>
        <w:t xml:space="preserve">=77), </w:t>
      </w:r>
      <w:r w:rsidRPr="008E7E3C">
        <w:rPr>
          <w:rFonts w:eastAsia="Times New Roman" w:cs="Arial"/>
          <w:color w:val="000000"/>
          <w:szCs w:val="20"/>
          <w:lang w:eastAsia="bg-BG"/>
        </w:rPr>
        <w:t xml:space="preserve">или Аримидекс плюс плацебо </w:t>
      </w:r>
      <w:r w:rsidRPr="008E7E3C">
        <w:rPr>
          <w:rFonts w:eastAsia="Times New Roman" w:cs="Arial"/>
          <w:color w:val="000000"/>
          <w:szCs w:val="20"/>
          <w:lang w:val="ru-RU"/>
        </w:rPr>
        <w:t>(</w:t>
      </w:r>
      <w:r w:rsidRPr="008E7E3C">
        <w:rPr>
          <w:rFonts w:eastAsia="Times New Roman" w:cs="Arial"/>
          <w:color w:val="000000"/>
          <w:szCs w:val="20"/>
          <w:lang w:val="en-US"/>
        </w:rPr>
        <w:t>N</w:t>
      </w:r>
      <w:r w:rsidRPr="008E7E3C">
        <w:rPr>
          <w:rFonts w:eastAsia="Times New Roman" w:cs="Arial"/>
          <w:color w:val="000000"/>
          <w:szCs w:val="20"/>
          <w:lang w:val="ru-RU"/>
        </w:rPr>
        <w:t xml:space="preserve">=77), </w:t>
      </w:r>
      <w:r w:rsidRPr="008E7E3C">
        <w:rPr>
          <w:rFonts w:eastAsia="Times New Roman" w:cs="Arial"/>
          <w:color w:val="000000"/>
          <w:szCs w:val="20"/>
          <w:lang w:eastAsia="bg-BG"/>
        </w:rPr>
        <w:t xml:space="preserve">а пациентките в групата с висок риск са получавали Аримидекс плюс ризедронат 35 </w:t>
      </w:r>
      <w:r w:rsidRPr="008E7E3C">
        <w:rPr>
          <w:rFonts w:eastAsia="Times New Roman" w:cs="Arial"/>
          <w:color w:val="000000"/>
          <w:szCs w:val="20"/>
          <w:lang w:val="en-US"/>
        </w:rPr>
        <w:t>mg</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веднъж седмично </w:t>
      </w:r>
      <w:r w:rsidRPr="008E7E3C">
        <w:rPr>
          <w:rFonts w:eastAsia="Times New Roman" w:cs="Arial"/>
          <w:color w:val="000000"/>
          <w:szCs w:val="20"/>
          <w:lang w:val="ru-RU"/>
        </w:rPr>
        <w:t>(</w:t>
      </w:r>
      <w:r w:rsidRPr="008E7E3C">
        <w:rPr>
          <w:rFonts w:eastAsia="Times New Roman" w:cs="Arial"/>
          <w:color w:val="000000"/>
          <w:szCs w:val="20"/>
          <w:lang w:val="en-US"/>
        </w:rPr>
        <w:t>N</w:t>
      </w:r>
      <w:r w:rsidRPr="008E7E3C">
        <w:rPr>
          <w:rFonts w:eastAsia="Times New Roman" w:cs="Arial"/>
          <w:color w:val="000000"/>
          <w:szCs w:val="20"/>
          <w:lang w:val="ru-RU"/>
        </w:rPr>
        <w:t xml:space="preserve">=38). </w:t>
      </w:r>
      <w:r w:rsidRPr="008E7E3C">
        <w:rPr>
          <w:rFonts w:eastAsia="Times New Roman" w:cs="Arial"/>
          <w:color w:val="000000"/>
          <w:szCs w:val="20"/>
          <w:lang w:eastAsia="bg-BG"/>
        </w:rPr>
        <w:t>Първичната крайна точка е промяната на костната плътност на поясните прешлени на 12-ия месец в сравнение с изходното ниво.</w:t>
      </w:r>
    </w:p>
    <w:p w14:paraId="187045B9" w14:textId="77777777" w:rsidR="008E7E3C" w:rsidRPr="008E7E3C" w:rsidRDefault="008E7E3C" w:rsidP="008E7E3C">
      <w:pPr>
        <w:spacing w:line="240" w:lineRule="auto"/>
        <w:rPr>
          <w:rFonts w:eastAsia="Times New Roman" w:cs="Arial"/>
          <w:color w:val="000000"/>
          <w:szCs w:val="20"/>
          <w:lang w:eastAsia="bg-BG"/>
        </w:rPr>
      </w:pPr>
    </w:p>
    <w:p w14:paraId="44C16B23" w14:textId="0DE800B8"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Главният 12-месечен анализ показва, че пациентките, които изходно са били с умерен и висок риск за патологични фрактури, не показват понижаване на костната плътност (определена като костна плътност на поясните прешлени чрез </w:t>
      </w:r>
      <w:r w:rsidRPr="008E7E3C">
        <w:rPr>
          <w:rFonts w:eastAsia="Times New Roman" w:cs="Arial"/>
          <w:color w:val="000000"/>
          <w:szCs w:val="20"/>
          <w:lang w:val="en-US"/>
        </w:rPr>
        <w:t>DEXA</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сканиране) при лечение с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 xml:space="preserve">/дневно в комбинация с ризедронат 35 </w:t>
      </w:r>
      <w:r w:rsidRPr="008E7E3C">
        <w:rPr>
          <w:rFonts w:eastAsia="Times New Roman" w:cs="Arial"/>
          <w:color w:val="000000"/>
          <w:szCs w:val="20"/>
          <w:lang w:val="en-US"/>
        </w:rPr>
        <w:t>mg</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еднократно седмично. В допълнение, в групата пациентки с нисък риск, лекувани само с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/дневно, се установява понижаване на МКП, което не е статистически значимо. Тези резултати се потвърждават и от вторичния показател за ефикасност - промяната на 12-ия месец в сравнение с изходната стойност на МКП на проксималната бедрена кост.</w:t>
      </w:r>
    </w:p>
    <w:p w14:paraId="08E0FE23" w14:textId="77777777" w:rsidR="008E7E3C" w:rsidRPr="008E7E3C" w:rsidRDefault="008E7E3C" w:rsidP="008E7E3C">
      <w:pPr>
        <w:spacing w:line="240" w:lineRule="auto"/>
        <w:rPr>
          <w:rFonts w:eastAsia="Times New Roman" w:cs="Arial"/>
          <w:color w:val="000000"/>
          <w:szCs w:val="20"/>
          <w:lang w:eastAsia="bg-BG"/>
        </w:rPr>
      </w:pPr>
    </w:p>
    <w:p w14:paraId="4B37F934" w14:textId="262F8A7F"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Това проучване предоставя данни, според които в лечението на евентуалното намаляване на минералната костна плътност при постменопаузални жени с ранен рак на гърдата, предводени за лечение с Аримидекс, може да се има предвид прилагане на бифосфонати.</w:t>
      </w:r>
    </w:p>
    <w:p w14:paraId="2E81FAB1" w14:textId="77777777" w:rsidR="008E7E3C" w:rsidRPr="008E7E3C" w:rsidRDefault="008E7E3C" w:rsidP="008E7E3C">
      <w:pPr>
        <w:spacing w:line="240" w:lineRule="auto"/>
        <w:rPr>
          <w:rFonts w:eastAsia="Times New Roman" w:cs="Arial"/>
          <w:color w:val="000000"/>
          <w:szCs w:val="20"/>
          <w:u w:val="single"/>
          <w:lang w:eastAsia="bg-BG"/>
        </w:rPr>
      </w:pPr>
    </w:p>
    <w:p w14:paraId="3D60116A" w14:textId="3A822995"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Педиатрична популация</w:t>
      </w:r>
    </w:p>
    <w:p w14:paraId="597F6B82"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Аримидекс не е показан за употреба при деца и юноши. Ефикасността му не е установена в проучваните педиатрични популации (вж. по-долу). Броят лекувани деца е твърде малък, за да се направят надеждни заключения относно безопасността. Няма данни за потенциалните дългосрочни ефекти на лечението с Аримидекс при деца и юноши (вж. точка 5.3).</w:t>
      </w:r>
    </w:p>
    <w:p w14:paraId="37834214" w14:textId="77777777" w:rsidR="008E7E3C" w:rsidRPr="008E7E3C" w:rsidRDefault="008E7E3C" w:rsidP="008E7E3C">
      <w:pPr>
        <w:spacing w:line="240" w:lineRule="auto"/>
        <w:rPr>
          <w:rFonts w:eastAsia="Times New Roman" w:cs="Arial"/>
          <w:color w:val="000000"/>
          <w:szCs w:val="20"/>
          <w:lang w:eastAsia="bg-BG"/>
        </w:rPr>
      </w:pPr>
    </w:p>
    <w:p w14:paraId="084C2DA0" w14:textId="3F40E44D"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Европейската агенция по лекарствата освобождава от задължението за предоставяне на резултатите от проучванията с Аримидекс в една или повече подгрупи на педиатричната популация при деца с нисък ръст в резултат на дефицит на хормон на растежа, гонадотропин-независим мъжки преждевременен пубертет, гинекомастия и синдром на </w:t>
      </w:r>
      <w:r w:rsidRPr="008E7E3C">
        <w:rPr>
          <w:rFonts w:eastAsia="Times New Roman" w:cs="Arial"/>
          <w:i/>
          <w:iCs/>
          <w:color w:val="000000"/>
          <w:szCs w:val="20"/>
          <w:lang w:val="en-US"/>
        </w:rPr>
        <w:t>McCune</w:t>
      </w:r>
      <w:r w:rsidRPr="008E7E3C">
        <w:rPr>
          <w:rFonts w:eastAsia="Times New Roman" w:cs="Arial"/>
          <w:i/>
          <w:iCs/>
          <w:color w:val="000000"/>
          <w:szCs w:val="20"/>
          <w:lang w:val="ru-RU"/>
        </w:rPr>
        <w:t>-</w:t>
      </w:r>
      <w:r w:rsidRPr="008E7E3C">
        <w:rPr>
          <w:rFonts w:eastAsia="Times New Roman" w:cs="Arial"/>
          <w:i/>
          <w:iCs/>
          <w:color w:val="000000"/>
          <w:szCs w:val="20"/>
          <w:lang w:val="en-US"/>
        </w:rPr>
        <w:t>Albright</w:t>
      </w:r>
      <w:r w:rsidRPr="008E7E3C">
        <w:rPr>
          <w:rFonts w:eastAsia="Times New Roman" w:cs="Arial"/>
          <w:color w:val="000000"/>
          <w:szCs w:val="20"/>
          <w:lang w:val="ru-RU"/>
        </w:rPr>
        <w:t xml:space="preserve"> </w:t>
      </w:r>
      <w:r w:rsidRPr="008E7E3C">
        <w:rPr>
          <w:rFonts w:eastAsia="Times New Roman" w:cs="Arial"/>
          <w:color w:val="000000"/>
          <w:szCs w:val="20"/>
          <w:lang w:eastAsia="bg-BG"/>
        </w:rPr>
        <w:t>(вж. точка 4.2).</w:t>
      </w:r>
    </w:p>
    <w:p w14:paraId="03EE9A36" w14:textId="77777777" w:rsidR="008E7E3C" w:rsidRPr="008E7E3C" w:rsidRDefault="008E7E3C" w:rsidP="008E7E3C">
      <w:pPr>
        <w:spacing w:line="240" w:lineRule="auto"/>
        <w:rPr>
          <w:rFonts w:eastAsia="Times New Roman" w:cs="Arial"/>
          <w:i/>
          <w:iCs/>
          <w:color w:val="000000"/>
          <w:szCs w:val="20"/>
          <w:lang w:eastAsia="bg-BG"/>
        </w:rPr>
      </w:pPr>
    </w:p>
    <w:p w14:paraId="6D7F0CF8" w14:textId="418AC684"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lang w:eastAsia="bg-BG"/>
        </w:rPr>
        <w:lastRenderedPageBreak/>
        <w:t>Нисък ръст в резултат на дефицит на хормона на растежа</w:t>
      </w:r>
    </w:p>
    <w:p w14:paraId="3E2168A0"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Проведено е рандомизирано двойно-сляпо многоцентрово проучване, оценяващо 52 момчета в пубертета (на възраст от 11 до 16 години включително) с дефицит на хормон на растежа (ДХР), лекувани в продължение на 12 до 36 месеца с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/дневно или плацебо в комбинация с хормон на растежа. Само 14 от пациентите на лечение с Аримидекс са завършили 36-месечния курс на лечение.</w:t>
      </w:r>
    </w:p>
    <w:p w14:paraId="2BFCD110" w14:textId="77777777" w:rsidR="008E7E3C" w:rsidRPr="008E7E3C" w:rsidRDefault="008E7E3C" w:rsidP="008E7E3C">
      <w:pPr>
        <w:spacing w:line="240" w:lineRule="auto"/>
        <w:rPr>
          <w:rFonts w:eastAsia="Times New Roman" w:cs="Arial"/>
          <w:color w:val="000000"/>
          <w:szCs w:val="20"/>
          <w:lang w:eastAsia="bg-BG"/>
        </w:rPr>
      </w:pPr>
    </w:p>
    <w:p w14:paraId="22B79692" w14:textId="739EBE70"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Не се установява статистически значима разлика от плацебо по отношение на свързаните с растежа параметри - очакван ръст при завършване на растежа, ръст, ръст ИСО (индекс на стандартното отклонение) и скорост на растеж. Не са налични данните за окончателния ръст. Макар броят на лекуваните деца да е твърде малък, за да може да се направи достоверно заключение относно безопасността, в сравнение с групата на плацебо в групата на лечение с Аримидекс се установява повишена честота на фрактурите и тенденция към намаляване на минералната костна плътност.</w:t>
      </w:r>
    </w:p>
    <w:p w14:paraId="522750B8" w14:textId="77777777" w:rsidR="008E7E3C" w:rsidRPr="008E7E3C" w:rsidRDefault="008E7E3C" w:rsidP="008E7E3C">
      <w:pPr>
        <w:spacing w:line="240" w:lineRule="auto"/>
        <w:rPr>
          <w:rFonts w:eastAsia="Times New Roman" w:cs="Arial"/>
          <w:i/>
          <w:iCs/>
          <w:color w:val="000000"/>
          <w:szCs w:val="20"/>
          <w:lang w:eastAsia="bg-BG"/>
        </w:rPr>
      </w:pPr>
    </w:p>
    <w:p w14:paraId="78182DB6" w14:textId="1CED2EC1"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lang w:eastAsia="bg-BG"/>
        </w:rPr>
        <w:t>Гонадотропин-независим мъжки преждевременен пубертет</w:t>
      </w:r>
    </w:p>
    <w:p w14:paraId="529E94AE"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Открито, не-сравнително, многоцентрово проучване оценява 14 момчета (на възраст от 2 до 9 години) с наследствен гонадотропин-независим мъжки преждевременен пубертет, лекувани с комбинация от Аримидекс и бикалутамид. Първичната цел на проучването е оценката на ефикасността и безопасността на тази терапевтична схема при приложението й в продължение на 12 месеца. Тринадесет от включените 14 пациента са завършили 12-месечното комбинирано лечение (един пациент е загубен за проследяването). След 12-месечно лечение няма значима разлика в скоростта на растеж в сравнение със скоростта на растеж през 6-те месеца преди включване в проучването.</w:t>
      </w:r>
    </w:p>
    <w:p w14:paraId="2FAF588A" w14:textId="77777777" w:rsidR="008E7E3C" w:rsidRPr="008E7E3C" w:rsidRDefault="008E7E3C" w:rsidP="008E7E3C">
      <w:pPr>
        <w:spacing w:line="240" w:lineRule="auto"/>
        <w:rPr>
          <w:rFonts w:eastAsia="Times New Roman" w:cs="Arial"/>
          <w:i/>
          <w:iCs/>
          <w:color w:val="000000"/>
          <w:szCs w:val="20"/>
          <w:lang w:eastAsia="bg-BG"/>
        </w:rPr>
      </w:pPr>
    </w:p>
    <w:p w14:paraId="28BAB0E7" w14:textId="49507BEF"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lang w:eastAsia="bg-BG"/>
        </w:rPr>
        <w:t>Проучвания за лечение на гинекомастия</w:t>
      </w:r>
    </w:p>
    <w:p w14:paraId="1D2151A8"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Проучване 0066 е рандомизирано, двойно-сляпо, многоцентрово проучване при 82 момчета в пубертет (на възраст от 11 до 18 години включително) с гинекомастия с давност над 12 месеца, лекувани с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 xml:space="preserve">/дневно или плацебо в продължение на не повече от 6 месеца. След 6-месечно лечение не се наблюдава значима разлика между групите на Аримидекс 1 </w:t>
      </w:r>
      <w:r w:rsidRPr="008E7E3C">
        <w:rPr>
          <w:rFonts w:eastAsia="Times New Roman" w:cs="Arial"/>
          <w:color w:val="000000"/>
          <w:szCs w:val="20"/>
          <w:lang w:val="en-US"/>
        </w:rPr>
        <w:t>mg</w:t>
      </w:r>
      <w:r w:rsidRPr="008E7E3C">
        <w:rPr>
          <w:rFonts w:eastAsia="Times New Roman" w:cs="Arial"/>
          <w:color w:val="000000"/>
          <w:szCs w:val="20"/>
          <w:lang w:val="ru-RU"/>
        </w:rPr>
        <w:t xml:space="preserve"> </w:t>
      </w:r>
      <w:r w:rsidRPr="008E7E3C">
        <w:rPr>
          <w:rFonts w:eastAsia="Times New Roman" w:cs="Arial"/>
          <w:color w:val="000000"/>
          <w:szCs w:val="20"/>
          <w:lang w:eastAsia="bg-BG"/>
        </w:rPr>
        <w:t>и плацебо по отношение на броя пациенти с намаляване с 50 % или повече на общия обем на гърдите.</w:t>
      </w:r>
    </w:p>
    <w:p w14:paraId="7D6A40FD" w14:textId="77777777" w:rsidR="008E7E3C" w:rsidRPr="008E7E3C" w:rsidRDefault="008E7E3C" w:rsidP="008E7E3C">
      <w:pPr>
        <w:spacing w:line="240" w:lineRule="auto"/>
        <w:rPr>
          <w:rFonts w:eastAsia="Times New Roman" w:cs="Arial"/>
          <w:color w:val="000000"/>
          <w:szCs w:val="20"/>
          <w:lang w:eastAsia="bg-BG"/>
        </w:rPr>
      </w:pPr>
    </w:p>
    <w:p w14:paraId="2246554D" w14:textId="74E4825E"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Проучване 0001 е открито фармакокинетично проучване с многократно прилагане на Аримидекс 1 </w:t>
      </w:r>
      <w:r w:rsidRPr="008E7E3C">
        <w:rPr>
          <w:rFonts w:eastAsia="Times New Roman" w:cs="Arial"/>
          <w:color w:val="000000"/>
          <w:szCs w:val="20"/>
          <w:lang w:val="en-US"/>
        </w:rPr>
        <w:t>mg</w:t>
      </w:r>
      <w:r w:rsidRPr="008E7E3C">
        <w:rPr>
          <w:rFonts w:eastAsia="Times New Roman" w:cs="Arial"/>
          <w:color w:val="000000"/>
          <w:szCs w:val="20"/>
          <w:lang w:eastAsia="bg-BG"/>
        </w:rPr>
        <w:t>/дневно при 36 момчета в пубертет с гинекомастия с давност под 12 месеца. Вторичните цели на проучването са определянето на процента пациенти с намаляване след 6-месечно лечение на изчисления общ обем на двете гърди с поне 50 % в сравнение с изходния, определяне на поносимостта и определяне на безопасността на лечението. Наблюдавано е намаляване с 50 % и повече от общия обем на гърдите при 56 % (20/36) от момчетата след 6 месеца.</w:t>
      </w:r>
    </w:p>
    <w:p w14:paraId="326909C5" w14:textId="77777777" w:rsidR="008E7E3C" w:rsidRPr="008E7E3C" w:rsidRDefault="008E7E3C" w:rsidP="008E7E3C">
      <w:pPr>
        <w:spacing w:line="240" w:lineRule="auto"/>
        <w:rPr>
          <w:rFonts w:eastAsia="Times New Roman" w:cs="Arial"/>
          <w:i/>
          <w:iCs/>
          <w:color w:val="000000"/>
          <w:szCs w:val="20"/>
          <w:lang w:eastAsia="bg-BG"/>
        </w:rPr>
      </w:pPr>
    </w:p>
    <w:p w14:paraId="7F433872" w14:textId="704C1907"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lang w:eastAsia="bg-BG"/>
        </w:rPr>
        <w:t xml:space="preserve">Проучване при синдром на </w:t>
      </w:r>
      <w:r w:rsidRPr="008E7E3C">
        <w:rPr>
          <w:rFonts w:eastAsia="Times New Roman" w:cs="Arial"/>
          <w:i/>
          <w:iCs/>
          <w:color w:val="000000"/>
          <w:szCs w:val="20"/>
          <w:lang w:val="en-US"/>
        </w:rPr>
        <w:t>McCune</w:t>
      </w:r>
      <w:r w:rsidRPr="008E7E3C">
        <w:rPr>
          <w:rFonts w:eastAsia="Times New Roman" w:cs="Arial"/>
          <w:i/>
          <w:iCs/>
          <w:color w:val="000000"/>
          <w:szCs w:val="20"/>
          <w:lang w:val="ru-RU"/>
        </w:rPr>
        <w:t>-</w:t>
      </w:r>
      <w:r w:rsidRPr="008E7E3C">
        <w:rPr>
          <w:rFonts w:eastAsia="Times New Roman" w:cs="Arial"/>
          <w:i/>
          <w:iCs/>
          <w:color w:val="000000"/>
          <w:szCs w:val="20"/>
          <w:lang w:val="en-US"/>
        </w:rPr>
        <w:t>Albright</w:t>
      </w:r>
    </w:p>
    <w:p w14:paraId="2A6BD841" w14:textId="4087C7E3" w:rsidR="008E7E3C" w:rsidRPr="008E7E3C" w:rsidRDefault="008E7E3C" w:rsidP="008E7E3C">
      <w:pPr>
        <w:spacing w:line="240" w:lineRule="auto"/>
        <w:rPr>
          <w:rFonts w:cs="Arial"/>
          <w:szCs w:val="20"/>
        </w:rPr>
      </w:pPr>
      <w:r w:rsidRPr="008E7E3C">
        <w:rPr>
          <w:rFonts w:eastAsia="Times New Roman" w:cs="Arial"/>
          <w:color w:val="000000"/>
          <w:szCs w:val="20"/>
          <w:lang w:eastAsia="bg-BG"/>
        </w:rPr>
        <w:t xml:space="preserve">Проучване 0046 е международно, многоцентрово, открито експлораторно проучване на приложение на Аримидекс при 28 момичета (на възраст от 2 до &lt; 10 години) със синдром на </w:t>
      </w:r>
      <w:r w:rsidRPr="008E7E3C">
        <w:rPr>
          <w:rFonts w:eastAsia="Times New Roman" w:cs="Arial"/>
          <w:i/>
          <w:iCs/>
          <w:color w:val="000000"/>
          <w:szCs w:val="20"/>
          <w:lang w:val="en-US"/>
        </w:rPr>
        <w:t>McCune</w:t>
      </w:r>
      <w:r w:rsidRPr="008E7E3C">
        <w:rPr>
          <w:rFonts w:eastAsia="Times New Roman" w:cs="Arial"/>
          <w:i/>
          <w:iCs/>
          <w:color w:val="000000"/>
          <w:szCs w:val="20"/>
          <w:lang w:val="ru-RU"/>
        </w:rPr>
        <w:t>-</w:t>
      </w:r>
      <w:r w:rsidRPr="008E7E3C">
        <w:rPr>
          <w:rFonts w:eastAsia="Times New Roman" w:cs="Arial"/>
          <w:i/>
          <w:iCs/>
          <w:color w:val="000000"/>
          <w:szCs w:val="20"/>
          <w:lang w:val="en-US"/>
        </w:rPr>
        <w:t>Albright</w:t>
      </w:r>
      <w:r w:rsidRPr="008E7E3C">
        <w:rPr>
          <w:rFonts w:eastAsia="Times New Roman" w:cs="Arial"/>
          <w:color w:val="000000"/>
          <w:szCs w:val="20"/>
          <w:lang w:val="ru-RU"/>
        </w:rPr>
        <w:t xml:space="preserve"> (</w:t>
      </w:r>
      <w:r w:rsidRPr="008E7E3C">
        <w:rPr>
          <w:rFonts w:eastAsia="Times New Roman" w:cs="Arial"/>
          <w:color w:val="000000"/>
          <w:szCs w:val="20"/>
          <w:lang w:val="en-US"/>
        </w:rPr>
        <w:t>MAS</w:t>
      </w:r>
      <w:r w:rsidRPr="008E7E3C">
        <w:rPr>
          <w:rFonts w:eastAsia="Times New Roman" w:cs="Arial"/>
          <w:color w:val="000000"/>
          <w:szCs w:val="20"/>
          <w:lang w:val="ru-RU"/>
        </w:rPr>
        <w:t xml:space="preserve">). </w:t>
      </w:r>
      <w:r w:rsidRPr="008E7E3C">
        <w:rPr>
          <w:rFonts w:eastAsia="Times New Roman" w:cs="Arial"/>
          <w:color w:val="000000"/>
          <w:szCs w:val="20"/>
          <w:lang w:eastAsia="bg-BG"/>
        </w:rPr>
        <w:t>Първичната цел на проучването е оценката на безопасността и</w:t>
      </w:r>
      <w:r w:rsidRPr="008E7E3C">
        <w:rPr>
          <w:rFonts w:eastAsia="Times New Roman" w:cs="Arial"/>
          <w:sz w:val="28"/>
          <w:szCs w:val="24"/>
          <w:lang w:val="ru-RU"/>
        </w:rPr>
        <w:t xml:space="preserve"> </w:t>
      </w:r>
      <w:r w:rsidRPr="008E7E3C">
        <w:rPr>
          <w:rFonts w:cs="Arial"/>
          <w:szCs w:val="20"/>
        </w:rPr>
        <w:t xml:space="preserve">ефикасността на приложението на Аримидекс 1 </w:t>
      </w:r>
      <w:r w:rsidRPr="008E7E3C">
        <w:rPr>
          <w:rFonts w:cs="Arial"/>
          <w:szCs w:val="20"/>
          <w:lang w:val="en-US"/>
        </w:rPr>
        <w:t>mg</w:t>
      </w:r>
      <w:r w:rsidRPr="008E7E3C">
        <w:rPr>
          <w:rFonts w:cs="Arial"/>
          <w:szCs w:val="20"/>
        </w:rPr>
        <w:t xml:space="preserve">/дневно при пациенти с </w:t>
      </w:r>
      <w:r w:rsidRPr="008E7E3C">
        <w:rPr>
          <w:rFonts w:cs="Arial"/>
          <w:szCs w:val="20"/>
          <w:lang w:val="en-US"/>
        </w:rPr>
        <w:t>MAS</w:t>
      </w:r>
      <w:r w:rsidRPr="008E7E3C">
        <w:rPr>
          <w:rFonts w:cs="Arial"/>
          <w:szCs w:val="20"/>
          <w:lang w:val="ru-RU"/>
        </w:rPr>
        <w:t xml:space="preserve">. </w:t>
      </w:r>
      <w:r w:rsidRPr="008E7E3C">
        <w:rPr>
          <w:rFonts w:cs="Arial"/>
          <w:szCs w:val="20"/>
        </w:rPr>
        <w:t xml:space="preserve">Оценката на ефикасността на проучваното лечение се прави въз основа на процента пациентки, покриващи дефинираните критерии, свързани с вагинално кървене, костна възраст и скорост на растеж. Не се установява статистически значима промяна в резултат на лечението на броя дни с вагинално кървене. Няма клинично значима промяна в стадирането по Танер, средния яйчников обем и средния маточен обем. Не е </w:t>
      </w:r>
      <w:r w:rsidRPr="008E7E3C">
        <w:rPr>
          <w:rFonts w:cs="Arial"/>
          <w:szCs w:val="20"/>
        </w:rPr>
        <w:lastRenderedPageBreak/>
        <w:t xml:space="preserve">наблюдавана статистически значима промяна в скоростта на увеличаване на костната възраст по време на лечението в сравнение с изходната. Скоростта на растеж (в </w:t>
      </w:r>
      <w:r w:rsidRPr="008E7E3C">
        <w:rPr>
          <w:rFonts w:cs="Arial"/>
          <w:szCs w:val="20"/>
          <w:lang w:val="en-US"/>
        </w:rPr>
        <w:t>cm</w:t>
      </w:r>
      <w:r w:rsidRPr="008E7E3C">
        <w:rPr>
          <w:rFonts w:cs="Arial"/>
          <w:szCs w:val="20"/>
        </w:rPr>
        <w:t>/годишно) показва значимо намаляване (р&lt;0,05) между изходната стойност (преди лечението) и по време на 12-месечното лечение, като и между изходната стойност (преди лечението) и второто 6-месечие от лечението (от 7-и до 12-ти месец).</w:t>
      </w:r>
    </w:p>
    <w:p w14:paraId="340C33A5" w14:textId="77777777" w:rsidR="008E7E3C" w:rsidRPr="008E7E3C" w:rsidRDefault="008E7E3C" w:rsidP="008E7E3C">
      <w:pPr>
        <w:spacing w:line="240" w:lineRule="auto"/>
        <w:rPr>
          <w:rFonts w:ascii="Times New Roman" w:eastAsia="Times New Roman" w:hAnsi="Times New Roman" w:cs="Times New Roman"/>
          <w:sz w:val="24"/>
          <w:szCs w:val="24"/>
          <w:lang w:val="ru-RU"/>
        </w:rPr>
      </w:pPr>
    </w:p>
    <w:p w14:paraId="78DD93AA" w14:textId="551C361B" w:rsidR="00B6672E" w:rsidRDefault="002C50EE" w:rsidP="00936AD0">
      <w:pPr>
        <w:pStyle w:val="Heading2"/>
      </w:pPr>
      <w:r>
        <w:t>5.2. Фармакокинетични свойства</w:t>
      </w:r>
    </w:p>
    <w:p w14:paraId="36548273" w14:textId="631D4B0B" w:rsidR="008E7E3C" w:rsidRDefault="008E7E3C" w:rsidP="008E7E3C"/>
    <w:p w14:paraId="7863530B" w14:textId="77777777" w:rsidR="008E7E3C" w:rsidRPr="008E7E3C" w:rsidRDefault="008E7E3C" w:rsidP="008E7E3C">
      <w:pPr>
        <w:pStyle w:val="Heading3"/>
        <w:rPr>
          <w:rFonts w:eastAsia="Times New Roman"/>
          <w:sz w:val="28"/>
          <w:u w:val="single"/>
        </w:rPr>
      </w:pPr>
      <w:r w:rsidRPr="008E7E3C">
        <w:rPr>
          <w:rFonts w:eastAsia="Times New Roman"/>
          <w:u w:val="single"/>
          <w:lang w:eastAsia="bg-BG"/>
        </w:rPr>
        <w:t>Абсорбция</w:t>
      </w:r>
    </w:p>
    <w:p w14:paraId="16A53FB4" w14:textId="77777777" w:rsidR="008E7E3C" w:rsidRPr="008E7E3C" w:rsidRDefault="008E7E3C" w:rsidP="008E7E3C">
      <w:pPr>
        <w:spacing w:line="240" w:lineRule="auto"/>
        <w:rPr>
          <w:rFonts w:eastAsia="Times New Roman" w:cs="Arial"/>
          <w:color w:val="000000"/>
          <w:szCs w:val="20"/>
          <w:lang w:eastAsia="bg-BG"/>
        </w:rPr>
      </w:pPr>
    </w:p>
    <w:p w14:paraId="1575CC14" w14:textId="019A4712"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Абсорбцията на анастрозол е бърза и нормално максималната плазмена концентрация се достига до 2 часа след приема (при прием на гладно). Приемът с храна води до леко намаляване на скоростта на абсорбция, но не и на степента й. Не се очаква малкото забавяне на скоростта на абсорбция да доведе до клинично значим ефект върху стационарната плазмена концентрация при прием на таблетки Аримидекс еднократно дневно. Приблизително 90 до 95 % от равновесната плазмена концентрация на анастрозол се достига след 7 дневни дози, а кумулирането е 3 до 4 пъти. Няма данни за зависимост на фармакокинетичните параметри на анастрозол от времето или дозата.</w:t>
      </w:r>
    </w:p>
    <w:p w14:paraId="269D1B16" w14:textId="77777777" w:rsidR="008E7E3C" w:rsidRPr="008E7E3C" w:rsidRDefault="008E7E3C" w:rsidP="008E7E3C">
      <w:pPr>
        <w:spacing w:line="240" w:lineRule="auto"/>
        <w:rPr>
          <w:rFonts w:eastAsia="Times New Roman" w:cs="Arial"/>
          <w:color w:val="000000"/>
          <w:szCs w:val="20"/>
          <w:lang w:eastAsia="bg-BG"/>
        </w:rPr>
      </w:pPr>
    </w:p>
    <w:p w14:paraId="6322D123" w14:textId="5C899EC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При постменопаузални жени фармакокинетиката на анастрозол не зависи от възрастта.</w:t>
      </w:r>
    </w:p>
    <w:p w14:paraId="48C8C170" w14:textId="77777777" w:rsidR="008E7E3C" w:rsidRPr="008E7E3C" w:rsidRDefault="008E7E3C" w:rsidP="008E7E3C">
      <w:pPr>
        <w:spacing w:line="240" w:lineRule="auto"/>
        <w:rPr>
          <w:rFonts w:eastAsia="Times New Roman" w:cs="Arial"/>
          <w:color w:val="000000"/>
          <w:szCs w:val="20"/>
          <w:u w:val="single"/>
          <w:lang w:eastAsia="bg-BG"/>
        </w:rPr>
      </w:pPr>
    </w:p>
    <w:p w14:paraId="49BE1C8E" w14:textId="7424F49B" w:rsidR="008E7E3C" w:rsidRPr="008E7E3C" w:rsidRDefault="008E7E3C" w:rsidP="008E7E3C">
      <w:pPr>
        <w:pStyle w:val="Heading3"/>
        <w:rPr>
          <w:rFonts w:eastAsia="Times New Roman"/>
          <w:sz w:val="28"/>
          <w:u w:val="single"/>
        </w:rPr>
      </w:pPr>
      <w:r w:rsidRPr="008E7E3C">
        <w:rPr>
          <w:rFonts w:eastAsia="Times New Roman"/>
          <w:u w:val="single"/>
          <w:lang w:eastAsia="bg-BG"/>
        </w:rPr>
        <w:t>Разпределение</w:t>
      </w:r>
    </w:p>
    <w:p w14:paraId="37D95B06" w14:textId="77777777" w:rsidR="008E7E3C" w:rsidRPr="008E7E3C" w:rsidRDefault="008E7E3C" w:rsidP="008E7E3C">
      <w:pPr>
        <w:spacing w:line="240" w:lineRule="auto"/>
        <w:rPr>
          <w:rFonts w:eastAsia="Times New Roman" w:cs="Arial"/>
          <w:color w:val="000000"/>
          <w:szCs w:val="20"/>
          <w:lang w:eastAsia="bg-BG"/>
        </w:rPr>
      </w:pPr>
    </w:p>
    <w:p w14:paraId="1D5A628F" w14:textId="58B1CB84"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Само 40 % от анастрозол в плазмата е свързан с плазмените протеини.</w:t>
      </w:r>
    </w:p>
    <w:p w14:paraId="46EBA02D" w14:textId="77777777" w:rsidR="008E7E3C" w:rsidRPr="008E7E3C" w:rsidRDefault="008E7E3C" w:rsidP="008E7E3C">
      <w:pPr>
        <w:spacing w:line="240" w:lineRule="auto"/>
        <w:rPr>
          <w:rFonts w:eastAsia="Times New Roman" w:cs="Arial"/>
          <w:color w:val="000000"/>
          <w:szCs w:val="20"/>
          <w:u w:val="single"/>
          <w:lang w:eastAsia="bg-BG"/>
        </w:rPr>
      </w:pPr>
    </w:p>
    <w:p w14:paraId="2F83BBCD" w14:textId="42E78524" w:rsidR="008E7E3C" w:rsidRPr="008E7E3C" w:rsidRDefault="008E7E3C" w:rsidP="008E7E3C">
      <w:pPr>
        <w:pStyle w:val="Heading3"/>
        <w:rPr>
          <w:rFonts w:eastAsia="Times New Roman"/>
          <w:u w:val="single"/>
          <w:lang w:eastAsia="bg-BG"/>
        </w:rPr>
      </w:pPr>
      <w:r w:rsidRPr="008E7E3C">
        <w:rPr>
          <w:rFonts w:eastAsia="Times New Roman"/>
          <w:u w:val="single"/>
          <w:lang w:eastAsia="bg-BG"/>
        </w:rPr>
        <w:t>Елиминиране</w:t>
      </w:r>
    </w:p>
    <w:p w14:paraId="5F0DCDA8" w14:textId="77777777" w:rsidR="008E7E3C" w:rsidRPr="008E7E3C" w:rsidRDefault="008E7E3C" w:rsidP="008E7E3C">
      <w:pPr>
        <w:spacing w:line="240" w:lineRule="auto"/>
        <w:rPr>
          <w:rFonts w:eastAsia="Times New Roman" w:cs="Arial"/>
          <w:color w:val="000000"/>
          <w:szCs w:val="20"/>
          <w:lang w:eastAsia="bg-BG"/>
        </w:rPr>
      </w:pPr>
    </w:p>
    <w:p w14:paraId="66C2E9A0" w14:textId="77777777" w:rsidR="008E7E3C" w:rsidRPr="008E7E3C" w:rsidRDefault="008E7E3C" w:rsidP="008E7E3C">
      <w:pPr>
        <w:spacing w:line="240" w:lineRule="auto"/>
        <w:rPr>
          <w:rFonts w:eastAsia="Times New Roman" w:cs="Arial"/>
          <w:color w:val="000000"/>
          <w:szCs w:val="20"/>
          <w:lang w:eastAsia="bg-BG"/>
        </w:rPr>
      </w:pPr>
      <w:r w:rsidRPr="008E7E3C">
        <w:rPr>
          <w:rFonts w:eastAsia="Times New Roman" w:cs="Arial"/>
          <w:color w:val="000000"/>
          <w:szCs w:val="20"/>
          <w:lang w:eastAsia="bg-BG"/>
        </w:rPr>
        <w:t xml:space="preserve">Анастрозол се елиминира бавно, с плазмен елиминационен полуживот 40 до 50 часа. При постменопаузални жени анастрозол се метаболизира интензивно, като до 72 часа след приема само 10 % от дозата се екскретира непроменена в урината. Анастрозол се метаболизира чрез </w:t>
      </w:r>
      <w:r w:rsidRPr="008E7E3C">
        <w:rPr>
          <w:rFonts w:eastAsia="Times New Roman" w:cs="Arial"/>
          <w:color w:val="000000"/>
          <w:szCs w:val="20"/>
          <w:lang w:val="en-US"/>
        </w:rPr>
        <w:t>N</w:t>
      </w:r>
      <w:r w:rsidRPr="008E7E3C">
        <w:rPr>
          <w:rFonts w:eastAsia="Times New Roman" w:cs="Arial"/>
          <w:color w:val="000000"/>
          <w:szCs w:val="20"/>
          <w:lang w:eastAsia="bg-BG"/>
        </w:rPr>
        <w:t xml:space="preserve">-дезалкилиране, хидроксилиране и глюкурониране. Метаболитите се екскретират главно в урината. Триазол, главният метаболит в плазмата, не </w:t>
      </w:r>
    </w:p>
    <w:p w14:paraId="6BC8759F" w14:textId="2F979F31"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инхибира ароматазата.</w:t>
      </w:r>
    </w:p>
    <w:p w14:paraId="5B70E7B6" w14:textId="77777777" w:rsidR="008E7E3C" w:rsidRPr="008E7E3C" w:rsidRDefault="008E7E3C" w:rsidP="008E7E3C">
      <w:pPr>
        <w:spacing w:line="240" w:lineRule="auto"/>
        <w:rPr>
          <w:rFonts w:eastAsia="Times New Roman" w:cs="Arial"/>
          <w:i/>
          <w:iCs/>
          <w:color w:val="000000"/>
          <w:szCs w:val="20"/>
          <w:u w:val="single"/>
          <w:lang w:eastAsia="bg-BG"/>
        </w:rPr>
      </w:pPr>
    </w:p>
    <w:p w14:paraId="04553FEA" w14:textId="5E897C42" w:rsidR="008E7E3C" w:rsidRPr="008E7E3C" w:rsidRDefault="008E7E3C" w:rsidP="008E7E3C">
      <w:pPr>
        <w:spacing w:line="240" w:lineRule="auto"/>
        <w:rPr>
          <w:rFonts w:eastAsia="Times New Roman" w:cs="Arial"/>
          <w:sz w:val="28"/>
          <w:szCs w:val="24"/>
        </w:rPr>
      </w:pPr>
      <w:r w:rsidRPr="008E7E3C">
        <w:rPr>
          <w:rFonts w:eastAsia="Times New Roman" w:cs="Arial"/>
          <w:i/>
          <w:iCs/>
          <w:color w:val="000000"/>
          <w:szCs w:val="20"/>
          <w:u w:val="single"/>
          <w:lang w:eastAsia="bg-BG"/>
        </w:rPr>
        <w:t>Бъбречно или чернодробно увреждане</w:t>
      </w:r>
    </w:p>
    <w:p w14:paraId="6E105958" w14:textId="77777777" w:rsidR="008E7E3C" w:rsidRPr="008E7E3C" w:rsidRDefault="008E7E3C" w:rsidP="008E7E3C">
      <w:pPr>
        <w:spacing w:line="240" w:lineRule="auto"/>
        <w:rPr>
          <w:rFonts w:eastAsia="Times New Roman" w:cs="Arial"/>
          <w:color w:val="000000"/>
          <w:szCs w:val="20"/>
          <w:lang w:eastAsia="bg-BG"/>
        </w:rPr>
      </w:pPr>
    </w:p>
    <w:p w14:paraId="55819DE4" w14:textId="15761500"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Привидният клирънс </w:t>
      </w:r>
      <w:r w:rsidRPr="008E7E3C">
        <w:rPr>
          <w:rFonts w:eastAsia="Times New Roman" w:cs="Arial"/>
          <w:color w:val="000000"/>
          <w:szCs w:val="20"/>
          <w:lang w:val="ru-RU"/>
        </w:rPr>
        <w:t>(</w:t>
      </w:r>
      <w:r w:rsidRPr="008E7E3C">
        <w:rPr>
          <w:rFonts w:eastAsia="Times New Roman" w:cs="Arial"/>
          <w:color w:val="000000"/>
          <w:szCs w:val="20"/>
          <w:lang w:val="en-US"/>
        </w:rPr>
        <w:t>CLZF</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на анастрозол след перорално приложение е приблизително 30 % по-нисък при доброволци със стабилна чернодробна цироза в сравнение със съответстващите им контроли </w:t>
      </w:r>
      <w:r w:rsidRPr="008E7E3C">
        <w:rPr>
          <w:rFonts w:eastAsia="Times New Roman" w:cs="Arial"/>
          <w:color w:val="000000"/>
          <w:szCs w:val="20"/>
          <w:lang w:val="ru-RU"/>
        </w:rPr>
        <w:t>(</w:t>
      </w:r>
      <w:r w:rsidRPr="008E7E3C">
        <w:rPr>
          <w:rFonts w:eastAsia="Times New Roman" w:cs="Arial"/>
          <w:color w:val="000000"/>
          <w:szCs w:val="20"/>
          <w:lang w:val="en-US"/>
        </w:rPr>
        <w:t>Study</w:t>
      </w:r>
      <w:r w:rsidRPr="008E7E3C">
        <w:rPr>
          <w:rFonts w:eastAsia="Times New Roman" w:cs="Arial"/>
          <w:color w:val="000000"/>
          <w:szCs w:val="20"/>
          <w:lang w:val="ru-RU"/>
        </w:rPr>
        <w:t xml:space="preserve"> 1033</w:t>
      </w:r>
      <w:r w:rsidRPr="008E7E3C">
        <w:rPr>
          <w:rFonts w:eastAsia="Times New Roman" w:cs="Arial"/>
          <w:color w:val="000000"/>
          <w:szCs w:val="20"/>
          <w:lang w:val="en-US"/>
        </w:rPr>
        <w:t>IL</w:t>
      </w:r>
      <w:r w:rsidRPr="008E7E3C">
        <w:rPr>
          <w:rFonts w:eastAsia="Times New Roman" w:cs="Arial"/>
          <w:color w:val="000000"/>
          <w:szCs w:val="20"/>
          <w:lang w:val="ru-RU"/>
        </w:rPr>
        <w:t xml:space="preserve">/0014). </w:t>
      </w:r>
      <w:r w:rsidRPr="008E7E3C">
        <w:rPr>
          <w:rFonts w:eastAsia="Times New Roman" w:cs="Arial"/>
          <w:color w:val="000000"/>
          <w:szCs w:val="20"/>
          <w:lang w:eastAsia="bg-BG"/>
        </w:rPr>
        <w:t>Все пак плазмените концентрации на анастрозол при доброволците с чернодробна цироза са в диапазона от концентрации, наблюдавани при нормални лица в други проучвания. Плазмените концентрации на анастрозол, наблюдавани по време на дългосрочни изпитвания за ефикасност при пациенти с чернодробно увреждане са в диапазона от плазмени концентрации на анастрозол, наблюдавани при пациенти без чернодробно увреждане.</w:t>
      </w:r>
    </w:p>
    <w:p w14:paraId="37EBD5A2" w14:textId="77777777" w:rsidR="008E7E3C" w:rsidRPr="008E7E3C" w:rsidRDefault="008E7E3C" w:rsidP="008E7E3C">
      <w:pPr>
        <w:spacing w:line="240" w:lineRule="auto"/>
        <w:rPr>
          <w:rFonts w:eastAsia="Times New Roman" w:cs="Arial"/>
          <w:color w:val="000000"/>
          <w:szCs w:val="20"/>
          <w:lang w:eastAsia="bg-BG"/>
        </w:rPr>
      </w:pPr>
    </w:p>
    <w:p w14:paraId="68932245" w14:textId="0440759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Привидният клирънс </w:t>
      </w:r>
      <w:r w:rsidRPr="008E7E3C">
        <w:rPr>
          <w:rFonts w:eastAsia="Times New Roman" w:cs="Arial"/>
          <w:color w:val="000000"/>
          <w:szCs w:val="20"/>
          <w:lang w:val="ru-RU"/>
        </w:rPr>
        <w:t>(</w:t>
      </w:r>
      <w:r w:rsidRPr="008E7E3C">
        <w:rPr>
          <w:rFonts w:eastAsia="Times New Roman" w:cs="Arial"/>
          <w:color w:val="000000"/>
          <w:szCs w:val="20"/>
          <w:lang w:val="en-US"/>
        </w:rPr>
        <w:t>CL</w:t>
      </w:r>
      <w:r w:rsidRPr="008E7E3C">
        <w:rPr>
          <w:rFonts w:eastAsia="Times New Roman" w:cs="Arial"/>
          <w:color w:val="000000"/>
          <w:szCs w:val="20"/>
          <w:lang w:val="ru-RU"/>
        </w:rPr>
        <w:t>/</w:t>
      </w:r>
      <w:r w:rsidRPr="008E7E3C">
        <w:rPr>
          <w:rFonts w:eastAsia="Times New Roman" w:cs="Arial"/>
          <w:color w:val="000000"/>
          <w:szCs w:val="20"/>
          <w:lang w:val="en-US"/>
        </w:rPr>
        <w:t>F</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на анастрозол, след перорално приложение не е променен при доброволци с тежко бъбречно увреждане (скорост на гломерулна филтрация, </w:t>
      </w:r>
      <w:r w:rsidRPr="008E7E3C">
        <w:rPr>
          <w:rFonts w:eastAsia="Times New Roman" w:cs="Arial"/>
          <w:color w:val="000000"/>
          <w:szCs w:val="20"/>
          <w:lang w:val="en-US"/>
        </w:rPr>
        <w:t>GFR</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&lt; 30 </w:t>
      </w:r>
      <w:r w:rsidRPr="008E7E3C">
        <w:rPr>
          <w:rFonts w:eastAsia="Times New Roman" w:cs="Arial"/>
          <w:color w:val="000000"/>
          <w:szCs w:val="20"/>
          <w:lang w:val="en-US"/>
        </w:rPr>
        <w:t>ml</w:t>
      </w:r>
      <w:r w:rsidRPr="008E7E3C">
        <w:rPr>
          <w:rFonts w:eastAsia="Times New Roman" w:cs="Arial"/>
          <w:color w:val="000000"/>
          <w:szCs w:val="20"/>
          <w:lang w:val="ru-RU"/>
        </w:rPr>
        <w:t>/</w:t>
      </w:r>
      <w:r w:rsidRPr="008E7E3C">
        <w:rPr>
          <w:rFonts w:eastAsia="Times New Roman" w:cs="Arial"/>
          <w:color w:val="000000"/>
          <w:szCs w:val="20"/>
          <w:lang w:val="en-US"/>
        </w:rPr>
        <w:t>min</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в Проучване </w:t>
      </w:r>
      <w:r w:rsidRPr="008E7E3C">
        <w:rPr>
          <w:rFonts w:eastAsia="Times New Roman" w:cs="Arial"/>
          <w:color w:val="000000"/>
          <w:szCs w:val="20"/>
          <w:lang w:val="ru-RU"/>
        </w:rPr>
        <w:t>1033</w:t>
      </w:r>
      <w:r w:rsidRPr="008E7E3C">
        <w:rPr>
          <w:rFonts w:eastAsia="Times New Roman" w:cs="Arial"/>
          <w:color w:val="000000"/>
          <w:szCs w:val="20"/>
          <w:lang w:val="en-US"/>
        </w:rPr>
        <w:t>IL</w:t>
      </w:r>
      <w:r w:rsidRPr="008E7E3C">
        <w:rPr>
          <w:rFonts w:eastAsia="Times New Roman" w:cs="Arial"/>
          <w:color w:val="000000"/>
          <w:szCs w:val="20"/>
          <w:lang w:val="ru-RU"/>
        </w:rPr>
        <w:t>/001</w:t>
      </w:r>
      <w:r w:rsidRPr="008E7E3C">
        <w:rPr>
          <w:rFonts w:eastAsia="Times New Roman" w:cs="Arial"/>
          <w:color w:val="000000"/>
          <w:szCs w:val="20"/>
          <w:lang w:eastAsia="bg-BG"/>
        </w:rPr>
        <w:t xml:space="preserve">8, което е в съответствие с факта, че анастрозол се елиминира главно чрез метаболизъм. Плазмените концентрации на анастрозол, </w:t>
      </w:r>
      <w:r w:rsidRPr="008E7E3C">
        <w:rPr>
          <w:rFonts w:eastAsia="Times New Roman" w:cs="Arial"/>
          <w:color w:val="000000"/>
          <w:szCs w:val="20"/>
          <w:lang w:eastAsia="bg-BG"/>
        </w:rPr>
        <w:lastRenderedPageBreak/>
        <w:t>наблюдавани по време на дългосрочни проучвания за ефикасност при пациенти с бъбречно увреждане са в диапазона от</w:t>
      </w:r>
    </w:p>
    <w:p w14:paraId="75D4D9F5" w14:textId="6D6F6F08" w:rsidR="008E7E3C" w:rsidRPr="008E7E3C" w:rsidRDefault="008E7E3C" w:rsidP="008E7E3C">
      <w:pPr>
        <w:rPr>
          <w:rFonts w:eastAsia="Times New Roman" w:cs="Arial"/>
          <w:color w:val="000000"/>
          <w:szCs w:val="20"/>
          <w:lang w:eastAsia="bg-BG"/>
        </w:rPr>
      </w:pPr>
      <w:r w:rsidRPr="008E7E3C">
        <w:rPr>
          <w:rFonts w:eastAsia="Times New Roman" w:cs="Arial"/>
          <w:color w:val="000000"/>
          <w:szCs w:val="20"/>
          <w:lang w:eastAsia="bg-BG"/>
        </w:rPr>
        <w:t>плазмени концентрации на анастрозол, наблюдавани при пациенти без бъбречно увреждане Аримидекс трябва да се прилага с повишено внимание при пациенти с тежко бъбречно увреждане (вж. точки 4.2 и 4.4).</w:t>
      </w:r>
    </w:p>
    <w:p w14:paraId="6703752C" w14:textId="0AB30F26" w:rsidR="008E7E3C" w:rsidRPr="008E7E3C" w:rsidRDefault="008E7E3C" w:rsidP="008E7E3C">
      <w:pPr>
        <w:rPr>
          <w:rFonts w:eastAsia="Times New Roman" w:cs="Arial"/>
          <w:color w:val="000000"/>
          <w:szCs w:val="20"/>
          <w:lang w:eastAsia="bg-BG"/>
        </w:rPr>
      </w:pPr>
    </w:p>
    <w:p w14:paraId="7B21457E" w14:textId="77777777" w:rsidR="008E7E3C" w:rsidRPr="008E7E3C" w:rsidRDefault="008E7E3C" w:rsidP="008E7E3C">
      <w:pPr>
        <w:pStyle w:val="Heading3"/>
        <w:rPr>
          <w:rFonts w:eastAsia="Times New Roman"/>
          <w:sz w:val="28"/>
          <w:u w:val="single"/>
        </w:rPr>
      </w:pPr>
      <w:r w:rsidRPr="008E7E3C">
        <w:rPr>
          <w:rFonts w:eastAsia="Times New Roman"/>
          <w:u w:val="single"/>
          <w:lang w:eastAsia="bg-BG"/>
        </w:rPr>
        <w:t>Педиатрична популация</w:t>
      </w:r>
    </w:p>
    <w:p w14:paraId="1B9F327E" w14:textId="77777777" w:rsidR="008E7E3C" w:rsidRPr="008E7E3C" w:rsidRDefault="008E7E3C" w:rsidP="008E7E3C">
      <w:pPr>
        <w:spacing w:line="240" w:lineRule="auto"/>
        <w:rPr>
          <w:rFonts w:eastAsia="Times New Roman" w:cs="Arial"/>
          <w:color w:val="000000"/>
          <w:szCs w:val="20"/>
          <w:lang w:eastAsia="bg-BG"/>
        </w:rPr>
      </w:pPr>
    </w:p>
    <w:p w14:paraId="4673DC0C" w14:textId="65CD9A24"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При момчета с гинекомастия (10-17 години) през пубертета анастрозол се резорбира бързо, разпределя се широко и се елиминира бавно с полуживот приблизително 2 дни. При момичета (3-10 години) клирънсът на анастрозол е по-нисък, отколкото при по-големите момчета, а експозицията му е по-висока. При момичета анастрозол се разпределя широко и се елиминира бавно.</w:t>
      </w:r>
    </w:p>
    <w:p w14:paraId="1258E971" w14:textId="77777777" w:rsidR="008E7E3C" w:rsidRPr="008E7E3C" w:rsidRDefault="008E7E3C" w:rsidP="008E7E3C"/>
    <w:p w14:paraId="4FB791BE" w14:textId="32C64F9A" w:rsidR="00B6672E" w:rsidRDefault="002C50EE" w:rsidP="00936AD0">
      <w:pPr>
        <w:pStyle w:val="Heading2"/>
      </w:pPr>
      <w:r>
        <w:t>5.3. Предклинични данни за безопасност</w:t>
      </w:r>
    </w:p>
    <w:p w14:paraId="7CE8826F" w14:textId="7EE0E511" w:rsidR="008E7E3C" w:rsidRDefault="008E7E3C" w:rsidP="008E7E3C"/>
    <w:p w14:paraId="052BDF0C"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Неклиничните данни не показват особен риск за хора от популацията, за която препаратът е показан, на базата на конвенционалните фармакологични изпитвания за безопасност, токсичност при многократно прилагане, генотоксичност, канцерогенен потенциал и репродуктивна токсичност.</w:t>
      </w:r>
    </w:p>
    <w:p w14:paraId="7B3260FC" w14:textId="77777777" w:rsidR="008E7E3C" w:rsidRPr="008E7E3C" w:rsidRDefault="008E7E3C" w:rsidP="008E7E3C">
      <w:pPr>
        <w:spacing w:line="240" w:lineRule="auto"/>
        <w:rPr>
          <w:rFonts w:eastAsia="Times New Roman" w:cs="Arial"/>
          <w:color w:val="000000"/>
          <w:szCs w:val="20"/>
          <w:u w:val="single"/>
          <w:lang w:eastAsia="bg-BG"/>
        </w:rPr>
      </w:pPr>
    </w:p>
    <w:p w14:paraId="7F1890EB" w14:textId="176AE726"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Остра токсичност</w:t>
      </w:r>
    </w:p>
    <w:p w14:paraId="12A8FB1A" w14:textId="77777777" w:rsidR="008E7E3C" w:rsidRPr="008E7E3C" w:rsidRDefault="008E7E3C" w:rsidP="008E7E3C">
      <w:pPr>
        <w:spacing w:line="240" w:lineRule="auto"/>
        <w:rPr>
          <w:rFonts w:eastAsia="Times New Roman" w:cs="Arial"/>
          <w:color w:val="000000"/>
          <w:szCs w:val="20"/>
          <w:lang w:eastAsia="bg-BG"/>
        </w:rPr>
      </w:pPr>
    </w:p>
    <w:p w14:paraId="6C7C8519" w14:textId="56BFAEFD"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В проучвания при животни токсичност се наблюдава само при високи дози. В проучвания за остра токсичност при гризачи средната летална доза анастрозол надвишава 100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 xml:space="preserve">/дневно при перорално приложение и 50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 xml:space="preserve">/дневно при интраперитонеално приложение. В проучване за остра токсичност при перорално приложение при кучета средната летална доза надвишава 45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w:t>
      </w:r>
    </w:p>
    <w:p w14:paraId="1416D6A9" w14:textId="77777777" w:rsidR="008E7E3C" w:rsidRPr="008E7E3C" w:rsidRDefault="008E7E3C" w:rsidP="008E7E3C">
      <w:pPr>
        <w:spacing w:line="240" w:lineRule="auto"/>
        <w:rPr>
          <w:rFonts w:eastAsia="Times New Roman" w:cs="Arial"/>
          <w:color w:val="000000"/>
          <w:szCs w:val="20"/>
          <w:u w:val="single"/>
          <w:lang w:eastAsia="bg-BG"/>
        </w:rPr>
      </w:pPr>
    </w:p>
    <w:p w14:paraId="000B087F" w14:textId="77B5CA1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Хронична токсичност</w:t>
      </w:r>
    </w:p>
    <w:p w14:paraId="681678F5" w14:textId="77777777" w:rsidR="008E7E3C" w:rsidRPr="008E7E3C" w:rsidRDefault="008E7E3C" w:rsidP="008E7E3C">
      <w:pPr>
        <w:spacing w:line="240" w:lineRule="auto"/>
        <w:rPr>
          <w:rFonts w:eastAsia="Times New Roman" w:cs="Arial"/>
          <w:color w:val="000000"/>
          <w:szCs w:val="20"/>
          <w:lang w:eastAsia="bg-BG"/>
        </w:rPr>
      </w:pPr>
    </w:p>
    <w:p w14:paraId="42519FB7" w14:textId="4B35C013"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В проучвания при животни нежелани реакции се наблюдават само при високи дози.</w:t>
      </w:r>
    </w:p>
    <w:p w14:paraId="5069166F"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Проучвания за токсичност при многократно прилагане са провеждани при плъхове и кучета. В проучванията за токсичност на анастрозол не са установени концентрации, при които да не се проявява ефект, но ефектите, наблюдавани при приложение на ниски (1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 xml:space="preserve">/дневно) и умерено високи дози (куче - 3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 xml:space="preserve">/дневно; плъх - 5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 са свързани или с фармакологичните, или с ензимно-индукторните свойства на анастрозол и не се придружават от развитие на значима токсичност или дегенеративни промени.</w:t>
      </w:r>
    </w:p>
    <w:p w14:paraId="34C13EFB" w14:textId="77777777" w:rsidR="008E7E3C" w:rsidRPr="008E7E3C" w:rsidRDefault="008E7E3C" w:rsidP="008E7E3C">
      <w:pPr>
        <w:spacing w:line="240" w:lineRule="auto"/>
        <w:rPr>
          <w:rFonts w:eastAsia="Times New Roman" w:cs="Arial"/>
          <w:color w:val="000000"/>
          <w:szCs w:val="20"/>
          <w:u w:val="single"/>
          <w:lang w:eastAsia="bg-BG"/>
        </w:rPr>
      </w:pPr>
    </w:p>
    <w:p w14:paraId="6A8E7777" w14:textId="412B49F6"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Мутагенен потенциал</w:t>
      </w:r>
    </w:p>
    <w:p w14:paraId="4FB84171" w14:textId="77777777" w:rsidR="008E7E3C" w:rsidRPr="008E7E3C" w:rsidRDefault="008E7E3C" w:rsidP="008E7E3C">
      <w:pPr>
        <w:spacing w:line="240" w:lineRule="auto"/>
        <w:rPr>
          <w:rFonts w:eastAsia="Times New Roman" w:cs="Arial"/>
          <w:color w:val="000000"/>
          <w:szCs w:val="20"/>
          <w:lang w:eastAsia="bg-BG"/>
        </w:rPr>
      </w:pPr>
    </w:p>
    <w:p w14:paraId="7689F395" w14:textId="7499EA23"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Проучванията за генетична токсичност на анастрозол показват, че той няма мутагенен или кластогенен потенциал.</w:t>
      </w:r>
    </w:p>
    <w:p w14:paraId="7FB4A95C" w14:textId="77777777" w:rsidR="008E7E3C" w:rsidRPr="008E7E3C" w:rsidRDefault="008E7E3C" w:rsidP="008E7E3C">
      <w:pPr>
        <w:spacing w:line="240" w:lineRule="auto"/>
        <w:rPr>
          <w:rFonts w:eastAsia="Times New Roman" w:cs="Arial"/>
          <w:color w:val="000000"/>
          <w:szCs w:val="20"/>
          <w:u w:val="single"/>
          <w:lang w:eastAsia="bg-BG"/>
        </w:rPr>
      </w:pPr>
    </w:p>
    <w:p w14:paraId="255295CA" w14:textId="6AB36849"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Репродуктивна токсичност</w:t>
      </w:r>
    </w:p>
    <w:p w14:paraId="27BE5F9E" w14:textId="77777777" w:rsidR="008E7E3C" w:rsidRPr="008E7E3C" w:rsidRDefault="008E7E3C" w:rsidP="008E7E3C">
      <w:pPr>
        <w:spacing w:line="240" w:lineRule="auto"/>
        <w:rPr>
          <w:rFonts w:eastAsia="Times New Roman" w:cs="Arial"/>
          <w:color w:val="000000"/>
          <w:szCs w:val="20"/>
          <w:lang w:eastAsia="bg-BG"/>
        </w:rPr>
      </w:pPr>
    </w:p>
    <w:p w14:paraId="6C492732" w14:textId="50D21D64"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В проучване за ефект върху фергилитета на наскоро отбити мъжки плъхове през устата с водата за пиене е даван анастрозол в доза 50 или 400 </w:t>
      </w:r>
      <w:r w:rsidRPr="008E7E3C">
        <w:rPr>
          <w:rFonts w:eastAsia="Times New Roman" w:cs="Arial"/>
          <w:color w:val="000000"/>
          <w:szCs w:val="20"/>
          <w:lang w:val="en-US"/>
        </w:rPr>
        <w:t>mg</w:t>
      </w:r>
      <w:r w:rsidRPr="008E7E3C">
        <w:rPr>
          <w:rFonts w:eastAsia="Times New Roman" w:cs="Arial"/>
          <w:color w:val="000000"/>
          <w:szCs w:val="20"/>
          <w:lang w:val="ru-RU"/>
        </w:rPr>
        <w:t xml:space="preserve">/1 </w:t>
      </w:r>
      <w:r w:rsidRPr="008E7E3C">
        <w:rPr>
          <w:rFonts w:eastAsia="Times New Roman" w:cs="Arial"/>
          <w:color w:val="000000"/>
          <w:szCs w:val="20"/>
          <w:lang w:eastAsia="bg-BG"/>
        </w:rPr>
        <w:t xml:space="preserve">в продължение на 10 седмици. Измерените средни плазмени концентрации са съответно 44,4 (±14,7) </w:t>
      </w:r>
      <w:r w:rsidRPr="008E7E3C">
        <w:rPr>
          <w:rFonts w:eastAsia="Times New Roman" w:cs="Arial"/>
          <w:color w:val="000000"/>
          <w:szCs w:val="20"/>
          <w:lang w:val="en-US"/>
        </w:rPr>
        <w:t>ng</w:t>
      </w:r>
      <w:r w:rsidRPr="008E7E3C">
        <w:rPr>
          <w:rFonts w:eastAsia="Times New Roman" w:cs="Arial"/>
          <w:color w:val="000000"/>
          <w:szCs w:val="20"/>
          <w:lang w:val="ru-RU"/>
        </w:rPr>
        <w:t>/</w:t>
      </w:r>
      <w:r w:rsidRPr="008E7E3C">
        <w:rPr>
          <w:rFonts w:eastAsia="Times New Roman" w:cs="Arial"/>
          <w:color w:val="000000"/>
          <w:szCs w:val="20"/>
          <w:lang w:val="en-US"/>
        </w:rPr>
        <w:t>ml</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и 165 (±90) </w:t>
      </w:r>
      <w:r w:rsidRPr="008E7E3C">
        <w:rPr>
          <w:rFonts w:eastAsia="Times New Roman" w:cs="Arial"/>
          <w:color w:val="000000"/>
          <w:szCs w:val="20"/>
          <w:lang w:val="en-US"/>
        </w:rPr>
        <w:t>ng</w:t>
      </w:r>
      <w:r w:rsidRPr="008E7E3C">
        <w:rPr>
          <w:rFonts w:eastAsia="Times New Roman" w:cs="Arial"/>
          <w:color w:val="000000"/>
          <w:szCs w:val="20"/>
          <w:lang w:val="ru-RU"/>
        </w:rPr>
        <w:t>/</w:t>
      </w:r>
      <w:r w:rsidRPr="008E7E3C">
        <w:rPr>
          <w:rFonts w:eastAsia="Times New Roman" w:cs="Arial"/>
          <w:color w:val="000000"/>
          <w:szCs w:val="20"/>
          <w:lang w:val="en-US"/>
        </w:rPr>
        <w:t>ml</w:t>
      </w:r>
      <w:r w:rsidRPr="008E7E3C">
        <w:rPr>
          <w:rFonts w:eastAsia="Times New Roman" w:cs="Arial"/>
          <w:color w:val="000000"/>
          <w:szCs w:val="20"/>
          <w:lang w:val="ru-RU"/>
        </w:rPr>
        <w:t xml:space="preserve">. </w:t>
      </w:r>
      <w:r w:rsidRPr="008E7E3C">
        <w:rPr>
          <w:rFonts w:eastAsia="Times New Roman" w:cs="Arial"/>
          <w:color w:val="000000"/>
          <w:szCs w:val="20"/>
          <w:lang w:eastAsia="bg-BG"/>
        </w:rPr>
        <w:t xml:space="preserve">Показателите за чифтосване са засегнати в негативна посока и в двете </w:t>
      </w:r>
      <w:r w:rsidRPr="008E7E3C">
        <w:rPr>
          <w:rFonts w:eastAsia="Times New Roman" w:cs="Arial"/>
          <w:color w:val="000000"/>
          <w:szCs w:val="20"/>
          <w:lang w:eastAsia="bg-BG"/>
        </w:rPr>
        <w:lastRenderedPageBreak/>
        <w:t xml:space="preserve">групи, но понижен фертилитет е установен само в групата, получавала анастрозол в доза 400 </w:t>
      </w:r>
      <w:r w:rsidRPr="008E7E3C">
        <w:rPr>
          <w:rFonts w:eastAsia="Times New Roman" w:cs="Arial"/>
          <w:color w:val="000000"/>
          <w:szCs w:val="20"/>
          <w:lang w:val="en-US"/>
        </w:rPr>
        <w:t>mg</w:t>
      </w:r>
      <w:r w:rsidRPr="008E7E3C">
        <w:rPr>
          <w:rFonts w:eastAsia="Times New Roman" w:cs="Arial"/>
          <w:color w:val="000000"/>
          <w:szCs w:val="20"/>
          <w:lang w:val="ru-RU"/>
        </w:rPr>
        <w:t xml:space="preserve">/1. </w:t>
      </w:r>
      <w:r w:rsidRPr="008E7E3C">
        <w:rPr>
          <w:rFonts w:eastAsia="Times New Roman" w:cs="Arial"/>
          <w:color w:val="000000"/>
          <w:szCs w:val="20"/>
          <w:lang w:eastAsia="bg-BG"/>
        </w:rPr>
        <w:t>Понижаването на фергилитета е преходно - след 9-седмичен период на възстановяване без прием на лекарствения продукт всички показатели за чифтосване и фертилитет са сходни с тези в контролната група.</w:t>
      </w:r>
    </w:p>
    <w:p w14:paraId="044B7FFC" w14:textId="77777777" w:rsidR="008E7E3C" w:rsidRPr="008E7E3C" w:rsidRDefault="008E7E3C" w:rsidP="008E7E3C">
      <w:pPr>
        <w:rPr>
          <w:rFonts w:eastAsia="Times New Roman" w:cs="Arial"/>
          <w:color w:val="000000"/>
          <w:szCs w:val="20"/>
          <w:lang w:eastAsia="bg-BG"/>
        </w:rPr>
      </w:pPr>
    </w:p>
    <w:p w14:paraId="14C0AA0D" w14:textId="5F7990A8" w:rsidR="008E7E3C" w:rsidRPr="008E7E3C" w:rsidRDefault="008E7E3C" w:rsidP="008E7E3C">
      <w:pPr>
        <w:rPr>
          <w:rFonts w:eastAsia="Times New Roman" w:cs="Arial"/>
          <w:color w:val="000000"/>
          <w:szCs w:val="20"/>
          <w:lang w:eastAsia="bg-BG"/>
        </w:rPr>
      </w:pPr>
      <w:r w:rsidRPr="008E7E3C">
        <w:rPr>
          <w:rFonts w:eastAsia="Times New Roman" w:cs="Arial"/>
          <w:color w:val="000000"/>
          <w:szCs w:val="20"/>
          <w:lang w:eastAsia="bg-BG"/>
        </w:rPr>
        <w:t xml:space="preserve">Пероралното приложение на анастрозол на женски плъхове води до висока честота на развитие на безплодие при доза 1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 xml:space="preserve">/дневно и повишена предимплантационна загуба на плода при доза 0,02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 Тези ефекти се развиват в дози, съпоставими с клиничната. Не може да се изключи ефект при хора. Тези ефекти са свързани с фармакологичното действие на съединението и са напълно обратими след 5-седмичен период без прием на лекарствения продукт.</w:t>
      </w:r>
    </w:p>
    <w:p w14:paraId="55AF5A04" w14:textId="431D3541" w:rsidR="008E7E3C" w:rsidRPr="008E7E3C" w:rsidRDefault="008E7E3C" w:rsidP="008E7E3C">
      <w:pPr>
        <w:rPr>
          <w:rFonts w:eastAsia="Times New Roman" w:cs="Arial"/>
          <w:color w:val="000000"/>
          <w:szCs w:val="20"/>
          <w:lang w:eastAsia="bg-BG"/>
        </w:rPr>
      </w:pPr>
    </w:p>
    <w:p w14:paraId="03301BDB" w14:textId="77777777"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Пероралното приложение на анастрозол при бременни плъхове и зайци съответно в дози до 1,0 и 0,2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 няма тератогенен ефект. Наблюдаваните ефекти (хипертрофия на плацентата при плъхове и загуба на плода при зайци) са свързани с фармакологичните ефекти на веществото.</w:t>
      </w:r>
    </w:p>
    <w:p w14:paraId="6D56C907" w14:textId="77777777" w:rsidR="008E7E3C" w:rsidRPr="008E7E3C" w:rsidRDefault="008E7E3C" w:rsidP="008E7E3C">
      <w:pPr>
        <w:spacing w:line="240" w:lineRule="auto"/>
        <w:rPr>
          <w:rFonts w:eastAsia="Times New Roman" w:cs="Arial"/>
          <w:color w:val="000000"/>
          <w:szCs w:val="20"/>
          <w:lang w:eastAsia="bg-BG"/>
        </w:rPr>
      </w:pPr>
    </w:p>
    <w:p w14:paraId="67A94A11" w14:textId="0CE2A168"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Преживяемостта на плъхове, яа чиито майки е даван анастрозол в доза 0,02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 или по-висока (от 17-ия ден на бременността до 22-ия ден след раждането), е нарушена. Тези ефекти са свързани с фармакологичните ефекти на препарата върху родовата дейност. Не са наблюдавани нежелани ефекти върху поведението или възпроизводството на първото поколение, които биха могли да се отдадат на приложението на анастрозол при майката.</w:t>
      </w:r>
    </w:p>
    <w:p w14:paraId="64C03EB9" w14:textId="77777777" w:rsidR="008E7E3C" w:rsidRPr="008E7E3C" w:rsidRDefault="008E7E3C" w:rsidP="008E7E3C">
      <w:pPr>
        <w:spacing w:line="240" w:lineRule="auto"/>
        <w:rPr>
          <w:rFonts w:eastAsia="Times New Roman" w:cs="Arial"/>
          <w:color w:val="000000"/>
          <w:szCs w:val="20"/>
          <w:u w:val="single"/>
          <w:lang w:eastAsia="bg-BG"/>
        </w:rPr>
      </w:pPr>
    </w:p>
    <w:p w14:paraId="648B6024" w14:textId="356AFEDD"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u w:val="single"/>
          <w:lang w:eastAsia="bg-BG"/>
        </w:rPr>
        <w:t>Канцерогенен потенциал</w:t>
      </w:r>
    </w:p>
    <w:p w14:paraId="4AB64320" w14:textId="77777777" w:rsidR="008E7E3C" w:rsidRPr="008E7E3C" w:rsidRDefault="008E7E3C" w:rsidP="008E7E3C">
      <w:pPr>
        <w:spacing w:line="240" w:lineRule="auto"/>
        <w:rPr>
          <w:rFonts w:eastAsia="Times New Roman" w:cs="Arial"/>
          <w:color w:val="000000"/>
          <w:szCs w:val="20"/>
          <w:lang w:eastAsia="bg-BG"/>
        </w:rPr>
      </w:pPr>
    </w:p>
    <w:p w14:paraId="51F4407C" w14:textId="3E332243"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 xml:space="preserve">Двугодишно проучване за онкогенен потенциал при плъхове показа повишаване на честотата на развитие на чернодробни неоплазми и на стромални полипи на матката при женски плъхове, и на аденоми на щитовидната жлеза при мъжки плъхове - само при високата доза (25 </w:t>
      </w:r>
      <w:r w:rsidRPr="008E7E3C">
        <w:rPr>
          <w:rFonts w:eastAsia="Times New Roman" w:cs="Arial"/>
          <w:color w:val="000000"/>
          <w:szCs w:val="20"/>
          <w:lang w:val="en-US"/>
        </w:rPr>
        <w:t>mg</w:t>
      </w:r>
      <w:r w:rsidRPr="008E7E3C">
        <w:rPr>
          <w:rFonts w:eastAsia="Times New Roman" w:cs="Arial"/>
          <w:color w:val="000000"/>
          <w:szCs w:val="20"/>
          <w:lang w:val="ru-RU"/>
        </w:rPr>
        <w:t>/</w:t>
      </w:r>
      <w:r w:rsidRPr="008E7E3C">
        <w:rPr>
          <w:rFonts w:eastAsia="Times New Roman" w:cs="Arial"/>
          <w:color w:val="000000"/>
          <w:szCs w:val="20"/>
          <w:lang w:val="en-US"/>
        </w:rPr>
        <w:t>kg</w:t>
      </w:r>
      <w:r w:rsidRPr="008E7E3C">
        <w:rPr>
          <w:rFonts w:eastAsia="Times New Roman" w:cs="Arial"/>
          <w:color w:val="000000"/>
          <w:szCs w:val="20"/>
          <w:lang w:eastAsia="bg-BG"/>
        </w:rPr>
        <w:t>/дневно). Тези промени настъпват при доза, която води до 100 пъти по-голяма експозиция от експозицията при терапевтични дози при хора и се смята, че нямат клинично значение за лечението на хора с анастрозол.</w:t>
      </w:r>
    </w:p>
    <w:p w14:paraId="434CA1C6" w14:textId="77777777" w:rsidR="008E7E3C" w:rsidRPr="008E7E3C" w:rsidRDefault="008E7E3C" w:rsidP="008E7E3C">
      <w:pPr>
        <w:spacing w:line="240" w:lineRule="auto"/>
        <w:rPr>
          <w:rFonts w:eastAsia="Times New Roman" w:cs="Arial"/>
          <w:color w:val="000000"/>
          <w:szCs w:val="20"/>
          <w:lang w:eastAsia="bg-BG"/>
        </w:rPr>
      </w:pPr>
    </w:p>
    <w:p w14:paraId="225AB51B" w14:textId="4D39F3D9" w:rsidR="008E7E3C" w:rsidRPr="008E7E3C" w:rsidRDefault="008E7E3C" w:rsidP="008E7E3C">
      <w:pPr>
        <w:spacing w:line="240" w:lineRule="auto"/>
        <w:rPr>
          <w:rFonts w:eastAsia="Times New Roman" w:cs="Arial"/>
          <w:sz w:val="28"/>
          <w:szCs w:val="24"/>
        </w:rPr>
      </w:pPr>
      <w:r w:rsidRPr="008E7E3C">
        <w:rPr>
          <w:rFonts w:eastAsia="Times New Roman" w:cs="Arial"/>
          <w:color w:val="000000"/>
          <w:szCs w:val="20"/>
          <w:lang w:eastAsia="bg-BG"/>
        </w:rPr>
        <w:t>Двугодишно проучване за онкогенен потенциал при мишки показа индуциране на развитието на доброкачествени тумори на яйчника и промени в честотата на развитие на лимфоретикуларни неоплазми (по-малко хистиоцитни саркоми при женски мишки и повече смъртни случаи от лимфоми). Смята се, че това са специфични за мишки ефекти от инхибирането на ароматазата и нямат клинично значение за лечението на хора с анастрозол.</w:t>
      </w:r>
    </w:p>
    <w:p w14:paraId="5290C45F" w14:textId="77777777" w:rsidR="008E7E3C" w:rsidRPr="008E7E3C" w:rsidRDefault="008E7E3C" w:rsidP="008E7E3C"/>
    <w:p w14:paraId="1BA6531D" w14:textId="756477FE" w:rsidR="00B6672E" w:rsidRDefault="002C50EE" w:rsidP="00936AD0">
      <w:pPr>
        <w:pStyle w:val="Heading1"/>
      </w:pPr>
      <w:r>
        <w:t>7. ПРИТЕЖАТЕЛ НА РАЗРЕШЕНИЕТО ЗА УПОТРЕБА</w:t>
      </w:r>
    </w:p>
    <w:p w14:paraId="2A5C3E37" w14:textId="2FCB9009" w:rsidR="008E7E3C" w:rsidRDefault="008E7E3C" w:rsidP="008E7E3C"/>
    <w:p w14:paraId="3D05CC5D" w14:textId="77777777" w:rsidR="008E7E3C" w:rsidRPr="008E7E3C" w:rsidRDefault="008E7E3C" w:rsidP="008E7E3C">
      <w:pPr>
        <w:rPr>
          <w:sz w:val="24"/>
          <w:szCs w:val="24"/>
          <w:lang w:val="en-US"/>
        </w:rPr>
      </w:pPr>
      <w:proofErr w:type="spellStart"/>
      <w:r w:rsidRPr="008E7E3C">
        <w:rPr>
          <w:lang w:val="en-US"/>
        </w:rPr>
        <w:t>Laboratoires</w:t>
      </w:r>
      <w:proofErr w:type="spellEnd"/>
      <w:r w:rsidRPr="008E7E3C">
        <w:rPr>
          <w:lang w:val="en-US"/>
        </w:rPr>
        <w:t xml:space="preserve"> </w:t>
      </w:r>
      <w:proofErr w:type="spellStart"/>
      <w:r w:rsidRPr="008E7E3C">
        <w:rPr>
          <w:lang w:val="en-US"/>
        </w:rPr>
        <w:t>Juvise</w:t>
      </w:r>
      <w:proofErr w:type="spellEnd"/>
      <w:r w:rsidRPr="008E7E3C">
        <w:rPr>
          <w:lang w:val="en-US"/>
        </w:rPr>
        <w:t xml:space="preserve"> Pharmaceuticals</w:t>
      </w:r>
    </w:p>
    <w:p w14:paraId="227DD4D8" w14:textId="77777777" w:rsidR="008E7E3C" w:rsidRPr="008E7E3C" w:rsidRDefault="008E7E3C" w:rsidP="008E7E3C">
      <w:pPr>
        <w:rPr>
          <w:sz w:val="24"/>
          <w:szCs w:val="24"/>
          <w:lang w:val="en-US"/>
        </w:rPr>
      </w:pPr>
      <w:r w:rsidRPr="008E7E3C">
        <w:rPr>
          <w:lang w:eastAsia="bg-BG"/>
        </w:rPr>
        <w:t xml:space="preserve">149 </w:t>
      </w:r>
      <w:r w:rsidRPr="008E7E3C">
        <w:rPr>
          <w:lang w:val="en-US"/>
        </w:rPr>
        <w:t xml:space="preserve">Boulevard </w:t>
      </w:r>
      <w:proofErr w:type="spellStart"/>
      <w:r w:rsidRPr="008E7E3C">
        <w:rPr>
          <w:lang w:val="en-US"/>
        </w:rPr>
        <w:t>Bataille</w:t>
      </w:r>
      <w:proofErr w:type="spellEnd"/>
      <w:r w:rsidRPr="008E7E3C">
        <w:rPr>
          <w:lang w:val="en-US"/>
        </w:rPr>
        <w:t xml:space="preserve"> de Stalingrad</w:t>
      </w:r>
    </w:p>
    <w:p w14:paraId="505B19C4" w14:textId="77777777" w:rsidR="008E7E3C" w:rsidRPr="008E7E3C" w:rsidRDefault="008E7E3C" w:rsidP="008E7E3C">
      <w:pPr>
        <w:rPr>
          <w:sz w:val="24"/>
          <w:szCs w:val="24"/>
          <w:lang w:val="ru-RU"/>
        </w:rPr>
      </w:pPr>
      <w:r w:rsidRPr="008E7E3C">
        <w:rPr>
          <w:lang w:val="ru-RU"/>
        </w:rPr>
        <w:t xml:space="preserve">69100 </w:t>
      </w:r>
      <w:proofErr w:type="spellStart"/>
      <w:r w:rsidRPr="008E7E3C">
        <w:rPr>
          <w:lang w:val="en-US"/>
        </w:rPr>
        <w:t>Villeufbanne</w:t>
      </w:r>
      <w:proofErr w:type="spellEnd"/>
    </w:p>
    <w:p w14:paraId="2F616AC2" w14:textId="51F84FFD" w:rsidR="008E7E3C" w:rsidRPr="008E7E3C" w:rsidRDefault="008E7E3C" w:rsidP="008E7E3C">
      <w:r w:rsidRPr="008E7E3C">
        <w:rPr>
          <w:lang w:eastAsia="bg-BG"/>
        </w:rPr>
        <w:t>Франция</w:t>
      </w:r>
    </w:p>
    <w:p w14:paraId="508F3A54" w14:textId="3E218A4E" w:rsidR="00B6672E" w:rsidRDefault="00936AD0" w:rsidP="00936AD0">
      <w:pPr>
        <w:pStyle w:val="Heading1"/>
      </w:pPr>
      <w:r>
        <w:lastRenderedPageBreak/>
        <w:t>8.</w:t>
      </w:r>
      <w:r w:rsidR="002C50EE">
        <w:t>НОМЕР НА РАЗРЕШЕНИЕТО ЗА УПОТРЕБА</w:t>
      </w:r>
    </w:p>
    <w:p w14:paraId="27C3B3AB" w14:textId="19D07F17" w:rsidR="008E7E3C" w:rsidRDefault="008E7E3C" w:rsidP="008E7E3C"/>
    <w:p w14:paraId="6EA85245" w14:textId="72CD8938" w:rsidR="008E7E3C" w:rsidRPr="008E7E3C" w:rsidRDefault="008E7E3C" w:rsidP="008E7E3C">
      <w:r>
        <w:t>9700298</w:t>
      </w:r>
    </w:p>
    <w:p w14:paraId="2CCB5832" w14:textId="52162C2B" w:rsidR="007C605B" w:rsidRDefault="002C50EE" w:rsidP="007C605B">
      <w:pPr>
        <w:pStyle w:val="Heading1"/>
      </w:pPr>
      <w:r>
        <w:t>9. ДАТА НА ПЪРВО РАЗРЕШАВАНЕ/ПОДНОВЯВАНЕ НА РАЗРЕШЕНИЕТО ЗА УПОТРЕБА</w:t>
      </w:r>
    </w:p>
    <w:p w14:paraId="37A94D28" w14:textId="7501C1B5" w:rsidR="008E7E3C" w:rsidRDefault="008E7E3C" w:rsidP="008E7E3C"/>
    <w:p w14:paraId="5F713636" w14:textId="2CC438D2" w:rsidR="008E7E3C" w:rsidRPr="008E7E3C" w:rsidRDefault="008E7E3C" w:rsidP="008E7E3C">
      <w:r>
        <w:t>15.05.1997/02.02.2015</w:t>
      </w:r>
      <w:bookmarkStart w:id="2" w:name="_GoBack"/>
      <w:bookmarkEnd w:id="2"/>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ED7E38"/>
    <w:multiLevelType w:val="hybridMultilevel"/>
    <w:tmpl w:val="0BF2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52DB"/>
    <w:multiLevelType w:val="hybridMultilevel"/>
    <w:tmpl w:val="DDCC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3"/>
  </w:num>
  <w:num w:numId="12">
    <w:abstractNumId w:val="16"/>
  </w:num>
  <w:num w:numId="13">
    <w:abstractNumId w:val="21"/>
  </w:num>
  <w:num w:numId="14">
    <w:abstractNumId w:val="14"/>
  </w:num>
  <w:num w:numId="15">
    <w:abstractNumId w:val="32"/>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4"/>
  </w:num>
  <w:num w:numId="28">
    <w:abstractNumId w:val="7"/>
  </w:num>
  <w:num w:numId="29">
    <w:abstractNumId w:val="22"/>
  </w:num>
  <w:num w:numId="30">
    <w:abstractNumId w:val="37"/>
  </w:num>
  <w:num w:numId="31">
    <w:abstractNumId w:val="6"/>
  </w:num>
  <w:num w:numId="32">
    <w:abstractNumId w:val="36"/>
  </w:num>
  <w:num w:numId="33">
    <w:abstractNumId w:val="31"/>
  </w:num>
  <w:num w:numId="34">
    <w:abstractNumId w:val="35"/>
  </w:num>
  <w:num w:numId="35">
    <w:abstractNumId w:val="8"/>
  </w:num>
  <w:num w:numId="36">
    <w:abstractNumId w:val="11"/>
  </w:num>
  <w:num w:numId="37">
    <w:abstractNumId w:val="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45FA1"/>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8E7E3C"/>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A5DA6"/>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5543</Words>
  <Characters>31600</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2022-06-20T13:10:00Z</dcterms:created>
  <dcterms:modified xsi:type="dcterms:W3CDTF">2022-06-20T13:10:00Z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