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Pr="00411791" w:rsidRDefault="002C50EE" w:rsidP="002C50EE">
      <w:pPr>
        <w:pStyle w:val="Heading1"/>
        <w:jc w:val="center"/>
      </w:pPr>
      <w:bookmarkStart w:id="0" w:name="_Hlk63124480"/>
      <w:r w:rsidRPr="00411791">
        <w:t>КРАТКА ХАРАКТЕРИСТИКА НА ПРОДУКТА</w:t>
      </w:r>
    </w:p>
    <w:p w14:paraId="3320F4BE" w14:textId="5AD45A49" w:rsidR="00C40420" w:rsidRPr="00411791" w:rsidRDefault="00DD466D" w:rsidP="004A448E">
      <w:pPr>
        <w:pStyle w:val="Heading1"/>
      </w:pPr>
      <w:r w:rsidRPr="00411791">
        <w:t>1.ИМЕ НА ЛЕКАРСТВЕНИЯ ПРОДУКТ</w:t>
      </w:r>
    </w:p>
    <w:p w14:paraId="1F9898FC" w14:textId="3C31B5B1" w:rsidR="008D3FF5" w:rsidRPr="00411791" w:rsidRDefault="008D3FF5" w:rsidP="008D3FF5"/>
    <w:p w14:paraId="1A66518C" w14:textId="77777777" w:rsidR="008D3FF5" w:rsidRPr="00411791" w:rsidRDefault="008D3FF5" w:rsidP="008D3FF5">
      <w:pPr>
        <w:rPr>
          <w:sz w:val="24"/>
          <w:szCs w:val="24"/>
        </w:rPr>
      </w:pPr>
      <w:r w:rsidRPr="00411791">
        <w:rPr>
          <w:lang w:eastAsia="bg-BG"/>
        </w:rPr>
        <w:t xml:space="preserve">АРОМАЗИН 25 </w:t>
      </w:r>
      <w:proofErr w:type="spellStart"/>
      <w:r w:rsidRPr="00411791">
        <w:t>mg</w:t>
      </w:r>
      <w:proofErr w:type="spellEnd"/>
      <w:r w:rsidRPr="00411791">
        <w:t xml:space="preserve"> </w:t>
      </w:r>
      <w:r w:rsidRPr="00411791">
        <w:rPr>
          <w:lang w:eastAsia="bg-BG"/>
        </w:rPr>
        <w:t>обвити таблетки</w:t>
      </w:r>
    </w:p>
    <w:p w14:paraId="625339D4" w14:textId="77777777" w:rsidR="008D3FF5" w:rsidRPr="00411791" w:rsidRDefault="008D3FF5" w:rsidP="008D3FF5">
      <w:pPr>
        <w:rPr>
          <w:sz w:val="24"/>
          <w:szCs w:val="24"/>
        </w:rPr>
      </w:pPr>
      <w:proofErr w:type="spellStart"/>
      <w:r w:rsidRPr="00411791">
        <w:t>Aromasin</w:t>
      </w:r>
      <w:proofErr w:type="spellEnd"/>
      <w:r w:rsidRPr="00411791">
        <w:t xml:space="preserve"> </w:t>
      </w:r>
      <w:r w:rsidRPr="00411791">
        <w:rPr>
          <w:lang w:eastAsia="bg-BG"/>
        </w:rPr>
        <w:t xml:space="preserve">25 </w:t>
      </w:r>
      <w:proofErr w:type="spellStart"/>
      <w:r w:rsidRPr="00411791">
        <w:t>mg</w:t>
      </w:r>
      <w:proofErr w:type="spellEnd"/>
      <w:r w:rsidRPr="00411791">
        <w:t xml:space="preserve"> </w:t>
      </w:r>
      <w:proofErr w:type="spellStart"/>
      <w:r w:rsidRPr="00411791">
        <w:t>coated</w:t>
      </w:r>
      <w:proofErr w:type="spellEnd"/>
      <w:r w:rsidRPr="00411791">
        <w:t xml:space="preserve"> </w:t>
      </w:r>
      <w:proofErr w:type="spellStart"/>
      <w:r w:rsidRPr="00411791">
        <w:t>tablets</w:t>
      </w:r>
      <w:proofErr w:type="spellEnd"/>
    </w:p>
    <w:p w14:paraId="5A141F57" w14:textId="77777777" w:rsidR="008D3FF5" w:rsidRPr="00411791" w:rsidRDefault="008D3FF5" w:rsidP="008D3FF5"/>
    <w:p w14:paraId="6920A680" w14:textId="2DDE6F48" w:rsidR="00C40420" w:rsidRPr="00411791" w:rsidRDefault="00DD466D" w:rsidP="004A448E">
      <w:pPr>
        <w:pStyle w:val="Heading1"/>
      </w:pPr>
      <w:r w:rsidRPr="00411791">
        <w:t>2. КАЧЕСТВЕН И КОЛИЧЕСТВЕН СЪСТАВ</w:t>
      </w:r>
    </w:p>
    <w:p w14:paraId="495FDAE6" w14:textId="7D5D76CD" w:rsidR="008D3FF5" w:rsidRPr="00411791" w:rsidRDefault="008D3FF5" w:rsidP="008D3FF5"/>
    <w:p w14:paraId="02B1EBD9" w14:textId="77777777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Активно вещество: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</w:t>
      </w:r>
      <w:r w:rsidRPr="00411791">
        <w:rPr>
          <w:rFonts w:eastAsia="Times New Roman" w:cs="Arial"/>
          <w:i/>
          <w:iCs/>
          <w:color w:val="000000"/>
          <w:szCs w:val="20"/>
        </w:rPr>
        <w:t>(</w:t>
      </w:r>
      <w:proofErr w:type="spellStart"/>
      <w:r w:rsidRPr="00411791">
        <w:rPr>
          <w:rFonts w:eastAsia="Times New Roman" w:cs="Arial"/>
          <w:i/>
          <w:iCs/>
          <w:color w:val="000000"/>
          <w:szCs w:val="20"/>
        </w:rPr>
        <w:t>exemeslane</w:t>
      </w:r>
      <w:proofErr w:type="spellEnd"/>
      <w:r w:rsidRPr="00411791">
        <w:rPr>
          <w:rFonts w:eastAsia="Times New Roman" w:cs="Arial"/>
          <w:i/>
          <w:iCs/>
          <w:color w:val="000000"/>
          <w:szCs w:val="20"/>
        </w:rPr>
        <w:t>)</w:t>
      </w:r>
    </w:p>
    <w:p w14:paraId="6063B529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EB187A5" w14:textId="40E305D6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Всяка обвита таблетка съдържа 25 </w:t>
      </w:r>
      <w:proofErr w:type="spellStart"/>
      <w:r w:rsidRPr="00411791">
        <w:rPr>
          <w:rFonts w:eastAsia="Times New Roman" w:cs="Arial"/>
          <w:color w:val="000000"/>
          <w:szCs w:val="20"/>
        </w:rPr>
        <w:t>mg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>.</w:t>
      </w:r>
    </w:p>
    <w:p w14:paraId="51B5A761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BADBE66" w14:textId="4A1CE623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u w:val="single"/>
          <w:lang w:eastAsia="bg-BG"/>
        </w:rPr>
        <w:t>Помощни вещества с известно действие</w:t>
      </w:r>
      <w:r w:rsidRPr="00411791">
        <w:rPr>
          <w:rFonts w:eastAsia="Times New Roman" w:cs="Arial"/>
          <w:color w:val="000000"/>
          <w:szCs w:val="20"/>
          <w:lang w:eastAsia="bg-BG"/>
        </w:rPr>
        <w:t>:</w:t>
      </w:r>
    </w:p>
    <w:p w14:paraId="05A3A118" w14:textId="2B1DA6C8" w:rsidR="008D3FF5" w:rsidRPr="00411791" w:rsidRDefault="008D3FF5" w:rsidP="008D3FF5">
      <w:pPr>
        <w:rPr>
          <w:rFonts w:cs="Arial"/>
          <w:sz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Всяка таблетка съдържа 30,2 </w:t>
      </w:r>
      <w:proofErr w:type="spellStart"/>
      <w:r w:rsidRPr="00411791">
        <w:rPr>
          <w:rFonts w:eastAsia="Times New Roman" w:cs="Arial"/>
          <w:color w:val="000000"/>
          <w:szCs w:val="20"/>
        </w:rPr>
        <w:t>mg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захароза и 0,003 </w:t>
      </w:r>
      <w:proofErr w:type="spellStart"/>
      <w:r w:rsidRPr="00411791">
        <w:rPr>
          <w:rFonts w:eastAsia="Times New Roman" w:cs="Arial"/>
          <w:color w:val="000000"/>
          <w:szCs w:val="20"/>
        </w:rPr>
        <w:t>mg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метил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парахидроксибензоат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(Е218).</w:t>
      </w:r>
    </w:p>
    <w:p w14:paraId="614984C4" w14:textId="47C04E96" w:rsidR="008A6AF2" w:rsidRPr="00411791" w:rsidRDefault="00DD466D" w:rsidP="002C50EE">
      <w:pPr>
        <w:pStyle w:val="Heading1"/>
      </w:pPr>
      <w:r w:rsidRPr="00411791">
        <w:t>3. ЛЕКАРСТВЕНА ФОРМА</w:t>
      </w:r>
    </w:p>
    <w:p w14:paraId="3793AD8E" w14:textId="3775EAFE" w:rsidR="008D3FF5" w:rsidRPr="00411791" w:rsidRDefault="008D3FF5" w:rsidP="008D3FF5"/>
    <w:p w14:paraId="033F8156" w14:textId="77777777" w:rsidR="008D3FF5" w:rsidRPr="00411791" w:rsidRDefault="008D3FF5" w:rsidP="008D3FF5">
      <w:pPr>
        <w:rPr>
          <w:sz w:val="24"/>
          <w:szCs w:val="24"/>
        </w:rPr>
      </w:pPr>
      <w:r w:rsidRPr="00411791">
        <w:rPr>
          <w:lang w:eastAsia="bg-BG"/>
        </w:rPr>
        <w:t>Обвита таблетка</w:t>
      </w:r>
    </w:p>
    <w:p w14:paraId="36517E6F" w14:textId="77777777" w:rsidR="008D3FF5" w:rsidRPr="00411791" w:rsidRDefault="008D3FF5" w:rsidP="008D3FF5">
      <w:pPr>
        <w:rPr>
          <w:sz w:val="24"/>
          <w:szCs w:val="24"/>
        </w:rPr>
      </w:pPr>
      <w:r w:rsidRPr="00411791">
        <w:rPr>
          <w:lang w:eastAsia="bg-BG"/>
        </w:rPr>
        <w:t>Кръгла, двойноизпъкнала, белезникаво бяла обвита таблетка, маркирана от едната страна със 7663.</w:t>
      </w:r>
    </w:p>
    <w:p w14:paraId="41C4D3E9" w14:textId="77777777" w:rsidR="008D3FF5" w:rsidRPr="00411791" w:rsidRDefault="008D3FF5" w:rsidP="008D3FF5"/>
    <w:p w14:paraId="490FC2C4" w14:textId="32682B15" w:rsidR="002C50EE" w:rsidRPr="00411791" w:rsidRDefault="002C50EE" w:rsidP="002C50EE">
      <w:pPr>
        <w:pStyle w:val="Heading1"/>
      </w:pPr>
      <w:r w:rsidRPr="00411791">
        <w:t>4. КЛИНИЧНИ ДАННИ</w:t>
      </w:r>
    </w:p>
    <w:p w14:paraId="0C8E6903" w14:textId="6F6C3906" w:rsidR="008134C8" w:rsidRPr="00411791" w:rsidRDefault="002C50EE" w:rsidP="004A448E">
      <w:pPr>
        <w:pStyle w:val="Heading2"/>
      </w:pPr>
      <w:r w:rsidRPr="00411791">
        <w:t>4.1. Терапевтични показания</w:t>
      </w:r>
    </w:p>
    <w:p w14:paraId="25D47DB6" w14:textId="63E7838F" w:rsidR="008D3FF5" w:rsidRPr="00411791" w:rsidRDefault="008D3FF5" w:rsidP="008D3FF5"/>
    <w:p w14:paraId="1FD9D65D" w14:textId="32C9F48B" w:rsidR="008D3FF5" w:rsidRPr="00411791" w:rsidRDefault="008D3FF5" w:rsidP="008D3FF5">
      <w:pPr>
        <w:rPr>
          <w:sz w:val="24"/>
          <w:szCs w:val="24"/>
        </w:rPr>
      </w:pPr>
      <w:proofErr w:type="spellStart"/>
      <w:r w:rsidRPr="00411791">
        <w:rPr>
          <w:lang w:eastAsia="bg-BG"/>
        </w:rPr>
        <w:t>Екземестан</w:t>
      </w:r>
      <w:proofErr w:type="spellEnd"/>
      <w:r w:rsidRPr="00411791">
        <w:rPr>
          <w:lang w:eastAsia="bg-BG"/>
        </w:rPr>
        <w:t xml:space="preserve"> е показан за </w:t>
      </w:r>
      <w:proofErr w:type="spellStart"/>
      <w:r w:rsidRPr="00411791">
        <w:rPr>
          <w:lang w:eastAsia="bg-BG"/>
        </w:rPr>
        <w:t>адювантно</w:t>
      </w:r>
      <w:proofErr w:type="spellEnd"/>
      <w:r w:rsidRPr="00411791">
        <w:rPr>
          <w:lang w:eastAsia="bg-BG"/>
        </w:rPr>
        <w:t xml:space="preserve"> лечение </w:t>
      </w:r>
      <w:proofErr w:type="spellStart"/>
      <w:r w:rsidRPr="00411791">
        <w:rPr>
          <w:lang w:eastAsia="bg-BG"/>
        </w:rPr>
        <w:t>нри</w:t>
      </w:r>
      <w:proofErr w:type="spellEnd"/>
      <w:r w:rsidRPr="00411791">
        <w:rPr>
          <w:lang w:eastAsia="bg-BG"/>
        </w:rPr>
        <w:t xml:space="preserve"> жени след менопауза с положителен за естрогенни рецептори </w:t>
      </w:r>
      <w:r w:rsidR="00AE7BD5" w:rsidRPr="00411791">
        <w:rPr>
          <w:lang w:eastAsia="bg-BG"/>
        </w:rPr>
        <w:t>инвазивен</w:t>
      </w:r>
      <w:r w:rsidRPr="00411791">
        <w:rPr>
          <w:lang w:eastAsia="bg-BG"/>
        </w:rPr>
        <w:t xml:space="preserve"> ранен карцином на гърдата след първоначално </w:t>
      </w:r>
      <w:proofErr w:type="spellStart"/>
      <w:r w:rsidRPr="00411791">
        <w:rPr>
          <w:lang w:eastAsia="bg-BG"/>
        </w:rPr>
        <w:t>адювантно</w:t>
      </w:r>
      <w:proofErr w:type="spellEnd"/>
      <w:r w:rsidRPr="00411791">
        <w:rPr>
          <w:lang w:eastAsia="bg-BG"/>
        </w:rPr>
        <w:t xml:space="preserve"> лечение с </w:t>
      </w:r>
      <w:proofErr w:type="spellStart"/>
      <w:r w:rsidRPr="00411791">
        <w:rPr>
          <w:lang w:eastAsia="bg-BG"/>
        </w:rPr>
        <w:t>тамоксифен</w:t>
      </w:r>
      <w:proofErr w:type="spellEnd"/>
      <w:r w:rsidRPr="00411791">
        <w:rPr>
          <w:lang w:eastAsia="bg-BG"/>
        </w:rPr>
        <w:t xml:space="preserve"> в продължение на 2-3 години.</w:t>
      </w:r>
    </w:p>
    <w:p w14:paraId="7ABEA869" w14:textId="77777777" w:rsidR="008D3FF5" w:rsidRPr="00393A98" w:rsidRDefault="008D3FF5" w:rsidP="008D3FF5">
      <w:pPr>
        <w:rPr>
          <w:lang w:val="en-US" w:eastAsia="bg-BG"/>
        </w:rPr>
      </w:pPr>
    </w:p>
    <w:p w14:paraId="03017113" w14:textId="794C3C87" w:rsidR="008D3FF5" w:rsidRPr="00411791" w:rsidRDefault="008D3FF5" w:rsidP="008D3FF5">
      <w:pPr>
        <w:rPr>
          <w:sz w:val="24"/>
          <w:szCs w:val="24"/>
        </w:rPr>
      </w:pPr>
      <w:proofErr w:type="spellStart"/>
      <w:r w:rsidRPr="00411791">
        <w:rPr>
          <w:lang w:eastAsia="bg-BG"/>
        </w:rPr>
        <w:t>Екземестан</w:t>
      </w:r>
      <w:proofErr w:type="spellEnd"/>
      <w:r w:rsidRPr="00411791">
        <w:rPr>
          <w:lang w:eastAsia="bg-BG"/>
        </w:rPr>
        <w:t xml:space="preserve"> е показан за лечение на напреднал карцином на гърдата при жени с естествено или предизвикано състояние на менопауза, чието заболяване е прогресирало след а</w:t>
      </w:r>
      <w:r w:rsidR="00AE7BD5">
        <w:rPr>
          <w:lang w:eastAsia="bg-BG"/>
        </w:rPr>
        <w:t>н</w:t>
      </w:r>
      <w:r w:rsidRPr="00411791">
        <w:rPr>
          <w:lang w:eastAsia="bg-BG"/>
        </w:rPr>
        <w:t>ти-естрогенно лечение. Няма установена ефикасност при пациенти с отрицателен статус за естрогенни рецептори.</w:t>
      </w:r>
    </w:p>
    <w:p w14:paraId="43AEF9FD" w14:textId="77777777" w:rsidR="008D3FF5" w:rsidRPr="00411791" w:rsidRDefault="008D3FF5" w:rsidP="008D3FF5"/>
    <w:p w14:paraId="30BE2C7B" w14:textId="7F4FABB1" w:rsidR="008134C8" w:rsidRPr="00411791" w:rsidRDefault="002C50EE" w:rsidP="004A448E">
      <w:pPr>
        <w:pStyle w:val="Heading2"/>
      </w:pPr>
      <w:r w:rsidRPr="00411791">
        <w:t>4.2. Дозировка и начин на приложение</w:t>
      </w:r>
    </w:p>
    <w:p w14:paraId="2E7AA6B4" w14:textId="325A158B" w:rsidR="008D3FF5" w:rsidRPr="00411791" w:rsidRDefault="008D3FF5" w:rsidP="008D3FF5"/>
    <w:p w14:paraId="77FDCFFF" w14:textId="77777777" w:rsidR="008D3FF5" w:rsidRPr="00411791" w:rsidRDefault="008D3FF5" w:rsidP="008D3FF5">
      <w:pPr>
        <w:pStyle w:val="Heading3"/>
        <w:rPr>
          <w:rFonts w:eastAsia="Times New Roman"/>
          <w:sz w:val="28"/>
          <w:u w:val="single"/>
        </w:rPr>
      </w:pPr>
      <w:r w:rsidRPr="00411791">
        <w:rPr>
          <w:rFonts w:eastAsia="Times New Roman"/>
          <w:u w:val="single"/>
          <w:lang w:eastAsia="bg-BG"/>
        </w:rPr>
        <w:t>Дозировка</w:t>
      </w:r>
    </w:p>
    <w:p w14:paraId="4E7922BD" w14:textId="77777777" w:rsidR="008D3FF5" w:rsidRPr="00411791" w:rsidRDefault="008D3FF5" w:rsidP="008D3FF5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5F216E2F" w14:textId="7CBAF76F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i/>
          <w:iCs/>
          <w:color w:val="000000"/>
          <w:szCs w:val="20"/>
          <w:lang w:eastAsia="bg-BG"/>
        </w:rPr>
        <w:t>Възрастни пациенти и пациенти в напреднала възраст</w:t>
      </w:r>
    </w:p>
    <w:p w14:paraId="5C918DE6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08CE75B" w14:textId="763B50A4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Препоръчваната доза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екзсместан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е една таблетка от 25 </w:t>
      </w:r>
      <w:proofErr w:type="spellStart"/>
      <w:r w:rsidRPr="00411791">
        <w:rPr>
          <w:rFonts w:eastAsia="Times New Roman" w:cs="Arial"/>
          <w:color w:val="000000"/>
          <w:szCs w:val="20"/>
        </w:rPr>
        <w:t>mg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, </w:t>
      </w:r>
      <w:r w:rsidRPr="00411791">
        <w:rPr>
          <w:rFonts w:eastAsia="Times New Roman" w:cs="Arial"/>
          <w:color w:val="000000"/>
          <w:szCs w:val="20"/>
          <w:lang w:eastAsia="bg-BG"/>
        </w:rPr>
        <w:t>прие та веднъж дневно, за предпочитане след хранене.</w:t>
      </w:r>
    </w:p>
    <w:p w14:paraId="5CF7256F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8943F36" w14:textId="17FE797D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При пациенти с ранен карцином на гърдата лечението с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трябва да продължи до завършване на пълни пет години комбинирано последователно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адювантно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хормонално лечение (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тамоксифе</w:t>
      </w:r>
      <w:r w:rsidR="00AE7BD5">
        <w:rPr>
          <w:rFonts w:eastAsia="Times New Roman" w:cs="Arial"/>
          <w:color w:val="000000"/>
          <w:szCs w:val="20"/>
          <w:lang w:eastAsia="bg-BG"/>
        </w:rPr>
        <w:t>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, следван от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>) или по-рано при поява на рецидив на тумора.</w:t>
      </w:r>
    </w:p>
    <w:p w14:paraId="5C02E4B3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A49DA73" w14:textId="56FDA72A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При пациенти с напреднал карцином на гърдата лечението с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трябва да продължи до доказана прогресия на тумора.</w:t>
      </w:r>
      <w:bookmarkStart w:id="1" w:name="bookmark0"/>
      <w:bookmarkEnd w:id="1"/>
    </w:p>
    <w:p w14:paraId="0E4E53D5" w14:textId="77777777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</w:p>
    <w:p w14:paraId="44F93A48" w14:textId="1063FBDA" w:rsidR="008D3FF5" w:rsidRPr="00411791" w:rsidRDefault="008D3FF5" w:rsidP="008D3FF5">
      <w:pPr>
        <w:rPr>
          <w:rFonts w:eastAsia="Times New Roman" w:cs="Arial"/>
          <w:color w:val="000000"/>
          <w:szCs w:val="20"/>
          <w:lang w:eastAsia="bg-BG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>При пациенти с чернодробна или бъбречна недостатъчност не с необходима корекция на дозата (вж. точка 5.2).</w:t>
      </w:r>
    </w:p>
    <w:p w14:paraId="66C19C94" w14:textId="2CA0D76C" w:rsidR="008D3FF5" w:rsidRPr="00411791" w:rsidRDefault="008D3FF5" w:rsidP="008D3FF5">
      <w:pPr>
        <w:rPr>
          <w:rFonts w:eastAsia="Times New Roman" w:cs="Arial"/>
          <w:color w:val="000000"/>
          <w:szCs w:val="20"/>
          <w:lang w:eastAsia="bg-BG"/>
        </w:rPr>
      </w:pPr>
    </w:p>
    <w:p w14:paraId="2E4C37CE" w14:textId="77777777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i/>
          <w:iCs/>
          <w:color w:val="000000"/>
          <w:szCs w:val="20"/>
          <w:lang w:eastAsia="bg-BG"/>
        </w:rPr>
        <w:t>Педиатрична популация</w:t>
      </w:r>
    </w:p>
    <w:p w14:paraId="03EBF704" w14:textId="77777777" w:rsidR="008D3FF5" w:rsidRPr="00411791" w:rsidRDefault="008D3FF5" w:rsidP="008D3FF5">
      <w:pPr>
        <w:rPr>
          <w:rFonts w:eastAsia="Times New Roman" w:cs="Arial"/>
          <w:color w:val="000000"/>
          <w:szCs w:val="20"/>
          <w:lang w:eastAsia="bg-BG"/>
        </w:rPr>
      </w:pPr>
    </w:p>
    <w:p w14:paraId="3175152A" w14:textId="0E6FFC9E" w:rsidR="008D3FF5" w:rsidRPr="00411791" w:rsidRDefault="008D3FF5" w:rsidP="008D3FF5">
      <w:pPr>
        <w:rPr>
          <w:rFonts w:eastAsia="Times New Roman" w:cs="Arial"/>
          <w:color w:val="000000"/>
          <w:szCs w:val="20"/>
          <w:lang w:eastAsia="bg-BG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>Не се препоръчва употреба при деца.</w:t>
      </w:r>
    </w:p>
    <w:p w14:paraId="793AFAA8" w14:textId="77777777" w:rsidR="008D3FF5" w:rsidRPr="00411791" w:rsidRDefault="008D3FF5" w:rsidP="008D3FF5"/>
    <w:p w14:paraId="28C984E8" w14:textId="58E24106" w:rsidR="008134C8" w:rsidRPr="00411791" w:rsidRDefault="002C50EE" w:rsidP="004A448E">
      <w:pPr>
        <w:pStyle w:val="Heading2"/>
      </w:pPr>
      <w:r w:rsidRPr="00411791">
        <w:t>4.3. Противопоказания</w:t>
      </w:r>
    </w:p>
    <w:p w14:paraId="7AE5713F" w14:textId="4F367792" w:rsidR="008D3FF5" w:rsidRPr="00411791" w:rsidRDefault="008D3FF5" w:rsidP="008D3FF5"/>
    <w:p w14:paraId="0A3F9263" w14:textId="77777777" w:rsidR="008D3FF5" w:rsidRPr="00411791" w:rsidRDefault="008D3FF5" w:rsidP="008D3FF5">
      <w:pPr>
        <w:rPr>
          <w:sz w:val="24"/>
          <w:szCs w:val="24"/>
        </w:rPr>
      </w:pPr>
      <w:proofErr w:type="spellStart"/>
      <w:r w:rsidRPr="00411791">
        <w:rPr>
          <w:lang w:eastAsia="bg-BG"/>
        </w:rPr>
        <w:t>Екземестан</w:t>
      </w:r>
      <w:proofErr w:type="spellEnd"/>
      <w:r w:rsidRPr="00411791">
        <w:rPr>
          <w:lang w:eastAsia="bg-BG"/>
        </w:rPr>
        <w:t xml:space="preserve"> таблетки е противопоказан при пациенти с данни за свръхчувствителност към активното вещество или към някое от помощните вещества, изброени в точка 6.1, при жени преди менопауза и при бременни или кърмещи жени.</w:t>
      </w:r>
    </w:p>
    <w:p w14:paraId="7795F547" w14:textId="77777777" w:rsidR="008D3FF5" w:rsidRPr="00411791" w:rsidRDefault="008D3FF5" w:rsidP="008D3FF5"/>
    <w:p w14:paraId="212F509C" w14:textId="43DF98B0" w:rsidR="004F498A" w:rsidRPr="00411791" w:rsidRDefault="002C50EE" w:rsidP="004A448E">
      <w:pPr>
        <w:pStyle w:val="Heading2"/>
      </w:pPr>
      <w:r w:rsidRPr="00411791">
        <w:t>4.4. Специални предупреждения и предпазни мерки при употреба</w:t>
      </w:r>
    </w:p>
    <w:p w14:paraId="73F15EAB" w14:textId="0DC9B1F2" w:rsidR="008D3FF5" w:rsidRPr="00411791" w:rsidRDefault="008D3FF5" w:rsidP="008D3FF5"/>
    <w:p w14:paraId="2F66F849" w14:textId="1C04792B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не трябва да бъде прилаган при жени в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пременопаузален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ендокринен статус. По тази причина, при клинична необходимост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постме</w:t>
      </w:r>
      <w:r w:rsidR="00AE7BD5">
        <w:rPr>
          <w:rFonts w:eastAsia="Times New Roman" w:cs="Arial"/>
          <w:color w:val="000000"/>
          <w:szCs w:val="20"/>
          <w:lang w:eastAsia="bg-BG"/>
        </w:rPr>
        <w:t>н</w:t>
      </w:r>
      <w:r w:rsidRPr="00411791">
        <w:rPr>
          <w:rFonts w:eastAsia="Times New Roman" w:cs="Arial"/>
          <w:color w:val="000000"/>
          <w:szCs w:val="20"/>
          <w:lang w:eastAsia="bg-BG"/>
        </w:rPr>
        <w:t>опаузалното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състояние трябва да бъде потвърдено чрез изследване на нивата на </w:t>
      </w:r>
      <w:r w:rsidRPr="00411791">
        <w:rPr>
          <w:rFonts w:eastAsia="Times New Roman" w:cs="Arial"/>
          <w:color w:val="000000"/>
          <w:szCs w:val="20"/>
        </w:rPr>
        <w:t xml:space="preserve">LH, FSH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и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естрадиол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>.</w:t>
      </w:r>
    </w:p>
    <w:p w14:paraId="6073D40D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C4FC43D" w14:textId="7AC130A3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трябва да бъде използван с повишено внимание при пациенти с чернодробно или бъбречно увреждане.</w:t>
      </w:r>
    </w:p>
    <w:p w14:paraId="0CBE704C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B282915" w14:textId="5C3B642D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е мощен естроген-понижаващ агент и след приложението му се наблюдава намаление на костната минерална плътност и повишена честота на фрактури (вж. точка 5,1). При започване на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адювантно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лечение с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при жени с ост</w:t>
      </w:r>
      <w:r w:rsidR="00AE7BD5">
        <w:rPr>
          <w:rFonts w:eastAsia="Times New Roman" w:cs="Arial"/>
          <w:color w:val="000000"/>
          <w:szCs w:val="20"/>
          <w:lang w:eastAsia="bg-BG"/>
        </w:rPr>
        <w:t>е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опороза или с повишен риск от остеопороза трябва да се направи изследване па костната минерална плътност в началния момент на лечението съгласно текущите клинични указания и практика. При пациентки с напреднало заболяване трябва да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ее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изследва костната минерална плътност </w:t>
      </w:r>
      <w:r w:rsidRPr="00411791">
        <w:rPr>
          <w:rFonts w:eastAsia="Times New Roman" w:cs="Arial"/>
          <w:color w:val="000000"/>
          <w:szCs w:val="20"/>
        </w:rPr>
        <w:t xml:space="preserve">(BMD)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според случая. Въпреки липсата па достатъчно данни, установяващи терапевтичния ефект при лечение на загубата на костна минерална плътност, причинена от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>, лекуваните с него трябва да бъдат внимателно наблюдавани и при рисковите пациенти да започне лечение или профилактика на остеопорозата.</w:t>
      </w:r>
    </w:p>
    <w:p w14:paraId="31F19756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EBCEB11" w14:textId="00E6D121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Преди започване на лечение е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ароматазни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инхибитори трябва да се обмисли извършването на стандартно изследване па нивата на 25-хидроксивитамин </w:t>
      </w:r>
      <w:r w:rsidRPr="00411791">
        <w:rPr>
          <w:rFonts w:eastAsia="Times New Roman" w:cs="Arial"/>
          <w:i/>
          <w:iCs/>
          <w:color w:val="000000"/>
          <w:szCs w:val="20"/>
        </w:rPr>
        <w:t xml:space="preserve">D </w:t>
      </w:r>
      <w:r w:rsidRPr="00411791">
        <w:rPr>
          <w:rFonts w:eastAsia="Times New Roman" w:cs="Arial"/>
          <w:i/>
          <w:iCs/>
          <w:color w:val="000000"/>
          <w:szCs w:val="20"/>
          <w:lang w:eastAsia="bg-BG"/>
        </w:rPr>
        <w:t>поради широкото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 разпространение на тежка витамин</w:t>
      </w:r>
      <w:r w:rsidRPr="00411791">
        <w:rPr>
          <w:rFonts w:eastAsia="Times New Roman" w:cs="Arial"/>
          <w:color w:val="000000"/>
          <w:szCs w:val="20"/>
        </w:rPr>
        <w:t xml:space="preserve">-D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недостатъчност при жените с ранен карцином на гърдата (ЕВС). Жените с недостатъчност на витамин </w:t>
      </w:r>
      <w:r w:rsidRPr="00411791">
        <w:rPr>
          <w:rFonts w:eastAsia="Times New Roman" w:cs="Arial"/>
          <w:color w:val="000000"/>
          <w:szCs w:val="20"/>
        </w:rPr>
        <w:t xml:space="preserve">D </w:t>
      </w:r>
      <w:r w:rsidRPr="00411791">
        <w:rPr>
          <w:rFonts w:eastAsia="Times New Roman" w:cs="Arial"/>
          <w:color w:val="000000"/>
          <w:szCs w:val="20"/>
          <w:lang w:eastAsia="bg-BG"/>
        </w:rPr>
        <w:t>трябва да приемат добавки, които го съдържат.</w:t>
      </w:r>
    </w:p>
    <w:p w14:paraId="7F4C55B3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09295E4" w14:textId="608638FA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lastRenderedPageBreak/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таблетки съдържа захароза и не трябва да бъде прилаган при пациенти с редки наследствени проблеми на непоносимост към фруктоза,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глюкозо-галактозна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малабсорбция или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захарозо-изомалтазе</w:t>
      </w:r>
      <w:r w:rsidR="002F12A8">
        <w:rPr>
          <w:rFonts w:eastAsia="Times New Roman" w:cs="Arial"/>
          <w:color w:val="000000"/>
          <w:szCs w:val="20"/>
          <w:lang w:eastAsia="bg-BG"/>
        </w:rPr>
        <w:t>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дефицит.</w:t>
      </w:r>
    </w:p>
    <w:p w14:paraId="1E5D91E3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28CED79" w14:textId="61AF5505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таблетки съдържа метил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парахидроксибензоат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>, който може да предизвика алергични реакции (вероятно от забавен тип).</w:t>
      </w:r>
    </w:p>
    <w:p w14:paraId="18E9F02B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37F03CA" w14:textId="1FF28B72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таблетки съдържа по-малко от 1</w:t>
      </w:r>
      <w:r w:rsidRPr="00411791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color w:val="000000"/>
          <w:szCs w:val="20"/>
        </w:rPr>
        <w:t>mmol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натрий (23 </w:t>
      </w:r>
      <w:proofErr w:type="spellStart"/>
      <w:r w:rsidRPr="00411791">
        <w:rPr>
          <w:rFonts w:eastAsia="Times New Roman" w:cs="Arial"/>
          <w:color w:val="000000"/>
          <w:szCs w:val="20"/>
        </w:rPr>
        <w:t>mg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) </w:t>
      </w:r>
      <w:r w:rsidRPr="00411791">
        <w:rPr>
          <w:rFonts w:eastAsia="Times New Roman" w:cs="Arial"/>
          <w:color w:val="000000"/>
          <w:szCs w:val="20"/>
          <w:lang w:eastAsia="bg-BG"/>
        </w:rPr>
        <w:t>на таблетка, т.</w:t>
      </w:r>
      <w:r w:rsidR="002F12A8">
        <w:rPr>
          <w:rFonts w:eastAsia="Times New Roman" w:cs="Arial"/>
          <w:color w:val="000000"/>
          <w:szCs w:val="20"/>
          <w:lang w:eastAsia="bg-BG"/>
        </w:rPr>
        <w:t>е</w:t>
      </w:r>
      <w:r w:rsidRPr="00411791">
        <w:rPr>
          <w:rFonts w:eastAsia="Times New Roman" w:cs="Arial"/>
          <w:color w:val="000000"/>
          <w:szCs w:val="20"/>
          <w:lang w:eastAsia="bg-BG"/>
        </w:rPr>
        <w:t>. може да се каже, че практически не съдържа натрий.</w:t>
      </w:r>
    </w:p>
    <w:p w14:paraId="0DBC5314" w14:textId="77777777" w:rsidR="008D3FF5" w:rsidRPr="00411791" w:rsidRDefault="008D3FF5" w:rsidP="008D3FF5"/>
    <w:p w14:paraId="619DED1E" w14:textId="6CB4FFBD" w:rsidR="004F498A" w:rsidRPr="00411791" w:rsidRDefault="002C50EE" w:rsidP="004A448E">
      <w:pPr>
        <w:pStyle w:val="Heading2"/>
      </w:pPr>
      <w:r w:rsidRPr="00411791">
        <w:t>4.5. Взаимодействие с други лекарствени продукти и други форми на</w:t>
      </w:r>
      <w:r w:rsidR="004F1CE7" w:rsidRPr="00411791">
        <w:t xml:space="preserve"> взаимодействие</w:t>
      </w:r>
      <w:r w:rsidRPr="00411791">
        <w:t xml:space="preserve"> </w:t>
      </w:r>
    </w:p>
    <w:p w14:paraId="76C3D63D" w14:textId="51FEE79B" w:rsidR="008D3FF5" w:rsidRPr="00411791" w:rsidRDefault="008D3FF5" w:rsidP="008D3FF5"/>
    <w:p w14:paraId="73C8AE77" w14:textId="3C15039F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Проведените </w:t>
      </w:r>
      <w:proofErr w:type="spellStart"/>
      <w:r w:rsidRPr="00411791">
        <w:rPr>
          <w:rFonts w:eastAsia="Times New Roman" w:cs="Arial"/>
          <w:i/>
          <w:iCs/>
          <w:color w:val="000000"/>
          <w:szCs w:val="20"/>
        </w:rPr>
        <w:t>in</w:t>
      </w:r>
      <w:proofErr w:type="spellEnd"/>
      <w:r w:rsidRPr="00411791">
        <w:rPr>
          <w:rFonts w:eastAsia="Times New Roman" w:cs="Arial"/>
          <w:i/>
          <w:iCs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i/>
          <w:iCs/>
          <w:color w:val="000000"/>
          <w:szCs w:val="20"/>
        </w:rPr>
        <w:t>vitro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изследвания </w:t>
      </w:r>
      <w:r w:rsidRPr="00411791">
        <w:rPr>
          <w:rFonts w:eastAsia="Times New Roman" w:cs="Arial"/>
          <w:i/>
          <w:iCs/>
          <w:color w:val="000000"/>
          <w:szCs w:val="20"/>
          <w:lang w:eastAsia="bg-BG"/>
        </w:rPr>
        <w:t>са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 показали, че лекарството се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метаболизира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чрез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цитохром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Р450 </w:t>
      </w:r>
      <w:r w:rsidRPr="00411791">
        <w:rPr>
          <w:rFonts w:eastAsia="Times New Roman" w:cs="Arial"/>
          <w:color w:val="000000"/>
          <w:szCs w:val="20"/>
        </w:rPr>
        <w:t xml:space="preserve">CYP </w:t>
      </w:r>
      <w:r w:rsidRPr="00411791">
        <w:rPr>
          <w:rFonts w:eastAsia="Times New Roman" w:cs="Arial"/>
          <w:i/>
          <w:iCs/>
          <w:color w:val="000000"/>
          <w:szCs w:val="20"/>
          <w:lang w:eastAsia="bg-BG"/>
        </w:rPr>
        <w:t>ЗА4 и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алдокеторедуктазите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(вж. точка 5.2) и не инхибира никой от главните </w:t>
      </w:r>
      <w:r w:rsidRPr="00411791">
        <w:rPr>
          <w:rFonts w:eastAsia="Times New Roman" w:cs="Arial"/>
          <w:color w:val="000000"/>
          <w:szCs w:val="20"/>
        </w:rPr>
        <w:t xml:space="preserve">CYP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изоензими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. В клинично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фармакокинетично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проучване специфичната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и</w:t>
      </w:r>
      <w:r w:rsidR="002F12A8">
        <w:rPr>
          <w:rFonts w:eastAsia="Times New Roman" w:cs="Arial"/>
          <w:color w:val="000000"/>
          <w:szCs w:val="20"/>
          <w:lang w:eastAsia="bg-BG"/>
        </w:rPr>
        <w:t>н</w:t>
      </w:r>
      <w:r w:rsidRPr="00411791">
        <w:rPr>
          <w:rFonts w:eastAsia="Times New Roman" w:cs="Arial"/>
          <w:color w:val="000000"/>
          <w:szCs w:val="20"/>
          <w:lang w:eastAsia="bg-BG"/>
        </w:rPr>
        <w:t>хибиция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па </w:t>
      </w:r>
      <w:r w:rsidRPr="00411791">
        <w:rPr>
          <w:rFonts w:eastAsia="Times New Roman" w:cs="Arial"/>
          <w:color w:val="000000"/>
          <w:szCs w:val="20"/>
        </w:rPr>
        <w:t xml:space="preserve">CYP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ЗА4 от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кетоконазол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не е довела до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сигнификантни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ефекти върху фармакокинетиката</w:t>
      </w:r>
    </w:p>
    <w:p w14:paraId="09FBB5A9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4DA0224" w14:textId="6D2D9D62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В проучване за взаимодействие с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рифампиции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>, мощен индуктор на С</w:t>
      </w:r>
      <w:r w:rsidRPr="00411791">
        <w:rPr>
          <w:rFonts w:eastAsia="Times New Roman" w:cs="Arial"/>
          <w:color w:val="000000"/>
          <w:szCs w:val="20"/>
        </w:rPr>
        <w:t>Y</w:t>
      </w:r>
      <w:r w:rsidRPr="00411791">
        <w:rPr>
          <w:rFonts w:eastAsia="Times New Roman" w:cs="Arial"/>
          <w:color w:val="000000"/>
          <w:szCs w:val="20"/>
          <w:lang w:eastAsia="bg-BG"/>
        </w:rPr>
        <w:t>Р450 в доза 600</w:t>
      </w:r>
      <w:r w:rsidRPr="00411791">
        <w:rPr>
          <w:rFonts w:eastAsia="Times New Roman" w:cs="Arial"/>
          <w:color w:val="000000"/>
          <w:szCs w:val="20"/>
        </w:rPr>
        <w:t>mg</w:t>
      </w:r>
    </w:p>
    <w:p w14:paraId="6A91031B" w14:textId="77777777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дневно, и еднократна доза от 25 </w:t>
      </w:r>
      <w:proofErr w:type="spellStart"/>
      <w:r w:rsidRPr="00411791">
        <w:rPr>
          <w:rFonts w:eastAsia="Times New Roman" w:cs="Arial"/>
          <w:color w:val="000000"/>
          <w:szCs w:val="20"/>
        </w:rPr>
        <w:t>mg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</w:t>
      </w:r>
      <w:r w:rsidRPr="00411791">
        <w:rPr>
          <w:rFonts w:eastAsia="Times New Roman" w:cs="Arial"/>
          <w:color w:val="000000"/>
          <w:szCs w:val="20"/>
        </w:rPr>
        <w:t xml:space="preserve">AUC </w:t>
      </w:r>
      <w:r w:rsidRPr="00411791">
        <w:rPr>
          <w:rFonts w:eastAsia="Times New Roman" w:cs="Arial"/>
          <w:color w:val="000000"/>
          <w:szCs w:val="20"/>
          <w:lang w:eastAsia="bg-BG"/>
        </w:rPr>
        <w:t>(площта под кривата)</w:t>
      </w:r>
      <w:r w:rsidRPr="00411791">
        <w:rPr>
          <w:rFonts w:eastAsia="Times New Roman" w:cs="Arial"/>
          <w:color w:val="000000"/>
          <w:szCs w:val="20"/>
        </w:rPr>
        <w:t xml:space="preserve">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на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е</w:t>
      </w:r>
    </w:p>
    <w:p w14:paraId="16B31400" w14:textId="090CFD0A" w:rsidR="008D3FF5" w:rsidRPr="00411791" w:rsidRDefault="008D3FF5" w:rsidP="008D3FF5">
      <w:pPr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намаляла с 54%, </w:t>
      </w:r>
      <w:r w:rsidRPr="00411791">
        <w:rPr>
          <w:rFonts w:eastAsia="Times New Roman" w:cs="Arial"/>
          <w:color w:val="000000"/>
          <w:szCs w:val="20"/>
        </w:rPr>
        <w:t xml:space="preserve">a </w:t>
      </w:r>
      <w:proofErr w:type="spellStart"/>
      <w:r w:rsidRPr="00411791">
        <w:rPr>
          <w:rFonts w:eastAsia="Times New Roman" w:cs="Arial"/>
          <w:color w:val="000000"/>
          <w:szCs w:val="20"/>
        </w:rPr>
        <w:t>C</w:t>
      </w:r>
      <w:r w:rsidRPr="00411791">
        <w:rPr>
          <w:rFonts w:eastAsia="Times New Roman" w:cs="Arial"/>
          <w:color w:val="000000"/>
          <w:szCs w:val="20"/>
          <w:vertAlign w:val="subscript"/>
        </w:rPr>
        <w:t>max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-с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41%. Тъй като клиничното значение на това </w:t>
      </w:r>
      <w:r w:rsidRPr="00411791">
        <w:rPr>
          <w:rFonts w:eastAsia="Times New Roman" w:cs="Arial"/>
          <w:i/>
          <w:iCs/>
          <w:color w:val="000000"/>
          <w:szCs w:val="20"/>
          <w:lang w:eastAsia="bg-BG"/>
        </w:rPr>
        <w:t xml:space="preserve">взаимодействие не е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изяснено, едновременното приложение на лекарствени продукти като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рифампицин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антиепилептични лекарства (напр.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фенитоин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и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карбамазепин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) и билкови препарати, съдържащи жълт кантарион </w:t>
      </w:r>
      <w:r w:rsidRPr="00411791">
        <w:rPr>
          <w:rFonts w:eastAsia="Times New Roman" w:cs="Arial"/>
          <w:i/>
          <w:iCs/>
          <w:color w:val="000000"/>
          <w:szCs w:val="20"/>
        </w:rPr>
        <w:t>(</w:t>
      </w:r>
      <w:proofErr w:type="spellStart"/>
      <w:r w:rsidRPr="00411791">
        <w:rPr>
          <w:rFonts w:eastAsia="Times New Roman" w:cs="Arial"/>
          <w:i/>
          <w:iCs/>
          <w:color w:val="000000"/>
          <w:szCs w:val="20"/>
        </w:rPr>
        <w:t>Hypericum</w:t>
      </w:r>
      <w:proofErr w:type="spellEnd"/>
      <w:r w:rsidRPr="00411791">
        <w:rPr>
          <w:rFonts w:eastAsia="Times New Roman" w:cs="Arial"/>
          <w:i/>
          <w:iCs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i/>
          <w:iCs/>
          <w:color w:val="000000"/>
          <w:szCs w:val="20"/>
        </w:rPr>
        <w:t>perforatum</w:t>
      </w:r>
      <w:proofErr w:type="spellEnd"/>
      <w:r w:rsidRPr="00411791">
        <w:rPr>
          <w:rFonts w:eastAsia="Times New Roman" w:cs="Arial"/>
          <w:i/>
          <w:iCs/>
          <w:color w:val="000000"/>
          <w:szCs w:val="20"/>
        </w:rPr>
        <w:t>),</w:t>
      </w:r>
      <w:r w:rsidRPr="00411791">
        <w:rPr>
          <w:rFonts w:eastAsia="Times New Roman" w:cs="Arial"/>
          <w:color w:val="000000"/>
          <w:szCs w:val="20"/>
        </w:rPr>
        <w:t xml:space="preserve">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за които се знае, че индуцират </w:t>
      </w:r>
      <w:r w:rsidRPr="00411791">
        <w:rPr>
          <w:rFonts w:eastAsia="Times New Roman" w:cs="Arial"/>
          <w:color w:val="000000"/>
          <w:szCs w:val="20"/>
        </w:rPr>
        <w:t xml:space="preserve">CYP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ЗА4, може да намали ефективността на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>.</w:t>
      </w:r>
    </w:p>
    <w:p w14:paraId="7E5A2044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F1306E9" w14:textId="52541298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трябва да се използва внимателно с лекарства, които се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метаболизират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чрез </w:t>
      </w:r>
      <w:r w:rsidRPr="00411791">
        <w:rPr>
          <w:rFonts w:eastAsia="Times New Roman" w:cs="Arial"/>
          <w:color w:val="000000"/>
          <w:szCs w:val="20"/>
        </w:rPr>
        <w:t xml:space="preserve">CYP3A4 </w:t>
      </w:r>
      <w:r w:rsidRPr="00411791">
        <w:rPr>
          <w:rFonts w:eastAsia="Times New Roman" w:cs="Arial"/>
          <w:color w:val="000000"/>
          <w:szCs w:val="20"/>
          <w:lang w:eastAsia="bg-BG"/>
        </w:rPr>
        <w:t>и имат малка терапевтична ширина. Липсва клиничен опит за едновременна употреба на АРОМАЗИН с други противоракови лекарства.</w:t>
      </w:r>
    </w:p>
    <w:p w14:paraId="7FFFDE8B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7FCFA5A" w14:textId="6294C2BE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не трябва да бъде приеман едновременно с естроген-съдържащи лекарства, тъй като те биха анулирали неговото фармакологично действие.</w:t>
      </w:r>
    </w:p>
    <w:p w14:paraId="3B08127B" w14:textId="1874CE04" w:rsidR="008D3FF5" w:rsidRPr="00411791" w:rsidRDefault="008D3FF5" w:rsidP="008D3FF5"/>
    <w:p w14:paraId="394A7584" w14:textId="6EBF9382" w:rsidR="004F498A" w:rsidRPr="00411791" w:rsidRDefault="002C50EE" w:rsidP="004A448E">
      <w:pPr>
        <w:pStyle w:val="Heading2"/>
      </w:pPr>
      <w:r w:rsidRPr="00411791">
        <w:t>4.6. Фертилитет, бременност и кърмене</w:t>
      </w:r>
    </w:p>
    <w:p w14:paraId="468AD8FD" w14:textId="57B34EEE" w:rsidR="008D3FF5" w:rsidRPr="00411791" w:rsidRDefault="008D3FF5" w:rsidP="008D3FF5"/>
    <w:p w14:paraId="66B695FE" w14:textId="77777777" w:rsidR="008D3FF5" w:rsidRPr="00411791" w:rsidRDefault="008D3FF5" w:rsidP="008D3FF5">
      <w:pPr>
        <w:pStyle w:val="Heading3"/>
        <w:rPr>
          <w:rFonts w:eastAsia="Times New Roman"/>
          <w:sz w:val="28"/>
          <w:u w:val="single"/>
        </w:rPr>
      </w:pPr>
      <w:r w:rsidRPr="00411791">
        <w:rPr>
          <w:rFonts w:eastAsia="Times New Roman"/>
          <w:u w:val="single"/>
          <w:lang w:eastAsia="bg-BG"/>
        </w:rPr>
        <w:t>Бременност</w:t>
      </w:r>
    </w:p>
    <w:p w14:paraId="05A523B1" w14:textId="77777777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Няма клинични данни за експозиция на АРОМАЗИН по време на бременност. Проучвания при животни са показали репродуктивна токсичност (вж. точка 5.3). По тази причина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е противопоказан при бременни жени.</w:t>
      </w:r>
    </w:p>
    <w:p w14:paraId="669FE0BD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B56FECA" w14:textId="790C4429" w:rsidR="008D3FF5" w:rsidRPr="00411791" w:rsidRDefault="008D3FF5" w:rsidP="008D3FF5">
      <w:pPr>
        <w:pStyle w:val="Heading3"/>
        <w:rPr>
          <w:rFonts w:eastAsia="Times New Roman"/>
          <w:sz w:val="28"/>
          <w:u w:val="single"/>
        </w:rPr>
      </w:pPr>
      <w:r w:rsidRPr="00411791">
        <w:rPr>
          <w:rFonts w:eastAsia="Times New Roman"/>
          <w:u w:val="single"/>
          <w:lang w:eastAsia="bg-BG"/>
        </w:rPr>
        <w:t>Кърмене</w:t>
      </w:r>
    </w:p>
    <w:p w14:paraId="43795BC8" w14:textId="77777777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Не е известно дали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се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екскретира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в кърмата при хора,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не трябва да бъде прилаган при жени, които кърмят.</w:t>
      </w:r>
    </w:p>
    <w:p w14:paraId="53558738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1C2DDAD" w14:textId="1E7D98A4" w:rsidR="008D3FF5" w:rsidRPr="00411791" w:rsidRDefault="008D3FF5" w:rsidP="008D3FF5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u w:val="single"/>
          <w:lang w:eastAsia="bg-BG"/>
        </w:rPr>
        <w:t xml:space="preserve">Жени в </w:t>
      </w:r>
      <w:proofErr w:type="spellStart"/>
      <w:r w:rsidRPr="00411791">
        <w:rPr>
          <w:rFonts w:eastAsia="Times New Roman" w:cs="Arial"/>
          <w:color w:val="000000"/>
          <w:szCs w:val="20"/>
          <w:u w:val="single"/>
          <w:lang w:eastAsia="bg-BG"/>
        </w:rPr>
        <w:t>перименопауза</w:t>
      </w:r>
      <w:proofErr w:type="spellEnd"/>
      <w:r w:rsidRPr="00411791">
        <w:rPr>
          <w:rFonts w:eastAsia="Times New Roman" w:cs="Arial"/>
          <w:color w:val="000000"/>
          <w:szCs w:val="20"/>
          <w:u w:val="single"/>
          <w:lang w:eastAsia="bg-BG"/>
        </w:rPr>
        <w:t xml:space="preserve"> или със запазени детеродни функции</w:t>
      </w:r>
    </w:p>
    <w:p w14:paraId="4BBEFD67" w14:textId="54822923" w:rsidR="008D3FF5" w:rsidRPr="00411791" w:rsidRDefault="008D3FF5" w:rsidP="008D3F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lastRenderedPageBreak/>
        <w:t xml:space="preserve">Лекарят трябва да обсъди необходимостта от адекватна контрацепция с жени, които имат потенциал да забременеят, включително жени, които са в </w:t>
      </w:r>
      <w:proofErr w:type="spellStart"/>
      <w:r w:rsidR="002F12A8">
        <w:rPr>
          <w:rFonts w:eastAsia="Times New Roman" w:cs="Arial"/>
          <w:color w:val="000000"/>
          <w:szCs w:val="20"/>
          <w:lang w:eastAsia="bg-BG"/>
        </w:rPr>
        <w:t>п</w:t>
      </w:r>
      <w:r w:rsidRPr="00411791">
        <w:rPr>
          <w:rFonts w:eastAsia="Times New Roman" w:cs="Arial"/>
          <w:color w:val="000000"/>
          <w:szCs w:val="20"/>
          <w:lang w:eastAsia="bg-BG"/>
        </w:rPr>
        <w:t>ерименопауза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или наскоро са навлезли в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постменопауза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, докато техният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постменопаузален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статус не бъде напълно установен (вж. точки 4.3 и 4.4).</w:t>
      </w:r>
    </w:p>
    <w:p w14:paraId="14E7E551" w14:textId="77777777" w:rsidR="008D3FF5" w:rsidRPr="00411791" w:rsidRDefault="008D3FF5" w:rsidP="008D3FF5"/>
    <w:p w14:paraId="064DF1DE" w14:textId="0A23CCFB" w:rsidR="00CF77F7" w:rsidRPr="00411791" w:rsidRDefault="002C50EE" w:rsidP="004A448E">
      <w:pPr>
        <w:pStyle w:val="Heading2"/>
      </w:pPr>
      <w:r w:rsidRPr="00411791">
        <w:t>4.7. Ефекти върху способността за шофиране и работа с машини</w:t>
      </w:r>
    </w:p>
    <w:p w14:paraId="1A7B5E5A" w14:textId="09DF59C5" w:rsidR="008D3FF5" w:rsidRPr="00411791" w:rsidRDefault="008D3FF5" w:rsidP="008D3FF5"/>
    <w:p w14:paraId="2C531AB0" w14:textId="77777777" w:rsidR="008D3FF5" w:rsidRPr="00411791" w:rsidRDefault="008D3FF5" w:rsidP="008D3FF5">
      <w:pPr>
        <w:rPr>
          <w:sz w:val="24"/>
          <w:szCs w:val="24"/>
        </w:rPr>
      </w:pPr>
      <w:r w:rsidRPr="00411791">
        <w:rPr>
          <w:lang w:eastAsia="bg-BG"/>
        </w:rPr>
        <w:t xml:space="preserve">Съобщават се за замаяност, </w:t>
      </w:r>
      <w:proofErr w:type="spellStart"/>
      <w:r w:rsidRPr="00411791">
        <w:rPr>
          <w:lang w:eastAsia="bg-BG"/>
        </w:rPr>
        <w:t>сомнолентност</w:t>
      </w:r>
      <w:proofErr w:type="spellEnd"/>
      <w:r w:rsidRPr="00411791">
        <w:rPr>
          <w:lang w:eastAsia="bg-BG"/>
        </w:rPr>
        <w:t>, отпадналост и виене на свят при употреба на лекарствения продукт. Пациентите трябва да бъдат предупредени, че при поява на такива събития могат да бъдат нарушени техните физически и/или психически способности, необходими за работа с машини или шофиране на кола.</w:t>
      </w:r>
    </w:p>
    <w:p w14:paraId="5883A173" w14:textId="77777777" w:rsidR="008D3FF5" w:rsidRPr="00411791" w:rsidRDefault="008D3FF5" w:rsidP="008D3FF5"/>
    <w:p w14:paraId="37A3FD9F" w14:textId="0B33A5B6" w:rsidR="00CF77F7" w:rsidRPr="00411791" w:rsidRDefault="002C50EE" w:rsidP="004A448E">
      <w:pPr>
        <w:pStyle w:val="Heading2"/>
      </w:pPr>
      <w:r w:rsidRPr="00411791">
        <w:t>4.8. Нежелани лекарствени реакции</w:t>
      </w:r>
    </w:p>
    <w:p w14:paraId="5768ED70" w14:textId="6F69D5F9" w:rsidR="008D3FF5" w:rsidRPr="00411791" w:rsidRDefault="008D3FF5" w:rsidP="008D3FF5"/>
    <w:p w14:paraId="0DE2FB1A" w14:textId="77777777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АРОМАЗИН е бил понасян добре във всички клинични проучвания, проведени с него в стандартна доза от 25 </w:t>
      </w:r>
      <w:proofErr w:type="spellStart"/>
      <w:r w:rsidRPr="00411791">
        <w:rPr>
          <w:rFonts w:eastAsia="Times New Roman" w:cs="Arial"/>
          <w:color w:val="000000"/>
        </w:rPr>
        <w:t>mg</w:t>
      </w:r>
      <w:proofErr w:type="spellEnd"/>
      <w:r w:rsidRPr="00411791">
        <w:rPr>
          <w:rFonts w:eastAsia="Times New Roman" w:cs="Arial"/>
          <w:color w:val="000000"/>
          <w:lang w:eastAsia="bg-BG"/>
        </w:rPr>
        <w:t>/ден, като нежеланите събития обичайно са били леки до умерени.</w:t>
      </w:r>
    </w:p>
    <w:p w14:paraId="3C8A0BF5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7C7C78C" w14:textId="5D504A41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Честотата на прекъсване на лечението поради нежелани събития е била 7,4% при пациенти с ранен карцином на гърдата, провеждащи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адювантно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лечение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след начално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адювантно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лечение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. Най-често съобщаваните нежелани лекарствени реакции са били горещи вълни (22%),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артралгия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(18%) и уморяемост(16%).</w:t>
      </w:r>
    </w:p>
    <w:p w14:paraId="7EB70725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63F1B0E" w14:textId="16F98D86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>В общата популация пациенти с напреднал карцином на гърдата честотата на прекъсване на лечението поради нежелани реакции е била 2,8% . Най-често съобщаваните нежелани лекарствени реакции са били горещи вълни (14%) и гадене (12%).</w:t>
      </w:r>
    </w:p>
    <w:p w14:paraId="0A3814B0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DFDAFB7" w14:textId="101B09C7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>Повечето нежелани лекарствени реакции могат да бъдат приписани на нормалните фармакологични последствия на естроге</w:t>
      </w:r>
      <w:r w:rsidR="00863DED">
        <w:rPr>
          <w:rFonts w:eastAsia="Times New Roman" w:cs="Arial"/>
          <w:color w:val="000000"/>
          <w:lang w:eastAsia="bg-BG"/>
        </w:rPr>
        <w:t>н</w:t>
      </w:r>
      <w:r w:rsidRPr="00411791">
        <w:rPr>
          <w:rFonts w:eastAsia="Times New Roman" w:cs="Arial"/>
          <w:color w:val="000000"/>
          <w:lang w:eastAsia="bg-BG"/>
        </w:rPr>
        <w:t>ната депривация (напр. горещи вълни).</w:t>
      </w:r>
    </w:p>
    <w:p w14:paraId="1D0379A8" w14:textId="77777777" w:rsidR="008D3FF5" w:rsidRPr="00411791" w:rsidRDefault="008D3FF5" w:rsidP="008D3FF5">
      <w:pPr>
        <w:rPr>
          <w:rFonts w:eastAsia="Times New Roman" w:cs="Arial"/>
          <w:color w:val="000000"/>
          <w:lang w:eastAsia="bg-BG"/>
        </w:rPr>
      </w:pPr>
    </w:p>
    <w:p w14:paraId="4A42AE10" w14:textId="295EEFF5" w:rsidR="008D3FF5" w:rsidRPr="00411791" w:rsidRDefault="008D3FF5" w:rsidP="008D3FF5">
      <w:pPr>
        <w:rPr>
          <w:rFonts w:eastAsia="Times New Roman" w:cs="Arial"/>
          <w:color w:val="000000"/>
          <w:lang w:eastAsia="bg-BG"/>
        </w:rPr>
      </w:pPr>
      <w:r w:rsidRPr="00411791">
        <w:rPr>
          <w:rFonts w:eastAsia="Times New Roman" w:cs="Arial"/>
          <w:color w:val="000000"/>
          <w:lang w:eastAsia="bg-BG"/>
        </w:rPr>
        <w:t xml:space="preserve">Съобщаваните при клиничните проучвания и след пускането на пазара нежелани реакции са изброени по-долу по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системо</w:t>
      </w:r>
      <w:proofErr w:type="spellEnd"/>
      <w:r w:rsidRPr="00411791">
        <w:rPr>
          <w:rFonts w:eastAsia="Times New Roman" w:cs="Arial"/>
          <w:color w:val="000000"/>
          <w:lang w:eastAsia="bg-BG"/>
        </w:rPr>
        <w:t>-органни класове и по честота.</w:t>
      </w:r>
    </w:p>
    <w:p w14:paraId="3A28603F" w14:textId="3A012D59" w:rsidR="008D3FF5" w:rsidRPr="00411791" w:rsidRDefault="008D3FF5" w:rsidP="008D3FF5">
      <w:pPr>
        <w:rPr>
          <w:rFonts w:eastAsia="Times New Roman" w:cs="Arial"/>
          <w:color w:val="000000"/>
          <w:lang w:eastAsia="bg-BG"/>
        </w:rPr>
      </w:pPr>
    </w:p>
    <w:p w14:paraId="14F77657" w14:textId="77777777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>Според честота те се определят като: много чести (≥ 1 /10), чести (≥1/100 до &lt;1/10), нечести (≥1/1 000 до &lt;1/100), редки (≥1/10 000 до &lt;1/1 000), много редки (&lt;1/10 000), с неизвестна честота (от наличните данни не може да бъде направена оценка).</w:t>
      </w:r>
    </w:p>
    <w:p w14:paraId="0630AE9C" w14:textId="77777777" w:rsidR="008D3FF5" w:rsidRPr="00411791" w:rsidRDefault="008D3FF5" w:rsidP="008D3FF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483960F" w14:textId="4227A6A4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b/>
          <w:bCs/>
          <w:color w:val="000000"/>
          <w:lang w:eastAsia="bg-BG"/>
        </w:rPr>
        <w:t>Нарушения на кръвта и лимфната система</w:t>
      </w:r>
    </w:p>
    <w:p w14:paraId="7720AEF6" w14:textId="6C905CA9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 xml:space="preserve">Много чести: </w:t>
      </w:r>
      <w:r w:rsidRPr="0041179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Левкопения</w:t>
      </w:r>
      <w:proofErr w:type="spellEnd"/>
      <w:r w:rsidRPr="00411791">
        <w:rPr>
          <w:rFonts w:eastAsia="Times New Roman" w:cs="Arial"/>
          <w:color w:val="000000"/>
          <w:vertAlign w:val="superscript"/>
          <w:lang w:eastAsia="bg-BG"/>
        </w:rPr>
        <w:t>(**)</w:t>
      </w:r>
    </w:p>
    <w:p w14:paraId="3BE51AC3" w14:textId="4B0276AB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Чести</w:t>
      </w:r>
      <w:r w:rsidRPr="00411791">
        <w:rPr>
          <w:rFonts w:eastAsia="Times New Roman" w:cs="Arial"/>
          <w:color w:val="000000"/>
          <w:lang w:eastAsia="bg-BG"/>
        </w:rPr>
        <w:t xml:space="preserve">: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411791">
        <w:rPr>
          <w:rFonts w:eastAsia="Times New Roman" w:cs="Arial"/>
          <w:color w:val="000000"/>
          <w:vertAlign w:val="superscript"/>
          <w:lang w:eastAsia="bg-BG"/>
        </w:rPr>
        <w:t>(**)</w:t>
      </w:r>
    </w:p>
    <w:p w14:paraId="4A7C49E1" w14:textId="3D76DF2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С неизвестна</w:t>
      </w:r>
      <w:r w:rsidRPr="00411791">
        <w:rPr>
          <w:rFonts w:eastAsia="Times New Roman" w:cs="Arial"/>
        </w:rPr>
        <w:t xml:space="preserve"> </w:t>
      </w:r>
      <w:r w:rsidRPr="00411791">
        <w:rPr>
          <w:rFonts w:eastAsia="Times New Roman" w:cs="Arial"/>
          <w:i/>
          <w:iCs/>
          <w:color w:val="000000"/>
          <w:lang w:eastAsia="bg-BG"/>
        </w:rPr>
        <w:t>честота</w:t>
      </w:r>
      <w:r w:rsidRPr="00411791">
        <w:rPr>
          <w:rFonts w:eastAsia="Times New Roman" w:cs="Arial"/>
          <w:color w:val="000000"/>
          <w:lang w:eastAsia="bg-BG"/>
        </w:rPr>
        <w:t>: Понижен общ брой лимфоцити</w:t>
      </w:r>
      <w:r w:rsidRPr="00411791">
        <w:rPr>
          <w:rFonts w:eastAsia="Times New Roman" w:cs="Arial"/>
          <w:color w:val="000000"/>
          <w:vertAlign w:val="superscript"/>
          <w:lang w:eastAsia="bg-BG"/>
        </w:rPr>
        <w:t>(**)</w:t>
      </w:r>
    </w:p>
    <w:p w14:paraId="72B46FE0" w14:textId="77777777" w:rsidR="008D3FF5" w:rsidRPr="00411791" w:rsidRDefault="008D3FF5" w:rsidP="008D3FF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1D2B2ACF" w14:textId="14A756AA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b/>
          <w:bCs/>
          <w:color w:val="000000"/>
          <w:lang w:eastAsia="bg-BG"/>
        </w:rPr>
        <w:t>Нарушения на имунната система</w:t>
      </w:r>
      <w:bookmarkEnd w:id="2"/>
    </w:p>
    <w:p w14:paraId="1C161A86" w14:textId="6BF3314E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Нечести</w:t>
      </w:r>
      <w:r w:rsidRPr="00411791">
        <w:rPr>
          <w:rFonts w:eastAsia="Times New Roman" w:cs="Arial"/>
          <w:color w:val="000000"/>
          <w:lang w:eastAsia="bg-BG"/>
        </w:rPr>
        <w:t>: Свръхчувствителност</w:t>
      </w:r>
    </w:p>
    <w:p w14:paraId="7486C06F" w14:textId="77777777" w:rsidR="008D3FF5" w:rsidRPr="00411791" w:rsidRDefault="008D3FF5" w:rsidP="008D3FF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4"/>
    </w:p>
    <w:p w14:paraId="1704398F" w14:textId="6BB75D64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b/>
          <w:bCs/>
          <w:color w:val="000000"/>
          <w:lang w:eastAsia="bg-BG"/>
        </w:rPr>
        <w:t>Нарушения на метаболизма и храненето:</w:t>
      </w:r>
      <w:bookmarkEnd w:id="3"/>
    </w:p>
    <w:p w14:paraId="1820E33E" w14:textId="1C702B46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 xml:space="preserve">Чести: </w:t>
      </w:r>
      <w:r w:rsidRPr="00411791">
        <w:rPr>
          <w:rFonts w:eastAsia="Times New Roman" w:cs="Arial"/>
          <w:color w:val="000000"/>
          <w:lang w:eastAsia="bg-BG"/>
        </w:rPr>
        <w:t>А</w:t>
      </w:r>
      <w:r w:rsidR="00863DED">
        <w:rPr>
          <w:rFonts w:eastAsia="Times New Roman" w:cs="Arial"/>
          <w:color w:val="000000"/>
          <w:lang w:eastAsia="bg-BG"/>
        </w:rPr>
        <w:t>н</w:t>
      </w:r>
      <w:r w:rsidRPr="00411791">
        <w:rPr>
          <w:rFonts w:eastAsia="Times New Roman" w:cs="Arial"/>
          <w:color w:val="000000"/>
          <w:lang w:eastAsia="bg-BG"/>
        </w:rPr>
        <w:t>орексия</w:t>
      </w:r>
    </w:p>
    <w:p w14:paraId="1141CC0A" w14:textId="77777777" w:rsidR="008D3FF5" w:rsidRPr="00411791" w:rsidRDefault="008D3FF5" w:rsidP="008D3FF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6"/>
    </w:p>
    <w:p w14:paraId="40BA6F28" w14:textId="70914CF2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b/>
          <w:bCs/>
          <w:color w:val="000000"/>
          <w:lang w:eastAsia="bg-BG"/>
        </w:rPr>
        <w:t>Психични нарушения:</w:t>
      </w:r>
      <w:bookmarkEnd w:id="4"/>
    </w:p>
    <w:p w14:paraId="4B471CC2" w14:textId="43BE8176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lastRenderedPageBreak/>
        <w:t>Много чести:</w:t>
      </w:r>
      <w:r w:rsidRPr="00411791">
        <w:rPr>
          <w:rFonts w:eastAsia="Times New Roman" w:cs="Arial"/>
          <w:color w:val="000000"/>
          <w:lang w:eastAsia="bg-BG"/>
        </w:rPr>
        <w:t xml:space="preserve"> Депресия, безсъние</w:t>
      </w:r>
    </w:p>
    <w:p w14:paraId="5FB1AF9A" w14:textId="77777777" w:rsidR="008D3FF5" w:rsidRPr="00411791" w:rsidRDefault="008D3FF5" w:rsidP="008D3FF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5" w:name="bookmark8"/>
    </w:p>
    <w:p w14:paraId="02272668" w14:textId="243D534E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b/>
          <w:bCs/>
          <w:color w:val="000000"/>
          <w:lang w:eastAsia="bg-BG"/>
        </w:rPr>
        <w:t xml:space="preserve">Нарушения па нервната </w:t>
      </w:r>
      <w:proofErr w:type="spellStart"/>
      <w:r w:rsidRPr="00411791">
        <w:rPr>
          <w:rFonts w:eastAsia="Times New Roman" w:cs="Arial"/>
          <w:b/>
          <w:bCs/>
          <w:color w:val="000000"/>
          <w:lang w:eastAsia="bg-BG"/>
        </w:rPr>
        <w:t>сис</w:t>
      </w:r>
      <w:proofErr w:type="spellEnd"/>
      <w:r w:rsidRPr="00411791">
        <w:rPr>
          <w:rFonts w:eastAsia="Times New Roman" w:cs="Arial"/>
          <w:b/>
          <w:bCs/>
          <w:color w:val="000000"/>
          <w:lang w:eastAsia="bg-BG"/>
        </w:rPr>
        <w:t xml:space="preserve"> тема:</w:t>
      </w:r>
      <w:bookmarkEnd w:id="5"/>
    </w:p>
    <w:p w14:paraId="32F914C9" w14:textId="22D0EA70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Много чести:</w:t>
      </w:r>
      <w:r w:rsidRPr="00411791">
        <w:rPr>
          <w:rFonts w:eastAsia="Times New Roman" w:cs="Arial"/>
          <w:color w:val="000000"/>
          <w:lang w:eastAsia="bg-BG"/>
        </w:rPr>
        <w:t xml:space="preserve"> Главоболие, замаяност</w:t>
      </w:r>
    </w:p>
    <w:p w14:paraId="189F34EC" w14:textId="6F76275C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Чести</w:t>
      </w:r>
      <w:r w:rsidRPr="00411791">
        <w:rPr>
          <w:rFonts w:eastAsia="Times New Roman" w:cs="Arial"/>
          <w:color w:val="000000"/>
          <w:lang w:eastAsia="bg-BG"/>
        </w:rPr>
        <w:t xml:space="preserve">: Синдром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карпалния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тунел,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нарестезия</w:t>
      </w:r>
      <w:proofErr w:type="spellEnd"/>
    </w:p>
    <w:p w14:paraId="2EBDFA4E" w14:textId="3B3B8659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Редки</w:t>
      </w:r>
      <w:r w:rsidRPr="00411791">
        <w:rPr>
          <w:rFonts w:eastAsia="Times New Roman" w:cs="Arial"/>
          <w:color w:val="000000"/>
          <w:lang w:eastAsia="bg-BG"/>
        </w:rPr>
        <w:t xml:space="preserve">: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Сомнолентност</w:t>
      </w:r>
      <w:proofErr w:type="spellEnd"/>
    </w:p>
    <w:p w14:paraId="2DF33281" w14:textId="77777777" w:rsidR="008D3FF5" w:rsidRPr="00411791" w:rsidRDefault="008D3FF5" w:rsidP="008D3FF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6" w:name="bookmark10"/>
    </w:p>
    <w:p w14:paraId="4938617F" w14:textId="3EAA7FBC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b/>
          <w:bCs/>
          <w:color w:val="000000"/>
          <w:lang w:eastAsia="bg-BG"/>
        </w:rPr>
        <w:t>Съдови нарушения:</w:t>
      </w:r>
      <w:bookmarkEnd w:id="6"/>
    </w:p>
    <w:p w14:paraId="130112D7" w14:textId="25E98305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Много чести:</w:t>
      </w:r>
      <w:r w:rsidRPr="00411791">
        <w:rPr>
          <w:rFonts w:eastAsia="Times New Roman" w:cs="Arial"/>
          <w:color w:val="000000"/>
          <w:lang w:eastAsia="bg-BG"/>
        </w:rPr>
        <w:t xml:space="preserve"> Горещи вълни</w:t>
      </w:r>
    </w:p>
    <w:p w14:paraId="279D64B0" w14:textId="77777777" w:rsidR="008D3FF5" w:rsidRPr="00411791" w:rsidRDefault="008D3FF5" w:rsidP="008D3FF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7" w:name="bookmark12"/>
    </w:p>
    <w:p w14:paraId="2B3C8372" w14:textId="65E54538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b/>
          <w:bCs/>
          <w:color w:val="000000"/>
          <w:lang w:eastAsia="bg-BG"/>
        </w:rPr>
        <w:t>Стомашно-чревни нарушения:</w:t>
      </w:r>
      <w:bookmarkEnd w:id="7"/>
    </w:p>
    <w:p w14:paraId="4B8B6EE0" w14:textId="58B153D2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 xml:space="preserve">Много чести: </w:t>
      </w:r>
      <w:r w:rsidRPr="00411791">
        <w:rPr>
          <w:rFonts w:eastAsia="Times New Roman" w:cs="Arial"/>
          <w:color w:val="000000"/>
          <w:lang w:eastAsia="bg-BG"/>
        </w:rPr>
        <w:t xml:space="preserve"> Болки в корема, гадене</w:t>
      </w:r>
    </w:p>
    <w:p w14:paraId="3F2965A3" w14:textId="0BF0B7F1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Чести</w:t>
      </w:r>
      <w:r w:rsidRPr="00411791">
        <w:rPr>
          <w:rFonts w:eastAsia="Times New Roman" w:cs="Arial"/>
          <w:color w:val="000000"/>
          <w:lang w:eastAsia="bg-BG"/>
        </w:rPr>
        <w:t>: Повръщане, диария, запек, диспепсия</w:t>
      </w:r>
    </w:p>
    <w:p w14:paraId="33CF2266" w14:textId="77777777" w:rsidR="008D3FF5" w:rsidRPr="00411791" w:rsidRDefault="008D3FF5" w:rsidP="008D3FF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8" w:name="bookmark14"/>
    </w:p>
    <w:p w14:paraId="322CE506" w14:textId="23820B55" w:rsidR="008D3FF5" w:rsidRPr="00411791" w:rsidRDefault="008D3FF5" w:rsidP="008D3FF5">
      <w:pPr>
        <w:spacing w:line="240" w:lineRule="auto"/>
        <w:rPr>
          <w:rFonts w:eastAsia="Times New Roman" w:cs="Arial"/>
        </w:rPr>
      </w:pPr>
      <w:proofErr w:type="spellStart"/>
      <w:r w:rsidRPr="00411791">
        <w:rPr>
          <w:rFonts w:eastAsia="Times New Roman" w:cs="Arial"/>
          <w:b/>
          <w:bCs/>
          <w:color w:val="000000"/>
          <w:lang w:eastAsia="bg-BG"/>
        </w:rPr>
        <w:t>Хе</w:t>
      </w:r>
      <w:r w:rsidR="00397A05">
        <w:rPr>
          <w:rFonts w:eastAsia="Times New Roman" w:cs="Arial"/>
          <w:b/>
          <w:bCs/>
          <w:color w:val="000000"/>
          <w:lang w:eastAsia="bg-BG"/>
        </w:rPr>
        <w:t>п</w:t>
      </w:r>
      <w:r w:rsidRPr="00411791">
        <w:rPr>
          <w:rFonts w:eastAsia="Times New Roman" w:cs="Arial"/>
          <w:b/>
          <w:bCs/>
          <w:color w:val="000000"/>
          <w:lang w:eastAsia="bg-BG"/>
        </w:rPr>
        <w:t>атобилиарни</w:t>
      </w:r>
      <w:proofErr w:type="spellEnd"/>
      <w:r w:rsidRPr="00411791">
        <w:rPr>
          <w:rFonts w:eastAsia="Times New Roman" w:cs="Arial"/>
          <w:b/>
          <w:bCs/>
          <w:color w:val="000000"/>
          <w:lang w:eastAsia="bg-BG"/>
        </w:rPr>
        <w:t xml:space="preserve"> нарушения</w:t>
      </w:r>
      <w:bookmarkEnd w:id="8"/>
    </w:p>
    <w:p w14:paraId="7F5AE39A" w14:textId="01E9753A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Редки:</w:t>
      </w:r>
      <w:r w:rsidRPr="00411791">
        <w:rPr>
          <w:rFonts w:eastAsia="Times New Roman" w:cs="Arial"/>
          <w:color w:val="000000"/>
          <w:lang w:eastAsia="bg-BG"/>
        </w:rPr>
        <w:t xml:space="preserve"> Хепатит,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холестатичен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хепатит</w:t>
      </w:r>
    </w:p>
    <w:p w14:paraId="164F4FF9" w14:textId="77777777" w:rsidR="008D3FF5" w:rsidRPr="00411791" w:rsidRDefault="008D3FF5" w:rsidP="008D3FF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9" w:name="bookmark16"/>
    </w:p>
    <w:p w14:paraId="5CDA95A3" w14:textId="2C6769B7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b/>
          <w:bCs/>
          <w:color w:val="000000"/>
          <w:lang w:eastAsia="bg-BG"/>
        </w:rPr>
        <w:t xml:space="preserve">Нарушения на кожата и подкожната </w:t>
      </w:r>
      <w:r w:rsidRPr="00411791">
        <w:rPr>
          <w:rFonts w:eastAsia="Times New Roman" w:cs="Arial"/>
          <w:b/>
          <w:bCs/>
          <w:i/>
          <w:iCs/>
          <w:color w:val="000000"/>
          <w:lang w:eastAsia="bg-BG"/>
        </w:rPr>
        <w:t>тъкан:</w:t>
      </w:r>
      <w:bookmarkEnd w:id="9"/>
    </w:p>
    <w:p w14:paraId="48AB7072" w14:textId="2D6BC941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Много чести:</w:t>
      </w:r>
      <w:r w:rsidRPr="0041179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Хиперхидроза</w:t>
      </w:r>
      <w:proofErr w:type="spellEnd"/>
    </w:p>
    <w:p w14:paraId="7405A445" w14:textId="0C6CDC1E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Чести: Алопеция,</w:t>
      </w:r>
      <w:r w:rsidRPr="00411791">
        <w:rPr>
          <w:rFonts w:eastAsia="Times New Roman" w:cs="Arial"/>
          <w:color w:val="000000"/>
          <w:lang w:eastAsia="bg-BG"/>
        </w:rPr>
        <w:t xml:space="preserve"> обрив, уртикария, сърбеж</w:t>
      </w:r>
    </w:p>
    <w:p w14:paraId="177BE9A0" w14:textId="4A71CE9F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Редки: Остра генерализирана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екзантематозна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пустулоза</w:t>
      </w:r>
      <w:proofErr w:type="spellEnd"/>
    </w:p>
    <w:p w14:paraId="6E346029" w14:textId="77777777" w:rsidR="008D3FF5" w:rsidRPr="00411791" w:rsidRDefault="008D3FF5" w:rsidP="008D3FF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0" w:name="bookmark18"/>
    </w:p>
    <w:p w14:paraId="07BE4AA9" w14:textId="7BBBC9A9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b/>
          <w:bCs/>
          <w:color w:val="000000"/>
          <w:lang w:eastAsia="bg-BG"/>
        </w:rPr>
        <w:t>Нарушения на мускулно-скелетната система и съединителната тъкан:</w:t>
      </w:r>
      <w:bookmarkEnd w:id="10"/>
    </w:p>
    <w:p w14:paraId="2A42FD54" w14:textId="540AEA2B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Много чести:</w:t>
      </w:r>
      <w:r w:rsidRPr="00411791">
        <w:rPr>
          <w:rFonts w:eastAsia="Times New Roman" w:cs="Arial"/>
          <w:color w:val="000000"/>
          <w:lang w:eastAsia="bg-BG"/>
        </w:rPr>
        <w:t xml:space="preserve"> Болки в ставите и скелетната мускулатура</w:t>
      </w:r>
      <w:r w:rsidRPr="00411791">
        <w:rPr>
          <w:rFonts w:eastAsia="Times New Roman" w:cs="Arial"/>
          <w:color w:val="000000"/>
          <w:vertAlign w:val="superscript"/>
          <w:lang w:eastAsia="bg-BG"/>
        </w:rPr>
        <w:t>(*)</w:t>
      </w:r>
    </w:p>
    <w:p w14:paraId="66FD4160" w14:textId="36C8E521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Чести:</w:t>
      </w:r>
      <w:r w:rsidRPr="00411791">
        <w:rPr>
          <w:rFonts w:eastAsia="Times New Roman" w:cs="Arial"/>
          <w:color w:val="000000"/>
          <w:lang w:eastAsia="bg-BG"/>
        </w:rPr>
        <w:t xml:space="preserve"> Фрактура, остеопороза</w:t>
      </w:r>
    </w:p>
    <w:p w14:paraId="1B45D90A" w14:textId="77777777" w:rsidR="008D3FF5" w:rsidRPr="00411791" w:rsidRDefault="008D3FF5" w:rsidP="008D3FF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1" w:name="bookmark20"/>
    </w:p>
    <w:p w14:paraId="1CC1F31E" w14:textId="6A5A0A31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b/>
          <w:bCs/>
          <w:color w:val="000000"/>
          <w:lang w:eastAsia="bg-BG"/>
        </w:rPr>
        <w:t>Общи нарушения и ефекти на мястото па приложение:</w:t>
      </w:r>
      <w:bookmarkEnd w:id="11"/>
    </w:p>
    <w:p w14:paraId="5798874F" w14:textId="0FCFED22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Много чести: Болка,</w:t>
      </w:r>
      <w:r w:rsidRPr="00411791">
        <w:rPr>
          <w:rFonts w:eastAsia="Times New Roman" w:cs="Arial"/>
          <w:color w:val="000000"/>
          <w:lang w:eastAsia="bg-BG"/>
        </w:rPr>
        <w:t xml:space="preserve"> уморяемост</w:t>
      </w:r>
    </w:p>
    <w:p w14:paraId="118BD17F" w14:textId="1DE5B14F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Чести:</w:t>
      </w:r>
      <w:r w:rsidRPr="00411791">
        <w:rPr>
          <w:rFonts w:eastAsia="Times New Roman" w:cs="Arial"/>
          <w:color w:val="000000"/>
          <w:lang w:eastAsia="bg-BG"/>
        </w:rPr>
        <w:tab/>
        <w:t xml:space="preserve">Периферен оток,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астения</w:t>
      </w:r>
      <w:proofErr w:type="spellEnd"/>
    </w:p>
    <w:p w14:paraId="6C1194C4" w14:textId="77777777" w:rsidR="008D3FF5" w:rsidRPr="00411791" w:rsidRDefault="008D3FF5" w:rsidP="008D3FF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2" w:name="bookmark22"/>
    </w:p>
    <w:p w14:paraId="3BF0A8EA" w14:textId="61A402F0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b/>
          <w:bCs/>
          <w:color w:val="000000"/>
          <w:lang w:eastAsia="bg-BG"/>
        </w:rPr>
        <w:t>Изследвания</w:t>
      </w:r>
      <w:bookmarkEnd w:id="12"/>
    </w:p>
    <w:p w14:paraId="1A8CE031" w14:textId="17FB4729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Много чести:</w:t>
      </w:r>
      <w:r w:rsidRPr="00411791">
        <w:rPr>
          <w:rFonts w:eastAsia="Times New Roman" w:cs="Arial"/>
          <w:color w:val="000000"/>
          <w:lang w:eastAsia="bg-BG"/>
        </w:rPr>
        <w:t xml:space="preserve"> Повишени чернодробни ензими, повишен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билирубин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в кръвта, повишена алкална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фосфатаза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в кръвта</w:t>
      </w:r>
    </w:p>
    <w:p w14:paraId="0039A629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8180B5" w14:textId="544E2F6B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(*)Включва: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артралгия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и по-рядко болка в крайника,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ост</w:t>
      </w:r>
      <w:r w:rsidR="00397A05">
        <w:rPr>
          <w:rFonts w:eastAsia="Times New Roman" w:cs="Arial"/>
          <w:color w:val="000000"/>
          <w:lang w:eastAsia="bg-BG"/>
        </w:rPr>
        <w:t>е</w:t>
      </w:r>
      <w:r w:rsidRPr="00411791">
        <w:rPr>
          <w:rFonts w:eastAsia="Times New Roman" w:cs="Arial"/>
          <w:color w:val="000000"/>
          <w:lang w:eastAsia="bg-BG"/>
        </w:rPr>
        <w:t>оартрит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, болка в гърба, артрит,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миалгия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и скованост в ставите.</w:t>
      </w:r>
    </w:p>
    <w:p w14:paraId="41132EE8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AE8ABBB" w14:textId="466BC948" w:rsidR="008D3FF5" w:rsidRPr="00411791" w:rsidRDefault="008D3FF5" w:rsidP="00397A0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(**)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левкопения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се съобщават рядко </w:t>
      </w:r>
      <w:r w:rsidR="00397A05">
        <w:rPr>
          <w:rFonts w:eastAsia="Times New Roman" w:cs="Arial"/>
          <w:color w:val="000000"/>
          <w:lang w:eastAsia="bg-BG"/>
        </w:rPr>
        <w:t>п</w:t>
      </w:r>
      <w:r w:rsidRPr="00411791">
        <w:rPr>
          <w:rFonts w:eastAsia="Times New Roman" w:cs="Arial"/>
          <w:color w:val="000000"/>
          <w:lang w:eastAsia="bg-BG"/>
        </w:rPr>
        <w:t>ри пациентки с напреднал карцином на</w:t>
      </w:r>
      <w:r w:rsidR="00397A05">
        <w:rPr>
          <w:rFonts w:eastAsia="Times New Roman" w:cs="Arial"/>
          <w:color w:val="000000"/>
          <w:lang w:eastAsia="bg-BG"/>
        </w:rPr>
        <w:t xml:space="preserve"> </w:t>
      </w:r>
      <w:r w:rsidRPr="00411791">
        <w:rPr>
          <w:rFonts w:eastAsia="Times New Roman" w:cs="Arial"/>
          <w:color w:val="000000"/>
          <w:lang w:eastAsia="bg-BG"/>
        </w:rPr>
        <w:t>гърдата. Спорадично понижение на лимфоцитите се наблюдава при около 20% от пациентите</w:t>
      </w:r>
      <w:r w:rsidR="00397A05">
        <w:rPr>
          <w:rFonts w:eastAsia="Times New Roman" w:cs="Arial"/>
          <w:color w:val="000000"/>
          <w:lang w:eastAsia="bg-BG"/>
        </w:rPr>
        <w:t xml:space="preserve"> </w:t>
      </w:r>
      <w:r w:rsidRPr="00411791">
        <w:rPr>
          <w:rFonts w:eastAsia="Times New Roman" w:cs="Arial"/>
          <w:color w:val="000000"/>
          <w:lang w:eastAsia="bg-BG"/>
        </w:rPr>
        <w:t xml:space="preserve">приемащи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, особено при тези с предшестваща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лимфо</w:t>
      </w:r>
      <w:r w:rsidR="00397A05">
        <w:rPr>
          <w:rFonts w:eastAsia="Times New Roman" w:cs="Arial"/>
          <w:color w:val="000000"/>
          <w:lang w:eastAsia="bg-BG"/>
        </w:rPr>
        <w:t>п</w:t>
      </w:r>
      <w:r w:rsidRPr="00411791">
        <w:rPr>
          <w:rFonts w:eastAsia="Times New Roman" w:cs="Arial"/>
          <w:color w:val="000000"/>
          <w:lang w:eastAsia="bg-BG"/>
        </w:rPr>
        <w:t>ен</w:t>
      </w:r>
      <w:r w:rsidR="00397A05">
        <w:rPr>
          <w:rFonts w:eastAsia="Times New Roman" w:cs="Arial"/>
          <w:color w:val="000000"/>
          <w:lang w:eastAsia="bg-BG"/>
        </w:rPr>
        <w:t>и</w:t>
      </w:r>
      <w:r w:rsidRPr="00411791">
        <w:rPr>
          <w:rFonts w:eastAsia="Times New Roman" w:cs="Arial"/>
          <w:color w:val="000000"/>
          <w:lang w:eastAsia="bg-BG"/>
        </w:rPr>
        <w:t>я</w:t>
      </w:r>
      <w:proofErr w:type="spellEnd"/>
      <w:r w:rsidRPr="00411791">
        <w:rPr>
          <w:rFonts w:eastAsia="Times New Roman" w:cs="Arial"/>
          <w:color w:val="000000"/>
          <w:lang w:eastAsia="bg-BG"/>
        </w:rPr>
        <w:t>; обаче средните стойности на лимфоцитите при тези пациентки не се променят значително с времето и не се наблюдава съответно увеличение на вирусните инфекции. Тези ефекти н</w:t>
      </w:r>
      <w:r w:rsidR="00397A05">
        <w:rPr>
          <w:rFonts w:eastAsia="Times New Roman" w:cs="Arial"/>
          <w:color w:val="000000"/>
          <w:lang w:eastAsia="bg-BG"/>
        </w:rPr>
        <w:t>е</w:t>
      </w:r>
      <w:r w:rsidRPr="00411791">
        <w:rPr>
          <w:rFonts w:eastAsia="Times New Roman" w:cs="Arial"/>
          <w:color w:val="000000"/>
          <w:lang w:eastAsia="bg-BG"/>
        </w:rPr>
        <w:t xml:space="preserve"> се наблюдават при пациентките, лекувани в проучванията при ранен карцином на гърдата.</w:t>
      </w:r>
    </w:p>
    <w:p w14:paraId="63355A7F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B10EE37" w14:textId="49F2B0F4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Таблицата по-долу представя честотата на предварително определените нежелани събития и заболявания в проучването за ранен рак на гърдата </w:t>
      </w:r>
      <w:r w:rsidRPr="00411791">
        <w:rPr>
          <w:rFonts w:eastAsia="Times New Roman" w:cs="Arial"/>
          <w:color w:val="000000"/>
        </w:rPr>
        <w:t>(</w:t>
      </w:r>
      <w:proofErr w:type="spellStart"/>
      <w:r w:rsidRPr="00411791">
        <w:rPr>
          <w:rFonts w:eastAsia="Times New Roman" w:cs="Arial"/>
          <w:color w:val="000000"/>
        </w:rPr>
        <w:t>Intergroup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Exemestane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Study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r w:rsidRPr="00411791">
        <w:rPr>
          <w:rFonts w:eastAsia="Times New Roman" w:cs="Arial"/>
          <w:color w:val="000000"/>
          <w:lang w:eastAsia="bg-BG"/>
        </w:rPr>
        <w:t xml:space="preserve">- </w:t>
      </w:r>
      <w:r w:rsidRPr="00411791">
        <w:rPr>
          <w:rFonts w:eastAsia="Times New Roman" w:cs="Arial"/>
          <w:color w:val="000000"/>
        </w:rPr>
        <w:t xml:space="preserve">IES), </w:t>
      </w:r>
      <w:r w:rsidRPr="00411791">
        <w:rPr>
          <w:rFonts w:eastAsia="Times New Roman" w:cs="Arial"/>
          <w:color w:val="000000"/>
          <w:lang w:eastAsia="bg-BG"/>
        </w:rPr>
        <w:t>независимо от причинно-следствената връзка, които са съобщени при пациенти, получаващи изпитваната терапия и до 30 дни след спиране на изпитваната терапия.</w:t>
      </w:r>
    </w:p>
    <w:p w14:paraId="304A65FB" w14:textId="716AF7BE" w:rsidR="008D3FF5" w:rsidRPr="00411791" w:rsidRDefault="008D3FF5" w:rsidP="008D3F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03"/>
        <w:gridCol w:w="3109"/>
      </w:tblGrid>
      <w:tr w:rsidR="008D3FF5" w:rsidRPr="00411791" w14:paraId="55C2DCE9" w14:textId="77777777" w:rsidTr="008D3FF5">
        <w:tc>
          <w:tcPr>
            <w:tcW w:w="3192" w:type="dxa"/>
          </w:tcPr>
          <w:p w14:paraId="6E1035EF" w14:textId="19E98673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  <w:b/>
                <w:bCs/>
              </w:rPr>
              <w:lastRenderedPageBreak/>
              <w:t>Нежелани събития и заболявания</w:t>
            </w:r>
          </w:p>
        </w:tc>
        <w:tc>
          <w:tcPr>
            <w:tcW w:w="3192" w:type="dxa"/>
          </w:tcPr>
          <w:p w14:paraId="7EF201C3" w14:textId="2ED7AD70" w:rsidR="008D3FF5" w:rsidRPr="00411791" w:rsidRDefault="008D3FF5" w:rsidP="008D3FF5">
            <w:pPr>
              <w:rPr>
                <w:rFonts w:cs="Arial"/>
              </w:rPr>
            </w:pPr>
            <w:proofErr w:type="spellStart"/>
            <w:r w:rsidRPr="00411791">
              <w:rPr>
                <w:rFonts w:cs="Arial"/>
                <w:b/>
                <w:bCs/>
              </w:rPr>
              <w:t>Екземестан</w:t>
            </w:r>
            <w:proofErr w:type="spellEnd"/>
            <w:r w:rsidRPr="00411791">
              <w:rPr>
                <w:rFonts w:cs="Arial"/>
                <w:b/>
                <w:bCs/>
              </w:rPr>
              <w:t xml:space="preserve"> (N = 2249)</w:t>
            </w:r>
          </w:p>
        </w:tc>
        <w:tc>
          <w:tcPr>
            <w:tcW w:w="3192" w:type="dxa"/>
          </w:tcPr>
          <w:p w14:paraId="253AA46E" w14:textId="23257C5A" w:rsidR="008D3FF5" w:rsidRPr="00411791" w:rsidRDefault="008D3FF5" w:rsidP="008D3FF5">
            <w:pPr>
              <w:rPr>
                <w:rFonts w:cs="Arial"/>
              </w:rPr>
            </w:pPr>
            <w:proofErr w:type="spellStart"/>
            <w:r w:rsidRPr="00411791">
              <w:rPr>
                <w:rFonts w:cs="Arial"/>
                <w:b/>
                <w:bCs/>
              </w:rPr>
              <w:t>Тамоксифен</w:t>
            </w:r>
            <w:proofErr w:type="spellEnd"/>
            <w:r w:rsidRPr="00411791">
              <w:rPr>
                <w:rFonts w:cs="Arial"/>
                <w:b/>
                <w:bCs/>
              </w:rPr>
              <w:t xml:space="preserve"> (N = 2279)</w:t>
            </w:r>
          </w:p>
        </w:tc>
      </w:tr>
      <w:tr w:rsidR="008D3FF5" w:rsidRPr="00411791" w14:paraId="7495F697" w14:textId="77777777" w:rsidTr="008D3FF5">
        <w:tc>
          <w:tcPr>
            <w:tcW w:w="3192" w:type="dxa"/>
          </w:tcPr>
          <w:p w14:paraId="2FA1C564" w14:textId="70205A4A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Топли вълни</w:t>
            </w:r>
          </w:p>
        </w:tc>
        <w:tc>
          <w:tcPr>
            <w:tcW w:w="3192" w:type="dxa"/>
          </w:tcPr>
          <w:p w14:paraId="6C1E52A2" w14:textId="2434C1AB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491 (21,8%)</w:t>
            </w:r>
          </w:p>
        </w:tc>
        <w:tc>
          <w:tcPr>
            <w:tcW w:w="3192" w:type="dxa"/>
          </w:tcPr>
          <w:p w14:paraId="625511BA" w14:textId="16F68F78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457(20,1%)</w:t>
            </w:r>
          </w:p>
        </w:tc>
      </w:tr>
      <w:tr w:rsidR="008D3FF5" w:rsidRPr="00411791" w14:paraId="6C4C34E7" w14:textId="77777777" w:rsidTr="008D3FF5">
        <w:tc>
          <w:tcPr>
            <w:tcW w:w="3192" w:type="dxa"/>
          </w:tcPr>
          <w:p w14:paraId="3821FFE2" w14:textId="0BEAB9FA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Уморяемост</w:t>
            </w:r>
          </w:p>
        </w:tc>
        <w:tc>
          <w:tcPr>
            <w:tcW w:w="3192" w:type="dxa"/>
          </w:tcPr>
          <w:p w14:paraId="0B6252DA" w14:textId="46ED54F5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367 (16,3%)</w:t>
            </w:r>
          </w:p>
        </w:tc>
        <w:tc>
          <w:tcPr>
            <w:tcW w:w="3192" w:type="dxa"/>
          </w:tcPr>
          <w:p w14:paraId="56112F30" w14:textId="19E10A21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344(15,1%)</w:t>
            </w:r>
          </w:p>
        </w:tc>
      </w:tr>
      <w:tr w:rsidR="008D3FF5" w:rsidRPr="00411791" w14:paraId="10C5A91A" w14:textId="77777777" w:rsidTr="008D3FF5">
        <w:tc>
          <w:tcPr>
            <w:tcW w:w="3192" w:type="dxa"/>
          </w:tcPr>
          <w:p w14:paraId="42967469" w14:textId="694E66A2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Главоболие</w:t>
            </w:r>
          </w:p>
        </w:tc>
        <w:tc>
          <w:tcPr>
            <w:tcW w:w="3192" w:type="dxa"/>
          </w:tcPr>
          <w:p w14:paraId="20FCA89A" w14:textId="7FC43C19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305 (13,6%)</w:t>
            </w:r>
          </w:p>
        </w:tc>
        <w:tc>
          <w:tcPr>
            <w:tcW w:w="3192" w:type="dxa"/>
          </w:tcPr>
          <w:p w14:paraId="17DCE83A" w14:textId="264296D3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255 (11,2%)</w:t>
            </w:r>
          </w:p>
        </w:tc>
      </w:tr>
      <w:tr w:rsidR="008D3FF5" w:rsidRPr="00411791" w14:paraId="20BBCE06" w14:textId="77777777" w:rsidTr="008D3FF5">
        <w:tc>
          <w:tcPr>
            <w:tcW w:w="3192" w:type="dxa"/>
          </w:tcPr>
          <w:p w14:paraId="09F50E7C" w14:textId="63A0ED59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Безсъние</w:t>
            </w:r>
          </w:p>
        </w:tc>
        <w:tc>
          <w:tcPr>
            <w:tcW w:w="3192" w:type="dxa"/>
          </w:tcPr>
          <w:p w14:paraId="19395BD4" w14:textId="2FBE6139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290(12,9%)</w:t>
            </w:r>
          </w:p>
        </w:tc>
        <w:tc>
          <w:tcPr>
            <w:tcW w:w="3192" w:type="dxa"/>
          </w:tcPr>
          <w:p w14:paraId="48849102" w14:textId="35A4A525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204 (9,0%)</w:t>
            </w:r>
          </w:p>
        </w:tc>
      </w:tr>
      <w:tr w:rsidR="008D3FF5" w:rsidRPr="00411791" w14:paraId="53ED1DC6" w14:textId="77777777" w:rsidTr="008D3FF5">
        <w:tc>
          <w:tcPr>
            <w:tcW w:w="3192" w:type="dxa"/>
          </w:tcPr>
          <w:p w14:paraId="5FDB7CEB" w14:textId="08604354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Повишено потене</w:t>
            </w:r>
          </w:p>
        </w:tc>
        <w:tc>
          <w:tcPr>
            <w:tcW w:w="3192" w:type="dxa"/>
          </w:tcPr>
          <w:p w14:paraId="02541AD1" w14:textId="70039A8C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270 (12,0%)</w:t>
            </w:r>
          </w:p>
        </w:tc>
        <w:tc>
          <w:tcPr>
            <w:tcW w:w="3192" w:type="dxa"/>
          </w:tcPr>
          <w:p w14:paraId="6F95766D" w14:textId="554CCD11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242 (10,6%)</w:t>
            </w:r>
          </w:p>
        </w:tc>
      </w:tr>
      <w:tr w:rsidR="008D3FF5" w:rsidRPr="00411791" w14:paraId="04BFEBD4" w14:textId="77777777" w:rsidTr="008D3FF5">
        <w:tc>
          <w:tcPr>
            <w:tcW w:w="3192" w:type="dxa"/>
          </w:tcPr>
          <w:p w14:paraId="4A9C0E2B" w14:textId="7E63E7B4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Гинекологични</w:t>
            </w:r>
          </w:p>
        </w:tc>
        <w:tc>
          <w:tcPr>
            <w:tcW w:w="3192" w:type="dxa"/>
          </w:tcPr>
          <w:p w14:paraId="5FD86E45" w14:textId="59BCDF1F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235 (10,5%)</w:t>
            </w:r>
          </w:p>
        </w:tc>
        <w:tc>
          <w:tcPr>
            <w:tcW w:w="3192" w:type="dxa"/>
          </w:tcPr>
          <w:p w14:paraId="0D0B476E" w14:textId="3DC8967B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340 (14,9%)</w:t>
            </w:r>
          </w:p>
        </w:tc>
      </w:tr>
      <w:tr w:rsidR="008D3FF5" w:rsidRPr="00411791" w14:paraId="384EC72F" w14:textId="77777777" w:rsidTr="008D3FF5">
        <w:tc>
          <w:tcPr>
            <w:tcW w:w="3192" w:type="dxa"/>
          </w:tcPr>
          <w:p w14:paraId="51C6E594" w14:textId="5341CDF1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Виене на свят</w:t>
            </w:r>
          </w:p>
        </w:tc>
        <w:tc>
          <w:tcPr>
            <w:tcW w:w="3192" w:type="dxa"/>
          </w:tcPr>
          <w:p w14:paraId="56623622" w14:textId="1E86678D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224 (10,0%)</w:t>
            </w:r>
          </w:p>
        </w:tc>
        <w:tc>
          <w:tcPr>
            <w:tcW w:w="3192" w:type="dxa"/>
          </w:tcPr>
          <w:p w14:paraId="10C38840" w14:textId="253F4D43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200(8,8%)</w:t>
            </w:r>
          </w:p>
        </w:tc>
      </w:tr>
      <w:tr w:rsidR="008D3FF5" w:rsidRPr="00411791" w14:paraId="7842BA48" w14:textId="77777777" w:rsidTr="008D3FF5">
        <w:tc>
          <w:tcPr>
            <w:tcW w:w="3192" w:type="dxa"/>
          </w:tcPr>
          <w:p w14:paraId="413C17F0" w14:textId="0883D04B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Гадене</w:t>
            </w:r>
          </w:p>
        </w:tc>
        <w:tc>
          <w:tcPr>
            <w:tcW w:w="3192" w:type="dxa"/>
          </w:tcPr>
          <w:p w14:paraId="396F1F11" w14:textId="43DA95A0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200 (8,9%)</w:t>
            </w:r>
          </w:p>
        </w:tc>
        <w:tc>
          <w:tcPr>
            <w:tcW w:w="3192" w:type="dxa"/>
          </w:tcPr>
          <w:p w14:paraId="77079096" w14:textId="33AB06CC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208 (9,1%)</w:t>
            </w:r>
          </w:p>
        </w:tc>
      </w:tr>
      <w:tr w:rsidR="008D3FF5" w:rsidRPr="00411791" w14:paraId="5057943F" w14:textId="77777777" w:rsidTr="008D3FF5">
        <w:tc>
          <w:tcPr>
            <w:tcW w:w="3192" w:type="dxa"/>
          </w:tcPr>
          <w:p w14:paraId="32F15CA9" w14:textId="43309A9F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Остеопороза</w:t>
            </w:r>
          </w:p>
        </w:tc>
        <w:tc>
          <w:tcPr>
            <w:tcW w:w="3192" w:type="dxa"/>
          </w:tcPr>
          <w:p w14:paraId="707C86A6" w14:textId="3AA8AFC9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116(5.2%)</w:t>
            </w:r>
          </w:p>
        </w:tc>
        <w:tc>
          <w:tcPr>
            <w:tcW w:w="3192" w:type="dxa"/>
          </w:tcPr>
          <w:p w14:paraId="7446848A" w14:textId="746C8CAE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66 (2,9%)</w:t>
            </w:r>
          </w:p>
        </w:tc>
      </w:tr>
      <w:tr w:rsidR="008D3FF5" w:rsidRPr="00411791" w14:paraId="251E97D1" w14:textId="77777777" w:rsidTr="008D3FF5">
        <w:tc>
          <w:tcPr>
            <w:tcW w:w="3192" w:type="dxa"/>
          </w:tcPr>
          <w:p w14:paraId="4ADF274D" w14:textId="035DE72D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Вагинално кървене</w:t>
            </w:r>
          </w:p>
        </w:tc>
        <w:tc>
          <w:tcPr>
            <w:tcW w:w="3192" w:type="dxa"/>
          </w:tcPr>
          <w:p w14:paraId="6DF39CD2" w14:textId="447A557B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90 (4,0%)</w:t>
            </w:r>
          </w:p>
        </w:tc>
        <w:tc>
          <w:tcPr>
            <w:tcW w:w="3192" w:type="dxa"/>
          </w:tcPr>
          <w:p w14:paraId="35D41B0D" w14:textId="242E2900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121 (5,3%)</w:t>
            </w:r>
          </w:p>
        </w:tc>
      </w:tr>
      <w:tr w:rsidR="008D3FF5" w:rsidRPr="00411791" w14:paraId="2D7E2ED0" w14:textId="77777777" w:rsidTr="008D3FF5">
        <w:tc>
          <w:tcPr>
            <w:tcW w:w="3192" w:type="dxa"/>
          </w:tcPr>
          <w:p w14:paraId="21B2FB74" w14:textId="19E7AC42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Друг първичен рак</w:t>
            </w:r>
          </w:p>
        </w:tc>
        <w:tc>
          <w:tcPr>
            <w:tcW w:w="3192" w:type="dxa"/>
          </w:tcPr>
          <w:p w14:paraId="6A655267" w14:textId="67C82FD9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84 (3,6%)</w:t>
            </w:r>
          </w:p>
        </w:tc>
        <w:tc>
          <w:tcPr>
            <w:tcW w:w="3192" w:type="dxa"/>
          </w:tcPr>
          <w:p w14:paraId="4C171B46" w14:textId="05E089CD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125(5,3%)</w:t>
            </w:r>
          </w:p>
        </w:tc>
      </w:tr>
      <w:tr w:rsidR="008D3FF5" w:rsidRPr="00411791" w14:paraId="5C773818" w14:textId="77777777" w:rsidTr="008D3FF5">
        <w:tc>
          <w:tcPr>
            <w:tcW w:w="3192" w:type="dxa"/>
          </w:tcPr>
          <w:p w14:paraId="5CD6A7FE" w14:textId="12133B84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Повръщане</w:t>
            </w:r>
          </w:p>
        </w:tc>
        <w:tc>
          <w:tcPr>
            <w:tcW w:w="3192" w:type="dxa"/>
          </w:tcPr>
          <w:p w14:paraId="31F7B196" w14:textId="06DEF9B8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50 (2,2%)</w:t>
            </w:r>
          </w:p>
        </w:tc>
        <w:tc>
          <w:tcPr>
            <w:tcW w:w="3192" w:type="dxa"/>
          </w:tcPr>
          <w:p w14:paraId="06649A11" w14:textId="331EB540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54 (2,4%)</w:t>
            </w:r>
          </w:p>
        </w:tc>
      </w:tr>
      <w:tr w:rsidR="008D3FF5" w:rsidRPr="00411791" w14:paraId="7D0662C5" w14:textId="77777777" w:rsidTr="008D3FF5">
        <w:tc>
          <w:tcPr>
            <w:tcW w:w="3192" w:type="dxa"/>
          </w:tcPr>
          <w:p w14:paraId="64AFDA37" w14:textId="3C1C34F0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Зрителни нарушения</w:t>
            </w:r>
          </w:p>
        </w:tc>
        <w:tc>
          <w:tcPr>
            <w:tcW w:w="3192" w:type="dxa"/>
          </w:tcPr>
          <w:p w14:paraId="49536697" w14:textId="2127A91D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45 (2,0%)</w:t>
            </w:r>
          </w:p>
        </w:tc>
        <w:tc>
          <w:tcPr>
            <w:tcW w:w="3192" w:type="dxa"/>
          </w:tcPr>
          <w:p w14:paraId="1F939D4D" w14:textId="098F93C8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53 (2,3%)</w:t>
            </w:r>
          </w:p>
        </w:tc>
      </w:tr>
      <w:tr w:rsidR="008D3FF5" w:rsidRPr="00411791" w14:paraId="522CF8EF" w14:textId="77777777" w:rsidTr="008D3FF5">
        <w:tc>
          <w:tcPr>
            <w:tcW w:w="3192" w:type="dxa"/>
          </w:tcPr>
          <w:p w14:paraId="79080A90" w14:textId="642515C1" w:rsidR="008D3FF5" w:rsidRPr="00411791" w:rsidRDefault="008D3FF5" w:rsidP="008D3FF5">
            <w:pPr>
              <w:rPr>
                <w:rFonts w:cs="Arial"/>
              </w:rPr>
            </w:pPr>
            <w:proofErr w:type="spellStart"/>
            <w:r w:rsidRPr="00411791">
              <w:rPr>
                <w:rFonts w:cs="Arial"/>
              </w:rPr>
              <w:t>Тромбоемболизъм</w:t>
            </w:r>
            <w:proofErr w:type="spellEnd"/>
          </w:p>
        </w:tc>
        <w:tc>
          <w:tcPr>
            <w:tcW w:w="3192" w:type="dxa"/>
          </w:tcPr>
          <w:p w14:paraId="448A1ED6" w14:textId="7DC06C7E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16(0,7%)</w:t>
            </w:r>
          </w:p>
        </w:tc>
        <w:tc>
          <w:tcPr>
            <w:tcW w:w="3192" w:type="dxa"/>
          </w:tcPr>
          <w:p w14:paraId="01CDE092" w14:textId="5A0F26BE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42(1,8%)</w:t>
            </w:r>
          </w:p>
        </w:tc>
      </w:tr>
      <w:tr w:rsidR="008D3FF5" w:rsidRPr="00411791" w14:paraId="456BA9D1" w14:textId="77777777" w:rsidTr="008D3FF5">
        <w:tc>
          <w:tcPr>
            <w:tcW w:w="3192" w:type="dxa"/>
          </w:tcPr>
          <w:p w14:paraId="2256D600" w14:textId="124E225D" w:rsidR="008D3FF5" w:rsidRPr="00411791" w:rsidRDefault="008D3FF5" w:rsidP="008D3FF5">
            <w:pPr>
              <w:rPr>
                <w:rFonts w:cs="Arial"/>
              </w:rPr>
            </w:pPr>
            <w:proofErr w:type="spellStart"/>
            <w:r w:rsidRPr="00411791">
              <w:rPr>
                <w:rFonts w:cs="Arial"/>
              </w:rPr>
              <w:t>Остеопоротична</w:t>
            </w:r>
            <w:proofErr w:type="spellEnd"/>
            <w:r w:rsidRPr="00411791">
              <w:rPr>
                <w:rFonts w:cs="Arial"/>
              </w:rPr>
              <w:t xml:space="preserve"> фрактура</w:t>
            </w:r>
          </w:p>
        </w:tc>
        <w:tc>
          <w:tcPr>
            <w:tcW w:w="3192" w:type="dxa"/>
          </w:tcPr>
          <w:p w14:paraId="785C7B10" w14:textId="5A890D5F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14(0,6%)</w:t>
            </w:r>
          </w:p>
        </w:tc>
        <w:tc>
          <w:tcPr>
            <w:tcW w:w="3192" w:type="dxa"/>
          </w:tcPr>
          <w:p w14:paraId="0EEA1671" w14:textId="56D2C935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12(0,5%)</w:t>
            </w:r>
          </w:p>
        </w:tc>
      </w:tr>
      <w:tr w:rsidR="008D3FF5" w:rsidRPr="00411791" w14:paraId="4D10FFAB" w14:textId="77777777" w:rsidTr="008D3FF5">
        <w:tc>
          <w:tcPr>
            <w:tcW w:w="3192" w:type="dxa"/>
          </w:tcPr>
          <w:p w14:paraId="4E5E9CAE" w14:textId="6F7DCBF8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Миокарден инфаркт</w:t>
            </w:r>
          </w:p>
        </w:tc>
        <w:tc>
          <w:tcPr>
            <w:tcW w:w="3192" w:type="dxa"/>
          </w:tcPr>
          <w:p w14:paraId="1EAD8C51" w14:textId="4806E181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13 (0,6%)</w:t>
            </w:r>
          </w:p>
        </w:tc>
        <w:tc>
          <w:tcPr>
            <w:tcW w:w="3192" w:type="dxa"/>
          </w:tcPr>
          <w:p w14:paraId="02ECAF62" w14:textId="4B05E7CE" w:rsidR="008D3FF5" w:rsidRPr="00411791" w:rsidRDefault="008D3FF5" w:rsidP="008D3FF5">
            <w:pPr>
              <w:rPr>
                <w:rFonts w:cs="Arial"/>
              </w:rPr>
            </w:pPr>
            <w:r w:rsidRPr="00411791">
              <w:rPr>
                <w:rFonts w:cs="Arial"/>
              </w:rPr>
              <w:t>4 (0,2%)</w:t>
            </w:r>
          </w:p>
        </w:tc>
      </w:tr>
    </w:tbl>
    <w:p w14:paraId="5A358EB7" w14:textId="22543C06" w:rsidR="008D3FF5" w:rsidRPr="00411791" w:rsidRDefault="008D3FF5" w:rsidP="008D3FF5"/>
    <w:p w14:paraId="01EE5867" w14:textId="3E7C8510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В проучването </w:t>
      </w:r>
      <w:r w:rsidRPr="00411791">
        <w:rPr>
          <w:rFonts w:eastAsia="Times New Roman" w:cs="Arial"/>
          <w:color w:val="000000"/>
        </w:rPr>
        <w:t xml:space="preserve">IES </w:t>
      </w:r>
      <w:r w:rsidRPr="00411791">
        <w:rPr>
          <w:rFonts w:eastAsia="Times New Roman" w:cs="Arial"/>
          <w:color w:val="000000"/>
          <w:lang w:eastAsia="bg-BG"/>
        </w:rPr>
        <w:t xml:space="preserve">честотата </w:t>
      </w:r>
      <w:r w:rsidRPr="00411791">
        <w:rPr>
          <w:rFonts w:eastAsia="Times New Roman" w:cs="Arial"/>
          <w:i/>
          <w:iCs/>
          <w:color w:val="000000"/>
          <w:lang w:eastAsia="bg-BG"/>
        </w:rPr>
        <w:t>на</w:t>
      </w:r>
      <w:r w:rsidRPr="00411791">
        <w:rPr>
          <w:rFonts w:eastAsia="Times New Roman" w:cs="Arial"/>
          <w:color w:val="000000"/>
          <w:lang w:eastAsia="bg-BG"/>
        </w:rPr>
        <w:t xml:space="preserve"> исхемичните сърдечни събития в терапевтичните рамена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</w:t>
      </w:r>
      <w:r w:rsidR="005B13F3">
        <w:rPr>
          <w:rFonts w:eastAsia="Times New Roman" w:cs="Arial"/>
          <w:color w:val="000000"/>
          <w:lang w:eastAsia="bg-BG"/>
        </w:rPr>
        <w:t>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е била съответно 4,5% спрямо 4,2%. Не е била отбелязана значима разлика за някое отделно сърдечно-съдово събитие, включително хипертония (9,9% спрямо 8,4%), инфаркт на миокарда (0,6% спрямо 0,2%) и </w:t>
      </w:r>
      <w:r w:rsidRPr="00411791">
        <w:rPr>
          <w:rFonts w:eastAsia="Times New Roman" w:cs="Arial"/>
          <w:i/>
          <w:iCs/>
          <w:color w:val="000000"/>
          <w:lang w:eastAsia="bg-BG"/>
        </w:rPr>
        <w:t>сърдечна недостатъчност</w:t>
      </w:r>
      <w:r w:rsidRPr="00411791">
        <w:rPr>
          <w:rFonts w:eastAsia="Times New Roman" w:cs="Arial"/>
          <w:color w:val="000000"/>
          <w:lang w:eastAsia="bg-BG"/>
        </w:rPr>
        <w:t xml:space="preserve"> (1,1% спрямо 0,7%).</w:t>
      </w:r>
    </w:p>
    <w:p w14:paraId="57BCEE85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FC20B16" w14:textId="6C5E6971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В проучването </w:t>
      </w:r>
      <w:r w:rsidRPr="00411791">
        <w:rPr>
          <w:rFonts w:eastAsia="Times New Roman" w:cs="Arial"/>
          <w:color w:val="000000"/>
        </w:rPr>
        <w:t xml:space="preserve">IES,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се свързва с по-голяма честота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хиперх</w:t>
      </w:r>
      <w:r w:rsidR="00334EE1">
        <w:rPr>
          <w:rFonts w:eastAsia="Times New Roman" w:cs="Arial"/>
          <w:color w:val="000000"/>
          <w:lang w:eastAsia="bg-BG"/>
        </w:rPr>
        <w:t>о</w:t>
      </w:r>
      <w:r w:rsidRPr="00411791">
        <w:rPr>
          <w:rFonts w:eastAsia="Times New Roman" w:cs="Arial"/>
          <w:color w:val="000000"/>
          <w:lang w:eastAsia="bg-BG"/>
        </w:rPr>
        <w:t>лестеринемия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в сравнение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(3,7% спрямо 2,1%).</w:t>
      </w:r>
    </w:p>
    <w:p w14:paraId="478CB59D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2301027" w14:textId="0617510B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В отделно двойносляпо,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рандомизпрано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проучване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постменопаузални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жени с ранен карцином на гърдата с писък риск, лекувани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(14=73) или плацебо </w:t>
      </w:r>
      <w:r w:rsidRPr="00411791">
        <w:rPr>
          <w:rFonts w:eastAsia="Times New Roman" w:cs="Arial"/>
          <w:color w:val="000000"/>
        </w:rPr>
        <w:t>(N=73</w:t>
      </w:r>
      <w:r w:rsidRPr="00411791">
        <w:rPr>
          <w:rFonts w:eastAsia="Times New Roman" w:cs="Arial"/>
          <w:color w:val="000000"/>
          <w:lang w:eastAsia="bg-BG"/>
        </w:rPr>
        <w:t xml:space="preserve">) за 24 месеца,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се асоциира с общо 7-9% средно понижение на плазмения </w:t>
      </w:r>
      <w:r w:rsidRPr="00411791">
        <w:rPr>
          <w:rFonts w:eastAsia="Times New Roman" w:cs="Arial"/>
          <w:color w:val="000000"/>
        </w:rPr>
        <w:t>HDL</w:t>
      </w:r>
      <w:r w:rsidRPr="00411791">
        <w:rPr>
          <w:rFonts w:eastAsia="Times New Roman" w:cs="Arial"/>
          <w:color w:val="000000"/>
          <w:lang w:eastAsia="bg-BG"/>
        </w:rPr>
        <w:t>-хол</w:t>
      </w:r>
      <w:r w:rsidRPr="00411791">
        <w:rPr>
          <w:rFonts w:eastAsia="Times New Roman" w:cs="Arial"/>
          <w:i/>
          <w:iCs/>
          <w:color w:val="000000"/>
          <w:lang w:eastAsia="bg-BG"/>
        </w:rPr>
        <w:t xml:space="preserve">естерол </w:t>
      </w:r>
      <w:r w:rsidRPr="00411791">
        <w:rPr>
          <w:rFonts w:eastAsia="Times New Roman" w:cs="Arial"/>
          <w:color w:val="000000"/>
          <w:lang w:eastAsia="bg-BG"/>
        </w:rPr>
        <w:t xml:space="preserve">спрямо увеличение от 1% при плацебо. Наблюдава се също 5-6% понижение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аполиполротеин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А1 в групата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спрямо 0-2% за плацебо. Ефектът върху другите изследвани липидни показатели (общ холестерол, </w:t>
      </w:r>
      <w:r w:rsidRPr="00411791">
        <w:rPr>
          <w:rFonts w:eastAsia="Times New Roman" w:cs="Arial"/>
          <w:color w:val="000000"/>
        </w:rPr>
        <w:t>LDL</w:t>
      </w:r>
      <w:r w:rsidRPr="00411791">
        <w:rPr>
          <w:rFonts w:eastAsia="Times New Roman" w:cs="Arial"/>
          <w:color w:val="000000"/>
          <w:lang w:eastAsia="bg-BG"/>
        </w:rPr>
        <w:t xml:space="preserve">-холестерол,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триглицериди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аполипопротсин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-В и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липопротсин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-А) е много сходен в двете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терапавтични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групи. Клиничната значимост </w:t>
      </w:r>
      <w:r w:rsidRPr="00411791">
        <w:rPr>
          <w:rFonts w:eastAsia="Times New Roman" w:cs="Arial"/>
          <w:i/>
          <w:iCs/>
          <w:color w:val="000000"/>
          <w:lang w:eastAsia="bg-BG"/>
        </w:rPr>
        <w:t>па</w:t>
      </w:r>
      <w:r w:rsidRPr="00411791">
        <w:rPr>
          <w:rFonts w:eastAsia="Times New Roman" w:cs="Arial"/>
          <w:color w:val="000000"/>
          <w:lang w:eastAsia="bg-BG"/>
        </w:rPr>
        <w:t xml:space="preserve"> тези резултати е неясна,</w:t>
      </w:r>
    </w:p>
    <w:p w14:paraId="7747A57A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8E88BBF" w14:textId="7C201EB9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В проучването </w:t>
      </w:r>
      <w:r w:rsidRPr="00411791">
        <w:rPr>
          <w:rFonts w:eastAsia="Times New Roman" w:cs="Arial"/>
          <w:color w:val="000000"/>
        </w:rPr>
        <w:t xml:space="preserve">1ES </w:t>
      </w:r>
      <w:r w:rsidRPr="00411791">
        <w:rPr>
          <w:rFonts w:eastAsia="Times New Roman" w:cs="Arial"/>
          <w:color w:val="000000"/>
          <w:lang w:eastAsia="bg-BG"/>
        </w:rPr>
        <w:t xml:space="preserve">е наблюдавана язва на стомаха с малко по-висока честота в рамото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в сравнение е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(0,7% срещу &lt;0,1 %). По-голямата част от пациентите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 язва на стомаха са получавали съпътстващо лечение е нестероидни противовъзпалителни </w:t>
      </w:r>
      <w:r w:rsidRPr="00411791">
        <w:rPr>
          <w:rFonts w:eastAsia="Times New Roman" w:cs="Arial"/>
          <w:i/>
          <w:iCs/>
          <w:color w:val="000000"/>
          <w:lang w:eastAsia="bg-BG"/>
        </w:rPr>
        <w:t>средства</w:t>
      </w:r>
      <w:r w:rsidRPr="00411791">
        <w:rPr>
          <w:rFonts w:eastAsia="Times New Roman" w:cs="Arial"/>
          <w:color w:val="000000"/>
          <w:lang w:eastAsia="bg-BG"/>
        </w:rPr>
        <w:t xml:space="preserve"> и/или са имали предходна анамнеза.</w:t>
      </w:r>
    </w:p>
    <w:p w14:paraId="3E5FBC89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C460797" w14:textId="12A42658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459DE03B" w14:textId="77777777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ла продължи наблюдението </w:t>
      </w:r>
      <w:r w:rsidRPr="00411791">
        <w:rPr>
          <w:rFonts w:eastAsia="Times New Roman" w:cs="Arial"/>
          <w:i/>
          <w:iCs/>
          <w:color w:val="000000"/>
          <w:lang w:eastAsia="bg-BG"/>
        </w:rPr>
        <w:t xml:space="preserve">на съотношението полза/риск за </w:t>
      </w:r>
      <w:r w:rsidRPr="00411791">
        <w:rPr>
          <w:rFonts w:eastAsia="Times New Roman" w:cs="Arial"/>
          <w:color w:val="000000"/>
          <w:lang w:eastAsia="bg-BG"/>
        </w:rPr>
        <w:t>лекарствения продукт. От медицинските специалисти се изисква да съобщават всяка</w:t>
      </w:r>
    </w:p>
    <w:p w14:paraId="148F85CD" w14:textId="2C648A60" w:rsidR="008D3FF5" w:rsidRPr="00411791" w:rsidRDefault="008D3FF5" w:rsidP="008D3FF5">
      <w:pPr>
        <w:spacing w:line="240" w:lineRule="auto"/>
        <w:rPr>
          <w:rFonts w:eastAsia="Times New Roman" w:cs="Arial"/>
          <w:color w:val="000000"/>
        </w:rPr>
      </w:pPr>
      <w:r w:rsidRPr="00411791">
        <w:rPr>
          <w:rFonts w:eastAsia="Times New Roman" w:cs="Arial"/>
          <w:color w:val="000000"/>
          <w:lang w:eastAsia="bg-BG"/>
        </w:rPr>
        <w:t xml:space="preserve">подозирана нежелана реакция чрез Изпълнителна агенция по лекарствата,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ул</w:t>
      </w:r>
      <w:proofErr w:type="spellEnd"/>
      <w:r w:rsidRPr="00411791">
        <w:rPr>
          <w:rFonts w:eastAsia="Times New Roman" w:cs="Arial"/>
          <w:color w:val="000000"/>
          <w:lang w:eastAsia="bg-BG"/>
        </w:rPr>
        <w:t>, ''Дамян Груев''  №</w:t>
      </w:r>
      <w:r w:rsidRPr="00411791">
        <w:rPr>
          <w:rFonts w:eastAsia="Times New Roman" w:cs="Arial"/>
        </w:rPr>
        <w:t xml:space="preserve"> </w:t>
      </w:r>
      <w:r w:rsidRPr="00411791">
        <w:rPr>
          <w:rFonts w:eastAsia="Times New Roman" w:cs="Arial"/>
          <w:color w:val="000000"/>
          <w:lang w:eastAsia="bg-BG"/>
        </w:rPr>
        <w:t xml:space="preserve">8, 1303 София, тел.; +359 2 8903417, уебсайт: </w:t>
      </w:r>
      <w:hyperlink r:id="rId5" w:history="1">
        <w:r w:rsidRPr="00411791">
          <w:rPr>
            <w:rFonts w:eastAsia="Times New Roman" w:cs="Arial"/>
            <w:color w:val="000000"/>
          </w:rPr>
          <w:t>www.bda.bg</w:t>
        </w:r>
      </w:hyperlink>
      <w:r w:rsidRPr="00411791">
        <w:rPr>
          <w:rFonts w:eastAsia="Times New Roman" w:cs="Arial"/>
          <w:color w:val="000000"/>
        </w:rPr>
        <w:t>.</w:t>
      </w:r>
    </w:p>
    <w:p w14:paraId="281D4910" w14:textId="77777777" w:rsidR="008D3FF5" w:rsidRPr="00411791" w:rsidRDefault="008D3FF5" w:rsidP="008D3FF5">
      <w:pPr>
        <w:spacing w:line="240" w:lineRule="auto"/>
        <w:rPr>
          <w:rFonts w:eastAsia="Times New Roman" w:cs="Arial"/>
        </w:rPr>
      </w:pPr>
    </w:p>
    <w:p w14:paraId="0A023CE0" w14:textId="0688A988" w:rsidR="00CF77F7" w:rsidRPr="00411791" w:rsidRDefault="002C50EE" w:rsidP="004A448E">
      <w:pPr>
        <w:pStyle w:val="Heading2"/>
      </w:pPr>
      <w:r w:rsidRPr="00411791">
        <w:t>4.9. Предозиране</w:t>
      </w:r>
    </w:p>
    <w:p w14:paraId="43DC7B28" w14:textId="7C6D8292" w:rsidR="008D3FF5" w:rsidRPr="00411791" w:rsidRDefault="008D3FF5" w:rsidP="008D3FF5"/>
    <w:p w14:paraId="7226FB03" w14:textId="3B8151B1" w:rsidR="008D3FF5" w:rsidRPr="00411791" w:rsidRDefault="008D3FF5" w:rsidP="008D3FF5">
      <w:pPr>
        <w:rPr>
          <w:sz w:val="24"/>
          <w:szCs w:val="24"/>
        </w:rPr>
      </w:pPr>
      <w:r w:rsidRPr="00411791">
        <w:rPr>
          <w:lang w:eastAsia="bg-BG"/>
        </w:rPr>
        <w:t xml:space="preserve">Проведени са клинични проучвания с </w:t>
      </w:r>
      <w:proofErr w:type="spellStart"/>
      <w:r w:rsidRPr="00411791">
        <w:rPr>
          <w:lang w:eastAsia="bg-BG"/>
        </w:rPr>
        <w:t>екземестан</w:t>
      </w:r>
      <w:proofErr w:type="spellEnd"/>
      <w:r w:rsidRPr="00411791">
        <w:rPr>
          <w:lang w:eastAsia="bg-BG"/>
        </w:rPr>
        <w:t xml:space="preserve">, прилаган в еднократна доза до 800 </w:t>
      </w:r>
      <w:proofErr w:type="spellStart"/>
      <w:r w:rsidRPr="00411791">
        <w:t>mg</w:t>
      </w:r>
      <w:proofErr w:type="spellEnd"/>
      <w:r w:rsidRPr="00411791">
        <w:t xml:space="preserve"> </w:t>
      </w:r>
      <w:r w:rsidRPr="00411791">
        <w:rPr>
          <w:lang w:eastAsia="bg-BG"/>
        </w:rPr>
        <w:t xml:space="preserve">на здрави доброволки и до 600 </w:t>
      </w:r>
      <w:proofErr w:type="spellStart"/>
      <w:r w:rsidRPr="00411791">
        <w:t>mg</w:t>
      </w:r>
      <w:proofErr w:type="spellEnd"/>
      <w:r w:rsidRPr="00411791">
        <w:t xml:space="preserve"> </w:t>
      </w:r>
      <w:r w:rsidRPr="00411791">
        <w:rPr>
          <w:lang w:eastAsia="bg-BG"/>
        </w:rPr>
        <w:t xml:space="preserve">дневно на жени след менопауза с напреднал карцином на гърдата. Тези дозировки са били понасяни добре. Еднократната доза </w:t>
      </w:r>
      <w:proofErr w:type="spellStart"/>
      <w:r w:rsidRPr="00411791">
        <w:rPr>
          <w:lang w:eastAsia="bg-BG"/>
        </w:rPr>
        <w:t>екземе</w:t>
      </w:r>
      <w:r w:rsidR="00791E9A">
        <w:rPr>
          <w:lang w:eastAsia="bg-BG"/>
        </w:rPr>
        <w:t>с</w:t>
      </w:r>
      <w:r w:rsidRPr="00411791">
        <w:rPr>
          <w:lang w:eastAsia="bg-BG"/>
        </w:rPr>
        <w:t>тан</w:t>
      </w:r>
      <w:proofErr w:type="spellEnd"/>
      <w:r w:rsidRPr="00411791">
        <w:rPr>
          <w:lang w:eastAsia="bg-BG"/>
        </w:rPr>
        <w:t xml:space="preserve">, която би могла да доведе до животозастрашаващи симптоми, не е известна. При плъхове и кучета смъртни случаи са били наблюдавани след еднократни перорални дози, еквивалентни съответно на 2000 и 4000 пъти по-голяма от препоръчителната доза при човек, определена на базата на </w:t>
      </w:r>
      <w:proofErr w:type="spellStart"/>
      <w:r w:rsidRPr="00411791">
        <w:t>mg</w:t>
      </w:r>
      <w:proofErr w:type="spellEnd"/>
      <w:r w:rsidRPr="00411791">
        <w:t>/m</w:t>
      </w:r>
      <w:r w:rsidRPr="00411791">
        <w:rPr>
          <w:vertAlign w:val="superscript"/>
        </w:rPr>
        <w:t>2</w:t>
      </w:r>
      <w:r w:rsidRPr="00411791">
        <w:t xml:space="preserve">. </w:t>
      </w:r>
      <w:r w:rsidRPr="00411791">
        <w:rPr>
          <w:lang w:eastAsia="bg-BG"/>
        </w:rPr>
        <w:t>Липсва специфичен антидот при предозиране и лечението трябва да бъде симптоматично.</w:t>
      </w:r>
    </w:p>
    <w:p w14:paraId="5C78921B" w14:textId="77777777" w:rsidR="008D3FF5" w:rsidRPr="00411791" w:rsidRDefault="008D3FF5" w:rsidP="008D3FF5">
      <w:pPr>
        <w:rPr>
          <w:sz w:val="24"/>
          <w:szCs w:val="24"/>
        </w:rPr>
      </w:pPr>
      <w:r w:rsidRPr="00411791">
        <w:rPr>
          <w:lang w:eastAsia="bg-BG"/>
        </w:rPr>
        <w:t>Показани са общи поддържащи грижи, включително често мониториране на жизнените показатели и внимателно наблюдение на пациента.</w:t>
      </w:r>
    </w:p>
    <w:p w14:paraId="10372177" w14:textId="77777777" w:rsidR="008D3FF5" w:rsidRPr="00411791" w:rsidRDefault="008D3FF5" w:rsidP="008D3FF5"/>
    <w:p w14:paraId="02081B24" w14:textId="1F46E296" w:rsidR="00395555" w:rsidRPr="00411791" w:rsidRDefault="002C50EE" w:rsidP="008A6AF2">
      <w:pPr>
        <w:pStyle w:val="Heading1"/>
      </w:pPr>
      <w:r w:rsidRPr="00411791">
        <w:t>5. ФАРМАКОЛОГИЧНИ СВОЙСТВА</w:t>
      </w:r>
    </w:p>
    <w:p w14:paraId="32B6DE66" w14:textId="188A04EE" w:rsidR="00CF77F7" w:rsidRPr="00411791" w:rsidRDefault="002C50EE" w:rsidP="004A448E">
      <w:pPr>
        <w:pStyle w:val="Heading2"/>
      </w:pPr>
      <w:r w:rsidRPr="00411791">
        <w:t xml:space="preserve">5.1. </w:t>
      </w:r>
      <w:proofErr w:type="spellStart"/>
      <w:r w:rsidRPr="00411791">
        <w:t>Фармакодинамични</w:t>
      </w:r>
      <w:proofErr w:type="spellEnd"/>
      <w:r w:rsidRPr="00411791">
        <w:t xml:space="preserve"> свойства</w:t>
      </w:r>
    </w:p>
    <w:p w14:paraId="01EBE041" w14:textId="5106BD28" w:rsidR="008D3FF5" w:rsidRPr="00411791" w:rsidRDefault="008D3FF5" w:rsidP="008D3FF5"/>
    <w:p w14:paraId="08B36A2D" w14:textId="77777777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Фармакотерапевтична група: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стероиден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ароматазен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инхибитор,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антинеопластично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средство АТС код: </w:t>
      </w:r>
      <w:r w:rsidRPr="00411791">
        <w:rPr>
          <w:rFonts w:eastAsia="Times New Roman" w:cs="Arial"/>
          <w:color w:val="000000"/>
        </w:rPr>
        <w:t>L02BG06</w:t>
      </w:r>
    </w:p>
    <w:p w14:paraId="67AC4AD7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5FCFBC4" w14:textId="0FEBE491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3553699E" w14:textId="77777777" w:rsidR="008D3FF5" w:rsidRPr="00411791" w:rsidRDefault="008D3FF5" w:rsidP="008D3FF5">
      <w:pPr>
        <w:spacing w:line="240" w:lineRule="auto"/>
        <w:rPr>
          <w:rFonts w:eastAsia="Times New Roman" w:cs="Arial"/>
        </w:rPr>
      </w:pP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е необратим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стероиден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ароматазен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инхибитор, структурно сходен с естествения субстрат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андростендион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. При жени след менопауза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естрогени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се произвеждат главно чрез превръщане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андрогени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в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естрогени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 помощта на ензима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ароматаза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в периферните тъкани. Естрогенната депривация чрез инхибиране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ароматазата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 ефективно и селективно лечение на хормон-зависимия карцином на гърдата при жени след менопауза. При жени след менопауза пероралният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е довел до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сигнификантно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понижение на серумни те концентрации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естрогени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, започващо при доза 5 </w:t>
      </w:r>
      <w:proofErr w:type="spellStart"/>
      <w:r w:rsidRPr="00411791">
        <w:rPr>
          <w:rFonts w:eastAsia="Times New Roman" w:cs="Arial"/>
          <w:color w:val="000000"/>
        </w:rPr>
        <w:t>mg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r w:rsidRPr="00411791">
        <w:rPr>
          <w:rFonts w:eastAsia="Times New Roman" w:cs="Arial"/>
          <w:color w:val="000000"/>
          <w:lang w:eastAsia="bg-BG"/>
        </w:rPr>
        <w:t xml:space="preserve">и достигащо до максимална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супресия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</w:t>
      </w:r>
      <w:r w:rsidRPr="00411791">
        <w:rPr>
          <w:rFonts w:eastAsia="Times New Roman" w:cs="Arial"/>
          <w:i/>
          <w:iCs/>
          <w:color w:val="000000"/>
          <w:lang w:eastAsia="bg-BG"/>
        </w:rPr>
        <w:t>(&gt;90%)</w:t>
      </w:r>
      <w:r w:rsidRPr="00411791">
        <w:rPr>
          <w:rFonts w:eastAsia="Times New Roman" w:cs="Arial"/>
          <w:color w:val="000000"/>
          <w:lang w:eastAsia="bg-BG"/>
        </w:rPr>
        <w:t xml:space="preserve"> при доза от 10-25 </w:t>
      </w:r>
      <w:proofErr w:type="spellStart"/>
      <w:r w:rsidRPr="00411791">
        <w:rPr>
          <w:rFonts w:eastAsia="Times New Roman" w:cs="Arial"/>
          <w:color w:val="000000"/>
        </w:rPr>
        <w:t>mg</w:t>
      </w:r>
      <w:proofErr w:type="spellEnd"/>
      <w:r w:rsidRPr="00411791">
        <w:rPr>
          <w:rFonts w:eastAsia="Times New Roman" w:cs="Arial"/>
          <w:color w:val="000000"/>
        </w:rPr>
        <w:t xml:space="preserve">. </w:t>
      </w:r>
      <w:r w:rsidRPr="00411791">
        <w:rPr>
          <w:rFonts w:eastAsia="Times New Roman" w:cs="Arial"/>
          <w:color w:val="000000"/>
          <w:lang w:eastAsia="bg-BG"/>
        </w:rPr>
        <w:t xml:space="preserve">При пациенти с карцином на гърдата след менопауза, лекували с дневна доза от 25 </w:t>
      </w:r>
      <w:proofErr w:type="spellStart"/>
      <w:r w:rsidRPr="00411791">
        <w:rPr>
          <w:rFonts w:eastAsia="Times New Roman" w:cs="Arial"/>
          <w:color w:val="000000"/>
        </w:rPr>
        <w:t>mg</w:t>
      </w:r>
      <w:proofErr w:type="spellEnd"/>
      <w:r w:rsidRPr="00411791">
        <w:rPr>
          <w:rFonts w:eastAsia="Times New Roman" w:cs="Arial"/>
          <w:color w:val="000000"/>
        </w:rPr>
        <w:t xml:space="preserve">, </w:t>
      </w:r>
      <w:r w:rsidRPr="00411791">
        <w:rPr>
          <w:rFonts w:eastAsia="Times New Roman" w:cs="Arial"/>
          <w:color w:val="000000"/>
          <w:lang w:eastAsia="bg-BG"/>
        </w:rPr>
        <w:t>ароматизацията в целия организъм е намаляла с 98%.</w:t>
      </w:r>
    </w:p>
    <w:p w14:paraId="7EEC43CF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C079CF3" w14:textId="542ED5D2" w:rsidR="008D3FF5" w:rsidRPr="00411791" w:rsidRDefault="008D3FF5" w:rsidP="008D3FF5">
      <w:pPr>
        <w:spacing w:line="240" w:lineRule="auto"/>
        <w:rPr>
          <w:rFonts w:eastAsia="Times New Roman" w:cs="Arial"/>
        </w:rPr>
      </w:pP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не притежава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прогестогенна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или естрогенна активност. Леко изразена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андрогенна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активност, вероятно дължаща се на неговото 17-хидропроизводно, е наблюдавана главно при високи дози. В проучвания с многократно дневно дозиране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не е показал доловими ефекти върху надбъбречната биосинтеза па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кортизол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алдостерон</w:t>
      </w:r>
      <w:proofErr w:type="spellEnd"/>
      <w:r w:rsidRPr="00411791">
        <w:rPr>
          <w:rFonts w:eastAsia="Times New Roman" w:cs="Arial"/>
          <w:color w:val="000000"/>
          <w:lang w:eastAsia="bg-BG"/>
        </w:rPr>
        <w:t>, измерени прели или след стимулация с АСТН (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аденокортико</w:t>
      </w:r>
      <w:r w:rsidR="00791E9A">
        <w:rPr>
          <w:rFonts w:eastAsia="Times New Roman" w:cs="Arial"/>
          <w:color w:val="000000"/>
          <w:lang w:eastAsia="bg-BG"/>
        </w:rPr>
        <w:t>т</w:t>
      </w:r>
      <w:r w:rsidRPr="00411791">
        <w:rPr>
          <w:rFonts w:eastAsia="Times New Roman" w:cs="Arial"/>
          <w:color w:val="000000"/>
          <w:lang w:eastAsia="bg-BG"/>
        </w:rPr>
        <w:t>ропен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хормон), което показва неговата селективност но отношение на другите ензими, участващи в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стероидогенезата</w:t>
      </w:r>
      <w:proofErr w:type="spellEnd"/>
      <w:r w:rsidRPr="00411791">
        <w:rPr>
          <w:rFonts w:eastAsia="Times New Roman" w:cs="Arial"/>
          <w:color w:val="000000"/>
          <w:lang w:eastAsia="bg-BG"/>
        </w:rPr>
        <w:t>.</w:t>
      </w:r>
    </w:p>
    <w:p w14:paraId="13D59858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B1D0C37" w14:textId="24D0F100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Вследствие на това, не се налага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заместително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лечение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глюкокортикоиди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минералкортикоиди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. Даже и при ниски дози е наблюдавано леко, независимо от дозата повишение на серумните концентрации на </w:t>
      </w:r>
      <w:r w:rsidRPr="00411791">
        <w:rPr>
          <w:rFonts w:eastAsia="Times New Roman" w:cs="Arial"/>
          <w:color w:val="000000"/>
        </w:rPr>
        <w:t xml:space="preserve">LH </w:t>
      </w:r>
      <w:r w:rsidRPr="00411791">
        <w:rPr>
          <w:rFonts w:eastAsia="Times New Roman" w:cs="Arial"/>
          <w:color w:val="000000"/>
          <w:lang w:eastAsia="bg-BG"/>
        </w:rPr>
        <w:t xml:space="preserve">и </w:t>
      </w:r>
      <w:r w:rsidRPr="00411791">
        <w:rPr>
          <w:rFonts w:eastAsia="Times New Roman" w:cs="Arial"/>
          <w:color w:val="000000"/>
        </w:rPr>
        <w:t xml:space="preserve">FSH: </w:t>
      </w:r>
      <w:r w:rsidRPr="00411791">
        <w:rPr>
          <w:rFonts w:eastAsia="Times New Roman" w:cs="Arial"/>
          <w:color w:val="000000"/>
          <w:lang w:eastAsia="bg-BG"/>
        </w:rPr>
        <w:t xml:space="preserve">този ефект, обаче, е очакван за фармакологичния клас и вероятно е резултат от обратната връзка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хинофмзно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ниво, дължаща с</w:t>
      </w:r>
      <w:r w:rsidR="00791E9A">
        <w:rPr>
          <w:rFonts w:eastAsia="Times New Roman" w:cs="Arial"/>
          <w:color w:val="000000"/>
          <w:lang w:eastAsia="bg-BG"/>
        </w:rPr>
        <w:t>е</w:t>
      </w:r>
      <w:r w:rsidRPr="00411791">
        <w:rPr>
          <w:rFonts w:eastAsia="Times New Roman" w:cs="Arial"/>
          <w:color w:val="000000"/>
          <w:lang w:eastAsia="bg-BG"/>
        </w:rPr>
        <w:t xml:space="preserve"> на понижението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естрогеновите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нива, което стимулира хипофизната секреция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гонадотропини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дори и при жени след менопауза.</w:t>
      </w:r>
    </w:p>
    <w:p w14:paraId="790F3FF8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46A7013" w14:textId="04422843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u w:val="single"/>
          <w:lang w:eastAsia="bg-BG"/>
        </w:rPr>
        <w:lastRenderedPageBreak/>
        <w:t>Клинична ефикасност и безопасност</w:t>
      </w:r>
    </w:p>
    <w:p w14:paraId="3BD86780" w14:textId="77777777" w:rsidR="008D3FF5" w:rsidRPr="00411791" w:rsidRDefault="008D3FF5" w:rsidP="008D3FF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25A576D" w14:textId="5915FEAF" w:rsidR="008D3FF5" w:rsidRPr="00411791" w:rsidRDefault="008D3FF5" w:rsidP="008D3FF5">
      <w:pPr>
        <w:spacing w:line="240" w:lineRule="auto"/>
        <w:rPr>
          <w:rFonts w:eastAsia="Times New Roman" w:cs="Arial"/>
        </w:rPr>
      </w:pPr>
      <w:proofErr w:type="spellStart"/>
      <w:r w:rsidRPr="00411791">
        <w:rPr>
          <w:rFonts w:eastAsia="Times New Roman" w:cs="Arial"/>
          <w:i/>
          <w:iCs/>
          <w:color w:val="000000"/>
          <w:u w:val="single"/>
          <w:lang w:eastAsia="bg-BG"/>
        </w:rPr>
        <w:t>Адювантно</w:t>
      </w:r>
      <w:proofErr w:type="spellEnd"/>
      <w:r w:rsidRPr="00411791">
        <w:rPr>
          <w:rFonts w:eastAsia="Times New Roman" w:cs="Arial"/>
          <w:i/>
          <w:iCs/>
          <w:color w:val="000000"/>
          <w:u w:val="single"/>
          <w:lang w:eastAsia="bg-BG"/>
        </w:rPr>
        <w:t xml:space="preserve"> лечение на ранен карцином на гърдата</w:t>
      </w:r>
    </w:p>
    <w:p w14:paraId="5081C68B" w14:textId="77777777" w:rsidR="008D3FF5" w:rsidRPr="00411791" w:rsidRDefault="008D3FF5" w:rsidP="008D3FF5">
      <w:pPr>
        <w:rPr>
          <w:rFonts w:eastAsia="Times New Roman" w:cs="Arial"/>
          <w:color w:val="000000"/>
          <w:lang w:eastAsia="bg-BG"/>
        </w:rPr>
      </w:pPr>
    </w:p>
    <w:p w14:paraId="0A93936F" w14:textId="58351802" w:rsidR="008D3FF5" w:rsidRPr="00411791" w:rsidRDefault="008D3FF5" w:rsidP="008D3FF5">
      <w:pPr>
        <w:rPr>
          <w:rFonts w:eastAsia="Times New Roman" w:cs="Arial"/>
          <w:color w:val="000000"/>
          <w:lang w:eastAsia="bg-BG"/>
        </w:rPr>
      </w:pPr>
      <w:r w:rsidRPr="00411791">
        <w:rPr>
          <w:rFonts w:eastAsia="Times New Roman" w:cs="Arial"/>
          <w:color w:val="000000"/>
          <w:lang w:eastAsia="bg-BG"/>
        </w:rPr>
        <w:t xml:space="preserve">В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многоцентрово</w:t>
      </w:r>
      <w:proofErr w:type="spellEnd"/>
      <w:r w:rsidRPr="00411791">
        <w:rPr>
          <w:rFonts w:eastAsia="Times New Roman" w:cs="Arial"/>
          <w:color w:val="000000"/>
          <w:lang w:eastAsia="bg-BG"/>
        </w:rPr>
        <w:t>, рандомизирано, двойносля</w:t>
      </w:r>
      <w:r w:rsidR="00791E9A">
        <w:rPr>
          <w:rFonts w:eastAsia="Times New Roman" w:cs="Arial"/>
          <w:color w:val="000000"/>
          <w:lang w:eastAsia="bg-BG"/>
        </w:rPr>
        <w:t>п</w:t>
      </w:r>
      <w:r w:rsidRPr="00411791">
        <w:rPr>
          <w:rFonts w:eastAsia="Times New Roman" w:cs="Arial"/>
          <w:color w:val="000000"/>
          <w:lang w:eastAsia="bg-BG"/>
        </w:rPr>
        <w:t xml:space="preserve">о проучване, проведено при 4 724 пациентки след менопауза с положителен за естрогенни рецептори или неизяснен първичен карцином на гърдата, тези от тях, които са останали без болестни прояви след провеждане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адювантно</w:t>
      </w:r>
      <w:proofErr w:type="spellEnd"/>
      <w:r w:rsidRPr="00411791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411791">
        <w:rPr>
          <w:rFonts w:eastAsia="Times New Roman" w:cs="Arial"/>
          <w:color w:val="000000"/>
          <w:lang w:eastAsia="bg-BG"/>
        </w:rPr>
        <w:t xml:space="preserve">лечение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тамоксифеи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за 2 до 3 години, са били рандомизирани да получават 3 до 2 години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(25 </w:t>
      </w:r>
      <w:proofErr w:type="spellStart"/>
      <w:r w:rsidRPr="00411791">
        <w:rPr>
          <w:rFonts w:eastAsia="Times New Roman" w:cs="Arial"/>
          <w:color w:val="000000"/>
        </w:rPr>
        <w:t>mg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/ден) или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</w:t>
      </w:r>
      <w:r w:rsidR="00791E9A">
        <w:rPr>
          <w:rFonts w:eastAsia="Times New Roman" w:cs="Arial"/>
          <w:color w:val="000000"/>
          <w:lang w:eastAsia="bg-BG"/>
        </w:rPr>
        <w:t>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(20 или 30 </w:t>
      </w:r>
      <w:proofErr w:type="spellStart"/>
      <w:r w:rsidRPr="00411791">
        <w:rPr>
          <w:rFonts w:eastAsia="Times New Roman" w:cs="Arial"/>
          <w:color w:val="000000"/>
        </w:rPr>
        <w:t>mg</w:t>
      </w:r>
      <w:proofErr w:type="spellEnd"/>
      <w:r w:rsidRPr="00411791">
        <w:rPr>
          <w:rFonts w:eastAsia="Times New Roman" w:cs="Arial"/>
          <w:color w:val="000000"/>
          <w:lang w:eastAsia="bg-BG"/>
        </w:rPr>
        <w:t>/ден), за да завършат пълният 5-годишен период на хормонално лечение.</w:t>
      </w:r>
    </w:p>
    <w:p w14:paraId="384FFD7B" w14:textId="6FBC2070" w:rsidR="008D3FF5" w:rsidRPr="00411791" w:rsidRDefault="008D3FF5" w:rsidP="008D3FF5">
      <w:pPr>
        <w:rPr>
          <w:rFonts w:eastAsia="Times New Roman" w:cs="Arial"/>
          <w:color w:val="000000"/>
          <w:lang w:eastAsia="bg-BG"/>
        </w:rPr>
      </w:pPr>
    </w:p>
    <w:p w14:paraId="052D1B1B" w14:textId="77777777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Осреднено 35-месечно проследяване</w:t>
      </w:r>
    </w:p>
    <w:p w14:paraId="2E75830C" w14:textId="77777777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Резултатите от лечение със средна продължителност от около 27 месеца и проследяване средно около 35 месеца показват, че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секвенциалната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терапия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след 2 до 3 години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адювантна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терапия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е свързана е клинична и статистически значимо подобрение на преживяемостта без прояви на заболяването </w:t>
      </w:r>
      <w:r w:rsidRPr="00411791">
        <w:rPr>
          <w:rFonts w:eastAsia="Times New Roman" w:cs="Arial"/>
          <w:color w:val="000000"/>
        </w:rPr>
        <w:t>(</w:t>
      </w:r>
      <w:proofErr w:type="spellStart"/>
      <w:r w:rsidRPr="00411791">
        <w:rPr>
          <w:rFonts w:eastAsia="Times New Roman" w:cs="Arial"/>
          <w:color w:val="000000"/>
        </w:rPr>
        <w:t>disease-free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survival</w:t>
      </w:r>
      <w:proofErr w:type="spellEnd"/>
      <w:r w:rsidRPr="00411791">
        <w:rPr>
          <w:rFonts w:eastAsia="Times New Roman" w:cs="Arial"/>
          <w:color w:val="000000"/>
        </w:rPr>
        <w:t xml:space="preserve">, DFS), </w:t>
      </w:r>
      <w:r w:rsidRPr="00411791">
        <w:rPr>
          <w:rFonts w:eastAsia="Times New Roman" w:cs="Arial"/>
          <w:color w:val="000000"/>
          <w:lang w:eastAsia="bg-BG"/>
        </w:rPr>
        <w:t xml:space="preserve">в сравнение е продължение па лечението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. Анализът е показал, че по време на проследявания период по проучването,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е понижил риска от рецидив на рак на млечната жлеза с 31% в сравнение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(коефициент на риска 0,69; р=0,00003). Благоприятният ефект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в сравнение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по отношение на преживяемостта без прояви на заболяването е бил очевиден без значение от статуса на лимфните възли или предхождаща химиотерапия.</w:t>
      </w:r>
    </w:p>
    <w:p w14:paraId="7E3B77C7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312B96" w14:textId="372E172A" w:rsidR="008D3FF5" w:rsidRPr="00411791" w:rsidRDefault="008D3FF5" w:rsidP="008D3FF5">
      <w:pPr>
        <w:spacing w:line="240" w:lineRule="auto"/>
        <w:rPr>
          <w:rFonts w:eastAsia="Times New Roman" w:cs="Arial"/>
        </w:rPr>
      </w:pP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също така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сигнификантно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понижава риска от карцином на контралатералната гърда (коефициент на риск 0,32; р=0,0034) и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сигнификантно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повишава преживяемостта без прояви на заболяването (коефициент на риск 0,65; р&lt;0,00001) и дългосрочната преживяемост без рецидиви (коефициент на 0,70, р = 0,00083). По време на анализа, общата преживяемост не се е различавала значимо при двете групи със 116 смъртни случая при групата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и 137 в групата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(коефициент на риск 0,86; р = 0,23).</w:t>
      </w:r>
    </w:p>
    <w:p w14:paraId="1F3DABB7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2621D98" w14:textId="4A6EFF1C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При пациентите, лекувани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се наблюдава по-ниска заболеваемост от второ първично раково заболяване (не включващо рак на млечната жлеза), в сравнение с пациентите, лекувани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(2,2% към 3,5%).</w:t>
      </w:r>
    </w:p>
    <w:p w14:paraId="159AFA0B" w14:textId="77777777" w:rsidR="008D3FF5" w:rsidRPr="00411791" w:rsidRDefault="008D3FF5" w:rsidP="008D3FF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9160CAF" w14:textId="1BF15D74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Осреднено 52-месечно проследяване</w:t>
      </w:r>
    </w:p>
    <w:p w14:paraId="3DF185D1" w14:textId="619AD99C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След лечение със средна продължителност около 30 месеца и среден срок на проследяване около 52 месеца резултатите са показали, че последващо лечение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след 2 до 3 години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адювантна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терапия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 довело до клинично и статистически значимо увеличаване на преживяемостта без прояви на заболяване </w:t>
      </w:r>
      <w:r w:rsidRPr="00411791">
        <w:rPr>
          <w:rFonts w:eastAsia="Times New Roman" w:cs="Arial"/>
          <w:color w:val="000000"/>
        </w:rPr>
        <w:t>(</w:t>
      </w:r>
      <w:proofErr w:type="spellStart"/>
      <w:r w:rsidRPr="00411791">
        <w:rPr>
          <w:rFonts w:eastAsia="Times New Roman" w:cs="Arial"/>
          <w:color w:val="000000"/>
        </w:rPr>
        <w:t>disease-free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survival</w:t>
      </w:r>
      <w:proofErr w:type="spellEnd"/>
      <w:r w:rsidRPr="00411791">
        <w:rPr>
          <w:rFonts w:eastAsia="Times New Roman" w:cs="Arial"/>
          <w:color w:val="000000"/>
        </w:rPr>
        <w:t xml:space="preserve">, DFS) </w:t>
      </w:r>
      <w:r w:rsidRPr="00411791">
        <w:rPr>
          <w:rFonts w:eastAsia="Times New Roman" w:cs="Arial"/>
          <w:color w:val="000000"/>
          <w:lang w:eastAsia="bg-BG"/>
        </w:rPr>
        <w:t xml:space="preserve">в сравнение с продължаване на лечение то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. Анализът е показал, че в рамките на периода на наблюдение в това проучване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 намалил риска от рецидив на карцинома на гърдата с 24% спрямо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(коефициент на риска </w:t>
      </w:r>
      <w:r w:rsidRPr="00411791">
        <w:rPr>
          <w:rFonts w:eastAsia="Times New Roman" w:cs="Arial"/>
          <w:color w:val="000000"/>
        </w:rPr>
        <w:t>[</w:t>
      </w:r>
      <w:proofErr w:type="spellStart"/>
      <w:r w:rsidRPr="00411791">
        <w:rPr>
          <w:rFonts w:eastAsia="Times New Roman" w:cs="Arial"/>
          <w:color w:val="000000"/>
        </w:rPr>
        <w:t>hazard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ratio</w:t>
      </w:r>
      <w:proofErr w:type="spellEnd"/>
      <w:r w:rsidRPr="00411791">
        <w:rPr>
          <w:rFonts w:eastAsia="Times New Roman" w:cs="Arial"/>
          <w:color w:val="000000"/>
        </w:rPr>
        <w:t xml:space="preserve">] </w:t>
      </w:r>
      <w:r w:rsidRPr="00411791">
        <w:rPr>
          <w:rFonts w:eastAsia="Times New Roman" w:cs="Arial"/>
          <w:color w:val="000000"/>
          <w:lang w:eastAsia="bg-BG"/>
        </w:rPr>
        <w:t>0,76; р=0,(</w:t>
      </w:r>
      <w:r w:rsidRPr="00411791">
        <w:rPr>
          <w:rFonts w:eastAsia="Times New Roman" w:cs="Arial"/>
          <w:color w:val="000000"/>
        </w:rPr>
        <w:t>p=0,00</w:t>
      </w:r>
      <w:r w:rsidRPr="00411791">
        <w:rPr>
          <w:rFonts w:eastAsia="Times New Roman" w:cs="Arial"/>
          <w:color w:val="000000"/>
          <w:lang w:eastAsia="bg-BG"/>
        </w:rPr>
        <w:t xml:space="preserve">015).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П</w:t>
      </w:r>
      <w:r w:rsidRPr="00411791">
        <w:rPr>
          <w:rFonts w:eastAsia="Times New Roman" w:cs="Arial"/>
          <w:color w:val="000000"/>
        </w:rPr>
        <w:t>o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- благоприятният ефект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спрямо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</w:t>
      </w:r>
      <w:r w:rsidR="00796D35">
        <w:rPr>
          <w:rFonts w:eastAsia="Times New Roman" w:cs="Arial"/>
          <w:color w:val="000000"/>
          <w:lang w:eastAsia="bg-BG"/>
        </w:rPr>
        <w:t>п</w:t>
      </w:r>
      <w:r w:rsidRPr="00411791">
        <w:rPr>
          <w:rFonts w:eastAsia="Times New Roman" w:cs="Arial"/>
          <w:color w:val="000000"/>
          <w:lang w:eastAsia="bg-BG"/>
        </w:rPr>
        <w:t xml:space="preserve">о отношение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преживяемостга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без прояви на заболяване е бил явен, независимо от степента на засягане на лимфните възли или предшестваща химиотерапия.</w:t>
      </w:r>
    </w:p>
    <w:p w14:paraId="795560E8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5A78082" w14:textId="757735BC" w:rsidR="008D3FF5" w:rsidRPr="00411791" w:rsidRDefault="008D3FF5" w:rsidP="008D3FF5">
      <w:pPr>
        <w:spacing w:line="240" w:lineRule="auto"/>
        <w:rPr>
          <w:rFonts w:eastAsia="Times New Roman" w:cs="Arial"/>
        </w:rPr>
      </w:pP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е довел и до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сигнификантно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понижение на риска от карцином на контралатералната гърда (коефициент на риска </w:t>
      </w:r>
      <w:r w:rsidRPr="00411791">
        <w:rPr>
          <w:rFonts w:eastAsia="Times New Roman" w:cs="Arial"/>
          <w:color w:val="000000"/>
        </w:rPr>
        <w:t>(</w:t>
      </w:r>
      <w:proofErr w:type="spellStart"/>
      <w:r w:rsidRPr="00411791">
        <w:rPr>
          <w:rFonts w:eastAsia="Times New Roman" w:cs="Arial"/>
          <w:color w:val="000000"/>
        </w:rPr>
        <w:t>hazard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ratio</w:t>
      </w:r>
      <w:proofErr w:type="spellEnd"/>
      <w:r w:rsidRPr="00411791">
        <w:rPr>
          <w:rFonts w:eastAsia="Times New Roman" w:cs="Arial"/>
          <w:color w:val="000000"/>
        </w:rPr>
        <w:t xml:space="preserve">) </w:t>
      </w:r>
      <w:r w:rsidRPr="00411791">
        <w:rPr>
          <w:rFonts w:eastAsia="Times New Roman" w:cs="Arial"/>
          <w:color w:val="000000"/>
          <w:lang w:eastAsia="bg-BG"/>
        </w:rPr>
        <w:t xml:space="preserve">0,57, р=0,04158), </w:t>
      </w:r>
      <w:proofErr w:type="spellStart"/>
      <w:r w:rsidRPr="00411791">
        <w:rPr>
          <w:rFonts w:eastAsia="Times New Roman" w:cs="Arial"/>
          <w:color w:val="000000"/>
          <w:lang w:eastAsia="bg-BG"/>
        </w:rPr>
        <w:lastRenderedPageBreak/>
        <w:t>сигнификантно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повишена преживяемост без прояви на заболяване (коефициент на риск 0,76; р- 0,00041) и дългосрочната преживяемост (коефициент на риск 0,83; р&lt;0,02621).</w:t>
      </w:r>
    </w:p>
    <w:p w14:paraId="35F9F669" w14:textId="771906CB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Наблюдавана е тенденция за подобрена обща преживяемост за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в цялата проучвана популация (222 смъртни случая) в сравнение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(262 смъртни случая) с коефициент на риска 0,85 </w:t>
      </w:r>
      <w:r w:rsidRPr="00411791">
        <w:rPr>
          <w:rFonts w:eastAsia="Times New Roman" w:cs="Arial"/>
          <w:color w:val="000000"/>
        </w:rPr>
        <w:t>(</w:t>
      </w:r>
      <w:proofErr w:type="spellStart"/>
      <w:r w:rsidRPr="00411791">
        <w:rPr>
          <w:rFonts w:eastAsia="Times New Roman" w:cs="Arial"/>
          <w:color w:val="000000"/>
        </w:rPr>
        <w:t>log-rank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r w:rsidRPr="00411791">
        <w:rPr>
          <w:rFonts w:eastAsia="Times New Roman" w:cs="Arial"/>
          <w:color w:val="000000"/>
          <w:lang w:eastAsia="bg-BG"/>
        </w:rPr>
        <w:t xml:space="preserve">тест: р-0.07362), което представлява намаление с 15% на риска от смърт в полза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>.</w:t>
      </w:r>
    </w:p>
    <w:p w14:paraId="61ADA181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16EE54C" w14:textId="1626984E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При подгрупата пациенти с положителен за естрогенни рецептори или с неизвестен статус, нерегулирания коефициент на риск за общата преживяемост е бил 0,83 </w:t>
      </w:r>
      <w:r w:rsidRPr="00411791">
        <w:rPr>
          <w:rFonts w:eastAsia="Times New Roman" w:cs="Arial"/>
          <w:color w:val="000000"/>
        </w:rPr>
        <w:t>(</w:t>
      </w:r>
      <w:proofErr w:type="spellStart"/>
      <w:r w:rsidRPr="00411791">
        <w:rPr>
          <w:rFonts w:eastAsia="Times New Roman" w:cs="Arial"/>
          <w:color w:val="000000"/>
        </w:rPr>
        <w:t>log-rank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test</w:t>
      </w:r>
      <w:proofErr w:type="spellEnd"/>
      <w:r w:rsidRPr="00411791">
        <w:rPr>
          <w:rFonts w:eastAsia="Times New Roman" w:cs="Arial"/>
          <w:color w:val="000000"/>
        </w:rPr>
        <w:t xml:space="preserve">: </w:t>
      </w:r>
      <w:r w:rsidRPr="00411791">
        <w:rPr>
          <w:rFonts w:eastAsia="Times New Roman" w:cs="Arial"/>
          <w:color w:val="000000"/>
          <w:lang w:eastAsia="bg-BG"/>
        </w:rPr>
        <w:t>р=0,04250), като това представлява клинично и статистически значимо понижаване на риска от смърт със 17%.</w:t>
      </w:r>
    </w:p>
    <w:p w14:paraId="4043E2E1" w14:textId="77777777" w:rsidR="008D3FF5" w:rsidRPr="00411791" w:rsidRDefault="008D3FF5" w:rsidP="008D3FF5">
      <w:pPr>
        <w:rPr>
          <w:rFonts w:eastAsia="Times New Roman" w:cs="Arial"/>
          <w:color w:val="000000"/>
          <w:lang w:eastAsia="bg-BG"/>
        </w:rPr>
      </w:pPr>
    </w:p>
    <w:p w14:paraId="01994B4D" w14:textId="13840BFB" w:rsidR="008D3FF5" w:rsidRPr="00411791" w:rsidRDefault="008D3FF5" w:rsidP="008D3FF5">
      <w:pPr>
        <w:rPr>
          <w:rFonts w:eastAsia="Times New Roman" w:cs="Arial"/>
          <w:color w:val="000000"/>
          <w:lang w:eastAsia="bg-BG"/>
        </w:rPr>
      </w:pPr>
      <w:r w:rsidRPr="00411791">
        <w:rPr>
          <w:rFonts w:eastAsia="Times New Roman" w:cs="Arial"/>
          <w:color w:val="000000"/>
          <w:lang w:eastAsia="bg-BG"/>
        </w:rPr>
        <w:t xml:space="preserve">Наблюдавано е статистически значимо понижаване на риска от смърт с 23% (коефициент на риска за общата преживяемост 0,77; квадратен тест на </w:t>
      </w:r>
      <w:proofErr w:type="spellStart"/>
      <w:r w:rsidRPr="00411791">
        <w:rPr>
          <w:rFonts w:eastAsia="Times New Roman" w:cs="Arial"/>
          <w:color w:val="000000"/>
        </w:rPr>
        <w:t>Wald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chi</w:t>
      </w:r>
      <w:proofErr w:type="spellEnd"/>
      <w:r w:rsidRPr="00411791">
        <w:rPr>
          <w:rFonts w:eastAsia="Times New Roman" w:cs="Arial"/>
          <w:color w:val="000000"/>
        </w:rPr>
        <w:t xml:space="preserve">: </w:t>
      </w:r>
      <w:r w:rsidRPr="00411791">
        <w:rPr>
          <w:rFonts w:eastAsia="Times New Roman" w:cs="Arial"/>
          <w:color w:val="000000"/>
          <w:lang w:eastAsia="bg-BG"/>
        </w:rPr>
        <w:t xml:space="preserve">р=0,0069) за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</w:t>
      </w:r>
      <w:r w:rsidRPr="00411791">
        <w:rPr>
          <w:rFonts w:eastAsia="Times New Roman" w:cs="Arial"/>
          <w:color w:val="000000"/>
          <w:u w:val="single"/>
          <w:lang w:eastAsia="bg-BG"/>
        </w:rPr>
        <w:t>н</w:t>
      </w:r>
      <w:proofErr w:type="spellEnd"/>
      <w:r w:rsidRPr="00411791">
        <w:rPr>
          <w:rFonts w:eastAsia="Times New Roman" w:cs="Arial"/>
          <w:color w:val="000000"/>
          <w:u w:val="single"/>
          <w:lang w:eastAsia="bg-BG"/>
        </w:rPr>
        <w:t xml:space="preserve"> в </w:t>
      </w:r>
      <w:r w:rsidRPr="00411791">
        <w:rPr>
          <w:rFonts w:eastAsia="Times New Roman" w:cs="Arial"/>
          <w:color w:val="000000"/>
          <w:lang w:eastAsia="bg-BG"/>
        </w:rPr>
        <w:t xml:space="preserve">сравнение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при адаптиране за предварително определените прогностични фактори (т.е. </w:t>
      </w:r>
      <w:r w:rsidRPr="00411791">
        <w:rPr>
          <w:rFonts w:eastAsia="Times New Roman" w:cs="Arial"/>
          <w:color w:val="000000"/>
        </w:rPr>
        <w:t xml:space="preserve">ER </w:t>
      </w:r>
      <w:r w:rsidRPr="00411791">
        <w:rPr>
          <w:rFonts w:eastAsia="Times New Roman" w:cs="Arial"/>
          <w:color w:val="000000"/>
          <w:lang w:eastAsia="bg-BG"/>
        </w:rPr>
        <w:t>статус, статус на лимфни възли, предшестваща химиотерапия, употреба на ХЗТ (</w:t>
      </w:r>
      <w:proofErr w:type="spellStart"/>
      <w:r w:rsidRPr="00411791">
        <w:rPr>
          <w:rFonts w:eastAsia="Times New Roman" w:cs="Arial"/>
          <w:color w:val="000000"/>
          <w:lang w:eastAsia="bg-BG"/>
        </w:rPr>
        <w:t>хормоно-заместителна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терапия) и употреба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бифосфонати</w:t>
      </w:r>
      <w:proofErr w:type="spellEnd"/>
      <w:r w:rsidRPr="00411791">
        <w:rPr>
          <w:rFonts w:eastAsia="Times New Roman" w:cs="Arial"/>
          <w:color w:val="000000"/>
          <w:lang w:eastAsia="bg-BG"/>
        </w:rPr>
        <w:t>).</w:t>
      </w:r>
    </w:p>
    <w:p w14:paraId="4E7639FA" w14:textId="384F30FB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При пациентите, лекувани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се наблюдава по-ниска заболеваемост от второ първично раково заболяване (не включващо рак на млечната жлеза), в сравнение с пациентите, лекувани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</w:t>
      </w:r>
      <w:r w:rsidR="00796D35">
        <w:rPr>
          <w:rFonts w:eastAsia="Times New Roman" w:cs="Arial"/>
          <w:color w:val="000000"/>
          <w:lang w:eastAsia="bg-BG"/>
        </w:rPr>
        <w:t>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(3,6% спрямо 5,3%).</w:t>
      </w:r>
    </w:p>
    <w:p w14:paraId="3494A27F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9B1519" w14:textId="3AEB32D0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Резултатите от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подпроучване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върху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ендом</w:t>
      </w:r>
      <w:r w:rsidR="00796D35">
        <w:rPr>
          <w:rFonts w:eastAsia="Times New Roman" w:cs="Arial"/>
          <w:color w:val="000000"/>
          <w:lang w:eastAsia="bg-BG"/>
        </w:rPr>
        <w:t>е</w:t>
      </w:r>
      <w:r w:rsidRPr="00411791">
        <w:rPr>
          <w:rFonts w:eastAsia="Times New Roman" w:cs="Arial"/>
          <w:color w:val="000000"/>
          <w:lang w:eastAsia="bg-BG"/>
        </w:rPr>
        <w:t>триума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показват, че след двугодишно лечение с настъпило средно намаление с 33% па дебелината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ендометриума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при пациентите, лекувани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, без изразена разлика при пациентите, лекувани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. Задебеляването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ендом</w:t>
      </w:r>
      <w:r w:rsidR="00796D35">
        <w:rPr>
          <w:rFonts w:eastAsia="Times New Roman" w:cs="Arial"/>
          <w:color w:val="000000"/>
          <w:lang w:eastAsia="bg-BG"/>
        </w:rPr>
        <w:t>е</w:t>
      </w:r>
      <w:r w:rsidRPr="00411791">
        <w:rPr>
          <w:rFonts w:eastAsia="Times New Roman" w:cs="Arial"/>
          <w:color w:val="000000"/>
          <w:lang w:eastAsia="bg-BG"/>
        </w:rPr>
        <w:t>триума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, докладвано в началото на проучването, е претърпяло обратно развитие към нормализация (&lt;5 </w:t>
      </w:r>
      <w:r w:rsidRPr="00411791">
        <w:rPr>
          <w:rFonts w:eastAsia="Times New Roman" w:cs="Arial"/>
          <w:color w:val="000000"/>
        </w:rPr>
        <w:t xml:space="preserve">mm) </w:t>
      </w:r>
      <w:r w:rsidRPr="00411791">
        <w:rPr>
          <w:rFonts w:eastAsia="Times New Roman" w:cs="Arial"/>
          <w:color w:val="000000"/>
          <w:lang w:eastAsia="bg-BG"/>
        </w:rPr>
        <w:t xml:space="preserve">при 54% от пациентите, лекувани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>.</w:t>
      </w:r>
    </w:p>
    <w:p w14:paraId="11F908D3" w14:textId="77777777" w:rsidR="008D3FF5" w:rsidRPr="00411791" w:rsidRDefault="008D3FF5" w:rsidP="008D3FF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0851B6C" w14:textId="452AB1EF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>Осреднено 87-месечно проследяване</w:t>
      </w:r>
    </w:p>
    <w:p w14:paraId="6D79F90A" w14:textId="77777777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Резултатите след лечение със средна продължителност около 30 месеца и проследяване със средна продължителност около 87 месеца показват, че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секвенциалната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терапия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след 2 до 3 години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адювантна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терапия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тамоксифеи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е свързана с клинично и статистически значимо подобрение на преживяемостта без прояви на заболяването </w:t>
      </w:r>
      <w:r w:rsidRPr="00411791">
        <w:rPr>
          <w:rFonts w:eastAsia="Times New Roman" w:cs="Arial"/>
          <w:color w:val="000000"/>
        </w:rPr>
        <w:t>(</w:t>
      </w:r>
      <w:proofErr w:type="spellStart"/>
      <w:r w:rsidRPr="00411791">
        <w:rPr>
          <w:rFonts w:eastAsia="Times New Roman" w:cs="Arial"/>
          <w:color w:val="000000"/>
        </w:rPr>
        <w:t>disease-free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survival</w:t>
      </w:r>
      <w:proofErr w:type="spellEnd"/>
      <w:r w:rsidRPr="00411791">
        <w:rPr>
          <w:rFonts w:eastAsia="Times New Roman" w:cs="Arial"/>
          <w:color w:val="000000"/>
        </w:rPr>
        <w:t xml:space="preserve">, DFS), </w:t>
      </w:r>
      <w:r w:rsidRPr="00411791">
        <w:rPr>
          <w:rFonts w:eastAsia="Times New Roman" w:cs="Arial"/>
          <w:color w:val="000000"/>
          <w:lang w:eastAsia="bg-BG"/>
        </w:rPr>
        <w:t xml:space="preserve">в сравнение с продължение на лечението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тамоксифеи</w:t>
      </w:r>
      <w:proofErr w:type="spellEnd"/>
      <w:r w:rsidRPr="00411791">
        <w:rPr>
          <w:rFonts w:eastAsia="Times New Roman" w:cs="Arial"/>
          <w:color w:val="000000"/>
          <w:lang w:eastAsia="bg-BG"/>
        </w:rPr>
        <w:t>.</w:t>
      </w:r>
    </w:p>
    <w:p w14:paraId="7FFA3C4F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53E9AB" w14:textId="19D448D1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Анализът е показал, че по време на проследявания период по проучването,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е понижил риска от рецидив на рак па млечната жлеза с 16% в сравнение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тамоксифеи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(коефициент на риска 0,84; р=0,002).</w:t>
      </w:r>
    </w:p>
    <w:p w14:paraId="5D383AD5" w14:textId="3475763C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Благоприятният ефект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в сравнение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по отношение на </w:t>
      </w:r>
      <w:r w:rsidR="00796D35">
        <w:rPr>
          <w:rFonts w:eastAsia="Times New Roman" w:cs="Arial"/>
          <w:color w:val="000000"/>
          <w:lang w:eastAsia="bg-BG"/>
        </w:rPr>
        <w:t>п</w:t>
      </w:r>
      <w:r w:rsidRPr="00411791">
        <w:rPr>
          <w:rFonts w:eastAsia="Times New Roman" w:cs="Arial"/>
          <w:color w:val="000000"/>
          <w:lang w:eastAsia="bg-BG"/>
        </w:rPr>
        <w:t>реживяемостта без прояви на заболяването е бил очевиден без значение от статуса на лимфните възли или предхождаща химиотерапия.</w:t>
      </w:r>
    </w:p>
    <w:p w14:paraId="6185A51B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135E501" w14:textId="5CD21C77" w:rsidR="008D3FF5" w:rsidRPr="00411791" w:rsidRDefault="008D3FF5" w:rsidP="008D3FF5">
      <w:pPr>
        <w:spacing w:line="240" w:lineRule="auto"/>
        <w:rPr>
          <w:rFonts w:eastAsia="Times New Roman" w:cs="Arial"/>
        </w:rPr>
      </w:pP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сигпифика</w:t>
      </w:r>
      <w:r w:rsidR="00796D35">
        <w:rPr>
          <w:rFonts w:eastAsia="Times New Roman" w:cs="Arial"/>
          <w:color w:val="000000"/>
          <w:lang w:eastAsia="bg-BG"/>
        </w:rPr>
        <w:t>н</w:t>
      </w:r>
      <w:r w:rsidRPr="00411791">
        <w:rPr>
          <w:rFonts w:eastAsia="Times New Roman" w:cs="Arial"/>
          <w:color w:val="000000"/>
          <w:lang w:eastAsia="bg-BG"/>
        </w:rPr>
        <w:t>т</w:t>
      </w:r>
      <w:r w:rsidR="00796D35">
        <w:rPr>
          <w:rFonts w:eastAsia="Times New Roman" w:cs="Arial"/>
          <w:color w:val="000000"/>
          <w:lang w:eastAsia="bg-BG"/>
        </w:rPr>
        <w:t>н</w:t>
      </w:r>
      <w:r w:rsidRPr="00411791">
        <w:rPr>
          <w:rFonts w:eastAsia="Times New Roman" w:cs="Arial"/>
          <w:color w:val="000000"/>
          <w:lang w:eastAsia="bg-BG"/>
        </w:rPr>
        <w:t>о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е увеличил преживяемостта без карцином па гърдата (коефициент на риск 0,82, р=0,00263) и дългосрочната преживяемост без рецидиви (коефициент на риск 0,85; р=0,02425).</w:t>
      </w:r>
    </w:p>
    <w:p w14:paraId="205C8E10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B9F3939" w14:textId="3DE8A05B" w:rsidR="008D3FF5" w:rsidRPr="00411791" w:rsidRDefault="008D3FF5" w:rsidP="008D3FF5">
      <w:pPr>
        <w:spacing w:line="240" w:lineRule="auto"/>
        <w:rPr>
          <w:rFonts w:eastAsia="Times New Roman" w:cs="Arial"/>
        </w:rPr>
      </w:pP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също така понижава риска от карцином на контралатералната гърда, въпреки това, ефектът вече не е бил статистически значим (коефициент на риск 0,74, р=0,12983).</w:t>
      </w:r>
    </w:p>
    <w:p w14:paraId="4E6A5D69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662FBB9" w14:textId="3BB617CA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lastRenderedPageBreak/>
        <w:t xml:space="preserve">При цялата проучвана популация се наблюдава тенденция за подобрена обща преживяемост при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(373 смъртни случая) спрямо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</w:t>
      </w:r>
      <w:r w:rsidR="00CD6DBA">
        <w:rPr>
          <w:rFonts w:eastAsia="Times New Roman" w:cs="Arial"/>
          <w:color w:val="000000"/>
          <w:lang w:eastAsia="bg-BG"/>
        </w:rPr>
        <w:t>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(420 смъртни случая) с коефициент на риск 0,89 </w:t>
      </w:r>
      <w:r w:rsidRPr="00411791">
        <w:rPr>
          <w:rFonts w:eastAsia="Times New Roman" w:cs="Arial"/>
          <w:color w:val="000000"/>
        </w:rPr>
        <w:t>(</w:t>
      </w:r>
      <w:proofErr w:type="spellStart"/>
      <w:r w:rsidRPr="00411791">
        <w:rPr>
          <w:rFonts w:eastAsia="Times New Roman" w:cs="Arial"/>
          <w:color w:val="000000"/>
        </w:rPr>
        <w:t>log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rank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test</w:t>
      </w:r>
      <w:proofErr w:type="spellEnd"/>
      <w:r w:rsidRPr="00411791">
        <w:rPr>
          <w:rFonts w:eastAsia="Times New Roman" w:cs="Arial"/>
          <w:color w:val="000000"/>
        </w:rPr>
        <w:t xml:space="preserve">: </w:t>
      </w:r>
      <w:r w:rsidRPr="00411791">
        <w:rPr>
          <w:rFonts w:eastAsia="Times New Roman" w:cs="Arial"/>
          <w:color w:val="000000"/>
          <w:lang w:eastAsia="bg-BG"/>
        </w:rPr>
        <w:t xml:space="preserve">р=0,08972), представляваща 11% понижение на риска от смърт в полза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. При подгрупата с положителен за </w:t>
      </w:r>
      <w:r w:rsidR="00CD6DBA">
        <w:rPr>
          <w:rFonts w:eastAsia="Times New Roman" w:cs="Arial"/>
          <w:color w:val="000000"/>
          <w:lang w:eastAsia="bg-BG"/>
        </w:rPr>
        <w:t>е</w:t>
      </w:r>
      <w:r w:rsidRPr="00411791">
        <w:rPr>
          <w:rFonts w:eastAsia="Times New Roman" w:cs="Arial"/>
          <w:color w:val="000000"/>
          <w:lang w:eastAsia="bg-BG"/>
        </w:rPr>
        <w:t>строгенни рецептори резултат или неизвестен ст</w:t>
      </w:r>
      <w:r w:rsidR="00CD6DBA">
        <w:rPr>
          <w:rFonts w:eastAsia="Times New Roman" w:cs="Arial"/>
          <w:color w:val="000000"/>
          <w:lang w:eastAsia="bg-BG"/>
        </w:rPr>
        <w:t>а</w:t>
      </w:r>
      <w:r w:rsidRPr="00411791">
        <w:rPr>
          <w:rFonts w:eastAsia="Times New Roman" w:cs="Arial"/>
          <w:color w:val="000000"/>
          <w:lang w:eastAsia="bg-BG"/>
        </w:rPr>
        <w:t xml:space="preserve">тус, нерегулирания коефициент на риск за общата преживяемост е бил 0,86 </w:t>
      </w:r>
      <w:r w:rsidRPr="00411791">
        <w:rPr>
          <w:rFonts w:eastAsia="Times New Roman" w:cs="Arial"/>
          <w:color w:val="000000"/>
        </w:rPr>
        <w:t>(</w:t>
      </w:r>
      <w:proofErr w:type="spellStart"/>
      <w:r w:rsidRPr="00411791">
        <w:rPr>
          <w:rFonts w:eastAsia="Times New Roman" w:cs="Arial"/>
          <w:color w:val="000000"/>
        </w:rPr>
        <w:t>log</w:t>
      </w:r>
      <w:r w:rsidRPr="00411791">
        <w:rPr>
          <w:rFonts w:eastAsia="Times New Roman" w:cs="Arial"/>
          <w:color w:val="000000"/>
        </w:rPr>
        <w:softHyphen/>
        <w:t>rank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test</w:t>
      </w:r>
      <w:proofErr w:type="spellEnd"/>
      <w:r w:rsidRPr="00411791">
        <w:rPr>
          <w:rFonts w:eastAsia="Times New Roman" w:cs="Arial"/>
          <w:color w:val="000000"/>
        </w:rPr>
        <w:t xml:space="preserve">: </w:t>
      </w:r>
      <w:r w:rsidRPr="00411791">
        <w:rPr>
          <w:rFonts w:eastAsia="Times New Roman" w:cs="Arial"/>
          <w:color w:val="000000"/>
          <w:lang w:eastAsia="bg-BG"/>
        </w:rPr>
        <w:t>р=0,04262), като това представлява клинично и статистически значимо понижаване на риска от смърт със 14%.</w:t>
      </w:r>
    </w:p>
    <w:p w14:paraId="2DCA9C20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E5FD500" w14:textId="618E5E75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При цялата изпитвана популация е наблюдавано статистически значимо понижаване на риска от смърт с 18% (коефициент на риска за общата преживяемост 0,82; квадратен тест на </w:t>
      </w:r>
      <w:proofErr w:type="spellStart"/>
      <w:r w:rsidRPr="00411791">
        <w:rPr>
          <w:rFonts w:eastAsia="Times New Roman" w:cs="Arial"/>
          <w:color w:val="000000"/>
        </w:rPr>
        <w:t>Wald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chi</w:t>
      </w:r>
      <w:proofErr w:type="spellEnd"/>
      <w:r w:rsidRPr="00411791">
        <w:rPr>
          <w:rFonts w:eastAsia="Times New Roman" w:cs="Arial"/>
          <w:color w:val="000000"/>
        </w:rPr>
        <w:t xml:space="preserve">: </w:t>
      </w:r>
      <w:r w:rsidRPr="00411791">
        <w:rPr>
          <w:rFonts w:eastAsia="Times New Roman" w:cs="Arial"/>
          <w:color w:val="000000"/>
          <w:lang w:eastAsia="bg-BG"/>
        </w:rPr>
        <w:t xml:space="preserve">р=0,0082) за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в сравнение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при адаптиране за предварително определените прогностични фактори (т.е. </w:t>
      </w:r>
      <w:r w:rsidRPr="00411791">
        <w:rPr>
          <w:rFonts w:eastAsia="Times New Roman" w:cs="Arial"/>
          <w:color w:val="000000"/>
        </w:rPr>
        <w:t xml:space="preserve">ER </w:t>
      </w:r>
      <w:r w:rsidRPr="00411791">
        <w:rPr>
          <w:rFonts w:eastAsia="Times New Roman" w:cs="Arial"/>
          <w:color w:val="000000"/>
          <w:lang w:eastAsia="bg-BG"/>
        </w:rPr>
        <w:t>статус, статус на лимфни възли, предшестваща химиотерапия, употреба на ХЗТ (</w:t>
      </w:r>
      <w:proofErr w:type="spellStart"/>
      <w:r w:rsidRPr="00411791">
        <w:rPr>
          <w:rFonts w:eastAsia="Times New Roman" w:cs="Arial"/>
          <w:color w:val="000000"/>
          <w:lang w:eastAsia="bg-BG"/>
        </w:rPr>
        <w:t>хормоно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-заместител на терапия) и употреба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бифосфонати</w:t>
      </w:r>
      <w:proofErr w:type="spellEnd"/>
      <w:r w:rsidRPr="00411791">
        <w:rPr>
          <w:rFonts w:eastAsia="Times New Roman" w:cs="Arial"/>
          <w:color w:val="000000"/>
          <w:lang w:eastAsia="bg-BG"/>
        </w:rPr>
        <w:t>).</w:t>
      </w:r>
    </w:p>
    <w:p w14:paraId="7AC7C519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D7B5750" w14:textId="50D4477F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При пациентите, лекувани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е наблюдавана по-ниска заболеваемост от втори първичен рак (не включващ рак на млечната жлеза), в сравнение с пациентите, лекувани само е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(5,6% към 7,6%).</w:t>
      </w:r>
    </w:p>
    <w:p w14:paraId="4C671FF5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AA3D5A1" w14:textId="145EAD34" w:rsidR="008D3FF5" w:rsidRPr="00411791" w:rsidRDefault="008D3FF5" w:rsidP="0041121F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Резултатите от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подпроучване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оценяващо костните промени, показват, че лечението е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за период 2-3 години, последван от 3 до 2 години лечение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по</w:t>
      </w:r>
      <w:r w:rsidRPr="00411791">
        <w:rPr>
          <w:rFonts w:eastAsia="Times New Roman" w:cs="Arial"/>
          <w:color w:val="000000"/>
          <w:u w:val="single"/>
          <w:lang w:eastAsia="bg-BG"/>
        </w:rPr>
        <w:t>виша</w:t>
      </w:r>
      <w:r w:rsidRPr="00411791">
        <w:rPr>
          <w:rFonts w:eastAsia="Times New Roman" w:cs="Arial"/>
          <w:color w:val="000000"/>
          <w:lang w:eastAsia="bg-BG"/>
        </w:rPr>
        <w:t>ва загубата на костна минерална плътност по време па лечението (средна промяна в % от изходната стойност за костна минерална плътност за 36 месеца: -3,37 [</w:t>
      </w:r>
      <w:proofErr w:type="spellStart"/>
      <w:r w:rsidRPr="00411791">
        <w:rPr>
          <w:rFonts w:eastAsia="Times New Roman" w:cs="Arial"/>
          <w:color w:val="000000"/>
          <w:lang w:eastAsia="bg-BG"/>
        </w:rPr>
        <w:t>грьбнак</w:t>
      </w:r>
      <w:proofErr w:type="spellEnd"/>
      <w:r w:rsidRPr="00411791">
        <w:rPr>
          <w:rFonts w:eastAsia="Times New Roman" w:cs="Arial"/>
          <w:color w:val="000000"/>
          <w:lang w:eastAsia="bg-BG"/>
        </w:rPr>
        <w:t>],</w:t>
      </w:r>
      <w:r w:rsidRPr="00411791">
        <w:rPr>
          <w:rFonts w:eastAsia="Times New Roman" w:cs="Arial"/>
          <w:color w:val="000000"/>
        </w:rPr>
        <w:t xml:space="preserve"> -2,96</w:t>
      </w:r>
      <w:r w:rsidR="0041121F">
        <w:rPr>
          <w:rFonts w:eastAsia="Times New Roman" w:cs="Arial"/>
          <w:color w:val="000000"/>
        </w:rPr>
        <w:t xml:space="preserve"> </w:t>
      </w:r>
      <w:r w:rsidRPr="00411791">
        <w:rPr>
          <w:rFonts w:eastAsia="Times New Roman" w:cs="Arial"/>
          <w:color w:val="000000"/>
          <w:lang w:eastAsia="bg-BG"/>
        </w:rPr>
        <w:t xml:space="preserve">[проксимален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фемур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</w:t>
      </w:r>
      <w:r w:rsidRPr="00411791">
        <w:rPr>
          <w:rFonts w:eastAsia="Times New Roman" w:cs="Arial"/>
          <w:color w:val="000000"/>
        </w:rPr>
        <w:t>(</w:t>
      </w:r>
      <w:proofErr w:type="spellStart"/>
      <w:r w:rsidRPr="00411791">
        <w:rPr>
          <w:rFonts w:eastAsia="Times New Roman" w:cs="Arial"/>
          <w:color w:val="000000"/>
        </w:rPr>
        <w:t>total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hip</w:t>
      </w:r>
      <w:proofErr w:type="spellEnd"/>
      <w:r w:rsidRPr="00411791">
        <w:rPr>
          <w:rFonts w:eastAsia="Times New Roman" w:cs="Arial"/>
          <w:color w:val="000000"/>
        </w:rPr>
        <w:t xml:space="preserve">)] </w:t>
      </w:r>
      <w:r w:rsidRPr="00411791">
        <w:rPr>
          <w:rFonts w:eastAsia="Times New Roman" w:cs="Arial"/>
          <w:color w:val="000000"/>
          <w:lang w:eastAsia="bg-BG"/>
        </w:rPr>
        <w:t xml:space="preserve">за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и -1,29 [гръбнак], -2,02 [проксимален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фемур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</w:t>
      </w:r>
      <w:proofErr w:type="spellStart"/>
      <w:r w:rsidRPr="00411791">
        <w:rPr>
          <w:rFonts w:eastAsia="Times New Roman" w:cs="Arial"/>
          <w:color w:val="000000"/>
        </w:rPr>
        <w:t>total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hip</w:t>
      </w:r>
      <w:proofErr w:type="spellEnd"/>
      <w:r w:rsidRPr="00411791">
        <w:rPr>
          <w:rFonts w:eastAsia="Times New Roman" w:cs="Arial"/>
          <w:color w:val="000000"/>
        </w:rPr>
        <w:t xml:space="preserve">)] </w:t>
      </w:r>
      <w:r w:rsidRPr="00411791">
        <w:rPr>
          <w:rFonts w:eastAsia="Times New Roman" w:cs="Arial"/>
          <w:color w:val="000000"/>
          <w:lang w:eastAsia="bg-BG"/>
        </w:rPr>
        <w:t xml:space="preserve">за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>). До края на периода на проследяване е имало минимални разлики между</w:t>
      </w:r>
      <w:r w:rsidR="0041121F">
        <w:rPr>
          <w:rFonts w:eastAsia="Times New Roman" w:cs="Arial"/>
          <w:color w:val="000000"/>
          <w:lang w:eastAsia="bg-BG"/>
        </w:rPr>
        <w:t xml:space="preserve"> </w:t>
      </w:r>
      <w:r w:rsidRPr="00411791">
        <w:rPr>
          <w:rFonts w:eastAsia="Times New Roman" w:cs="Arial"/>
          <w:color w:val="000000"/>
          <w:lang w:eastAsia="bg-BG"/>
        </w:rPr>
        <w:t xml:space="preserve">отделните рамена по отношение на промяната на костната минерална плътност от изходната стойност, като рамото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е имало малко по-голяма крайна редукция на костната минерална плътност на всички места (средна промяна в % от изходната стойност за костна плътност за 24 месеца - 2,17 [гръбнак], -3,06 [проксимален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фемур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</w:t>
      </w:r>
      <w:r w:rsidRPr="00411791">
        <w:rPr>
          <w:rFonts w:eastAsia="Times New Roman" w:cs="Arial"/>
          <w:color w:val="000000"/>
        </w:rPr>
        <w:t>(</w:t>
      </w:r>
      <w:proofErr w:type="spellStart"/>
      <w:r w:rsidRPr="00411791">
        <w:rPr>
          <w:rFonts w:eastAsia="Times New Roman" w:cs="Arial"/>
          <w:color w:val="000000"/>
        </w:rPr>
        <w:t>total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hip</w:t>
      </w:r>
      <w:proofErr w:type="spellEnd"/>
      <w:r w:rsidRPr="00411791">
        <w:rPr>
          <w:rFonts w:eastAsia="Times New Roman" w:cs="Arial"/>
          <w:color w:val="000000"/>
        </w:rPr>
        <w:t xml:space="preserve">)] </w:t>
      </w:r>
      <w:r w:rsidRPr="00411791">
        <w:rPr>
          <w:rFonts w:eastAsia="Times New Roman" w:cs="Arial"/>
          <w:color w:val="000000"/>
          <w:lang w:eastAsia="bg-BG"/>
        </w:rPr>
        <w:t xml:space="preserve">за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и - 3,44 [гръбнак], 4,15 [проксимален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фемур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</w:t>
      </w:r>
      <w:r w:rsidRPr="00411791">
        <w:rPr>
          <w:rFonts w:eastAsia="Times New Roman" w:cs="Arial"/>
          <w:color w:val="000000"/>
        </w:rPr>
        <w:t>(</w:t>
      </w:r>
      <w:proofErr w:type="spellStart"/>
      <w:r w:rsidRPr="00411791">
        <w:rPr>
          <w:rFonts w:eastAsia="Times New Roman" w:cs="Arial"/>
          <w:color w:val="000000"/>
        </w:rPr>
        <w:t>total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hip</w:t>
      </w:r>
      <w:proofErr w:type="spellEnd"/>
      <w:r w:rsidRPr="00411791">
        <w:rPr>
          <w:rFonts w:eastAsia="Times New Roman" w:cs="Arial"/>
          <w:color w:val="000000"/>
        </w:rPr>
        <w:t xml:space="preserve">)] </w:t>
      </w:r>
      <w:r w:rsidRPr="00411791">
        <w:rPr>
          <w:rFonts w:eastAsia="Times New Roman" w:cs="Arial"/>
          <w:color w:val="000000"/>
          <w:lang w:eastAsia="bg-BG"/>
        </w:rPr>
        <w:t xml:space="preserve">за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</w:t>
      </w:r>
      <w:r w:rsidR="0041121F">
        <w:rPr>
          <w:rFonts w:eastAsia="Times New Roman" w:cs="Arial"/>
          <w:color w:val="000000"/>
          <w:lang w:eastAsia="bg-BG"/>
        </w:rPr>
        <w:t>н</w:t>
      </w:r>
      <w:proofErr w:type="spellEnd"/>
      <w:r w:rsidRPr="00411791">
        <w:rPr>
          <w:rFonts w:eastAsia="Times New Roman" w:cs="Arial"/>
          <w:color w:val="000000"/>
          <w:lang w:eastAsia="bg-BG"/>
        </w:rPr>
        <w:t>.</w:t>
      </w:r>
    </w:p>
    <w:p w14:paraId="45EB16DD" w14:textId="77777777" w:rsidR="008D3FF5" w:rsidRPr="00411791" w:rsidRDefault="008D3FF5" w:rsidP="008D3FF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A475D46" w14:textId="6CDF19BB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i/>
          <w:iCs/>
          <w:color w:val="000000"/>
          <w:lang w:eastAsia="bg-BG"/>
        </w:rPr>
        <w:t xml:space="preserve">119-месечно окончателно проследяване в </w:t>
      </w:r>
      <w:r w:rsidRPr="00411791">
        <w:rPr>
          <w:rFonts w:eastAsia="Times New Roman" w:cs="Arial"/>
          <w:i/>
          <w:iCs/>
          <w:color w:val="000000"/>
        </w:rPr>
        <w:t>IES (</w:t>
      </w:r>
      <w:proofErr w:type="spellStart"/>
      <w:r w:rsidRPr="00411791">
        <w:rPr>
          <w:rFonts w:eastAsia="Times New Roman" w:cs="Arial"/>
          <w:i/>
          <w:iCs/>
          <w:color w:val="000000"/>
        </w:rPr>
        <w:t>Intergroup</w:t>
      </w:r>
      <w:proofErr w:type="spellEnd"/>
      <w:r w:rsidRPr="0041179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11791">
        <w:rPr>
          <w:rFonts w:eastAsia="Times New Roman" w:cs="Arial"/>
          <w:i/>
          <w:iCs/>
          <w:color w:val="000000"/>
        </w:rPr>
        <w:t>Exemestane</w:t>
      </w:r>
      <w:proofErr w:type="spellEnd"/>
      <w:r w:rsidRPr="0041179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11791">
        <w:rPr>
          <w:rFonts w:eastAsia="Times New Roman" w:cs="Arial"/>
          <w:i/>
          <w:iCs/>
          <w:color w:val="000000"/>
        </w:rPr>
        <w:t>Study</w:t>
      </w:r>
      <w:proofErr w:type="spellEnd"/>
      <w:r w:rsidRPr="00411791">
        <w:rPr>
          <w:rFonts w:eastAsia="Times New Roman" w:cs="Arial"/>
          <w:i/>
          <w:iCs/>
          <w:color w:val="000000"/>
        </w:rPr>
        <w:t>)</w:t>
      </w:r>
    </w:p>
    <w:p w14:paraId="4ED233D3" w14:textId="1A2A8C59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След лечение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медиаина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продължителност около 30 месеца и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медианен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срок па проследяване около 119 месеца резултатите са показали, че последващо лечение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след 2 до 3 години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адювантна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терапия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е довело до клинично и статистически значимо увеличаване на </w:t>
      </w:r>
      <w:r w:rsidRPr="00411791">
        <w:rPr>
          <w:rFonts w:eastAsia="Times New Roman" w:cs="Arial"/>
          <w:color w:val="000000"/>
        </w:rPr>
        <w:t xml:space="preserve">DFS </w:t>
      </w:r>
      <w:r w:rsidRPr="00411791">
        <w:rPr>
          <w:rFonts w:eastAsia="Times New Roman" w:cs="Arial"/>
          <w:color w:val="000000"/>
          <w:lang w:eastAsia="bg-BG"/>
        </w:rPr>
        <w:t xml:space="preserve">в сравнение с продължение па лечението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</w:t>
      </w:r>
      <w:r w:rsidR="0041121F">
        <w:rPr>
          <w:rFonts w:eastAsia="Times New Roman" w:cs="Arial"/>
          <w:color w:val="000000"/>
          <w:lang w:eastAsia="bg-BG"/>
        </w:rPr>
        <w:t>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. Анализът е показал, че в рамките на периода на наблюдение в това проучване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е намалил риска от рецидив на карцинома на гърдата с 14% спрямо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</w:t>
      </w:r>
      <w:r w:rsidR="0041121F">
        <w:rPr>
          <w:rFonts w:eastAsia="Times New Roman" w:cs="Arial"/>
          <w:color w:val="000000"/>
          <w:lang w:eastAsia="bg-BG"/>
        </w:rPr>
        <w:t>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(коефициент на риска 0,86, р=0,00393). По-благоприятният ефект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спрямо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по отношение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н</w:t>
      </w:r>
      <w:r w:rsidRPr="00411791">
        <w:rPr>
          <w:rFonts w:eastAsia="Times New Roman" w:cs="Arial"/>
          <w:color w:val="000000"/>
        </w:rPr>
        <w:t>a</w:t>
      </w:r>
      <w:proofErr w:type="spellEnd"/>
      <w:r w:rsidRPr="00411791">
        <w:rPr>
          <w:rFonts w:eastAsia="Times New Roman" w:cs="Arial"/>
          <w:color w:val="000000"/>
        </w:rPr>
        <w:t xml:space="preserve"> DFS </w:t>
      </w:r>
      <w:r w:rsidRPr="00411791">
        <w:rPr>
          <w:rFonts w:eastAsia="Times New Roman" w:cs="Arial"/>
          <w:color w:val="000000"/>
          <w:lang w:eastAsia="bg-BG"/>
        </w:rPr>
        <w:t>е бил очевиден без значение от статуса на лимфните възли или предхождаща химиотерапия.</w:t>
      </w:r>
    </w:p>
    <w:p w14:paraId="2EEADE54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11B06FB" w14:textId="3C8107EE" w:rsidR="008D3FF5" w:rsidRPr="00411791" w:rsidRDefault="008D3FF5" w:rsidP="008D3FF5">
      <w:pPr>
        <w:spacing w:line="240" w:lineRule="auto"/>
        <w:rPr>
          <w:rFonts w:eastAsia="Times New Roman" w:cs="Arial"/>
        </w:rPr>
      </w:pP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сигнифика</w:t>
      </w:r>
      <w:r w:rsidR="0041121F">
        <w:rPr>
          <w:rFonts w:eastAsia="Times New Roman" w:cs="Arial"/>
          <w:color w:val="000000"/>
          <w:lang w:eastAsia="bg-BG"/>
        </w:rPr>
        <w:t>н</w:t>
      </w:r>
      <w:r w:rsidRPr="00411791">
        <w:rPr>
          <w:rFonts w:eastAsia="Times New Roman" w:cs="Arial"/>
          <w:color w:val="000000"/>
          <w:lang w:eastAsia="bg-BG"/>
        </w:rPr>
        <w:t>тно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е увеличил преживяемостта без заболяване от карцином на гърдата (коефициент на риск 0,83, р&lt; 0,00152) и дългосрочната преживяемост без рецидиви (коефициент на риска 0,86; р-0.02213).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също така понижава риска от карцином на контралатералната гърда, въпреки това, ефектът вече не е бил статистически значим (коефициент на риска 0,75, р=0,10707).</w:t>
      </w:r>
    </w:p>
    <w:p w14:paraId="17D937A6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4E7C984" w14:textId="03601383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При цялата проучвана популация общата преживяемост не е била статистически различна между двете групи с 467 смъртни случая (19,9%) в групата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и 510 </w:t>
      </w:r>
      <w:r w:rsidRPr="00411791">
        <w:rPr>
          <w:rFonts w:eastAsia="Times New Roman" w:cs="Arial"/>
          <w:color w:val="000000"/>
          <w:lang w:eastAsia="bg-BG"/>
        </w:rPr>
        <w:lastRenderedPageBreak/>
        <w:t xml:space="preserve">смъртни случая (21,5%) в групата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(коефициент на риска 0,91, р=0,15737, без преизчисляване за множествено тестване). При подгрупа от пациенти с положителен за естрогенни рецептори резултат или неизвестен статус коефициентът на риск за общата преживяемост без преизчисляване е бил 0,89 </w:t>
      </w:r>
      <w:r w:rsidRPr="00411791">
        <w:rPr>
          <w:rFonts w:eastAsia="Times New Roman" w:cs="Arial"/>
          <w:color w:val="000000"/>
        </w:rPr>
        <w:t>(</w:t>
      </w:r>
      <w:proofErr w:type="spellStart"/>
      <w:r w:rsidRPr="00411791">
        <w:rPr>
          <w:rFonts w:eastAsia="Times New Roman" w:cs="Arial"/>
          <w:color w:val="000000"/>
        </w:rPr>
        <w:t>log-rank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test</w:t>
      </w:r>
      <w:proofErr w:type="spellEnd"/>
      <w:r w:rsidRPr="00411791">
        <w:rPr>
          <w:rFonts w:eastAsia="Times New Roman" w:cs="Arial"/>
          <w:color w:val="000000"/>
        </w:rPr>
        <w:t xml:space="preserve">: </w:t>
      </w:r>
      <w:r w:rsidRPr="00411791">
        <w:rPr>
          <w:rFonts w:eastAsia="Times New Roman" w:cs="Arial"/>
          <w:color w:val="000000"/>
          <w:lang w:eastAsia="bg-BG"/>
        </w:rPr>
        <w:t>р</w:t>
      </w:r>
      <w:r w:rsidRPr="00411791">
        <w:rPr>
          <w:rFonts w:eastAsia="Times New Roman" w:cs="Arial"/>
          <w:color w:val="000000"/>
          <w:vertAlign w:val="superscript"/>
          <w:lang w:eastAsia="bg-BG"/>
        </w:rPr>
        <w:t>_</w:t>
      </w:r>
      <w:r w:rsidRPr="00411791">
        <w:rPr>
          <w:rFonts w:eastAsia="Times New Roman" w:cs="Arial"/>
          <w:color w:val="000000"/>
          <w:lang w:eastAsia="bg-BG"/>
        </w:rPr>
        <w:t xml:space="preserve">0,07881) в групата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спрямо групата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>.</w:t>
      </w:r>
    </w:p>
    <w:p w14:paraId="2C31DBAD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B2A8A05" w14:textId="6602034C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При цялата проучвана популация е било наблюдавано статистически значимо понижаване на риска от смърт с 14% (коефициент на риска за общата преживяемост 0,86; квадратен тест </w:t>
      </w:r>
      <w:r w:rsidRPr="00411791">
        <w:rPr>
          <w:rFonts w:eastAsia="Times New Roman" w:cs="Arial"/>
          <w:i/>
          <w:iCs/>
          <w:color w:val="000000"/>
          <w:lang w:eastAsia="bg-BG"/>
        </w:rPr>
        <w:t xml:space="preserve">на </w:t>
      </w:r>
      <w:proofErr w:type="spellStart"/>
      <w:r w:rsidRPr="00411791">
        <w:rPr>
          <w:rFonts w:eastAsia="Times New Roman" w:cs="Arial"/>
          <w:color w:val="000000"/>
        </w:rPr>
        <w:t>Wald</w:t>
      </w:r>
      <w:proofErr w:type="spellEnd"/>
      <w:r w:rsidRPr="00411791">
        <w:rPr>
          <w:rFonts w:eastAsia="Times New Roman" w:cs="Arial"/>
          <w:color w:val="000000"/>
        </w:rPr>
        <w:t xml:space="preserve"> </w:t>
      </w:r>
      <w:proofErr w:type="spellStart"/>
      <w:r w:rsidRPr="00411791">
        <w:rPr>
          <w:rFonts w:eastAsia="Times New Roman" w:cs="Arial"/>
          <w:color w:val="000000"/>
        </w:rPr>
        <w:t>chi</w:t>
      </w:r>
      <w:proofErr w:type="spellEnd"/>
      <w:r w:rsidRPr="00411791">
        <w:rPr>
          <w:rFonts w:eastAsia="Times New Roman" w:cs="Arial"/>
          <w:color w:val="000000"/>
        </w:rPr>
        <w:t xml:space="preserve">: </w:t>
      </w:r>
      <w:r w:rsidRPr="00411791">
        <w:rPr>
          <w:rFonts w:eastAsia="Times New Roman" w:cs="Arial"/>
          <w:color w:val="000000"/>
          <w:lang w:eastAsia="bg-BG"/>
        </w:rPr>
        <w:t xml:space="preserve">р=0,0257) за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в сравнение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</w:t>
      </w:r>
      <w:r w:rsidR="0041121F">
        <w:rPr>
          <w:rFonts w:eastAsia="Times New Roman" w:cs="Arial"/>
          <w:color w:val="000000"/>
          <w:lang w:eastAsia="bg-BG"/>
        </w:rPr>
        <w:t>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с преизчисляване за предварително определените прогностични фактори (т.е. </w:t>
      </w:r>
      <w:r w:rsidR="0041121F">
        <w:rPr>
          <w:rFonts w:eastAsia="Times New Roman" w:cs="Arial"/>
          <w:color w:val="000000"/>
          <w:lang w:eastAsia="bg-BG"/>
        </w:rPr>
        <w:t>е</w:t>
      </w:r>
      <w:r w:rsidRPr="00411791">
        <w:rPr>
          <w:rFonts w:eastAsia="Times New Roman" w:cs="Arial"/>
          <w:color w:val="000000"/>
          <w:lang w:eastAsia="bg-BG"/>
        </w:rPr>
        <w:t xml:space="preserve">строген рецепторен </w:t>
      </w:r>
      <w:r w:rsidRPr="00411791">
        <w:rPr>
          <w:rFonts w:eastAsia="Times New Roman" w:cs="Arial"/>
          <w:color w:val="000000"/>
        </w:rPr>
        <w:t xml:space="preserve">(ER) </w:t>
      </w:r>
      <w:r w:rsidRPr="00411791">
        <w:rPr>
          <w:rFonts w:eastAsia="Times New Roman" w:cs="Arial"/>
          <w:color w:val="000000"/>
          <w:lang w:eastAsia="bg-BG"/>
        </w:rPr>
        <w:t xml:space="preserve">статус, статус на лимфни възли, предшестваща химиотерапия, употреба на ХЗТ и употреба на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бифо</w:t>
      </w:r>
      <w:r w:rsidR="0041121F">
        <w:rPr>
          <w:rFonts w:eastAsia="Times New Roman" w:cs="Arial"/>
          <w:color w:val="000000"/>
          <w:lang w:eastAsia="bg-BG"/>
        </w:rPr>
        <w:t>с</w:t>
      </w:r>
      <w:r w:rsidRPr="00411791">
        <w:rPr>
          <w:rFonts w:eastAsia="Times New Roman" w:cs="Arial"/>
          <w:color w:val="000000"/>
          <w:lang w:eastAsia="bg-BG"/>
        </w:rPr>
        <w:t>фонати</w:t>
      </w:r>
      <w:proofErr w:type="spellEnd"/>
      <w:r w:rsidRPr="00411791">
        <w:rPr>
          <w:rFonts w:eastAsia="Times New Roman" w:cs="Arial"/>
          <w:color w:val="000000"/>
          <w:lang w:eastAsia="bg-BG"/>
        </w:rPr>
        <w:t>).</w:t>
      </w:r>
    </w:p>
    <w:p w14:paraId="1B67A3D0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9FDBD14" w14:textId="60466919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При пациентите, лекувани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, с наблюдавана по-ниска заболеваемост от втори първичен рак </w:t>
      </w:r>
      <w:r w:rsidRPr="00411791">
        <w:rPr>
          <w:rFonts w:eastAsia="Times New Roman" w:cs="Arial"/>
          <w:i/>
          <w:iCs/>
          <w:color w:val="000000"/>
          <w:lang w:eastAsia="bg-BG"/>
        </w:rPr>
        <w:t>(</w:t>
      </w:r>
      <w:proofErr w:type="spellStart"/>
      <w:r w:rsidRPr="00411791">
        <w:rPr>
          <w:rFonts w:eastAsia="Times New Roman" w:cs="Arial"/>
          <w:i/>
          <w:iCs/>
          <w:color w:val="000000"/>
          <w:lang w:eastAsia="bg-BG"/>
        </w:rPr>
        <w:t>невключващ</w:t>
      </w:r>
      <w:proofErr w:type="spellEnd"/>
      <w:r w:rsidRPr="00411791">
        <w:rPr>
          <w:rFonts w:eastAsia="Times New Roman" w:cs="Arial"/>
          <w:i/>
          <w:iCs/>
          <w:color w:val="000000"/>
          <w:lang w:eastAsia="bg-BG"/>
        </w:rPr>
        <w:t xml:space="preserve"> карцином на гърдата),</w:t>
      </w:r>
      <w:r w:rsidRPr="00411791">
        <w:rPr>
          <w:rFonts w:eastAsia="Times New Roman" w:cs="Arial"/>
          <w:color w:val="000000"/>
          <w:lang w:eastAsia="bg-BG"/>
        </w:rPr>
        <w:t xml:space="preserve"> в сравнение с пациентите, лекувани само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</w:t>
      </w:r>
      <w:r w:rsidR="0041121F">
        <w:rPr>
          <w:rFonts w:eastAsia="Times New Roman" w:cs="Arial"/>
          <w:color w:val="000000"/>
          <w:lang w:eastAsia="bg-BG"/>
        </w:rPr>
        <w:t>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(9,9% спрямо 12,4%).</w:t>
      </w:r>
    </w:p>
    <w:p w14:paraId="2255693A" w14:textId="77777777" w:rsidR="008D3FF5" w:rsidRPr="00411791" w:rsidRDefault="008D3FF5" w:rsidP="008D3FF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64B8B3F" w14:textId="7204198F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color w:val="000000"/>
          <w:lang w:eastAsia="bg-BG"/>
        </w:rPr>
        <w:t xml:space="preserve">В основното проучване, което е било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медианна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продължителност на проследяване при всички участници от 119 месеца (0 -163,94) и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медианен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период на лечение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от 30 месеца (0-40,41), честотата на костните фрактури е била съобщена при 169 (7,3%) пациенти в групата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в сравнение със 122 (5,2%) пациенти в групата с </w:t>
      </w:r>
      <w:proofErr w:type="spellStart"/>
      <w:r w:rsidRPr="00411791">
        <w:rPr>
          <w:rFonts w:eastAsia="Times New Roman" w:cs="Arial"/>
          <w:color w:val="00000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lang w:eastAsia="bg-BG"/>
        </w:rPr>
        <w:t xml:space="preserve"> (р=0,004).</w:t>
      </w:r>
    </w:p>
    <w:p w14:paraId="7EBD1331" w14:textId="77777777" w:rsidR="008D3FF5" w:rsidRPr="00411791" w:rsidRDefault="008D3FF5" w:rsidP="008D3FF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B29C7B4" w14:textId="41B2ADA9" w:rsidR="008D3FF5" w:rsidRPr="00411791" w:rsidRDefault="008D3FF5" w:rsidP="008D3FF5">
      <w:pPr>
        <w:spacing w:line="240" w:lineRule="auto"/>
        <w:rPr>
          <w:rFonts w:eastAsia="Times New Roman" w:cs="Arial"/>
        </w:rPr>
      </w:pPr>
      <w:r w:rsidRPr="00411791">
        <w:rPr>
          <w:rFonts w:eastAsia="Times New Roman" w:cs="Arial"/>
          <w:b/>
          <w:bCs/>
          <w:color w:val="000000"/>
          <w:lang w:eastAsia="bg-BG"/>
        </w:rPr>
        <w:t xml:space="preserve">Резултати за ефикасността от </w:t>
      </w:r>
      <w:r w:rsidRPr="00411791">
        <w:rPr>
          <w:rFonts w:eastAsia="Times New Roman" w:cs="Arial"/>
          <w:b/>
          <w:bCs/>
          <w:color w:val="000000"/>
        </w:rPr>
        <w:t xml:space="preserve">IES </w:t>
      </w:r>
      <w:r w:rsidRPr="00411791">
        <w:rPr>
          <w:rFonts w:eastAsia="Times New Roman" w:cs="Arial"/>
          <w:b/>
          <w:bCs/>
          <w:color w:val="000000"/>
          <w:lang w:eastAsia="bg-BG"/>
        </w:rPr>
        <w:t xml:space="preserve">при </w:t>
      </w:r>
      <w:proofErr w:type="spellStart"/>
      <w:r w:rsidRPr="00411791">
        <w:rPr>
          <w:rFonts w:eastAsia="Times New Roman" w:cs="Arial"/>
          <w:b/>
          <w:bCs/>
          <w:color w:val="000000"/>
          <w:lang w:eastAsia="bg-BG"/>
        </w:rPr>
        <w:t>постменопаузални</w:t>
      </w:r>
      <w:proofErr w:type="spellEnd"/>
      <w:r w:rsidRPr="00411791">
        <w:rPr>
          <w:rFonts w:eastAsia="Times New Roman" w:cs="Arial"/>
          <w:b/>
          <w:bCs/>
          <w:color w:val="000000"/>
          <w:lang w:eastAsia="bg-BG"/>
        </w:rPr>
        <w:t xml:space="preserve"> жени с ранен карцином на гърдата </w:t>
      </w:r>
      <w:r w:rsidRPr="00411791">
        <w:rPr>
          <w:rFonts w:eastAsia="Times New Roman" w:cs="Arial"/>
          <w:b/>
          <w:bCs/>
          <w:color w:val="000000"/>
        </w:rPr>
        <w:t>(ITT)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1785"/>
        <w:gridCol w:w="1761"/>
        <w:gridCol w:w="1812"/>
        <w:gridCol w:w="1708"/>
      </w:tblGrid>
      <w:tr w:rsidR="008D3FF5" w:rsidRPr="00411791" w14:paraId="474CB26F" w14:textId="77777777" w:rsidTr="00C6548D">
        <w:tc>
          <w:tcPr>
            <w:tcW w:w="2297" w:type="dxa"/>
          </w:tcPr>
          <w:p w14:paraId="3E0889FC" w14:textId="77777777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31" w:type="dxa"/>
            <w:gridSpan w:val="2"/>
            <w:vAlign w:val="bottom"/>
          </w:tcPr>
          <w:p w14:paraId="3572067F" w14:textId="5A78E0A6" w:rsidR="008D3FF5" w:rsidRPr="00411791" w:rsidRDefault="008D3FF5" w:rsidP="008D3FF5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proofErr w:type="spellStart"/>
            <w:r w:rsidRPr="00411791">
              <w:rPr>
                <w:rFonts w:cs="Arial"/>
                <w:b/>
                <w:bCs/>
                <w:szCs w:val="20"/>
              </w:rPr>
              <w:t>Бр.събития</w:t>
            </w:r>
            <w:proofErr w:type="spellEnd"/>
          </w:p>
        </w:tc>
        <w:tc>
          <w:tcPr>
            <w:tcW w:w="3648" w:type="dxa"/>
            <w:gridSpan w:val="2"/>
            <w:vAlign w:val="bottom"/>
          </w:tcPr>
          <w:p w14:paraId="4DDA35BF" w14:textId="6A4F3411" w:rsidR="008D3FF5" w:rsidRPr="00411791" w:rsidRDefault="008D3FF5" w:rsidP="008D3FF5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411791">
              <w:rPr>
                <w:rFonts w:cs="Arial"/>
                <w:b/>
                <w:bCs/>
                <w:szCs w:val="20"/>
              </w:rPr>
              <w:t>Коефициент на риска</w:t>
            </w:r>
          </w:p>
        </w:tc>
      </w:tr>
      <w:tr w:rsidR="008D3FF5" w:rsidRPr="00411791" w14:paraId="715447D8" w14:textId="77777777" w:rsidTr="00C6548D">
        <w:tc>
          <w:tcPr>
            <w:tcW w:w="2297" w:type="dxa"/>
          </w:tcPr>
          <w:p w14:paraId="64662231" w14:textId="77777777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9" w:type="dxa"/>
          </w:tcPr>
          <w:p w14:paraId="3D3A91C9" w14:textId="4A7E97A9" w:rsidR="008D3FF5" w:rsidRPr="00411791" w:rsidRDefault="008D3FF5" w:rsidP="008D3FF5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proofErr w:type="spellStart"/>
            <w:r w:rsidRPr="00411791">
              <w:rPr>
                <w:rFonts w:cs="Arial"/>
                <w:b/>
                <w:bCs/>
                <w:szCs w:val="20"/>
              </w:rPr>
              <w:t>Екземестан</w:t>
            </w:r>
            <w:proofErr w:type="spellEnd"/>
          </w:p>
        </w:tc>
        <w:tc>
          <w:tcPr>
            <w:tcW w:w="1792" w:type="dxa"/>
            <w:vAlign w:val="bottom"/>
          </w:tcPr>
          <w:p w14:paraId="0AF799A6" w14:textId="71604FE9" w:rsidR="008D3FF5" w:rsidRPr="00411791" w:rsidRDefault="008D3FF5" w:rsidP="008D3FF5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proofErr w:type="spellStart"/>
            <w:r w:rsidRPr="00411791">
              <w:rPr>
                <w:rFonts w:cs="Arial"/>
                <w:b/>
                <w:bCs/>
                <w:szCs w:val="20"/>
              </w:rPr>
              <w:t>Тамоксифен</w:t>
            </w:r>
            <w:proofErr w:type="spellEnd"/>
          </w:p>
        </w:tc>
        <w:tc>
          <w:tcPr>
            <w:tcW w:w="1854" w:type="dxa"/>
          </w:tcPr>
          <w:p w14:paraId="57CE2FAC" w14:textId="400B85C0" w:rsidR="008D3FF5" w:rsidRPr="00411791" w:rsidRDefault="008D3FF5" w:rsidP="008D3FF5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411791">
              <w:rPr>
                <w:rFonts w:cs="Arial"/>
                <w:b/>
                <w:bCs/>
                <w:szCs w:val="20"/>
              </w:rPr>
              <w:t>Коефициент на риска</w:t>
            </w:r>
          </w:p>
        </w:tc>
        <w:tc>
          <w:tcPr>
            <w:tcW w:w="1794" w:type="dxa"/>
          </w:tcPr>
          <w:p w14:paraId="1C07C66F" w14:textId="1516FB15" w:rsidR="008D3FF5" w:rsidRPr="00411791" w:rsidRDefault="008D3FF5" w:rsidP="008D3FF5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411791">
              <w:rPr>
                <w:rFonts w:cs="Arial"/>
                <w:b/>
                <w:bCs/>
                <w:szCs w:val="20"/>
              </w:rPr>
              <w:t>р-стойност</w:t>
            </w:r>
          </w:p>
        </w:tc>
      </w:tr>
      <w:tr w:rsidR="008D3FF5" w:rsidRPr="00411791" w14:paraId="4005BF9B" w14:textId="77777777" w:rsidTr="008D3FF5">
        <w:tc>
          <w:tcPr>
            <w:tcW w:w="9576" w:type="dxa"/>
            <w:gridSpan w:val="5"/>
          </w:tcPr>
          <w:p w14:paraId="121162BE" w14:textId="21F0A5AF" w:rsidR="008D3FF5" w:rsidRPr="00411791" w:rsidRDefault="008D3FF5" w:rsidP="008D3FF5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 xml:space="preserve">30-месечна </w:t>
            </w:r>
            <w:proofErr w:type="spellStart"/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>меднанна</w:t>
            </w:r>
            <w:proofErr w:type="spellEnd"/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 xml:space="preserve"> продължителност на лечение и 34,5-месечна </w:t>
            </w:r>
            <w:proofErr w:type="spellStart"/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>медианна</w:t>
            </w:r>
            <w:proofErr w:type="spellEnd"/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 xml:space="preserve"> продължителност на проследяване</w:t>
            </w:r>
          </w:p>
        </w:tc>
      </w:tr>
      <w:tr w:rsidR="008D3FF5" w:rsidRPr="00411791" w14:paraId="02B65C8A" w14:textId="77777777" w:rsidTr="00C6548D">
        <w:tc>
          <w:tcPr>
            <w:tcW w:w="2297" w:type="dxa"/>
            <w:vAlign w:val="bottom"/>
          </w:tcPr>
          <w:p w14:paraId="37947A12" w14:textId="33DD7DD7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11791">
              <w:t xml:space="preserve">Преживяемост без прояви на </w:t>
            </w:r>
            <w:proofErr w:type="spellStart"/>
            <w:r w:rsidRPr="00411791">
              <w:t>заболяването</w:t>
            </w:r>
            <w:r w:rsidRPr="00411791">
              <w:rPr>
                <w:vertAlign w:val="superscript"/>
              </w:rPr>
              <w:t>а</w:t>
            </w:r>
            <w:proofErr w:type="spellEnd"/>
          </w:p>
        </w:tc>
        <w:tc>
          <w:tcPr>
            <w:tcW w:w="1839" w:type="dxa"/>
          </w:tcPr>
          <w:p w14:paraId="561BD96F" w14:textId="53316DE8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11791">
              <w:rPr>
                <w:b/>
                <w:bCs/>
              </w:rPr>
              <w:t>213</w:t>
            </w:r>
          </w:p>
        </w:tc>
        <w:tc>
          <w:tcPr>
            <w:tcW w:w="1792" w:type="dxa"/>
          </w:tcPr>
          <w:p w14:paraId="05714973" w14:textId="2A523E17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11791">
              <w:rPr>
                <w:b/>
                <w:bCs/>
              </w:rPr>
              <w:t>306</w:t>
            </w:r>
          </w:p>
        </w:tc>
        <w:tc>
          <w:tcPr>
            <w:tcW w:w="1854" w:type="dxa"/>
          </w:tcPr>
          <w:p w14:paraId="661B7740" w14:textId="3024C5E8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11791">
              <w:rPr>
                <w:i/>
                <w:iCs/>
              </w:rPr>
              <w:t>6,69 (95% CI: 0,58-0,82)</w:t>
            </w:r>
          </w:p>
        </w:tc>
        <w:tc>
          <w:tcPr>
            <w:tcW w:w="1794" w:type="dxa"/>
          </w:tcPr>
          <w:p w14:paraId="46BAAE1D" w14:textId="0DC92F0C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11791">
              <w:rPr>
                <w:b/>
                <w:bCs/>
              </w:rPr>
              <w:t>0,00003</w:t>
            </w:r>
          </w:p>
        </w:tc>
      </w:tr>
      <w:tr w:rsidR="008D3FF5" w:rsidRPr="00411791" w14:paraId="5C06CF77" w14:textId="77777777" w:rsidTr="00C6548D">
        <w:tc>
          <w:tcPr>
            <w:tcW w:w="2297" w:type="dxa"/>
          </w:tcPr>
          <w:p w14:paraId="2908D0FB" w14:textId="6987079D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11791">
              <w:t xml:space="preserve">Преживяемост без заболяване от карцином на </w:t>
            </w:r>
            <w:proofErr w:type="spellStart"/>
            <w:r w:rsidRPr="00411791">
              <w:t>гърдата</w:t>
            </w:r>
            <w:r w:rsidR="00037FAC" w:rsidRPr="00037FAC">
              <w:rPr>
                <w:vertAlign w:val="superscript"/>
              </w:rPr>
              <w:t>б</w:t>
            </w:r>
            <w:proofErr w:type="spellEnd"/>
          </w:p>
        </w:tc>
        <w:tc>
          <w:tcPr>
            <w:tcW w:w="1839" w:type="dxa"/>
          </w:tcPr>
          <w:p w14:paraId="52460587" w14:textId="056F0554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11791">
              <w:rPr>
                <w:b/>
                <w:bCs/>
              </w:rPr>
              <w:t>171</w:t>
            </w:r>
          </w:p>
        </w:tc>
        <w:tc>
          <w:tcPr>
            <w:tcW w:w="1792" w:type="dxa"/>
          </w:tcPr>
          <w:p w14:paraId="634EDC70" w14:textId="0F2C0F02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11791">
              <w:rPr>
                <w:b/>
                <w:bCs/>
              </w:rPr>
              <w:t>262</w:t>
            </w:r>
          </w:p>
        </w:tc>
        <w:tc>
          <w:tcPr>
            <w:tcW w:w="1854" w:type="dxa"/>
          </w:tcPr>
          <w:p w14:paraId="636BB111" w14:textId="284868A4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11791">
              <w:rPr>
                <w:b/>
                <w:bCs/>
              </w:rPr>
              <w:t>0,65 (95% CI: 0,54-0,79)</w:t>
            </w:r>
          </w:p>
        </w:tc>
        <w:tc>
          <w:tcPr>
            <w:tcW w:w="1794" w:type="dxa"/>
            <w:vAlign w:val="bottom"/>
          </w:tcPr>
          <w:p w14:paraId="3574C719" w14:textId="7CE315CB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11791">
              <w:rPr>
                <w:rFonts w:cs="Arial"/>
                <w:i/>
                <w:iCs/>
              </w:rPr>
              <w:t>&lt;0,00001</w:t>
            </w:r>
          </w:p>
        </w:tc>
      </w:tr>
      <w:tr w:rsidR="008D3FF5" w:rsidRPr="00411791" w14:paraId="7A2FDFDD" w14:textId="77777777" w:rsidTr="00C6548D">
        <w:tc>
          <w:tcPr>
            <w:tcW w:w="2297" w:type="dxa"/>
            <w:vAlign w:val="bottom"/>
          </w:tcPr>
          <w:p w14:paraId="0C51E9B7" w14:textId="33CFD53F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Карцином на контралатералната гърда</w:t>
            </w:r>
          </w:p>
        </w:tc>
        <w:tc>
          <w:tcPr>
            <w:tcW w:w="1839" w:type="dxa"/>
          </w:tcPr>
          <w:p w14:paraId="3D7FD105" w14:textId="473495D9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8</w:t>
            </w:r>
          </w:p>
        </w:tc>
        <w:tc>
          <w:tcPr>
            <w:tcW w:w="1792" w:type="dxa"/>
          </w:tcPr>
          <w:p w14:paraId="6B8287DA" w14:textId="47657601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25</w:t>
            </w:r>
          </w:p>
        </w:tc>
        <w:tc>
          <w:tcPr>
            <w:tcW w:w="1854" w:type="dxa"/>
          </w:tcPr>
          <w:p w14:paraId="09A2AAA3" w14:textId="1A6CEBD8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0,32 (95% С1: 0,15-0,72)</w:t>
            </w:r>
          </w:p>
        </w:tc>
        <w:tc>
          <w:tcPr>
            <w:tcW w:w="1794" w:type="dxa"/>
          </w:tcPr>
          <w:p w14:paraId="4078ED2E" w14:textId="5FA06B06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0.00340</w:t>
            </w:r>
          </w:p>
        </w:tc>
      </w:tr>
      <w:tr w:rsidR="008D3FF5" w:rsidRPr="00411791" w14:paraId="3682CD88" w14:textId="77777777" w:rsidTr="00C6548D">
        <w:tc>
          <w:tcPr>
            <w:tcW w:w="2297" w:type="dxa"/>
            <w:vAlign w:val="bottom"/>
          </w:tcPr>
          <w:p w14:paraId="19AC1F8B" w14:textId="2836AFCE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 xml:space="preserve">Дългосрочна преживяемост без </w:t>
            </w:r>
            <w:proofErr w:type="spellStart"/>
            <w:r w:rsidRPr="00411791">
              <w:rPr>
                <w:szCs w:val="20"/>
              </w:rPr>
              <w:t>рецидиви</w:t>
            </w:r>
            <w:r w:rsidRPr="00411791">
              <w:rPr>
                <w:szCs w:val="20"/>
                <w:vertAlign w:val="superscript"/>
              </w:rPr>
              <w:t>в</w:t>
            </w:r>
            <w:proofErr w:type="spellEnd"/>
          </w:p>
        </w:tc>
        <w:tc>
          <w:tcPr>
            <w:tcW w:w="1839" w:type="dxa"/>
          </w:tcPr>
          <w:p w14:paraId="7B42CD84" w14:textId="55033785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142</w:t>
            </w:r>
          </w:p>
        </w:tc>
        <w:tc>
          <w:tcPr>
            <w:tcW w:w="1792" w:type="dxa"/>
          </w:tcPr>
          <w:p w14:paraId="4CD33FBB" w14:textId="7775C04E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204</w:t>
            </w:r>
          </w:p>
        </w:tc>
        <w:tc>
          <w:tcPr>
            <w:tcW w:w="1854" w:type="dxa"/>
          </w:tcPr>
          <w:p w14:paraId="5F40CFA9" w14:textId="7B5F6C1D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0,70 (95% CI; 0,56-0,86)</w:t>
            </w:r>
          </w:p>
        </w:tc>
        <w:tc>
          <w:tcPr>
            <w:tcW w:w="1794" w:type="dxa"/>
          </w:tcPr>
          <w:p w14:paraId="546B615B" w14:textId="16C39770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0,00083</w:t>
            </w:r>
          </w:p>
        </w:tc>
      </w:tr>
      <w:tr w:rsidR="008D3FF5" w:rsidRPr="00411791" w14:paraId="095CB82E" w14:textId="77777777" w:rsidTr="00C6548D">
        <w:tc>
          <w:tcPr>
            <w:tcW w:w="2297" w:type="dxa"/>
          </w:tcPr>
          <w:p w14:paraId="53139C58" w14:textId="5E3C8F6F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 xml:space="preserve">Обща </w:t>
            </w:r>
            <w:proofErr w:type="spellStart"/>
            <w:r w:rsidR="00037FAC">
              <w:rPr>
                <w:szCs w:val="20"/>
              </w:rPr>
              <w:t>п</w:t>
            </w:r>
            <w:r w:rsidRPr="00411791">
              <w:rPr>
                <w:szCs w:val="20"/>
              </w:rPr>
              <w:t>реживя</w:t>
            </w:r>
            <w:r w:rsidR="00037FAC">
              <w:rPr>
                <w:szCs w:val="20"/>
              </w:rPr>
              <w:t>е</w:t>
            </w:r>
            <w:r w:rsidRPr="00411791">
              <w:rPr>
                <w:szCs w:val="20"/>
              </w:rPr>
              <w:t>мост</w:t>
            </w:r>
            <w:r w:rsidR="002556A5" w:rsidRPr="002556A5">
              <w:rPr>
                <w:szCs w:val="20"/>
                <w:vertAlign w:val="superscript"/>
              </w:rPr>
              <w:t>г</w:t>
            </w:r>
            <w:proofErr w:type="spellEnd"/>
          </w:p>
        </w:tc>
        <w:tc>
          <w:tcPr>
            <w:tcW w:w="1839" w:type="dxa"/>
          </w:tcPr>
          <w:p w14:paraId="3261AFD1" w14:textId="4620A234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116</w:t>
            </w:r>
          </w:p>
        </w:tc>
        <w:tc>
          <w:tcPr>
            <w:tcW w:w="1792" w:type="dxa"/>
          </w:tcPr>
          <w:p w14:paraId="68A2A237" w14:textId="6CFB7C7B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137</w:t>
            </w:r>
          </w:p>
        </w:tc>
        <w:tc>
          <w:tcPr>
            <w:tcW w:w="1854" w:type="dxa"/>
          </w:tcPr>
          <w:p w14:paraId="42360826" w14:textId="06E3617D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0,86 (95% CI: 0,67-1,10)</w:t>
            </w:r>
          </w:p>
        </w:tc>
        <w:tc>
          <w:tcPr>
            <w:tcW w:w="1794" w:type="dxa"/>
          </w:tcPr>
          <w:p w14:paraId="2DE3706C" w14:textId="5C1FB3FA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0,22962</w:t>
            </w:r>
          </w:p>
        </w:tc>
      </w:tr>
      <w:tr w:rsidR="008D3FF5" w:rsidRPr="00411791" w14:paraId="7226893F" w14:textId="77777777" w:rsidTr="008D3FF5">
        <w:tc>
          <w:tcPr>
            <w:tcW w:w="9576" w:type="dxa"/>
            <w:gridSpan w:val="5"/>
          </w:tcPr>
          <w:p w14:paraId="593C1CB7" w14:textId="30720F81" w:rsidR="008D3FF5" w:rsidRPr="00411791" w:rsidRDefault="008D3FF5" w:rsidP="008D3FF5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 xml:space="preserve">30-месечна </w:t>
            </w:r>
            <w:proofErr w:type="spellStart"/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>медианна</w:t>
            </w:r>
            <w:proofErr w:type="spellEnd"/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 xml:space="preserve"> продължителност на лечение и 52-месечна </w:t>
            </w:r>
            <w:proofErr w:type="spellStart"/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>медианна</w:t>
            </w:r>
            <w:proofErr w:type="spellEnd"/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 xml:space="preserve"> продължителност на проследяване</w:t>
            </w:r>
          </w:p>
        </w:tc>
      </w:tr>
      <w:tr w:rsidR="008D3FF5" w:rsidRPr="00411791" w14:paraId="69DE8184" w14:textId="77777777" w:rsidTr="00C6548D">
        <w:tc>
          <w:tcPr>
            <w:tcW w:w="2297" w:type="dxa"/>
          </w:tcPr>
          <w:p w14:paraId="4B6C1DE3" w14:textId="1AFE1C20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 xml:space="preserve">Преживяемост без </w:t>
            </w:r>
            <w:proofErr w:type="spellStart"/>
            <w:r w:rsidRPr="00411791">
              <w:rPr>
                <w:sz w:val="20"/>
                <w:szCs w:val="20"/>
              </w:rPr>
              <w:t>заболяване</w:t>
            </w:r>
            <w:r w:rsidRPr="00411791">
              <w:rPr>
                <w:sz w:val="20"/>
                <w:szCs w:val="20"/>
                <w:vertAlign w:val="superscript"/>
              </w:rPr>
              <w:t>а</w:t>
            </w:r>
            <w:proofErr w:type="spellEnd"/>
          </w:p>
        </w:tc>
        <w:tc>
          <w:tcPr>
            <w:tcW w:w="1839" w:type="dxa"/>
          </w:tcPr>
          <w:p w14:paraId="0DC36BCE" w14:textId="2189C698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354</w:t>
            </w:r>
          </w:p>
        </w:tc>
        <w:tc>
          <w:tcPr>
            <w:tcW w:w="1792" w:type="dxa"/>
          </w:tcPr>
          <w:p w14:paraId="1D0B6540" w14:textId="3D946AAE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453</w:t>
            </w:r>
          </w:p>
        </w:tc>
        <w:tc>
          <w:tcPr>
            <w:tcW w:w="1854" w:type="dxa"/>
          </w:tcPr>
          <w:p w14:paraId="5938108E" w14:textId="01CD72EA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0,77 (95% С1: 0,67-0,88)</w:t>
            </w:r>
          </w:p>
        </w:tc>
        <w:tc>
          <w:tcPr>
            <w:tcW w:w="1794" w:type="dxa"/>
          </w:tcPr>
          <w:p w14:paraId="56DFFC4A" w14:textId="41BE20C6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0,00015</w:t>
            </w:r>
          </w:p>
        </w:tc>
      </w:tr>
      <w:tr w:rsidR="008D3FF5" w:rsidRPr="00411791" w14:paraId="45309032" w14:textId="77777777" w:rsidTr="00C6548D">
        <w:tc>
          <w:tcPr>
            <w:tcW w:w="2297" w:type="dxa"/>
            <w:vAlign w:val="bottom"/>
          </w:tcPr>
          <w:p w14:paraId="181B8E9B" w14:textId="3BE6B64C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lastRenderedPageBreak/>
              <w:t xml:space="preserve">Преживяемост без заболяване от карцином на </w:t>
            </w:r>
            <w:proofErr w:type="spellStart"/>
            <w:r w:rsidRPr="00411791">
              <w:rPr>
                <w:sz w:val="20"/>
                <w:szCs w:val="20"/>
              </w:rPr>
              <w:t>гърдата</w:t>
            </w:r>
            <w:r w:rsidR="002556A5">
              <w:rPr>
                <w:sz w:val="20"/>
                <w:szCs w:val="20"/>
                <w:vertAlign w:val="superscript"/>
              </w:rPr>
              <w:t>б</w:t>
            </w:r>
            <w:proofErr w:type="spellEnd"/>
          </w:p>
        </w:tc>
        <w:tc>
          <w:tcPr>
            <w:tcW w:w="1839" w:type="dxa"/>
          </w:tcPr>
          <w:p w14:paraId="743A8821" w14:textId="22A6FD3F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289</w:t>
            </w:r>
          </w:p>
        </w:tc>
        <w:tc>
          <w:tcPr>
            <w:tcW w:w="1792" w:type="dxa"/>
          </w:tcPr>
          <w:p w14:paraId="04854032" w14:textId="7B4E2736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373</w:t>
            </w:r>
          </w:p>
        </w:tc>
        <w:tc>
          <w:tcPr>
            <w:tcW w:w="1854" w:type="dxa"/>
          </w:tcPr>
          <w:p w14:paraId="06FC685A" w14:textId="00432DD8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0,76 (95% CI: 0,65-0,89)</w:t>
            </w:r>
          </w:p>
        </w:tc>
        <w:tc>
          <w:tcPr>
            <w:tcW w:w="1794" w:type="dxa"/>
          </w:tcPr>
          <w:p w14:paraId="1C3C024A" w14:textId="2C426840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0,00041</w:t>
            </w:r>
          </w:p>
        </w:tc>
      </w:tr>
      <w:tr w:rsidR="008D3FF5" w:rsidRPr="00411791" w14:paraId="67019DD6" w14:textId="77777777" w:rsidTr="00C6548D">
        <w:tc>
          <w:tcPr>
            <w:tcW w:w="2297" w:type="dxa"/>
          </w:tcPr>
          <w:p w14:paraId="7318BAA8" w14:textId="0DED0F73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Карцином на контралат</w:t>
            </w:r>
            <w:r w:rsidR="00B9220E">
              <w:rPr>
                <w:sz w:val="20"/>
                <w:szCs w:val="20"/>
              </w:rPr>
              <w:t>е</w:t>
            </w:r>
            <w:r w:rsidRPr="00411791">
              <w:rPr>
                <w:sz w:val="20"/>
                <w:szCs w:val="20"/>
              </w:rPr>
              <w:t>ралната гърда</w:t>
            </w:r>
          </w:p>
        </w:tc>
        <w:tc>
          <w:tcPr>
            <w:tcW w:w="1839" w:type="dxa"/>
          </w:tcPr>
          <w:p w14:paraId="16BDBFD6" w14:textId="21965935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20</w:t>
            </w:r>
          </w:p>
        </w:tc>
        <w:tc>
          <w:tcPr>
            <w:tcW w:w="1792" w:type="dxa"/>
          </w:tcPr>
          <w:p w14:paraId="08753183" w14:textId="1FE90233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35</w:t>
            </w:r>
          </w:p>
        </w:tc>
        <w:tc>
          <w:tcPr>
            <w:tcW w:w="1854" w:type="dxa"/>
          </w:tcPr>
          <w:p w14:paraId="12F92DFB" w14:textId="49061DFE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 xml:space="preserve">0,57 (95% </w:t>
            </w:r>
            <w:r w:rsidRPr="00411791">
              <w:rPr>
                <w:i/>
                <w:iCs/>
                <w:sz w:val="20"/>
                <w:szCs w:val="20"/>
              </w:rPr>
              <w:t>С1:</w:t>
            </w:r>
            <w:r w:rsidRPr="00411791">
              <w:rPr>
                <w:sz w:val="20"/>
                <w:szCs w:val="20"/>
              </w:rPr>
              <w:t xml:space="preserve"> 0,33-0,99)</w:t>
            </w:r>
          </w:p>
        </w:tc>
        <w:tc>
          <w:tcPr>
            <w:tcW w:w="1794" w:type="dxa"/>
          </w:tcPr>
          <w:p w14:paraId="7C65C348" w14:textId="0AB96D59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0,04158</w:t>
            </w:r>
          </w:p>
        </w:tc>
      </w:tr>
      <w:tr w:rsidR="008D3FF5" w:rsidRPr="00411791" w14:paraId="1A1342F9" w14:textId="77777777" w:rsidTr="00C6548D">
        <w:tc>
          <w:tcPr>
            <w:tcW w:w="2297" w:type="dxa"/>
            <w:vAlign w:val="bottom"/>
          </w:tcPr>
          <w:p w14:paraId="4410FE2C" w14:textId="550B77D7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 xml:space="preserve">Дългосрочна </w:t>
            </w:r>
            <w:proofErr w:type="spellStart"/>
            <w:r w:rsidR="00B54824">
              <w:rPr>
                <w:sz w:val="20"/>
                <w:szCs w:val="20"/>
              </w:rPr>
              <w:t>п</w:t>
            </w:r>
            <w:r w:rsidRPr="00411791">
              <w:rPr>
                <w:sz w:val="20"/>
                <w:szCs w:val="20"/>
              </w:rPr>
              <w:t>реживясмост</w:t>
            </w:r>
            <w:proofErr w:type="spellEnd"/>
            <w:r w:rsidRPr="00411791">
              <w:rPr>
                <w:sz w:val="20"/>
                <w:szCs w:val="20"/>
              </w:rPr>
              <w:t xml:space="preserve"> без </w:t>
            </w:r>
            <w:proofErr w:type="spellStart"/>
            <w:r w:rsidRPr="00411791">
              <w:rPr>
                <w:sz w:val="20"/>
                <w:szCs w:val="20"/>
              </w:rPr>
              <w:t>рецидиви</w:t>
            </w:r>
            <w:r w:rsidRPr="00411791">
              <w:rPr>
                <w:sz w:val="20"/>
                <w:szCs w:val="20"/>
                <w:vertAlign w:val="superscript"/>
              </w:rPr>
              <w:t>в</w:t>
            </w:r>
            <w:proofErr w:type="spellEnd"/>
          </w:p>
        </w:tc>
        <w:tc>
          <w:tcPr>
            <w:tcW w:w="1839" w:type="dxa"/>
          </w:tcPr>
          <w:p w14:paraId="5AF3B93F" w14:textId="73E17E0F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248</w:t>
            </w:r>
          </w:p>
        </w:tc>
        <w:tc>
          <w:tcPr>
            <w:tcW w:w="1792" w:type="dxa"/>
          </w:tcPr>
          <w:p w14:paraId="531688DE" w14:textId="2CAE038E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297</w:t>
            </w:r>
          </w:p>
        </w:tc>
        <w:tc>
          <w:tcPr>
            <w:tcW w:w="1854" w:type="dxa"/>
          </w:tcPr>
          <w:p w14:paraId="228D8477" w14:textId="2ACB2D0A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0,83 (95% CI: 0,70-0,98)</w:t>
            </w:r>
          </w:p>
        </w:tc>
        <w:tc>
          <w:tcPr>
            <w:tcW w:w="1794" w:type="dxa"/>
          </w:tcPr>
          <w:p w14:paraId="2A1F9E93" w14:textId="4F8B92ED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0,02621</w:t>
            </w:r>
          </w:p>
        </w:tc>
      </w:tr>
      <w:tr w:rsidR="008D3FF5" w:rsidRPr="00411791" w14:paraId="652E947F" w14:textId="77777777" w:rsidTr="00C6548D">
        <w:tc>
          <w:tcPr>
            <w:tcW w:w="2297" w:type="dxa"/>
          </w:tcPr>
          <w:p w14:paraId="6FFD0E90" w14:textId="03215145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 xml:space="preserve">Обща </w:t>
            </w:r>
            <w:proofErr w:type="spellStart"/>
            <w:r w:rsidR="00B54824">
              <w:rPr>
                <w:sz w:val="20"/>
                <w:szCs w:val="20"/>
              </w:rPr>
              <w:t>п</w:t>
            </w:r>
            <w:r w:rsidRPr="00411791">
              <w:rPr>
                <w:sz w:val="20"/>
                <w:szCs w:val="20"/>
              </w:rPr>
              <w:t>реживя</w:t>
            </w:r>
            <w:r w:rsidR="00B54824">
              <w:rPr>
                <w:sz w:val="20"/>
                <w:szCs w:val="20"/>
              </w:rPr>
              <w:t>е</w:t>
            </w:r>
            <w:r w:rsidRPr="00411791">
              <w:rPr>
                <w:sz w:val="20"/>
                <w:szCs w:val="20"/>
              </w:rPr>
              <w:t>мост</w:t>
            </w:r>
            <w:r w:rsidRPr="00411791">
              <w:rPr>
                <w:sz w:val="20"/>
                <w:szCs w:val="20"/>
                <w:vertAlign w:val="superscript"/>
              </w:rPr>
              <w:t>г</w:t>
            </w:r>
            <w:proofErr w:type="spellEnd"/>
          </w:p>
        </w:tc>
        <w:tc>
          <w:tcPr>
            <w:tcW w:w="1839" w:type="dxa"/>
          </w:tcPr>
          <w:p w14:paraId="5A24AEC9" w14:textId="18C1DEE9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222</w:t>
            </w:r>
          </w:p>
        </w:tc>
        <w:tc>
          <w:tcPr>
            <w:tcW w:w="1792" w:type="dxa"/>
          </w:tcPr>
          <w:p w14:paraId="4C523441" w14:textId="60915A99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262</w:t>
            </w:r>
          </w:p>
        </w:tc>
        <w:tc>
          <w:tcPr>
            <w:tcW w:w="1854" w:type="dxa"/>
          </w:tcPr>
          <w:p w14:paraId="08AB7649" w14:textId="434D8423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0,85 (95% CI: 0,71-1,02)</w:t>
            </w:r>
          </w:p>
        </w:tc>
        <w:tc>
          <w:tcPr>
            <w:tcW w:w="1794" w:type="dxa"/>
          </w:tcPr>
          <w:p w14:paraId="34E58BBD" w14:textId="0FD3036A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11791">
              <w:rPr>
                <w:sz w:val="20"/>
                <w:szCs w:val="20"/>
              </w:rPr>
              <w:t>0,07362</w:t>
            </w:r>
          </w:p>
        </w:tc>
      </w:tr>
      <w:tr w:rsidR="008D3FF5" w:rsidRPr="00411791" w14:paraId="669DC237" w14:textId="77777777" w:rsidTr="008D3FF5">
        <w:tc>
          <w:tcPr>
            <w:tcW w:w="9576" w:type="dxa"/>
            <w:gridSpan w:val="5"/>
          </w:tcPr>
          <w:p w14:paraId="0DE35E1A" w14:textId="72935542" w:rsidR="008D3FF5" w:rsidRPr="00411791" w:rsidRDefault="008D3FF5" w:rsidP="008D3FF5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 xml:space="preserve">30-месечна </w:t>
            </w:r>
            <w:proofErr w:type="spellStart"/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>медианна</w:t>
            </w:r>
            <w:proofErr w:type="spellEnd"/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 xml:space="preserve"> продължителност на лечение и 87-мессчна </w:t>
            </w:r>
            <w:proofErr w:type="spellStart"/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>медианна</w:t>
            </w:r>
            <w:proofErr w:type="spellEnd"/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 xml:space="preserve"> продължителност на проследяване</w:t>
            </w:r>
          </w:p>
        </w:tc>
      </w:tr>
      <w:tr w:rsidR="008D3FF5" w:rsidRPr="00411791" w14:paraId="4487743D" w14:textId="77777777" w:rsidTr="00C6548D">
        <w:tc>
          <w:tcPr>
            <w:tcW w:w="2297" w:type="dxa"/>
          </w:tcPr>
          <w:p w14:paraId="4D30AFB7" w14:textId="1D5957F5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 xml:space="preserve">Преживяемост без </w:t>
            </w:r>
            <w:proofErr w:type="spellStart"/>
            <w:r w:rsidRPr="00411791">
              <w:rPr>
                <w:szCs w:val="20"/>
              </w:rPr>
              <w:t>заболяване</w:t>
            </w:r>
            <w:r w:rsidRPr="00411791">
              <w:rPr>
                <w:szCs w:val="20"/>
                <w:vertAlign w:val="superscript"/>
              </w:rPr>
              <w:t>в</w:t>
            </w:r>
            <w:proofErr w:type="spellEnd"/>
          </w:p>
        </w:tc>
        <w:tc>
          <w:tcPr>
            <w:tcW w:w="1839" w:type="dxa"/>
          </w:tcPr>
          <w:p w14:paraId="5FD1E35C" w14:textId="0790094E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552</w:t>
            </w:r>
          </w:p>
        </w:tc>
        <w:tc>
          <w:tcPr>
            <w:tcW w:w="1792" w:type="dxa"/>
          </w:tcPr>
          <w:p w14:paraId="120C1F22" w14:textId="3BC1AAC3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641</w:t>
            </w:r>
          </w:p>
        </w:tc>
        <w:tc>
          <w:tcPr>
            <w:tcW w:w="1854" w:type="dxa"/>
          </w:tcPr>
          <w:p w14:paraId="7613259A" w14:textId="0FC0C1E0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0,84 (95% СI: 0,75-0,94)</w:t>
            </w:r>
          </w:p>
        </w:tc>
        <w:tc>
          <w:tcPr>
            <w:tcW w:w="1794" w:type="dxa"/>
          </w:tcPr>
          <w:p w14:paraId="5796855F" w14:textId="70DA6957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0,002</w:t>
            </w:r>
          </w:p>
        </w:tc>
      </w:tr>
      <w:tr w:rsidR="008D3FF5" w:rsidRPr="00411791" w14:paraId="7CB85A99" w14:textId="77777777" w:rsidTr="00C6548D">
        <w:tc>
          <w:tcPr>
            <w:tcW w:w="2297" w:type="dxa"/>
            <w:vAlign w:val="bottom"/>
          </w:tcPr>
          <w:p w14:paraId="1B832320" w14:textId="06082CF0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 xml:space="preserve">Преживяемост без заболяване от карцином на </w:t>
            </w:r>
            <w:proofErr w:type="spellStart"/>
            <w:r w:rsidRPr="00411791">
              <w:rPr>
                <w:szCs w:val="20"/>
              </w:rPr>
              <w:t>гърдата</w:t>
            </w:r>
            <w:r w:rsidRPr="00411791">
              <w:rPr>
                <w:szCs w:val="20"/>
                <w:vertAlign w:val="superscript"/>
              </w:rPr>
              <w:t>б</w:t>
            </w:r>
            <w:proofErr w:type="spellEnd"/>
          </w:p>
        </w:tc>
        <w:tc>
          <w:tcPr>
            <w:tcW w:w="1839" w:type="dxa"/>
          </w:tcPr>
          <w:p w14:paraId="10E749BC" w14:textId="02B0B042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434</w:t>
            </w:r>
          </w:p>
        </w:tc>
        <w:tc>
          <w:tcPr>
            <w:tcW w:w="1792" w:type="dxa"/>
          </w:tcPr>
          <w:p w14:paraId="1404733D" w14:textId="4F6688E0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513</w:t>
            </w:r>
          </w:p>
        </w:tc>
        <w:tc>
          <w:tcPr>
            <w:tcW w:w="1854" w:type="dxa"/>
          </w:tcPr>
          <w:p w14:paraId="09C598A5" w14:textId="2B9DDC5C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0,82 (95% CI: 0,72-0,94)</w:t>
            </w:r>
          </w:p>
        </w:tc>
        <w:tc>
          <w:tcPr>
            <w:tcW w:w="1794" w:type="dxa"/>
          </w:tcPr>
          <w:p w14:paraId="7C7DAF3B" w14:textId="621B7DE0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0,00263</w:t>
            </w:r>
          </w:p>
        </w:tc>
      </w:tr>
      <w:tr w:rsidR="008D3FF5" w:rsidRPr="00411791" w14:paraId="66D75B88" w14:textId="77777777" w:rsidTr="00C6548D">
        <w:tc>
          <w:tcPr>
            <w:tcW w:w="2297" w:type="dxa"/>
          </w:tcPr>
          <w:p w14:paraId="47789CA3" w14:textId="53B8ED04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Карцином на контралатералната гърда</w:t>
            </w:r>
          </w:p>
        </w:tc>
        <w:tc>
          <w:tcPr>
            <w:tcW w:w="1839" w:type="dxa"/>
          </w:tcPr>
          <w:p w14:paraId="791DF932" w14:textId="786988D8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43</w:t>
            </w:r>
          </w:p>
        </w:tc>
        <w:tc>
          <w:tcPr>
            <w:tcW w:w="1792" w:type="dxa"/>
          </w:tcPr>
          <w:p w14:paraId="0DEDE728" w14:textId="03B3B0DF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58</w:t>
            </w:r>
          </w:p>
        </w:tc>
        <w:tc>
          <w:tcPr>
            <w:tcW w:w="1854" w:type="dxa"/>
          </w:tcPr>
          <w:p w14:paraId="7AC9A3E6" w14:textId="1F950BCB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0,74 (95% CI: 0,50-1,10)</w:t>
            </w:r>
          </w:p>
        </w:tc>
        <w:tc>
          <w:tcPr>
            <w:tcW w:w="1794" w:type="dxa"/>
          </w:tcPr>
          <w:p w14:paraId="24A19B81" w14:textId="33F227BD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0,12983</w:t>
            </w:r>
          </w:p>
        </w:tc>
      </w:tr>
      <w:tr w:rsidR="008D3FF5" w:rsidRPr="00411791" w14:paraId="51DA98AB" w14:textId="77777777" w:rsidTr="00C6548D">
        <w:tc>
          <w:tcPr>
            <w:tcW w:w="2297" w:type="dxa"/>
          </w:tcPr>
          <w:p w14:paraId="6EDF6F08" w14:textId="6BEB51F4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 xml:space="preserve">Дългосрочна преживяемост без рецидиви </w:t>
            </w:r>
            <w:proofErr w:type="spellStart"/>
            <w:r w:rsidRPr="00411791">
              <w:rPr>
                <w:szCs w:val="20"/>
                <w:vertAlign w:val="superscript"/>
              </w:rPr>
              <w:t>Error</w:t>
            </w:r>
            <w:proofErr w:type="spellEnd"/>
            <w:r w:rsidRPr="00411791">
              <w:rPr>
                <w:szCs w:val="20"/>
                <w:vertAlign w:val="superscript"/>
              </w:rPr>
              <w:t xml:space="preserve">! </w:t>
            </w:r>
            <w:proofErr w:type="spellStart"/>
            <w:r w:rsidRPr="00411791">
              <w:rPr>
                <w:szCs w:val="20"/>
                <w:vertAlign w:val="superscript"/>
              </w:rPr>
              <w:t>reference</w:t>
            </w:r>
            <w:proofErr w:type="spellEnd"/>
            <w:r w:rsidRPr="00411791">
              <w:rPr>
                <w:szCs w:val="20"/>
                <w:vertAlign w:val="superscript"/>
              </w:rPr>
              <w:t xml:space="preserve"> </w:t>
            </w:r>
            <w:proofErr w:type="spellStart"/>
            <w:r w:rsidRPr="00411791">
              <w:rPr>
                <w:szCs w:val="20"/>
                <w:vertAlign w:val="superscript"/>
              </w:rPr>
              <w:t>source</w:t>
            </w:r>
            <w:proofErr w:type="spellEnd"/>
            <w:r w:rsidRPr="00411791">
              <w:rPr>
                <w:szCs w:val="20"/>
                <w:vertAlign w:val="superscript"/>
              </w:rPr>
              <w:t xml:space="preserve"> </w:t>
            </w:r>
            <w:proofErr w:type="spellStart"/>
            <w:r w:rsidRPr="00411791">
              <w:rPr>
                <w:szCs w:val="20"/>
                <w:vertAlign w:val="superscript"/>
              </w:rPr>
              <w:t>nut</w:t>
            </w:r>
            <w:proofErr w:type="spellEnd"/>
            <w:r w:rsidRPr="00411791">
              <w:rPr>
                <w:szCs w:val="20"/>
                <w:vertAlign w:val="superscript"/>
              </w:rPr>
              <w:t xml:space="preserve"> </w:t>
            </w:r>
            <w:proofErr w:type="spellStart"/>
            <w:r w:rsidRPr="00411791">
              <w:rPr>
                <w:szCs w:val="20"/>
                <w:vertAlign w:val="superscript"/>
              </w:rPr>
              <w:t>found</w:t>
            </w:r>
            <w:proofErr w:type="spellEnd"/>
            <w:r w:rsidRPr="00411791">
              <w:rPr>
                <w:szCs w:val="20"/>
                <w:vertAlign w:val="superscript"/>
              </w:rPr>
              <w:t>.</w:t>
            </w:r>
          </w:p>
        </w:tc>
        <w:tc>
          <w:tcPr>
            <w:tcW w:w="1839" w:type="dxa"/>
          </w:tcPr>
          <w:p w14:paraId="0CB38510" w14:textId="3DB3E4BE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353</w:t>
            </w:r>
          </w:p>
        </w:tc>
        <w:tc>
          <w:tcPr>
            <w:tcW w:w="1792" w:type="dxa"/>
          </w:tcPr>
          <w:p w14:paraId="5E0473BA" w14:textId="395B2477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409</w:t>
            </w:r>
          </w:p>
        </w:tc>
        <w:tc>
          <w:tcPr>
            <w:tcW w:w="1854" w:type="dxa"/>
          </w:tcPr>
          <w:p w14:paraId="6BD89A42" w14:textId="7892C218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0,85 (95% CI: 0,74-0,98)</w:t>
            </w:r>
          </w:p>
        </w:tc>
        <w:tc>
          <w:tcPr>
            <w:tcW w:w="1794" w:type="dxa"/>
          </w:tcPr>
          <w:p w14:paraId="6FA2C132" w14:textId="312CFCE5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0,02425</w:t>
            </w:r>
          </w:p>
        </w:tc>
      </w:tr>
      <w:tr w:rsidR="008D3FF5" w:rsidRPr="00411791" w14:paraId="61B9D1C5" w14:textId="77777777" w:rsidTr="00C6548D">
        <w:tc>
          <w:tcPr>
            <w:tcW w:w="2297" w:type="dxa"/>
          </w:tcPr>
          <w:p w14:paraId="4A1FBB8D" w14:textId="25EE9F81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 xml:space="preserve">Обща преживяемост </w:t>
            </w:r>
            <w:proofErr w:type="spellStart"/>
            <w:r w:rsidRPr="00411791">
              <w:rPr>
                <w:szCs w:val="20"/>
                <w:vertAlign w:val="superscript"/>
              </w:rPr>
              <w:t>Error</w:t>
            </w:r>
            <w:proofErr w:type="spellEnd"/>
            <w:r w:rsidRPr="00411791">
              <w:rPr>
                <w:szCs w:val="20"/>
                <w:vertAlign w:val="superscript"/>
              </w:rPr>
              <w:t xml:space="preserve">! </w:t>
            </w:r>
            <w:proofErr w:type="spellStart"/>
            <w:r w:rsidRPr="00411791">
              <w:rPr>
                <w:szCs w:val="20"/>
                <w:vertAlign w:val="superscript"/>
              </w:rPr>
              <w:t>reference</w:t>
            </w:r>
            <w:proofErr w:type="spellEnd"/>
            <w:r w:rsidRPr="00411791">
              <w:rPr>
                <w:szCs w:val="20"/>
                <w:vertAlign w:val="superscript"/>
              </w:rPr>
              <w:t xml:space="preserve"> </w:t>
            </w:r>
            <w:proofErr w:type="spellStart"/>
            <w:r w:rsidRPr="00411791">
              <w:rPr>
                <w:szCs w:val="20"/>
                <w:vertAlign w:val="superscript"/>
              </w:rPr>
              <w:t>source</w:t>
            </w:r>
            <w:proofErr w:type="spellEnd"/>
            <w:r w:rsidRPr="00411791">
              <w:rPr>
                <w:szCs w:val="20"/>
                <w:vertAlign w:val="superscript"/>
              </w:rPr>
              <w:t xml:space="preserve"> </w:t>
            </w:r>
            <w:proofErr w:type="spellStart"/>
            <w:r w:rsidRPr="00411791">
              <w:rPr>
                <w:szCs w:val="20"/>
                <w:vertAlign w:val="superscript"/>
              </w:rPr>
              <w:t>nut</w:t>
            </w:r>
            <w:proofErr w:type="spellEnd"/>
            <w:r w:rsidRPr="00411791">
              <w:rPr>
                <w:szCs w:val="20"/>
                <w:vertAlign w:val="superscript"/>
              </w:rPr>
              <w:t xml:space="preserve"> </w:t>
            </w:r>
            <w:proofErr w:type="spellStart"/>
            <w:r w:rsidRPr="00411791">
              <w:rPr>
                <w:szCs w:val="20"/>
                <w:vertAlign w:val="superscript"/>
              </w:rPr>
              <w:t>found</w:t>
            </w:r>
            <w:proofErr w:type="spellEnd"/>
            <w:r w:rsidRPr="00411791">
              <w:rPr>
                <w:szCs w:val="20"/>
                <w:vertAlign w:val="superscript"/>
              </w:rPr>
              <w:t>.</w:t>
            </w:r>
          </w:p>
        </w:tc>
        <w:tc>
          <w:tcPr>
            <w:tcW w:w="1839" w:type="dxa"/>
          </w:tcPr>
          <w:p w14:paraId="3E6AEB7C" w14:textId="4E69E830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373</w:t>
            </w:r>
          </w:p>
        </w:tc>
        <w:tc>
          <w:tcPr>
            <w:tcW w:w="1792" w:type="dxa"/>
          </w:tcPr>
          <w:p w14:paraId="26D8D707" w14:textId="4FFD487C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420</w:t>
            </w:r>
          </w:p>
        </w:tc>
        <w:tc>
          <w:tcPr>
            <w:tcW w:w="1854" w:type="dxa"/>
          </w:tcPr>
          <w:p w14:paraId="67BDFF5B" w14:textId="42D2AF16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0,89 (95% CI: 0,77-1,02)</w:t>
            </w:r>
          </w:p>
        </w:tc>
        <w:tc>
          <w:tcPr>
            <w:tcW w:w="1794" w:type="dxa"/>
          </w:tcPr>
          <w:p w14:paraId="7EFA41C3" w14:textId="2793CA5E" w:rsidR="008D3FF5" w:rsidRPr="00411791" w:rsidRDefault="008D3FF5" w:rsidP="008D3FF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0,08972</w:t>
            </w:r>
          </w:p>
        </w:tc>
      </w:tr>
      <w:tr w:rsidR="00C6548D" w:rsidRPr="00411791" w14:paraId="55C69C54" w14:textId="77777777" w:rsidTr="00E10AA4">
        <w:tc>
          <w:tcPr>
            <w:tcW w:w="9576" w:type="dxa"/>
            <w:gridSpan w:val="5"/>
          </w:tcPr>
          <w:p w14:paraId="048DFA43" w14:textId="54EA3F66" w:rsidR="00C6548D" w:rsidRPr="00411791" w:rsidRDefault="00C6548D" w:rsidP="008D3FF5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 xml:space="preserve">30-месечна </w:t>
            </w:r>
            <w:proofErr w:type="spellStart"/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>медианна</w:t>
            </w:r>
            <w:proofErr w:type="spellEnd"/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 xml:space="preserve"> продължителност на лечение и 119-месечна </w:t>
            </w:r>
            <w:proofErr w:type="spellStart"/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>медианна</w:t>
            </w:r>
            <w:proofErr w:type="spellEnd"/>
            <w:r w:rsidRPr="00411791">
              <w:rPr>
                <w:rFonts w:eastAsia="Times New Roman" w:cs="Arial"/>
                <w:b/>
                <w:bCs/>
                <w:color w:val="000000"/>
                <w:szCs w:val="20"/>
                <w:lang w:eastAsia="bg-BG"/>
              </w:rPr>
              <w:t xml:space="preserve"> продължителност на проследяване</w:t>
            </w:r>
          </w:p>
        </w:tc>
      </w:tr>
      <w:tr w:rsidR="00C6548D" w:rsidRPr="00411791" w14:paraId="6F2F3D73" w14:textId="77777777" w:rsidTr="00C6548D">
        <w:tc>
          <w:tcPr>
            <w:tcW w:w="2297" w:type="dxa"/>
          </w:tcPr>
          <w:p w14:paraId="3F682100" w14:textId="0DD59F42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 xml:space="preserve">Преживяемост без </w:t>
            </w:r>
            <w:proofErr w:type="spellStart"/>
            <w:r w:rsidRPr="00411791">
              <w:rPr>
                <w:szCs w:val="20"/>
              </w:rPr>
              <w:t>заболяване</w:t>
            </w:r>
            <w:r w:rsidRPr="00411791">
              <w:rPr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39" w:type="dxa"/>
          </w:tcPr>
          <w:p w14:paraId="18C6D8B7" w14:textId="574B6F5B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672</w:t>
            </w:r>
          </w:p>
        </w:tc>
        <w:tc>
          <w:tcPr>
            <w:tcW w:w="1792" w:type="dxa"/>
          </w:tcPr>
          <w:p w14:paraId="1F74A48C" w14:textId="03FBE1BC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761</w:t>
            </w:r>
          </w:p>
        </w:tc>
        <w:tc>
          <w:tcPr>
            <w:tcW w:w="1854" w:type="dxa"/>
          </w:tcPr>
          <w:p w14:paraId="58D94DF3" w14:textId="710F9D72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0,86 (95% С1: 0,77-0,95)</w:t>
            </w:r>
          </w:p>
        </w:tc>
        <w:tc>
          <w:tcPr>
            <w:tcW w:w="1794" w:type="dxa"/>
          </w:tcPr>
          <w:p w14:paraId="23903ADF" w14:textId="7F18086F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0,00393</w:t>
            </w:r>
          </w:p>
        </w:tc>
      </w:tr>
      <w:tr w:rsidR="00C6548D" w:rsidRPr="00411791" w14:paraId="1DDD02FB" w14:textId="77777777" w:rsidTr="00C6548D">
        <w:tc>
          <w:tcPr>
            <w:tcW w:w="2297" w:type="dxa"/>
            <w:vAlign w:val="bottom"/>
          </w:tcPr>
          <w:p w14:paraId="025546B6" w14:textId="58088B6D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 xml:space="preserve">Преживяемост без заболяване от карцином на </w:t>
            </w:r>
            <w:proofErr w:type="spellStart"/>
            <w:r w:rsidRPr="00411791">
              <w:rPr>
                <w:szCs w:val="20"/>
              </w:rPr>
              <w:t>гърдата</w:t>
            </w:r>
            <w:r w:rsidRPr="00411791">
              <w:rPr>
                <w:szCs w:val="20"/>
                <w:vertAlign w:val="superscript"/>
              </w:rPr>
              <w:t>б</w:t>
            </w:r>
            <w:proofErr w:type="spellEnd"/>
          </w:p>
        </w:tc>
        <w:tc>
          <w:tcPr>
            <w:tcW w:w="1839" w:type="dxa"/>
          </w:tcPr>
          <w:p w14:paraId="1C86772E" w14:textId="5AD9AD3D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517</w:t>
            </w:r>
          </w:p>
        </w:tc>
        <w:tc>
          <w:tcPr>
            <w:tcW w:w="1792" w:type="dxa"/>
          </w:tcPr>
          <w:p w14:paraId="6D96E8FE" w14:textId="6BD7D26D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608</w:t>
            </w:r>
          </w:p>
        </w:tc>
        <w:tc>
          <w:tcPr>
            <w:tcW w:w="1854" w:type="dxa"/>
          </w:tcPr>
          <w:p w14:paraId="51753B7A" w14:textId="51B0948F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0,83 (95% CI: 0,74-0,93)</w:t>
            </w:r>
          </w:p>
        </w:tc>
        <w:tc>
          <w:tcPr>
            <w:tcW w:w="1794" w:type="dxa"/>
          </w:tcPr>
          <w:p w14:paraId="1977A40B" w14:textId="7E40209D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0,00152</w:t>
            </w:r>
          </w:p>
        </w:tc>
      </w:tr>
      <w:tr w:rsidR="00C6548D" w:rsidRPr="00411791" w14:paraId="5F78F564" w14:textId="77777777" w:rsidTr="00C6548D">
        <w:tc>
          <w:tcPr>
            <w:tcW w:w="2297" w:type="dxa"/>
            <w:vAlign w:val="bottom"/>
          </w:tcPr>
          <w:p w14:paraId="42C80783" w14:textId="5D5EC53C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Карцином на контралат</w:t>
            </w:r>
            <w:r w:rsidR="00B54824">
              <w:rPr>
                <w:szCs w:val="20"/>
              </w:rPr>
              <w:t>е</w:t>
            </w:r>
            <w:r w:rsidRPr="00411791">
              <w:rPr>
                <w:szCs w:val="20"/>
              </w:rPr>
              <w:t>ралната гърда</w:t>
            </w:r>
          </w:p>
        </w:tc>
        <w:tc>
          <w:tcPr>
            <w:tcW w:w="1839" w:type="dxa"/>
          </w:tcPr>
          <w:p w14:paraId="0ED50C80" w14:textId="3CFEEE15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57</w:t>
            </w:r>
          </w:p>
        </w:tc>
        <w:tc>
          <w:tcPr>
            <w:tcW w:w="1792" w:type="dxa"/>
          </w:tcPr>
          <w:p w14:paraId="1E4D5129" w14:textId="1B005EFE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75</w:t>
            </w:r>
          </w:p>
        </w:tc>
        <w:tc>
          <w:tcPr>
            <w:tcW w:w="1854" w:type="dxa"/>
          </w:tcPr>
          <w:p w14:paraId="172F5063" w14:textId="7848F50F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0,75 (95% CI: 0,53-1,06)</w:t>
            </w:r>
          </w:p>
        </w:tc>
        <w:tc>
          <w:tcPr>
            <w:tcW w:w="1794" w:type="dxa"/>
          </w:tcPr>
          <w:p w14:paraId="0D2BAC2D" w14:textId="21EE48E5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0,10707</w:t>
            </w:r>
          </w:p>
        </w:tc>
      </w:tr>
      <w:tr w:rsidR="00C6548D" w:rsidRPr="00411791" w14:paraId="01AC8175" w14:textId="77777777" w:rsidTr="00C6548D">
        <w:tc>
          <w:tcPr>
            <w:tcW w:w="2297" w:type="dxa"/>
            <w:vAlign w:val="bottom"/>
          </w:tcPr>
          <w:p w14:paraId="3E6ADC43" w14:textId="4D6F4A30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 xml:space="preserve">Дългосрочна преживяемост без </w:t>
            </w:r>
            <w:proofErr w:type="spellStart"/>
            <w:r w:rsidRPr="00411791">
              <w:rPr>
                <w:szCs w:val="20"/>
              </w:rPr>
              <w:t>рецидиви</w:t>
            </w:r>
            <w:r w:rsidRPr="00411791">
              <w:rPr>
                <w:szCs w:val="20"/>
                <w:vertAlign w:val="superscript"/>
              </w:rPr>
              <w:t>в</w:t>
            </w:r>
            <w:proofErr w:type="spellEnd"/>
          </w:p>
        </w:tc>
        <w:tc>
          <w:tcPr>
            <w:tcW w:w="1839" w:type="dxa"/>
          </w:tcPr>
          <w:p w14:paraId="2490D580" w14:textId="417DFAD7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411</w:t>
            </w:r>
          </w:p>
        </w:tc>
        <w:tc>
          <w:tcPr>
            <w:tcW w:w="1792" w:type="dxa"/>
          </w:tcPr>
          <w:p w14:paraId="635B5D33" w14:textId="190CD70F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472</w:t>
            </w:r>
          </w:p>
        </w:tc>
        <w:tc>
          <w:tcPr>
            <w:tcW w:w="1854" w:type="dxa"/>
          </w:tcPr>
          <w:p w14:paraId="4313553A" w14:textId="1CA322D5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0,86 (95% CI: 0,75-0,98)</w:t>
            </w:r>
          </w:p>
        </w:tc>
        <w:tc>
          <w:tcPr>
            <w:tcW w:w="1794" w:type="dxa"/>
            <w:vAlign w:val="bottom"/>
          </w:tcPr>
          <w:p w14:paraId="57B97AE5" w14:textId="397C0AB0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i/>
                <w:iCs/>
                <w:szCs w:val="20"/>
              </w:rPr>
              <w:t>0,02213</w:t>
            </w:r>
          </w:p>
        </w:tc>
      </w:tr>
      <w:tr w:rsidR="00C6548D" w:rsidRPr="00411791" w14:paraId="22B63564" w14:textId="77777777" w:rsidTr="00C6548D">
        <w:tc>
          <w:tcPr>
            <w:tcW w:w="2297" w:type="dxa"/>
          </w:tcPr>
          <w:p w14:paraId="51EF05F2" w14:textId="66B2DC73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 xml:space="preserve">Обща </w:t>
            </w:r>
            <w:proofErr w:type="spellStart"/>
            <w:r w:rsidRPr="00411791">
              <w:rPr>
                <w:szCs w:val="20"/>
              </w:rPr>
              <w:t>преживяемост</w:t>
            </w:r>
            <w:r w:rsidRPr="00411791">
              <w:rPr>
                <w:szCs w:val="20"/>
                <w:vertAlign w:val="superscript"/>
              </w:rPr>
              <w:t>г</w:t>
            </w:r>
            <w:proofErr w:type="spellEnd"/>
          </w:p>
        </w:tc>
        <w:tc>
          <w:tcPr>
            <w:tcW w:w="1839" w:type="dxa"/>
          </w:tcPr>
          <w:p w14:paraId="59C407B5" w14:textId="76C011CC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467</w:t>
            </w:r>
          </w:p>
        </w:tc>
        <w:tc>
          <w:tcPr>
            <w:tcW w:w="1792" w:type="dxa"/>
          </w:tcPr>
          <w:p w14:paraId="50687FB9" w14:textId="4177C023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510</w:t>
            </w:r>
          </w:p>
        </w:tc>
        <w:tc>
          <w:tcPr>
            <w:tcW w:w="1854" w:type="dxa"/>
          </w:tcPr>
          <w:p w14:paraId="53F8B54C" w14:textId="2A12D077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szCs w:val="20"/>
              </w:rPr>
              <w:t>0,91 (95% CI: 0,8l-l,04)</w:t>
            </w:r>
          </w:p>
        </w:tc>
        <w:tc>
          <w:tcPr>
            <w:tcW w:w="1794" w:type="dxa"/>
          </w:tcPr>
          <w:p w14:paraId="074FFD54" w14:textId="2ED41F3A" w:rsidR="00C6548D" w:rsidRPr="00411791" w:rsidRDefault="00C6548D" w:rsidP="00C6548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</w:pPr>
            <w:r w:rsidRPr="00411791">
              <w:rPr>
                <w:i/>
                <w:iCs/>
                <w:szCs w:val="20"/>
              </w:rPr>
              <w:t>0,15737</w:t>
            </w:r>
          </w:p>
        </w:tc>
      </w:tr>
      <w:tr w:rsidR="00C6548D" w:rsidRPr="00411791" w14:paraId="619A67FE" w14:textId="77777777" w:rsidTr="00706E4C">
        <w:tc>
          <w:tcPr>
            <w:tcW w:w="9576" w:type="dxa"/>
            <w:gridSpan w:val="5"/>
          </w:tcPr>
          <w:p w14:paraId="328F74F9" w14:textId="77777777" w:rsidR="00C6548D" w:rsidRPr="00411791" w:rsidRDefault="00C6548D" w:rsidP="00C6548D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bg-BG"/>
              </w:rPr>
            </w:pPr>
            <w:r w:rsidRPr="00411791">
              <w:rPr>
                <w:rFonts w:eastAsia="Times New Roman" w:cs="Arial"/>
                <w:color w:val="000000"/>
                <w:szCs w:val="19"/>
              </w:rPr>
              <w:t xml:space="preserve">CI - </w:t>
            </w:r>
            <w:r w:rsidRPr="00411791">
              <w:rPr>
                <w:rFonts w:eastAsia="Times New Roman" w:cs="Arial"/>
                <w:color w:val="000000"/>
                <w:szCs w:val="19"/>
                <w:lang w:eastAsia="bg-BG"/>
              </w:rPr>
              <w:t xml:space="preserve">доверителен интервал; </w:t>
            </w:r>
            <w:r w:rsidRPr="00411791">
              <w:rPr>
                <w:rFonts w:eastAsia="Times New Roman" w:cs="Arial"/>
                <w:color w:val="000000"/>
                <w:szCs w:val="19"/>
              </w:rPr>
              <w:t xml:space="preserve">1ES </w:t>
            </w:r>
            <w:r w:rsidRPr="00411791">
              <w:rPr>
                <w:rFonts w:eastAsia="Times New Roman" w:cs="Arial"/>
                <w:color w:val="000000"/>
                <w:szCs w:val="19"/>
                <w:lang w:eastAsia="bg-BG"/>
              </w:rPr>
              <w:t xml:space="preserve">= </w:t>
            </w:r>
            <w:proofErr w:type="spellStart"/>
            <w:r w:rsidRPr="00411791">
              <w:rPr>
                <w:rFonts w:eastAsia="Times New Roman" w:cs="Arial"/>
                <w:color w:val="000000"/>
                <w:szCs w:val="19"/>
              </w:rPr>
              <w:t>Iniergroup</w:t>
            </w:r>
            <w:proofErr w:type="spellEnd"/>
            <w:r w:rsidRPr="00411791">
              <w:rPr>
                <w:rFonts w:eastAsia="Times New Roman" w:cs="Arial"/>
                <w:color w:val="000000"/>
                <w:szCs w:val="19"/>
              </w:rPr>
              <w:t xml:space="preserve"> </w:t>
            </w:r>
            <w:proofErr w:type="spellStart"/>
            <w:r w:rsidRPr="00411791">
              <w:rPr>
                <w:rFonts w:eastAsia="Times New Roman" w:cs="Arial"/>
                <w:color w:val="000000"/>
                <w:szCs w:val="19"/>
              </w:rPr>
              <w:t>Exemestane</w:t>
            </w:r>
            <w:proofErr w:type="spellEnd"/>
            <w:r w:rsidRPr="00411791">
              <w:rPr>
                <w:rFonts w:eastAsia="Times New Roman" w:cs="Arial"/>
                <w:color w:val="000000"/>
                <w:szCs w:val="19"/>
              </w:rPr>
              <w:t xml:space="preserve"> </w:t>
            </w:r>
            <w:proofErr w:type="spellStart"/>
            <w:r w:rsidRPr="00411791">
              <w:rPr>
                <w:rFonts w:eastAsia="Times New Roman" w:cs="Arial"/>
                <w:color w:val="000000"/>
                <w:szCs w:val="19"/>
              </w:rPr>
              <w:t>Study</w:t>
            </w:r>
            <w:proofErr w:type="spellEnd"/>
            <w:r w:rsidRPr="00411791">
              <w:rPr>
                <w:rFonts w:eastAsia="Times New Roman" w:cs="Arial"/>
                <w:color w:val="000000"/>
                <w:szCs w:val="19"/>
              </w:rPr>
              <w:t xml:space="preserve">; ITT = </w:t>
            </w:r>
            <w:proofErr w:type="spellStart"/>
            <w:r w:rsidRPr="00411791">
              <w:rPr>
                <w:rFonts w:eastAsia="Times New Roman" w:cs="Arial"/>
                <w:color w:val="000000"/>
                <w:szCs w:val="19"/>
              </w:rPr>
              <w:t>intention-to-treat</w:t>
            </w:r>
            <w:proofErr w:type="spellEnd"/>
            <w:r w:rsidRPr="00411791">
              <w:rPr>
                <w:rFonts w:eastAsia="Times New Roman" w:cs="Arial"/>
                <w:color w:val="000000"/>
                <w:szCs w:val="19"/>
              </w:rPr>
              <w:t xml:space="preserve"> </w:t>
            </w:r>
            <w:r w:rsidRPr="00411791">
              <w:rPr>
                <w:rFonts w:eastAsia="Times New Roman" w:cs="Arial"/>
                <w:color w:val="000000"/>
                <w:szCs w:val="19"/>
                <w:lang w:eastAsia="bg-BG"/>
              </w:rPr>
              <w:t xml:space="preserve">популация, </w:t>
            </w:r>
          </w:p>
          <w:p w14:paraId="2C7D02D1" w14:textId="3ACAECCD" w:rsidR="00C6548D" w:rsidRPr="00411791" w:rsidRDefault="00C6548D" w:rsidP="00C6548D">
            <w:pPr>
              <w:spacing w:line="240" w:lineRule="auto"/>
              <w:rPr>
                <w:rFonts w:eastAsia="Times New Roman" w:cs="Arial"/>
                <w:szCs w:val="24"/>
              </w:rPr>
            </w:pPr>
            <w:proofErr w:type="spellStart"/>
            <w:r w:rsidRPr="00411791">
              <w:rPr>
                <w:rFonts w:eastAsia="Times New Roman" w:cs="Arial"/>
                <w:color w:val="000000"/>
                <w:szCs w:val="19"/>
                <w:lang w:eastAsia="bg-BG"/>
              </w:rPr>
              <w:lastRenderedPageBreak/>
              <w:t>а.Преживяемос</w:t>
            </w:r>
            <w:r w:rsidR="0022485D">
              <w:rPr>
                <w:rFonts w:eastAsia="Times New Roman" w:cs="Arial"/>
                <w:color w:val="000000"/>
                <w:szCs w:val="19"/>
                <w:lang w:eastAsia="bg-BG"/>
              </w:rPr>
              <w:t>т</w:t>
            </w:r>
            <w:r w:rsidRPr="00411791">
              <w:rPr>
                <w:rFonts w:eastAsia="Times New Roman" w:cs="Arial"/>
                <w:color w:val="000000"/>
                <w:szCs w:val="19"/>
                <w:lang w:eastAsia="bg-BG"/>
              </w:rPr>
              <w:t>та</w:t>
            </w:r>
            <w:proofErr w:type="spellEnd"/>
            <w:r w:rsidRPr="00411791">
              <w:rPr>
                <w:rFonts w:eastAsia="Times New Roman" w:cs="Arial"/>
                <w:color w:val="000000"/>
                <w:szCs w:val="19"/>
                <w:lang w:eastAsia="bg-BG"/>
              </w:rPr>
              <w:t xml:space="preserve"> без заболяване е дефинирана като първа поява на локален или от далечен рецидив, карц</w:t>
            </w:r>
            <w:r w:rsidR="0022485D">
              <w:rPr>
                <w:rFonts w:eastAsia="Times New Roman" w:cs="Arial"/>
                <w:color w:val="000000"/>
                <w:szCs w:val="19"/>
                <w:lang w:eastAsia="bg-BG"/>
              </w:rPr>
              <w:t>и</w:t>
            </w:r>
            <w:r w:rsidRPr="00411791">
              <w:rPr>
                <w:rFonts w:eastAsia="Times New Roman" w:cs="Arial"/>
                <w:color w:val="000000"/>
                <w:szCs w:val="19"/>
                <w:lang w:eastAsia="bg-BG"/>
              </w:rPr>
              <w:t>ном на контралатералната гърда или смърт но всякаква причина.</w:t>
            </w:r>
          </w:p>
          <w:p w14:paraId="52E1CB64" w14:textId="4A662609" w:rsidR="00C6548D" w:rsidRPr="00411791" w:rsidRDefault="00C6548D" w:rsidP="00C6548D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bg-BG"/>
              </w:rPr>
            </w:pPr>
            <w:proofErr w:type="spellStart"/>
            <w:r w:rsidRPr="00411791">
              <w:rPr>
                <w:rFonts w:eastAsia="Times New Roman" w:cs="Arial"/>
                <w:color w:val="000000"/>
                <w:szCs w:val="19"/>
                <w:lang w:eastAsia="bg-BG"/>
              </w:rPr>
              <w:t>б.Преживя</w:t>
            </w:r>
            <w:r w:rsidR="0022485D">
              <w:rPr>
                <w:rFonts w:eastAsia="Times New Roman" w:cs="Arial"/>
                <w:color w:val="000000"/>
                <w:szCs w:val="19"/>
                <w:lang w:eastAsia="bg-BG"/>
              </w:rPr>
              <w:t>е</w:t>
            </w:r>
            <w:r w:rsidRPr="00411791">
              <w:rPr>
                <w:rFonts w:eastAsia="Times New Roman" w:cs="Arial"/>
                <w:color w:val="000000"/>
                <w:szCs w:val="19"/>
                <w:lang w:eastAsia="bg-BG"/>
              </w:rPr>
              <w:t>мостта</w:t>
            </w:r>
            <w:proofErr w:type="spellEnd"/>
            <w:r w:rsidRPr="00411791">
              <w:rPr>
                <w:rFonts w:eastAsia="Times New Roman" w:cs="Arial"/>
                <w:color w:val="000000"/>
                <w:szCs w:val="19"/>
                <w:lang w:eastAsia="bg-BG"/>
              </w:rPr>
              <w:t xml:space="preserve"> без заболяване от карц</w:t>
            </w:r>
            <w:r w:rsidR="0022485D">
              <w:rPr>
                <w:rFonts w:eastAsia="Times New Roman" w:cs="Arial"/>
                <w:color w:val="000000"/>
                <w:szCs w:val="19"/>
                <w:lang w:eastAsia="bg-BG"/>
              </w:rPr>
              <w:t>и</w:t>
            </w:r>
            <w:r w:rsidRPr="00411791">
              <w:rPr>
                <w:rFonts w:eastAsia="Times New Roman" w:cs="Arial"/>
                <w:color w:val="000000"/>
                <w:szCs w:val="19"/>
                <w:lang w:eastAsia="bg-BG"/>
              </w:rPr>
              <w:t>ном на гърдата е дефинирана като първа поява па локален или отдалечен рецидив, карцином на контралатералната гърда или смърт поради карцином на гърдата.</w:t>
            </w:r>
          </w:p>
          <w:p w14:paraId="3B448F66" w14:textId="7B59B093" w:rsidR="00C6548D" w:rsidRPr="00411791" w:rsidRDefault="00C6548D" w:rsidP="00C6548D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bg-BG"/>
              </w:rPr>
            </w:pPr>
            <w:proofErr w:type="spellStart"/>
            <w:r w:rsidRPr="00411791">
              <w:rPr>
                <w:rFonts w:eastAsia="Times New Roman" w:cs="Arial"/>
                <w:color w:val="000000"/>
                <w:szCs w:val="19"/>
                <w:lang w:eastAsia="bg-BG"/>
              </w:rPr>
              <w:t>В.Дългосрочната</w:t>
            </w:r>
            <w:proofErr w:type="spellEnd"/>
            <w:r w:rsidRPr="00411791">
              <w:rPr>
                <w:rFonts w:eastAsia="Times New Roman" w:cs="Arial"/>
                <w:color w:val="000000"/>
                <w:szCs w:val="19"/>
                <w:lang w:eastAsia="bg-BG"/>
              </w:rPr>
              <w:t xml:space="preserve"> преживя</w:t>
            </w:r>
            <w:r w:rsidR="0022485D">
              <w:rPr>
                <w:rFonts w:eastAsia="Times New Roman" w:cs="Arial"/>
                <w:color w:val="000000"/>
                <w:szCs w:val="19"/>
                <w:lang w:eastAsia="bg-BG"/>
              </w:rPr>
              <w:t>е</w:t>
            </w:r>
            <w:r w:rsidRPr="00411791">
              <w:rPr>
                <w:rFonts w:eastAsia="Times New Roman" w:cs="Arial"/>
                <w:color w:val="000000"/>
                <w:szCs w:val="19"/>
                <w:lang w:eastAsia="bg-BG"/>
              </w:rPr>
              <w:t>мост без рецидиви е дефинирана като първа поява на отдалечен рецидив или смърт поради карцином на гърдата.</w:t>
            </w:r>
          </w:p>
          <w:p w14:paraId="00E80F2A" w14:textId="1772F49D" w:rsidR="00C6548D" w:rsidRPr="00411791" w:rsidRDefault="00C6548D" w:rsidP="008D3FF5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proofErr w:type="spellStart"/>
            <w:r w:rsidRPr="00411791">
              <w:rPr>
                <w:rFonts w:eastAsia="Times New Roman" w:cs="Arial"/>
                <w:color w:val="000000"/>
                <w:szCs w:val="19"/>
                <w:lang w:eastAsia="bg-BG"/>
              </w:rPr>
              <w:t>г.Общата</w:t>
            </w:r>
            <w:proofErr w:type="spellEnd"/>
            <w:r w:rsidRPr="00411791">
              <w:rPr>
                <w:rFonts w:eastAsia="Times New Roman" w:cs="Arial"/>
                <w:color w:val="000000"/>
                <w:szCs w:val="19"/>
                <w:lang w:eastAsia="bg-BG"/>
              </w:rPr>
              <w:t xml:space="preserve"> преживяемост е дефинирана като настъпване на смърт по всякаква причина.</w:t>
            </w:r>
          </w:p>
        </w:tc>
      </w:tr>
    </w:tbl>
    <w:p w14:paraId="4BCC56ED" w14:textId="46E6F28A" w:rsidR="008D3FF5" w:rsidRPr="00411791" w:rsidRDefault="008D3FF5" w:rsidP="008D3FF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4D982715" w14:textId="77777777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u w:val="single"/>
          <w:lang w:eastAsia="bg-BG"/>
        </w:rPr>
        <w:t>Лечение на напреднал карцином на гърдата</w:t>
      </w:r>
    </w:p>
    <w:p w14:paraId="6120284B" w14:textId="06D60E94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По време на фаза 3 проучване, проведено от Европейската организация за изследване и контрол на рака </w:t>
      </w:r>
      <w:r w:rsidRPr="00411791">
        <w:rPr>
          <w:rFonts w:eastAsia="Times New Roman" w:cs="Arial"/>
          <w:color w:val="000000"/>
          <w:szCs w:val="20"/>
        </w:rPr>
        <w:t xml:space="preserve">(EOR.TC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- </w:t>
      </w:r>
      <w:proofErr w:type="spellStart"/>
      <w:r w:rsidRPr="00411791">
        <w:rPr>
          <w:rFonts w:eastAsia="Times New Roman" w:cs="Arial"/>
          <w:color w:val="000000"/>
          <w:szCs w:val="20"/>
        </w:rPr>
        <w:t>European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color w:val="000000"/>
          <w:szCs w:val="20"/>
        </w:rPr>
        <w:t>Organization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color w:val="000000"/>
          <w:szCs w:val="20"/>
        </w:rPr>
        <w:t>for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color w:val="000000"/>
          <w:szCs w:val="20"/>
        </w:rPr>
        <w:t>Research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color w:val="000000"/>
          <w:szCs w:val="20"/>
        </w:rPr>
        <w:t>and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color w:val="000000"/>
          <w:szCs w:val="20"/>
        </w:rPr>
        <w:t>Treatment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color w:val="000000"/>
          <w:szCs w:val="20"/>
        </w:rPr>
        <w:t>of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color w:val="000000"/>
          <w:szCs w:val="20"/>
        </w:rPr>
        <w:t>Cancer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),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е бил сравнен </w:t>
      </w:r>
      <w:r w:rsidRPr="00411791">
        <w:rPr>
          <w:rFonts w:eastAsia="Times New Roman" w:cs="Arial"/>
          <w:color w:val="000000"/>
          <w:szCs w:val="20"/>
        </w:rPr>
        <w:t xml:space="preserve">c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като лечение от първа линия при авансирал рак на млечната жлеза, Резултатите показват, че пациентите от групата, получавала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имат по-дълго време на средна преживяемост без прогресия на заболяването в сравнение с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(9,9 месеца към 5,8 месеца) с коефициент на риск от 0,84 в полза на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(р=0,028 по тест на </w:t>
      </w:r>
      <w:proofErr w:type="spellStart"/>
      <w:r w:rsidRPr="00411791">
        <w:rPr>
          <w:rFonts w:eastAsia="Times New Roman" w:cs="Arial"/>
          <w:color w:val="000000"/>
          <w:szCs w:val="20"/>
        </w:rPr>
        <w:t>Wilcoxon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;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р=0,121 по </w:t>
      </w:r>
      <w:proofErr w:type="spellStart"/>
      <w:r w:rsidRPr="00411791">
        <w:rPr>
          <w:rFonts w:eastAsia="Times New Roman" w:cs="Arial"/>
          <w:color w:val="000000"/>
          <w:szCs w:val="20"/>
        </w:rPr>
        <w:t>log-rank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тест). Пациентите, лекувани с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</w:t>
      </w:r>
      <w:r w:rsidR="0022485D">
        <w:rPr>
          <w:rFonts w:eastAsia="Times New Roman" w:cs="Arial"/>
          <w:color w:val="000000"/>
          <w:szCs w:val="20"/>
          <w:lang w:eastAsia="bg-BG"/>
        </w:rPr>
        <w:t>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също така имат по-висока степен на обективно повлияване на тумора в сравнение с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(44% спрямо 31%).</w:t>
      </w:r>
    </w:p>
    <w:p w14:paraId="29B6B305" w14:textId="18C8264A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В рандомизирано, наблюдавано от независима експертна комисия, контролирано клинично проучване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в дневна доза от 25 </w:t>
      </w:r>
      <w:proofErr w:type="spellStart"/>
      <w:r w:rsidRPr="00411791">
        <w:rPr>
          <w:rFonts w:eastAsia="Times New Roman" w:cs="Arial"/>
          <w:color w:val="000000"/>
          <w:szCs w:val="20"/>
        </w:rPr>
        <w:t>mg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r w:rsidRPr="00411791">
        <w:rPr>
          <w:rFonts w:eastAsia="Times New Roman" w:cs="Arial"/>
          <w:color w:val="000000"/>
          <w:szCs w:val="20"/>
          <w:lang w:eastAsia="bg-BG"/>
        </w:rPr>
        <w:t>е показал статистически значимо удължаване па преживяемос</w:t>
      </w:r>
      <w:r w:rsidR="00A00581">
        <w:rPr>
          <w:rFonts w:eastAsia="Times New Roman" w:cs="Arial"/>
          <w:color w:val="000000"/>
          <w:szCs w:val="20"/>
          <w:lang w:eastAsia="bg-BG"/>
        </w:rPr>
        <w:t>т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та, времето до настъпване на прогресия </w:t>
      </w:r>
      <w:r w:rsidRPr="00411791">
        <w:rPr>
          <w:rFonts w:eastAsia="Times New Roman" w:cs="Arial"/>
          <w:color w:val="000000"/>
          <w:szCs w:val="20"/>
        </w:rPr>
        <w:t>(</w:t>
      </w:r>
      <w:proofErr w:type="spellStart"/>
      <w:r w:rsidRPr="00411791">
        <w:rPr>
          <w:rFonts w:eastAsia="Times New Roman" w:cs="Arial"/>
          <w:color w:val="000000"/>
          <w:szCs w:val="20"/>
        </w:rPr>
        <w:t>time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color w:val="000000"/>
          <w:szCs w:val="20"/>
        </w:rPr>
        <w:t>to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color w:val="000000"/>
          <w:szCs w:val="20"/>
        </w:rPr>
        <w:t>progression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, TTP),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времето до неуспех на лечението </w:t>
      </w:r>
      <w:r w:rsidRPr="00411791">
        <w:rPr>
          <w:rFonts w:eastAsia="Times New Roman" w:cs="Arial"/>
          <w:color w:val="000000"/>
          <w:szCs w:val="20"/>
        </w:rPr>
        <w:t>(</w:t>
      </w:r>
      <w:proofErr w:type="spellStart"/>
      <w:r w:rsidRPr="00411791">
        <w:rPr>
          <w:rFonts w:eastAsia="Times New Roman" w:cs="Arial"/>
          <w:color w:val="000000"/>
          <w:szCs w:val="20"/>
        </w:rPr>
        <w:t>time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color w:val="000000"/>
          <w:szCs w:val="20"/>
        </w:rPr>
        <w:t>to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color w:val="000000"/>
          <w:szCs w:val="20"/>
        </w:rPr>
        <w:t>treatment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color w:val="000000"/>
          <w:szCs w:val="20"/>
        </w:rPr>
        <w:t>failure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, TTF)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в сравнение със стандартно хормонално лечение с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мегестролов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ацетат при жени след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мепопауза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с напреднал карцином па гърдата, който е прогресирал след или по време на лечение </w:t>
      </w:r>
      <w:r w:rsidRPr="00411791">
        <w:rPr>
          <w:rFonts w:eastAsia="Times New Roman" w:cs="Arial"/>
          <w:i/>
          <w:iCs/>
          <w:color w:val="000000"/>
          <w:szCs w:val="20"/>
          <w:lang w:eastAsia="bg-BG"/>
        </w:rPr>
        <w:t>с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тамоксифен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като адювант на терапия или като лечение от първа линия при напреднало заболяване.</w:t>
      </w:r>
    </w:p>
    <w:p w14:paraId="24F36F6D" w14:textId="77777777" w:rsidR="00C6548D" w:rsidRPr="00411791" w:rsidRDefault="00C6548D" w:rsidP="008D3FF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35F84B81" w14:textId="0A39DD9A" w:rsidR="00CF77F7" w:rsidRPr="00411791" w:rsidRDefault="002C50EE" w:rsidP="004A448E">
      <w:pPr>
        <w:pStyle w:val="Heading2"/>
      </w:pPr>
      <w:r w:rsidRPr="00411791">
        <w:t>5.2. Фармакокинетични свойства</w:t>
      </w:r>
    </w:p>
    <w:p w14:paraId="68F70661" w14:textId="0976E97D" w:rsidR="00C6548D" w:rsidRPr="00411791" w:rsidRDefault="00C6548D" w:rsidP="00C6548D"/>
    <w:p w14:paraId="01E26062" w14:textId="224D4537" w:rsidR="00C6548D" w:rsidRPr="00411791" w:rsidRDefault="00C6548D" w:rsidP="00C6548D">
      <w:pPr>
        <w:pStyle w:val="Heading3"/>
        <w:rPr>
          <w:rFonts w:eastAsia="Times New Roman"/>
          <w:i/>
          <w:lang w:eastAsia="bg-BG"/>
        </w:rPr>
      </w:pPr>
      <w:r w:rsidRPr="00411791">
        <w:rPr>
          <w:rFonts w:eastAsia="Times New Roman"/>
          <w:i/>
          <w:lang w:eastAsia="bg-BG"/>
        </w:rPr>
        <w:t>Абсорбция</w:t>
      </w:r>
    </w:p>
    <w:p w14:paraId="3F95E25E" w14:textId="6AED9C16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След перорално приложение на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таблетки,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се абсорбира бързо. Фракцията от дозата, абсорбирана от стомашно-чревния тракт, с висока. Абсолютната био</w:t>
      </w:r>
      <w:r w:rsidR="008C01EA">
        <w:rPr>
          <w:rFonts w:eastAsia="Times New Roman" w:cs="Arial"/>
          <w:color w:val="000000"/>
          <w:szCs w:val="20"/>
          <w:lang w:eastAsia="bg-BG"/>
        </w:rPr>
        <w:t>н</w:t>
      </w:r>
      <w:r w:rsidRPr="00411791">
        <w:rPr>
          <w:rFonts w:eastAsia="Times New Roman" w:cs="Arial"/>
          <w:color w:val="000000"/>
          <w:szCs w:val="20"/>
          <w:lang w:eastAsia="bg-BG"/>
        </w:rPr>
        <w:t>аличност при човек е неизвестна, въпреки че се очаква да бъде ограничена от изразен ефект на първо преминаване през черния дроб. Подобен ефект е довел до абсолютна био</w:t>
      </w:r>
      <w:r w:rsidR="008C01EA">
        <w:rPr>
          <w:rFonts w:eastAsia="Times New Roman" w:cs="Arial"/>
          <w:color w:val="000000"/>
          <w:szCs w:val="20"/>
          <w:lang w:eastAsia="bg-BG"/>
        </w:rPr>
        <w:t>н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аличност от 5% при плъхове и кучета. След еднократна доза от 25 </w:t>
      </w:r>
      <w:proofErr w:type="spellStart"/>
      <w:r w:rsidRPr="00411791">
        <w:rPr>
          <w:rFonts w:eastAsia="Times New Roman" w:cs="Arial"/>
          <w:color w:val="000000"/>
          <w:szCs w:val="20"/>
        </w:rPr>
        <w:t>mg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максималните плазмени концентрации от 18 </w:t>
      </w:r>
      <w:proofErr w:type="spellStart"/>
      <w:r w:rsidRPr="00411791">
        <w:rPr>
          <w:rFonts w:eastAsia="Times New Roman" w:cs="Arial"/>
          <w:color w:val="000000"/>
          <w:szCs w:val="20"/>
        </w:rPr>
        <w:t>ng</w:t>
      </w:r>
      <w:proofErr w:type="spellEnd"/>
      <w:r w:rsidRPr="00411791">
        <w:rPr>
          <w:rFonts w:eastAsia="Times New Roman" w:cs="Arial"/>
          <w:color w:val="000000"/>
          <w:szCs w:val="20"/>
        </w:rPr>
        <w:t>/</w:t>
      </w:r>
      <w:proofErr w:type="spellStart"/>
      <w:r w:rsidRPr="00411791">
        <w:rPr>
          <w:rFonts w:eastAsia="Times New Roman" w:cs="Arial"/>
          <w:color w:val="000000"/>
          <w:szCs w:val="20"/>
        </w:rPr>
        <w:t>mL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r w:rsidRPr="00411791">
        <w:rPr>
          <w:rFonts w:eastAsia="Times New Roman" w:cs="Arial"/>
          <w:color w:val="000000"/>
          <w:szCs w:val="20"/>
          <w:lang w:eastAsia="bg-BG"/>
        </w:rPr>
        <w:t>се достигат след 2 часа. Приемът по време па хранене повишава бионаличността с 40%.</w:t>
      </w:r>
    </w:p>
    <w:p w14:paraId="0463C570" w14:textId="77777777" w:rsidR="00C6548D" w:rsidRPr="00411791" w:rsidRDefault="00C6548D" w:rsidP="00C6548D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7419FD79" w14:textId="09650B00" w:rsidR="00C6548D" w:rsidRPr="00411791" w:rsidRDefault="00C6548D" w:rsidP="00C6548D">
      <w:pPr>
        <w:pStyle w:val="Heading3"/>
        <w:rPr>
          <w:rFonts w:eastAsia="Times New Roman"/>
          <w:i/>
          <w:sz w:val="28"/>
        </w:rPr>
      </w:pPr>
      <w:r w:rsidRPr="00411791">
        <w:rPr>
          <w:rFonts w:eastAsia="Times New Roman"/>
          <w:i/>
          <w:lang w:eastAsia="bg-BG"/>
        </w:rPr>
        <w:t>Разпределение</w:t>
      </w:r>
    </w:p>
    <w:p w14:paraId="241DF62E" w14:textId="1F3FF0B5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Обемът на разпределение на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</w:t>
      </w:r>
      <w:r w:rsidR="008C01EA">
        <w:rPr>
          <w:rFonts w:eastAsia="Times New Roman" w:cs="Arial"/>
          <w:color w:val="000000"/>
          <w:szCs w:val="20"/>
          <w:lang w:eastAsia="bg-BG"/>
        </w:rPr>
        <w:t>т</w:t>
      </w:r>
      <w:r w:rsidRPr="00411791">
        <w:rPr>
          <w:rFonts w:eastAsia="Times New Roman" w:cs="Arial"/>
          <w:color w:val="000000"/>
          <w:szCs w:val="20"/>
          <w:lang w:eastAsia="bg-BG"/>
        </w:rPr>
        <w:t>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, без корекция за пероралната бионаличност, е </w:t>
      </w:r>
      <w:r w:rsidRPr="00411791">
        <w:rPr>
          <w:rFonts w:eastAsia="Times New Roman" w:cs="Arial"/>
          <w:i/>
          <w:iCs/>
          <w:color w:val="000000"/>
          <w:szCs w:val="20"/>
          <w:lang w:eastAsia="bg-BG"/>
        </w:rPr>
        <w:t>около 20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 000 1. Кинетиката е линейна и терминалното време на полуелиминиране е 24 часа.</w:t>
      </w:r>
    </w:p>
    <w:p w14:paraId="2C7A19DB" w14:textId="77777777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Свързването с плазмените протеини е 90% и е независимо от концентрацията.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и неговите метаболити не се свързват с еритроцитите.</w:t>
      </w:r>
    </w:p>
    <w:p w14:paraId="633EA38C" w14:textId="77777777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не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кумулира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по неочакван начин след многократно дозиране.</w:t>
      </w:r>
    </w:p>
    <w:p w14:paraId="697C6700" w14:textId="77777777" w:rsidR="00C6548D" w:rsidRPr="00411791" w:rsidRDefault="00C6548D" w:rsidP="00C6548D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75152C84" w14:textId="029A0347" w:rsidR="00C6548D" w:rsidRPr="00411791" w:rsidRDefault="00C6548D" w:rsidP="00C6548D">
      <w:pPr>
        <w:pStyle w:val="Heading3"/>
        <w:rPr>
          <w:rFonts w:eastAsia="Times New Roman"/>
          <w:i/>
          <w:sz w:val="28"/>
        </w:rPr>
      </w:pPr>
      <w:r w:rsidRPr="00411791">
        <w:rPr>
          <w:rFonts w:eastAsia="Times New Roman"/>
          <w:i/>
          <w:lang w:eastAsia="bg-BG"/>
        </w:rPr>
        <w:lastRenderedPageBreak/>
        <w:t>Елиминиране</w:t>
      </w:r>
    </w:p>
    <w:p w14:paraId="4859AB0E" w14:textId="31FD40AE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се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метаболизира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чрез окисление на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метиленовата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група на 6-та позиция от </w:t>
      </w:r>
      <w:r w:rsidRPr="00411791">
        <w:rPr>
          <w:rFonts w:eastAsia="Times New Roman" w:cs="Arial"/>
          <w:color w:val="000000"/>
          <w:szCs w:val="20"/>
        </w:rPr>
        <w:t xml:space="preserve">CYP3A4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изоензима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и/или редукция на 17-кетогрупата от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алдокеторедуктазата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, последвани от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конюгиране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.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Клирънсът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на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е около 500 </w:t>
      </w:r>
      <w:r w:rsidRPr="00411791">
        <w:rPr>
          <w:rFonts w:eastAsia="Times New Roman" w:cs="Arial"/>
          <w:color w:val="000000"/>
          <w:szCs w:val="20"/>
        </w:rPr>
        <w:t xml:space="preserve">1/h </w:t>
      </w:r>
      <w:r w:rsidRPr="00411791">
        <w:rPr>
          <w:rFonts w:eastAsia="Times New Roman" w:cs="Arial"/>
          <w:color w:val="000000"/>
          <w:szCs w:val="20"/>
          <w:lang w:eastAsia="bg-BG"/>
        </w:rPr>
        <w:t>без корекция за пероралната био</w:t>
      </w:r>
      <w:r w:rsidR="008C01EA">
        <w:rPr>
          <w:rFonts w:eastAsia="Times New Roman" w:cs="Arial"/>
          <w:color w:val="000000"/>
          <w:szCs w:val="20"/>
          <w:lang w:eastAsia="bg-BG"/>
        </w:rPr>
        <w:t>н</w:t>
      </w:r>
      <w:r w:rsidRPr="00411791">
        <w:rPr>
          <w:rFonts w:eastAsia="Times New Roman" w:cs="Arial"/>
          <w:color w:val="000000"/>
          <w:szCs w:val="20"/>
          <w:lang w:eastAsia="bg-BG"/>
        </w:rPr>
        <w:t>аличност.</w:t>
      </w:r>
    </w:p>
    <w:p w14:paraId="33040F87" w14:textId="77777777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Метаболитите са неактивни или инхибирането на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ароматазата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е по-слабо от това на изходното</w:t>
      </w:r>
    </w:p>
    <w:p w14:paraId="31E81A7B" w14:textId="64884B49" w:rsidR="00C6548D" w:rsidRPr="00411791" w:rsidRDefault="00C6548D" w:rsidP="00C6548D">
      <w:pPr>
        <w:rPr>
          <w:rFonts w:cs="Arial"/>
          <w:sz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>съединение.</w:t>
      </w:r>
    </w:p>
    <w:p w14:paraId="4AA8C052" w14:textId="2873343B" w:rsidR="00C6548D" w:rsidRPr="00411791" w:rsidRDefault="00C6548D" w:rsidP="00C6548D">
      <w:pPr>
        <w:rPr>
          <w:rFonts w:cs="Arial"/>
          <w:sz w:val="24"/>
        </w:rPr>
      </w:pPr>
    </w:p>
    <w:p w14:paraId="2E4C95AC" w14:textId="77777777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Количеството, което се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екскретира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непроменено в урината, е 1% от дозата. В урината и изпражненията за една седмица се елиминират еднакви количества (40%) </w:t>
      </w:r>
      <w:r w:rsidRPr="00411791">
        <w:rPr>
          <w:rFonts w:eastAsia="Times New Roman" w:cs="Arial"/>
          <w:color w:val="000000"/>
          <w:szCs w:val="20"/>
          <w:vertAlign w:val="superscript"/>
          <w:lang w:eastAsia="bg-BG"/>
        </w:rPr>
        <w:t>|4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С-белязан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>.</w:t>
      </w:r>
    </w:p>
    <w:p w14:paraId="4FA6E568" w14:textId="77777777" w:rsidR="00C6548D" w:rsidRPr="00411791" w:rsidRDefault="00C6548D" w:rsidP="00C6548D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4B16B123" w14:textId="0EF45D2B" w:rsidR="00C6548D" w:rsidRPr="00411791" w:rsidRDefault="00C6548D" w:rsidP="00C6548D">
      <w:pPr>
        <w:pStyle w:val="Heading3"/>
        <w:rPr>
          <w:rFonts w:eastAsia="Times New Roman"/>
          <w:i/>
          <w:sz w:val="28"/>
        </w:rPr>
      </w:pPr>
      <w:r w:rsidRPr="00411791">
        <w:rPr>
          <w:rFonts w:eastAsia="Times New Roman"/>
          <w:i/>
          <w:lang w:eastAsia="bg-BG"/>
        </w:rPr>
        <w:t>Специфични популации</w:t>
      </w:r>
    </w:p>
    <w:p w14:paraId="6E2A86EB" w14:textId="77777777" w:rsidR="00C6548D" w:rsidRPr="00411791" w:rsidRDefault="00C6548D" w:rsidP="00C6548D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40967AC2" w14:textId="11686D01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i/>
          <w:iCs/>
          <w:color w:val="000000"/>
          <w:szCs w:val="20"/>
          <w:lang w:eastAsia="bg-BG"/>
        </w:rPr>
        <w:t>Възраст</w:t>
      </w:r>
    </w:p>
    <w:p w14:paraId="67F045A8" w14:textId="77777777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Не е наблюдавана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сигнификантна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корелация между системната експозиция на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и възрастта на индивидите.</w:t>
      </w:r>
    </w:p>
    <w:p w14:paraId="476CF830" w14:textId="77777777" w:rsidR="00C6548D" w:rsidRPr="00411791" w:rsidRDefault="00C6548D" w:rsidP="00C6548D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07AD2E6D" w14:textId="50BB95C1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i/>
          <w:iCs/>
          <w:color w:val="000000"/>
          <w:szCs w:val="20"/>
          <w:lang w:eastAsia="bg-BG"/>
        </w:rPr>
        <w:t>Бъбречно увреждане</w:t>
      </w:r>
    </w:p>
    <w:p w14:paraId="19DAD0C2" w14:textId="77777777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При пациенти с тежко бъбречно увреждане </w:t>
      </w:r>
      <w:r w:rsidRPr="00411791">
        <w:rPr>
          <w:rFonts w:eastAsia="Times New Roman" w:cs="Arial"/>
          <w:color w:val="000000"/>
          <w:szCs w:val="20"/>
        </w:rPr>
        <w:t>(</w:t>
      </w:r>
      <w:proofErr w:type="spellStart"/>
      <w:r w:rsidRPr="00411791">
        <w:rPr>
          <w:rFonts w:eastAsia="Times New Roman" w:cs="Arial"/>
          <w:color w:val="000000"/>
          <w:szCs w:val="20"/>
        </w:rPr>
        <w:t>CL</w:t>
      </w:r>
      <w:r w:rsidRPr="00411791">
        <w:rPr>
          <w:rFonts w:eastAsia="Times New Roman" w:cs="Arial"/>
          <w:color w:val="000000"/>
          <w:szCs w:val="20"/>
          <w:vertAlign w:val="subscript"/>
        </w:rPr>
        <w:t>cr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&lt;30 </w:t>
      </w:r>
      <w:r w:rsidRPr="00411791">
        <w:rPr>
          <w:rFonts w:eastAsia="Times New Roman" w:cs="Arial"/>
          <w:color w:val="000000"/>
          <w:szCs w:val="20"/>
        </w:rPr>
        <w:t>ml/</w:t>
      </w:r>
      <w:proofErr w:type="spellStart"/>
      <w:r w:rsidRPr="00411791">
        <w:rPr>
          <w:rFonts w:eastAsia="Times New Roman" w:cs="Arial"/>
          <w:color w:val="000000"/>
          <w:szCs w:val="20"/>
        </w:rPr>
        <w:t>min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)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системната експозиция към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е била 2 пъти по-висока, отколкото при здрави доброволци.</w:t>
      </w:r>
    </w:p>
    <w:p w14:paraId="7A876F0D" w14:textId="77777777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Предвид профила на безопасност на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не се счита за необходимо коригиране на дозата.</w:t>
      </w:r>
    </w:p>
    <w:p w14:paraId="7827294D" w14:textId="77777777" w:rsidR="00C6548D" w:rsidRPr="00411791" w:rsidRDefault="00C6548D" w:rsidP="00C6548D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38BC37FD" w14:textId="3A7A1291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i/>
          <w:iCs/>
          <w:color w:val="000000"/>
          <w:szCs w:val="20"/>
          <w:lang w:eastAsia="bg-BG"/>
        </w:rPr>
        <w:t>Чернодробно увреждане</w:t>
      </w:r>
    </w:p>
    <w:p w14:paraId="27BCBEE7" w14:textId="77777777" w:rsidR="00C6548D" w:rsidRPr="00411791" w:rsidRDefault="00C6548D" w:rsidP="00C654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При пациенти с умерено или тежко чернодробно увреждане експозицията па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е 2-3 пъти по-висока, отколкото при здрави доброволци. Предвид профила на безопасност на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не се счита за необходимо коригиране на дозата.</w:t>
      </w:r>
    </w:p>
    <w:p w14:paraId="66A78490" w14:textId="77777777" w:rsidR="00C6548D" w:rsidRPr="00411791" w:rsidRDefault="00C6548D" w:rsidP="00C6548D"/>
    <w:p w14:paraId="648E39DA" w14:textId="55D827F5" w:rsidR="00CF77F7" w:rsidRPr="00411791" w:rsidRDefault="002C50EE" w:rsidP="004A448E">
      <w:pPr>
        <w:pStyle w:val="Heading2"/>
      </w:pPr>
      <w:r w:rsidRPr="00411791">
        <w:t>5.3. Предклинични данни за безопасност</w:t>
      </w:r>
    </w:p>
    <w:p w14:paraId="6081BBD7" w14:textId="6C101F23" w:rsidR="00C6548D" w:rsidRPr="00411791" w:rsidRDefault="00C6548D" w:rsidP="00C6548D"/>
    <w:p w14:paraId="22B6A38E" w14:textId="77777777" w:rsidR="00C6548D" w:rsidRPr="00411791" w:rsidRDefault="00C6548D" w:rsidP="00C6548D">
      <w:pPr>
        <w:pStyle w:val="Heading3"/>
        <w:rPr>
          <w:rFonts w:eastAsia="Times New Roman"/>
          <w:i/>
          <w:sz w:val="28"/>
        </w:rPr>
      </w:pPr>
      <w:r w:rsidRPr="00411791">
        <w:rPr>
          <w:rFonts w:eastAsia="Times New Roman"/>
          <w:i/>
          <w:lang w:eastAsia="bg-BG"/>
        </w:rPr>
        <w:t>Токсикологични изпитвания</w:t>
      </w:r>
    </w:p>
    <w:p w14:paraId="53AD3FFF" w14:textId="36D164E5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Данните в проучвания за токсичност при многократно приложение при плъхове и кучета могат най-общо да бъдат отдадени на фармакологичната активност на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като ефекти върху репродуктивни и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аксесор</w:t>
      </w:r>
      <w:r w:rsidR="008C01EA">
        <w:rPr>
          <w:rFonts w:eastAsia="Times New Roman" w:cs="Arial"/>
          <w:color w:val="000000"/>
          <w:szCs w:val="20"/>
          <w:lang w:eastAsia="bg-BG"/>
        </w:rPr>
        <w:t>н</w:t>
      </w:r>
      <w:r w:rsidRPr="00411791">
        <w:rPr>
          <w:rFonts w:eastAsia="Times New Roman" w:cs="Arial"/>
          <w:color w:val="000000"/>
          <w:szCs w:val="20"/>
          <w:lang w:eastAsia="bg-BG"/>
        </w:rPr>
        <w:t>и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органи. Други токсикологични ефекти (върху черния дроб, бъбрека или централната нервна система) са били наблюдавани само при експозиция, преценена като достатъчно надхвърляща максималната експозиция при човек и показваща несъществено значение за клиничната практика.</w:t>
      </w:r>
    </w:p>
    <w:p w14:paraId="3B43B6E2" w14:textId="77777777" w:rsidR="00C6548D" w:rsidRPr="00411791" w:rsidRDefault="00C6548D" w:rsidP="00C6548D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387D096E" w14:textId="4AFBDC6A" w:rsidR="00C6548D" w:rsidRPr="00411791" w:rsidRDefault="00C6548D" w:rsidP="00C6548D">
      <w:pPr>
        <w:pStyle w:val="Heading3"/>
        <w:rPr>
          <w:rFonts w:eastAsia="Times New Roman"/>
          <w:i/>
          <w:sz w:val="28"/>
        </w:rPr>
      </w:pPr>
      <w:proofErr w:type="spellStart"/>
      <w:r w:rsidRPr="00411791">
        <w:rPr>
          <w:rFonts w:eastAsia="Times New Roman"/>
          <w:i/>
          <w:lang w:eastAsia="bg-BG"/>
        </w:rPr>
        <w:t>Мутагенност</w:t>
      </w:r>
      <w:proofErr w:type="spellEnd"/>
    </w:p>
    <w:p w14:paraId="2FDF9B1A" w14:textId="720BB350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не е бил </w:t>
      </w:r>
      <w:proofErr w:type="spellStart"/>
      <w:r w:rsidR="00995D5B">
        <w:rPr>
          <w:rFonts w:eastAsia="Times New Roman" w:cs="Arial"/>
          <w:color w:val="000000"/>
          <w:szCs w:val="20"/>
          <w:lang w:eastAsia="bg-BG"/>
        </w:rPr>
        <w:t>г</w:t>
      </w:r>
      <w:r w:rsidRPr="00411791">
        <w:rPr>
          <w:rFonts w:eastAsia="Times New Roman" w:cs="Arial"/>
          <w:color w:val="000000"/>
          <w:szCs w:val="20"/>
          <w:lang w:eastAsia="bg-BG"/>
        </w:rPr>
        <w:t>е</w:t>
      </w:r>
      <w:r w:rsidR="00995D5B">
        <w:rPr>
          <w:rFonts w:eastAsia="Times New Roman" w:cs="Arial"/>
          <w:color w:val="000000"/>
          <w:szCs w:val="20"/>
          <w:lang w:eastAsia="bg-BG"/>
        </w:rPr>
        <w:t>н</w:t>
      </w:r>
      <w:r w:rsidRPr="00411791">
        <w:rPr>
          <w:rFonts w:eastAsia="Times New Roman" w:cs="Arial"/>
          <w:color w:val="000000"/>
          <w:szCs w:val="20"/>
          <w:lang w:eastAsia="bg-BG"/>
        </w:rPr>
        <w:t>отоксичен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при бактерии (тест на </w:t>
      </w:r>
      <w:proofErr w:type="spellStart"/>
      <w:r w:rsidRPr="00411791">
        <w:rPr>
          <w:rFonts w:eastAsia="Times New Roman" w:cs="Arial"/>
          <w:color w:val="000000"/>
          <w:szCs w:val="20"/>
        </w:rPr>
        <w:t>Ames</w:t>
      </w:r>
      <w:proofErr w:type="spellEnd"/>
      <w:r w:rsidRPr="00411791">
        <w:rPr>
          <w:rFonts w:eastAsia="Times New Roman" w:cs="Arial"/>
          <w:color w:val="000000"/>
          <w:szCs w:val="20"/>
        </w:rPr>
        <w:t xml:space="preserve">),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при </w:t>
      </w:r>
      <w:r w:rsidRPr="00411791">
        <w:rPr>
          <w:rFonts w:eastAsia="Times New Roman" w:cs="Arial"/>
          <w:color w:val="000000"/>
          <w:szCs w:val="20"/>
        </w:rPr>
        <w:t xml:space="preserve">V79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клетки от китайски хамстер, при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хепатоцити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от плъх или при миша микронуклеарна проба. Въпреки че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се е оказал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кластогенен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при лимфоцити </w:t>
      </w:r>
      <w:proofErr w:type="spellStart"/>
      <w:r w:rsidRPr="00411791">
        <w:rPr>
          <w:rFonts w:eastAsia="Times New Roman" w:cs="Arial"/>
          <w:i/>
          <w:iCs/>
          <w:color w:val="000000"/>
          <w:szCs w:val="20"/>
        </w:rPr>
        <w:t>in</w:t>
      </w:r>
      <w:proofErr w:type="spellEnd"/>
      <w:r w:rsidRPr="00411791">
        <w:rPr>
          <w:rFonts w:eastAsia="Times New Roman" w:cs="Arial"/>
          <w:i/>
          <w:iCs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i/>
          <w:iCs/>
          <w:color w:val="000000"/>
          <w:szCs w:val="20"/>
        </w:rPr>
        <w:t>vitro</w:t>
      </w:r>
      <w:proofErr w:type="spellEnd"/>
      <w:r w:rsidRPr="00411791">
        <w:rPr>
          <w:rFonts w:eastAsia="Times New Roman" w:cs="Arial"/>
          <w:i/>
          <w:iCs/>
          <w:color w:val="000000"/>
          <w:szCs w:val="20"/>
        </w:rPr>
        <w:t>,</w:t>
      </w:r>
      <w:r w:rsidRPr="00411791">
        <w:rPr>
          <w:rFonts w:eastAsia="Times New Roman" w:cs="Arial"/>
          <w:color w:val="000000"/>
          <w:szCs w:val="20"/>
        </w:rPr>
        <w:t xml:space="preserve"> </w:t>
      </w:r>
      <w:r w:rsidRPr="00411791">
        <w:rPr>
          <w:rFonts w:eastAsia="Times New Roman" w:cs="Arial"/>
          <w:color w:val="000000"/>
          <w:szCs w:val="20"/>
          <w:lang w:eastAsia="bg-BG"/>
        </w:rPr>
        <w:t>той н</w:t>
      </w:r>
      <w:r w:rsidR="00305B24">
        <w:rPr>
          <w:rFonts w:eastAsia="Times New Roman" w:cs="Arial"/>
          <w:color w:val="000000"/>
          <w:szCs w:val="20"/>
          <w:lang w:eastAsia="bg-BG"/>
        </w:rPr>
        <w:t>е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 с бил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кластогенен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при две </w:t>
      </w:r>
      <w:proofErr w:type="spellStart"/>
      <w:r w:rsidRPr="00411791">
        <w:rPr>
          <w:rFonts w:eastAsia="Times New Roman" w:cs="Arial"/>
          <w:i/>
          <w:iCs/>
          <w:color w:val="000000"/>
          <w:szCs w:val="20"/>
        </w:rPr>
        <w:t>in</w:t>
      </w:r>
      <w:proofErr w:type="spellEnd"/>
      <w:r w:rsidRPr="00411791">
        <w:rPr>
          <w:rFonts w:eastAsia="Times New Roman" w:cs="Arial"/>
          <w:i/>
          <w:iCs/>
          <w:color w:val="000000"/>
          <w:szCs w:val="20"/>
        </w:rPr>
        <w:t xml:space="preserve"> </w:t>
      </w:r>
      <w:proofErr w:type="spellStart"/>
      <w:r w:rsidRPr="00411791">
        <w:rPr>
          <w:rFonts w:eastAsia="Times New Roman" w:cs="Arial"/>
          <w:i/>
          <w:iCs/>
          <w:color w:val="000000"/>
          <w:szCs w:val="20"/>
        </w:rPr>
        <w:t>vivo</w:t>
      </w:r>
      <w:proofErr w:type="spellEnd"/>
      <w:r w:rsidRPr="00411791">
        <w:rPr>
          <w:rFonts w:eastAsia="Times New Roman" w:cs="Arial"/>
          <w:i/>
          <w:iCs/>
          <w:color w:val="000000"/>
          <w:szCs w:val="20"/>
        </w:rPr>
        <w:t xml:space="preserve"> </w:t>
      </w:r>
      <w:r w:rsidRPr="00411791">
        <w:rPr>
          <w:rFonts w:eastAsia="Times New Roman" w:cs="Arial"/>
          <w:color w:val="000000"/>
          <w:szCs w:val="20"/>
          <w:lang w:eastAsia="bg-BG"/>
        </w:rPr>
        <w:t>проучвания.</w:t>
      </w:r>
    </w:p>
    <w:p w14:paraId="4D9CDF40" w14:textId="77777777" w:rsidR="00C6548D" w:rsidRPr="00411791" w:rsidRDefault="00C6548D" w:rsidP="00C6548D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304DFBA1" w14:textId="50CFC3F1" w:rsidR="00C6548D" w:rsidRPr="00411791" w:rsidRDefault="00C6548D" w:rsidP="00C6548D">
      <w:pPr>
        <w:pStyle w:val="Heading3"/>
        <w:rPr>
          <w:rFonts w:eastAsia="Times New Roman"/>
          <w:i/>
          <w:sz w:val="28"/>
        </w:rPr>
      </w:pPr>
      <w:r w:rsidRPr="00411791">
        <w:rPr>
          <w:rFonts w:eastAsia="Times New Roman"/>
          <w:i/>
          <w:lang w:eastAsia="bg-BG"/>
        </w:rPr>
        <w:lastRenderedPageBreak/>
        <w:t>Репродуктивна токсичност</w:t>
      </w:r>
    </w:p>
    <w:p w14:paraId="3ABB1865" w14:textId="4734D4AD" w:rsidR="00C6548D" w:rsidRPr="00411791" w:rsidRDefault="00C6548D" w:rsidP="00C6548D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е бил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ембриотоксичен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за плъхове и зайци при нива па системна експозиция, сходни с тези, получени при хора след прилагане на доза 25 </w:t>
      </w:r>
      <w:proofErr w:type="spellStart"/>
      <w:r w:rsidRPr="00411791">
        <w:rPr>
          <w:rFonts w:eastAsia="Times New Roman" w:cs="Arial"/>
          <w:color w:val="000000"/>
          <w:szCs w:val="20"/>
        </w:rPr>
        <w:t>mg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/ден. Не е имало данни за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тератогенност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>.</w:t>
      </w:r>
    </w:p>
    <w:p w14:paraId="66D17EC9" w14:textId="77777777" w:rsidR="00C6548D" w:rsidRPr="00411791" w:rsidRDefault="00C6548D" w:rsidP="00C6548D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36A3AA6A" w14:textId="162D66E8" w:rsidR="00C6548D" w:rsidRPr="00411791" w:rsidRDefault="00C6548D" w:rsidP="00C6548D">
      <w:pPr>
        <w:pStyle w:val="Heading3"/>
        <w:rPr>
          <w:rFonts w:eastAsia="Times New Roman"/>
          <w:i/>
          <w:sz w:val="28"/>
        </w:rPr>
      </w:pPr>
      <w:r w:rsidRPr="00411791">
        <w:rPr>
          <w:rFonts w:eastAsia="Times New Roman"/>
          <w:i/>
          <w:lang w:eastAsia="bg-BG"/>
        </w:rPr>
        <w:t>Канцерогенност</w:t>
      </w:r>
    </w:p>
    <w:p w14:paraId="41878178" w14:textId="645FF2D4" w:rsidR="00C6548D" w:rsidRPr="00411791" w:rsidRDefault="00C6548D" w:rsidP="00C6548D">
      <w:pPr>
        <w:rPr>
          <w:rFonts w:cs="Arial"/>
          <w:sz w:val="24"/>
        </w:rPr>
      </w:pPr>
      <w:r w:rsidRPr="00411791">
        <w:rPr>
          <w:rFonts w:eastAsia="Times New Roman" w:cs="Arial"/>
          <w:color w:val="000000"/>
          <w:szCs w:val="20"/>
          <w:lang w:eastAsia="bg-BG"/>
        </w:rPr>
        <w:t xml:space="preserve">В двугодишно проучване за канцерогенност при женски плъхове не е била наблюдавана свързана с лечението поява па тумори. При мъжки плъхове проучването е приключило на 92-1 а седмица поради ранна смърт от хронична нефропатия. В двугодишно проучване за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карциногенност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при мишки е било наблюдавано повишаване на честотата па чернодробни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неоплазми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в двата пола при средните и високите дози (150 и 450 </w:t>
      </w:r>
      <w:proofErr w:type="spellStart"/>
      <w:r w:rsidRPr="00411791">
        <w:rPr>
          <w:rFonts w:eastAsia="Times New Roman" w:cs="Arial"/>
          <w:color w:val="000000"/>
          <w:szCs w:val="20"/>
        </w:rPr>
        <w:t>mg</w:t>
      </w:r>
      <w:proofErr w:type="spellEnd"/>
      <w:r w:rsidRPr="00411791">
        <w:rPr>
          <w:rFonts w:eastAsia="Times New Roman" w:cs="Arial"/>
          <w:color w:val="000000"/>
          <w:szCs w:val="20"/>
        </w:rPr>
        <w:t>/</w:t>
      </w:r>
      <w:proofErr w:type="spellStart"/>
      <w:r w:rsidRPr="00411791">
        <w:rPr>
          <w:rFonts w:eastAsia="Times New Roman" w:cs="Arial"/>
          <w:color w:val="000000"/>
          <w:szCs w:val="20"/>
        </w:rPr>
        <w:t>kg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/ден). Счита се, че тези резултати са свързани с индукцията на чернодробните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микрозомни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ензими - ефект, наблюдаван при мишки, но не и в клинични проучвания. При прилагане на високата доза (450 </w:t>
      </w:r>
      <w:proofErr w:type="spellStart"/>
      <w:r w:rsidRPr="00411791">
        <w:rPr>
          <w:rFonts w:eastAsia="Times New Roman" w:cs="Arial"/>
          <w:color w:val="000000"/>
          <w:szCs w:val="20"/>
        </w:rPr>
        <w:t>mg</w:t>
      </w:r>
      <w:proofErr w:type="spellEnd"/>
      <w:r w:rsidRPr="00411791">
        <w:rPr>
          <w:rFonts w:eastAsia="Times New Roman" w:cs="Arial"/>
          <w:color w:val="000000"/>
          <w:szCs w:val="20"/>
        </w:rPr>
        <w:t>/</w:t>
      </w:r>
      <w:proofErr w:type="spellStart"/>
      <w:r w:rsidRPr="00411791">
        <w:rPr>
          <w:rFonts w:eastAsia="Times New Roman" w:cs="Arial"/>
          <w:color w:val="000000"/>
          <w:szCs w:val="20"/>
        </w:rPr>
        <w:t>kg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/ден) се отбелязва нарастване на честотата па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аде</w:t>
      </w:r>
      <w:r w:rsidR="00305B24">
        <w:rPr>
          <w:rFonts w:eastAsia="Times New Roman" w:cs="Arial"/>
          <w:color w:val="000000"/>
          <w:szCs w:val="20"/>
          <w:lang w:eastAsia="bg-BG"/>
        </w:rPr>
        <w:t>н</w:t>
      </w:r>
      <w:r w:rsidRPr="00411791">
        <w:rPr>
          <w:rFonts w:eastAsia="Times New Roman" w:cs="Arial"/>
          <w:color w:val="000000"/>
          <w:szCs w:val="20"/>
          <w:lang w:eastAsia="bg-BG"/>
        </w:rPr>
        <w:t>омите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на бъбречните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тубули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 xml:space="preserve"> при мишки от мъжки</w:t>
      </w:r>
      <w:r w:rsidRPr="00411791">
        <w:rPr>
          <w:rFonts w:eastAsia="Times New Roman" w:cs="Arial"/>
          <w:smallCaps/>
          <w:color w:val="000000"/>
          <w:szCs w:val="20"/>
          <w:lang w:eastAsia="bg-BG"/>
        </w:rPr>
        <w:t xml:space="preserve"> </w:t>
      </w:r>
      <w:r w:rsidRPr="00411791">
        <w:rPr>
          <w:rFonts w:eastAsia="Times New Roman" w:cs="Arial"/>
          <w:color w:val="000000"/>
          <w:szCs w:val="20"/>
          <w:lang w:eastAsia="bg-BG"/>
        </w:rPr>
        <w:t xml:space="preserve">пол. Тази промяна се счита за видово- и полово-специфична и с настъпвала при доза, която съответства на 63 пъти по-голяма експозиция от тази, която настъпва в терапевтични дози при човека. Нито един от тези наблюдавали ефекти не се счита за клинично свързан с лечението на пациенти с </w:t>
      </w:r>
      <w:proofErr w:type="spellStart"/>
      <w:r w:rsidRPr="00411791">
        <w:rPr>
          <w:rFonts w:eastAsia="Times New Roman" w:cs="Arial"/>
          <w:color w:val="000000"/>
          <w:szCs w:val="20"/>
          <w:lang w:eastAsia="bg-BG"/>
        </w:rPr>
        <w:t>екземестан</w:t>
      </w:r>
      <w:proofErr w:type="spellEnd"/>
      <w:r w:rsidRPr="00411791">
        <w:rPr>
          <w:rFonts w:eastAsia="Times New Roman" w:cs="Arial"/>
          <w:color w:val="000000"/>
          <w:szCs w:val="20"/>
          <w:lang w:eastAsia="bg-BG"/>
        </w:rPr>
        <w:t>.</w:t>
      </w:r>
    </w:p>
    <w:p w14:paraId="6A7820AB" w14:textId="2CF14589" w:rsidR="008A6AF2" w:rsidRPr="00411791" w:rsidRDefault="002C50EE" w:rsidP="00395555">
      <w:pPr>
        <w:pStyle w:val="Heading1"/>
      </w:pPr>
      <w:r w:rsidRPr="00411791">
        <w:t>7. ПРИТЕЖАТЕЛ НА РАЗРЕШЕНИЕТО ЗА УПОТРЕБА</w:t>
      </w:r>
    </w:p>
    <w:p w14:paraId="3F0552C4" w14:textId="4A44F34F" w:rsidR="00C6548D" w:rsidRPr="00411791" w:rsidRDefault="00C6548D" w:rsidP="00C6548D"/>
    <w:p w14:paraId="58690669" w14:textId="77777777" w:rsidR="00C6548D" w:rsidRPr="00411791" w:rsidRDefault="00C6548D" w:rsidP="00C6548D">
      <w:pPr>
        <w:rPr>
          <w:sz w:val="24"/>
          <w:szCs w:val="24"/>
        </w:rPr>
      </w:pPr>
      <w:r w:rsidRPr="00411791">
        <w:t xml:space="preserve">Pfizer </w:t>
      </w:r>
      <w:proofErr w:type="spellStart"/>
      <w:r w:rsidRPr="00411791">
        <w:t>Europe</w:t>
      </w:r>
      <w:proofErr w:type="spellEnd"/>
      <w:r w:rsidRPr="00411791">
        <w:t xml:space="preserve"> </w:t>
      </w:r>
      <w:r w:rsidRPr="00411791">
        <w:rPr>
          <w:lang w:eastAsia="bg-BG"/>
        </w:rPr>
        <w:t xml:space="preserve">МА </w:t>
      </w:r>
      <w:r w:rsidRPr="00411791">
        <w:t>EEIG</w:t>
      </w:r>
    </w:p>
    <w:p w14:paraId="5027D78A" w14:textId="77777777" w:rsidR="00C6548D" w:rsidRPr="00411791" w:rsidRDefault="00C6548D" w:rsidP="00C6548D">
      <w:pPr>
        <w:rPr>
          <w:sz w:val="24"/>
          <w:szCs w:val="24"/>
        </w:rPr>
      </w:pPr>
      <w:proofErr w:type="spellStart"/>
      <w:r w:rsidRPr="00411791">
        <w:t>Boulevard</w:t>
      </w:r>
      <w:proofErr w:type="spellEnd"/>
      <w:r w:rsidRPr="00411791">
        <w:t xml:space="preserve"> </w:t>
      </w:r>
      <w:proofErr w:type="spellStart"/>
      <w:r w:rsidRPr="00411791">
        <w:t>de</w:t>
      </w:r>
      <w:proofErr w:type="spellEnd"/>
      <w:r w:rsidRPr="00411791">
        <w:t xml:space="preserve"> </w:t>
      </w:r>
      <w:proofErr w:type="spellStart"/>
      <w:r w:rsidRPr="00411791">
        <w:t>la</w:t>
      </w:r>
      <w:proofErr w:type="spellEnd"/>
      <w:r w:rsidRPr="00411791">
        <w:t xml:space="preserve"> </w:t>
      </w:r>
      <w:proofErr w:type="spellStart"/>
      <w:r w:rsidRPr="00411791">
        <w:t>Plaine</w:t>
      </w:r>
      <w:proofErr w:type="spellEnd"/>
      <w:r w:rsidRPr="00411791">
        <w:t xml:space="preserve"> 17</w:t>
      </w:r>
    </w:p>
    <w:p w14:paraId="2384AA77" w14:textId="77777777" w:rsidR="00C6548D" w:rsidRPr="00411791" w:rsidRDefault="00C6548D" w:rsidP="00C6548D">
      <w:pPr>
        <w:rPr>
          <w:sz w:val="24"/>
          <w:szCs w:val="24"/>
        </w:rPr>
      </w:pPr>
      <w:r w:rsidRPr="00411791">
        <w:t xml:space="preserve">1050 </w:t>
      </w:r>
      <w:proofErr w:type="spellStart"/>
      <w:r w:rsidRPr="00411791">
        <w:t>Bruxelles</w:t>
      </w:r>
      <w:proofErr w:type="spellEnd"/>
    </w:p>
    <w:p w14:paraId="5236E9D3" w14:textId="338C6F33" w:rsidR="00C6548D" w:rsidRPr="00411791" w:rsidRDefault="00C6548D" w:rsidP="00C6548D">
      <w:r w:rsidRPr="00411791">
        <w:rPr>
          <w:lang w:eastAsia="bg-BG"/>
        </w:rPr>
        <w:t>Белгия</w:t>
      </w:r>
    </w:p>
    <w:p w14:paraId="7BA1BA64" w14:textId="2D92B472" w:rsidR="00CF77F7" w:rsidRPr="00411791" w:rsidRDefault="002C50EE" w:rsidP="004A448E">
      <w:pPr>
        <w:pStyle w:val="Heading1"/>
      </w:pPr>
      <w:r w:rsidRPr="00411791">
        <w:t>8. НОМЕР НА РАЗРЕШЕНИЕТО ЗА УПОТРЕБА</w:t>
      </w:r>
    </w:p>
    <w:p w14:paraId="702146BD" w14:textId="47A3ABE2" w:rsidR="00C6548D" w:rsidRPr="00411791" w:rsidRDefault="00C6548D" w:rsidP="00C6548D"/>
    <w:p w14:paraId="6D05D43E" w14:textId="4F611CC4" w:rsidR="00C6548D" w:rsidRPr="00411791" w:rsidRDefault="00C6548D" w:rsidP="00C6548D">
      <w:r w:rsidRPr="00411791">
        <w:t>20000458</w:t>
      </w:r>
    </w:p>
    <w:p w14:paraId="2CCB5832" w14:textId="5B9979F2" w:rsidR="007C605B" w:rsidRPr="00411791" w:rsidRDefault="002C50EE" w:rsidP="007C605B">
      <w:pPr>
        <w:pStyle w:val="Heading1"/>
      </w:pPr>
      <w:r w:rsidRPr="00411791">
        <w:t>9. ДАТА НА ПЪРВО РАЗРЕШАВАНЕ/ПОДНОВЯВАНЕ НА РАЗРЕШЕНИЕТО ЗА УПОТРЕБА</w:t>
      </w:r>
    </w:p>
    <w:p w14:paraId="29E82496" w14:textId="49D06901" w:rsidR="00C6548D" w:rsidRPr="00411791" w:rsidRDefault="00C6548D" w:rsidP="00C6548D"/>
    <w:p w14:paraId="3FCD26DB" w14:textId="77777777" w:rsidR="00C6548D" w:rsidRPr="00411791" w:rsidRDefault="00C6548D" w:rsidP="00C6548D">
      <w:pPr>
        <w:rPr>
          <w:sz w:val="24"/>
          <w:szCs w:val="24"/>
        </w:rPr>
      </w:pPr>
      <w:r w:rsidRPr="00411791">
        <w:rPr>
          <w:lang w:eastAsia="bg-BG"/>
        </w:rPr>
        <w:t>Дата на първо разрешаване за употреба: 03 август 2000 г.</w:t>
      </w:r>
    </w:p>
    <w:p w14:paraId="3C587833" w14:textId="77777777" w:rsidR="00C6548D" w:rsidRPr="00411791" w:rsidRDefault="00C6548D" w:rsidP="00C6548D">
      <w:pPr>
        <w:rPr>
          <w:sz w:val="24"/>
          <w:szCs w:val="24"/>
        </w:rPr>
      </w:pPr>
      <w:r w:rsidRPr="00411791">
        <w:rPr>
          <w:lang w:eastAsia="bg-BG"/>
        </w:rPr>
        <w:t>Дата па последно подновяване: 16 ноември 2010 г,</w:t>
      </w:r>
    </w:p>
    <w:p w14:paraId="5B593563" w14:textId="77777777" w:rsidR="00C6548D" w:rsidRPr="00411791" w:rsidRDefault="00C6548D" w:rsidP="00C6548D"/>
    <w:p w14:paraId="0E9D0119" w14:textId="0245C6D7" w:rsidR="002C50EE" w:rsidRPr="00411791" w:rsidRDefault="002C50EE" w:rsidP="002C50EE">
      <w:pPr>
        <w:pStyle w:val="Heading1"/>
      </w:pPr>
      <w:r w:rsidRPr="00411791">
        <w:t>10. ДАТА НА АКТУАЛИЗИРАНЕ НА ТЕКСТА</w:t>
      </w:r>
    </w:p>
    <w:bookmarkEnd w:id="0"/>
    <w:p w14:paraId="43FB38A2" w14:textId="5500C507" w:rsidR="007C605B" w:rsidRPr="00411791" w:rsidRDefault="007C605B" w:rsidP="00CF77F7"/>
    <w:sectPr w:rsidR="007C605B" w:rsidRPr="0041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22820769">
    <w:abstractNumId w:val="26"/>
  </w:num>
  <w:num w:numId="2" w16cid:durableId="1051343739">
    <w:abstractNumId w:val="0"/>
  </w:num>
  <w:num w:numId="3" w16cid:durableId="1797792231">
    <w:abstractNumId w:val="12"/>
  </w:num>
  <w:num w:numId="4" w16cid:durableId="1442453751">
    <w:abstractNumId w:val="3"/>
  </w:num>
  <w:num w:numId="5" w16cid:durableId="467940177">
    <w:abstractNumId w:val="1"/>
  </w:num>
  <w:num w:numId="6" w16cid:durableId="1827284821">
    <w:abstractNumId w:val="15"/>
  </w:num>
  <w:num w:numId="7" w16cid:durableId="1711683769">
    <w:abstractNumId w:val="10"/>
  </w:num>
  <w:num w:numId="8" w16cid:durableId="669019885">
    <w:abstractNumId w:val="14"/>
  </w:num>
  <w:num w:numId="9" w16cid:durableId="47536447">
    <w:abstractNumId w:val="2"/>
  </w:num>
  <w:num w:numId="10" w16cid:durableId="952057334">
    <w:abstractNumId w:val="4"/>
  </w:num>
  <w:num w:numId="11" w16cid:durableId="1459952223">
    <w:abstractNumId w:val="29"/>
  </w:num>
  <w:num w:numId="12" w16cid:durableId="1631597079">
    <w:abstractNumId w:val="13"/>
  </w:num>
  <w:num w:numId="13" w16cid:durableId="728696459">
    <w:abstractNumId w:val="18"/>
  </w:num>
  <w:num w:numId="14" w16cid:durableId="1011372041">
    <w:abstractNumId w:val="11"/>
  </w:num>
  <w:num w:numId="15" w16cid:durableId="479425131">
    <w:abstractNumId w:val="28"/>
  </w:num>
  <w:num w:numId="16" w16cid:durableId="914239267">
    <w:abstractNumId w:val="9"/>
  </w:num>
  <w:num w:numId="17" w16cid:durableId="116074613">
    <w:abstractNumId w:val="23"/>
  </w:num>
  <w:num w:numId="18" w16cid:durableId="942348339">
    <w:abstractNumId w:val="7"/>
  </w:num>
  <w:num w:numId="19" w16cid:durableId="1802454991">
    <w:abstractNumId w:val="25"/>
  </w:num>
  <w:num w:numId="20" w16cid:durableId="260072700">
    <w:abstractNumId w:val="22"/>
  </w:num>
  <w:num w:numId="21" w16cid:durableId="2142066264">
    <w:abstractNumId w:val="16"/>
  </w:num>
  <w:num w:numId="22" w16cid:durableId="683560356">
    <w:abstractNumId w:val="24"/>
  </w:num>
  <w:num w:numId="23" w16cid:durableId="909077479">
    <w:abstractNumId w:val="17"/>
  </w:num>
  <w:num w:numId="24" w16cid:durableId="1098449218">
    <w:abstractNumId w:val="8"/>
  </w:num>
  <w:num w:numId="25" w16cid:durableId="1921056881">
    <w:abstractNumId w:val="21"/>
  </w:num>
  <w:num w:numId="26" w16cid:durableId="276984162">
    <w:abstractNumId w:val="20"/>
  </w:num>
  <w:num w:numId="27" w16cid:durableId="961035304">
    <w:abstractNumId w:val="30"/>
  </w:num>
  <w:num w:numId="28" w16cid:durableId="386690430">
    <w:abstractNumId w:val="6"/>
  </w:num>
  <w:num w:numId="29" w16cid:durableId="738672787">
    <w:abstractNumId w:val="19"/>
  </w:num>
  <w:num w:numId="30" w16cid:durableId="439690954">
    <w:abstractNumId w:val="33"/>
  </w:num>
  <w:num w:numId="31" w16cid:durableId="2014601986">
    <w:abstractNumId w:val="5"/>
  </w:num>
  <w:num w:numId="32" w16cid:durableId="1877694626">
    <w:abstractNumId w:val="32"/>
  </w:num>
  <w:num w:numId="33" w16cid:durableId="1376732962">
    <w:abstractNumId w:val="27"/>
  </w:num>
  <w:num w:numId="34" w16cid:durableId="136828976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00"/>
    <w:rsid w:val="00037FAC"/>
    <w:rsid w:val="00185A46"/>
    <w:rsid w:val="001915B6"/>
    <w:rsid w:val="001D1B23"/>
    <w:rsid w:val="0022485D"/>
    <w:rsid w:val="002556A5"/>
    <w:rsid w:val="002B3C38"/>
    <w:rsid w:val="002B4DBB"/>
    <w:rsid w:val="002C50EE"/>
    <w:rsid w:val="002F12A8"/>
    <w:rsid w:val="00305B24"/>
    <w:rsid w:val="00334EE1"/>
    <w:rsid w:val="00340A0A"/>
    <w:rsid w:val="003765DC"/>
    <w:rsid w:val="00393A98"/>
    <w:rsid w:val="00395555"/>
    <w:rsid w:val="00397A05"/>
    <w:rsid w:val="003E3126"/>
    <w:rsid w:val="0041121F"/>
    <w:rsid w:val="00411791"/>
    <w:rsid w:val="00426E5F"/>
    <w:rsid w:val="004A448E"/>
    <w:rsid w:val="004D4D6B"/>
    <w:rsid w:val="004F1CE7"/>
    <w:rsid w:val="004F498A"/>
    <w:rsid w:val="00517A5B"/>
    <w:rsid w:val="00593A00"/>
    <w:rsid w:val="005A66D9"/>
    <w:rsid w:val="005B13F3"/>
    <w:rsid w:val="00605BCA"/>
    <w:rsid w:val="006158A1"/>
    <w:rsid w:val="00617B1F"/>
    <w:rsid w:val="00672487"/>
    <w:rsid w:val="00672600"/>
    <w:rsid w:val="00681D4A"/>
    <w:rsid w:val="00685882"/>
    <w:rsid w:val="0075649D"/>
    <w:rsid w:val="00791E9A"/>
    <w:rsid w:val="00796D35"/>
    <w:rsid w:val="007C605B"/>
    <w:rsid w:val="008134C8"/>
    <w:rsid w:val="00814073"/>
    <w:rsid w:val="00817BC0"/>
    <w:rsid w:val="00826F0D"/>
    <w:rsid w:val="00863DED"/>
    <w:rsid w:val="00893B92"/>
    <w:rsid w:val="008A6AF2"/>
    <w:rsid w:val="008C01EA"/>
    <w:rsid w:val="008C70A2"/>
    <w:rsid w:val="008D3FF5"/>
    <w:rsid w:val="009773E4"/>
    <w:rsid w:val="00995D5B"/>
    <w:rsid w:val="009B171C"/>
    <w:rsid w:val="009C52C2"/>
    <w:rsid w:val="009F1313"/>
    <w:rsid w:val="00A00581"/>
    <w:rsid w:val="00A20351"/>
    <w:rsid w:val="00A65A81"/>
    <w:rsid w:val="00AA23EC"/>
    <w:rsid w:val="00AC63CE"/>
    <w:rsid w:val="00AE2107"/>
    <w:rsid w:val="00AE7BD5"/>
    <w:rsid w:val="00B275A8"/>
    <w:rsid w:val="00B54824"/>
    <w:rsid w:val="00B9220E"/>
    <w:rsid w:val="00BF2600"/>
    <w:rsid w:val="00C0049F"/>
    <w:rsid w:val="00C07B84"/>
    <w:rsid w:val="00C33464"/>
    <w:rsid w:val="00C40420"/>
    <w:rsid w:val="00C6548D"/>
    <w:rsid w:val="00C809A7"/>
    <w:rsid w:val="00C83063"/>
    <w:rsid w:val="00C87E90"/>
    <w:rsid w:val="00CA1B57"/>
    <w:rsid w:val="00CD6DBA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5224</Words>
  <Characters>29783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Maria Vasileva</cp:lastModifiedBy>
  <cp:revision>25</cp:revision>
  <dcterms:created xsi:type="dcterms:W3CDTF">2022-06-12T13:38:00Z</dcterms:created>
  <dcterms:modified xsi:type="dcterms:W3CDTF">2022-07-05T12:10:00Z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