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0226ACB0" w:rsidR="00F53FB7" w:rsidRDefault="00DD466D" w:rsidP="00A93499">
      <w:pPr>
        <w:pStyle w:val="Heading1"/>
      </w:pPr>
      <w:r>
        <w:t>1.ИМЕ НА ЛЕКАРСТВЕНИЯ ПРОДУКТ</w:t>
      </w:r>
    </w:p>
    <w:p w14:paraId="20BB87EC" w14:textId="555A341D" w:rsidR="000A6762" w:rsidRDefault="000A6762" w:rsidP="000A6762"/>
    <w:p w14:paraId="14BC63D4" w14:textId="77777777" w:rsidR="000A6762" w:rsidRPr="000A6762" w:rsidRDefault="000A6762" w:rsidP="000A6762">
      <w:pPr>
        <w:rPr>
          <w:sz w:val="24"/>
          <w:szCs w:val="24"/>
          <w:lang w:eastAsia="bg-BG"/>
        </w:rPr>
      </w:pPr>
      <w:r w:rsidRPr="000A6762">
        <w:rPr>
          <w:lang w:eastAsia="bg-BG"/>
        </w:rPr>
        <w:t xml:space="preserve">Аспирин Комплекс Топла Напитка 500 </w:t>
      </w:r>
      <w:r w:rsidRPr="000A6762">
        <w:rPr>
          <w:lang w:val="en-US"/>
        </w:rPr>
        <w:t xml:space="preserve">mg </w:t>
      </w:r>
      <w:r w:rsidRPr="000A6762">
        <w:rPr>
          <w:lang w:eastAsia="bg-BG"/>
        </w:rPr>
        <w:t xml:space="preserve">/30 </w:t>
      </w:r>
      <w:r w:rsidRPr="000A6762">
        <w:rPr>
          <w:lang w:val="en-US"/>
        </w:rPr>
        <w:t xml:space="preserve">mg </w:t>
      </w:r>
      <w:r w:rsidRPr="000A6762">
        <w:rPr>
          <w:lang w:eastAsia="bg-BG"/>
        </w:rPr>
        <w:t>гранули за пербрална еуспензия</w:t>
      </w:r>
    </w:p>
    <w:p w14:paraId="008E230B" w14:textId="1A4E7AA9" w:rsidR="000A6762" w:rsidRPr="000A6762" w:rsidRDefault="000A6762" w:rsidP="000A6762">
      <w:r w:rsidRPr="000A6762">
        <w:rPr>
          <w:lang w:val="en-US"/>
        </w:rPr>
        <w:t xml:space="preserve">Aspirin Complex </w:t>
      </w:r>
      <w:proofErr w:type="spellStart"/>
      <w:r w:rsidRPr="000A6762">
        <w:rPr>
          <w:lang w:val="en-US"/>
        </w:rPr>
        <w:t>Hotdrink</w:t>
      </w:r>
      <w:proofErr w:type="spellEnd"/>
      <w:r w:rsidRPr="000A6762">
        <w:rPr>
          <w:lang w:val="en-US"/>
        </w:rPr>
        <w:t xml:space="preserve"> </w:t>
      </w:r>
      <w:r w:rsidRPr="000A6762">
        <w:rPr>
          <w:lang w:eastAsia="bg-BG"/>
        </w:rPr>
        <w:t xml:space="preserve">500 </w:t>
      </w:r>
      <w:r w:rsidRPr="000A6762">
        <w:rPr>
          <w:lang w:val="en-US"/>
        </w:rPr>
        <w:t xml:space="preserve">mg </w:t>
      </w:r>
      <w:r w:rsidRPr="000A6762">
        <w:rPr>
          <w:lang w:eastAsia="bg-BG"/>
        </w:rPr>
        <w:t xml:space="preserve">/ </w:t>
      </w:r>
      <w:r w:rsidRPr="000A6762">
        <w:rPr>
          <w:lang w:val="en-US"/>
        </w:rPr>
        <w:t>30 mg granules for oral suspension</w:t>
      </w:r>
    </w:p>
    <w:p w14:paraId="0DF202EC" w14:textId="56DE03A9" w:rsidR="00F53FB7" w:rsidRDefault="00DD466D" w:rsidP="00A93499">
      <w:pPr>
        <w:pStyle w:val="Heading1"/>
      </w:pPr>
      <w:r>
        <w:t>2. КАЧЕСТВЕН И КОЛИЧЕСТВЕН СЪСТАВ</w:t>
      </w:r>
    </w:p>
    <w:p w14:paraId="1E3F4D61" w14:textId="7D8833B0" w:rsidR="000A6762" w:rsidRDefault="000A6762" w:rsidP="000A6762"/>
    <w:p w14:paraId="2FA6A625"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 xml:space="preserve">Всяко саше съдържа 500 </w:t>
      </w:r>
      <w:r w:rsidRPr="000A6762">
        <w:rPr>
          <w:rFonts w:eastAsia="Times New Roman" w:cs="Arial"/>
          <w:color w:val="000000"/>
          <w:lang w:val="en-US"/>
        </w:rPr>
        <w:t xml:space="preserve">mg </w:t>
      </w:r>
      <w:r w:rsidRPr="000A6762">
        <w:rPr>
          <w:rFonts w:eastAsia="Times New Roman" w:cs="Arial"/>
          <w:color w:val="000000"/>
          <w:lang w:eastAsia="bg-BG"/>
        </w:rPr>
        <w:t xml:space="preserve">ацетилсалицилова киселина </w:t>
      </w:r>
      <w:r w:rsidRPr="000A6762">
        <w:rPr>
          <w:rFonts w:eastAsia="Times New Roman" w:cs="Arial"/>
          <w:color w:val="000000"/>
          <w:lang w:val="en-US"/>
        </w:rPr>
        <w:t xml:space="preserve">(acetylsalicylic acid) </w:t>
      </w:r>
      <w:r w:rsidRPr="000A6762">
        <w:rPr>
          <w:rFonts w:eastAsia="Times New Roman" w:cs="Arial"/>
          <w:color w:val="000000"/>
          <w:lang w:eastAsia="bg-BG"/>
        </w:rPr>
        <w:t xml:space="preserve">и 30 </w:t>
      </w:r>
      <w:r w:rsidRPr="000A6762">
        <w:rPr>
          <w:rFonts w:eastAsia="Times New Roman" w:cs="Arial"/>
          <w:color w:val="000000"/>
          <w:lang w:val="en-US"/>
        </w:rPr>
        <w:t xml:space="preserve">mg </w:t>
      </w:r>
      <w:r w:rsidRPr="000A6762">
        <w:rPr>
          <w:rFonts w:eastAsia="Times New Roman" w:cs="Arial"/>
          <w:color w:val="000000"/>
          <w:lang w:eastAsia="bg-BG"/>
        </w:rPr>
        <w:t xml:space="preserve">псевдоефедринов хидрохлорид </w:t>
      </w:r>
      <w:r w:rsidRPr="000A6762">
        <w:rPr>
          <w:rFonts w:eastAsia="Times New Roman" w:cs="Arial"/>
          <w:color w:val="000000"/>
          <w:lang w:val="en-US"/>
        </w:rPr>
        <w:t>(pseudoephedrine hydrochloride)</w:t>
      </w:r>
    </w:p>
    <w:p w14:paraId="596A94C5" w14:textId="77777777" w:rsidR="000A6762" w:rsidRPr="000A6762" w:rsidRDefault="000A6762" w:rsidP="000A6762">
      <w:pPr>
        <w:spacing w:line="240" w:lineRule="auto"/>
        <w:rPr>
          <w:rFonts w:eastAsia="Times New Roman" w:cs="Arial"/>
          <w:color w:val="000000"/>
          <w:u w:val="single"/>
          <w:lang w:eastAsia="bg-BG"/>
        </w:rPr>
      </w:pPr>
    </w:p>
    <w:p w14:paraId="2740A9D8" w14:textId="0C16954E"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u w:val="single"/>
          <w:lang w:eastAsia="bg-BG"/>
        </w:rPr>
        <w:t>Помощно вещество с известно действие:</w:t>
      </w:r>
    </w:p>
    <w:p w14:paraId="76C07E9F"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 xml:space="preserve">Всяко саше съдържа 2 </w:t>
      </w:r>
      <w:r w:rsidRPr="000A6762">
        <w:rPr>
          <w:rFonts w:eastAsia="Times New Roman" w:cs="Arial"/>
          <w:color w:val="000000"/>
          <w:lang w:val="en-US"/>
        </w:rPr>
        <w:t xml:space="preserve">g </w:t>
      </w:r>
      <w:r w:rsidRPr="000A6762">
        <w:rPr>
          <w:rFonts w:eastAsia="Times New Roman" w:cs="Arial"/>
          <w:color w:val="000000"/>
          <w:lang w:eastAsia="bg-BG"/>
        </w:rPr>
        <w:t>захароза.</w:t>
      </w:r>
    </w:p>
    <w:p w14:paraId="6D33E2A4" w14:textId="77777777" w:rsidR="000A6762" w:rsidRPr="000A6762" w:rsidRDefault="000A6762" w:rsidP="000A6762"/>
    <w:p w14:paraId="4CABB9ED" w14:textId="2C8C787F" w:rsidR="00F53FB7" w:rsidRDefault="00DD466D" w:rsidP="00A93499">
      <w:pPr>
        <w:pStyle w:val="Heading1"/>
      </w:pPr>
      <w:r>
        <w:t>3. ЛЕКАРСТВЕНА ФОРМА</w:t>
      </w:r>
    </w:p>
    <w:p w14:paraId="23F75989" w14:textId="6332957D" w:rsidR="000A6762" w:rsidRDefault="000A6762" w:rsidP="000A6762"/>
    <w:p w14:paraId="6A7ABF09" w14:textId="77777777" w:rsidR="000A6762" w:rsidRPr="000A6762" w:rsidRDefault="000A6762" w:rsidP="000A6762">
      <w:pPr>
        <w:rPr>
          <w:sz w:val="24"/>
          <w:szCs w:val="24"/>
          <w:lang w:eastAsia="bg-BG"/>
        </w:rPr>
      </w:pPr>
      <w:r w:rsidRPr="000A6762">
        <w:rPr>
          <w:lang w:eastAsia="bg-BG"/>
        </w:rPr>
        <w:t>Гранули за перорална суспензия</w:t>
      </w:r>
    </w:p>
    <w:p w14:paraId="269DC982" w14:textId="01FFAC4B" w:rsidR="000A6762" w:rsidRPr="000A6762" w:rsidRDefault="000A6762" w:rsidP="000A6762">
      <w:r w:rsidRPr="000A6762">
        <w:rPr>
          <w:lang w:eastAsia="bg-BG"/>
        </w:rPr>
        <w:t>Бели до жълтеникави гранули</w:t>
      </w:r>
    </w:p>
    <w:p w14:paraId="490FC2C4" w14:textId="6899DE43" w:rsidR="002C50EE" w:rsidRDefault="002C50EE" w:rsidP="002C50EE">
      <w:pPr>
        <w:pStyle w:val="Heading1"/>
      </w:pPr>
      <w:r>
        <w:t>4. КЛИНИЧНИ ДАННИ</w:t>
      </w:r>
    </w:p>
    <w:p w14:paraId="1AEF7FB6" w14:textId="4CBB30AA" w:rsidR="00A428B7" w:rsidRDefault="002C50EE" w:rsidP="00340E8D">
      <w:pPr>
        <w:pStyle w:val="Heading2"/>
      </w:pPr>
      <w:r>
        <w:t>4.1. Терапевтични показания</w:t>
      </w:r>
    </w:p>
    <w:p w14:paraId="4446C65F" w14:textId="6A34F177" w:rsidR="000A6762" w:rsidRDefault="000A6762" w:rsidP="000A6762"/>
    <w:p w14:paraId="0C2062F6" w14:textId="25D72446" w:rsidR="000A6762" w:rsidRDefault="000A6762" w:rsidP="000A6762">
      <w:pPr>
        <w:rPr>
          <w:lang w:eastAsia="bg-BG"/>
        </w:rPr>
      </w:pPr>
      <w:r w:rsidRPr="000A6762">
        <w:rPr>
          <w:lang w:eastAsia="bg-BG"/>
        </w:rPr>
        <w:t>Симптоматично лечение на назална/синусна конгестия (риносинуит) с болка и повишена температура, свързани с общи простудни и/или грипоподобни симптоми.</w:t>
      </w:r>
    </w:p>
    <w:p w14:paraId="499752FE" w14:textId="77777777" w:rsidR="000A6762" w:rsidRPr="000A6762" w:rsidRDefault="000A6762" w:rsidP="000A6762">
      <w:pPr>
        <w:rPr>
          <w:sz w:val="24"/>
          <w:szCs w:val="24"/>
          <w:lang w:eastAsia="bg-BG"/>
        </w:rPr>
      </w:pPr>
    </w:p>
    <w:p w14:paraId="4EC58B12" w14:textId="456F3428" w:rsidR="00A428B7" w:rsidRDefault="002C50EE" w:rsidP="00340E8D">
      <w:pPr>
        <w:pStyle w:val="Heading2"/>
      </w:pPr>
      <w:r>
        <w:t>4.2. Дозировка и начин на приложение</w:t>
      </w:r>
    </w:p>
    <w:p w14:paraId="5630B686" w14:textId="4D57B1A4" w:rsidR="000A6762" w:rsidRDefault="000A6762" w:rsidP="000A6762"/>
    <w:p w14:paraId="63E60687" w14:textId="77777777" w:rsidR="000A6762" w:rsidRPr="000A6762" w:rsidRDefault="000A6762" w:rsidP="000A6762">
      <w:pPr>
        <w:pStyle w:val="Heading3"/>
        <w:rPr>
          <w:rFonts w:eastAsia="Times New Roman"/>
          <w:u w:val="single"/>
          <w:lang w:eastAsia="bg-BG"/>
        </w:rPr>
      </w:pPr>
      <w:r w:rsidRPr="000A6762">
        <w:rPr>
          <w:rFonts w:eastAsia="Times New Roman"/>
          <w:u w:val="single"/>
          <w:lang w:eastAsia="bg-BG"/>
        </w:rPr>
        <w:t>Дозировка</w:t>
      </w:r>
    </w:p>
    <w:p w14:paraId="2B19FB67" w14:textId="77777777" w:rsidR="000A6762" w:rsidRPr="000A6762" w:rsidRDefault="000A6762" w:rsidP="000A6762">
      <w:pPr>
        <w:spacing w:line="240" w:lineRule="auto"/>
        <w:rPr>
          <w:rFonts w:eastAsia="Times New Roman" w:cs="Arial"/>
          <w:i/>
          <w:iCs/>
          <w:color w:val="000000"/>
          <w:lang w:eastAsia="bg-BG"/>
        </w:rPr>
      </w:pPr>
    </w:p>
    <w:p w14:paraId="0A954728" w14:textId="4FD7F68A" w:rsidR="000A6762" w:rsidRPr="000A6762" w:rsidRDefault="000A6762" w:rsidP="000A6762">
      <w:pPr>
        <w:spacing w:line="240" w:lineRule="auto"/>
        <w:rPr>
          <w:rFonts w:eastAsia="Times New Roman" w:cs="Arial"/>
          <w:sz w:val="24"/>
          <w:szCs w:val="24"/>
          <w:lang w:eastAsia="bg-BG"/>
        </w:rPr>
      </w:pPr>
      <w:r w:rsidRPr="000A6762">
        <w:rPr>
          <w:rFonts w:eastAsia="Times New Roman" w:cs="Arial"/>
          <w:i/>
          <w:iCs/>
          <w:color w:val="000000"/>
          <w:lang w:eastAsia="bg-BG"/>
        </w:rPr>
        <w:t>Възрастни и юноши (16 години и по-големи):</w:t>
      </w:r>
    </w:p>
    <w:p w14:paraId="1BD78268"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 xml:space="preserve">Съдържанието на 1-2 </w:t>
      </w:r>
      <w:r w:rsidRPr="000A6762">
        <w:rPr>
          <w:rFonts w:eastAsia="Times New Roman" w:cs="Arial"/>
          <w:color w:val="000000"/>
          <w:lang w:val="en-US"/>
        </w:rPr>
        <w:t xml:space="preserve">camera </w:t>
      </w:r>
      <w:r w:rsidRPr="000A6762">
        <w:rPr>
          <w:rFonts w:eastAsia="Times New Roman" w:cs="Arial"/>
          <w:color w:val="000000"/>
          <w:lang w:eastAsia="bg-BG"/>
        </w:rPr>
        <w:t xml:space="preserve">(съответстващо на 500-1000 </w:t>
      </w:r>
      <w:r w:rsidRPr="000A6762">
        <w:rPr>
          <w:rFonts w:eastAsia="Times New Roman" w:cs="Arial"/>
          <w:color w:val="000000"/>
          <w:lang w:val="en-US"/>
        </w:rPr>
        <w:t xml:space="preserve">mg </w:t>
      </w:r>
      <w:r w:rsidRPr="000A6762">
        <w:rPr>
          <w:rFonts w:eastAsia="Times New Roman" w:cs="Arial"/>
          <w:color w:val="000000"/>
          <w:lang w:eastAsia="bg-BG"/>
        </w:rPr>
        <w:t xml:space="preserve">ацетилсалицилова киселина /30- 60 </w:t>
      </w:r>
      <w:r w:rsidRPr="000A6762">
        <w:rPr>
          <w:rFonts w:eastAsia="Times New Roman" w:cs="Arial"/>
          <w:color w:val="000000"/>
          <w:lang w:val="en-US"/>
        </w:rPr>
        <w:t xml:space="preserve">mg </w:t>
      </w:r>
      <w:r w:rsidRPr="000A6762">
        <w:rPr>
          <w:rFonts w:eastAsia="Times New Roman" w:cs="Arial"/>
          <w:color w:val="000000"/>
          <w:lang w:eastAsia="bg-BG"/>
        </w:rPr>
        <w:t>псевдоефедринов хидрохлорид)</w:t>
      </w:r>
    </w:p>
    <w:p w14:paraId="70643F1B" w14:textId="77777777" w:rsidR="000A6762" w:rsidRPr="000A6762" w:rsidRDefault="000A6762" w:rsidP="000A6762">
      <w:pPr>
        <w:spacing w:line="240" w:lineRule="auto"/>
        <w:rPr>
          <w:rFonts w:eastAsia="Times New Roman" w:cs="Arial"/>
          <w:color w:val="000000"/>
          <w:lang w:eastAsia="bg-BG"/>
        </w:rPr>
      </w:pPr>
    </w:p>
    <w:p w14:paraId="35B27E17" w14:textId="1ECE6E25"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 xml:space="preserve">Ако е необходимо, единичната доза може да се повтари, според нуждата, след минимален период от 4 часа. Не трябва да се надхвърля максимална дневна доза от 6 сашета (съответстваща на 3000 </w:t>
      </w:r>
      <w:r w:rsidRPr="000A6762">
        <w:rPr>
          <w:rFonts w:eastAsia="Times New Roman" w:cs="Arial"/>
          <w:color w:val="000000"/>
          <w:lang w:val="en-US"/>
        </w:rPr>
        <w:t xml:space="preserve">mg </w:t>
      </w:r>
      <w:r w:rsidRPr="000A6762">
        <w:rPr>
          <w:rFonts w:eastAsia="Times New Roman" w:cs="Arial"/>
          <w:color w:val="000000"/>
          <w:lang w:eastAsia="bg-BG"/>
        </w:rPr>
        <w:t xml:space="preserve">ацетилсалицилова киселина / 180 </w:t>
      </w:r>
      <w:r w:rsidRPr="000A6762">
        <w:rPr>
          <w:rFonts w:eastAsia="Times New Roman" w:cs="Arial"/>
          <w:color w:val="000000"/>
          <w:lang w:val="en-US"/>
        </w:rPr>
        <w:t xml:space="preserve">mg </w:t>
      </w:r>
      <w:r w:rsidRPr="000A6762">
        <w:rPr>
          <w:rFonts w:eastAsia="Times New Roman" w:cs="Arial"/>
          <w:color w:val="000000"/>
          <w:lang w:eastAsia="bg-BG"/>
        </w:rPr>
        <w:t>псевдоефедринов хидрохлорид).</w:t>
      </w:r>
    </w:p>
    <w:p w14:paraId="3750D9AB" w14:textId="77777777" w:rsidR="000A6762" w:rsidRPr="000A6762" w:rsidRDefault="000A6762" w:rsidP="000A6762">
      <w:pPr>
        <w:spacing w:line="240" w:lineRule="auto"/>
        <w:rPr>
          <w:rFonts w:eastAsia="Times New Roman" w:cs="Arial"/>
          <w:color w:val="000000"/>
          <w:lang w:eastAsia="bg-BG"/>
        </w:rPr>
      </w:pPr>
    </w:p>
    <w:p w14:paraId="1B9BF593" w14:textId="50D5DB74"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Аспирин Комплекс Топла Напитка не трябва да се приема повече от 3 дни без консултация с лекар.</w:t>
      </w:r>
    </w:p>
    <w:p w14:paraId="304D4D85" w14:textId="77777777" w:rsidR="000A6762" w:rsidRPr="000A6762" w:rsidRDefault="000A6762" w:rsidP="000A6762">
      <w:pPr>
        <w:spacing w:line="240" w:lineRule="auto"/>
        <w:rPr>
          <w:rFonts w:eastAsia="Times New Roman" w:cs="Arial"/>
          <w:color w:val="000000"/>
          <w:lang w:eastAsia="bg-BG"/>
        </w:rPr>
      </w:pPr>
    </w:p>
    <w:p w14:paraId="4928CB3D" w14:textId="33BB3782"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Когато един от симптомите е силно изразен, е по-подходящо лечение с монотерапия.</w:t>
      </w:r>
    </w:p>
    <w:p w14:paraId="42F9E6F0" w14:textId="77777777" w:rsidR="000A6762" w:rsidRPr="000A6762" w:rsidRDefault="000A6762" w:rsidP="000A6762">
      <w:pPr>
        <w:rPr>
          <w:rFonts w:eastAsia="Times New Roman" w:cs="Arial"/>
          <w:i/>
          <w:iCs/>
          <w:color w:val="000000"/>
          <w:lang w:eastAsia="bg-BG"/>
        </w:rPr>
      </w:pPr>
    </w:p>
    <w:p w14:paraId="3846B27A" w14:textId="3D1289C8" w:rsidR="000A6762" w:rsidRPr="000A6762" w:rsidRDefault="000A6762" w:rsidP="000A6762">
      <w:pPr>
        <w:rPr>
          <w:rFonts w:eastAsia="Times New Roman" w:cs="Arial"/>
          <w:i/>
          <w:iCs/>
          <w:color w:val="000000"/>
          <w:lang w:eastAsia="bg-BG"/>
        </w:rPr>
      </w:pPr>
      <w:r w:rsidRPr="000A6762">
        <w:rPr>
          <w:rFonts w:eastAsia="Times New Roman" w:cs="Arial"/>
          <w:i/>
          <w:iCs/>
          <w:color w:val="000000"/>
          <w:lang w:eastAsia="bg-BG"/>
        </w:rPr>
        <w:lastRenderedPageBreak/>
        <w:t>Педиатрична популация</w:t>
      </w:r>
    </w:p>
    <w:p w14:paraId="0B3C9D1E" w14:textId="2F644B1C" w:rsidR="000A6762" w:rsidRPr="000A6762" w:rsidRDefault="000A6762" w:rsidP="000A6762">
      <w:pPr>
        <w:rPr>
          <w:rFonts w:eastAsia="Times New Roman" w:cs="Arial"/>
          <w:i/>
          <w:iCs/>
          <w:color w:val="000000"/>
          <w:lang w:eastAsia="bg-BG"/>
        </w:rPr>
      </w:pPr>
    </w:p>
    <w:p w14:paraId="19220A37"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Аспирин Комплекс Топла Напитка не се препоръчва за употреба при деца и юноши на възраст под 16 години освен по съвет от лекар. Поради ограничения опит с Аспирин Комплекс Топла Напитка при деца и юноши не може да се даде специфична препоръка за дозиране.</w:t>
      </w:r>
    </w:p>
    <w:p w14:paraId="304F3478" w14:textId="77777777" w:rsidR="000A6762" w:rsidRPr="000A6762" w:rsidRDefault="000A6762" w:rsidP="000A6762">
      <w:pPr>
        <w:spacing w:line="240" w:lineRule="auto"/>
        <w:rPr>
          <w:rFonts w:eastAsia="Times New Roman" w:cs="Arial"/>
          <w:color w:val="000000"/>
          <w:lang w:eastAsia="bg-BG"/>
        </w:rPr>
      </w:pPr>
    </w:p>
    <w:p w14:paraId="49EE9388" w14:textId="3D52E605"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Пациенти с чернодробно увреждане</w:t>
      </w:r>
    </w:p>
    <w:p w14:paraId="609EA10B"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Ацетилсалициловата киселина трябва да се използва внимателно при пациенти с увредена чернодробна функция, (вж. точка 4.4)</w:t>
      </w:r>
    </w:p>
    <w:p w14:paraId="3BA27316" w14:textId="77777777" w:rsidR="000A6762" w:rsidRPr="000A6762" w:rsidRDefault="000A6762" w:rsidP="000A6762">
      <w:pPr>
        <w:spacing w:line="240" w:lineRule="auto"/>
        <w:rPr>
          <w:rFonts w:eastAsia="Times New Roman" w:cs="Arial"/>
          <w:color w:val="000000"/>
          <w:lang w:eastAsia="bg-BG"/>
        </w:rPr>
      </w:pPr>
    </w:p>
    <w:p w14:paraId="40951EA1" w14:textId="699CB396"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Пациенти с бъбречно увреждане</w:t>
      </w:r>
    </w:p>
    <w:p w14:paraId="33C4D517"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Ацетилсалициловата киселина трябва да се използва с повишено внимание при пациенти с увредена бъбречна функция или увредена сърдечно-съдова циркулация, (вж. точка 4.4)</w:t>
      </w:r>
    </w:p>
    <w:p w14:paraId="605822F3" w14:textId="77777777" w:rsidR="000A6762" w:rsidRPr="000A6762" w:rsidRDefault="000A6762" w:rsidP="000A6762">
      <w:pPr>
        <w:spacing w:line="240" w:lineRule="auto"/>
        <w:rPr>
          <w:rFonts w:eastAsia="Times New Roman" w:cs="Arial"/>
          <w:color w:val="000000"/>
          <w:u w:val="single"/>
          <w:lang w:eastAsia="bg-BG"/>
        </w:rPr>
      </w:pPr>
    </w:p>
    <w:p w14:paraId="212F9B97" w14:textId="6225D48D" w:rsidR="000A6762" w:rsidRPr="000A6762" w:rsidRDefault="000A6762" w:rsidP="000A6762">
      <w:pPr>
        <w:pStyle w:val="Heading3"/>
        <w:rPr>
          <w:rFonts w:eastAsia="Times New Roman"/>
          <w:u w:val="single"/>
          <w:lang w:eastAsia="bg-BG"/>
        </w:rPr>
      </w:pPr>
      <w:r w:rsidRPr="000A6762">
        <w:rPr>
          <w:rFonts w:eastAsia="Times New Roman"/>
          <w:u w:val="single"/>
          <w:lang w:eastAsia="bg-BG"/>
        </w:rPr>
        <w:t>Начин на приложение</w:t>
      </w:r>
    </w:p>
    <w:p w14:paraId="3A70A73A"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Перорално приложение.</w:t>
      </w:r>
    </w:p>
    <w:p w14:paraId="0ECC3ED4" w14:textId="77777777" w:rsidR="000A6762" w:rsidRPr="000A6762" w:rsidRDefault="000A6762" w:rsidP="000A6762">
      <w:pPr>
        <w:spacing w:line="240" w:lineRule="auto"/>
        <w:rPr>
          <w:rFonts w:ascii="Times New Roman" w:eastAsia="Times New Roman" w:hAnsi="Times New Roman" w:cs="Times New Roman"/>
          <w:sz w:val="24"/>
          <w:szCs w:val="24"/>
          <w:lang w:eastAsia="bg-BG"/>
        </w:rPr>
      </w:pPr>
      <w:r w:rsidRPr="000A6762">
        <w:rPr>
          <w:rFonts w:eastAsia="Times New Roman" w:cs="Arial"/>
          <w:color w:val="000000"/>
          <w:lang w:eastAsia="bg-BG"/>
        </w:rPr>
        <w:t>Аспирин Комплекс Топла Напитка трябва да се суспендира в чаша гореща, но не кипяща вода. Да се приема само след охлаждане до температура, подходяща за пиене. Гранулите не се разтварят напълно.</w:t>
      </w:r>
    </w:p>
    <w:p w14:paraId="35A24864" w14:textId="77777777" w:rsidR="000A6762" w:rsidRPr="000A6762" w:rsidRDefault="000A6762" w:rsidP="000A6762">
      <w:pPr>
        <w:rPr>
          <w:rFonts w:cs="Arial"/>
        </w:rPr>
      </w:pPr>
    </w:p>
    <w:p w14:paraId="6158ADF5" w14:textId="4E15EEF1" w:rsidR="00A428B7" w:rsidRDefault="002C50EE" w:rsidP="00340E8D">
      <w:pPr>
        <w:pStyle w:val="Heading2"/>
      </w:pPr>
      <w:r>
        <w:t>4.3. Противопоказания</w:t>
      </w:r>
    </w:p>
    <w:p w14:paraId="3A7C67B2" w14:textId="51A2F0D4" w:rsidR="000A6762" w:rsidRDefault="000A6762" w:rsidP="000A6762"/>
    <w:p w14:paraId="1196C063" w14:textId="77777777" w:rsidR="000A6762" w:rsidRPr="000A6762" w:rsidRDefault="000A6762" w:rsidP="000A6762">
      <w:pPr>
        <w:pStyle w:val="ListParagraph"/>
        <w:numPr>
          <w:ilvl w:val="0"/>
          <w:numId w:val="40"/>
        </w:numPr>
        <w:spacing w:line="240" w:lineRule="auto"/>
        <w:rPr>
          <w:rFonts w:eastAsia="Times New Roman" w:cs="Arial"/>
          <w:sz w:val="24"/>
          <w:szCs w:val="24"/>
          <w:lang w:eastAsia="bg-BG"/>
        </w:rPr>
      </w:pPr>
      <w:r w:rsidRPr="000A6762">
        <w:rPr>
          <w:rFonts w:eastAsia="Times New Roman" w:cs="Arial"/>
          <w:color w:val="000000"/>
          <w:lang w:eastAsia="bg-BG"/>
        </w:rPr>
        <w:t>Свръхчувствителност към псевдоефедрин, към ацетилсалицилова киселина или други салицилати, или някое от помощните вещества, изброени в точка 6.1;</w:t>
      </w:r>
    </w:p>
    <w:p w14:paraId="6C45854B" w14:textId="77777777" w:rsidR="000A6762" w:rsidRPr="000A6762" w:rsidRDefault="000A6762" w:rsidP="000A6762">
      <w:pPr>
        <w:pStyle w:val="ListParagraph"/>
        <w:numPr>
          <w:ilvl w:val="0"/>
          <w:numId w:val="40"/>
        </w:numPr>
        <w:spacing w:line="240" w:lineRule="auto"/>
        <w:rPr>
          <w:rFonts w:eastAsia="Times New Roman" w:cs="Arial"/>
          <w:sz w:val="24"/>
          <w:szCs w:val="24"/>
          <w:lang w:eastAsia="bg-BG"/>
        </w:rPr>
      </w:pPr>
      <w:r w:rsidRPr="000A6762">
        <w:rPr>
          <w:rFonts w:eastAsia="Times New Roman" w:cs="Arial"/>
          <w:color w:val="000000"/>
          <w:lang w:eastAsia="bg-BG"/>
        </w:rPr>
        <w:t>Анамнеза за астма, предизвикана от приложението на салицилати или вещества с подобно действие, особено нестероидни противовъзпалителни средства;</w:t>
      </w:r>
    </w:p>
    <w:p w14:paraId="127F243A" w14:textId="77777777" w:rsidR="000A6762" w:rsidRPr="000A6762" w:rsidRDefault="000A6762" w:rsidP="000A6762">
      <w:pPr>
        <w:pStyle w:val="ListParagraph"/>
        <w:numPr>
          <w:ilvl w:val="0"/>
          <w:numId w:val="40"/>
        </w:numPr>
        <w:spacing w:line="240" w:lineRule="auto"/>
        <w:rPr>
          <w:rFonts w:eastAsia="Times New Roman" w:cs="Arial"/>
          <w:sz w:val="24"/>
          <w:szCs w:val="24"/>
          <w:lang w:eastAsia="bg-BG"/>
        </w:rPr>
      </w:pPr>
      <w:r w:rsidRPr="000A6762">
        <w:rPr>
          <w:rFonts w:eastAsia="Times New Roman" w:cs="Arial"/>
          <w:color w:val="000000"/>
          <w:lang w:eastAsia="bg-BG"/>
        </w:rPr>
        <w:t>Активни язви на стомашно-чревния тракт;</w:t>
      </w:r>
    </w:p>
    <w:p w14:paraId="6FE71FEF" w14:textId="77777777" w:rsidR="000A6762" w:rsidRPr="000A6762" w:rsidRDefault="000A6762" w:rsidP="000A6762">
      <w:pPr>
        <w:pStyle w:val="ListParagraph"/>
        <w:numPr>
          <w:ilvl w:val="0"/>
          <w:numId w:val="40"/>
        </w:numPr>
        <w:spacing w:line="240" w:lineRule="auto"/>
        <w:rPr>
          <w:rFonts w:eastAsia="Times New Roman" w:cs="Arial"/>
          <w:sz w:val="24"/>
          <w:szCs w:val="24"/>
          <w:lang w:eastAsia="bg-BG"/>
        </w:rPr>
      </w:pPr>
      <w:r w:rsidRPr="000A6762">
        <w:rPr>
          <w:rFonts w:eastAsia="Times New Roman" w:cs="Arial"/>
          <w:color w:val="000000"/>
          <w:lang w:eastAsia="bg-BG"/>
        </w:rPr>
        <w:t>Хеморагична диатеза;</w:t>
      </w:r>
    </w:p>
    <w:p w14:paraId="1C5AF1B1" w14:textId="77777777" w:rsidR="000A6762" w:rsidRPr="000A6762" w:rsidRDefault="000A6762" w:rsidP="000A6762">
      <w:pPr>
        <w:pStyle w:val="ListParagraph"/>
        <w:numPr>
          <w:ilvl w:val="0"/>
          <w:numId w:val="40"/>
        </w:numPr>
        <w:spacing w:line="240" w:lineRule="auto"/>
        <w:rPr>
          <w:rFonts w:eastAsia="Times New Roman" w:cs="Arial"/>
          <w:sz w:val="24"/>
          <w:szCs w:val="24"/>
          <w:lang w:eastAsia="bg-BG"/>
        </w:rPr>
      </w:pPr>
      <w:r w:rsidRPr="000A6762">
        <w:rPr>
          <w:rFonts w:eastAsia="Times New Roman" w:cs="Arial"/>
          <w:color w:val="000000"/>
          <w:lang w:eastAsia="bg-BG"/>
        </w:rPr>
        <w:t>Бременност;</w:t>
      </w:r>
    </w:p>
    <w:p w14:paraId="566A5A4F" w14:textId="77777777" w:rsidR="000A6762" w:rsidRPr="000A6762" w:rsidRDefault="000A6762" w:rsidP="000A6762">
      <w:pPr>
        <w:pStyle w:val="ListParagraph"/>
        <w:numPr>
          <w:ilvl w:val="0"/>
          <w:numId w:val="40"/>
        </w:numPr>
        <w:spacing w:line="240" w:lineRule="auto"/>
        <w:rPr>
          <w:rFonts w:eastAsia="Times New Roman" w:cs="Arial"/>
          <w:sz w:val="24"/>
          <w:szCs w:val="24"/>
          <w:lang w:eastAsia="bg-BG"/>
        </w:rPr>
      </w:pPr>
      <w:r w:rsidRPr="000A6762">
        <w:rPr>
          <w:rFonts w:eastAsia="Times New Roman" w:cs="Arial"/>
          <w:color w:val="000000"/>
          <w:lang w:eastAsia="bg-BG"/>
        </w:rPr>
        <w:t>Кърмене;</w:t>
      </w:r>
    </w:p>
    <w:p w14:paraId="5EE0BAFC" w14:textId="77777777" w:rsidR="000A6762" w:rsidRPr="000A6762" w:rsidRDefault="000A6762" w:rsidP="000A6762">
      <w:pPr>
        <w:pStyle w:val="ListParagraph"/>
        <w:numPr>
          <w:ilvl w:val="0"/>
          <w:numId w:val="40"/>
        </w:numPr>
        <w:spacing w:line="240" w:lineRule="auto"/>
        <w:rPr>
          <w:rFonts w:eastAsia="Times New Roman" w:cs="Arial"/>
          <w:sz w:val="24"/>
          <w:szCs w:val="24"/>
          <w:lang w:eastAsia="bg-BG"/>
        </w:rPr>
      </w:pPr>
      <w:r w:rsidRPr="000A6762">
        <w:rPr>
          <w:rFonts w:eastAsia="Times New Roman" w:cs="Arial"/>
          <w:color w:val="000000"/>
          <w:lang w:eastAsia="bg-BG"/>
        </w:rPr>
        <w:t>Тежка чернодробна недостатъчност;</w:t>
      </w:r>
    </w:p>
    <w:p w14:paraId="40DE1173" w14:textId="77777777" w:rsidR="000A6762" w:rsidRPr="000A6762" w:rsidRDefault="000A6762" w:rsidP="000A6762">
      <w:pPr>
        <w:pStyle w:val="ListParagraph"/>
        <w:numPr>
          <w:ilvl w:val="0"/>
          <w:numId w:val="40"/>
        </w:numPr>
        <w:spacing w:line="240" w:lineRule="auto"/>
        <w:rPr>
          <w:rFonts w:eastAsia="Times New Roman" w:cs="Arial"/>
          <w:sz w:val="24"/>
          <w:szCs w:val="24"/>
          <w:lang w:eastAsia="bg-BG"/>
        </w:rPr>
      </w:pPr>
      <w:r w:rsidRPr="000A6762">
        <w:rPr>
          <w:rFonts w:eastAsia="Times New Roman" w:cs="Arial"/>
          <w:color w:val="000000"/>
          <w:lang w:eastAsia="bg-BG"/>
        </w:rPr>
        <w:t>Тежка бъбречна недостатъчност;</w:t>
      </w:r>
    </w:p>
    <w:p w14:paraId="77F8690F" w14:textId="77777777" w:rsidR="000A6762" w:rsidRPr="000A6762" w:rsidRDefault="000A6762" w:rsidP="000A6762">
      <w:pPr>
        <w:pStyle w:val="ListParagraph"/>
        <w:numPr>
          <w:ilvl w:val="0"/>
          <w:numId w:val="40"/>
        </w:numPr>
        <w:spacing w:line="240" w:lineRule="auto"/>
        <w:rPr>
          <w:rFonts w:eastAsia="Times New Roman" w:cs="Arial"/>
          <w:sz w:val="24"/>
          <w:szCs w:val="24"/>
          <w:lang w:eastAsia="bg-BG"/>
        </w:rPr>
      </w:pPr>
      <w:r w:rsidRPr="000A6762">
        <w:rPr>
          <w:rFonts w:eastAsia="Times New Roman" w:cs="Arial"/>
          <w:color w:val="000000"/>
          <w:lang w:eastAsia="bg-BG"/>
        </w:rPr>
        <w:t>Тежка сърдечна недостатъчност;</w:t>
      </w:r>
    </w:p>
    <w:p w14:paraId="251D8B6A" w14:textId="77777777" w:rsidR="000A6762" w:rsidRPr="000A6762" w:rsidRDefault="000A6762" w:rsidP="000A6762">
      <w:pPr>
        <w:pStyle w:val="ListParagraph"/>
        <w:numPr>
          <w:ilvl w:val="0"/>
          <w:numId w:val="40"/>
        </w:numPr>
        <w:spacing w:line="240" w:lineRule="auto"/>
        <w:rPr>
          <w:rFonts w:eastAsia="Times New Roman" w:cs="Arial"/>
          <w:sz w:val="24"/>
          <w:szCs w:val="24"/>
          <w:lang w:eastAsia="bg-BG"/>
        </w:rPr>
      </w:pPr>
      <w:r w:rsidRPr="000A6762">
        <w:rPr>
          <w:rFonts w:eastAsia="Times New Roman" w:cs="Arial"/>
          <w:color w:val="000000"/>
          <w:lang w:eastAsia="bg-BG"/>
        </w:rPr>
        <w:t xml:space="preserve">Комбинация с метотрексат в дози от 15 </w:t>
      </w:r>
      <w:r w:rsidRPr="000A6762">
        <w:rPr>
          <w:rFonts w:eastAsia="Times New Roman" w:cs="Arial"/>
          <w:color w:val="000000"/>
          <w:lang w:val="en-US"/>
        </w:rPr>
        <w:t>mg</w:t>
      </w:r>
      <w:r w:rsidRPr="000A6762">
        <w:rPr>
          <w:rFonts w:eastAsia="Times New Roman" w:cs="Arial"/>
          <w:color w:val="000000"/>
          <w:lang w:eastAsia="bg-BG"/>
        </w:rPr>
        <w:t>/седмица или по-високи; точка 4.5.</w:t>
      </w:r>
    </w:p>
    <w:p w14:paraId="3BDE460C" w14:textId="77777777" w:rsidR="000A6762" w:rsidRPr="000A6762" w:rsidRDefault="000A6762" w:rsidP="000A6762">
      <w:pPr>
        <w:pStyle w:val="ListParagraph"/>
        <w:numPr>
          <w:ilvl w:val="0"/>
          <w:numId w:val="40"/>
        </w:numPr>
        <w:spacing w:line="240" w:lineRule="auto"/>
        <w:rPr>
          <w:rFonts w:eastAsia="Times New Roman" w:cs="Arial"/>
          <w:sz w:val="24"/>
          <w:szCs w:val="24"/>
          <w:lang w:eastAsia="bg-BG"/>
        </w:rPr>
      </w:pPr>
      <w:r w:rsidRPr="000A6762">
        <w:rPr>
          <w:rFonts w:eastAsia="Times New Roman" w:cs="Arial"/>
          <w:color w:val="000000"/>
          <w:lang w:eastAsia="bg-BG"/>
        </w:rPr>
        <w:t>Тежка хипертония;</w:t>
      </w:r>
    </w:p>
    <w:p w14:paraId="06A6E1B4" w14:textId="77777777" w:rsidR="000A6762" w:rsidRPr="000A6762" w:rsidRDefault="000A6762" w:rsidP="000A6762">
      <w:pPr>
        <w:pStyle w:val="ListParagraph"/>
        <w:numPr>
          <w:ilvl w:val="0"/>
          <w:numId w:val="40"/>
        </w:numPr>
        <w:spacing w:line="240" w:lineRule="auto"/>
        <w:rPr>
          <w:rFonts w:eastAsia="Times New Roman" w:cs="Arial"/>
          <w:sz w:val="24"/>
          <w:szCs w:val="24"/>
          <w:lang w:eastAsia="bg-BG"/>
        </w:rPr>
      </w:pPr>
      <w:r w:rsidRPr="000A6762">
        <w:rPr>
          <w:rFonts w:eastAsia="Times New Roman" w:cs="Arial"/>
          <w:color w:val="000000"/>
          <w:lang w:eastAsia="bg-BG"/>
        </w:rPr>
        <w:t>Тежко заболяване на коронарните артерии;</w:t>
      </w:r>
    </w:p>
    <w:p w14:paraId="0EF6D20F" w14:textId="77777777" w:rsidR="000A6762" w:rsidRPr="000A6762" w:rsidRDefault="000A6762" w:rsidP="000A6762">
      <w:pPr>
        <w:pStyle w:val="ListParagraph"/>
        <w:numPr>
          <w:ilvl w:val="0"/>
          <w:numId w:val="40"/>
        </w:numPr>
        <w:spacing w:line="240" w:lineRule="auto"/>
        <w:rPr>
          <w:rFonts w:eastAsia="Times New Roman" w:cs="Arial"/>
          <w:sz w:val="24"/>
          <w:szCs w:val="24"/>
          <w:lang w:eastAsia="bg-BG"/>
        </w:rPr>
      </w:pPr>
      <w:r w:rsidRPr="000A6762">
        <w:rPr>
          <w:rFonts w:eastAsia="Times New Roman" w:cs="Arial"/>
          <w:color w:val="000000"/>
          <w:lang w:eastAsia="bg-BG"/>
        </w:rPr>
        <w:t>Лечение с инхибитори на моноаминооксидаза през предшестващите две седмици;</w:t>
      </w:r>
    </w:p>
    <w:p w14:paraId="4A7BA3D3" w14:textId="77777777" w:rsidR="000A6762" w:rsidRPr="000A6762" w:rsidRDefault="000A6762" w:rsidP="000A6762">
      <w:pPr>
        <w:pStyle w:val="ListParagraph"/>
        <w:numPr>
          <w:ilvl w:val="0"/>
          <w:numId w:val="40"/>
        </w:numPr>
        <w:spacing w:line="240" w:lineRule="auto"/>
        <w:rPr>
          <w:rFonts w:eastAsia="Times New Roman" w:cs="Arial"/>
          <w:sz w:val="24"/>
          <w:szCs w:val="24"/>
          <w:lang w:eastAsia="bg-BG"/>
        </w:rPr>
      </w:pPr>
      <w:r w:rsidRPr="000A6762">
        <w:rPr>
          <w:rFonts w:eastAsia="Times New Roman" w:cs="Arial"/>
          <w:color w:val="000000"/>
          <w:lang w:eastAsia="bg-BG"/>
        </w:rPr>
        <w:t>Тесноъгълна глаукома;</w:t>
      </w:r>
    </w:p>
    <w:p w14:paraId="47937A80" w14:textId="7D5F4233" w:rsidR="000A6762" w:rsidRPr="000A6762" w:rsidRDefault="000A6762" w:rsidP="000A6762">
      <w:pPr>
        <w:pStyle w:val="ListParagraph"/>
        <w:numPr>
          <w:ilvl w:val="0"/>
          <w:numId w:val="40"/>
        </w:numPr>
        <w:spacing w:line="240" w:lineRule="auto"/>
        <w:rPr>
          <w:rFonts w:eastAsia="Times New Roman" w:cs="Arial"/>
          <w:sz w:val="24"/>
          <w:szCs w:val="24"/>
          <w:lang w:eastAsia="bg-BG"/>
        </w:rPr>
      </w:pPr>
      <w:r w:rsidRPr="000A6762">
        <w:rPr>
          <w:rFonts w:eastAsia="Times New Roman" w:cs="Arial"/>
          <w:color w:val="000000"/>
          <w:lang w:eastAsia="bg-BG"/>
        </w:rPr>
        <w:t>Задържане на урина.</w:t>
      </w:r>
    </w:p>
    <w:p w14:paraId="72FDD4B2" w14:textId="77777777" w:rsidR="000A6762" w:rsidRPr="000A6762" w:rsidRDefault="000A6762" w:rsidP="000A6762"/>
    <w:p w14:paraId="45176B5B" w14:textId="0B6CACBB" w:rsidR="00A428B7" w:rsidRDefault="002C50EE" w:rsidP="00340E8D">
      <w:pPr>
        <w:pStyle w:val="Heading2"/>
      </w:pPr>
      <w:r>
        <w:t>4.4. Специални предупреждения и предпазни мерки при употреба</w:t>
      </w:r>
    </w:p>
    <w:p w14:paraId="632B3E79" w14:textId="0D089F2C" w:rsidR="000A6762" w:rsidRDefault="000A6762" w:rsidP="000A6762"/>
    <w:p w14:paraId="36A7F083" w14:textId="77777777" w:rsidR="000A6762" w:rsidRPr="000A6762" w:rsidRDefault="000A6762" w:rsidP="000A6762">
      <w:pPr>
        <w:pStyle w:val="ListParagraph"/>
        <w:numPr>
          <w:ilvl w:val="0"/>
          <w:numId w:val="41"/>
        </w:numPr>
        <w:spacing w:line="240" w:lineRule="auto"/>
        <w:rPr>
          <w:rFonts w:eastAsia="Times New Roman" w:cs="Arial"/>
          <w:sz w:val="24"/>
          <w:szCs w:val="24"/>
          <w:lang w:eastAsia="bg-BG"/>
        </w:rPr>
      </w:pPr>
      <w:r w:rsidRPr="000A6762">
        <w:rPr>
          <w:rFonts w:eastAsia="Times New Roman" w:cs="Arial"/>
          <w:color w:val="000000"/>
          <w:lang w:eastAsia="bg-BG"/>
        </w:rPr>
        <w:t>Съпътстващо лечение с антикоагуланти; точка 4.5.</w:t>
      </w:r>
    </w:p>
    <w:p w14:paraId="4B1356CD" w14:textId="77777777" w:rsidR="000A6762" w:rsidRPr="000A6762" w:rsidRDefault="000A6762" w:rsidP="000A6762">
      <w:pPr>
        <w:pStyle w:val="ListParagraph"/>
        <w:numPr>
          <w:ilvl w:val="0"/>
          <w:numId w:val="41"/>
        </w:numPr>
        <w:spacing w:line="240" w:lineRule="auto"/>
        <w:rPr>
          <w:rFonts w:eastAsia="Times New Roman" w:cs="Arial"/>
          <w:sz w:val="24"/>
          <w:szCs w:val="24"/>
          <w:lang w:eastAsia="bg-BG"/>
        </w:rPr>
      </w:pPr>
      <w:r w:rsidRPr="000A6762">
        <w:rPr>
          <w:rFonts w:eastAsia="Times New Roman" w:cs="Arial"/>
          <w:color w:val="000000"/>
          <w:lang w:eastAsia="bg-BG"/>
        </w:rPr>
        <w:t>Анамнеза за стомашно-чревни язви, включително хронична или рецидивираща язвена болест, или анамнеза за стомашно-чревно кървене;</w:t>
      </w:r>
    </w:p>
    <w:p w14:paraId="090BE0F7" w14:textId="77777777" w:rsidR="000A6762" w:rsidRPr="000A6762" w:rsidRDefault="000A6762" w:rsidP="000A6762">
      <w:pPr>
        <w:pStyle w:val="ListParagraph"/>
        <w:numPr>
          <w:ilvl w:val="0"/>
          <w:numId w:val="41"/>
        </w:numPr>
        <w:spacing w:line="240" w:lineRule="auto"/>
        <w:rPr>
          <w:rFonts w:eastAsia="Times New Roman" w:cs="Arial"/>
          <w:sz w:val="24"/>
          <w:szCs w:val="24"/>
          <w:lang w:eastAsia="bg-BG"/>
        </w:rPr>
      </w:pPr>
      <w:r w:rsidRPr="000A6762">
        <w:rPr>
          <w:rFonts w:eastAsia="Times New Roman" w:cs="Arial"/>
          <w:color w:val="000000"/>
          <w:lang w:eastAsia="bg-BG"/>
        </w:rPr>
        <w:lastRenderedPageBreak/>
        <w:t>Пациенти с увредена бъбречна функция или болни с увредена сърдечно-съдова функция (напр. бъбречно съдово заболяване, застойна сърдечна недостатъчност, намален обем на кръвта, голяма операция, сепсис или големи хеморагични събития), тъй като продукта може допълнително да увеличи риска от бъбречно увреждане и остра бъбречна недостатъчност;</w:t>
      </w:r>
    </w:p>
    <w:p w14:paraId="7EC96070" w14:textId="77777777" w:rsidR="000A6762" w:rsidRPr="000A6762" w:rsidRDefault="000A6762" w:rsidP="000A6762">
      <w:pPr>
        <w:pStyle w:val="ListParagraph"/>
        <w:numPr>
          <w:ilvl w:val="0"/>
          <w:numId w:val="41"/>
        </w:numPr>
        <w:spacing w:line="240" w:lineRule="auto"/>
        <w:rPr>
          <w:rFonts w:eastAsia="Times New Roman" w:cs="Arial"/>
          <w:sz w:val="24"/>
          <w:szCs w:val="24"/>
          <w:lang w:eastAsia="bg-BG"/>
        </w:rPr>
      </w:pPr>
      <w:r w:rsidRPr="000A6762">
        <w:rPr>
          <w:rFonts w:eastAsia="Times New Roman" w:cs="Arial"/>
          <w:color w:val="000000"/>
          <w:lang w:eastAsia="bg-BG"/>
        </w:rPr>
        <w:t>Увредена чернодробна функция;</w:t>
      </w:r>
    </w:p>
    <w:p w14:paraId="2A4E9494" w14:textId="77777777" w:rsidR="000A6762" w:rsidRPr="000A6762" w:rsidRDefault="000A6762" w:rsidP="000A6762">
      <w:pPr>
        <w:pStyle w:val="ListParagraph"/>
        <w:numPr>
          <w:ilvl w:val="0"/>
          <w:numId w:val="41"/>
        </w:numPr>
        <w:spacing w:line="240" w:lineRule="auto"/>
        <w:rPr>
          <w:rFonts w:eastAsia="Times New Roman" w:cs="Arial"/>
          <w:sz w:val="24"/>
          <w:szCs w:val="24"/>
          <w:lang w:eastAsia="bg-BG"/>
        </w:rPr>
      </w:pPr>
      <w:r w:rsidRPr="000A6762">
        <w:rPr>
          <w:rFonts w:eastAsia="Times New Roman" w:cs="Arial"/>
          <w:color w:val="000000"/>
          <w:lang w:eastAsia="bg-BG"/>
        </w:rPr>
        <w:t xml:space="preserve">Бъбречна тубулна ацидоза поради натрупване на </w:t>
      </w:r>
      <w:r w:rsidRPr="000A6762">
        <w:rPr>
          <w:rFonts w:eastAsia="Times New Roman" w:cs="Arial"/>
          <w:color w:val="000000"/>
          <w:lang w:val="en-US"/>
        </w:rPr>
        <w:t xml:space="preserve">PSE </w:t>
      </w:r>
      <w:r w:rsidRPr="000A6762">
        <w:rPr>
          <w:rFonts w:eastAsia="Times New Roman" w:cs="Arial"/>
          <w:color w:val="000000"/>
          <w:lang w:eastAsia="bg-BG"/>
        </w:rPr>
        <w:t>и повишен риск от нежелани</w:t>
      </w:r>
      <w:bookmarkStart w:id="1" w:name="bookmark0"/>
      <w:r w:rsidRPr="000A6762">
        <w:rPr>
          <w:rFonts w:eastAsia="Times New Roman" w:cs="Arial"/>
          <w:color w:val="000000"/>
          <w:lang w:eastAsia="bg-BG"/>
        </w:rPr>
        <w:t xml:space="preserve"> </w:t>
      </w:r>
      <w:r w:rsidRPr="000A6762">
        <w:rPr>
          <w:rFonts w:eastAsia="Times New Roman" w:cs="Arial"/>
          <w:color w:val="000000"/>
          <w:lang w:eastAsia="bg-BG"/>
        </w:rPr>
        <w:t>реакции;</w:t>
      </w:r>
      <w:bookmarkEnd w:id="1"/>
    </w:p>
    <w:p w14:paraId="6BFF49C0" w14:textId="77777777" w:rsidR="000A6762" w:rsidRPr="000A6762" w:rsidRDefault="000A6762" w:rsidP="000A6762">
      <w:pPr>
        <w:pStyle w:val="ListParagraph"/>
        <w:numPr>
          <w:ilvl w:val="0"/>
          <w:numId w:val="41"/>
        </w:numPr>
        <w:spacing w:line="240" w:lineRule="auto"/>
        <w:rPr>
          <w:rFonts w:eastAsia="Times New Roman" w:cs="Arial"/>
          <w:sz w:val="24"/>
          <w:szCs w:val="24"/>
          <w:lang w:eastAsia="bg-BG"/>
        </w:rPr>
      </w:pPr>
      <w:r w:rsidRPr="000A6762">
        <w:rPr>
          <w:rFonts w:eastAsia="Times New Roman" w:cs="Arial"/>
          <w:color w:val="000000"/>
          <w:lang w:eastAsia="bg-BG"/>
        </w:rPr>
        <w:t>Свръхчувствителност към аналгетици / противовъзпалителни противоревматични лекарствени продукти или други алергени;</w:t>
      </w:r>
    </w:p>
    <w:p w14:paraId="688F1FC9" w14:textId="77777777" w:rsidR="000A6762" w:rsidRPr="000A6762" w:rsidRDefault="000A6762" w:rsidP="000A6762">
      <w:pPr>
        <w:pStyle w:val="ListParagraph"/>
        <w:numPr>
          <w:ilvl w:val="0"/>
          <w:numId w:val="41"/>
        </w:numPr>
        <w:spacing w:line="240" w:lineRule="auto"/>
        <w:rPr>
          <w:rFonts w:eastAsia="Times New Roman" w:cs="Arial"/>
          <w:sz w:val="24"/>
          <w:szCs w:val="24"/>
          <w:lang w:eastAsia="bg-BG"/>
        </w:rPr>
      </w:pPr>
      <w:r w:rsidRPr="000A6762">
        <w:rPr>
          <w:rFonts w:eastAsia="Times New Roman" w:cs="Arial"/>
          <w:color w:val="000000"/>
          <w:lang w:eastAsia="bg-BG"/>
        </w:rPr>
        <w:t>Хипертиреоидизъм, лека до средно тежка хипертония, захарен диабет, исхемична болест на сърцето, повишено вътреочно налягане (глаукома), хипертрофия на простатата или чувствителност към симпатикомиметични средства;</w:t>
      </w:r>
    </w:p>
    <w:p w14:paraId="5FB119F3" w14:textId="46313370" w:rsidR="000A6762" w:rsidRPr="000A6762" w:rsidRDefault="000A6762" w:rsidP="000A6762">
      <w:pPr>
        <w:pStyle w:val="ListParagraph"/>
        <w:numPr>
          <w:ilvl w:val="0"/>
          <w:numId w:val="41"/>
        </w:numPr>
        <w:spacing w:line="240" w:lineRule="auto"/>
        <w:rPr>
          <w:rFonts w:eastAsia="Times New Roman" w:cs="Arial"/>
          <w:sz w:val="24"/>
          <w:szCs w:val="24"/>
          <w:lang w:eastAsia="bg-BG"/>
        </w:rPr>
      </w:pPr>
      <w:r w:rsidRPr="000A6762">
        <w:rPr>
          <w:rFonts w:eastAsia="Times New Roman" w:cs="Arial"/>
          <w:color w:val="000000"/>
          <w:lang w:eastAsia="bg-BG"/>
        </w:rPr>
        <w:t>Пациентите в старческа възраст може да са особено чувствителни към ефектите на псевдоефедрин върху централната нервна система.</w:t>
      </w:r>
    </w:p>
    <w:p w14:paraId="3EDC0D16" w14:textId="77777777" w:rsidR="000A6762" w:rsidRPr="000A6762" w:rsidRDefault="000A6762" w:rsidP="000A6762">
      <w:pPr>
        <w:spacing w:line="240" w:lineRule="auto"/>
        <w:rPr>
          <w:rFonts w:eastAsia="Times New Roman" w:cs="Arial"/>
          <w:color w:val="000000"/>
          <w:lang w:eastAsia="bg-BG"/>
        </w:rPr>
      </w:pPr>
    </w:p>
    <w:p w14:paraId="283D572C" w14:textId="55C3428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Ацетилсалициловата киселина може да отключи бронхоспазъм и да предизвика пристъпи на астма или други реакции на свръхчувствителност. Рискови фактори са наличие на бронхиална астма, сенна хрема, назални полипи или хронично респираторно заболяване. Това се отнася също и за пациенти с алергични реакции (напр. кожни реакции, сърбеж, уртикария) към други вещества.</w:t>
      </w:r>
    </w:p>
    <w:p w14:paraId="559D28F1" w14:textId="77777777" w:rsidR="000A6762" w:rsidRPr="000A6762" w:rsidRDefault="000A6762" w:rsidP="000A6762">
      <w:pPr>
        <w:spacing w:line="240" w:lineRule="auto"/>
        <w:rPr>
          <w:rFonts w:eastAsia="Times New Roman" w:cs="Arial"/>
          <w:color w:val="000000"/>
          <w:lang w:eastAsia="bg-BG"/>
        </w:rPr>
      </w:pPr>
    </w:p>
    <w:p w14:paraId="5445E8EF" w14:textId="1AEEC8E1"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Поради инхибиторния ефект върху агрегацията на тромбоцитите, която персистира няколко дни след приложениетоацетилсалициловата киселина може да доведе до тенденция към засилено кървене по време на и след хирургични операции (включително малки операции, напр. екстракция на зъб).</w:t>
      </w:r>
    </w:p>
    <w:p w14:paraId="5A253259" w14:textId="77777777" w:rsidR="000A6762" w:rsidRPr="000A6762" w:rsidRDefault="000A6762" w:rsidP="000A6762">
      <w:pPr>
        <w:spacing w:line="240" w:lineRule="auto"/>
        <w:rPr>
          <w:rFonts w:eastAsia="Times New Roman" w:cs="Arial"/>
          <w:color w:val="000000"/>
          <w:lang w:eastAsia="bg-BG"/>
        </w:rPr>
      </w:pPr>
    </w:p>
    <w:p w14:paraId="1905EA46" w14:textId="0938912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В ниски дози ацетилсалициловата киселина намалява екскрецията на пикочната киселина. Това може да отключи подагра при пациенти, които имат склонност към понижена екскреция на пикочна киселина.</w:t>
      </w:r>
    </w:p>
    <w:p w14:paraId="64E0189B" w14:textId="77777777" w:rsidR="000A6762" w:rsidRPr="000A6762" w:rsidRDefault="000A6762" w:rsidP="000A6762">
      <w:pPr>
        <w:spacing w:line="240" w:lineRule="auto"/>
        <w:rPr>
          <w:rFonts w:eastAsia="Times New Roman" w:cs="Arial"/>
          <w:color w:val="000000"/>
          <w:lang w:eastAsia="bg-BG"/>
        </w:rPr>
      </w:pPr>
    </w:p>
    <w:p w14:paraId="12F943EB" w14:textId="60096E7A"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Хроничната употреба на аналгетици (особено комбинации на различни обезболяващи лекарства) може трайно да увреди бъбреците (аналгетична нефропатия).</w:t>
      </w:r>
    </w:p>
    <w:p w14:paraId="64DB4568" w14:textId="77777777" w:rsidR="000A6762" w:rsidRPr="000A6762" w:rsidRDefault="000A6762" w:rsidP="000A6762">
      <w:pPr>
        <w:spacing w:line="240" w:lineRule="auto"/>
        <w:rPr>
          <w:rFonts w:eastAsia="Times New Roman" w:cs="Arial"/>
          <w:color w:val="000000"/>
          <w:lang w:eastAsia="bg-BG"/>
        </w:rPr>
      </w:pPr>
    </w:p>
    <w:p w14:paraId="7FAF4298" w14:textId="041CEDCB"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 xml:space="preserve">Аспирин Комплекс Топла Напитка съдържа 2 </w:t>
      </w:r>
      <w:r w:rsidRPr="000A6762">
        <w:rPr>
          <w:rFonts w:eastAsia="Times New Roman" w:cs="Arial"/>
          <w:color w:val="000000"/>
          <w:lang w:val="en-US"/>
        </w:rPr>
        <w:t xml:space="preserve">g </w:t>
      </w:r>
      <w:r w:rsidRPr="000A6762">
        <w:rPr>
          <w:rFonts w:eastAsia="Times New Roman" w:cs="Arial"/>
          <w:color w:val="000000"/>
          <w:lang w:eastAsia="bg-BG"/>
        </w:rPr>
        <w:t>захароза в саше (еквивалентна на 0,17 въглехидратни единици). Това трябва да се има предвид при пациенти със захарен диабет.</w:t>
      </w:r>
    </w:p>
    <w:p w14:paraId="3E659363" w14:textId="77777777" w:rsidR="000A6762" w:rsidRPr="000A6762" w:rsidRDefault="000A6762" w:rsidP="000A6762">
      <w:pPr>
        <w:spacing w:line="240" w:lineRule="auto"/>
        <w:rPr>
          <w:rFonts w:eastAsia="Times New Roman" w:cs="Arial"/>
          <w:color w:val="000000"/>
          <w:lang w:eastAsia="bg-BG"/>
        </w:rPr>
      </w:pPr>
    </w:p>
    <w:p w14:paraId="019AB237" w14:textId="4B029D9E"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Пациенти с редки наследствени проблеми на непоносимост към фруктоза, глюкозо-галакгозна малабсорбция или сукраза-изомалтазна недостатъчност не трябва да приемат това лекарство.</w:t>
      </w:r>
    </w:p>
    <w:p w14:paraId="3520352D" w14:textId="77777777" w:rsidR="000A6762" w:rsidRPr="000A6762" w:rsidRDefault="000A6762" w:rsidP="000A6762">
      <w:pPr>
        <w:spacing w:line="240" w:lineRule="auto"/>
        <w:rPr>
          <w:rFonts w:eastAsia="Times New Roman" w:cs="Arial"/>
          <w:color w:val="000000"/>
          <w:lang w:eastAsia="bg-BG"/>
        </w:rPr>
      </w:pPr>
    </w:p>
    <w:p w14:paraId="26B39829" w14:textId="59D40066"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При пациенти, страдащи от тежка глюкозо-6-фосфат дехидрогеназна (Г6ФД) недостатъчност, ацетилсалициловата киселина може да предизвика хемолиза или хемолитична анемия. Фактори, които може да увеличат риска от хемолиза, са напр. високи дози, повишена температура или остри инфекции.</w:t>
      </w:r>
    </w:p>
    <w:p w14:paraId="62CAF0FF" w14:textId="77777777" w:rsidR="000A6762" w:rsidRPr="000A6762" w:rsidRDefault="000A6762" w:rsidP="000A6762">
      <w:pPr>
        <w:spacing w:line="240" w:lineRule="auto"/>
        <w:rPr>
          <w:rFonts w:eastAsia="Times New Roman" w:cs="Arial"/>
          <w:color w:val="000000"/>
          <w:lang w:eastAsia="bg-BG"/>
        </w:rPr>
      </w:pPr>
    </w:p>
    <w:p w14:paraId="52E12EDE" w14:textId="2FA4DD4F"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 xml:space="preserve">Тежки кожни реакции като остра генерализирана екзантематозна пустулоза </w:t>
      </w:r>
      <w:r w:rsidRPr="000A6762">
        <w:rPr>
          <w:rFonts w:eastAsia="Times New Roman" w:cs="Arial"/>
          <w:color w:val="000000"/>
          <w:lang w:val="en-US"/>
        </w:rPr>
        <w:t xml:space="preserve">(AGEP), </w:t>
      </w:r>
      <w:r w:rsidRPr="000A6762">
        <w:rPr>
          <w:rFonts w:eastAsia="Times New Roman" w:cs="Arial"/>
          <w:color w:val="000000"/>
          <w:lang w:eastAsia="bg-BG"/>
        </w:rPr>
        <w:t xml:space="preserve">може да възникне при продукти, съдържащи псевдоефедрин. Този остър пустулозен обрив може да се появи в рамките на първите 2 дни от лечението, с повишена температура и </w:t>
      </w:r>
      <w:r w:rsidRPr="000A6762">
        <w:rPr>
          <w:rFonts w:eastAsia="Times New Roman" w:cs="Arial"/>
          <w:color w:val="000000"/>
          <w:lang w:eastAsia="bg-BG"/>
        </w:rPr>
        <w:lastRenderedPageBreak/>
        <w:t>многобройни малки, предимно нефоликуларни пустули, възникващи върху обширен едематозен еритем и локализирани главно в кожните гънки, по торса и горните крайници. Пациентите трябва да се наблюдават внимателно. Ако се появят признаци и симптоми като пирексия, еритема или множество малки пустули, приложението на Аспирин Комплекс Топла Напитка трябва да се преустанови и ако е необходимо, да се вземат подходящи мерки.</w:t>
      </w:r>
    </w:p>
    <w:p w14:paraId="060834B2" w14:textId="77777777" w:rsidR="000A6762" w:rsidRPr="000A6762" w:rsidRDefault="000A6762" w:rsidP="000A6762">
      <w:pPr>
        <w:spacing w:line="240" w:lineRule="auto"/>
        <w:rPr>
          <w:rFonts w:eastAsia="Times New Roman" w:cs="Arial"/>
          <w:color w:val="000000"/>
          <w:lang w:eastAsia="bg-BG"/>
        </w:rPr>
      </w:pPr>
    </w:p>
    <w:p w14:paraId="23CFD50D" w14:textId="1E8C438D"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Исхемичен колит</w:t>
      </w:r>
    </w:p>
    <w:p w14:paraId="6510A64B" w14:textId="77777777" w:rsidR="000A6762" w:rsidRPr="000A6762" w:rsidRDefault="000A6762" w:rsidP="000A6762">
      <w:pPr>
        <w:spacing w:line="240" w:lineRule="auto"/>
        <w:rPr>
          <w:rFonts w:eastAsia="Times New Roman" w:cs="Arial"/>
          <w:color w:val="000000"/>
          <w:lang w:eastAsia="bg-BG"/>
        </w:rPr>
      </w:pPr>
    </w:p>
    <w:p w14:paraId="772D2025" w14:textId="03DA342F"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Съобщени са случаи на исхемичен колит при употреба на псевдоефедрин. Ако се развие внезапна коремна болка, ректално кървене или други симптоми на исхемичен колит, лечението с псевдоефедрин трябва да се преустанови и да се потърси консултация с лекар.</w:t>
      </w:r>
    </w:p>
    <w:p w14:paraId="09D9F51E" w14:textId="77777777" w:rsidR="000A6762" w:rsidRPr="000A6762" w:rsidRDefault="000A6762" w:rsidP="000A6762">
      <w:pPr>
        <w:spacing w:line="240" w:lineRule="auto"/>
        <w:rPr>
          <w:rFonts w:eastAsia="Times New Roman" w:cs="Arial"/>
          <w:color w:val="000000"/>
          <w:lang w:eastAsia="bg-BG"/>
        </w:rPr>
      </w:pPr>
    </w:p>
    <w:p w14:paraId="19373623" w14:textId="4AC8866E"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Исхемична оптична невропатия</w:t>
      </w:r>
    </w:p>
    <w:p w14:paraId="6FD9CF42" w14:textId="77777777" w:rsidR="000A6762" w:rsidRPr="000A6762" w:rsidRDefault="000A6762" w:rsidP="000A6762">
      <w:pPr>
        <w:spacing w:line="240" w:lineRule="auto"/>
        <w:rPr>
          <w:rFonts w:eastAsia="Times New Roman" w:cs="Arial"/>
          <w:color w:val="000000"/>
          <w:lang w:eastAsia="bg-BG"/>
        </w:rPr>
      </w:pPr>
    </w:p>
    <w:p w14:paraId="76249894" w14:textId="099D3A7F"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Получени са съобщения за случаи на исхемична оптична невропатия при псевдоефедрин.</w:t>
      </w:r>
    </w:p>
    <w:p w14:paraId="74FE6AFC" w14:textId="11F10EDD" w:rsidR="000A6762" w:rsidRPr="000A6762" w:rsidRDefault="000A6762" w:rsidP="000A6762">
      <w:pPr>
        <w:spacing w:line="240" w:lineRule="auto"/>
        <w:rPr>
          <w:rFonts w:eastAsia="Times New Roman" w:cs="Arial"/>
          <w:color w:val="000000"/>
          <w:lang w:eastAsia="bg-BG"/>
        </w:rPr>
      </w:pPr>
      <w:r w:rsidRPr="000A6762">
        <w:rPr>
          <w:rFonts w:eastAsia="Times New Roman" w:cs="Arial"/>
          <w:color w:val="000000"/>
          <w:lang w:eastAsia="bg-BG"/>
        </w:rPr>
        <w:t>Псевдоефедрин трябва да се прекрати, ако се появи внезапна загуба на зрение или намаление на зрителната острота, като скотома.</w:t>
      </w:r>
    </w:p>
    <w:p w14:paraId="67D3FFBC" w14:textId="4B06CC21" w:rsidR="000A6762" w:rsidRPr="000A6762" w:rsidRDefault="000A6762" w:rsidP="000A6762">
      <w:pPr>
        <w:spacing w:line="240" w:lineRule="auto"/>
        <w:rPr>
          <w:rFonts w:eastAsia="Times New Roman" w:cs="Arial"/>
          <w:color w:val="000000"/>
          <w:lang w:eastAsia="bg-BG"/>
        </w:rPr>
      </w:pPr>
    </w:p>
    <w:p w14:paraId="17D68203"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Спортистите трябва да знаят, че този лекарствен продукт може да предизвика положителна реакция на "анти-допингови" тестове.</w:t>
      </w:r>
    </w:p>
    <w:p w14:paraId="75E88FB2" w14:textId="77777777" w:rsidR="000A6762" w:rsidRPr="000A6762" w:rsidRDefault="000A6762" w:rsidP="000A6762">
      <w:pPr>
        <w:spacing w:line="240" w:lineRule="auto"/>
        <w:rPr>
          <w:rFonts w:eastAsia="Times New Roman" w:cs="Arial"/>
          <w:color w:val="000000"/>
          <w:u w:val="single"/>
          <w:lang w:eastAsia="bg-BG"/>
        </w:rPr>
      </w:pPr>
    </w:p>
    <w:p w14:paraId="1B466D9B" w14:textId="587404CA"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u w:val="single"/>
          <w:lang w:eastAsia="bg-BG"/>
        </w:rPr>
        <w:t>Педиатрична популация</w:t>
      </w:r>
    </w:p>
    <w:p w14:paraId="53BAC8D7" w14:textId="77777777" w:rsidR="000A6762" w:rsidRPr="000A6762" w:rsidRDefault="000A6762" w:rsidP="000A6762">
      <w:pPr>
        <w:spacing w:line="240" w:lineRule="auto"/>
        <w:rPr>
          <w:rFonts w:eastAsia="Times New Roman" w:cs="Arial"/>
          <w:color w:val="000000"/>
          <w:lang w:eastAsia="bg-BG"/>
        </w:rPr>
      </w:pPr>
    </w:p>
    <w:p w14:paraId="77E795D8" w14:textId="75DDA974"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 xml:space="preserve">Съществува възможна връзка между ацетилсалициловата киселина и синдрома на </w:t>
      </w:r>
      <w:r w:rsidRPr="000A6762">
        <w:rPr>
          <w:rFonts w:eastAsia="Times New Roman" w:cs="Arial"/>
          <w:color w:val="000000"/>
          <w:lang w:val="en-US"/>
        </w:rPr>
        <w:t xml:space="preserve">Reye, </w:t>
      </w:r>
      <w:r w:rsidRPr="000A6762">
        <w:rPr>
          <w:rFonts w:eastAsia="Times New Roman" w:cs="Arial"/>
          <w:color w:val="000000"/>
          <w:lang w:eastAsia="bg-BG"/>
        </w:rPr>
        <w:t>когато се прилага при деца и юноши за вирусна инфекция със или без повишена температура. Поради това, не давайте Аспирин Комплекс Топла Напитка на деца и юноши под 16-годишна възраст освен по съвет на лекар.</w:t>
      </w:r>
    </w:p>
    <w:p w14:paraId="54D45EF7" w14:textId="77777777" w:rsidR="000A6762" w:rsidRPr="000A6762" w:rsidRDefault="000A6762" w:rsidP="000A6762"/>
    <w:p w14:paraId="3A35B3F5" w14:textId="404FA580" w:rsidR="00A428B7" w:rsidRDefault="002C50EE" w:rsidP="00340E8D">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4A8CFAB0" w14:textId="1D7A0DF4" w:rsidR="000A6762" w:rsidRDefault="000A6762" w:rsidP="000A6762"/>
    <w:p w14:paraId="2A6C4E9B"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u w:val="single"/>
          <w:lang w:eastAsia="bg-BG"/>
        </w:rPr>
        <w:t>Противопоказани комбинации (виж точка 4.3):</w:t>
      </w:r>
    </w:p>
    <w:p w14:paraId="03343AC7" w14:textId="77777777" w:rsidR="000A6762" w:rsidRPr="000A6762" w:rsidRDefault="000A6762" w:rsidP="000A6762">
      <w:pPr>
        <w:spacing w:line="240" w:lineRule="auto"/>
        <w:rPr>
          <w:rFonts w:eastAsia="Times New Roman" w:cs="Arial"/>
          <w:color w:val="000000"/>
          <w:lang w:eastAsia="bg-BG"/>
        </w:rPr>
      </w:pPr>
    </w:p>
    <w:p w14:paraId="18104C67" w14:textId="4FF19D81"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 xml:space="preserve">Метотрексат, прилаган в дози от 15 </w:t>
      </w:r>
      <w:r w:rsidRPr="000A6762">
        <w:rPr>
          <w:rFonts w:eastAsia="Times New Roman" w:cs="Arial"/>
          <w:color w:val="000000"/>
          <w:lang w:val="en-US"/>
        </w:rPr>
        <w:t>mg</w:t>
      </w:r>
      <w:r w:rsidRPr="000A6762">
        <w:rPr>
          <w:rFonts w:eastAsia="Times New Roman" w:cs="Arial"/>
          <w:color w:val="000000"/>
          <w:lang w:eastAsia="bg-BG"/>
        </w:rPr>
        <w:t>/седмица или по-големи:</w:t>
      </w:r>
    </w:p>
    <w:p w14:paraId="444FD8D2"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Повишена хематологична токсичност на метотрексат (намален бъбречен клирънс на метотрексат от противовъзпалителните средства по принцип и изместване на метотрексат от свързването му с плазмените протеини от салицилатите).</w:t>
      </w:r>
    </w:p>
    <w:p w14:paraId="238722B9" w14:textId="77777777" w:rsidR="000A6762" w:rsidRPr="000A6762" w:rsidRDefault="000A6762" w:rsidP="000A6762">
      <w:pPr>
        <w:spacing w:line="240" w:lineRule="auto"/>
        <w:rPr>
          <w:rFonts w:eastAsia="Times New Roman" w:cs="Arial"/>
          <w:color w:val="000000"/>
          <w:lang w:eastAsia="bg-BG"/>
        </w:rPr>
      </w:pPr>
    </w:p>
    <w:p w14:paraId="463DBC1E" w14:textId="05BFA0C4"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 xml:space="preserve">Приложение на инхибитори на моноамино оксидазата </w:t>
      </w:r>
      <w:r w:rsidRPr="000A6762">
        <w:rPr>
          <w:rFonts w:eastAsia="Times New Roman" w:cs="Arial"/>
          <w:color w:val="000000"/>
          <w:lang w:val="en-US"/>
        </w:rPr>
        <w:t xml:space="preserve">(MAOI) </w:t>
      </w:r>
      <w:r w:rsidRPr="000A6762">
        <w:rPr>
          <w:rFonts w:eastAsia="Times New Roman" w:cs="Arial"/>
          <w:color w:val="000000"/>
          <w:lang w:eastAsia="bg-BG"/>
        </w:rPr>
        <w:t>през предшестващите 2 седмици повишава риска от сърдечно-съдови нежелани събития (напр. аритмия, хипертензивни реакции)</w:t>
      </w:r>
    </w:p>
    <w:p w14:paraId="0413CF1B" w14:textId="77777777" w:rsidR="000A6762" w:rsidRPr="000A6762" w:rsidRDefault="000A6762" w:rsidP="000A6762">
      <w:pPr>
        <w:spacing w:line="240" w:lineRule="auto"/>
        <w:rPr>
          <w:rFonts w:eastAsia="Times New Roman" w:cs="Arial"/>
          <w:color w:val="000000"/>
          <w:u w:val="single"/>
          <w:lang w:eastAsia="bg-BG"/>
        </w:rPr>
      </w:pPr>
    </w:p>
    <w:p w14:paraId="49669DD8" w14:textId="124BE16D" w:rsidR="000A6762" w:rsidRPr="000A6762" w:rsidRDefault="000A6762" w:rsidP="000A6762">
      <w:pPr>
        <w:spacing w:line="240" w:lineRule="auto"/>
        <w:rPr>
          <w:rFonts w:eastAsia="Times New Roman" w:cs="Arial"/>
          <w:lang w:eastAsia="bg-BG"/>
        </w:rPr>
      </w:pPr>
      <w:r w:rsidRPr="000A6762">
        <w:rPr>
          <w:rFonts w:eastAsia="Times New Roman" w:cs="Arial"/>
          <w:color w:val="000000"/>
          <w:u w:val="single"/>
          <w:lang w:eastAsia="bg-BG"/>
        </w:rPr>
        <w:t>Комбинации, налагащи предпазни мерки при употреба:</w:t>
      </w:r>
    </w:p>
    <w:p w14:paraId="31E8F09E" w14:textId="77777777" w:rsidR="000A6762" w:rsidRPr="000A6762" w:rsidRDefault="000A6762" w:rsidP="000A6762">
      <w:pPr>
        <w:spacing w:line="240" w:lineRule="auto"/>
        <w:rPr>
          <w:rFonts w:eastAsia="Times New Roman" w:cs="Arial"/>
          <w:color w:val="000000"/>
          <w:lang w:eastAsia="bg-BG"/>
        </w:rPr>
      </w:pPr>
    </w:p>
    <w:p w14:paraId="00C2443C" w14:textId="06FCF8FF"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 xml:space="preserve">Метотрексат, прилаган в дози под 15 </w:t>
      </w:r>
      <w:r w:rsidRPr="000A6762">
        <w:rPr>
          <w:rFonts w:eastAsia="Times New Roman" w:cs="Arial"/>
          <w:color w:val="000000"/>
          <w:lang w:val="en-US"/>
        </w:rPr>
        <w:t>mg</w:t>
      </w:r>
      <w:r w:rsidRPr="000A6762">
        <w:rPr>
          <w:rFonts w:eastAsia="Times New Roman" w:cs="Arial"/>
          <w:color w:val="000000"/>
          <w:lang w:eastAsia="bg-BG"/>
        </w:rPr>
        <w:t>/седмица:</w:t>
      </w:r>
    </w:p>
    <w:p w14:paraId="37C06054"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Повишена хематологична токсичност на метотрексат (намален бъбречен клирънс на метотрексат от противовъзпалителните средства по принцип и изместване на метотрексат от свързването му с плазмените протеини от салицилатите).</w:t>
      </w:r>
    </w:p>
    <w:p w14:paraId="1BC0092D" w14:textId="77777777" w:rsidR="000A6762" w:rsidRPr="000A6762" w:rsidRDefault="000A6762" w:rsidP="000A6762">
      <w:pPr>
        <w:spacing w:line="240" w:lineRule="auto"/>
        <w:rPr>
          <w:rFonts w:eastAsia="Times New Roman" w:cs="Arial"/>
          <w:color w:val="000000"/>
          <w:lang w:eastAsia="bg-BG"/>
        </w:rPr>
      </w:pPr>
    </w:p>
    <w:p w14:paraId="6A3C48A3" w14:textId="5063B26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Антикоагуланти, тромболитици/други инхибитори на агрегацията на тромбоцитите / хемостазата:</w:t>
      </w:r>
    </w:p>
    <w:p w14:paraId="25BB7D84" w14:textId="312CC6C9"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Повишен риск от кървене.</w:t>
      </w:r>
    </w:p>
    <w:p w14:paraId="0D4960EA" w14:textId="77777777" w:rsidR="000A6762" w:rsidRPr="000A6762" w:rsidRDefault="000A6762" w:rsidP="000A6762">
      <w:pPr>
        <w:spacing w:line="240" w:lineRule="auto"/>
        <w:rPr>
          <w:rFonts w:eastAsia="Times New Roman" w:cs="Arial"/>
          <w:color w:val="000000"/>
          <w:lang w:eastAsia="bg-BG"/>
        </w:rPr>
      </w:pPr>
    </w:p>
    <w:p w14:paraId="24CB04CD" w14:textId="3BECFA41"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Други нестероидни противовъзпалителни средства със салицилати</w:t>
      </w:r>
    </w:p>
    <w:p w14:paraId="1B83E9C4"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Повишен риск от язви и стомашно-чревно кървене поради синергичен ефект.</w:t>
      </w:r>
    </w:p>
    <w:p w14:paraId="4D83D56A" w14:textId="77777777" w:rsidR="000A6762" w:rsidRPr="000A6762" w:rsidRDefault="000A6762" w:rsidP="000A6762">
      <w:pPr>
        <w:spacing w:line="240" w:lineRule="auto"/>
        <w:rPr>
          <w:rFonts w:eastAsia="Times New Roman" w:cs="Arial"/>
          <w:color w:val="000000"/>
          <w:lang w:eastAsia="bg-BG"/>
        </w:rPr>
      </w:pPr>
    </w:p>
    <w:p w14:paraId="2EABCE02" w14:textId="5317A78E"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 xml:space="preserve">Селективни инхибитори на обратното поемане на серотонина </w:t>
      </w:r>
      <w:r w:rsidRPr="000A6762">
        <w:rPr>
          <w:rFonts w:eastAsia="Times New Roman" w:cs="Arial"/>
          <w:color w:val="000000"/>
          <w:lang w:val="en-US"/>
        </w:rPr>
        <w:t>(SSRIs):</w:t>
      </w:r>
    </w:p>
    <w:p w14:paraId="100AF959"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Повишен риск от кървене от горните отдели на стомашно-чревния тракт поради евентуален синергичен ефект</w:t>
      </w:r>
    </w:p>
    <w:p w14:paraId="57912A56" w14:textId="77777777" w:rsidR="000A6762" w:rsidRPr="000A6762" w:rsidRDefault="000A6762" w:rsidP="000A6762">
      <w:pPr>
        <w:spacing w:line="240" w:lineRule="auto"/>
        <w:rPr>
          <w:rFonts w:eastAsia="Times New Roman" w:cs="Arial"/>
          <w:color w:val="000000"/>
          <w:lang w:eastAsia="bg-BG"/>
        </w:rPr>
      </w:pPr>
    </w:p>
    <w:p w14:paraId="100C7DE9" w14:textId="559F33C0"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Дигоксин:</w:t>
      </w:r>
    </w:p>
    <w:p w14:paraId="4A471E6C"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Плазмените концентрации на дигоксин са повишени поради намалена бъбречна екскреция.</w:t>
      </w:r>
    </w:p>
    <w:p w14:paraId="07B302F8" w14:textId="77777777" w:rsidR="000A6762" w:rsidRPr="000A6762" w:rsidRDefault="000A6762" w:rsidP="000A6762">
      <w:pPr>
        <w:spacing w:line="240" w:lineRule="auto"/>
        <w:rPr>
          <w:rFonts w:eastAsia="Times New Roman" w:cs="Arial"/>
          <w:color w:val="000000"/>
          <w:lang w:eastAsia="bg-BG"/>
        </w:rPr>
      </w:pPr>
    </w:p>
    <w:p w14:paraId="2566F9B7" w14:textId="7711FA0F"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Антидиабетни средства, напр. инсулин, сулфанилурейни продукти:</w:t>
      </w:r>
    </w:p>
    <w:p w14:paraId="7A86AB35"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Засилен хипогликемичен ефект при високи дози на ацетилсалициловата киселина посредством хипогликемично действие на ацетилсалициловата киселина и изместване на сулфанилурейния продукт от свързването му с плазмените протеини.</w:t>
      </w:r>
    </w:p>
    <w:p w14:paraId="1628814C" w14:textId="77777777" w:rsidR="000A6762" w:rsidRPr="000A6762" w:rsidRDefault="000A6762" w:rsidP="000A6762">
      <w:pPr>
        <w:spacing w:line="240" w:lineRule="auto"/>
        <w:rPr>
          <w:rFonts w:eastAsia="Times New Roman" w:cs="Arial"/>
          <w:color w:val="000000"/>
          <w:lang w:eastAsia="bg-BG"/>
        </w:rPr>
      </w:pPr>
    </w:p>
    <w:p w14:paraId="1B630645" w14:textId="79859EC2"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Диуретици в комбинация с ацетилсалицилова киселина:</w:t>
      </w:r>
    </w:p>
    <w:p w14:paraId="40F43BD7"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Намалена гломерулна филтрация посредством намалена бъбречна синтеза на простагландини</w:t>
      </w:r>
    </w:p>
    <w:p w14:paraId="162D14A9" w14:textId="77777777" w:rsidR="000A6762" w:rsidRPr="000A6762" w:rsidRDefault="000A6762" w:rsidP="000A6762">
      <w:pPr>
        <w:rPr>
          <w:rFonts w:eastAsia="Times New Roman" w:cs="Arial"/>
          <w:color w:val="000000"/>
          <w:lang w:eastAsia="bg-BG"/>
        </w:rPr>
      </w:pPr>
    </w:p>
    <w:p w14:paraId="2B6D0485" w14:textId="5A7E6219" w:rsidR="000A6762" w:rsidRPr="000A6762" w:rsidRDefault="000A6762" w:rsidP="000A6762">
      <w:pPr>
        <w:rPr>
          <w:rFonts w:eastAsia="Times New Roman" w:cs="Arial"/>
          <w:color w:val="000000"/>
          <w:lang w:eastAsia="bg-BG"/>
        </w:rPr>
      </w:pPr>
      <w:r w:rsidRPr="000A6762">
        <w:rPr>
          <w:rFonts w:eastAsia="Times New Roman" w:cs="Arial"/>
          <w:color w:val="000000"/>
          <w:lang w:eastAsia="bg-BG"/>
        </w:rPr>
        <w:t>Системни глюкокортикоиди с изключение на хидрокортизон, използван като заместителна</w:t>
      </w:r>
      <w:r w:rsidRPr="000A6762">
        <w:rPr>
          <w:rFonts w:eastAsia="Times New Roman" w:cs="Arial"/>
          <w:b/>
          <w:bCs/>
          <w:color w:val="000000"/>
          <w:lang w:eastAsia="bg-BG"/>
        </w:rPr>
        <w:t xml:space="preserve"> </w:t>
      </w:r>
      <w:r w:rsidRPr="000A6762">
        <w:rPr>
          <w:rFonts w:eastAsia="Times New Roman" w:cs="Arial"/>
          <w:color w:val="000000"/>
          <w:lang w:eastAsia="bg-BG"/>
        </w:rPr>
        <w:t>терапия при Адисонова болест:</w:t>
      </w:r>
    </w:p>
    <w:p w14:paraId="3D863698" w14:textId="60E93311" w:rsidR="000A6762" w:rsidRPr="000A6762" w:rsidRDefault="000A6762" w:rsidP="000A6762">
      <w:pPr>
        <w:rPr>
          <w:rFonts w:eastAsia="Times New Roman" w:cs="Arial"/>
          <w:color w:val="000000"/>
          <w:lang w:eastAsia="bg-BG"/>
        </w:rPr>
      </w:pPr>
    </w:p>
    <w:p w14:paraId="62B7C358"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Намалени кръвни нива на салицилатите по време на лечение с кортикостероиди и риск от предозиране на салицилатите след като се спре това лечение посредством засилено елиминиране на салицилатите от кортикостероидите.</w:t>
      </w:r>
    </w:p>
    <w:p w14:paraId="7F54FF34" w14:textId="77777777" w:rsidR="000A6762" w:rsidRPr="000A6762" w:rsidRDefault="000A6762" w:rsidP="000A6762">
      <w:pPr>
        <w:spacing w:line="240" w:lineRule="auto"/>
        <w:rPr>
          <w:rFonts w:eastAsia="Times New Roman" w:cs="Arial"/>
          <w:color w:val="000000"/>
          <w:lang w:eastAsia="bg-BG"/>
        </w:rPr>
      </w:pPr>
    </w:p>
    <w:p w14:paraId="3ECDF6D6" w14:textId="26A0BBE5"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Инхибитори на ангиотензин-конвертиращия ензим (АСЕ) в комбинация с ацетилсалицилова киселина:</w:t>
      </w:r>
    </w:p>
    <w:p w14:paraId="7E8350D9"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Намалена гломерулна филтрация посредством инхибиране на вазодилататорните простагландини. Освен това, намален антихипертензивен ефект.</w:t>
      </w:r>
    </w:p>
    <w:p w14:paraId="125D7901" w14:textId="77777777" w:rsidR="000A6762" w:rsidRPr="000A6762" w:rsidRDefault="000A6762" w:rsidP="000A6762">
      <w:pPr>
        <w:spacing w:line="240" w:lineRule="auto"/>
        <w:rPr>
          <w:rFonts w:eastAsia="Times New Roman" w:cs="Arial"/>
          <w:color w:val="000000"/>
          <w:lang w:eastAsia="bg-BG"/>
        </w:rPr>
      </w:pPr>
    </w:p>
    <w:p w14:paraId="0EC17E42" w14:textId="070CD53F"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Валпроева киселина:</w:t>
      </w:r>
    </w:p>
    <w:p w14:paraId="30157355"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Повишена токсичност на валпроевата киселина поради изместване от свързването с плазмените протеини.</w:t>
      </w:r>
    </w:p>
    <w:p w14:paraId="015DD04D" w14:textId="77777777" w:rsidR="000A6762" w:rsidRPr="000A6762" w:rsidRDefault="000A6762" w:rsidP="000A6762">
      <w:pPr>
        <w:spacing w:line="240" w:lineRule="auto"/>
        <w:rPr>
          <w:rFonts w:eastAsia="Times New Roman" w:cs="Arial"/>
          <w:color w:val="000000"/>
          <w:lang w:eastAsia="bg-BG"/>
        </w:rPr>
      </w:pPr>
    </w:p>
    <w:p w14:paraId="41F6570D" w14:textId="7ACF64E0"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Алкохол:</w:t>
      </w:r>
    </w:p>
    <w:p w14:paraId="22765907"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Повишено увреждане на стомашно-чревната лигавица и удължено време на кървене поради адитивни ефекти на ацетилсалициловата киселина и алкохола.</w:t>
      </w:r>
    </w:p>
    <w:p w14:paraId="31422A13"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Урикозурици, като напр. бензбромарон, пробенецид:</w:t>
      </w:r>
    </w:p>
    <w:p w14:paraId="5254EE26"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Намален урикозуричен ефект (конкуриране за елиминиране на пикочната киселина през бъбречните тубули).</w:t>
      </w:r>
    </w:p>
    <w:p w14:paraId="0C71E816" w14:textId="77777777" w:rsidR="000A6762" w:rsidRPr="000A6762" w:rsidRDefault="000A6762" w:rsidP="000A6762">
      <w:pPr>
        <w:spacing w:line="240" w:lineRule="auto"/>
        <w:rPr>
          <w:rFonts w:eastAsia="Times New Roman" w:cs="Arial"/>
          <w:color w:val="000000"/>
          <w:lang w:eastAsia="bg-BG"/>
        </w:rPr>
      </w:pPr>
    </w:p>
    <w:p w14:paraId="1F40FA14" w14:textId="26F7D34D"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Албутерол таблетки:</w:t>
      </w:r>
    </w:p>
    <w:p w14:paraId="1AC695AE"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lastRenderedPageBreak/>
        <w:t>Засилване на ефектите (екзацербация на сърдечно-съдовите нежелани ефекти); това не изключва предпазлива употреба на аерозолен бронходилататор от адренергичен тип.</w:t>
      </w:r>
    </w:p>
    <w:p w14:paraId="460DE1DD" w14:textId="77777777" w:rsidR="000A6762" w:rsidRPr="000A6762" w:rsidRDefault="000A6762" w:rsidP="000A6762">
      <w:pPr>
        <w:spacing w:line="240" w:lineRule="auto"/>
        <w:rPr>
          <w:rFonts w:eastAsia="Times New Roman" w:cs="Arial"/>
          <w:color w:val="000000"/>
          <w:lang w:eastAsia="bg-BG"/>
        </w:rPr>
      </w:pPr>
    </w:p>
    <w:p w14:paraId="4F68E178" w14:textId="08E14B2E"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Антидепресанти</w:t>
      </w:r>
    </w:p>
    <w:p w14:paraId="059E8759"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Засилени ефекти.</w:t>
      </w:r>
    </w:p>
    <w:p w14:paraId="6D92E304" w14:textId="77777777" w:rsidR="000A6762" w:rsidRPr="000A6762" w:rsidRDefault="000A6762" w:rsidP="000A6762">
      <w:pPr>
        <w:spacing w:line="240" w:lineRule="auto"/>
        <w:rPr>
          <w:rFonts w:eastAsia="Times New Roman" w:cs="Arial"/>
          <w:color w:val="000000"/>
          <w:lang w:eastAsia="bg-BG"/>
        </w:rPr>
      </w:pPr>
    </w:p>
    <w:p w14:paraId="2DBB1123" w14:textId="1D9EBBAF"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Други симпатомиметични лекарства.</w:t>
      </w:r>
    </w:p>
    <w:p w14:paraId="7C8D4134"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Засилени ефекти.</w:t>
      </w:r>
    </w:p>
    <w:p w14:paraId="48E063FD" w14:textId="77777777" w:rsidR="000A6762" w:rsidRPr="000A6762" w:rsidRDefault="000A6762" w:rsidP="000A6762">
      <w:pPr>
        <w:spacing w:line="240" w:lineRule="auto"/>
        <w:rPr>
          <w:rFonts w:eastAsia="Times New Roman" w:cs="Arial"/>
          <w:color w:val="000000"/>
          <w:lang w:eastAsia="bg-BG"/>
        </w:rPr>
      </w:pPr>
    </w:p>
    <w:p w14:paraId="520B71C2" w14:textId="371C045E"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Антихипертензивни лекарства като гванетидин, метилдопа, В-блокери:</w:t>
      </w:r>
    </w:p>
    <w:p w14:paraId="1C1801B6"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Намалени ефекти.</w:t>
      </w:r>
    </w:p>
    <w:p w14:paraId="6D5908D0" w14:textId="77777777" w:rsidR="000A6762" w:rsidRPr="000A6762" w:rsidRDefault="000A6762" w:rsidP="000A6762"/>
    <w:p w14:paraId="6085D4F7" w14:textId="55DF5F6B" w:rsidR="00A428B7" w:rsidRDefault="002C50EE" w:rsidP="00340E8D">
      <w:pPr>
        <w:pStyle w:val="Heading2"/>
      </w:pPr>
      <w:r>
        <w:t>4.6. Фертилитет, бременност и кърмене</w:t>
      </w:r>
    </w:p>
    <w:p w14:paraId="755C6D0D" w14:textId="75D07C1D" w:rsidR="000A6762" w:rsidRDefault="000A6762" w:rsidP="000A6762"/>
    <w:p w14:paraId="781CF728" w14:textId="77777777" w:rsidR="000A6762" w:rsidRPr="000A6762" w:rsidRDefault="000A6762" w:rsidP="000A6762">
      <w:pPr>
        <w:pStyle w:val="Heading3"/>
        <w:rPr>
          <w:rFonts w:eastAsia="Times New Roman"/>
          <w:u w:val="single"/>
          <w:lang w:eastAsia="bg-BG"/>
        </w:rPr>
      </w:pPr>
      <w:r w:rsidRPr="000A6762">
        <w:rPr>
          <w:rFonts w:eastAsia="Times New Roman"/>
          <w:u w:val="single"/>
          <w:lang w:eastAsia="bg-BG"/>
        </w:rPr>
        <w:t>Бременност</w:t>
      </w:r>
    </w:p>
    <w:p w14:paraId="2BE565BC" w14:textId="77777777" w:rsidR="000A6762" w:rsidRPr="000A6762" w:rsidRDefault="000A6762" w:rsidP="000A6762">
      <w:pPr>
        <w:spacing w:line="240" w:lineRule="auto"/>
        <w:rPr>
          <w:rFonts w:eastAsia="Times New Roman" w:cs="Arial"/>
          <w:color w:val="000000"/>
          <w:lang w:eastAsia="bg-BG"/>
        </w:rPr>
      </w:pPr>
    </w:p>
    <w:p w14:paraId="0A42AAE7" w14:textId="27420C7A"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Тъй като няма данни относно комбинацията на двете лекарствени вещества, Аспирин Комплекс Топла Напитка е противопоказан при бременност.</w:t>
      </w:r>
    </w:p>
    <w:p w14:paraId="3B1507B6" w14:textId="77777777" w:rsidR="000A6762" w:rsidRPr="000A6762" w:rsidRDefault="000A6762" w:rsidP="000A6762">
      <w:pPr>
        <w:spacing w:line="240" w:lineRule="auto"/>
        <w:rPr>
          <w:rFonts w:eastAsia="Times New Roman" w:cs="Arial"/>
          <w:color w:val="000000"/>
          <w:lang w:eastAsia="bg-BG"/>
        </w:rPr>
      </w:pPr>
    </w:p>
    <w:p w14:paraId="3AA30CA7" w14:textId="1A7CA6BB"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Инхибиране на простагландиновата синтеза може да повлияе неблагоприятно бременността и/или ембрио/феталното развитие. Данните от епидемиологичните проучвания показват повишен риск от аборт и от сърдечна малформация и гастросхизис след употреба на инхибитор на простагландиновата синтеза в ранната бременност. Абсолютният риск от сърдечно-съдови малформации се увеличава от под 1% до приблизително 1,5%. Счита се, че рискът се увеличава с дозата и продължителността на терапията. При животни е доказано, че приложението на инхибитор на простагландиновата синтеза води до увеличени пред- и постимплантационни загуби и ембрио-фетална смърт. Освен това, се съобщава за повишена честота на различни малформации, включително сърдечно-съдови дефекти, при животни, третирани с инхибитор на</w:t>
      </w:r>
      <w:r w:rsidRPr="000A6762">
        <w:rPr>
          <w:rFonts w:eastAsia="Times New Roman" w:cs="Arial"/>
          <w:b/>
          <w:bCs/>
          <w:color w:val="000000"/>
          <w:lang w:eastAsia="bg-BG"/>
        </w:rPr>
        <w:t xml:space="preserve"> </w:t>
      </w:r>
      <w:r w:rsidRPr="000A6762">
        <w:rPr>
          <w:rFonts w:eastAsia="Times New Roman" w:cs="Arial"/>
          <w:color w:val="000000"/>
          <w:lang w:eastAsia="bg-BG"/>
        </w:rPr>
        <w:t>простагландиновата синтеза през периода на органогенеза.</w:t>
      </w:r>
    </w:p>
    <w:p w14:paraId="0D408AE2" w14:textId="77777777" w:rsidR="000A6762" w:rsidRPr="000A6762" w:rsidRDefault="000A6762" w:rsidP="000A6762">
      <w:pPr>
        <w:spacing w:line="240" w:lineRule="auto"/>
        <w:rPr>
          <w:rFonts w:eastAsia="Times New Roman" w:cs="Arial"/>
          <w:color w:val="000000"/>
          <w:lang w:eastAsia="bg-BG"/>
        </w:rPr>
      </w:pPr>
    </w:p>
    <w:p w14:paraId="1C292701" w14:textId="30D5984D"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По време на първото и второто тримесечие на бременността ацетилсалициловата киселина не</w:t>
      </w:r>
    </w:p>
    <w:p w14:paraId="65A98350" w14:textId="77777777" w:rsidR="000A6762" w:rsidRPr="000A6762" w:rsidRDefault="000A6762" w:rsidP="000A6762">
      <w:pPr>
        <w:rPr>
          <w:rFonts w:eastAsia="Times New Roman" w:cs="Arial"/>
          <w:lang w:eastAsia="bg-BG"/>
        </w:rPr>
      </w:pPr>
      <w:r w:rsidRPr="000A6762">
        <w:rPr>
          <w:rFonts w:eastAsia="Times New Roman" w:cs="Arial"/>
          <w:color w:val="000000"/>
          <w:lang w:eastAsia="bg-BG"/>
        </w:rPr>
        <w:t>трябва да се прилага, освен ако не е категорично необходимо. Ако ацетилсалициловата киселина се използва от жена, опитваща се да забременее, или по време на първото и второто</w:t>
      </w:r>
      <w:r w:rsidRPr="000A6762">
        <w:rPr>
          <w:rFonts w:eastAsia="Times New Roman" w:cs="Arial"/>
          <w:color w:val="000000"/>
          <w:lang w:eastAsia="bg-BG"/>
        </w:rPr>
        <w:t xml:space="preserve"> </w:t>
      </w:r>
      <w:r w:rsidRPr="000A6762">
        <w:rPr>
          <w:rFonts w:eastAsia="Times New Roman" w:cs="Arial"/>
          <w:color w:val="000000"/>
          <w:lang w:eastAsia="bg-BG"/>
        </w:rPr>
        <w:t>тримесечие на бременността, дозата трябва да бъде възможно най-ниска, а продължителността на лечение възможно най-кратка.</w:t>
      </w:r>
    </w:p>
    <w:p w14:paraId="1ACABFD6" w14:textId="77777777" w:rsidR="000A6762" w:rsidRPr="000A6762" w:rsidRDefault="000A6762" w:rsidP="000A6762">
      <w:pPr>
        <w:spacing w:line="240" w:lineRule="auto"/>
        <w:rPr>
          <w:rFonts w:eastAsia="Times New Roman" w:cs="Arial"/>
          <w:color w:val="000000"/>
          <w:lang w:eastAsia="bg-BG"/>
        </w:rPr>
      </w:pPr>
    </w:p>
    <w:p w14:paraId="331F7180" w14:textId="6EE32336"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По време на третото тримесечие на бременността всички инхибитори на простагландиновата синтеза може да изложат плода на:</w:t>
      </w:r>
    </w:p>
    <w:p w14:paraId="651948B3" w14:textId="77777777" w:rsidR="000A6762" w:rsidRPr="000A6762" w:rsidRDefault="000A6762" w:rsidP="000A6762">
      <w:pPr>
        <w:pStyle w:val="ListParagraph"/>
        <w:numPr>
          <w:ilvl w:val="0"/>
          <w:numId w:val="42"/>
        </w:numPr>
        <w:spacing w:line="240" w:lineRule="auto"/>
        <w:rPr>
          <w:rFonts w:eastAsia="Times New Roman" w:cs="Arial"/>
          <w:lang w:eastAsia="bg-BG"/>
        </w:rPr>
      </w:pPr>
      <w:r w:rsidRPr="000A6762">
        <w:rPr>
          <w:rFonts w:eastAsia="Times New Roman" w:cs="Arial"/>
          <w:color w:val="000000"/>
          <w:lang w:eastAsia="bg-BG"/>
        </w:rPr>
        <w:t xml:space="preserve">кардио-пулмонарна токсичност (с преждевременно затваряне на </w:t>
      </w:r>
      <w:r w:rsidRPr="000A6762">
        <w:rPr>
          <w:rFonts w:eastAsia="Times New Roman" w:cs="Arial"/>
          <w:color w:val="000000"/>
          <w:lang w:val="en-US"/>
        </w:rPr>
        <w:t xml:space="preserve">ductus arteriosus </w:t>
      </w:r>
      <w:r w:rsidRPr="000A6762">
        <w:rPr>
          <w:rFonts w:eastAsia="Times New Roman" w:cs="Arial"/>
          <w:color w:val="000000"/>
          <w:lang w:eastAsia="bg-BG"/>
        </w:rPr>
        <w:t>и белодробна хипертензия);</w:t>
      </w:r>
    </w:p>
    <w:p w14:paraId="5D323CFF" w14:textId="71BFC5EF" w:rsidR="000A6762" w:rsidRPr="000A6762" w:rsidRDefault="000A6762" w:rsidP="000A6762">
      <w:pPr>
        <w:pStyle w:val="ListParagraph"/>
        <w:numPr>
          <w:ilvl w:val="0"/>
          <w:numId w:val="42"/>
        </w:numPr>
        <w:spacing w:line="240" w:lineRule="auto"/>
        <w:rPr>
          <w:rFonts w:eastAsia="Times New Roman" w:cs="Arial"/>
          <w:lang w:eastAsia="bg-BG"/>
        </w:rPr>
      </w:pPr>
      <w:r w:rsidRPr="000A6762">
        <w:rPr>
          <w:rFonts w:eastAsia="Times New Roman" w:cs="Arial"/>
          <w:color w:val="000000"/>
          <w:lang w:eastAsia="bg-BG"/>
        </w:rPr>
        <w:t>бъбречна дисфункция, която може да прогресира до бъбречна недостатъчност с олигохидрамнион;</w:t>
      </w:r>
    </w:p>
    <w:p w14:paraId="57692918" w14:textId="77777777" w:rsidR="000A6762" w:rsidRPr="000A6762" w:rsidRDefault="000A6762" w:rsidP="000A6762">
      <w:pPr>
        <w:spacing w:line="240" w:lineRule="auto"/>
        <w:rPr>
          <w:rFonts w:eastAsia="Times New Roman" w:cs="Arial"/>
          <w:color w:val="000000"/>
          <w:lang w:eastAsia="bg-BG"/>
        </w:rPr>
      </w:pPr>
    </w:p>
    <w:p w14:paraId="6B5AE2D8" w14:textId="719AB6F1"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майката и новороденото, в края на бременността, на:</w:t>
      </w:r>
    </w:p>
    <w:p w14:paraId="191CBC13" w14:textId="77777777" w:rsidR="000A6762" w:rsidRPr="000A6762" w:rsidRDefault="000A6762" w:rsidP="000A6762">
      <w:pPr>
        <w:pStyle w:val="ListParagraph"/>
        <w:numPr>
          <w:ilvl w:val="0"/>
          <w:numId w:val="43"/>
        </w:numPr>
        <w:spacing w:line="240" w:lineRule="auto"/>
        <w:rPr>
          <w:rFonts w:eastAsia="Times New Roman" w:cs="Arial"/>
          <w:lang w:eastAsia="bg-BG"/>
        </w:rPr>
      </w:pPr>
      <w:r w:rsidRPr="000A6762">
        <w:rPr>
          <w:rFonts w:eastAsia="Times New Roman" w:cs="Arial"/>
          <w:color w:val="000000"/>
          <w:lang w:eastAsia="bg-BG"/>
        </w:rPr>
        <w:t>възможно удължаване на времето на кървене, антиагрегантен ефект, който може да се прояви дори при много ниски дози.</w:t>
      </w:r>
    </w:p>
    <w:p w14:paraId="3358E372" w14:textId="5D90DA8A" w:rsidR="000A6762" w:rsidRPr="000A6762" w:rsidRDefault="000A6762" w:rsidP="000A6762">
      <w:pPr>
        <w:pStyle w:val="ListParagraph"/>
        <w:numPr>
          <w:ilvl w:val="0"/>
          <w:numId w:val="43"/>
        </w:numPr>
        <w:spacing w:line="240" w:lineRule="auto"/>
        <w:rPr>
          <w:rFonts w:eastAsia="Times New Roman" w:cs="Arial"/>
          <w:lang w:eastAsia="bg-BG"/>
        </w:rPr>
      </w:pPr>
      <w:r w:rsidRPr="000A6762">
        <w:rPr>
          <w:rFonts w:eastAsia="Times New Roman" w:cs="Arial"/>
          <w:color w:val="000000"/>
          <w:lang w:eastAsia="bg-BG"/>
        </w:rPr>
        <w:lastRenderedPageBreak/>
        <w:t>инхибиране на маточните контракции, водещо до забавено или удължено раждане.</w:t>
      </w:r>
    </w:p>
    <w:p w14:paraId="7029FB50" w14:textId="77777777" w:rsidR="000A6762" w:rsidRPr="000A6762" w:rsidRDefault="000A6762" w:rsidP="000A6762">
      <w:pPr>
        <w:spacing w:line="240" w:lineRule="auto"/>
        <w:rPr>
          <w:rFonts w:eastAsia="Times New Roman" w:cs="Arial"/>
          <w:color w:val="000000"/>
          <w:lang w:eastAsia="bg-BG"/>
        </w:rPr>
      </w:pPr>
    </w:p>
    <w:p w14:paraId="741A5B16" w14:textId="7E67D381"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Поради това, продуктът е противопоказан през третото тримесечие на бременността.</w:t>
      </w:r>
    </w:p>
    <w:p w14:paraId="7CD5C042" w14:textId="77777777" w:rsidR="000A6762" w:rsidRPr="000A6762" w:rsidRDefault="000A6762" w:rsidP="000A6762">
      <w:pPr>
        <w:spacing w:line="240" w:lineRule="auto"/>
        <w:rPr>
          <w:rFonts w:eastAsia="Times New Roman" w:cs="Arial"/>
          <w:color w:val="000000"/>
          <w:lang w:eastAsia="bg-BG"/>
        </w:rPr>
      </w:pPr>
    </w:p>
    <w:p w14:paraId="68F03FFA" w14:textId="77777777" w:rsidR="000A6762" w:rsidRPr="000A6762" w:rsidRDefault="000A6762" w:rsidP="000A6762">
      <w:pPr>
        <w:spacing w:line="240" w:lineRule="auto"/>
        <w:rPr>
          <w:rFonts w:eastAsia="Times New Roman" w:cs="Arial"/>
          <w:color w:val="000000"/>
          <w:lang w:eastAsia="bg-BG"/>
        </w:rPr>
      </w:pPr>
      <w:r w:rsidRPr="000A6762">
        <w:rPr>
          <w:rFonts w:eastAsia="Times New Roman" w:cs="Arial"/>
          <w:color w:val="000000"/>
          <w:lang w:eastAsia="bg-BG"/>
        </w:rPr>
        <w:t xml:space="preserve">Ограничените данни относно псевдоефедрин при бременност не показват данни за повишен риск </w:t>
      </w:r>
    </w:p>
    <w:p w14:paraId="3225508E" w14:textId="2F3D97AB"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от малформации. Въпреки това, псевдоефедрин не трябва да се приема по време на бременност.</w:t>
      </w:r>
    </w:p>
    <w:p w14:paraId="3DC70EA3" w14:textId="77777777" w:rsidR="000A6762" w:rsidRPr="000A6762" w:rsidRDefault="000A6762" w:rsidP="000A6762">
      <w:pPr>
        <w:spacing w:line="240" w:lineRule="auto"/>
        <w:rPr>
          <w:rFonts w:eastAsia="Times New Roman" w:cs="Arial"/>
          <w:color w:val="000000"/>
          <w:lang w:eastAsia="bg-BG"/>
        </w:rPr>
      </w:pPr>
    </w:p>
    <w:p w14:paraId="5C903146" w14:textId="63D35740"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В изследванията върху животни двете лекарствени вещества са показали репродуктивна токсичност (виж точка 5.3).</w:t>
      </w:r>
    </w:p>
    <w:p w14:paraId="688D1636" w14:textId="77777777" w:rsidR="000A6762" w:rsidRPr="000A6762" w:rsidRDefault="000A6762" w:rsidP="000A6762">
      <w:pPr>
        <w:spacing w:line="240" w:lineRule="auto"/>
        <w:rPr>
          <w:rFonts w:eastAsia="Times New Roman" w:cs="Arial"/>
          <w:color w:val="000000"/>
          <w:u w:val="single"/>
          <w:lang w:eastAsia="bg-BG"/>
        </w:rPr>
      </w:pPr>
    </w:p>
    <w:p w14:paraId="22BF3488" w14:textId="18895BA2" w:rsidR="000A6762" w:rsidRPr="000A6762" w:rsidRDefault="000A6762" w:rsidP="000A6762">
      <w:pPr>
        <w:pStyle w:val="Heading3"/>
        <w:rPr>
          <w:rFonts w:eastAsia="Times New Roman"/>
          <w:u w:val="single"/>
          <w:lang w:eastAsia="bg-BG"/>
        </w:rPr>
      </w:pPr>
      <w:r w:rsidRPr="000A6762">
        <w:rPr>
          <w:rFonts w:eastAsia="Times New Roman"/>
          <w:u w:val="single"/>
          <w:lang w:eastAsia="bg-BG"/>
        </w:rPr>
        <w:t>Кърмене</w:t>
      </w:r>
    </w:p>
    <w:p w14:paraId="73C24C03" w14:textId="77777777" w:rsidR="000A6762" w:rsidRPr="000A6762" w:rsidRDefault="000A6762" w:rsidP="000A6762">
      <w:pPr>
        <w:spacing w:line="240" w:lineRule="auto"/>
        <w:rPr>
          <w:rFonts w:eastAsia="Times New Roman" w:cs="Arial"/>
          <w:color w:val="000000"/>
          <w:lang w:eastAsia="bg-BG"/>
        </w:rPr>
      </w:pPr>
    </w:p>
    <w:p w14:paraId="1C4F00AD" w14:textId="0A943BAF"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И салицилатите, и псевдоефедринът преминават в кърмата в малки количества. Тъй като няма данни за комбинацията на двете лекарствени вещества, Аспирин Комплекс Топла Напитка е противопоказан при кърмещи жени. Проучванията при животни показват неблагоприятни ефекти върху фертилитета при мъжете и жените (вж. точка 5.3).</w:t>
      </w:r>
    </w:p>
    <w:p w14:paraId="3D6F0906" w14:textId="77777777" w:rsidR="000A6762" w:rsidRPr="000A6762" w:rsidRDefault="000A6762" w:rsidP="000A6762">
      <w:pPr>
        <w:spacing w:line="240" w:lineRule="auto"/>
        <w:rPr>
          <w:rFonts w:eastAsia="Times New Roman" w:cs="Arial"/>
          <w:color w:val="000000"/>
          <w:u w:val="single"/>
          <w:lang w:eastAsia="bg-BG"/>
        </w:rPr>
      </w:pPr>
    </w:p>
    <w:p w14:paraId="1DD9BA53" w14:textId="079A16F2" w:rsidR="000A6762" w:rsidRPr="000A6762" w:rsidRDefault="000A6762" w:rsidP="000A6762">
      <w:pPr>
        <w:pStyle w:val="Heading3"/>
        <w:rPr>
          <w:rFonts w:eastAsia="Times New Roman"/>
          <w:u w:val="single"/>
          <w:lang w:eastAsia="bg-BG"/>
        </w:rPr>
      </w:pPr>
      <w:r w:rsidRPr="000A6762">
        <w:rPr>
          <w:rFonts w:eastAsia="Times New Roman"/>
          <w:u w:val="single"/>
          <w:lang w:eastAsia="bg-BG"/>
        </w:rPr>
        <w:t>Фертилитет</w:t>
      </w:r>
    </w:p>
    <w:p w14:paraId="62CA6BBE" w14:textId="77777777" w:rsidR="000A6762" w:rsidRPr="000A6762" w:rsidRDefault="000A6762" w:rsidP="000A6762">
      <w:pPr>
        <w:rPr>
          <w:rFonts w:eastAsia="Times New Roman" w:cs="Arial"/>
          <w:color w:val="000000"/>
          <w:lang w:eastAsia="bg-BG"/>
        </w:rPr>
      </w:pPr>
    </w:p>
    <w:p w14:paraId="5A36500E" w14:textId="7FEB0C11" w:rsidR="000A6762" w:rsidRPr="000A6762" w:rsidRDefault="000A6762" w:rsidP="000A6762">
      <w:pPr>
        <w:rPr>
          <w:rFonts w:eastAsia="Times New Roman" w:cs="Arial"/>
          <w:color w:val="000000"/>
          <w:lang w:eastAsia="bg-BG"/>
        </w:rPr>
      </w:pPr>
      <w:r w:rsidRPr="000A6762">
        <w:rPr>
          <w:rFonts w:eastAsia="Times New Roman" w:cs="Arial"/>
          <w:color w:val="000000"/>
          <w:lang w:eastAsia="bg-BG"/>
        </w:rPr>
        <w:t>Има някои данни, че лекарствените вещества, които инхибират простагландиновата синтеза, може да предизвикат увреждане на фертилитета при жените посредством ефект върху овулацията. Той е обратим при преустановяване на лечението.</w:t>
      </w:r>
    </w:p>
    <w:p w14:paraId="773AE77A" w14:textId="77777777" w:rsidR="000A6762" w:rsidRPr="000A6762" w:rsidRDefault="000A6762" w:rsidP="000A6762"/>
    <w:p w14:paraId="4CE899F3" w14:textId="1C7E973B" w:rsidR="00A428B7" w:rsidRDefault="002C50EE" w:rsidP="00340E8D">
      <w:pPr>
        <w:pStyle w:val="Heading2"/>
      </w:pPr>
      <w:r>
        <w:t>4.7. Ефекти върху способността за шофиране и работа с машини</w:t>
      </w:r>
    </w:p>
    <w:p w14:paraId="3F7C6EB7" w14:textId="23B02E1F" w:rsidR="000A6762" w:rsidRDefault="000A6762" w:rsidP="000A6762"/>
    <w:p w14:paraId="38E62FEE" w14:textId="2C342592" w:rsidR="000A6762" w:rsidRDefault="000A6762" w:rsidP="000A6762">
      <w:pPr>
        <w:rPr>
          <w:lang w:eastAsia="bg-BG"/>
        </w:rPr>
      </w:pPr>
      <w:r w:rsidRPr="000A6762">
        <w:rPr>
          <w:lang w:eastAsia="bg-BG"/>
        </w:rPr>
        <w:t>Аспирин Комплекс Топла Напитка има незначително до умерено влияние върху способността за шофиране и работа с машини. Рискът може да се увеличи допълнително при едновременен прием на алкохол.</w:t>
      </w:r>
    </w:p>
    <w:p w14:paraId="67921326" w14:textId="77777777" w:rsidR="000A6762" w:rsidRPr="000A6762" w:rsidRDefault="000A6762" w:rsidP="000A6762">
      <w:pPr>
        <w:rPr>
          <w:sz w:val="24"/>
          <w:szCs w:val="24"/>
          <w:lang w:eastAsia="bg-BG"/>
        </w:rPr>
      </w:pPr>
    </w:p>
    <w:p w14:paraId="6D9C6606" w14:textId="27F9904F" w:rsidR="00A428B7" w:rsidRDefault="002C50EE" w:rsidP="00340E8D">
      <w:pPr>
        <w:pStyle w:val="Heading2"/>
      </w:pPr>
      <w:r>
        <w:t>4.8. Нежелани лекарствени реакции</w:t>
      </w:r>
    </w:p>
    <w:p w14:paraId="2C21EAA9" w14:textId="69F59316" w:rsidR="000A6762" w:rsidRDefault="000A6762" w:rsidP="000A6762"/>
    <w:p w14:paraId="09BD1F3A"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 xml:space="preserve">Честота: </w:t>
      </w:r>
      <w:r w:rsidRPr="000A6762">
        <w:rPr>
          <w:rFonts w:eastAsia="Times New Roman" w:cs="Arial"/>
          <w:b/>
          <w:bCs/>
          <w:color w:val="000000"/>
          <w:lang w:eastAsia="bg-BG"/>
        </w:rPr>
        <w:t>с неизвестна честота (от наличните данни не може да бъде направена оценка)</w:t>
      </w:r>
    </w:p>
    <w:p w14:paraId="4872EBE7" w14:textId="77777777" w:rsidR="000A6762" w:rsidRPr="000A6762" w:rsidRDefault="000A6762" w:rsidP="000A6762">
      <w:pPr>
        <w:spacing w:line="240" w:lineRule="auto"/>
        <w:rPr>
          <w:rFonts w:eastAsia="Times New Roman" w:cs="Arial"/>
          <w:color w:val="000000"/>
          <w:lang w:eastAsia="bg-BG"/>
        </w:rPr>
      </w:pPr>
    </w:p>
    <w:p w14:paraId="3763B555" w14:textId="732408CF"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Възможни нежелани реакции на ацетилсалициловата киселина са:</w:t>
      </w:r>
    </w:p>
    <w:p w14:paraId="16B197CE" w14:textId="77777777" w:rsidR="000A6762" w:rsidRPr="000A6762" w:rsidRDefault="000A6762" w:rsidP="000A6762">
      <w:pPr>
        <w:spacing w:line="240" w:lineRule="auto"/>
        <w:rPr>
          <w:rFonts w:eastAsia="Times New Roman" w:cs="Arial"/>
          <w:color w:val="000000"/>
          <w:lang w:eastAsia="bg-BG"/>
        </w:rPr>
      </w:pPr>
    </w:p>
    <w:p w14:paraId="07305FBD" w14:textId="7BD0DCBF"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Нарушения на имунната система</w:t>
      </w:r>
    </w:p>
    <w:p w14:paraId="2D756DE7" w14:textId="77777777" w:rsidR="000A6762" w:rsidRPr="000A6762" w:rsidRDefault="000A6762" w:rsidP="000A6762">
      <w:pPr>
        <w:rPr>
          <w:rFonts w:eastAsia="Times New Roman" w:cs="Arial"/>
          <w:lang w:eastAsia="bg-BG"/>
        </w:rPr>
      </w:pPr>
      <w:r w:rsidRPr="000A6762">
        <w:rPr>
          <w:rFonts w:eastAsia="Times New Roman" w:cs="Arial"/>
          <w:color w:val="000000"/>
          <w:lang w:eastAsia="bg-BG"/>
        </w:rPr>
        <w:t>Реакции на свръхчувствителност със съответните лабораторни и клинични прояви, включително респираторно заболяване, обострено с аспирин, леки до умерени реакции, потенциално засягащи кожата, респираторния тракт, стомашно-чревния тракт и сърдечно-съдовата система, включително симптоми като напр. обрив, уртикария, оток</w:t>
      </w:r>
      <w:r w:rsidRPr="000A6762">
        <w:rPr>
          <w:rFonts w:eastAsia="Times New Roman" w:cs="Arial"/>
          <w:color w:val="000000"/>
          <w:lang w:eastAsia="bg-BG"/>
        </w:rPr>
        <w:t xml:space="preserve"> </w:t>
      </w:r>
      <w:r w:rsidRPr="000A6762">
        <w:rPr>
          <w:rFonts w:eastAsia="Times New Roman" w:cs="Arial"/>
          <w:color w:val="000000"/>
          <w:lang w:eastAsia="bg-BG"/>
        </w:rPr>
        <w:t>сърбеж, ринит, назална конгестия, кардио-респираторен дистрес и много рядко тежки реакции, включително анафилактичен шок.</w:t>
      </w:r>
    </w:p>
    <w:p w14:paraId="30D15D8B" w14:textId="77777777" w:rsidR="000A6762" w:rsidRPr="000A6762" w:rsidRDefault="000A6762" w:rsidP="000A6762">
      <w:pPr>
        <w:spacing w:line="240" w:lineRule="auto"/>
        <w:rPr>
          <w:rFonts w:eastAsia="Times New Roman" w:cs="Arial"/>
          <w:color w:val="000000"/>
          <w:lang w:eastAsia="bg-BG"/>
        </w:rPr>
      </w:pPr>
    </w:p>
    <w:p w14:paraId="0D060359" w14:textId="722FDA29"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Стомашно-чревни нарушения</w:t>
      </w:r>
    </w:p>
    <w:p w14:paraId="3ABB2B4C"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lastRenderedPageBreak/>
        <w:t>Стомашно-дуоденални оплаквания (гастралгия, диспепсия, гастрит);</w:t>
      </w:r>
    </w:p>
    <w:p w14:paraId="3978E4C4"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Гадене, повръщане, диария;</w:t>
      </w:r>
    </w:p>
    <w:p w14:paraId="6DED0B17"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Стомашно-чревни язви, които могат да доведат до перфорация в изолирани случаи.</w:t>
      </w:r>
    </w:p>
    <w:p w14:paraId="39CF7408"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Болест на диафрагмата с чревни нарушения (особено при продължително лечение).</w:t>
      </w:r>
    </w:p>
    <w:p w14:paraId="3BD0D6F9" w14:textId="77777777" w:rsidR="000A6762" w:rsidRPr="000A6762" w:rsidRDefault="000A6762" w:rsidP="000A6762">
      <w:pPr>
        <w:spacing w:line="240" w:lineRule="auto"/>
        <w:rPr>
          <w:rFonts w:eastAsia="Times New Roman" w:cs="Arial"/>
          <w:color w:val="000000"/>
          <w:lang w:eastAsia="bg-BG"/>
        </w:rPr>
      </w:pPr>
    </w:p>
    <w:p w14:paraId="66A3285A" w14:textId="6AFE60B4"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Хепато-билиарни нарушения</w:t>
      </w:r>
    </w:p>
    <w:p w14:paraId="1C4FEF8C"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Преходно чернодробно увреждане с повишаване на трансаминазите.</w:t>
      </w:r>
    </w:p>
    <w:p w14:paraId="5464A9E0" w14:textId="77777777" w:rsidR="000A6762" w:rsidRPr="000A6762" w:rsidRDefault="000A6762" w:rsidP="000A6762">
      <w:pPr>
        <w:spacing w:line="240" w:lineRule="auto"/>
        <w:rPr>
          <w:rFonts w:eastAsia="Times New Roman" w:cs="Arial"/>
          <w:color w:val="000000"/>
          <w:lang w:eastAsia="bg-BG"/>
        </w:rPr>
      </w:pPr>
    </w:p>
    <w:p w14:paraId="41A58216" w14:textId="30194479"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Нарушения на кръвта и лимфната система</w:t>
      </w:r>
    </w:p>
    <w:p w14:paraId="057C50A0"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Повишаване на риска от кървене, кръвоизлив като напр. кръвоизлив при процедури, хематоми, епистаксис, кръвоизлив от пикочо-половите пътища и кървене от венците;</w:t>
      </w:r>
    </w:p>
    <w:p w14:paraId="0D2DBA4F"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Хемолиза и хемолитична анемия при пациенти с тежки форми на глюкозо-6- фосфат дехидрогеназна (Г6ФД) недостатъчност;</w:t>
      </w:r>
    </w:p>
    <w:p w14:paraId="2E51144F"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Кръвоизливът може да доведе до хеморагична анемия / желязодефицитна анемия (напр. поради окултно микрокървене) със съответните лабораторни и клинични признаци и симптоми, като напр. астения, бледност, хипоперфузия.</w:t>
      </w:r>
    </w:p>
    <w:p w14:paraId="3A3C230C" w14:textId="77777777" w:rsidR="000A6762" w:rsidRPr="000A6762" w:rsidRDefault="000A6762" w:rsidP="000A6762">
      <w:pPr>
        <w:spacing w:line="240" w:lineRule="auto"/>
        <w:rPr>
          <w:rFonts w:eastAsia="Times New Roman" w:cs="Arial"/>
          <w:color w:val="000000"/>
          <w:lang w:eastAsia="bg-BG"/>
        </w:rPr>
      </w:pPr>
    </w:p>
    <w:p w14:paraId="7784E998" w14:textId="55D3D26A"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Нарушения на нервната система и нарушения на ухото и лабиринта Световъртежът може да бъде симптом на предозиране.</w:t>
      </w:r>
    </w:p>
    <w:p w14:paraId="0C2582B0" w14:textId="77777777" w:rsidR="000A6762" w:rsidRPr="000A6762" w:rsidRDefault="000A6762" w:rsidP="000A6762">
      <w:pPr>
        <w:spacing w:line="240" w:lineRule="auto"/>
        <w:rPr>
          <w:rFonts w:eastAsia="Times New Roman" w:cs="Arial"/>
          <w:color w:val="000000"/>
          <w:lang w:eastAsia="bg-BG"/>
        </w:rPr>
      </w:pPr>
    </w:p>
    <w:p w14:paraId="410276B0" w14:textId="34D5E100"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Нарушения на ухото и лабиринта</w:t>
      </w:r>
    </w:p>
    <w:p w14:paraId="16900B31"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Шумът в ушите може да бъде симптом на предозиране.</w:t>
      </w:r>
    </w:p>
    <w:p w14:paraId="7D207217" w14:textId="77777777" w:rsidR="000A6762" w:rsidRPr="000A6762" w:rsidRDefault="000A6762" w:rsidP="000A6762">
      <w:pPr>
        <w:spacing w:line="240" w:lineRule="auto"/>
        <w:rPr>
          <w:rFonts w:eastAsia="Times New Roman" w:cs="Arial"/>
          <w:color w:val="000000"/>
          <w:lang w:eastAsia="bg-BG"/>
        </w:rPr>
      </w:pPr>
    </w:p>
    <w:p w14:paraId="2F0A14B1" w14:textId="16134A92"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Нарушения на бъбреците и пикочните пътища</w:t>
      </w:r>
    </w:p>
    <w:p w14:paraId="30C8A57D"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Има съобщения за бъбречно увреждане, остра бъбречна недостатъчност.</w:t>
      </w:r>
    </w:p>
    <w:p w14:paraId="2DE5B38F" w14:textId="77777777" w:rsidR="000A6762" w:rsidRPr="000A6762" w:rsidRDefault="000A6762" w:rsidP="000A6762">
      <w:pPr>
        <w:spacing w:line="240" w:lineRule="auto"/>
        <w:rPr>
          <w:rFonts w:eastAsia="Times New Roman" w:cs="Arial"/>
          <w:color w:val="000000"/>
          <w:lang w:eastAsia="bg-BG"/>
        </w:rPr>
      </w:pPr>
    </w:p>
    <w:p w14:paraId="1C81886D" w14:textId="323171C0"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Възможни нежелани реакции на псевдоефедрин са:</w:t>
      </w:r>
    </w:p>
    <w:p w14:paraId="0B0AA390" w14:textId="77777777" w:rsidR="000A6762" w:rsidRPr="000A6762" w:rsidRDefault="000A6762" w:rsidP="000A6762">
      <w:pPr>
        <w:spacing w:line="240" w:lineRule="auto"/>
        <w:rPr>
          <w:rFonts w:eastAsia="Times New Roman" w:cs="Arial"/>
          <w:color w:val="000000"/>
          <w:lang w:eastAsia="bg-BG"/>
        </w:rPr>
      </w:pPr>
    </w:p>
    <w:p w14:paraId="305B732C" w14:textId="4A17B86A"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Съдови нарушения</w:t>
      </w:r>
    </w:p>
    <w:p w14:paraId="3F5E33F4" w14:textId="2D1E9F93"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Зачервяване на кожата;</w:t>
      </w:r>
    </w:p>
    <w:p w14:paraId="1BFBF0BC" w14:textId="60C5DF41"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Повишаване на кръвно налягане, макар и не в контролирана хипертония.</w:t>
      </w:r>
    </w:p>
    <w:p w14:paraId="21D96C5B" w14:textId="77777777" w:rsidR="000A6762" w:rsidRPr="000A6762" w:rsidRDefault="000A6762" w:rsidP="000A6762">
      <w:pPr>
        <w:spacing w:line="240" w:lineRule="auto"/>
        <w:rPr>
          <w:rFonts w:eastAsia="Times New Roman" w:cs="Arial"/>
          <w:color w:val="000000"/>
          <w:lang w:eastAsia="bg-BG"/>
        </w:rPr>
      </w:pPr>
    </w:p>
    <w:p w14:paraId="2B4F0EA6" w14:textId="39C3A68E"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Сърдечни нарушения</w:t>
      </w:r>
    </w:p>
    <w:p w14:paraId="12F1D28B"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Сърдечни ефекти (напр. тахикардия, сърцебиене, аритмии).</w:t>
      </w:r>
    </w:p>
    <w:p w14:paraId="3138F396" w14:textId="77777777" w:rsidR="000A6762" w:rsidRPr="000A6762" w:rsidRDefault="000A6762" w:rsidP="000A6762">
      <w:pPr>
        <w:spacing w:line="240" w:lineRule="auto"/>
        <w:rPr>
          <w:rFonts w:eastAsia="Times New Roman" w:cs="Arial"/>
          <w:color w:val="000000"/>
          <w:lang w:eastAsia="bg-BG"/>
        </w:rPr>
      </w:pPr>
    </w:p>
    <w:p w14:paraId="6226E8F9" w14:textId="409F1016"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Нарушения на нервната система</w:t>
      </w:r>
    </w:p>
    <w:p w14:paraId="09C4876E"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Стимулиране на централната нервна система (напр. безсъние, рядко халюцинации).</w:t>
      </w:r>
    </w:p>
    <w:p w14:paraId="2FB66965" w14:textId="77777777" w:rsidR="000A6762" w:rsidRPr="000A6762" w:rsidRDefault="000A6762" w:rsidP="000A6762">
      <w:pPr>
        <w:spacing w:line="240" w:lineRule="auto"/>
        <w:rPr>
          <w:rFonts w:eastAsia="Times New Roman" w:cs="Arial"/>
          <w:color w:val="000000"/>
          <w:lang w:eastAsia="bg-BG"/>
        </w:rPr>
      </w:pPr>
    </w:p>
    <w:p w14:paraId="538C3ACF" w14:textId="70E581EE"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Нарушения на бъбреците и пикочните пътища</w:t>
      </w:r>
    </w:p>
    <w:p w14:paraId="45B90BB6"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Задръжка на урина, особено при пациенти с хипертрофия на простатата.</w:t>
      </w:r>
    </w:p>
    <w:p w14:paraId="11075765" w14:textId="77777777" w:rsidR="000A6762" w:rsidRPr="000A6762" w:rsidRDefault="000A6762" w:rsidP="000A6762">
      <w:pPr>
        <w:spacing w:line="240" w:lineRule="auto"/>
        <w:rPr>
          <w:rFonts w:eastAsia="Times New Roman" w:cs="Arial"/>
          <w:color w:val="000000"/>
          <w:lang w:eastAsia="bg-BG"/>
        </w:rPr>
      </w:pPr>
    </w:p>
    <w:p w14:paraId="67033043" w14:textId="03F60AC2"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Нарушения на кожата и подкожната тъкан</w:t>
      </w:r>
    </w:p>
    <w:p w14:paraId="005F70CE"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Ефекти върху кожата (напр. обрив, уртикария, сърбеж).</w:t>
      </w:r>
    </w:p>
    <w:p w14:paraId="687748FA"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 xml:space="preserve">Тежки кожни реакции, включително остра генерализирана екзантематозна  пустулоза </w:t>
      </w:r>
      <w:r w:rsidRPr="000A6762">
        <w:rPr>
          <w:rFonts w:eastAsia="Times New Roman" w:cs="Arial"/>
          <w:color w:val="000000"/>
          <w:lang w:val="en-US"/>
        </w:rPr>
        <w:t xml:space="preserve">(AGEP) </w:t>
      </w:r>
      <w:r w:rsidRPr="000A6762">
        <w:rPr>
          <w:rFonts w:eastAsia="Times New Roman" w:cs="Arial"/>
          <w:color w:val="000000"/>
          <w:lang w:eastAsia="bg-BG"/>
        </w:rPr>
        <w:t>при продукти, съдържащи псевдоефедрин.</w:t>
      </w:r>
    </w:p>
    <w:p w14:paraId="4CA6E59D" w14:textId="77777777" w:rsidR="000A6762" w:rsidRPr="000A6762" w:rsidRDefault="000A6762" w:rsidP="000A6762">
      <w:pPr>
        <w:spacing w:line="240" w:lineRule="auto"/>
        <w:rPr>
          <w:rFonts w:eastAsia="Times New Roman" w:cs="Arial"/>
          <w:color w:val="000000"/>
          <w:lang w:eastAsia="bg-BG"/>
        </w:rPr>
      </w:pPr>
    </w:p>
    <w:p w14:paraId="43379D3A" w14:textId="61B089E4"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Стомашно-чревни нарушения</w:t>
      </w:r>
    </w:p>
    <w:p w14:paraId="47978C57"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Исхемичен колит</w:t>
      </w:r>
    </w:p>
    <w:p w14:paraId="1BEFD061"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Сухота в устата</w:t>
      </w:r>
    </w:p>
    <w:p w14:paraId="65D591AD" w14:textId="5A19ECDB" w:rsidR="000A6762" w:rsidRPr="000A6762" w:rsidRDefault="000A6762" w:rsidP="000A6762">
      <w:pPr>
        <w:spacing w:line="240" w:lineRule="auto"/>
        <w:rPr>
          <w:rFonts w:eastAsia="Times New Roman" w:cs="Arial"/>
          <w:lang w:eastAsia="bg-BG"/>
        </w:rPr>
      </w:pPr>
    </w:p>
    <w:p w14:paraId="652E951E"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Нарушения на очите</w:t>
      </w:r>
    </w:p>
    <w:p w14:paraId="471B82A8"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lastRenderedPageBreak/>
        <w:t>Исхемична оптична невропатия</w:t>
      </w:r>
    </w:p>
    <w:p w14:paraId="5DBADF29" w14:textId="77777777" w:rsidR="000A6762" w:rsidRPr="000A6762" w:rsidRDefault="000A6762" w:rsidP="000A6762">
      <w:pPr>
        <w:spacing w:line="240" w:lineRule="auto"/>
        <w:rPr>
          <w:rFonts w:eastAsia="Times New Roman" w:cs="Arial"/>
          <w:color w:val="000000"/>
          <w:u w:val="single"/>
          <w:lang w:eastAsia="bg-BG"/>
        </w:rPr>
      </w:pPr>
    </w:p>
    <w:p w14:paraId="05703569" w14:textId="6B37FB91" w:rsidR="000A6762" w:rsidRPr="000A6762" w:rsidRDefault="000A6762" w:rsidP="000A6762">
      <w:pPr>
        <w:spacing w:line="240" w:lineRule="auto"/>
        <w:rPr>
          <w:rFonts w:eastAsia="Times New Roman" w:cs="Arial"/>
          <w:lang w:eastAsia="bg-BG"/>
        </w:rPr>
      </w:pPr>
      <w:r w:rsidRPr="000A6762">
        <w:rPr>
          <w:rFonts w:eastAsia="Times New Roman" w:cs="Arial"/>
          <w:color w:val="000000"/>
          <w:u w:val="single"/>
          <w:lang w:eastAsia="bg-BG"/>
        </w:rPr>
        <w:t>Съобщаване на подозирани нежелани реакции</w:t>
      </w:r>
    </w:p>
    <w:p w14:paraId="6ACE789F" w14:textId="77777777" w:rsidR="000A6762" w:rsidRPr="000A6762" w:rsidRDefault="000A6762" w:rsidP="000A6762">
      <w:pPr>
        <w:spacing w:line="240" w:lineRule="auto"/>
        <w:rPr>
          <w:rFonts w:eastAsia="Times New Roman" w:cs="Arial"/>
          <w:color w:val="000000"/>
          <w:lang w:eastAsia="bg-BG"/>
        </w:rPr>
      </w:pPr>
      <w:r w:rsidRPr="000A6762">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w:t>
      </w:r>
    </w:p>
    <w:p w14:paraId="36CB252C" w14:textId="2A5DC800" w:rsidR="000A6762" w:rsidRPr="000A6762" w:rsidRDefault="000A6762" w:rsidP="000A6762">
      <w:pPr>
        <w:spacing w:line="240" w:lineRule="auto"/>
        <w:rPr>
          <w:rFonts w:eastAsia="Times New Roman" w:cs="Arial"/>
          <w:color w:val="000000"/>
          <w:lang w:eastAsia="bg-BG"/>
        </w:rPr>
      </w:pPr>
      <w:r w:rsidRPr="000A6762">
        <w:rPr>
          <w:rFonts w:eastAsia="Times New Roman" w:cs="Arial"/>
          <w:color w:val="000000"/>
          <w:lang w:eastAsia="bg-BG"/>
        </w:rPr>
        <w:t xml:space="preserve">Изпълнителната агенция по лекарствата </w:t>
      </w:r>
    </w:p>
    <w:p w14:paraId="3CBDB079" w14:textId="651020E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ул. „Дамян Груев” № 8 1303 София</w:t>
      </w:r>
    </w:p>
    <w:p w14:paraId="5427D5B1"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Тел.:+35 928903417</w:t>
      </w:r>
    </w:p>
    <w:p w14:paraId="173DC8EF" w14:textId="77777777" w:rsidR="000A6762" w:rsidRPr="000A6762" w:rsidRDefault="000A6762" w:rsidP="000A6762">
      <w:pPr>
        <w:spacing w:line="240" w:lineRule="auto"/>
        <w:rPr>
          <w:rFonts w:eastAsia="Times New Roman" w:cs="Arial"/>
          <w:lang w:eastAsia="bg-BG"/>
        </w:rPr>
      </w:pPr>
      <w:r w:rsidRPr="000A6762">
        <w:rPr>
          <w:rFonts w:eastAsia="Times New Roman" w:cs="Arial"/>
          <w:color w:val="000000"/>
          <w:lang w:eastAsia="bg-BG"/>
        </w:rPr>
        <w:t xml:space="preserve">уебсайт: </w:t>
      </w:r>
      <w:hyperlink r:id="rId5" w:history="1">
        <w:r w:rsidRPr="000A6762">
          <w:rPr>
            <w:rFonts w:eastAsia="Times New Roman" w:cs="Arial"/>
            <w:color w:val="000000"/>
            <w:u w:val="single"/>
            <w:lang w:val="en-US"/>
          </w:rPr>
          <w:t>www.bda.bg</w:t>
        </w:r>
      </w:hyperlink>
    </w:p>
    <w:p w14:paraId="0D189D9E" w14:textId="77777777" w:rsidR="000A6762" w:rsidRPr="000A6762" w:rsidRDefault="000A6762" w:rsidP="000A6762"/>
    <w:p w14:paraId="378A0F20" w14:textId="3C3EFFD4" w:rsidR="001D095A" w:rsidRDefault="002C50EE" w:rsidP="00340E8D">
      <w:pPr>
        <w:pStyle w:val="Heading2"/>
      </w:pPr>
      <w:r>
        <w:t>4.9. Предозиране</w:t>
      </w:r>
    </w:p>
    <w:p w14:paraId="57E94526" w14:textId="2B0EBA8B" w:rsidR="000A6762" w:rsidRDefault="000A6762" w:rsidP="000A6762"/>
    <w:p w14:paraId="6E543DD3"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Ацетилсалицилова киселина:</w:t>
      </w:r>
    </w:p>
    <w:p w14:paraId="30D4B81F"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Има разлика между хронично предозиране с преобладаващи нарушения на централната нервна система ("салицилизъм") и остра интоксикация, основната характеристика на която е тежко нарушение на киселинно-алкалното равновесие.</w:t>
      </w:r>
    </w:p>
    <w:p w14:paraId="6BA84976"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Освен нарушения на киселинно-алкалното и на електролитното равновесие (напр. загуба на калий), хипогликемия, кожни обриви и кръвоизлив от стомашно-чревния тракт, симптомите може да включват хипервентилация, шум в ушите, гадене, повръщане, увреждане на зрението и слуха, главоболие, замайване и объркване.</w:t>
      </w:r>
    </w:p>
    <w:p w14:paraId="321729A8"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При тежка интоксикация може да възникнат делир, тремор, диспнея, изпотяване, дехидратация, хипертермия и кома. При интоксикация с летален изход смъртта обикновено се дължи на дихателна недостатъчност.</w:t>
      </w:r>
    </w:p>
    <w:p w14:paraId="50873497" w14:textId="77777777" w:rsidR="000A6762" w:rsidRPr="000A6762" w:rsidRDefault="000A6762" w:rsidP="000A6762">
      <w:pPr>
        <w:spacing w:line="240" w:lineRule="auto"/>
        <w:rPr>
          <w:rFonts w:eastAsia="Times New Roman" w:cs="Arial"/>
          <w:color w:val="000000"/>
          <w:lang w:eastAsia="bg-BG"/>
        </w:rPr>
      </w:pPr>
    </w:p>
    <w:p w14:paraId="3DA5DA30" w14:textId="6A3A1010"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Псевдоефедрин:</w:t>
      </w:r>
    </w:p>
    <w:p w14:paraId="1EB03A35"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След интоксикация може да възникнат засилени симпатомиметични реакции, напр. тахикардия, болка в гърдите, ажитация, хипертония, свиркащи хрипове или недостиг на въздух, гърчове, халюцинации.</w:t>
      </w:r>
    </w:p>
    <w:p w14:paraId="14A10E18" w14:textId="77777777" w:rsidR="000A6762" w:rsidRPr="000A6762" w:rsidRDefault="000A6762" w:rsidP="000A6762">
      <w:pPr>
        <w:spacing w:line="240" w:lineRule="auto"/>
        <w:rPr>
          <w:rFonts w:eastAsia="Times New Roman" w:cs="Arial"/>
          <w:color w:val="000000"/>
          <w:lang w:eastAsia="bg-BG"/>
        </w:rPr>
      </w:pPr>
    </w:p>
    <w:p w14:paraId="69B5C3C4" w14:textId="6DF96B94"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Начинът на лечение на интоксикацията с Аспирин Комплекс Топла напитка зависи от степента, стадия и клиничните симптоми на интоксикацията. Те съответстват на обичайните мерки за намаляване на абсорбцията на лекарственото вещество: ускоряване на екскрецията, проследяване на водно-електролитния баланс, нарушената регулация на температурата, дишането и сърдечно-съдовата и мозъчната функция.</w:t>
      </w:r>
    </w:p>
    <w:p w14:paraId="7D241F19"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Незабавното медицинско внимание е критично, дори когато няма видими признаци или симптоми.</w:t>
      </w:r>
    </w:p>
    <w:p w14:paraId="6F172402" w14:textId="77777777" w:rsidR="000A6762" w:rsidRPr="000A6762" w:rsidRDefault="000A6762" w:rsidP="000A6762"/>
    <w:p w14:paraId="02081B24" w14:textId="36FE76F4" w:rsidR="00395555" w:rsidRPr="00395555" w:rsidRDefault="002C50EE" w:rsidP="008A6AF2">
      <w:pPr>
        <w:pStyle w:val="Heading1"/>
      </w:pPr>
      <w:r>
        <w:t>5. ФАРМАКОЛОГИЧНИ СВОЙСТВА</w:t>
      </w:r>
    </w:p>
    <w:p w14:paraId="1A152A95" w14:textId="50BFF0D6" w:rsidR="001D095A" w:rsidRDefault="002C50EE" w:rsidP="00340E8D">
      <w:pPr>
        <w:pStyle w:val="Heading2"/>
      </w:pPr>
      <w:r>
        <w:t>5.1. Фармакодинамични свойства</w:t>
      </w:r>
    </w:p>
    <w:p w14:paraId="6E8732F5" w14:textId="53BACC73" w:rsidR="000A6762" w:rsidRDefault="000A6762" w:rsidP="000A6762"/>
    <w:p w14:paraId="68FE9DBB"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 xml:space="preserve">Фармакотерапевтична група: Аналгетици, Други аналгетици и антипиретици, Салицилова киселина и производни АТС код: </w:t>
      </w:r>
      <w:r w:rsidRPr="000A6762">
        <w:rPr>
          <w:rFonts w:eastAsia="Times New Roman" w:cs="Arial"/>
          <w:color w:val="000000"/>
          <w:lang w:val="en-US"/>
        </w:rPr>
        <w:t xml:space="preserve">N02B </w:t>
      </w:r>
      <w:r w:rsidRPr="000A6762">
        <w:rPr>
          <w:rFonts w:eastAsia="Times New Roman" w:cs="Arial"/>
          <w:color w:val="000000"/>
          <w:lang w:eastAsia="bg-BG"/>
        </w:rPr>
        <w:t>А01</w:t>
      </w:r>
    </w:p>
    <w:p w14:paraId="51BD0294" w14:textId="77777777" w:rsidR="000A6762" w:rsidRPr="000A6762" w:rsidRDefault="000A6762" w:rsidP="000A6762">
      <w:pPr>
        <w:spacing w:line="240" w:lineRule="auto"/>
        <w:rPr>
          <w:rFonts w:eastAsia="Times New Roman" w:cs="Arial"/>
          <w:color w:val="000000"/>
          <w:lang w:eastAsia="bg-BG"/>
        </w:rPr>
      </w:pPr>
    </w:p>
    <w:p w14:paraId="0AF5FA9C" w14:textId="43C0AD16"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Фармакотерапевтична група: Назални препарати, Назални деконгестаити за системно приложение, Симпатомиметици</w:t>
      </w:r>
    </w:p>
    <w:p w14:paraId="199BE6D3" w14:textId="5B18BC95" w:rsidR="000A6762" w:rsidRPr="000A6762" w:rsidRDefault="000A6762" w:rsidP="000A6762">
      <w:pPr>
        <w:spacing w:line="240" w:lineRule="auto"/>
        <w:rPr>
          <w:rFonts w:eastAsia="Times New Roman" w:cs="Arial"/>
          <w:color w:val="000000"/>
          <w:lang w:eastAsia="bg-BG"/>
        </w:rPr>
      </w:pPr>
      <w:r w:rsidRPr="000A6762">
        <w:rPr>
          <w:rFonts w:eastAsia="Times New Roman" w:cs="Arial"/>
          <w:color w:val="000000"/>
          <w:lang w:eastAsia="bg-BG"/>
        </w:rPr>
        <w:t xml:space="preserve">АТС код: </w:t>
      </w:r>
      <w:r w:rsidRPr="000A6762">
        <w:rPr>
          <w:rFonts w:eastAsia="Times New Roman" w:cs="Arial"/>
          <w:color w:val="000000"/>
          <w:lang w:val="en-US"/>
        </w:rPr>
        <w:t xml:space="preserve">R01B </w:t>
      </w:r>
      <w:r w:rsidRPr="000A6762">
        <w:rPr>
          <w:rFonts w:eastAsia="Times New Roman" w:cs="Arial"/>
          <w:color w:val="000000"/>
          <w:lang w:eastAsia="bg-BG"/>
        </w:rPr>
        <w:t>А02</w:t>
      </w:r>
    </w:p>
    <w:p w14:paraId="76E545B8"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lastRenderedPageBreak/>
        <w:t xml:space="preserve">Ацетилсалициловата киселина принадлежи към групата на киселите нестероидни аналгетици/противовъзпалителни средства с обезболяващи, антипиретични и противовъзпалителни свойства. Механизмът на действието й се основава на необратимо инхибиране </w:t>
      </w:r>
      <w:r w:rsidRPr="000A6762">
        <w:rPr>
          <w:rFonts w:eastAsia="Times New Roman" w:cs="Arial"/>
          <w:color w:val="000000"/>
          <w:lang w:val="en-US"/>
        </w:rPr>
        <w:t xml:space="preserve">of </w:t>
      </w:r>
      <w:r w:rsidRPr="000A6762">
        <w:rPr>
          <w:rFonts w:eastAsia="Times New Roman" w:cs="Arial"/>
          <w:color w:val="000000"/>
          <w:lang w:eastAsia="bg-BG"/>
        </w:rPr>
        <w:t>циклооксигеназните ензими, участващи в простагландиновата синтеза.</w:t>
      </w:r>
    </w:p>
    <w:p w14:paraId="54B09BE1" w14:textId="1B094E7A"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 xml:space="preserve">Ацетилсалициловата киселина инхибира също тромбоцитната агрегация чрез блокиране на синтезата на тромбоксан </w:t>
      </w:r>
      <w:r w:rsidRPr="000A6762">
        <w:rPr>
          <w:rFonts w:eastAsia="Times New Roman" w:cs="Arial"/>
          <w:color w:val="000000"/>
          <w:lang w:val="en-US"/>
        </w:rPr>
        <w:t>A</w:t>
      </w:r>
      <w:r w:rsidRPr="000A6762">
        <w:rPr>
          <w:rFonts w:eastAsia="Times New Roman" w:cs="Arial"/>
          <w:color w:val="000000"/>
          <w:vertAlign w:val="subscript"/>
          <w:lang w:val="en-US"/>
        </w:rPr>
        <w:t>2</w:t>
      </w:r>
      <w:r w:rsidRPr="000A6762">
        <w:rPr>
          <w:rFonts w:eastAsia="Times New Roman" w:cs="Arial"/>
          <w:color w:val="000000"/>
          <w:lang w:val="en-US"/>
        </w:rPr>
        <w:t xml:space="preserve"> </w:t>
      </w:r>
      <w:r w:rsidRPr="000A6762">
        <w:rPr>
          <w:rFonts w:eastAsia="Times New Roman" w:cs="Arial"/>
          <w:color w:val="000000"/>
          <w:lang w:eastAsia="bg-BG"/>
        </w:rPr>
        <w:t>в тромбоцитите.</w:t>
      </w:r>
    </w:p>
    <w:p w14:paraId="1F7B20DD" w14:textId="77777777" w:rsidR="000A6762" w:rsidRPr="000A6762" w:rsidRDefault="000A6762" w:rsidP="000A6762">
      <w:pPr>
        <w:spacing w:line="240" w:lineRule="auto"/>
        <w:rPr>
          <w:rFonts w:eastAsia="Times New Roman" w:cs="Arial"/>
          <w:color w:val="000000"/>
          <w:lang w:eastAsia="bg-BG"/>
        </w:rPr>
      </w:pPr>
    </w:p>
    <w:p w14:paraId="1658E048" w14:textId="5A8445EB" w:rsidR="000A6762" w:rsidRPr="000A6762" w:rsidRDefault="000A6762" w:rsidP="000A6762">
      <w:pPr>
        <w:spacing w:line="240" w:lineRule="auto"/>
        <w:rPr>
          <w:rFonts w:ascii="Times New Roman" w:eastAsia="Times New Roman" w:hAnsi="Times New Roman" w:cs="Times New Roman"/>
          <w:sz w:val="24"/>
          <w:szCs w:val="24"/>
          <w:lang w:eastAsia="bg-BG"/>
        </w:rPr>
      </w:pPr>
      <w:r w:rsidRPr="000A6762">
        <w:rPr>
          <w:rFonts w:eastAsia="Times New Roman" w:cs="Arial"/>
          <w:color w:val="000000"/>
          <w:lang w:eastAsia="bg-BG"/>
        </w:rPr>
        <w:t>Псевдоефедринът е симпатомиметично средство с алфа-агонистична активност. Той е декстроизомерът на ефедрина, като двете средства са еднакво ефективни като назални деконгестанти. Те стимулират алфа-адренергичните рецептори на съдовата гладка мускулатура, като по този начин свиват разширените артериоли в назалната лигавица и намаляват кръвотока към изпълнените с кръв участъци.</w:t>
      </w:r>
    </w:p>
    <w:p w14:paraId="404243E6" w14:textId="77777777" w:rsidR="000A6762" w:rsidRPr="000A6762" w:rsidRDefault="000A6762" w:rsidP="000A6762"/>
    <w:p w14:paraId="7C8C9C46" w14:textId="191E5563" w:rsidR="00E9184E" w:rsidRDefault="002C50EE" w:rsidP="00340E8D">
      <w:pPr>
        <w:pStyle w:val="Heading2"/>
      </w:pPr>
      <w:r>
        <w:t>5.2. Фармакокинетични свойства</w:t>
      </w:r>
    </w:p>
    <w:p w14:paraId="3BBE662C" w14:textId="12626A19" w:rsidR="000A6762" w:rsidRDefault="000A6762" w:rsidP="000A6762"/>
    <w:p w14:paraId="1C2FB170"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Ацетилсалицилова киселина:</w:t>
      </w:r>
    </w:p>
    <w:p w14:paraId="6CB6CAE2"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След перорално приложение, ацетилсалициловата киселина се абсорбира бързо и напълно от стомашно-чревния тракт. По време на и след абсорбцията ацетилсалициловата киселина се превръща в основния си метаболит салицилова киселина. Максимални плазмени нива се достигат след 13-19 минути (диапазон на медиани) с максимални плазмени концентрации от 11 до 15 μ</w:t>
      </w:r>
      <w:r w:rsidRPr="000A6762">
        <w:rPr>
          <w:rFonts w:eastAsia="Times New Roman" w:cs="Arial"/>
          <w:color w:val="000000"/>
          <w:lang w:val="en-US"/>
        </w:rPr>
        <w:t xml:space="preserve">g/mL </w:t>
      </w:r>
      <w:r w:rsidRPr="000A6762">
        <w:rPr>
          <w:rFonts w:eastAsia="Times New Roman" w:cs="Arial"/>
          <w:color w:val="000000"/>
          <w:lang w:eastAsia="bg-BG"/>
        </w:rPr>
        <w:t>(диапазон на геометрични средни стойности), както е показано в проучванията на Вауег. Както ацетилсалициловата киселина, така и салициловата киселина, са свързани в голяма степен с плазмените протеини и бързо се разпределят във всички части на тялото. Салициловата киселина се появява в кърмата и преминава в плацентата.</w:t>
      </w:r>
    </w:p>
    <w:p w14:paraId="3B923EF5"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Салициловата киселина се елиминира главно чрез чернодробен метаболизъм. Метаболитите включват салицилпикочна киселина, салицилфенолов глюкуронид, салицилацилов глюкуронид, гентизинова киселина и гентизинпикочна киселина.</w:t>
      </w:r>
    </w:p>
    <w:p w14:paraId="74860468"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Кинетиката на елиминиране на салициловата киселина е дозо-зависима, тъй като метаболизмът е ограничен от капацитета на чернодробните ензими. Така, елиминационният полуживот варира между 2 до 3 часа след ниски дози до около 15 часа при високи дози. Салициловата киселина и нейните метаболити се екскретират главно чрез бъбреците.</w:t>
      </w:r>
    </w:p>
    <w:p w14:paraId="26DE3AA9" w14:textId="77777777" w:rsidR="000A6762" w:rsidRPr="000A6762" w:rsidRDefault="000A6762" w:rsidP="000A6762">
      <w:pPr>
        <w:spacing w:line="240" w:lineRule="auto"/>
        <w:rPr>
          <w:rFonts w:eastAsia="Times New Roman" w:cs="Arial"/>
          <w:color w:val="000000"/>
          <w:lang w:eastAsia="bg-BG"/>
        </w:rPr>
      </w:pPr>
    </w:p>
    <w:p w14:paraId="54640DF4" w14:textId="3620E42C"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Псевдоефедрин:</w:t>
      </w:r>
    </w:p>
    <w:p w14:paraId="1D78335E"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Лекарството се резорбира бързо. Максимални плазмени нива се достигат след 40 до 50 минути (диапазон на медианите) с максимални плазмени концентрации от 122 до 147 μ</w:t>
      </w:r>
      <w:r w:rsidRPr="000A6762">
        <w:rPr>
          <w:rFonts w:eastAsia="Times New Roman" w:cs="Arial"/>
          <w:color w:val="000000"/>
          <w:lang w:val="en-US"/>
        </w:rPr>
        <w:t xml:space="preserve">g/L </w:t>
      </w:r>
      <w:r w:rsidRPr="000A6762">
        <w:rPr>
          <w:rFonts w:eastAsia="Times New Roman" w:cs="Arial"/>
          <w:color w:val="000000"/>
          <w:lang w:eastAsia="bg-BG"/>
        </w:rPr>
        <w:t xml:space="preserve">(диапазон на геометричните средни стойности), както е показано в проучванията на Вауег. Обемът на разпределение на псевдоефедрин е 2 до 3.3 </w:t>
      </w:r>
      <w:r w:rsidRPr="000A6762">
        <w:rPr>
          <w:rFonts w:eastAsia="Times New Roman" w:cs="Arial"/>
          <w:color w:val="000000"/>
          <w:lang w:val="en-US"/>
        </w:rPr>
        <w:t xml:space="preserve">L. </w:t>
      </w:r>
      <w:r w:rsidRPr="000A6762">
        <w:rPr>
          <w:rFonts w:eastAsia="Times New Roman" w:cs="Arial"/>
          <w:color w:val="000000"/>
          <w:lang w:eastAsia="bg-BG"/>
        </w:rPr>
        <w:t xml:space="preserve">Приблизително 70% до 90% от псевдоефедрин се екскретира непроменено в урината. Основният активен метаболит норпсевдоефедрин се екскретира в урината в около 1% от дозата на псевдоефедрина при нормални лица, но може да бъде около 6% от приложената доза при пациенти с хронично алкална урина. Алкализирането на урината може да намали екскрецията, особено при </w:t>
      </w:r>
      <w:r w:rsidRPr="000A6762">
        <w:rPr>
          <w:rFonts w:eastAsia="Times New Roman" w:cs="Arial"/>
          <w:color w:val="000000"/>
          <w:lang w:val="en-US"/>
        </w:rPr>
        <w:t xml:space="preserve">pH </w:t>
      </w:r>
      <w:r w:rsidRPr="000A6762">
        <w:rPr>
          <w:rFonts w:eastAsia="Times New Roman" w:cs="Arial"/>
          <w:color w:val="000000"/>
          <w:lang w:eastAsia="bg-BG"/>
        </w:rPr>
        <w:t>над 5.5. Псевдоефедрин се екскретира в кърмата при човека.</w:t>
      </w:r>
    </w:p>
    <w:p w14:paraId="27575BF1"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 xml:space="preserve">Полуживотът на лекарството е 5 до 6 часа при </w:t>
      </w:r>
      <w:r w:rsidRPr="000A6762">
        <w:rPr>
          <w:rFonts w:eastAsia="Times New Roman" w:cs="Arial"/>
          <w:color w:val="000000"/>
          <w:lang w:val="en-US"/>
        </w:rPr>
        <w:t xml:space="preserve">pH </w:t>
      </w:r>
      <w:r w:rsidRPr="000A6762">
        <w:rPr>
          <w:rFonts w:eastAsia="Times New Roman" w:cs="Arial"/>
          <w:color w:val="000000"/>
          <w:lang w:eastAsia="bg-BG"/>
        </w:rPr>
        <w:t xml:space="preserve">на урината 5 до 6. Полуживотьт на лекарството обаче зависи от </w:t>
      </w:r>
      <w:r w:rsidRPr="000A6762">
        <w:rPr>
          <w:rFonts w:eastAsia="Times New Roman" w:cs="Arial"/>
          <w:color w:val="000000"/>
          <w:lang w:val="en-US"/>
        </w:rPr>
        <w:t xml:space="preserve">pH </w:t>
      </w:r>
      <w:r w:rsidRPr="000A6762">
        <w:rPr>
          <w:rFonts w:eastAsia="Times New Roman" w:cs="Arial"/>
          <w:color w:val="000000"/>
          <w:lang w:eastAsia="bg-BG"/>
        </w:rPr>
        <w:t>на урината: съобщава се за 50 часа при пациент с персистиращо алкална урина и 1,5 часа при пациент с много кисела урина.</w:t>
      </w:r>
    </w:p>
    <w:p w14:paraId="5D6EE844" w14:textId="77777777" w:rsidR="000A6762" w:rsidRPr="000A6762" w:rsidRDefault="000A6762" w:rsidP="000A6762">
      <w:pPr>
        <w:spacing w:line="240" w:lineRule="auto"/>
        <w:rPr>
          <w:rFonts w:eastAsia="Times New Roman" w:cs="Arial"/>
          <w:sz w:val="24"/>
          <w:szCs w:val="24"/>
          <w:lang w:eastAsia="bg-BG"/>
        </w:rPr>
      </w:pPr>
      <w:r w:rsidRPr="000A6762">
        <w:rPr>
          <w:rFonts w:eastAsia="Times New Roman" w:cs="Arial"/>
          <w:color w:val="000000"/>
          <w:lang w:eastAsia="bg-BG"/>
        </w:rPr>
        <w:t>Конвенционалната хемодиализа е само минимално ефективна за отстраняване на псевдоефедрина.</w:t>
      </w:r>
    </w:p>
    <w:p w14:paraId="648CF8D4" w14:textId="77777777" w:rsidR="000A6762" w:rsidRPr="000A6762" w:rsidRDefault="000A6762" w:rsidP="000A6762"/>
    <w:p w14:paraId="0BD5B037" w14:textId="31CC2C04" w:rsidR="008F7F23" w:rsidRDefault="002C50EE" w:rsidP="00340E8D">
      <w:pPr>
        <w:pStyle w:val="Heading2"/>
      </w:pPr>
      <w:r>
        <w:t>5.3. Предклинични данни за безопасност</w:t>
      </w:r>
    </w:p>
    <w:p w14:paraId="00C15CCA" w14:textId="151161DD" w:rsidR="000A6762" w:rsidRDefault="000A6762" w:rsidP="000A6762"/>
    <w:p w14:paraId="56E422C4" w14:textId="19136A89" w:rsidR="000A6762" w:rsidRPr="000A6762" w:rsidRDefault="000A6762" w:rsidP="000A6762">
      <w:pPr>
        <w:rPr>
          <w:sz w:val="24"/>
          <w:szCs w:val="24"/>
          <w:lang w:eastAsia="bg-BG"/>
        </w:rPr>
      </w:pPr>
      <w:r w:rsidRPr="000A6762">
        <w:rPr>
          <w:lang w:eastAsia="bg-BG"/>
        </w:rPr>
        <w:t>Предклиничният профил на безопасност на ацетилсалициловата киселина с добре документиран. При изследвания на животни салицилатите увреждат бъбреците и предпазват</w:t>
      </w:r>
      <w:r w:rsidRPr="000A6762">
        <w:rPr>
          <w:b/>
          <w:bCs/>
          <w:lang w:eastAsia="bg-BG"/>
        </w:rPr>
        <w:t xml:space="preserve"> </w:t>
      </w:r>
      <w:r w:rsidRPr="000A6762">
        <w:rPr>
          <w:lang w:eastAsia="bg-BG"/>
        </w:rPr>
        <w:t>стомашно-чревни язви, Ацетилсалициловата киселина е адекватно тествана за мутагенност и</w:t>
      </w:r>
      <w:r>
        <w:rPr>
          <w:sz w:val="24"/>
          <w:szCs w:val="24"/>
          <w:lang w:eastAsia="bg-BG"/>
        </w:rPr>
        <w:t xml:space="preserve"> </w:t>
      </w:r>
      <w:r w:rsidRPr="000A6762">
        <w:rPr>
          <w:lang w:eastAsia="bg-BG"/>
        </w:rPr>
        <w:t>канцерогенност. Не са установени релевантни данни за мутагенен или канцерогенен потенциал.</w:t>
      </w:r>
    </w:p>
    <w:p w14:paraId="284F5B4A" w14:textId="076DFC21" w:rsidR="000A6762" w:rsidRDefault="000A6762" w:rsidP="000A6762">
      <w:pPr>
        <w:rPr>
          <w:lang w:eastAsia="bg-BG"/>
        </w:rPr>
      </w:pPr>
    </w:p>
    <w:p w14:paraId="1F7BDA11" w14:textId="77777777" w:rsidR="000A6762" w:rsidRPr="000A6762" w:rsidRDefault="000A6762" w:rsidP="000A6762">
      <w:pPr>
        <w:rPr>
          <w:sz w:val="24"/>
          <w:szCs w:val="24"/>
          <w:lang w:eastAsia="bg-BG"/>
        </w:rPr>
      </w:pPr>
      <w:r w:rsidRPr="000A6762">
        <w:rPr>
          <w:lang w:eastAsia="bg-BG"/>
        </w:rPr>
        <w:t>Установено е, че салицилатите имат тератогенни ефекти в редица животински видове. Има съобщения за нарушения на имплантацията, ембриотоксични и фетотоксични ефекти и нарушения на възможностите за обучение на потомството след пренатална експозиция.</w:t>
      </w:r>
    </w:p>
    <w:p w14:paraId="7ECB7C95" w14:textId="77777777" w:rsidR="000A6762" w:rsidRDefault="000A6762" w:rsidP="000A6762">
      <w:pPr>
        <w:rPr>
          <w:lang w:eastAsia="bg-BG"/>
        </w:rPr>
      </w:pPr>
    </w:p>
    <w:p w14:paraId="216E3417" w14:textId="33F5FBD9" w:rsidR="000A6762" w:rsidRPr="000A6762" w:rsidRDefault="000A6762" w:rsidP="000A6762">
      <w:r w:rsidRPr="000A6762">
        <w:rPr>
          <w:lang w:eastAsia="bg-BG"/>
        </w:rPr>
        <w:t>Псевдоефедрин е назален деконгестант с продължителен опит от приложение при човека. Няма данни за мутагенен потенциал на псевдоефедрин. В токсична за майката доза псевдоефедрин индуцира фетотоксичност (намалено фетално тегло и забавена осификация) при плъхове. Не са провеждани проучвания на фертилитета или пери-постнатални изследвания с псевдоефедрин.</w:t>
      </w:r>
    </w:p>
    <w:p w14:paraId="357049A8" w14:textId="18EACB69" w:rsidR="00BB22B4" w:rsidRDefault="002C50EE" w:rsidP="00471F10">
      <w:pPr>
        <w:pStyle w:val="Heading1"/>
      </w:pPr>
      <w:r>
        <w:t>7. ПРИТЕЖАТЕЛ НА РАЗРЕШЕНИЕТО ЗА УПОТРЕБА</w:t>
      </w:r>
    </w:p>
    <w:p w14:paraId="028A331F" w14:textId="0AD7D3AD" w:rsidR="000A6762" w:rsidRDefault="000A6762" w:rsidP="000A6762"/>
    <w:p w14:paraId="4DD95254" w14:textId="77777777" w:rsidR="000A6762" w:rsidRPr="000A6762" w:rsidRDefault="000A6762" w:rsidP="000A6762">
      <w:pPr>
        <w:rPr>
          <w:sz w:val="24"/>
          <w:szCs w:val="24"/>
          <w:lang w:eastAsia="bg-BG"/>
        </w:rPr>
      </w:pPr>
      <w:r w:rsidRPr="000A6762">
        <w:rPr>
          <w:lang w:eastAsia="bg-BG"/>
        </w:rPr>
        <w:t>Байер България ЕООД</w:t>
      </w:r>
    </w:p>
    <w:p w14:paraId="25383AF5" w14:textId="77777777" w:rsidR="000A6762" w:rsidRPr="000A6762" w:rsidRDefault="000A6762" w:rsidP="000A6762">
      <w:pPr>
        <w:rPr>
          <w:sz w:val="24"/>
          <w:szCs w:val="24"/>
          <w:lang w:eastAsia="bg-BG"/>
        </w:rPr>
      </w:pPr>
      <w:r w:rsidRPr="000A6762">
        <w:rPr>
          <w:lang w:eastAsia="bg-BG"/>
        </w:rPr>
        <w:t>Ул. “Резбарска” № 5</w:t>
      </w:r>
    </w:p>
    <w:p w14:paraId="793A85B1" w14:textId="77777777" w:rsidR="000A6762" w:rsidRPr="000A6762" w:rsidRDefault="000A6762" w:rsidP="000A6762">
      <w:pPr>
        <w:rPr>
          <w:sz w:val="24"/>
          <w:szCs w:val="24"/>
          <w:lang w:eastAsia="bg-BG"/>
        </w:rPr>
      </w:pPr>
      <w:r w:rsidRPr="000A6762">
        <w:rPr>
          <w:lang w:eastAsia="bg-BG"/>
        </w:rPr>
        <w:t>гр. София 1510, България</w:t>
      </w:r>
    </w:p>
    <w:p w14:paraId="14E05C29" w14:textId="77777777" w:rsidR="000A6762" w:rsidRPr="000A6762" w:rsidRDefault="000A6762" w:rsidP="000A6762"/>
    <w:p w14:paraId="0A53321D" w14:textId="6F4FE3A9" w:rsidR="00EE6C97" w:rsidRDefault="00936AD0" w:rsidP="00A93499">
      <w:pPr>
        <w:pStyle w:val="Heading1"/>
      </w:pPr>
      <w:r>
        <w:t>8.</w:t>
      </w:r>
      <w:r w:rsidR="002C50EE">
        <w:t>НОМЕР НА РАЗРЕШЕНИЕТО ЗА УПОТРЕБА</w:t>
      </w:r>
    </w:p>
    <w:p w14:paraId="66DDB025" w14:textId="61BB6F0E" w:rsidR="000A6762" w:rsidRDefault="000A6762" w:rsidP="000A6762"/>
    <w:p w14:paraId="6EA05056" w14:textId="3EF15C4F" w:rsidR="000A6762" w:rsidRPr="000A6762" w:rsidRDefault="000A6762" w:rsidP="000A6762">
      <w:pPr>
        <w:rPr>
          <w:sz w:val="24"/>
          <w:szCs w:val="24"/>
          <w:lang w:eastAsia="bg-BG"/>
        </w:rPr>
      </w:pPr>
      <w:r w:rsidRPr="000A6762">
        <w:rPr>
          <w:lang w:val="en-US"/>
        </w:rPr>
        <w:t xml:space="preserve">Per. </w:t>
      </w:r>
      <w:r w:rsidRPr="000A6762">
        <w:rPr>
          <w:lang w:eastAsia="bg-BG"/>
        </w:rPr>
        <w:t>№20130361</w:t>
      </w:r>
    </w:p>
    <w:p w14:paraId="3715C10B" w14:textId="133C6329" w:rsidR="00BB22B4" w:rsidRDefault="002C50EE" w:rsidP="00471F10">
      <w:pPr>
        <w:pStyle w:val="Heading1"/>
      </w:pPr>
      <w:r>
        <w:t>9. ДАТА НА ПЪРВО РАЗРЕШАВАНЕ/ПОДНОВЯВАНЕ НА РАЗРЕШЕНИЕТО ЗА УПОТРЕБА</w:t>
      </w:r>
    </w:p>
    <w:p w14:paraId="0EB4D6DE" w14:textId="4AA3B440" w:rsidR="000A6762" w:rsidRDefault="000A6762" w:rsidP="000A6762"/>
    <w:p w14:paraId="558633EB" w14:textId="77777777" w:rsidR="000A6762" w:rsidRPr="000A6762" w:rsidRDefault="000A6762" w:rsidP="000A6762">
      <w:pPr>
        <w:rPr>
          <w:sz w:val="24"/>
          <w:szCs w:val="24"/>
          <w:lang w:eastAsia="bg-BG"/>
        </w:rPr>
      </w:pPr>
      <w:r w:rsidRPr="000A6762">
        <w:rPr>
          <w:lang w:eastAsia="bg-BG"/>
        </w:rPr>
        <w:t>Дата на първо разрешаване: 29 октомври 2013 г.</w:t>
      </w:r>
    </w:p>
    <w:p w14:paraId="0546DE89" w14:textId="6209B413" w:rsidR="000A6762" w:rsidRPr="000A6762" w:rsidRDefault="000A6762" w:rsidP="000A6762">
      <w:pPr>
        <w:rPr>
          <w:sz w:val="24"/>
          <w:szCs w:val="24"/>
          <w:lang w:eastAsia="bg-BG"/>
        </w:rPr>
      </w:pPr>
      <w:r w:rsidRPr="000A6762">
        <w:rPr>
          <w:lang w:eastAsia="bg-BG"/>
        </w:rPr>
        <w:t>Дата на последно подновяване: 05 септември 2018 г.</w:t>
      </w:r>
    </w:p>
    <w:p w14:paraId="43FB38A2" w14:textId="0C18A683" w:rsidR="007C605B" w:rsidRDefault="002C50EE" w:rsidP="005726E3">
      <w:pPr>
        <w:pStyle w:val="Heading1"/>
      </w:pPr>
      <w:r>
        <w:t>10. ДАТА НА АКТУАЛИЗИРАНЕ НА ТЕКСТА</w:t>
      </w:r>
      <w:bookmarkEnd w:id="0"/>
    </w:p>
    <w:p w14:paraId="472617BD" w14:textId="05B85635" w:rsidR="00BB22B4" w:rsidRPr="00BB22B4" w:rsidRDefault="000A6762" w:rsidP="000A6762">
      <w:r>
        <w:t>04/2021</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75D54"/>
    <w:multiLevelType w:val="hybridMultilevel"/>
    <w:tmpl w:val="79A889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3E0C14A5"/>
    <w:multiLevelType w:val="hybridMultilevel"/>
    <w:tmpl w:val="63CE4C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A2542"/>
    <w:multiLevelType w:val="hybridMultilevel"/>
    <w:tmpl w:val="09E61E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D667A64"/>
    <w:multiLevelType w:val="hybridMultilevel"/>
    <w:tmpl w:val="2A044F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2"/>
  </w:num>
  <w:num w:numId="2" w16cid:durableId="1612932146">
    <w:abstractNumId w:val="0"/>
  </w:num>
  <w:num w:numId="3" w16cid:durableId="1810323821">
    <w:abstractNumId w:val="16"/>
  </w:num>
  <w:num w:numId="4" w16cid:durableId="2135319613">
    <w:abstractNumId w:val="3"/>
  </w:num>
  <w:num w:numId="5" w16cid:durableId="740105516">
    <w:abstractNumId w:val="1"/>
  </w:num>
  <w:num w:numId="6" w16cid:durableId="1668363208">
    <w:abstractNumId w:val="21"/>
  </w:num>
  <w:num w:numId="7" w16cid:durableId="1241988161">
    <w:abstractNumId w:val="13"/>
  </w:num>
  <w:num w:numId="8" w16cid:durableId="2102022361">
    <w:abstractNumId w:val="19"/>
  </w:num>
  <w:num w:numId="9" w16cid:durableId="1154613663">
    <w:abstractNumId w:val="2"/>
  </w:num>
  <w:num w:numId="10" w16cid:durableId="1733848127">
    <w:abstractNumId w:val="4"/>
  </w:num>
  <w:num w:numId="11" w16cid:durableId="1861704680">
    <w:abstractNumId w:val="35"/>
  </w:num>
  <w:num w:numId="12" w16cid:durableId="1434934028">
    <w:abstractNumId w:val="17"/>
  </w:num>
  <w:num w:numId="13" w16cid:durableId="479157895">
    <w:abstractNumId w:val="24"/>
  </w:num>
  <w:num w:numId="14" w16cid:durableId="1670476636">
    <w:abstractNumId w:val="15"/>
  </w:num>
  <w:num w:numId="15" w16cid:durableId="1000155783">
    <w:abstractNumId w:val="34"/>
  </w:num>
  <w:num w:numId="16" w16cid:durableId="2056420707">
    <w:abstractNumId w:val="12"/>
  </w:num>
  <w:num w:numId="17" w16cid:durableId="1787119182">
    <w:abstractNumId w:val="29"/>
  </w:num>
  <w:num w:numId="18" w16cid:durableId="722945139">
    <w:abstractNumId w:val="9"/>
  </w:num>
  <w:num w:numId="19" w16cid:durableId="1678728408">
    <w:abstractNumId w:val="31"/>
  </w:num>
  <w:num w:numId="20" w16cid:durableId="1970816657">
    <w:abstractNumId w:val="28"/>
  </w:num>
  <w:num w:numId="21" w16cid:durableId="1531146514">
    <w:abstractNumId w:val="22"/>
  </w:num>
  <w:num w:numId="22" w16cid:durableId="1276465">
    <w:abstractNumId w:val="30"/>
  </w:num>
  <w:num w:numId="23" w16cid:durableId="1624310558">
    <w:abstractNumId w:val="23"/>
  </w:num>
  <w:num w:numId="24" w16cid:durableId="1692877547">
    <w:abstractNumId w:val="10"/>
  </w:num>
  <w:num w:numId="25" w16cid:durableId="50930855">
    <w:abstractNumId w:val="27"/>
  </w:num>
  <w:num w:numId="26" w16cid:durableId="176701536">
    <w:abstractNumId w:val="26"/>
  </w:num>
  <w:num w:numId="27" w16cid:durableId="2050564750">
    <w:abstractNumId w:val="37"/>
  </w:num>
  <w:num w:numId="28" w16cid:durableId="1820733422">
    <w:abstractNumId w:val="7"/>
  </w:num>
  <w:num w:numId="29" w16cid:durableId="973678124">
    <w:abstractNumId w:val="25"/>
  </w:num>
  <w:num w:numId="30" w16cid:durableId="154884452">
    <w:abstractNumId w:val="42"/>
  </w:num>
  <w:num w:numId="31" w16cid:durableId="1053964910">
    <w:abstractNumId w:val="5"/>
  </w:num>
  <w:num w:numId="32" w16cid:durableId="2073575793">
    <w:abstractNumId w:val="39"/>
  </w:num>
  <w:num w:numId="33" w16cid:durableId="1566643170">
    <w:abstractNumId w:val="33"/>
  </w:num>
  <w:num w:numId="34" w16cid:durableId="2060787732">
    <w:abstractNumId w:val="38"/>
  </w:num>
  <w:num w:numId="35" w16cid:durableId="34161354">
    <w:abstractNumId w:val="8"/>
  </w:num>
  <w:num w:numId="36" w16cid:durableId="1976908676">
    <w:abstractNumId w:val="11"/>
  </w:num>
  <w:num w:numId="37" w16cid:durableId="758528303">
    <w:abstractNumId w:val="18"/>
  </w:num>
  <w:num w:numId="38" w16cid:durableId="178396561">
    <w:abstractNumId w:val="40"/>
  </w:num>
  <w:num w:numId="39" w16cid:durableId="934825996">
    <w:abstractNumId w:val="14"/>
  </w:num>
  <w:num w:numId="40" w16cid:durableId="1708483030">
    <w:abstractNumId w:val="6"/>
  </w:num>
  <w:num w:numId="41" w16cid:durableId="739594271">
    <w:abstractNumId w:val="41"/>
  </w:num>
  <w:num w:numId="42" w16cid:durableId="1569993099">
    <w:abstractNumId w:val="36"/>
  </w:num>
  <w:num w:numId="43" w16cid:durableId="8988281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A6762"/>
    <w:rsid w:val="00185A46"/>
    <w:rsid w:val="001915B6"/>
    <w:rsid w:val="001A6EBD"/>
    <w:rsid w:val="001D095A"/>
    <w:rsid w:val="001D1B23"/>
    <w:rsid w:val="002B3C38"/>
    <w:rsid w:val="002B4DBB"/>
    <w:rsid w:val="002C50EE"/>
    <w:rsid w:val="00340A0A"/>
    <w:rsid w:val="00340E8D"/>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3460</Words>
  <Characters>19727</Characters>
  <Application>Microsoft Office Word</Application>
  <DocSecurity>0</DocSecurity>
  <Lines>164</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2023-01-29T17:57:00Z</dcterms:created>
  <dcterms:modified xsi:type="dcterms:W3CDTF">2023-01-29T17:57:00Z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