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26E2B4F6" w:rsidR="00AA23EC" w:rsidRDefault="00DD466D" w:rsidP="00DD466D">
      <w:pPr>
        <w:pStyle w:val="1"/>
      </w:pPr>
      <w:r>
        <w:t>1.ИМЕ НА ЛЕКАРСТВЕНИЯ ПРОДУКТ</w:t>
      </w:r>
    </w:p>
    <w:p w14:paraId="62451031" w14:textId="779EA5D2" w:rsidR="00431560" w:rsidRDefault="00431560" w:rsidP="00431560"/>
    <w:p w14:paraId="227F9D24" w14:textId="77777777" w:rsidR="00431560" w:rsidRPr="00431560" w:rsidRDefault="00431560" w:rsidP="00431560">
      <w:pPr>
        <w:rPr>
          <w:sz w:val="24"/>
          <w:szCs w:val="24"/>
          <w:lang w:val="en-US"/>
        </w:rPr>
      </w:pPr>
      <w:r w:rsidRPr="00431560">
        <w:rPr>
          <w:lang w:val="en-US"/>
        </w:rPr>
        <w:t xml:space="preserve">Atenolol </w:t>
      </w:r>
      <w:proofErr w:type="spellStart"/>
      <w:r w:rsidRPr="00431560">
        <w:rPr>
          <w:lang w:val="en-US"/>
        </w:rPr>
        <w:t>Sopharma</w:t>
      </w:r>
      <w:proofErr w:type="spellEnd"/>
      <w:r w:rsidRPr="00431560">
        <w:rPr>
          <w:lang w:val="en-US"/>
        </w:rPr>
        <w:t xml:space="preserve"> </w:t>
      </w:r>
      <w:r w:rsidRPr="00431560">
        <w:rPr>
          <w:lang w:eastAsia="bg-BG"/>
        </w:rPr>
        <w:t xml:space="preserve">25 </w:t>
      </w:r>
      <w:r w:rsidRPr="00431560">
        <w:rPr>
          <w:lang w:val="en-US"/>
        </w:rPr>
        <w:t>mg film-coated tablets</w:t>
      </w:r>
    </w:p>
    <w:p w14:paraId="14BC2501" w14:textId="77777777" w:rsidR="00431560" w:rsidRPr="00431560" w:rsidRDefault="00431560" w:rsidP="00431560">
      <w:pPr>
        <w:rPr>
          <w:sz w:val="24"/>
          <w:szCs w:val="24"/>
          <w:lang w:val="en-US"/>
        </w:rPr>
      </w:pP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Софарма </w:t>
      </w:r>
      <w:r w:rsidRPr="00431560">
        <w:rPr>
          <w:lang w:val="en-US"/>
        </w:rPr>
        <w:t xml:space="preserve">25 mg </w:t>
      </w:r>
      <w:r w:rsidRPr="00431560">
        <w:rPr>
          <w:lang w:eastAsia="bg-BG"/>
        </w:rPr>
        <w:t>филмирани таблетки</w:t>
      </w:r>
    </w:p>
    <w:p w14:paraId="10E45050" w14:textId="77777777" w:rsidR="00431560" w:rsidRPr="00431560" w:rsidRDefault="00431560" w:rsidP="00431560">
      <w:pPr>
        <w:rPr>
          <w:sz w:val="24"/>
          <w:szCs w:val="24"/>
          <w:lang w:val="en-US"/>
        </w:rPr>
      </w:pPr>
      <w:r w:rsidRPr="00431560">
        <w:rPr>
          <w:lang w:val="en-US"/>
        </w:rPr>
        <w:t xml:space="preserve">Atenolol </w:t>
      </w:r>
      <w:proofErr w:type="spellStart"/>
      <w:r w:rsidRPr="00431560">
        <w:rPr>
          <w:lang w:val="en-US"/>
        </w:rPr>
        <w:t>Sopharma</w:t>
      </w:r>
      <w:proofErr w:type="spellEnd"/>
      <w:r w:rsidRPr="00431560">
        <w:rPr>
          <w:lang w:val="en-US"/>
        </w:rPr>
        <w:t xml:space="preserve"> 50 mg film-coated tablets</w:t>
      </w:r>
    </w:p>
    <w:p w14:paraId="1C4C69B8" w14:textId="1FD13CB4" w:rsidR="00431560" w:rsidRDefault="00431560" w:rsidP="00431560">
      <w:pPr>
        <w:rPr>
          <w:lang w:eastAsia="bg-BG"/>
        </w:rPr>
      </w:pP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Софарма </w:t>
      </w:r>
      <w:r w:rsidRPr="00431560">
        <w:rPr>
          <w:lang w:val="en-US"/>
        </w:rPr>
        <w:t xml:space="preserve">50 mg </w:t>
      </w:r>
      <w:r w:rsidRPr="00431560">
        <w:rPr>
          <w:lang w:eastAsia="bg-BG"/>
        </w:rPr>
        <w:t>филмирани таблетки</w:t>
      </w:r>
    </w:p>
    <w:p w14:paraId="3912889A" w14:textId="77777777" w:rsidR="00431560" w:rsidRPr="00431560" w:rsidRDefault="00431560" w:rsidP="00431560"/>
    <w:p w14:paraId="4D88B710" w14:textId="170F532A" w:rsidR="00D86297" w:rsidRDefault="00DD466D" w:rsidP="00AA23EC">
      <w:pPr>
        <w:pStyle w:val="1"/>
      </w:pPr>
      <w:r>
        <w:t>2. КАЧЕСТВЕН И КОЛИЧЕСТВЕН СЪСТАВ</w:t>
      </w:r>
    </w:p>
    <w:p w14:paraId="41F63638" w14:textId="1D8AD285" w:rsidR="00431560" w:rsidRDefault="00431560" w:rsidP="00431560"/>
    <w:p w14:paraId="520C2A74" w14:textId="77777777" w:rsidR="00431560" w:rsidRPr="00431560" w:rsidRDefault="00431560" w:rsidP="00431560">
      <w:pPr>
        <w:rPr>
          <w:sz w:val="24"/>
          <w:szCs w:val="24"/>
        </w:rPr>
      </w:pPr>
      <w:r w:rsidRPr="00431560">
        <w:rPr>
          <w:lang w:eastAsia="bg-BG"/>
        </w:rPr>
        <w:t xml:space="preserve">Филмирани таблетки 25 </w:t>
      </w:r>
      <w:r w:rsidRPr="00431560">
        <w:rPr>
          <w:lang w:val="en-US"/>
        </w:rPr>
        <w:t xml:space="preserve">mg: </w:t>
      </w:r>
      <w:r w:rsidRPr="00431560">
        <w:rPr>
          <w:lang w:eastAsia="bg-BG"/>
        </w:rPr>
        <w:t xml:space="preserve">жълти, кръгли, двойноизпъкнали таблетки, с диаметър 6 </w:t>
      </w:r>
      <w:r w:rsidRPr="00431560">
        <w:rPr>
          <w:lang w:val="en-US"/>
        </w:rPr>
        <w:t>mm.</w:t>
      </w:r>
    </w:p>
    <w:p w14:paraId="37C583C0" w14:textId="77777777" w:rsidR="00431560" w:rsidRPr="00431560" w:rsidRDefault="00431560" w:rsidP="00431560">
      <w:pPr>
        <w:rPr>
          <w:sz w:val="24"/>
          <w:szCs w:val="24"/>
        </w:rPr>
      </w:pPr>
      <w:r w:rsidRPr="00431560">
        <w:rPr>
          <w:lang w:eastAsia="bg-BG"/>
        </w:rPr>
        <w:t xml:space="preserve">Филмирани таблетки 50 </w:t>
      </w:r>
      <w:r w:rsidRPr="00431560">
        <w:rPr>
          <w:lang w:val="en-US"/>
        </w:rPr>
        <w:t xml:space="preserve">mg: </w:t>
      </w:r>
      <w:r w:rsidRPr="00431560">
        <w:rPr>
          <w:lang w:eastAsia="bg-BG"/>
        </w:rPr>
        <w:t xml:space="preserve">бели, кръгли, двойноизпъкнали таблетки, с диаметър 8 </w:t>
      </w:r>
      <w:r w:rsidRPr="00431560">
        <w:rPr>
          <w:lang w:val="en-US"/>
        </w:rPr>
        <w:t>mm.</w:t>
      </w:r>
    </w:p>
    <w:p w14:paraId="2E9F4F2C" w14:textId="77777777" w:rsidR="00431560" w:rsidRDefault="00431560" w:rsidP="00431560"/>
    <w:p w14:paraId="410D87BF" w14:textId="6CDE7E47" w:rsidR="00431560" w:rsidRPr="00431560" w:rsidRDefault="00431560" w:rsidP="00431560">
      <w:pPr>
        <w:rPr>
          <w:sz w:val="24"/>
          <w:szCs w:val="24"/>
        </w:rPr>
      </w:pPr>
      <w:r w:rsidRPr="00431560">
        <w:rPr>
          <w:lang w:eastAsia="bg-BG"/>
        </w:rPr>
        <w:t xml:space="preserve">Всяка филмирана таблетка съдържа активно вещество </w:t>
      </w: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</w:t>
      </w:r>
      <w:r w:rsidRPr="00431560">
        <w:rPr>
          <w:lang w:val="en-US"/>
        </w:rPr>
        <w:t xml:space="preserve">(atenolol) </w:t>
      </w:r>
      <w:r w:rsidRPr="00431560">
        <w:rPr>
          <w:lang w:eastAsia="bg-BG"/>
        </w:rPr>
        <w:t xml:space="preserve">25 </w:t>
      </w:r>
      <w:r w:rsidRPr="00431560">
        <w:rPr>
          <w:lang w:val="en-US"/>
        </w:rPr>
        <w:t xml:space="preserve">mg </w:t>
      </w:r>
      <w:r w:rsidRPr="00431560">
        <w:rPr>
          <w:lang w:eastAsia="bg-BG"/>
        </w:rPr>
        <w:t xml:space="preserve">или 50 </w:t>
      </w:r>
      <w:r w:rsidRPr="00431560">
        <w:rPr>
          <w:lang w:val="en-US"/>
        </w:rPr>
        <w:t>mg.</w:t>
      </w:r>
    </w:p>
    <w:p w14:paraId="7E599F87" w14:textId="3F1D94B3" w:rsidR="00431560" w:rsidRPr="00431560" w:rsidRDefault="00431560" w:rsidP="00431560">
      <w:r w:rsidRPr="00431560">
        <w:rPr>
          <w:lang w:eastAsia="bg-BG"/>
        </w:rPr>
        <w:t>Помощни вещества: лактоза, пшенично нишесте.</w:t>
      </w:r>
    </w:p>
    <w:p w14:paraId="5E332777" w14:textId="30AD1BAF" w:rsidR="005A66D9" w:rsidRDefault="00DD466D" w:rsidP="00CA1B57">
      <w:pPr>
        <w:pStyle w:val="1"/>
      </w:pPr>
      <w:r>
        <w:t>3. ЛЕКАРСТВЕНА ФОРМА</w:t>
      </w:r>
    </w:p>
    <w:p w14:paraId="7C0BD419" w14:textId="6CD4C6E1" w:rsidR="00431560" w:rsidRDefault="00431560" w:rsidP="00431560"/>
    <w:p w14:paraId="39DE930F" w14:textId="1AF3652A" w:rsidR="00431560" w:rsidRPr="00431560" w:rsidRDefault="00431560" w:rsidP="00431560">
      <w:pPr>
        <w:rPr>
          <w:sz w:val="24"/>
          <w:szCs w:val="24"/>
        </w:rPr>
      </w:pPr>
      <w:r w:rsidRPr="00431560">
        <w:rPr>
          <w:lang w:eastAsia="bg-BG"/>
        </w:rPr>
        <w:t>Филмирана таблетка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067CC265" w:rsidR="003765DC" w:rsidRDefault="003765DC" w:rsidP="003765DC"/>
    <w:p w14:paraId="6233F25F" w14:textId="34FB58A4" w:rsidR="00431560" w:rsidRPr="00431560" w:rsidRDefault="00431560" w:rsidP="00431560">
      <w:pPr>
        <w:pStyle w:val="a3"/>
        <w:numPr>
          <w:ilvl w:val="0"/>
          <w:numId w:val="27"/>
        </w:numPr>
        <w:rPr>
          <w:lang w:eastAsia="bg-BG"/>
        </w:rPr>
      </w:pPr>
      <w:r w:rsidRPr="00431560">
        <w:rPr>
          <w:lang w:eastAsia="bg-BG"/>
        </w:rPr>
        <w:t>Контрол на артериална хипертония;</w:t>
      </w:r>
    </w:p>
    <w:p w14:paraId="7DE60704" w14:textId="77777777" w:rsidR="00431560" w:rsidRPr="00431560" w:rsidRDefault="00431560" w:rsidP="00431560">
      <w:pPr>
        <w:pStyle w:val="a3"/>
        <w:numPr>
          <w:ilvl w:val="0"/>
          <w:numId w:val="27"/>
        </w:numPr>
        <w:rPr>
          <w:lang w:eastAsia="bg-BG"/>
        </w:rPr>
      </w:pPr>
      <w:r w:rsidRPr="00431560">
        <w:rPr>
          <w:lang w:eastAsia="bg-BG"/>
        </w:rPr>
        <w:t xml:space="preserve">Повлияване на ангина </w:t>
      </w:r>
      <w:proofErr w:type="spellStart"/>
      <w:r w:rsidRPr="00431560">
        <w:rPr>
          <w:lang w:eastAsia="bg-BG"/>
        </w:rPr>
        <w:t>пекторис</w:t>
      </w:r>
      <w:proofErr w:type="spellEnd"/>
      <w:r w:rsidRPr="00431560">
        <w:rPr>
          <w:lang w:eastAsia="bg-BG"/>
        </w:rPr>
        <w:t>;</w:t>
      </w:r>
    </w:p>
    <w:p w14:paraId="7CA822DB" w14:textId="77777777" w:rsidR="00431560" w:rsidRPr="00431560" w:rsidRDefault="00431560" w:rsidP="00431560">
      <w:pPr>
        <w:pStyle w:val="a3"/>
        <w:numPr>
          <w:ilvl w:val="0"/>
          <w:numId w:val="27"/>
        </w:numPr>
        <w:rPr>
          <w:lang w:eastAsia="bg-BG"/>
        </w:rPr>
      </w:pPr>
      <w:r w:rsidRPr="00431560">
        <w:rPr>
          <w:lang w:eastAsia="bg-BG"/>
        </w:rPr>
        <w:t>Контрол на сърдечни аритмии;</w:t>
      </w:r>
    </w:p>
    <w:p w14:paraId="23AA4F5A" w14:textId="148C011C" w:rsidR="00431560" w:rsidRPr="00431560" w:rsidRDefault="00431560" w:rsidP="00431560">
      <w:pPr>
        <w:pStyle w:val="a3"/>
        <w:numPr>
          <w:ilvl w:val="0"/>
          <w:numId w:val="27"/>
        </w:numPr>
        <w:rPr>
          <w:lang w:eastAsia="bg-BG"/>
        </w:rPr>
      </w:pPr>
      <w:r w:rsidRPr="00431560">
        <w:rPr>
          <w:lang w:eastAsia="bg-BG"/>
        </w:rPr>
        <w:t>Инфаркт на миокарда - като ранна интервенция в острата фаза и за дълговременна</w:t>
      </w:r>
      <w:r>
        <w:rPr>
          <w:lang w:eastAsia="bg-BG"/>
        </w:rPr>
        <w:t xml:space="preserve"> </w:t>
      </w:r>
      <w:r w:rsidRPr="00431560">
        <w:rPr>
          <w:lang w:eastAsia="bg-BG"/>
        </w:rPr>
        <w:t>профилактика във възстановителния период.</w:t>
      </w:r>
    </w:p>
    <w:p w14:paraId="7B3A50C3" w14:textId="77777777" w:rsidR="00431560" w:rsidRPr="003765DC" w:rsidRDefault="00431560" w:rsidP="003765DC"/>
    <w:p w14:paraId="66024DB0" w14:textId="5A13408C" w:rsidR="003765DC" w:rsidRDefault="002C50EE" w:rsidP="002B3C38">
      <w:pPr>
        <w:pStyle w:val="2"/>
      </w:pPr>
      <w:r>
        <w:t>4.2. Дозировка и начин на приложение</w:t>
      </w:r>
    </w:p>
    <w:p w14:paraId="2FA02F99" w14:textId="2F4EDA46" w:rsidR="00431560" w:rsidRDefault="00431560" w:rsidP="00431560"/>
    <w:p w14:paraId="7E8D9597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u w:val="single"/>
          <w:lang w:eastAsia="bg-BG"/>
        </w:rPr>
        <w:t>Дозировка</w:t>
      </w:r>
    </w:p>
    <w:p w14:paraId="2C5A7136" w14:textId="77777777" w:rsidR="00431560" w:rsidRDefault="00431560" w:rsidP="00431560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8B0BA45" w14:textId="4BD458AB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4EE698A5" w14:textId="65C796EB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lang w:eastAsia="bg-BG"/>
        </w:rPr>
        <w:t xml:space="preserve">Контрол на артериална хипертония - </w:t>
      </w:r>
      <w:r w:rsidRPr="00431560">
        <w:rPr>
          <w:rFonts w:eastAsia="Times New Roman" w:cs="Arial"/>
          <w:color w:val="000000"/>
          <w:lang w:eastAsia="bg-BG"/>
        </w:rPr>
        <w:t xml:space="preserve">началната доза е 50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 xml:space="preserve">еднократно дневно. При повечето пациенти достатъчен терапевтичен отговор се получава след лечение в продължение на 1-2 седмици. При недостатъчен терапевтичен отговор дозата се повишава до 100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 xml:space="preserve">дневно. Повишаването на дозата над 100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>не води до подобряване на ефекта.</w:t>
      </w:r>
    </w:p>
    <w:p w14:paraId="7F7AD8E4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 xml:space="preserve">Понижаване на артериалното налягане може да се постигне при прилагане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Софарма 25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>с други антихипертензивни продукти.</w:t>
      </w:r>
    </w:p>
    <w:p w14:paraId="26DF92B3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lang w:eastAsia="bg-BG"/>
        </w:rPr>
        <w:lastRenderedPageBreak/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може да се прилага самостоятелно или в комбинация с други антихипертензивни средства -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431560">
        <w:rPr>
          <w:rFonts w:eastAsia="Times New Roman" w:cs="Arial"/>
          <w:color w:val="000000"/>
          <w:lang w:eastAsia="bg-BG"/>
        </w:rPr>
        <w:t>, АСЕ инхибитори, алфа-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адреноблокери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хидралазин</w:t>
      </w:r>
      <w:proofErr w:type="spellEnd"/>
      <w:r w:rsidRPr="00431560">
        <w:rPr>
          <w:rFonts w:eastAsia="Times New Roman" w:cs="Arial"/>
          <w:color w:val="000000"/>
          <w:lang w:eastAsia="bg-BG"/>
        </w:rPr>
        <w:t>, алфа-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метилдопа</w:t>
      </w:r>
      <w:proofErr w:type="spellEnd"/>
      <w:r w:rsidRPr="00431560">
        <w:rPr>
          <w:rFonts w:eastAsia="Times New Roman" w:cs="Arial"/>
          <w:color w:val="000000"/>
          <w:lang w:eastAsia="bg-BG"/>
        </w:rPr>
        <w:t>.</w:t>
      </w:r>
    </w:p>
    <w:p w14:paraId="6A0B97D8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lang w:eastAsia="bg-BG"/>
        </w:rPr>
        <w:t xml:space="preserve">Повлияване на ангина </w:t>
      </w:r>
      <w:proofErr w:type="spellStart"/>
      <w:r w:rsidRPr="00431560">
        <w:rPr>
          <w:rFonts w:eastAsia="Times New Roman" w:cs="Arial"/>
          <w:i/>
          <w:iCs/>
          <w:color w:val="000000"/>
          <w:lang w:eastAsia="bg-BG"/>
        </w:rPr>
        <w:t>пекторис</w:t>
      </w:r>
      <w:proofErr w:type="spellEnd"/>
      <w:r w:rsidRPr="00431560">
        <w:rPr>
          <w:rFonts w:eastAsia="Times New Roman" w:cs="Arial"/>
          <w:i/>
          <w:iCs/>
          <w:color w:val="000000"/>
          <w:lang w:eastAsia="bg-BG"/>
        </w:rPr>
        <w:t xml:space="preserve"> -</w:t>
      </w:r>
      <w:r w:rsidRPr="00431560">
        <w:rPr>
          <w:rFonts w:eastAsia="Times New Roman" w:cs="Arial"/>
          <w:color w:val="000000"/>
          <w:lang w:eastAsia="bg-BG"/>
        </w:rPr>
        <w:t xml:space="preserve"> повечето пациенти със стенокардия отговорят на еднократна перорална доза от 100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 xml:space="preserve">или 50 </w:t>
      </w:r>
      <w:r w:rsidRPr="00431560">
        <w:rPr>
          <w:rFonts w:eastAsia="Times New Roman" w:cs="Arial"/>
          <w:color w:val="000000"/>
          <w:lang w:val="en-US"/>
        </w:rPr>
        <w:t xml:space="preserve">mg, </w:t>
      </w:r>
      <w:r w:rsidRPr="00431560">
        <w:rPr>
          <w:rFonts w:eastAsia="Times New Roman" w:cs="Arial"/>
          <w:color w:val="000000"/>
          <w:lang w:eastAsia="bg-BG"/>
        </w:rPr>
        <w:t>приложена 2 пъти дневно.</w:t>
      </w:r>
    </w:p>
    <w:p w14:paraId="7F187329" w14:textId="695383FA" w:rsidR="00431560" w:rsidRDefault="00431560" w:rsidP="00431560">
      <w:pPr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i/>
          <w:iCs/>
          <w:color w:val="000000"/>
          <w:lang w:eastAsia="bg-BG"/>
        </w:rPr>
        <w:t>Контрол на сърдечни аритмии -</w:t>
      </w:r>
      <w:r w:rsidRPr="00431560">
        <w:rPr>
          <w:rFonts w:eastAsia="Times New Roman" w:cs="Arial"/>
          <w:color w:val="000000"/>
          <w:lang w:eastAsia="bg-BG"/>
        </w:rPr>
        <w:t xml:space="preserve"> след овладяване на аритмията чрез интравенозно прилагане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подходящата перорална поддържаща доза е 50-100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>еднократно дневно.</w:t>
      </w:r>
    </w:p>
    <w:p w14:paraId="43FB0974" w14:textId="10A675BE" w:rsidR="00431560" w:rsidRDefault="00431560" w:rsidP="00431560">
      <w:pPr>
        <w:rPr>
          <w:rFonts w:eastAsia="Times New Roman" w:cs="Arial"/>
          <w:color w:val="000000"/>
          <w:lang w:eastAsia="bg-BG"/>
        </w:rPr>
      </w:pPr>
    </w:p>
    <w:p w14:paraId="20B9EA55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lang w:eastAsia="bg-BG"/>
        </w:rPr>
        <w:t>Инфаркт на миокарда -</w:t>
      </w:r>
      <w:r w:rsidRPr="00431560">
        <w:rPr>
          <w:rFonts w:eastAsia="Times New Roman" w:cs="Arial"/>
          <w:color w:val="000000"/>
          <w:lang w:eastAsia="bg-BG"/>
        </w:rPr>
        <w:t xml:space="preserve"> лечението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под формата на таблетки започва 15 минути след прекратяване на последното му интравенозно приложение при условие, че не са наблюдавани нежелани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лекартвени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реакции по време на интравенозното приложение. На 12-ия час се назначават 50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след което на 24-ия час лечението продължава с доза от 100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 xml:space="preserve">еднократно дневно. При поява на брадикардия и/или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или на други нежелани лекарствени реакции лечението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Софарма трябва да се прекрати.</w:t>
      </w:r>
    </w:p>
    <w:p w14:paraId="175F9413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 xml:space="preserve">За продължителна профилактика на инфаркт на миокарда се препоръчва прилагане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Софарма 100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>дневно.</w:t>
      </w:r>
    </w:p>
    <w:p w14:paraId="6FA34629" w14:textId="77777777" w:rsidR="00431560" w:rsidRDefault="00431560" w:rsidP="00431560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8C06489" w14:textId="67A2E7CB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u w:val="single"/>
          <w:lang w:eastAsia="bg-BG"/>
        </w:rPr>
        <w:t>Деца</w:t>
      </w:r>
    </w:p>
    <w:p w14:paraId="17DDA820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>Досега не е доказана ефективността и безопасността на продукта при деца, поради което не се препоръчва употребата му в тази възраст.</w:t>
      </w:r>
    </w:p>
    <w:p w14:paraId="3D25A11F" w14:textId="77777777" w:rsidR="00431560" w:rsidRDefault="00431560" w:rsidP="00431560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D878AA0" w14:textId="437D68AE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u w:val="single"/>
          <w:lang w:eastAsia="bg-BG"/>
        </w:rPr>
        <w:t>Пациенти с бъбречна недостатъчност:</w:t>
      </w:r>
      <w:r w:rsidRPr="00431560">
        <w:rPr>
          <w:rFonts w:eastAsia="Times New Roman" w:cs="Arial"/>
          <w:color w:val="000000"/>
          <w:lang w:eastAsia="bg-BG"/>
        </w:rPr>
        <w:t xml:space="preserve"> Тъй като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главно с урината, при нарушена бъбречна функция(клирънс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под 35 </w:t>
      </w:r>
      <w:r w:rsidRPr="00431560">
        <w:rPr>
          <w:rFonts w:eastAsia="Times New Roman" w:cs="Arial"/>
          <w:color w:val="000000"/>
          <w:lang w:val="en-US"/>
        </w:rPr>
        <w:t xml:space="preserve">ml/min) </w:t>
      </w:r>
      <w:r w:rsidRPr="00431560">
        <w:rPr>
          <w:rFonts w:eastAsia="Times New Roman" w:cs="Arial"/>
          <w:color w:val="000000"/>
          <w:lang w:eastAsia="bg-BG"/>
        </w:rPr>
        <w:t xml:space="preserve">съществува риск от кумулиране.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не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кумулира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значимо при пациенти с клирънс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над 35 </w:t>
      </w:r>
      <w:r w:rsidRPr="00431560">
        <w:rPr>
          <w:rFonts w:eastAsia="Times New Roman" w:cs="Arial"/>
          <w:color w:val="000000"/>
          <w:lang w:val="en-US"/>
        </w:rPr>
        <w:t xml:space="preserve">ml/min. </w:t>
      </w:r>
      <w:r w:rsidRPr="00431560">
        <w:rPr>
          <w:rFonts w:eastAsia="Times New Roman" w:cs="Arial"/>
          <w:color w:val="000000"/>
          <w:lang w:eastAsia="bg-BG"/>
        </w:rPr>
        <w:t>При пациенти с бъбречна недостатъчност се препоръчва следната максимална доза:</w:t>
      </w:r>
    </w:p>
    <w:p w14:paraId="5CFFC241" w14:textId="24B5FD56" w:rsidR="00431560" w:rsidRDefault="00431560" w:rsidP="00431560">
      <w:pPr>
        <w:rPr>
          <w:rFonts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431560" w14:paraId="457B9596" w14:textId="77777777" w:rsidTr="00431560">
        <w:tc>
          <w:tcPr>
            <w:tcW w:w="3192" w:type="dxa"/>
          </w:tcPr>
          <w:p w14:paraId="037B4092" w14:textId="1D898E58" w:rsidR="00431560" w:rsidRDefault="00431560" w:rsidP="00431560">
            <w:pPr>
              <w:rPr>
                <w:rFonts w:cs="Arial"/>
              </w:rPr>
            </w:pPr>
            <w:r>
              <w:t xml:space="preserve">Клирънс на </w:t>
            </w:r>
            <w:proofErr w:type="spellStart"/>
            <w:r>
              <w:t>креатинина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(ml/min)</w:t>
            </w:r>
          </w:p>
        </w:tc>
        <w:tc>
          <w:tcPr>
            <w:tcW w:w="3192" w:type="dxa"/>
          </w:tcPr>
          <w:p w14:paraId="2A68C4B5" w14:textId="4126917F" w:rsidR="00431560" w:rsidRDefault="00431560" w:rsidP="00431560">
            <w:pPr>
              <w:rPr>
                <w:rFonts w:cs="Arial"/>
              </w:rPr>
            </w:pPr>
            <w:r>
              <w:t xml:space="preserve">Стойности на серумен </w:t>
            </w:r>
            <w:proofErr w:type="spellStart"/>
            <w:r>
              <w:t>креатинин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μmol</w:t>
            </w:r>
            <w:proofErr w:type="spellEnd"/>
            <w:r>
              <w:rPr>
                <w:lang w:val="en-US"/>
              </w:rPr>
              <w:t xml:space="preserve">/l) </w:t>
            </w:r>
            <w:r>
              <w:t xml:space="preserve">при съответния клирънс на </w:t>
            </w:r>
            <w:proofErr w:type="spellStart"/>
            <w:r>
              <w:t>креатинина</w:t>
            </w:r>
            <w:proofErr w:type="spellEnd"/>
          </w:p>
        </w:tc>
        <w:tc>
          <w:tcPr>
            <w:tcW w:w="3192" w:type="dxa"/>
          </w:tcPr>
          <w:p w14:paraId="104F18EA" w14:textId="7FA89292" w:rsidR="00431560" w:rsidRDefault="00431560" w:rsidP="00431560">
            <w:pPr>
              <w:rPr>
                <w:rFonts w:cs="Arial"/>
              </w:rPr>
            </w:pPr>
            <w:r>
              <w:t>Максимална доза</w:t>
            </w:r>
          </w:p>
        </w:tc>
      </w:tr>
      <w:tr w:rsidR="00431560" w14:paraId="2334A88C" w14:textId="77777777" w:rsidTr="00431560">
        <w:tc>
          <w:tcPr>
            <w:tcW w:w="3192" w:type="dxa"/>
          </w:tcPr>
          <w:p w14:paraId="31266765" w14:textId="010BD84A" w:rsidR="00431560" w:rsidRDefault="00431560" w:rsidP="00431560">
            <w:pPr>
              <w:rPr>
                <w:rFonts w:cs="Arial"/>
              </w:rPr>
            </w:pPr>
            <w:r>
              <w:t>15-35</w:t>
            </w:r>
          </w:p>
        </w:tc>
        <w:tc>
          <w:tcPr>
            <w:tcW w:w="3192" w:type="dxa"/>
          </w:tcPr>
          <w:p w14:paraId="2959679B" w14:textId="3E753C11" w:rsidR="00431560" w:rsidRDefault="00431560" w:rsidP="00431560">
            <w:pPr>
              <w:rPr>
                <w:rFonts w:cs="Arial"/>
              </w:rPr>
            </w:pPr>
            <w:r>
              <w:t>300-600</w:t>
            </w:r>
          </w:p>
        </w:tc>
        <w:tc>
          <w:tcPr>
            <w:tcW w:w="3192" w:type="dxa"/>
          </w:tcPr>
          <w:p w14:paraId="65E87DF2" w14:textId="328E1FF6" w:rsidR="00431560" w:rsidRDefault="00431560" w:rsidP="00431560">
            <w:pPr>
              <w:rPr>
                <w:rFonts w:cs="Arial"/>
              </w:rPr>
            </w:pPr>
            <w:r>
              <w:t xml:space="preserve">50 </w:t>
            </w:r>
            <w:r>
              <w:rPr>
                <w:lang w:val="en-US"/>
              </w:rPr>
              <w:t xml:space="preserve">mg </w:t>
            </w:r>
            <w:r>
              <w:t>дневно</w:t>
            </w:r>
          </w:p>
        </w:tc>
      </w:tr>
      <w:tr w:rsidR="00431560" w14:paraId="7E6964AE" w14:textId="77777777" w:rsidTr="00431560">
        <w:tc>
          <w:tcPr>
            <w:tcW w:w="3192" w:type="dxa"/>
          </w:tcPr>
          <w:p w14:paraId="3632D176" w14:textId="116CDFC2" w:rsidR="00431560" w:rsidRDefault="00431560" w:rsidP="00431560">
            <w:pPr>
              <w:rPr>
                <w:rFonts w:cs="Arial"/>
              </w:rPr>
            </w:pPr>
            <w:r>
              <w:t>&lt;15</w:t>
            </w:r>
          </w:p>
        </w:tc>
        <w:tc>
          <w:tcPr>
            <w:tcW w:w="3192" w:type="dxa"/>
          </w:tcPr>
          <w:p w14:paraId="569A6419" w14:textId="18D0E295" w:rsidR="00431560" w:rsidRDefault="00431560" w:rsidP="00431560">
            <w:pPr>
              <w:rPr>
                <w:rFonts w:cs="Arial"/>
              </w:rPr>
            </w:pPr>
            <w:r>
              <w:t>&gt;600</w:t>
            </w:r>
          </w:p>
        </w:tc>
        <w:tc>
          <w:tcPr>
            <w:tcW w:w="3192" w:type="dxa"/>
          </w:tcPr>
          <w:p w14:paraId="20911E16" w14:textId="77777777" w:rsidR="00431560" w:rsidRDefault="00431560" w:rsidP="00431560">
            <w:r>
              <w:t xml:space="preserve">25 </w:t>
            </w:r>
            <w:r>
              <w:rPr>
                <w:lang w:val="en-US"/>
              </w:rPr>
              <w:t xml:space="preserve">mg </w:t>
            </w:r>
            <w:r>
              <w:t>дневно или</w:t>
            </w:r>
          </w:p>
          <w:p w14:paraId="7BFEF0D0" w14:textId="7A3BEF0E" w:rsidR="00431560" w:rsidRDefault="00431560" w:rsidP="00431560">
            <w:pPr>
              <w:rPr>
                <w:rFonts w:cs="Arial"/>
              </w:rPr>
            </w:pPr>
            <w:r>
              <w:t xml:space="preserve">50 </w:t>
            </w:r>
            <w:r>
              <w:rPr>
                <w:lang w:val="en-US"/>
              </w:rPr>
              <w:t xml:space="preserve">mg </w:t>
            </w:r>
            <w:r>
              <w:t>през ден</w:t>
            </w:r>
          </w:p>
        </w:tc>
      </w:tr>
    </w:tbl>
    <w:p w14:paraId="74C4821D" w14:textId="7BEA82A9" w:rsidR="00431560" w:rsidRDefault="00431560" w:rsidP="00431560">
      <w:pPr>
        <w:rPr>
          <w:rFonts w:cs="Arial"/>
        </w:rPr>
      </w:pPr>
    </w:p>
    <w:p w14:paraId="27140297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 xml:space="preserve">На пациенти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хипертензия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които са на хемодиализа, се назначава по 50 </w:t>
      </w:r>
      <w:r w:rsidRPr="00431560">
        <w:rPr>
          <w:rFonts w:eastAsia="Times New Roman" w:cs="Arial"/>
          <w:color w:val="000000"/>
          <w:lang w:val="en-US"/>
        </w:rPr>
        <w:t xml:space="preserve">mg </w:t>
      </w:r>
      <w:r w:rsidRPr="00431560">
        <w:rPr>
          <w:rFonts w:eastAsia="Times New Roman" w:cs="Arial"/>
          <w:color w:val="000000"/>
          <w:lang w:eastAsia="bg-BG"/>
        </w:rPr>
        <w:t xml:space="preserve">след всяка диализа в болнична обстановка, поради риск от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431560">
        <w:rPr>
          <w:rFonts w:eastAsia="Times New Roman" w:cs="Arial"/>
          <w:color w:val="000000"/>
          <w:lang w:eastAsia="bg-BG"/>
        </w:rPr>
        <w:t>.</w:t>
      </w:r>
    </w:p>
    <w:p w14:paraId="45B42F00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u w:val="single"/>
          <w:lang w:eastAsia="bg-BG"/>
        </w:rPr>
        <w:t>Пациенти в напреднала възраст (над 65 г.)</w:t>
      </w:r>
      <w:r w:rsidRPr="00431560">
        <w:rPr>
          <w:rFonts w:eastAsia="Times New Roman" w:cs="Arial"/>
          <w:color w:val="000000"/>
          <w:lang w:eastAsia="bg-BG"/>
        </w:rPr>
        <w:t xml:space="preserve"> - коригиране на дозата се налага само при пациенти с нарушена бъбречна функция.</w:t>
      </w:r>
    </w:p>
    <w:p w14:paraId="2C7BEC2B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i/>
          <w:iCs/>
          <w:color w:val="000000"/>
          <w:u w:val="single"/>
          <w:lang w:eastAsia="bg-BG"/>
        </w:rPr>
        <w:t>Прекъсване на терапията:</w:t>
      </w:r>
      <w:r w:rsidRPr="00431560">
        <w:rPr>
          <w:rFonts w:eastAsia="Times New Roman" w:cs="Arial"/>
          <w:color w:val="000000"/>
          <w:lang w:eastAsia="bg-BG"/>
        </w:rPr>
        <w:t xml:space="preserve"> Лечението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>, както и с други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не трябва да се прекъсва внезапно поради риск от тежки ритъмни нарушения, засилване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ангинозните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пристъпи, инфаркт на миокарда, внезапна сърдечна смърт. Дозата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се понижава постепенно за период от 1-2 седмици. През това време е необходимо наблюдаване на пациентите, особено при наличие на исхемична болест на сърцето.</w:t>
      </w:r>
    </w:p>
    <w:p w14:paraId="138DC1E5" w14:textId="77777777" w:rsidR="00431560" w:rsidRPr="00431560" w:rsidRDefault="00431560" w:rsidP="0043156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1FE6F1" w14:textId="408398E8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47EB83AB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>Таблетките се приемат перорално.</w:t>
      </w:r>
    </w:p>
    <w:p w14:paraId="312701FA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lastRenderedPageBreak/>
        <w:t>Дозата се адаптира спрямо индивидуалните изисквания на всеки пациент с възможно най-ниска начална дозировка.</w:t>
      </w:r>
    </w:p>
    <w:p w14:paraId="6EA38BCC" w14:textId="77777777" w:rsidR="00431560" w:rsidRPr="00431560" w:rsidRDefault="00431560" w:rsidP="00431560">
      <w:pPr>
        <w:rPr>
          <w:rFonts w:cs="Arial"/>
        </w:rPr>
      </w:pPr>
    </w:p>
    <w:p w14:paraId="1A261012" w14:textId="2D2722C8" w:rsidR="003765DC" w:rsidRDefault="002C50EE" w:rsidP="002B3C38">
      <w:pPr>
        <w:pStyle w:val="2"/>
      </w:pPr>
      <w:r>
        <w:t>4.3. Противопоказания</w:t>
      </w:r>
    </w:p>
    <w:p w14:paraId="516E2B39" w14:textId="0A7CF803" w:rsidR="00431560" w:rsidRDefault="00431560" w:rsidP="00431560"/>
    <w:p w14:paraId="3F748854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r w:rsidRPr="00431560">
        <w:rPr>
          <w:lang w:eastAsia="bg-BG"/>
        </w:rPr>
        <w:t>Свръхчувствителност към активното вещество или към някое от помощните вещества;</w:t>
      </w:r>
    </w:p>
    <w:p w14:paraId="749EE7DD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r w:rsidRPr="00431560">
        <w:rPr>
          <w:lang w:eastAsia="bg-BG"/>
        </w:rPr>
        <w:t>Неконтролирана сърдечна недостатъчност;</w:t>
      </w:r>
    </w:p>
    <w:p w14:paraId="0F31F1F7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proofErr w:type="spellStart"/>
      <w:r w:rsidRPr="00431560">
        <w:rPr>
          <w:lang w:eastAsia="bg-BG"/>
        </w:rPr>
        <w:t>Кардиогенен</w:t>
      </w:r>
      <w:proofErr w:type="spellEnd"/>
      <w:r w:rsidRPr="00431560">
        <w:rPr>
          <w:lang w:eastAsia="bg-BG"/>
        </w:rPr>
        <w:t xml:space="preserve"> шок;</w:t>
      </w:r>
    </w:p>
    <w:p w14:paraId="0A1C3AC5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r w:rsidRPr="00431560">
        <w:rPr>
          <w:lang w:eastAsia="bg-BG"/>
        </w:rPr>
        <w:t xml:space="preserve">Сърдечен блок </w:t>
      </w:r>
      <w:r w:rsidRPr="00431560">
        <w:rPr>
          <w:lang w:val="en-US"/>
        </w:rPr>
        <w:t>II-</w:t>
      </w:r>
      <w:proofErr w:type="spellStart"/>
      <w:r w:rsidRPr="00431560">
        <w:rPr>
          <w:lang w:eastAsia="bg-BG"/>
        </w:rPr>
        <w:t>ра</w:t>
      </w:r>
      <w:proofErr w:type="spellEnd"/>
      <w:r w:rsidRPr="00431560">
        <w:rPr>
          <w:lang w:eastAsia="bg-BG"/>
        </w:rPr>
        <w:t xml:space="preserve"> и </w:t>
      </w:r>
      <w:r w:rsidRPr="00431560">
        <w:rPr>
          <w:lang w:val="en-US"/>
        </w:rPr>
        <w:t>III</w:t>
      </w:r>
      <w:r w:rsidRPr="00431560">
        <w:rPr>
          <w:lang w:eastAsia="bg-BG"/>
        </w:rPr>
        <w:t>-та степен;</w:t>
      </w:r>
    </w:p>
    <w:p w14:paraId="78074738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r w:rsidRPr="00431560">
        <w:rPr>
          <w:lang w:eastAsia="bg-BG"/>
        </w:rPr>
        <w:t>Синдром на болния синусов възел;</w:t>
      </w:r>
    </w:p>
    <w:p w14:paraId="4A441D43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r w:rsidRPr="00431560">
        <w:rPr>
          <w:lang w:eastAsia="bg-BG"/>
        </w:rPr>
        <w:t>Брадикардия (под 45 удара/мин.);</w:t>
      </w:r>
    </w:p>
    <w:p w14:paraId="32237F2A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proofErr w:type="spellStart"/>
      <w:r w:rsidRPr="00431560">
        <w:rPr>
          <w:lang w:eastAsia="bg-BG"/>
        </w:rPr>
        <w:t>Хипотензия</w:t>
      </w:r>
      <w:proofErr w:type="spellEnd"/>
      <w:r w:rsidRPr="00431560">
        <w:rPr>
          <w:lang w:eastAsia="bg-BG"/>
        </w:rPr>
        <w:t>;</w:t>
      </w:r>
    </w:p>
    <w:p w14:paraId="16D23059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r w:rsidRPr="00431560">
        <w:rPr>
          <w:lang w:eastAsia="bg-BG"/>
        </w:rPr>
        <w:t xml:space="preserve">Тежки периферно-артериални </w:t>
      </w:r>
      <w:proofErr w:type="spellStart"/>
      <w:r w:rsidRPr="00431560">
        <w:rPr>
          <w:lang w:eastAsia="bg-BG"/>
        </w:rPr>
        <w:t>циркулаторни</w:t>
      </w:r>
      <w:proofErr w:type="spellEnd"/>
      <w:r w:rsidRPr="00431560">
        <w:rPr>
          <w:lang w:eastAsia="bg-BG"/>
        </w:rPr>
        <w:t xml:space="preserve"> нарушения;</w:t>
      </w:r>
    </w:p>
    <w:p w14:paraId="189581C1" w14:textId="77777777" w:rsidR="00431560" w:rsidRPr="00431560" w:rsidRDefault="00431560" w:rsidP="00431560">
      <w:pPr>
        <w:pStyle w:val="a3"/>
        <w:numPr>
          <w:ilvl w:val="0"/>
          <w:numId w:val="28"/>
        </w:numPr>
        <w:rPr>
          <w:lang w:eastAsia="bg-BG"/>
        </w:rPr>
      </w:pPr>
      <w:proofErr w:type="spellStart"/>
      <w:r w:rsidRPr="00431560">
        <w:rPr>
          <w:lang w:eastAsia="bg-BG"/>
        </w:rPr>
        <w:t>Нелекуван</w:t>
      </w:r>
      <w:proofErr w:type="spellEnd"/>
      <w:r w:rsidRPr="00431560">
        <w:rPr>
          <w:lang w:eastAsia="bg-BG"/>
        </w:rPr>
        <w:t xml:space="preserve"> </w:t>
      </w:r>
      <w:proofErr w:type="spellStart"/>
      <w:r w:rsidRPr="00431560">
        <w:rPr>
          <w:lang w:eastAsia="bg-BG"/>
        </w:rPr>
        <w:t>феохромоцитом</w:t>
      </w:r>
      <w:proofErr w:type="spellEnd"/>
      <w:r w:rsidRPr="00431560">
        <w:rPr>
          <w:lang w:eastAsia="bg-BG"/>
        </w:rPr>
        <w:t>;</w:t>
      </w:r>
    </w:p>
    <w:p w14:paraId="77433772" w14:textId="11D20056" w:rsidR="00431560" w:rsidRDefault="00431560" w:rsidP="00431560">
      <w:pPr>
        <w:pStyle w:val="a3"/>
        <w:numPr>
          <w:ilvl w:val="0"/>
          <w:numId w:val="28"/>
        </w:numPr>
      </w:pPr>
      <w:r w:rsidRPr="00431560">
        <w:rPr>
          <w:lang w:eastAsia="bg-BG"/>
        </w:rPr>
        <w:t xml:space="preserve">Метаболитна </w:t>
      </w:r>
      <w:proofErr w:type="spellStart"/>
      <w:r w:rsidRPr="00431560">
        <w:rPr>
          <w:lang w:eastAsia="bg-BG"/>
        </w:rPr>
        <w:t>ацидоза</w:t>
      </w:r>
      <w:proofErr w:type="spellEnd"/>
      <w:r w:rsidRPr="00431560">
        <w:rPr>
          <w:lang w:eastAsia="bg-BG"/>
        </w:rPr>
        <w:t>.</w:t>
      </w:r>
    </w:p>
    <w:p w14:paraId="1715D025" w14:textId="3ADEE0AD" w:rsidR="00431560" w:rsidRDefault="00431560" w:rsidP="00431560"/>
    <w:p w14:paraId="135E2065" w14:textId="77777777" w:rsidR="00431560" w:rsidRPr="00431560" w:rsidRDefault="00431560" w:rsidP="00431560"/>
    <w:p w14:paraId="5EF6E7D6" w14:textId="1D0D8A7A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2B861E3F" w14:textId="53432C01" w:rsidR="00431560" w:rsidRDefault="00431560" w:rsidP="00431560"/>
    <w:p w14:paraId="19F52C79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>Преди извършване на хирургични интервенции (вкл. стоматологични) лекарят трябва да бъде предупреден за лечение с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(вкл.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>). Необходимо е прекратяване на лечението най-малко 24 часа преди процедурата. Оценката полза/риск от преустановяване на терапията се определя индивидуално за всеки пациент. При пациенти, при които не може да се прекрати терапията с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(спешни състояния), се препоръчва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анестетик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 възможно най-малка негативна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инотропна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активност, за да се намали рискът от миокардна депресия. Трябва да се има пред вид повишения риск от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анафилактични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реакции. Пациентът може да се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протектира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срещу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вагусни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реакции чрез интравенозно прилагане на атропин.</w:t>
      </w:r>
    </w:p>
    <w:p w14:paraId="6DB7CE49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>Въпреки, че е противопоказан при неконтролирана сърдечна недостатъчност, продуктът може да се прилага при пациенти с контролирани симптоми на сърдечна недостатъчност. Повишено внимание се изисква при пациенти с малки сърдечни резерви.</w:t>
      </w:r>
    </w:p>
    <w:p w14:paraId="3F71A66E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 xml:space="preserve">При пациенти с хронична сърдечна недостатъчност, контролирана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дигиталисови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продукти и/или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трябва да бъде прилаган с особено внимание, поради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потенциране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на отрицателните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дромотропни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ефекти на лекарствата. Препоръчва се ниска начална доза и внимателно титриране на дозата до достигане на терапевтичен отговор.</w:t>
      </w:r>
    </w:p>
    <w:p w14:paraId="060A909F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 xml:space="preserve">При лечение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е необходимо системно проследяване на пулса -в покой не трябва да се забавя под 50-55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уд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/мин. В случай на поява на признаци на брадикардия дозата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трябва да се понижи.</w:t>
      </w:r>
    </w:p>
    <w:p w14:paraId="5E5AE240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 xml:space="preserve">При пациенти с </w:t>
      </w:r>
      <w:r w:rsidRPr="00431560">
        <w:rPr>
          <w:rFonts w:eastAsia="Times New Roman" w:cs="Arial"/>
          <w:color w:val="000000"/>
          <w:lang w:val="en-US"/>
        </w:rPr>
        <w:t xml:space="preserve">AV </w:t>
      </w:r>
      <w:r w:rsidRPr="00431560">
        <w:rPr>
          <w:rFonts w:eastAsia="Times New Roman" w:cs="Arial"/>
          <w:color w:val="000000"/>
          <w:lang w:eastAsia="bg-BG"/>
        </w:rPr>
        <w:t>блок I степен лечението с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трябва да се провежда с внимание поради наличния отрицателен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дромотропен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ефект.</w:t>
      </w:r>
    </w:p>
    <w:p w14:paraId="5FA69DD2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>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могат да увеличат броя и продължителността на стенокардиите пристъпи при пациенти с ангина на </w:t>
      </w:r>
      <w:proofErr w:type="spellStart"/>
      <w:r w:rsidRPr="00431560">
        <w:rPr>
          <w:rFonts w:eastAsia="Times New Roman" w:cs="Arial"/>
          <w:color w:val="000000"/>
          <w:lang w:val="en-US"/>
        </w:rPr>
        <w:t>Prinzmetal</w:t>
      </w:r>
      <w:proofErr w:type="spellEnd"/>
      <w:r w:rsidRPr="00431560">
        <w:rPr>
          <w:rFonts w:eastAsia="Times New Roman" w:cs="Arial"/>
          <w:color w:val="000000"/>
          <w:lang w:val="en-US"/>
        </w:rPr>
        <w:t xml:space="preserve">.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като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кардиоселективен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431560">
        <w:rPr>
          <w:rFonts w:eastAsia="Times New Roman" w:cs="Arial"/>
          <w:color w:val="000000"/>
          <w:lang w:eastAsia="bg-BG"/>
        </w:rPr>
        <w:t>, може да се прилага изключително внимателно в такива случаи.</w:t>
      </w:r>
    </w:p>
    <w:p w14:paraId="160162B3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431560">
        <w:rPr>
          <w:rFonts w:eastAsia="Times New Roman" w:cs="Arial"/>
          <w:color w:val="000000"/>
          <w:lang w:eastAsia="bg-BG"/>
        </w:rPr>
        <w:lastRenderedPageBreak/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като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кардиоселективен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431560">
        <w:rPr>
          <w:rFonts w:eastAsia="Times New Roman" w:cs="Arial"/>
          <w:color w:val="000000"/>
          <w:lang w:eastAsia="bg-BG"/>
        </w:rPr>
        <w:t>, може да се прилага при пациенти с по-леки нарушения на периферната артериална циркулация след преценка на съотношението полза/риск.</w:t>
      </w:r>
    </w:p>
    <w:p w14:paraId="4E342599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>Приложението на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за лечение на артериална хипертония при пациенти с лекуван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феохромоцитом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трябва да се извършва под строг лекарски контрол на артериалното налягане, заедно с алфа-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431560">
        <w:rPr>
          <w:rFonts w:eastAsia="Times New Roman" w:cs="Arial"/>
          <w:color w:val="000000"/>
          <w:lang w:eastAsia="bg-BG"/>
        </w:rPr>
        <w:t>.</w:t>
      </w:r>
    </w:p>
    <w:p w14:paraId="41933DBE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трябва да се прилага с внимание при болни от диабет.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могат да маскират някои симптоми на хипогликемия (тахикардия, изпотяване, виене на свят) и да затруднят точното дозиране на антидиабетните средства.</w:t>
      </w:r>
    </w:p>
    <w:p w14:paraId="48B46FB9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може да замаскира сърдечните симптоми (тахикардия)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тиреотоксикоза</w:t>
      </w:r>
      <w:proofErr w:type="spellEnd"/>
      <w:r w:rsidRPr="00431560">
        <w:rPr>
          <w:rFonts w:eastAsia="Times New Roman" w:cs="Arial"/>
          <w:color w:val="000000"/>
          <w:lang w:eastAsia="bg-BG"/>
        </w:rPr>
        <w:t>.</w:t>
      </w:r>
    </w:p>
    <w:p w14:paraId="4D2EF3E8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 xml:space="preserve">При пациенти с данни за тежки реакции на свръхчувствителност към различни алергени в анамнезата, е необходимо строго преценяване на индикациите при лечение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. Продуктът може да повиши чувствителността към алергени и тежестта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анафилактичните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реакции.</w:t>
      </w:r>
    </w:p>
    <w:p w14:paraId="1D4FF41C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431560">
        <w:rPr>
          <w:rFonts w:eastAsia="Times New Roman" w:cs="Arial"/>
          <w:color w:val="000000"/>
          <w:lang w:eastAsia="bg-BG"/>
        </w:rPr>
        <w:t>Кардиоселективните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бета1-блокери оказват по-слаб ефект върху белодробната функция от неселективните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>, но като цяло всички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трябва да се избягват при пациенти с обратими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обструктивни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белодробни заболявания, освен когато са налице належащи клинични причини за тяхната употреба.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Когаго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такава причина съществува,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Софарма се прилага с внимание. Понякога при употреба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при пациенти с астма е възможно да се наблюдава леко повишена резистентност на дихателните пътища, която е обратима при често използваните дози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бронходилататори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салбутамол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изопреналин</w:t>
      </w:r>
      <w:proofErr w:type="spellEnd"/>
      <w:r w:rsidRPr="00431560">
        <w:rPr>
          <w:rFonts w:eastAsia="Times New Roman" w:cs="Arial"/>
          <w:color w:val="000000"/>
          <w:lang w:eastAsia="bg-BG"/>
        </w:rPr>
        <w:t>.</w:t>
      </w:r>
    </w:p>
    <w:p w14:paraId="628C189E" w14:textId="77777777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 xml:space="preserve">Прилага се с внимание при пациенти с псориазис, поради възможно обостряне на заболяването. </w:t>
      </w:r>
    </w:p>
    <w:p w14:paraId="1F548E12" w14:textId="37A1E769" w:rsidR="00431560" w:rsidRPr="00431560" w:rsidRDefault="00431560" w:rsidP="00431560">
      <w:pPr>
        <w:pStyle w:val="a3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431560">
        <w:rPr>
          <w:rFonts w:eastAsia="Times New Roman" w:cs="Arial"/>
          <w:color w:val="000000"/>
          <w:lang w:eastAsia="bg-BG"/>
        </w:rPr>
        <w:t xml:space="preserve">Този лекарствен продукт съдържа пшенично нишесте. Подходящ е за хора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цьолиакия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431560">
        <w:rPr>
          <w:rFonts w:eastAsia="Times New Roman" w:cs="Arial"/>
          <w:color w:val="000000"/>
          <w:lang w:eastAsia="bg-BG"/>
        </w:rPr>
        <w:t>глутенова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ентеропатия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). Пациенти с алергия към пшеница (различна от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цьолиакия</w:t>
      </w:r>
      <w:proofErr w:type="spellEnd"/>
      <w:r w:rsidRPr="00431560">
        <w:rPr>
          <w:rFonts w:eastAsia="Times New Roman" w:cs="Arial"/>
          <w:color w:val="000000"/>
          <w:lang w:eastAsia="bg-BG"/>
        </w:rPr>
        <w:t>) не трябва да вземат този продукт.</w:t>
      </w:r>
    </w:p>
    <w:p w14:paraId="52FC0964" w14:textId="2B0032AA" w:rsidR="00431560" w:rsidRDefault="00431560" w:rsidP="00431560">
      <w:pPr>
        <w:pStyle w:val="a3"/>
        <w:numPr>
          <w:ilvl w:val="0"/>
          <w:numId w:val="29"/>
        </w:numPr>
      </w:pPr>
      <w:r w:rsidRPr="00431560">
        <w:rPr>
          <w:rFonts w:eastAsia="Times New Roman" w:cs="Arial"/>
          <w:color w:val="000000"/>
          <w:lang w:eastAsia="bg-BG"/>
        </w:rPr>
        <w:t xml:space="preserve">Поради наличие на лактоза в състава на лекарствения продукт пациенти с редки наследствени проблеми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непоносимост, </w:t>
      </w:r>
      <w:r w:rsidRPr="00431560">
        <w:rPr>
          <w:rFonts w:eastAsia="Times New Roman" w:cs="Arial"/>
          <w:color w:val="000000"/>
          <w:lang w:val="en-US"/>
        </w:rPr>
        <w:t xml:space="preserve">Lapp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>
        <w:rPr>
          <w:rFonts w:ascii="Times New Roman" w:eastAsia="Times New Roman" w:hAnsi="Times New Roman" w:cs="Times New Roman"/>
          <w:color w:val="000000"/>
          <w:sz w:val="60"/>
          <w:szCs w:val="60"/>
          <w:lang w:eastAsia="bg-BG"/>
        </w:rPr>
        <w:t xml:space="preserve"> </w:t>
      </w:r>
      <w:r w:rsidRPr="00431560">
        <w:rPr>
          <w:lang w:eastAsia="bg-BG"/>
        </w:rPr>
        <w:t>малабсорбция не трябва да приемат това лекарство.</w:t>
      </w:r>
    </w:p>
    <w:p w14:paraId="41A47AD3" w14:textId="1D6CD679" w:rsidR="00431560" w:rsidRDefault="00431560" w:rsidP="00431560"/>
    <w:p w14:paraId="736CB3CD" w14:textId="77777777" w:rsidR="00431560" w:rsidRPr="00431560" w:rsidRDefault="00431560" w:rsidP="00431560"/>
    <w:p w14:paraId="297352C8" w14:textId="75B4D80A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35D0EC26" w14:textId="2C3AA321" w:rsidR="00431560" w:rsidRDefault="00431560" w:rsidP="00431560"/>
    <w:p w14:paraId="4EEED3D4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Антиаритмични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 xml:space="preserve"> продукти</w:t>
      </w:r>
      <w:r w:rsidRPr="00431560">
        <w:rPr>
          <w:rFonts w:eastAsia="Times New Roman" w:cs="Arial"/>
          <w:color w:val="000000"/>
          <w:lang w:eastAsia="bg-BG"/>
        </w:rPr>
        <w:t xml:space="preserve">. При едновременно лечение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антиаритмични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лекарства от клас I (</w:t>
      </w:r>
      <w:proofErr w:type="spellStart"/>
      <w:r w:rsidRPr="00431560">
        <w:rPr>
          <w:rFonts w:eastAsia="Times New Roman" w:cs="Arial"/>
          <w:color w:val="000000"/>
          <w:lang w:eastAsia="bg-BG"/>
        </w:rPr>
        <w:t>хинидин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прокаинамцд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дизопирамцд</w:t>
      </w:r>
      <w:proofErr w:type="spellEnd"/>
      <w:r w:rsidRPr="00431560">
        <w:rPr>
          <w:rFonts w:eastAsia="Times New Roman" w:cs="Arial"/>
          <w:color w:val="000000"/>
          <w:lang w:eastAsia="bg-BG"/>
        </w:rPr>
        <w:t>), клас Ш (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амиодарон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) 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съществува риск от засилване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кардиодепресивните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им ефекти.</w:t>
      </w:r>
    </w:p>
    <w:p w14:paraId="3B4143E8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Дигиталисови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 xml:space="preserve"> </w:t>
      </w: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гликозиди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>.</w:t>
      </w:r>
      <w:r w:rsidRPr="00431560">
        <w:rPr>
          <w:rFonts w:eastAsia="Times New Roman" w:cs="Arial"/>
          <w:color w:val="000000"/>
          <w:lang w:eastAsia="bg-BG"/>
        </w:rPr>
        <w:t xml:space="preserve"> Комбинираното прилагане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може да доведе до брадикардия и сърдечен блок, поради което се изисква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електрокардиографско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мониториране.</w:t>
      </w:r>
    </w:p>
    <w:p w14:paraId="51D6F798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u w:val="single"/>
          <w:lang w:eastAsia="bg-BG"/>
        </w:rPr>
        <w:t>Калциеви антагонисти.</w:t>
      </w:r>
      <w:r w:rsidRPr="00431560">
        <w:rPr>
          <w:rFonts w:eastAsia="Times New Roman" w:cs="Arial"/>
          <w:color w:val="000000"/>
          <w:lang w:eastAsia="bg-BG"/>
        </w:rPr>
        <w:t xml:space="preserve"> Едновременното приложение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калциеви антагонисти с отрицателен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инитропен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ефект, като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верапамил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дилтиазем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може да доведе до нарушения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синусопредсърдната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атриовентрикуларната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проводимост (засилен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брадикарден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ефект, дължащ се на адитивни ефекти върху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контрактилитета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проводимостта). При необходимост от интравенозно приложение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или </w:t>
      </w:r>
      <w:r w:rsidRPr="00431560">
        <w:rPr>
          <w:rFonts w:eastAsia="Times New Roman" w:cs="Arial"/>
          <w:color w:val="000000"/>
          <w:lang w:eastAsia="bg-BG"/>
        </w:rPr>
        <w:lastRenderedPageBreak/>
        <w:t>калциев антагонист, това може да става 48 часа след преустановен прием на другия продукт.</w:t>
      </w:r>
    </w:p>
    <w:p w14:paraId="3EE553AB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 xml:space="preserve">Едновременното лечение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дихидропиридини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напр.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нифедипин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може да увеличи риска от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да доведе до проява на, латентна сърдечна недостатъчност.</w:t>
      </w:r>
    </w:p>
    <w:p w14:paraId="7EC78B9A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Симпатикомиметици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>.</w:t>
      </w:r>
      <w:r w:rsidRPr="0043156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Симпатикомиметици</w:t>
      </w:r>
      <w:proofErr w:type="spellEnd"/>
      <w:r w:rsidRPr="00431560">
        <w:rPr>
          <w:rFonts w:eastAsia="Times New Roman" w:cs="Arial"/>
          <w:color w:val="000000"/>
          <w:lang w:eastAsia="bg-BG"/>
        </w:rPr>
        <w:t>, като адреналин, могат да противодействат на ефекта на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при едновременно приложение.</w:t>
      </w:r>
    </w:p>
    <w:p w14:paraId="484393E6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Адреномиметици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>.</w:t>
      </w:r>
      <w:r w:rsidRPr="0043156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е конкурентен инхибитор на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адреномиметиците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може да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антагонизира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техните сърдечни (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добутамин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допамин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изопротеренол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) и, респективно,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бронходилатиращи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431560">
        <w:rPr>
          <w:rFonts w:eastAsia="Times New Roman" w:cs="Arial"/>
          <w:color w:val="000000"/>
          <w:lang w:eastAsia="bg-BG"/>
        </w:rPr>
        <w:t>салбутамол</w:t>
      </w:r>
      <w:proofErr w:type="spellEnd"/>
      <w:r w:rsidRPr="00431560">
        <w:rPr>
          <w:rFonts w:eastAsia="Times New Roman" w:cs="Arial"/>
          <w:color w:val="000000"/>
          <w:lang w:eastAsia="bg-BG"/>
        </w:rPr>
        <w:t>) ефекти.</w:t>
      </w:r>
    </w:p>
    <w:p w14:paraId="638DA942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u w:val="single"/>
          <w:lang w:eastAsia="bg-BG"/>
        </w:rPr>
        <w:t xml:space="preserve">Средства, изчерпващи </w:t>
      </w: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катехоламиновите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 xml:space="preserve"> депа.</w:t>
      </w:r>
      <w:r w:rsidRPr="00431560">
        <w:rPr>
          <w:rFonts w:eastAsia="Times New Roman" w:cs="Arial"/>
          <w:color w:val="000000"/>
          <w:lang w:eastAsia="bg-BG"/>
        </w:rPr>
        <w:t xml:space="preserve"> Едновременното приложение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средства, изчерпващи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катехоламиновите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депа, може да доведе до прояви на хипотония и/или брадикардия,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вертиго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синкоп</w:t>
      </w:r>
      <w:proofErr w:type="spellEnd"/>
      <w:r w:rsidRPr="00431560">
        <w:rPr>
          <w:rFonts w:eastAsia="Times New Roman" w:cs="Arial"/>
          <w:color w:val="000000"/>
          <w:lang w:eastAsia="bg-BG"/>
        </w:rPr>
        <w:t>, поради възможен адитивен ефект.</w:t>
      </w:r>
    </w:p>
    <w:p w14:paraId="4CA3267D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u w:val="single"/>
          <w:lang w:eastAsia="bg-BG"/>
        </w:rPr>
        <w:t>Инсулин и орални антидиабетни продукти.</w:t>
      </w:r>
      <w:r w:rsidRPr="00431560">
        <w:rPr>
          <w:rFonts w:eastAsia="Times New Roman" w:cs="Arial"/>
          <w:color w:val="000000"/>
          <w:lang w:eastAsia="bg-BG"/>
        </w:rPr>
        <w:t xml:space="preserve"> При едновременното им приложение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може да се наблюдава продължителна хипогликемия, маскиране на симптомите на хипогликемията (изпотяване, тремор, сърдечно-съдови прояви) и засилване ефектите на антидиабетните лекарства. </w:t>
      </w:r>
      <w:r w:rsidRPr="00431560">
        <w:rPr>
          <w:rFonts w:eastAsia="Times New Roman" w:cs="Arial"/>
          <w:color w:val="000000"/>
          <w:u w:val="single"/>
          <w:lang w:eastAsia="bg-BG"/>
        </w:rPr>
        <w:t>НСПВС.</w:t>
      </w:r>
      <w:r w:rsidRPr="00431560">
        <w:rPr>
          <w:rFonts w:eastAsia="Times New Roman" w:cs="Arial"/>
          <w:color w:val="000000"/>
          <w:lang w:eastAsia="bg-BG"/>
        </w:rPr>
        <w:t xml:space="preserve"> Антихипертензивният ефект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може да бъде отслабен при едновременно прилагане с НСПВС, което се дължи на инхибиране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реналната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синтеза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простагландините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задръжка на течности и натриеви йони, причинени от тях.</w:t>
      </w:r>
    </w:p>
    <w:p w14:paraId="2A085743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Клонидин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>.</w:t>
      </w:r>
      <w:r w:rsidRPr="00431560">
        <w:rPr>
          <w:rFonts w:eastAsia="Times New Roman" w:cs="Arial"/>
          <w:color w:val="000000"/>
          <w:lang w:eastAsia="bg-BG"/>
        </w:rPr>
        <w:t xml:space="preserve"> При едновременно приложение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може да засили синдрома на отнемане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клонидин</w:t>
      </w:r>
      <w:proofErr w:type="spellEnd"/>
      <w:r w:rsidRPr="00431560">
        <w:rPr>
          <w:rFonts w:eastAsia="Times New Roman" w:cs="Arial"/>
          <w:color w:val="000000"/>
          <w:lang w:eastAsia="bg-BG"/>
        </w:rPr>
        <w:t>, поради което едновременната им употреба не се препоръчва. Ако се провежда едновременно лечение с двата продукта,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блокерът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се преустановява няколко дни преди прекратяването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клонидин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. Ако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клонидин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се заменя с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431560">
        <w:rPr>
          <w:rFonts w:eastAsia="Times New Roman" w:cs="Arial"/>
          <w:color w:val="000000"/>
          <w:lang w:eastAsia="bg-BG"/>
        </w:rPr>
        <w:t>, въвеждането на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трябва да започне няколко дни след спирането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клонидин</w:t>
      </w:r>
      <w:proofErr w:type="spellEnd"/>
      <w:r w:rsidRPr="00431560">
        <w:rPr>
          <w:rFonts w:eastAsia="Times New Roman" w:cs="Arial"/>
          <w:color w:val="000000"/>
          <w:lang w:eastAsia="bg-BG"/>
        </w:rPr>
        <w:t>.</w:t>
      </w:r>
    </w:p>
    <w:p w14:paraId="1D08749E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>За разлика от други бета-</w:t>
      </w:r>
      <w:proofErr w:type="spellStart"/>
      <w:r w:rsidRPr="00431560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не подлежи на интензивен чернодробен метаболизъм, но въпреки това не се препоръчва едновременното му приложение с </w:t>
      </w:r>
      <w:r w:rsidRPr="00431560">
        <w:rPr>
          <w:rFonts w:eastAsia="Times New Roman" w:cs="Arial"/>
          <w:i/>
          <w:iCs/>
          <w:color w:val="000000"/>
          <w:lang w:eastAsia="bg-BG"/>
        </w:rPr>
        <w:t xml:space="preserve">ензимни инхибитори и индуктори </w:t>
      </w:r>
      <w:r w:rsidRPr="00431560">
        <w:rPr>
          <w:rFonts w:eastAsia="Times New Roman" w:cs="Arial"/>
          <w:color w:val="000000"/>
          <w:lang w:eastAsia="bg-BG"/>
        </w:rPr>
        <w:t xml:space="preserve">Ензимните инхибитори могат да усилят ефекта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поради увеличената му концентрация в плазмата, а ензимните индуктори - да намалят антихипертензивния ефект на продукта.</w:t>
      </w:r>
    </w:p>
    <w:p w14:paraId="686E8B9E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u w:val="single"/>
          <w:lang w:eastAsia="bg-BG"/>
        </w:rPr>
        <w:t>Анестетици</w:t>
      </w:r>
      <w:proofErr w:type="spellEnd"/>
      <w:r w:rsidRPr="00431560">
        <w:rPr>
          <w:rFonts w:eastAsia="Times New Roman" w:cs="Arial"/>
          <w:color w:val="000000"/>
          <w:u w:val="single"/>
          <w:lang w:eastAsia="bg-BG"/>
        </w:rPr>
        <w:t>.</w:t>
      </w:r>
      <w:r w:rsidRPr="00431560">
        <w:rPr>
          <w:rFonts w:eastAsia="Times New Roman" w:cs="Arial"/>
          <w:color w:val="000000"/>
          <w:lang w:eastAsia="bg-BG"/>
        </w:rPr>
        <w:t xml:space="preserve"> Общите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анестетици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засилват антихипертензивния ефект 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. Необходимо е да се избират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анестетици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с възможно най-малка отрицателна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инотропна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активност.</w:t>
      </w:r>
    </w:p>
    <w:p w14:paraId="73EF0B68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r w:rsidRPr="00431560">
        <w:rPr>
          <w:rFonts w:eastAsia="Times New Roman" w:cs="Arial"/>
          <w:color w:val="000000"/>
          <w:lang w:eastAsia="bg-BG"/>
        </w:rPr>
        <w:t xml:space="preserve">Да не се употребява едновременно с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анестетици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, които оказват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кардиодепресивен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ефект (напр. </w:t>
      </w:r>
      <w:proofErr w:type="spellStart"/>
      <w:r w:rsidRPr="00431560">
        <w:rPr>
          <w:rFonts w:eastAsia="Times New Roman" w:cs="Arial"/>
          <w:color w:val="000000"/>
          <w:lang w:eastAsia="bg-BG"/>
        </w:rPr>
        <w:t>халотан</w:t>
      </w:r>
      <w:proofErr w:type="spellEnd"/>
      <w:r w:rsidRPr="00431560">
        <w:rPr>
          <w:rFonts w:eastAsia="Times New Roman" w:cs="Arial"/>
          <w:color w:val="000000"/>
          <w:lang w:eastAsia="bg-BG"/>
        </w:rPr>
        <w:t>).</w:t>
      </w:r>
    </w:p>
    <w:p w14:paraId="34957AE9" w14:textId="77777777" w:rsidR="00431560" w:rsidRPr="00431560" w:rsidRDefault="00431560" w:rsidP="00431560">
      <w:pPr>
        <w:spacing w:line="240" w:lineRule="auto"/>
        <w:rPr>
          <w:rFonts w:eastAsia="Times New Roman" w:cs="Arial"/>
        </w:rPr>
      </w:pPr>
      <w:proofErr w:type="spellStart"/>
      <w:r w:rsidRPr="00431560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431560">
        <w:rPr>
          <w:rFonts w:eastAsia="Times New Roman" w:cs="Arial"/>
          <w:color w:val="000000"/>
          <w:lang w:eastAsia="bg-BG"/>
        </w:rPr>
        <w:t>потенцира</w:t>
      </w:r>
      <w:proofErr w:type="spellEnd"/>
      <w:r w:rsidRPr="00431560">
        <w:rPr>
          <w:rFonts w:eastAsia="Times New Roman" w:cs="Arial"/>
          <w:color w:val="000000"/>
          <w:lang w:eastAsia="bg-BG"/>
        </w:rPr>
        <w:t xml:space="preserve"> и пролонгира действието на </w:t>
      </w:r>
      <w:proofErr w:type="spellStart"/>
      <w:r w:rsidRPr="00431560">
        <w:rPr>
          <w:rFonts w:eastAsia="Times New Roman" w:cs="Arial"/>
          <w:i/>
          <w:iCs/>
          <w:color w:val="000000"/>
          <w:lang w:eastAsia="bg-BG"/>
        </w:rPr>
        <w:t>недеполяризиращи</w:t>
      </w:r>
      <w:proofErr w:type="spellEnd"/>
      <w:r w:rsidRPr="00431560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431560">
        <w:rPr>
          <w:rFonts w:eastAsia="Times New Roman" w:cs="Arial"/>
          <w:i/>
          <w:iCs/>
          <w:color w:val="000000"/>
          <w:lang w:eastAsia="bg-BG"/>
        </w:rPr>
        <w:t>невромускулни</w:t>
      </w:r>
      <w:proofErr w:type="spellEnd"/>
      <w:r w:rsidRPr="00431560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431560">
        <w:rPr>
          <w:rFonts w:eastAsia="Times New Roman" w:cs="Arial"/>
          <w:i/>
          <w:iCs/>
          <w:color w:val="000000"/>
          <w:lang w:eastAsia="bg-BG"/>
        </w:rPr>
        <w:t>релаксанти</w:t>
      </w:r>
      <w:proofErr w:type="spellEnd"/>
    </w:p>
    <w:p w14:paraId="6090F2F1" w14:textId="77777777" w:rsidR="00431560" w:rsidRPr="00431560" w:rsidRDefault="00431560" w:rsidP="00431560"/>
    <w:p w14:paraId="20B09708" w14:textId="47BB67DA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B8BE039" w14:textId="4025D63B" w:rsidR="00431560" w:rsidRDefault="00431560" w:rsidP="00431560"/>
    <w:p w14:paraId="53EA4012" w14:textId="77777777" w:rsidR="00431560" w:rsidRPr="00431560" w:rsidRDefault="00431560" w:rsidP="00431560">
      <w:pPr>
        <w:rPr>
          <w:sz w:val="24"/>
          <w:szCs w:val="24"/>
        </w:rPr>
      </w:pPr>
      <w:r w:rsidRPr="00431560">
        <w:rPr>
          <w:lang w:eastAsia="bg-BG"/>
        </w:rPr>
        <w:t xml:space="preserve">Приложението на </w:t>
      </w: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по време на бременност, особено през I и </w:t>
      </w:r>
      <w:r w:rsidRPr="00431560">
        <w:rPr>
          <w:lang w:val="en-US"/>
        </w:rPr>
        <w:t xml:space="preserve">II </w:t>
      </w:r>
      <w:proofErr w:type="spellStart"/>
      <w:r w:rsidRPr="00431560">
        <w:rPr>
          <w:lang w:eastAsia="bg-BG"/>
        </w:rPr>
        <w:t>триместьр</w:t>
      </w:r>
      <w:proofErr w:type="spellEnd"/>
      <w:r w:rsidRPr="00431560">
        <w:rPr>
          <w:lang w:eastAsia="bg-BG"/>
        </w:rPr>
        <w:t xml:space="preserve">, е свързано с повишен риск от увреждане на плода, </w:t>
      </w:r>
      <w:proofErr w:type="spellStart"/>
      <w:r w:rsidRPr="00431560">
        <w:rPr>
          <w:lang w:eastAsia="bg-BG"/>
        </w:rPr>
        <w:t>интраутеринна</w:t>
      </w:r>
      <w:proofErr w:type="spellEnd"/>
      <w:r w:rsidRPr="00431560">
        <w:rPr>
          <w:lang w:eastAsia="bg-BG"/>
        </w:rPr>
        <w:t xml:space="preserve"> смърт и преждевременно раждане вследствие понижена </w:t>
      </w:r>
      <w:proofErr w:type="spellStart"/>
      <w:r w:rsidRPr="00431560">
        <w:rPr>
          <w:lang w:eastAsia="bg-BG"/>
        </w:rPr>
        <w:t>плацентарна</w:t>
      </w:r>
      <w:proofErr w:type="spellEnd"/>
      <w:r w:rsidRPr="00431560">
        <w:rPr>
          <w:lang w:eastAsia="bg-BG"/>
        </w:rPr>
        <w:t xml:space="preserve"> </w:t>
      </w:r>
      <w:proofErr w:type="spellStart"/>
      <w:r w:rsidRPr="00431560">
        <w:rPr>
          <w:lang w:eastAsia="bg-BG"/>
        </w:rPr>
        <w:t>перфузия</w:t>
      </w:r>
      <w:proofErr w:type="spellEnd"/>
      <w:r w:rsidRPr="00431560">
        <w:rPr>
          <w:lang w:eastAsia="bg-BG"/>
        </w:rPr>
        <w:t xml:space="preserve">. </w:t>
      </w: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се прилага само в случаите, когато ползата за майката превишава възможния риск за плода. Приемането на </w:t>
      </w: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от бременни жени за лечение на лека до умерена </w:t>
      </w:r>
      <w:proofErr w:type="spellStart"/>
      <w:r w:rsidRPr="00431560">
        <w:rPr>
          <w:lang w:eastAsia="bg-BG"/>
        </w:rPr>
        <w:t>хипертензия</w:t>
      </w:r>
      <w:proofErr w:type="spellEnd"/>
      <w:r w:rsidRPr="00431560">
        <w:rPr>
          <w:lang w:eastAsia="bg-BG"/>
        </w:rPr>
        <w:t xml:space="preserve"> се свързва с </w:t>
      </w:r>
      <w:proofErr w:type="spellStart"/>
      <w:r w:rsidRPr="00431560">
        <w:rPr>
          <w:lang w:eastAsia="bg-BG"/>
        </w:rPr>
        <w:t>интраутеринно</w:t>
      </w:r>
      <w:proofErr w:type="spellEnd"/>
      <w:r w:rsidRPr="00431560">
        <w:rPr>
          <w:lang w:eastAsia="bg-BG"/>
        </w:rPr>
        <w:t xml:space="preserve"> забавяне на растежа.</w:t>
      </w:r>
    </w:p>
    <w:p w14:paraId="3DB4286B" w14:textId="09A0C021" w:rsidR="00431560" w:rsidRDefault="00431560" w:rsidP="00431560">
      <w:pPr>
        <w:rPr>
          <w:lang w:eastAsia="bg-BG"/>
        </w:rPr>
      </w:pP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е прилаган под строго наблюдение за лечение на </w:t>
      </w:r>
      <w:proofErr w:type="spellStart"/>
      <w:r w:rsidRPr="00431560">
        <w:rPr>
          <w:lang w:eastAsia="bg-BG"/>
        </w:rPr>
        <w:t>хипертензия</w:t>
      </w:r>
      <w:proofErr w:type="spellEnd"/>
      <w:r w:rsidRPr="00431560">
        <w:rPr>
          <w:lang w:eastAsia="bg-BG"/>
        </w:rPr>
        <w:t xml:space="preserve"> през трето тримесечие. Ако е провеждано лечение с </w:t>
      </w:r>
      <w:proofErr w:type="spellStart"/>
      <w:r w:rsidRPr="00431560">
        <w:rPr>
          <w:lang w:eastAsia="bg-BG"/>
        </w:rPr>
        <w:t>атенолол</w:t>
      </w:r>
      <w:proofErr w:type="spellEnd"/>
      <w:r w:rsidRPr="00431560">
        <w:rPr>
          <w:lang w:eastAsia="bg-BG"/>
        </w:rPr>
        <w:t xml:space="preserve"> на жени в късна бременност, новороденото трябва да бъде наблюдавано няколко дни след раждането поради възможната поява на нежелани ефекти (брадикардия, хипотония).</w:t>
      </w:r>
    </w:p>
    <w:p w14:paraId="76F76F20" w14:textId="441BB42F" w:rsidR="00431560" w:rsidRDefault="00431560" w:rsidP="00431560">
      <w:proofErr w:type="spellStart"/>
      <w:r>
        <w:lastRenderedPageBreak/>
        <w:t>Атенолол</w:t>
      </w:r>
      <w:proofErr w:type="spellEnd"/>
      <w:r>
        <w:t xml:space="preserve"> преминава в кърмата, поради което при необходимост от лечение на майката кърменето трябва да се преустанови, поради риск от поява на хипогликемия и брадикардия у кърмачето.</w:t>
      </w:r>
    </w:p>
    <w:p w14:paraId="75DC4863" w14:textId="77777777" w:rsidR="00431560" w:rsidRPr="00431560" w:rsidRDefault="00431560" w:rsidP="00431560">
      <w:pPr>
        <w:rPr>
          <w:lang w:eastAsia="bg-BG"/>
        </w:rPr>
      </w:pPr>
    </w:p>
    <w:p w14:paraId="13465597" w14:textId="1ED1EB96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7647A970" w14:textId="363C269F" w:rsidR="00431560" w:rsidRDefault="00431560" w:rsidP="00431560"/>
    <w:p w14:paraId="6246F63A" w14:textId="5760F186" w:rsidR="002E7701" w:rsidRPr="002E7701" w:rsidRDefault="002E7701" w:rsidP="002E7701">
      <w:pPr>
        <w:rPr>
          <w:sz w:val="24"/>
          <w:szCs w:val="24"/>
        </w:rPr>
      </w:pPr>
      <w:r w:rsidRPr="002E7701">
        <w:rPr>
          <w:lang w:eastAsia="bg-BG"/>
        </w:rPr>
        <w:t xml:space="preserve">В изключително редки случаи </w:t>
      </w:r>
      <w:proofErr w:type="spellStart"/>
      <w:r w:rsidRPr="002E7701">
        <w:rPr>
          <w:lang w:eastAsia="bg-BG"/>
        </w:rPr>
        <w:t>Атенолол</w:t>
      </w:r>
      <w:proofErr w:type="spellEnd"/>
      <w:r w:rsidRPr="002E7701">
        <w:rPr>
          <w:lang w:eastAsia="bg-BG"/>
        </w:rPr>
        <w:t xml:space="preserve"> </w:t>
      </w:r>
      <w:proofErr w:type="spellStart"/>
      <w:r w:rsidRPr="002E7701">
        <w:rPr>
          <w:lang w:eastAsia="bg-BG"/>
        </w:rPr>
        <w:t>Софарама</w:t>
      </w:r>
      <w:proofErr w:type="spellEnd"/>
      <w:r w:rsidRPr="002E7701">
        <w:rPr>
          <w:lang w:eastAsia="bg-BG"/>
        </w:rPr>
        <w:t xml:space="preserve"> може Да предизвика симптоматична хипотония и брадикардия. Препоръчва се повишено внимание при шофиране и работа с машини, особено в началото на лечението.</w:t>
      </w:r>
    </w:p>
    <w:p w14:paraId="3CA28232" w14:textId="77777777" w:rsidR="00431560" w:rsidRPr="00431560" w:rsidRDefault="00431560" w:rsidP="00431560"/>
    <w:p w14:paraId="5D66F04B" w14:textId="3D1E9572" w:rsidR="003765DC" w:rsidRDefault="002C50EE" w:rsidP="002B3C38">
      <w:pPr>
        <w:pStyle w:val="2"/>
      </w:pPr>
      <w:r>
        <w:t>4.8. Нежелани лекарствени реакции</w:t>
      </w:r>
    </w:p>
    <w:p w14:paraId="5958023E" w14:textId="205AD779" w:rsidR="002E7701" w:rsidRDefault="002E7701" w:rsidP="002E7701"/>
    <w:p w14:paraId="698E8CDA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Нежеланите лекарствени реакции са класифицирани по честота и по система орган-клас. Честотата по </w:t>
      </w:r>
      <w:r w:rsidRPr="002E7701">
        <w:rPr>
          <w:rFonts w:eastAsia="Times New Roman" w:cs="Arial"/>
          <w:color w:val="000000"/>
          <w:lang w:val="en-US"/>
        </w:rPr>
        <w:t xml:space="preserve">MedDRA </w:t>
      </w:r>
      <w:r w:rsidRPr="002E7701">
        <w:rPr>
          <w:rFonts w:eastAsia="Times New Roman" w:cs="Arial"/>
          <w:color w:val="000000"/>
          <w:lang w:eastAsia="bg-BG"/>
        </w:rPr>
        <w:t>отговаря на: много чести (</w:t>
      </w:r>
      <w:r w:rsidRPr="002E7701">
        <w:rPr>
          <w:rFonts w:eastAsia="Times New Roman" w:cs="Arial"/>
          <w:color w:val="000000"/>
          <w:lang w:val="en-US"/>
        </w:rPr>
        <w:t>≥</w:t>
      </w:r>
      <w:r w:rsidRPr="002E7701">
        <w:rPr>
          <w:rFonts w:eastAsia="Times New Roman" w:cs="Arial"/>
          <w:color w:val="000000"/>
          <w:lang w:eastAsia="bg-BG"/>
        </w:rPr>
        <w:t xml:space="preserve"> 1/10), чести (</w:t>
      </w:r>
      <w:r w:rsidRPr="002E7701">
        <w:rPr>
          <w:rFonts w:eastAsia="Times New Roman" w:cs="Arial"/>
          <w:color w:val="000000"/>
          <w:lang w:val="en-US"/>
        </w:rPr>
        <w:t>≥</w:t>
      </w:r>
      <w:r w:rsidRPr="002E7701">
        <w:rPr>
          <w:rFonts w:eastAsia="Times New Roman" w:cs="Arial"/>
          <w:color w:val="000000"/>
          <w:lang w:eastAsia="bg-BG"/>
        </w:rPr>
        <w:t xml:space="preserve"> 1/100 и &lt;1/10), нечести (</w:t>
      </w:r>
      <w:r w:rsidRPr="002E7701">
        <w:rPr>
          <w:rFonts w:eastAsia="Times New Roman" w:cs="Arial"/>
          <w:color w:val="000000"/>
          <w:lang w:val="en-US"/>
        </w:rPr>
        <w:t>≥</w:t>
      </w:r>
      <w:r w:rsidRPr="002E7701">
        <w:rPr>
          <w:rFonts w:eastAsia="Times New Roman" w:cs="Arial"/>
          <w:color w:val="000000"/>
          <w:lang w:eastAsia="bg-BG"/>
        </w:rPr>
        <w:t xml:space="preserve"> 1/1 000 и &lt;1/100), редки (</w:t>
      </w:r>
      <w:r w:rsidRPr="002E7701">
        <w:rPr>
          <w:rFonts w:eastAsia="Times New Roman" w:cs="Arial"/>
          <w:color w:val="000000"/>
          <w:lang w:val="en-US"/>
        </w:rPr>
        <w:t>≥</w:t>
      </w:r>
      <w:r w:rsidRPr="002E7701">
        <w:rPr>
          <w:rFonts w:eastAsia="Times New Roman" w:cs="Arial"/>
          <w:color w:val="000000"/>
          <w:lang w:eastAsia="bg-BG"/>
        </w:rPr>
        <w:t xml:space="preserve"> 1/10 000 и &lt;1/1 000) и много редки (&lt;1/10 000), с неизвестна честота (от наличните данни не може да бъде направена оценка).</w:t>
      </w:r>
    </w:p>
    <w:p w14:paraId="1CBE6E4A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</w:p>
    <w:p w14:paraId="5099D50A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По-често срещаните нежелани лекарствени реакции при употребата 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се дължат на фармакологичното му действие. Те са предимно преходни и много рядко изискват прекратяване на лечението.</w:t>
      </w:r>
    </w:p>
    <w:p w14:paraId="388EB767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Нарушения на кръвта и лимфната система</w:t>
      </w:r>
    </w:p>
    <w:p w14:paraId="561EAAEE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Редки - пурпура,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2E7701">
        <w:rPr>
          <w:rFonts w:eastAsia="Times New Roman" w:cs="Arial"/>
          <w:color w:val="000000"/>
          <w:lang w:eastAsia="bg-BG"/>
        </w:rPr>
        <w:t>.</w:t>
      </w:r>
    </w:p>
    <w:p w14:paraId="7190555C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Психични нарушения</w:t>
      </w:r>
    </w:p>
    <w:p w14:paraId="49278FA6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Нечести - нарушение на съня, характерно за бета-</w:t>
      </w:r>
      <w:proofErr w:type="spellStart"/>
      <w:r w:rsidRPr="002E7701">
        <w:rPr>
          <w:rFonts w:eastAsia="Times New Roman" w:cs="Arial"/>
          <w:color w:val="000000"/>
          <w:lang w:eastAsia="bg-BG"/>
        </w:rPr>
        <w:t>блокерите</w:t>
      </w:r>
      <w:proofErr w:type="spellEnd"/>
      <w:r w:rsidRPr="002E7701">
        <w:rPr>
          <w:rFonts w:eastAsia="Times New Roman" w:cs="Arial"/>
          <w:color w:val="000000"/>
          <w:lang w:eastAsia="bg-BG"/>
        </w:rPr>
        <w:t>;</w:t>
      </w:r>
    </w:p>
    <w:p w14:paraId="0DBEBC6F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Редки - промяна на настроението, кошмари, конфузии, психози и халюцинации.</w:t>
      </w:r>
    </w:p>
    <w:p w14:paraId="694F9BBB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</w:p>
    <w:p w14:paraId="2E16319F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Редки — виене на свят, главоболие,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парестезии</w:t>
      </w:r>
      <w:proofErr w:type="spellEnd"/>
      <w:r w:rsidRPr="002E7701">
        <w:rPr>
          <w:rFonts w:eastAsia="Times New Roman" w:cs="Arial"/>
          <w:color w:val="000000"/>
          <w:lang w:eastAsia="bg-BG"/>
        </w:rPr>
        <w:t>.</w:t>
      </w:r>
    </w:p>
    <w:p w14:paraId="247A6EB0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Нарушения на очите</w:t>
      </w:r>
    </w:p>
    <w:p w14:paraId="07F52C2F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Редки — нарушения в зрението, сухота в очите.</w:t>
      </w:r>
    </w:p>
    <w:p w14:paraId="63ACBD2C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Сърдечни нарушения</w:t>
      </w:r>
    </w:p>
    <w:p w14:paraId="74E2205D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Чести - брадикардия;</w:t>
      </w:r>
    </w:p>
    <w:p w14:paraId="220098C2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Редки - сърдечна недостатъчност, </w:t>
      </w:r>
      <w:r w:rsidRPr="002E7701">
        <w:rPr>
          <w:rFonts w:eastAsia="Times New Roman" w:cs="Arial"/>
          <w:color w:val="000000"/>
          <w:lang w:val="en-US"/>
        </w:rPr>
        <w:t xml:space="preserve">AV </w:t>
      </w:r>
      <w:r w:rsidRPr="002E7701">
        <w:rPr>
          <w:rFonts w:eastAsia="Times New Roman" w:cs="Arial"/>
          <w:color w:val="000000"/>
          <w:lang w:eastAsia="bg-BG"/>
        </w:rPr>
        <w:t>блок.</w:t>
      </w:r>
    </w:p>
    <w:p w14:paraId="0BF0FF74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Съдови нарушения</w:t>
      </w:r>
    </w:p>
    <w:p w14:paraId="3784C8BA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Чести - студени крайници;</w:t>
      </w:r>
    </w:p>
    <w:p w14:paraId="7C155B43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Редки -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постурална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, която може да се придружава със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синкоп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2E7701">
        <w:rPr>
          <w:rFonts w:eastAsia="Times New Roman" w:cs="Arial"/>
          <w:color w:val="000000"/>
          <w:lang w:val="en-US"/>
        </w:rPr>
        <w:t>claudicatio</w:t>
      </w:r>
      <w:proofErr w:type="spellEnd"/>
      <w:r w:rsidRPr="002E7701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2E7701">
        <w:rPr>
          <w:rFonts w:eastAsia="Times New Roman" w:cs="Arial"/>
          <w:color w:val="000000"/>
          <w:lang w:val="en-US"/>
        </w:rPr>
        <w:t>intermitens</w:t>
      </w:r>
      <w:proofErr w:type="spellEnd"/>
      <w:r w:rsidRPr="002E7701">
        <w:rPr>
          <w:rFonts w:eastAsia="Times New Roman" w:cs="Arial"/>
          <w:color w:val="000000"/>
          <w:lang w:val="en-US"/>
        </w:rPr>
        <w:t xml:space="preserve">, </w:t>
      </w:r>
      <w:r w:rsidRPr="002E7701">
        <w:rPr>
          <w:rFonts w:eastAsia="Times New Roman" w:cs="Arial"/>
          <w:color w:val="000000"/>
          <w:lang w:eastAsia="bg-BG"/>
        </w:rPr>
        <w:t xml:space="preserve">феномен на </w:t>
      </w:r>
      <w:r w:rsidRPr="002E7701">
        <w:rPr>
          <w:rFonts w:eastAsia="Times New Roman" w:cs="Arial"/>
          <w:color w:val="000000"/>
          <w:lang w:val="en-US"/>
        </w:rPr>
        <w:t>Raynaud.</w:t>
      </w:r>
    </w:p>
    <w:p w14:paraId="5A5B156B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 xml:space="preserve">Респираторни, гръдни и </w:t>
      </w:r>
      <w:proofErr w:type="spellStart"/>
      <w:r w:rsidRPr="002E7701">
        <w:rPr>
          <w:rFonts w:eastAsia="Times New Roman" w:cs="Arial"/>
          <w:color w:val="000000"/>
          <w:u w:val="single"/>
          <w:lang w:eastAsia="bg-BG"/>
        </w:rPr>
        <w:t>медиастинални</w:t>
      </w:r>
      <w:proofErr w:type="spellEnd"/>
      <w:r w:rsidRPr="002E7701">
        <w:rPr>
          <w:rFonts w:eastAsia="Times New Roman" w:cs="Arial"/>
          <w:color w:val="000000"/>
          <w:u w:val="single"/>
          <w:lang w:eastAsia="bg-BG"/>
        </w:rPr>
        <w:t xml:space="preserve"> нарушения</w:t>
      </w:r>
    </w:p>
    <w:p w14:paraId="7351A247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Редки -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може да се наблюдава при пациенти с бронхиална астма или анамнеза за астматични оплаквания.</w:t>
      </w:r>
    </w:p>
    <w:p w14:paraId="1DCB7A07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Стомашно-чревни нарушения</w:t>
      </w:r>
    </w:p>
    <w:p w14:paraId="22151851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Чести - гастроинтестинални нарушения;</w:t>
      </w:r>
    </w:p>
    <w:p w14:paraId="1E5290A1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Редки - сухота в устата.</w:t>
      </w:r>
    </w:p>
    <w:p w14:paraId="6083229D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proofErr w:type="spellStart"/>
      <w:r w:rsidRPr="002E7701">
        <w:rPr>
          <w:rFonts w:eastAsia="Times New Roman" w:cs="Arial"/>
          <w:color w:val="000000"/>
          <w:u w:val="single"/>
          <w:lang w:eastAsia="bg-BG"/>
        </w:rPr>
        <w:t>Хепатобилиарни</w:t>
      </w:r>
      <w:proofErr w:type="spellEnd"/>
      <w:r w:rsidRPr="002E7701">
        <w:rPr>
          <w:rFonts w:eastAsia="Times New Roman" w:cs="Arial"/>
          <w:color w:val="000000"/>
          <w:u w:val="single"/>
          <w:lang w:eastAsia="bg-BG"/>
        </w:rPr>
        <w:t xml:space="preserve"> нарушения</w:t>
      </w:r>
    </w:p>
    <w:p w14:paraId="21D3CEBB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Нечести - повишени стойности 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ге</w:t>
      </w:r>
      <w:proofErr w:type="spellEnd"/>
      <w:r w:rsidRPr="002E7701">
        <w:rPr>
          <w:rFonts w:eastAsia="Times New Roman" w:cs="Arial"/>
          <w:color w:val="000000"/>
          <w:lang w:eastAsia="bg-BG"/>
        </w:rPr>
        <w:t>;</w:t>
      </w:r>
    </w:p>
    <w:p w14:paraId="55AEB2C6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Редки -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хепатотоксичност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, вкл.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интрахепатална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холестаза</w:t>
      </w:r>
      <w:proofErr w:type="spellEnd"/>
      <w:r w:rsidRPr="002E7701">
        <w:rPr>
          <w:rFonts w:eastAsia="Times New Roman" w:cs="Arial"/>
          <w:color w:val="000000"/>
          <w:lang w:eastAsia="bg-BG"/>
        </w:rPr>
        <w:t>.</w:t>
      </w:r>
    </w:p>
    <w:p w14:paraId="2A0D43C7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59EDE7B5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Редки - алопеция, уртикария,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псориазоподобен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обрив или обостряне на псориазис;</w:t>
      </w:r>
    </w:p>
    <w:p w14:paraId="16DEF05C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С неизвестна честота - реакции на свръхчувствителност, вкл. ангиоедем и уртикария.</w:t>
      </w:r>
    </w:p>
    <w:p w14:paraId="01B7B897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Нарушения на възпроизводителната система и гърдата</w:t>
      </w:r>
    </w:p>
    <w:p w14:paraId="0031310E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lastRenderedPageBreak/>
        <w:t>Редки - импотентност.</w:t>
      </w:r>
    </w:p>
    <w:p w14:paraId="7A33A267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Общи нарушения и ефекти на мястото на приложение</w:t>
      </w:r>
    </w:p>
    <w:p w14:paraId="29EA42B9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Чести-умора.</w:t>
      </w:r>
    </w:p>
    <w:p w14:paraId="1B0E7FDC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Изследвания</w:t>
      </w:r>
    </w:p>
    <w:p w14:paraId="164BEDCC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Много редки - образуване на антинуклеарни антитела </w:t>
      </w:r>
      <w:r w:rsidRPr="002E7701">
        <w:rPr>
          <w:rFonts w:eastAsia="Times New Roman" w:cs="Arial"/>
          <w:color w:val="000000"/>
          <w:lang w:val="en-US"/>
        </w:rPr>
        <w:t xml:space="preserve">(ANA), </w:t>
      </w:r>
      <w:r w:rsidRPr="002E7701">
        <w:rPr>
          <w:rFonts w:eastAsia="Times New Roman" w:cs="Arial"/>
          <w:color w:val="000000"/>
          <w:lang w:eastAsia="bg-BG"/>
        </w:rPr>
        <w:t>клиничната значимост на тази находка не е ясна.</w:t>
      </w:r>
    </w:p>
    <w:p w14:paraId="5808F35B" w14:textId="655FBFDC" w:rsidR="002E7701" w:rsidRDefault="002E7701" w:rsidP="002E7701">
      <w:pPr>
        <w:rPr>
          <w:rFonts w:eastAsia="Times New Roman" w:cs="Arial"/>
          <w:color w:val="000000"/>
          <w:lang w:eastAsia="bg-BG"/>
        </w:rPr>
      </w:pPr>
      <w:r w:rsidRPr="002E7701">
        <w:rPr>
          <w:rFonts w:eastAsia="Times New Roman" w:cs="Arial"/>
          <w:color w:val="000000"/>
          <w:lang w:eastAsia="bg-BG"/>
        </w:rPr>
        <w:t xml:space="preserve">В случай, че пациентът се повлиява зле и има някоя от горепосочените реакции, е необходимо да се обмисли прекратяване на лечението с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2E7701">
        <w:rPr>
          <w:rFonts w:eastAsia="Times New Roman" w:cs="Arial"/>
          <w:color w:val="000000"/>
          <w:lang w:eastAsia="bg-BG"/>
        </w:rPr>
        <w:t>.</w:t>
      </w:r>
    </w:p>
    <w:p w14:paraId="255057D4" w14:textId="77777777" w:rsidR="002E7701" w:rsidRPr="002E7701" w:rsidRDefault="002E7701" w:rsidP="002E7701">
      <w:pPr>
        <w:rPr>
          <w:rFonts w:cs="Arial"/>
        </w:rPr>
      </w:pPr>
    </w:p>
    <w:p w14:paraId="42DF9851" w14:textId="164631FD" w:rsidR="003765DC" w:rsidRDefault="002C50EE" w:rsidP="002B3C38">
      <w:pPr>
        <w:pStyle w:val="2"/>
      </w:pPr>
      <w:r>
        <w:t>4.9. Предозиране</w:t>
      </w:r>
    </w:p>
    <w:p w14:paraId="1DF885D0" w14:textId="62323A4D" w:rsidR="002E7701" w:rsidRDefault="002E7701" w:rsidP="002E7701"/>
    <w:p w14:paraId="58911732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Симптоми:</w:t>
      </w:r>
      <w:r w:rsidRPr="002E7701">
        <w:rPr>
          <w:rFonts w:eastAsia="Times New Roman" w:cs="Arial"/>
          <w:color w:val="000000"/>
          <w:lang w:eastAsia="bg-BG"/>
        </w:rPr>
        <w:t xml:space="preserve"> Най-честите симптоми при предозиране са брадикардия,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, остра сърдечна недостатъчност,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2E7701">
        <w:rPr>
          <w:rFonts w:eastAsia="Times New Roman" w:cs="Arial"/>
          <w:color w:val="000000"/>
          <w:lang w:eastAsia="bg-BG"/>
        </w:rPr>
        <w:t>.</w:t>
      </w:r>
    </w:p>
    <w:p w14:paraId="5133C07D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u w:val="single"/>
          <w:lang w:eastAsia="bg-BG"/>
        </w:rPr>
        <w:t>Лечение:</w:t>
      </w:r>
      <w:r w:rsidRPr="002E7701">
        <w:rPr>
          <w:rFonts w:eastAsia="Times New Roman" w:cs="Arial"/>
          <w:color w:val="000000"/>
          <w:lang w:eastAsia="bg-BG"/>
        </w:rPr>
        <w:t xml:space="preserve"> при предозиране терапията с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се прекратява. Предприемат се общи мерки за отстраняване 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нерезорбираното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количество от лекарствения продукт.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може да бъде отстранен от кръвообращението чрез хемодиализа или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хемоперфузия</w:t>
      </w:r>
      <w:proofErr w:type="spellEnd"/>
      <w:r w:rsidRPr="002E7701">
        <w:rPr>
          <w:rFonts w:eastAsia="Times New Roman" w:cs="Arial"/>
          <w:color w:val="000000"/>
          <w:lang w:eastAsia="bg-BG"/>
        </w:rPr>
        <w:t>. При необходимост се назначават следните симптоматични средства:</w:t>
      </w:r>
    </w:p>
    <w:p w14:paraId="496C67C2" w14:textId="79FAE2FF" w:rsidR="002E7701" w:rsidRPr="002E7701" w:rsidRDefault="002E7701" w:rsidP="002E7701">
      <w:pPr>
        <w:pStyle w:val="a3"/>
        <w:numPr>
          <w:ilvl w:val="0"/>
          <w:numId w:val="3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E7701">
        <w:rPr>
          <w:rFonts w:eastAsia="Times New Roman" w:cs="Arial"/>
          <w:color w:val="000000"/>
          <w:lang w:eastAsia="bg-BG"/>
        </w:rPr>
        <w:t>при брадикардия</w:t>
      </w:r>
      <w:r w:rsidRPr="002E7701">
        <w:rPr>
          <w:rFonts w:eastAsia="Times New Roman" w:cs="Arial"/>
          <w:color w:val="000000"/>
          <w:lang w:eastAsia="bg-BG"/>
        </w:rPr>
        <w:t xml:space="preserve"> - </w:t>
      </w:r>
      <w:r w:rsidRPr="002E7701">
        <w:rPr>
          <w:rFonts w:eastAsia="Times New Roman" w:cs="Arial"/>
          <w:color w:val="000000"/>
          <w:lang w:eastAsia="bg-BG"/>
        </w:rPr>
        <w:t xml:space="preserve">1-2 </w:t>
      </w:r>
      <w:r w:rsidRPr="002E7701">
        <w:rPr>
          <w:rFonts w:eastAsia="Times New Roman" w:cs="Arial"/>
          <w:color w:val="000000"/>
          <w:lang w:val="en-US"/>
        </w:rPr>
        <w:t xml:space="preserve">mg </w:t>
      </w:r>
      <w:r w:rsidRPr="002E7701">
        <w:rPr>
          <w:rFonts w:eastAsia="Times New Roman" w:cs="Arial"/>
          <w:color w:val="000000"/>
          <w:lang w:eastAsia="bg-BG"/>
        </w:rPr>
        <w:t xml:space="preserve">атропин интравенозно и/или сърдечен пейсмейкър. При необходимост може да се добави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болус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инжектиране на 10 </w:t>
      </w:r>
      <w:r w:rsidRPr="002E770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глюкагон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интравенозно, тъй като той притежава положителен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инотропен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 незначителен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хронотропен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ефект. Ако се налага това може да се повтори или да се последва от венозна инфузия 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глюкагон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1-10 </w:t>
      </w:r>
      <w:r w:rsidRPr="002E7701">
        <w:rPr>
          <w:rFonts w:eastAsia="Times New Roman" w:cs="Arial"/>
          <w:color w:val="000000"/>
          <w:lang w:val="en-US"/>
        </w:rPr>
        <w:t xml:space="preserve">mg/h </w:t>
      </w:r>
      <w:r w:rsidRPr="002E7701">
        <w:rPr>
          <w:rFonts w:eastAsia="Times New Roman" w:cs="Arial"/>
          <w:color w:val="000000"/>
          <w:lang w:eastAsia="bg-BG"/>
        </w:rPr>
        <w:t xml:space="preserve">в зависимост от отговора. В случай, че пациентът не отговаря 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глюкагон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или няма наличен такъв, може да се приложи бета-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адреностимулатор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добутамин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2,5 до 10 </w:t>
      </w:r>
      <w:r w:rsidRPr="002E7701">
        <w:rPr>
          <w:rFonts w:eastAsia="Times New Roman" w:cs="Arial"/>
          <w:color w:val="000000"/>
          <w:lang w:val="en-US"/>
        </w:rPr>
        <w:t>micrograms/kg/min.</w:t>
      </w:r>
    </w:p>
    <w:p w14:paraId="5ED549FA" w14:textId="16FC69D4" w:rsidR="002E7701" w:rsidRPr="002E7701" w:rsidRDefault="002E7701" w:rsidP="002E7701">
      <w:pPr>
        <w:pStyle w:val="a3"/>
        <w:numPr>
          <w:ilvl w:val="0"/>
          <w:numId w:val="31"/>
        </w:numPr>
        <w:spacing w:line="240" w:lineRule="auto"/>
        <w:rPr>
          <w:rFonts w:eastAsia="Times New Roman" w:cs="Arial"/>
        </w:rPr>
      </w:pPr>
      <w:proofErr w:type="spellStart"/>
      <w:r w:rsidRPr="002E7701">
        <w:rPr>
          <w:rFonts w:eastAsia="Times New Roman" w:cs="Arial"/>
          <w:color w:val="000000"/>
          <w:lang w:eastAsia="bg-BG"/>
        </w:rPr>
        <w:t>Добутамин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притежава положителен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инотропен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ефект и може да се използва за повлияване 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хипотензията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 сърдечната недостатъчност. Възможно е при силно предозиране тези дози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добутамин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да не са достатъчни за реверсия на сърдечните ефекти на бета-блокадата. Дозата се повишава в зависимост от клиничното състояние на пациента до достигане на необходимия отговор.</w:t>
      </w:r>
    </w:p>
    <w:p w14:paraId="3783E71E" w14:textId="50B01CAC" w:rsidR="002E7701" w:rsidRPr="002E7701" w:rsidRDefault="002E7701" w:rsidP="002E7701">
      <w:pPr>
        <w:pStyle w:val="a3"/>
        <w:numPr>
          <w:ilvl w:val="0"/>
          <w:numId w:val="31"/>
        </w:num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>при сърдечен блок (</w:t>
      </w:r>
      <w:r w:rsidRPr="002E7701">
        <w:rPr>
          <w:rFonts w:eastAsia="Times New Roman" w:cs="Arial"/>
          <w:color w:val="000000"/>
          <w:lang w:val="en-US"/>
        </w:rPr>
        <w:t>II</w:t>
      </w:r>
      <w:r w:rsidRPr="002E7701">
        <w:rPr>
          <w:rFonts w:eastAsia="Times New Roman" w:cs="Arial"/>
          <w:color w:val="000000"/>
          <w:lang w:eastAsia="bg-BG"/>
        </w:rPr>
        <w:t>-</w:t>
      </w:r>
      <w:proofErr w:type="spellStart"/>
      <w:r w:rsidRPr="002E7701">
        <w:rPr>
          <w:rFonts w:eastAsia="Times New Roman" w:cs="Arial"/>
          <w:color w:val="000000"/>
          <w:lang w:eastAsia="bg-BG"/>
        </w:rPr>
        <w:t>ра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или </w:t>
      </w:r>
      <w:r w:rsidRPr="002E7701">
        <w:rPr>
          <w:rFonts w:eastAsia="Times New Roman" w:cs="Arial"/>
          <w:color w:val="000000"/>
          <w:lang w:val="en-US"/>
        </w:rPr>
        <w:t>III</w:t>
      </w:r>
      <w:r w:rsidRPr="002E7701">
        <w:rPr>
          <w:rFonts w:eastAsia="Times New Roman" w:cs="Arial"/>
          <w:color w:val="000000"/>
          <w:lang w:eastAsia="bg-BG"/>
        </w:rPr>
        <w:t xml:space="preserve">-та степен) -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изопреналин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или трансвенозен сърдечен пейсмейкър.</w:t>
      </w:r>
    </w:p>
    <w:p w14:paraId="5B6EF84E" w14:textId="77777777" w:rsidR="002E7701" w:rsidRPr="002E7701" w:rsidRDefault="002E7701" w:rsidP="002E7701">
      <w:pPr>
        <w:pStyle w:val="a3"/>
        <w:numPr>
          <w:ilvl w:val="0"/>
          <w:numId w:val="31"/>
        </w:num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- адреналин,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допамин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добутамин.</w:t>
      </w:r>
      <w:proofErr w:type="spellEnd"/>
    </w:p>
    <w:p w14:paraId="3BF38F96" w14:textId="08D12B18" w:rsidR="002E7701" w:rsidRPr="002E7701" w:rsidRDefault="002E7701" w:rsidP="002E7701">
      <w:pPr>
        <w:pStyle w:val="a3"/>
        <w:numPr>
          <w:ilvl w:val="0"/>
          <w:numId w:val="31"/>
        </w:num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-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теофилин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 бета</w:t>
      </w:r>
      <w:r w:rsidRPr="002E7701">
        <w:rPr>
          <w:rFonts w:eastAsia="Times New Roman" w:cs="Arial"/>
          <w:color w:val="000000"/>
          <w:vertAlign w:val="subscript"/>
          <w:lang w:eastAsia="bg-BG"/>
        </w:rPr>
        <w:t>2</w:t>
      </w:r>
      <w:r w:rsidRPr="002E7701">
        <w:rPr>
          <w:rFonts w:eastAsia="Times New Roman" w:cs="Arial"/>
          <w:color w:val="000000"/>
          <w:lang w:eastAsia="bg-BG"/>
        </w:rPr>
        <w:t>-агонисти.</w:t>
      </w:r>
    </w:p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4B38B834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9FF83FF" w14:textId="3A77B710" w:rsidR="002E7701" w:rsidRDefault="002E7701" w:rsidP="002E7701"/>
    <w:p w14:paraId="64B2A5D1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proofErr w:type="spellStart"/>
      <w:r w:rsidRPr="002E7701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група: Бета-</w:t>
      </w:r>
      <w:proofErr w:type="spellStart"/>
      <w:r w:rsidRPr="002E7701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2E7701">
        <w:rPr>
          <w:rFonts w:eastAsia="Times New Roman" w:cs="Arial"/>
          <w:color w:val="000000"/>
          <w:lang w:eastAsia="bg-BG"/>
        </w:rPr>
        <w:t>, селективни, АТС код: С07А ВОЗ</w:t>
      </w:r>
    </w:p>
    <w:p w14:paraId="7466D517" w14:textId="77777777" w:rsidR="002E7701" w:rsidRDefault="002E7701" w:rsidP="002E770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90338B" w14:textId="71FF90E7" w:rsidR="002E7701" w:rsidRPr="002E7701" w:rsidRDefault="002E7701" w:rsidP="002E7701">
      <w:pPr>
        <w:spacing w:line="240" w:lineRule="auto"/>
        <w:rPr>
          <w:rFonts w:eastAsia="Times New Roman" w:cs="Arial"/>
        </w:rPr>
      </w:pPr>
      <w:proofErr w:type="spellStart"/>
      <w:r w:rsidRPr="002E7701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кардиоселективен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бета1-адренергичен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, без вътрешна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симпатикомиметична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активност 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мембраностабилизиращо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действие.</w:t>
      </w:r>
    </w:p>
    <w:p w14:paraId="1B163590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В терапевтични дози повлиява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хронотропните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инотропните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дромотропните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ефекти на сърдечната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симпатикусова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стимулация. В състояние на покой има слаб ефект върху сърдечната честота и минутния сърдечен обем и леко снижава артериалното налягане. Много по-изразени са ефектите му върху сърдечната честота и сърдечния дебит при физически усилия и при други условия, водещи до повишен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симпатиков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тонус. Намалява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контрактилитета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на миокарда, т.е. упражнява отрицателен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инотропен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ефект. Сърдечният дебит се намалява под влияние на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2E7701">
        <w:rPr>
          <w:rFonts w:eastAsia="Times New Roman" w:cs="Arial"/>
          <w:color w:val="000000"/>
          <w:lang w:eastAsia="bg-BG"/>
        </w:rPr>
        <w:t>.</w:t>
      </w:r>
    </w:p>
    <w:p w14:paraId="3E119587" w14:textId="77777777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lastRenderedPageBreak/>
        <w:t xml:space="preserve">Потиска бъбречната </w:t>
      </w:r>
      <w:proofErr w:type="spellStart"/>
      <w:r w:rsidRPr="002E7701">
        <w:rPr>
          <w:rFonts w:eastAsia="Times New Roman" w:cs="Arial"/>
          <w:color w:val="000000"/>
          <w:lang w:eastAsia="bg-BG"/>
        </w:rPr>
        <w:t>ренинова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секреция и това му действие играе важна роля в механизмите на антихипертензивния му ефект.</w:t>
      </w:r>
    </w:p>
    <w:p w14:paraId="1DB6AA18" w14:textId="77777777" w:rsidR="002E7701" w:rsidRPr="002E7701" w:rsidRDefault="002E7701" w:rsidP="002E7701"/>
    <w:p w14:paraId="4D7DA0E3" w14:textId="2809D835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CB81EAE" w14:textId="5E7DC03E" w:rsidR="002E7701" w:rsidRDefault="002E7701" w:rsidP="002E7701"/>
    <w:p w14:paraId="6701C184" w14:textId="77777777" w:rsidR="002E7701" w:rsidRPr="002E7701" w:rsidRDefault="002E7701" w:rsidP="002E7701">
      <w:pPr>
        <w:pStyle w:val="3"/>
        <w:rPr>
          <w:rFonts w:eastAsia="Times New Roman"/>
          <w:u w:val="single"/>
          <w:lang w:eastAsia="bg-BG"/>
        </w:rPr>
      </w:pPr>
      <w:r w:rsidRPr="002E7701">
        <w:rPr>
          <w:rFonts w:eastAsia="Times New Roman"/>
          <w:u w:val="single"/>
          <w:lang w:eastAsia="bg-BG"/>
        </w:rPr>
        <w:t xml:space="preserve">Резорбция: </w:t>
      </w:r>
    </w:p>
    <w:p w14:paraId="4B527303" w14:textId="543DEEDF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При перорално приложение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атенолол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се резорбира бързо, но непълно. Приблизително 40- 50% от приетата доза се резорбира в гастроинтестиналния тракт. Максималната плазмена концентрация се достига след 2-4 часа. Концентрациите в кръвта са постоянни и слабо варират. </w:t>
      </w:r>
      <w:r w:rsidRPr="002E7701">
        <w:rPr>
          <w:rFonts w:eastAsia="Times New Roman" w:cs="Arial"/>
          <w:color w:val="000000"/>
          <w:u w:val="single"/>
          <w:lang w:eastAsia="bg-BG"/>
        </w:rPr>
        <w:t>Разпределение:</w:t>
      </w:r>
      <w:r w:rsidRPr="002E7701">
        <w:rPr>
          <w:rFonts w:eastAsia="Times New Roman" w:cs="Arial"/>
          <w:color w:val="000000"/>
          <w:lang w:eastAsia="bg-BG"/>
        </w:rPr>
        <w:t xml:space="preserve"> Обемът на разпределение е около 75 1/1,73 </w:t>
      </w:r>
      <w:r w:rsidRPr="002E7701">
        <w:rPr>
          <w:rFonts w:eastAsia="Times New Roman" w:cs="Arial"/>
          <w:color w:val="000000"/>
          <w:lang w:val="en-US"/>
        </w:rPr>
        <w:t>m</w:t>
      </w:r>
      <w:r w:rsidRPr="002E7701">
        <w:rPr>
          <w:rFonts w:eastAsia="Times New Roman" w:cs="Arial"/>
          <w:color w:val="000000"/>
          <w:vertAlign w:val="superscript"/>
          <w:lang w:val="en-US"/>
        </w:rPr>
        <w:t>3</w:t>
      </w:r>
      <w:r w:rsidRPr="002E7701">
        <w:rPr>
          <w:rFonts w:eastAsia="Times New Roman" w:cs="Arial"/>
          <w:color w:val="000000"/>
          <w:lang w:val="en-US"/>
        </w:rPr>
        <w:t xml:space="preserve">. </w:t>
      </w:r>
      <w:r w:rsidRPr="002E7701">
        <w:rPr>
          <w:rFonts w:eastAsia="Times New Roman" w:cs="Arial"/>
          <w:color w:val="000000"/>
          <w:lang w:eastAsia="bg-BG"/>
        </w:rPr>
        <w:t xml:space="preserve">С плазмените белтъци се свързва в 6- 16%. Поради слабата си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липидоразтворимост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се разпределя в незначителна степен в тъканите, концентрацията му в мозъчната тъкан е незначителна.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се в кърмата.</w:t>
      </w:r>
    </w:p>
    <w:p w14:paraId="75632A8A" w14:textId="77777777" w:rsidR="002E7701" w:rsidRDefault="002E7701" w:rsidP="002E770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99617D" w14:textId="77777777" w:rsidR="002E7701" w:rsidRPr="002E7701" w:rsidRDefault="002E7701" w:rsidP="002E7701">
      <w:pPr>
        <w:pStyle w:val="3"/>
        <w:rPr>
          <w:rFonts w:eastAsia="Times New Roman"/>
          <w:u w:val="single"/>
          <w:lang w:eastAsia="bg-BG"/>
        </w:rPr>
      </w:pPr>
      <w:r w:rsidRPr="002E7701">
        <w:rPr>
          <w:rFonts w:eastAsia="Times New Roman"/>
          <w:u w:val="single"/>
          <w:lang w:eastAsia="bg-BG"/>
        </w:rPr>
        <w:t xml:space="preserve">Метаболизъм: </w:t>
      </w:r>
    </w:p>
    <w:p w14:paraId="35130D7C" w14:textId="51EF3A38" w:rsidR="002E7701" w:rsidRPr="002E7701" w:rsidRDefault="002E7701" w:rsidP="002E7701">
      <w:pPr>
        <w:spacing w:line="240" w:lineRule="auto"/>
        <w:rPr>
          <w:rFonts w:eastAsia="Times New Roman" w:cs="Arial"/>
        </w:rPr>
      </w:pPr>
      <w:r w:rsidRPr="002E7701">
        <w:rPr>
          <w:rFonts w:eastAsia="Times New Roman" w:cs="Arial"/>
          <w:color w:val="000000"/>
          <w:lang w:eastAsia="bg-BG"/>
        </w:rPr>
        <w:t xml:space="preserve">Незначителна част се </w:t>
      </w:r>
      <w:proofErr w:type="spellStart"/>
      <w:r w:rsidRPr="002E7701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в черния дроб. 90% от резорбираното количество достига непроменено до системното кръвообращение.</w:t>
      </w:r>
    </w:p>
    <w:p w14:paraId="2C27AF14" w14:textId="77777777" w:rsidR="002E7701" w:rsidRDefault="002E7701" w:rsidP="002E770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CEF73A" w14:textId="77777777" w:rsidR="002E7701" w:rsidRPr="002E7701" w:rsidRDefault="002E7701" w:rsidP="002E7701">
      <w:pPr>
        <w:pStyle w:val="3"/>
        <w:rPr>
          <w:rFonts w:eastAsia="Times New Roman"/>
          <w:u w:val="single"/>
          <w:lang w:eastAsia="bg-BG"/>
        </w:rPr>
      </w:pPr>
      <w:r w:rsidRPr="002E7701">
        <w:rPr>
          <w:rFonts w:eastAsia="Times New Roman"/>
          <w:u w:val="single"/>
          <w:lang w:eastAsia="bg-BG"/>
        </w:rPr>
        <w:t xml:space="preserve">Екскреция: </w:t>
      </w:r>
    </w:p>
    <w:p w14:paraId="36F92E41" w14:textId="09745AE0" w:rsidR="002E7701" w:rsidRPr="002E7701" w:rsidRDefault="002E7701" w:rsidP="002E7701">
      <w:pPr>
        <w:spacing w:line="240" w:lineRule="auto"/>
        <w:rPr>
          <w:rFonts w:eastAsia="Times New Roman" w:cs="Arial"/>
        </w:rPr>
      </w:pPr>
      <w:proofErr w:type="spellStart"/>
      <w:r w:rsidRPr="002E7701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2E7701">
        <w:rPr>
          <w:rFonts w:eastAsia="Times New Roman" w:cs="Arial"/>
          <w:color w:val="000000"/>
          <w:lang w:eastAsia="bg-BG"/>
        </w:rPr>
        <w:t xml:space="preserve"> се главно с урината. Времето на полуживот е около 6 часа, но може да се увеличи при бъбречни увреждания.</w:t>
      </w:r>
    </w:p>
    <w:p w14:paraId="1944EBDC" w14:textId="77777777" w:rsidR="002E7701" w:rsidRPr="002E7701" w:rsidRDefault="002E7701" w:rsidP="002E7701"/>
    <w:p w14:paraId="1BDBE06B" w14:textId="4969E35B" w:rsidR="004D4D6B" w:rsidRDefault="002C50EE" w:rsidP="002B3C38">
      <w:pPr>
        <w:pStyle w:val="2"/>
      </w:pPr>
      <w:r>
        <w:t>5.3. Предклинични данни за безопасност</w:t>
      </w:r>
    </w:p>
    <w:p w14:paraId="220EFDA1" w14:textId="77777777" w:rsidR="002E7701" w:rsidRDefault="002E7701" w:rsidP="002E7701"/>
    <w:p w14:paraId="7E44044E" w14:textId="0BC86673" w:rsidR="002E7701" w:rsidRPr="002E7701" w:rsidRDefault="002E7701" w:rsidP="002E7701">
      <w:r>
        <w:t xml:space="preserve">Неклиничните данни не показват особен риск за хора на базата на конвенционалните фармакологични изпитвания за безопасност, токсичност при многократно прилагане, </w:t>
      </w:r>
      <w:proofErr w:type="spellStart"/>
      <w:r>
        <w:t>генотоксичност</w:t>
      </w:r>
      <w:proofErr w:type="spellEnd"/>
      <w:r>
        <w:t>, карциногенен потенциал, репродуктивна токсичност и токсичност за развитието.</w:t>
      </w:r>
    </w:p>
    <w:p w14:paraId="6940F72E" w14:textId="3424D7A4" w:rsidR="009B171C" w:rsidRDefault="002C50EE" w:rsidP="00CA1B57">
      <w:pPr>
        <w:pStyle w:val="1"/>
      </w:pPr>
      <w:r>
        <w:t>7. ПРИТЕЖАТЕЛ НА РАЗРЕШЕНИЕТО ЗА УПОТРЕБА</w:t>
      </w:r>
    </w:p>
    <w:p w14:paraId="4B16162F" w14:textId="77777777" w:rsidR="002E7701" w:rsidRDefault="002E7701" w:rsidP="002E7701">
      <w:pPr>
        <w:rPr>
          <w:lang w:eastAsia="bg-BG"/>
        </w:rPr>
      </w:pPr>
    </w:p>
    <w:p w14:paraId="5ECAE435" w14:textId="5FBF5B15" w:rsidR="002E7701" w:rsidRPr="002E7701" w:rsidRDefault="002E7701" w:rsidP="002E7701">
      <w:pPr>
        <w:rPr>
          <w:sz w:val="24"/>
          <w:szCs w:val="24"/>
        </w:rPr>
      </w:pPr>
      <w:r w:rsidRPr="002E7701">
        <w:rPr>
          <w:lang w:eastAsia="bg-BG"/>
        </w:rPr>
        <w:t>СОФАРМА АД</w:t>
      </w:r>
    </w:p>
    <w:p w14:paraId="0471735E" w14:textId="295DF5F2" w:rsidR="002E7701" w:rsidRPr="002E7701" w:rsidRDefault="002E7701" w:rsidP="002E7701">
      <w:pPr>
        <w:rPr>
          <w:sz w:val="24"/>
          <w:szCs w:val="24"/>
        </w:rPr>
      </w:pPr>
      <w:r w:rsidRPr="002E7701">
        <w:rPr>
          <w:lang w:eastAsia="bg-BG"/>
        </w:rPr>
        <w:t xml:space="preserve">ул. </w:t>
      </w:r>
      <w:proofErr w:type="spellStart"/>
      <w:r w:rsidRPr="002E7701">
        <w:rPr>
          <w:lang w:eastAsia="bg-BG"/>
        </w:rPr>
        <w:t>Илиенско</w:t>
      </w:r>
      <w:proofErr w:type="spellEnd"/>
      <w:r w:rsidRPr="002E7701">
        <w:rPr>
          <w:lang w:eastAsia="bg-BG"/>
        </w:rPr>
        <w:t xml:space="preserve"> шосе 16,1220 София, България</w:t>
      </w:r>
    </w:p>
    <w:p w14:paraId="04840D59" w14:textId="14B11BD5" w:rsidR="002C50EE" w:rsidRDefault="002C50EE" w:rsidP="002C50EE">
      <w:pPr>
        <w:pStyle w:val="1"/>
      </w:pPr>
      <w:r>
        <w:t>8. НОМЕР НА РАЗРЕШЕНИЕТО ЗА УПОТРЕБА</w:t>
      </w:r>
    </w:p>
    <w:p w14:paraId="55EA043C" w14:textId="77777777" w:rsidR="002E7701" w:rsidRDefault="002E7701" w:rsidP="002E7701">
      <w:pPr>
        <w:rPr>
          <w:lang w:eastAsia="bg-BG"/>
        </w:rPr>
      </w:pPr>
    </w:p>
    <w:p w14:paraId="202F5CCE" w14:textId="22090822" w:rsidR="002E7701" w:rsidRDefault="002E7701" w:rsidP="002E7701">
      <w:pPr>
        <w:rPr>
          <w:lang w:eastAsia="bg-BG"/>
        </w:rPr>
      </w:pPr>
      <w:r w:rsidRPr="002E7701">
        <w:rPr>
          <w:lang w:eastAsia="bg-BG"/>
        </w:rPr>
        <w:t xml:space="preserve">Филмирани таблетки 25 </w:t>
      </w:r>
      <w:r w:rsidRPr="002E7701">
        <w:rPr>
          <w:lang w:val="en-US"/>
        </w:rPr>
        <w:t xml:space="preserve">mg </w:t>
      </w:r>
      <w:r>
        <w:rPr>
          <w:lang w:eastAsia="bg-BG"/>
        </w:rPr>
        <w:t>–</w:t>
      </w:r>
      <w:r w:rsidRPr="002E7701">
        <w:rPr>
          <w:lang w:eastAsia="bg-BG"/>
        </w:rPr>
        <w:t xml:space="preserve"> 20020496</w:t>
      </w:r>
    </w:p>
    <w:p w14:paraId="698588D4" w14:textId="4B740397" w:rsidR="002E7701" w:rsidRPr="002E7701" w:rsidRDefault="002E7701" w:rsidP="002E7701">
      <w:pPr>
        <w:rPr>
          <w:sz w:val="24"/>
          <w:szCs w:val="24"/>
        </w:rPr>
      </w:pPr>
      <w:r>
        <w:t xml:space="preserve">Филмирани таблетки 50 </w:t>
      </w:r>
      <w:r>
        <w:rPr>
          <w:lang w:val="en-US"/>
        </w:rPr>
        <w:t xml:space="preserve">mg </w:t>
      </w:r>
      <w:r>
        <w:t>- 20010010</w:t>
      </w:r>
    </w:p>
    <w:p w14:paraId="5900CBF3" w14:textId="0DB166B0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1888C8D1" w14:textId="77777777" w:rsidR="002E7701" w:rsidRDefault="002E7701" w:rsidP="002E7701">
      <w:pPr>
        <w:rPr>
          <w:lang w:eastAsia="bg-BG"/>
        </w:rPr>
      </w:pPr>
    </w:p>
    <w:p w14:paraId="2BF67E6A" w14:textId="09D70288" w:rsidR="002E7701" w:rsidRPr="002E7701" w:rsidRDefault="002E7701" w:rsidP="002E7701">
      <w:pPr>
        <w:rPr>
          <w:sz w:val="24"/>
          <w:szCs w:val="24"/>
        </w:rPr>
      </w:pPr>
      <w:r w:rsidRPr="002E7701">
        <w:rPr>
          <w:lang w:eastAsia="bg-BG"/>
        </w:rPr>
        <w:t xml:space="preserve">Филмирани таблетки 25 </w:t>
      </w:r>
      <w:r w:rsidRPr="002E7701">
        <w:rPr>
          <w:lang w:val="en-US"/>
        </w:rPr>
        <w:t xml:space="preserve">mg - </w:t>
      </w:r>
      <w:r w:rsidRPr="002E7701">
        <w:rPr>
          <w:lang w:eastAsia="bg-BG"/>
        </w:rPr>
        <w:t>5489/18.06.2002</w:t>
      </w:r>
    </w:p>
    <w:p w14:paraId="69BD2F33" w14:textId="37DF3A94" w:rsidR="002E7701" w:rsidRPr="002E7701" w:rsidRDefault="002E7701" w:rsidP="002E7701">
      <w:pPr>
        <w:rPr>
          <w:sz w:val="24"/>
          <w:szCs w:val="24"/>
        </w:rPr>
      </w:pPr>
      <w:r w:rsidRPr="002E7701">
        <w:rPr>
          <w:lang w:eastAsia="bg-BG"/>
        </w:rPr>
        <w:t xml:space="preserve">Филмирани таблетки 50 </w:t>
      </w:r>
      <w:r w:rsidRPr="002E7701">
        <w:rPr>
          <w:lang w:val="en-US"/>
        </w:rPr>
        <w:t xml:space="preserve">mg </w:t>
      </w:r>
      <w:r w:rsidRPr="002E7701">
        <w:rPr>
          <w:lang w:eastAsia="bg-BG"/>
        </w:rPr>
        <w:t>- 1988/02.01.2001</w:t>
      </w:r>
    </w:p>
    <w:p w14:paraId="0E9D0119" w14:textId="0245C6D7" w:rsidR="002C50EE" w:rsidRDefault="002C50EE" w:rsidP="002C50EE">
      <w:pPr>
        <w:pStyle w:val="1"/>
      </w:pPr>
      <w:r>
        <w:lastRenderedPageBreak/>
        <w:t>10. ДАТА НА АКТУАЛИЗИРАНЕ НА ТЕКСТА</w:t>
      </w:r>
    </w:p>
    <w:bookmarkEnd w:id="0"/>
    <w:p w14:paraId="423F4C2A" w14:textId="528CB03F" w:rsidR="00C87E90" w:rsidRDefault="00C87E90" w:rsidP="004D4D6B"/>
    <w:p w14:paraId="7A52552C" w14:textId="55CA46FF" w:rsidR="002E7701" w:rsidRPr="003E3126" w:rsidRDefault="002E7701" w:rsidP="002E7701">
      <w:r>
        <w:t>Май, 2010</w:t>
      </w:r>
    </w:p>
    <w:sectPr w:rsidR="002E7701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3611C5"/>
    <w:multiLevelType w:val="hybridMultilevel"/>
    <w:tmpl w:val="E25A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3354A"/>
    <w:multiLevelType w:val="hybridMultilevel"/>
    <w:tmpl w:val="3F982A5E"/>
    <w:lvl w:ilvl="0" w:tplc="FC2E24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5791"/>
    <w:multiLevelType w:val="hybridMultilevel"/>
    <w:tmpl w:val="21029A58"/>
    <w:lvl w:ilvl="0" w:tplc="1FA8EC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1397"/>
    <w:multiLevelType w:val="hybridMultilevel"/>
    <w:tmpl w:val="FF122100"/>
    <w:lvl w:ilvl="0" w:tplc="EE4802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3EEA5DF6"/>
    <w:multiLevelType w:val="hybridMultilevel"/>
    <w:tmpl w:val="CBA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17AE2"/>
    <w:multiLevelType w:val="hybridMultilevel"/>
    <w:tmpl w:val="7BD6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8"/>
  </w:num>
  <w:num w:numId="7">
    <w:abstractNumId w:val="8"/>
  </w:num>
  <w:num w:numId="8">
    <w:abstractNumId w:val="16"/>
  </w:num>
  <w:num w:numId="9">
    <w:abstractNumId w:val="2"/>
  </w:num>
  <w:num w:numId="10">
    <w:abstractNumId w:val="4"/>
  </w:num>
  <w:num w:numId="11">
    <w:abstractNumId w:val="29"/>
  </w:num>
  <w:num w:numId="12">
    <w:abstractNumId w:val="15"/>
  </w:num>
  <w:num w:numId="13">
    <w:abstractNumId w:val="21"/>
  </w:num>
  <w:num w:numId="14">
    <w:abstractNumId w:val="12"/>
  </w:num>
  <w:num w:numId="15">
    <w:abstractNumId w:val="28"/>
  </w:num>
  <w:num w:numId="16">
    <w:abstractNumId w:val="7"/>
  </w:num>
  <w:num w:numId="17">
    <w:abstractNumId w:val="24"/>
  </w:num>
  <w:num w:numId="18">
    <w:abstractNumId w:val="5"/>
  </w:num>
  <w:num w:numId="19">
    <w:abstractNumId w:val="26"/>
  </w:num>
  <w:num w:numId="20">
    <w:abstractNumId w:val="23"/>
  </w:num>
  <w:num w:numId="21">
    <w:abstractNumId w:val="19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1"/>
  </w:num>
  <w:num w:numId="27">
    <w:abstractNumId w:val="9"/>
  </w:num>
  <w:num w:numId="28">
    <w:abstractNumId w:val="17"/>
  </w:num>
  <w:num w:numId="29">
    <w:abstractNumId w:val="30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2E7701"/>
    <w:rsid w:val="00340A0A"/>
    <w:rsid w:val="003765DC"/>
    <w:rsid w:val="003E3126"/>
    <w:rsid w:val="00431560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2832</Words>
  <Characters>16146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2021-10-27T19:15:00Z</dcterms:created>
  <dcterms:modified xsi:type="dcterms:W3CDTF">2021-10-27T19:15:00Z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