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Pr="002A1E1A" w:rsidRDefault="002C50EE" w:rsidP="002C50EE">
      <w:pPr>
        <w:pStyle w:val="Heading1"/>
        <w:jc w:val="center"/>
      </w:pPr>
      <w:bookmarkStart w:id="0" w:name="_Hlk63124480"/>
      <w:r w:rsidRPr="002A1E1A">
        <w:t>КРАТКА ХАРАКТЕРИСТИКА НА ПРОДУКТА</w:t>
      </w:r>
    </w:p>
    <w:p w14:paraId="3320F4BE" w14:textId="182B5ECE" w:rsidR="00C40420" w:rsidRPr="002A1E1A" w:rsidRDefault="00DD466D" w:rsidP="004A448E">
      <w:pPr>
        <w:pStyle w:val="Heading1"/>
      </w:pPr>
      <w:r w:rsidRPr="002A1E1A">
        <w:t>1.ИМЕ НА ЛЕКАРСТВЕНИЯ ПРОДУКТ</w:t>
      </w:r>
    </w:p>
    <w:p w14:paraId="52E0BBE8" w14:textId="1295A088" w:rsidR="00844B11" w:rsidRPr="002A1E1A" w:rsidRDefault="00844B11" w:rsidP="00844B11"/>
    <w:p w14:paraId="1FFC3C9E" w14:textId="77777777" w:rsidR="00844B11" w:rsidRPr="002A1E1A" w:rsidRDefault="00844B11" w:rsidP="00844B11">
      <w:pPr>
        <w:rPr>
          <w:sz w:val="24"/>
          <w:szCs w:val="24"/>
        </w:rPr>
      </w:pPr>
      <w:proofErr w:type="spellStart"/>
      <w:r w:rsidRPr="002A1E1A">
        <w:rPr>
          <w:lang w:eastAsia="bg-BG"/>
        </w:rPr>
        <w:t>Атеростад</w:t>
      </w:r>
      <w:proofErr w:type="spellEnd"/>
      <w:r w:rsidRPr="002A1E1A">
        <w:rPr>
          <w:lang w:eastAsia="bg-BG"/>
        </w:rPr>
        <w:t xml:space="preserve"> 5 </w:t>
      </w:r>
      <w:proofErr w:type="spellStart"/>
      <w:r w:rsidRPr="002A1E1A">
        <w:t>mg</w:t>
      </w:r>
      <w:proofErr w:type="spellEnd"/>
      <w:r w:rsidRPr="002A1E1A">
        <w:t xml:space="preserve"> </w:t>
      </w:r>
      <w:r w:rsidRPr="002A1E1A">
        <w:rPr>
          <w:lang w:eastAsia="bg-BG"/>
        </w:rPr>
        <w:t>филмирани таблетки</w:t>
      </w:r>
    </w:p>
    <w:p w14:paraId="2AAE4753" w14:textId="77777777" w:rsidR="00844B11" w:rsidRPr="002A1E1A" w:rsidRDefault="00844B11" w:rsidP="00844B11">
      <w:pPr>
        <w:rPr>
          <w:sz w:val="24"/>
          <w:szCs w:val="24"/>
        </w:rPr>
      </w:pPr>
      <w:proofErr w:type="spellStart"/>
      <w:r w:rsidRPr="002A1E1A">
        <w:rPr>
          <w:lang w:eastAsia="bg-BG"/>
        </w:rPr>
        <w:t>Атеростад</w:t>
      </w:r>
      <w:proofErr w:type="spellEnd"/>
      <w:r w:rsidRPr="002A1E1A">
        <w:rPr>
          <w:lang w:eastAsia="bg-BG"/>
        </w:rPr>
        <w:t xml:space="preserve"> 10 </w:t>
      </w:r>
      <w:proofErr w:type="spellStart"/>
      <w:r w:rsidRPr="002A1E1A">
        <w:t>mg</w:t>
      </w:r>
      <w:proofErr w:type="spellEnd"/>
      <w:r w:rsidRPr="002A1E1A">
        <w:t xml:space="preserve"> </w:t>
      </w:r>
      <w:r w:rsidRPr="002A1E1A">
        <w:rPr>
          <w:lang w:eastAsia="bg-BG"/>
        </w:rPr>
        <w:t>филмирани таблетки</w:t>
      </w:r>
    </w:p>
    <w:p w14:paraId="7AF31164" w14:textId="77777777" w:rsidR="00844B11" w:rsidRPr="002A1E1A" w:rsidRDefault="00844B11" w:rsidP="00844B11">
      <w:pPr>
        <w:rPr>
          <w:sz w:val="24"/>
          <w:szCs w:val="24"/>
        </w:rPr>
      </w:pPr>
      <w:proofErr w:type="spellStart"/>
      <w:r w:rsidRPr="002A1E1A">
        <w:rPr>
          <w:lang w:eastAsia="bg-BG"/>
        </w:rPr>
        <w:t>Атеростад</w:t>
      </w:r>
      <w:proofErr w:type="spellEnd"/>
      <w:r w:rsidRPr="002A1E1A">
        <w:rPr>
          <w:lang w:eastAsia="bg-BG"/>
        </w:rPr>
        <w:t xml:space="preserve"> 20 </w:t>
      </w:r>
      <w:proofErr w:type="spellStart"/>
      <w:r w:rsidRPr="002A1E1A">
        <w:t>mg</w:t>
      </w:r>
      <w:proofErr w:type="spellEnd"/>
      <w:r w:rsidRPr="002A1E1A">
        <w:t xml:space="preserve"> </w:t>
      </w:r>
      <w:r w:rsidRPr="002A1E1A">
        <w:rPr>
          <w:lang w:eastAsia="bg-BG"/>
        </w:rPr>
        <w:t>филмирани таблетки</w:t>
      </w:r>
    </w:p>
    <w:p w14:paraId="69E1010C" w14:textId="77777777" w:rsidR="00844B11" w:rsidRPr="002A1E1A" w:rsidRDefault="00844B11" w:rsidP="00844B11"/>
    <w:p w14:paraId="59EF2C27" w14:textId="5B5F1622" w:rsidR="00844B11" w:rsidRPr="002A1E1A" w:rsidRDefault="00844B11" w:rsidP="00844B11">
      <w:pPr>
        <w:rPr>
          <w:sz w:val="24"/>
          <w:szCs w:val="24"/>
        </w:rPr>
      </w:pPr>
      <w:proofErr w:type="spellStart"/>
      <w:r w:rsidRPr="002A1E1A">
        <w:t>Aterostad</w:t>
      </w:r>
      <w:proofErr w:type="spellEnd"/>
      <w:r w:rsidRPr="002A1E1A">
        <w:t xml:space="preserve"> </w:t>
      </w:r>
      <w:r w:rsidRPr="002A1E1A">
        <w:rPr>
          <w:lang w:eastAsia="bg-BG"/>
        </w:rPr>
        <w:t xml:space="preserve">5 </w:t>
      </w:r>
      <w:proofErr w:type="spellStart"/>
      <w:r w:rsidRPr="002A1E1A">
        <w:t>mg</w:t>
      </w:r>
      <w:proofErr w:type="spellEnd"/>
      <w:r w:rsidRPr="002A1E1A">
        <w:t xml:space="preserve"> </w:t>
      </w:r>
      <w:proofErr w:type="spellStart"/>
      <w:r w:rsidRPr="002A1E1A">
        <w:t>film-coated</w:t>
      </w:r>
      <w:proofErr w:type="spellEnd"/>
      <w:r w:rsidRPr="002A1E1A">
        <w:t xml:space="preserve"> </w:t>
      </w:r>
      <w:proofErr w:type="spellStart"/>
      <w:r w:rsidRPr="002A1E1A">
        <w:t>tablets</w:t>
      </w:r>
      <w:proofErr w:type="spellEnd"/>
    </w:p>
    <w:p w14:paraId="477DB3B4" w14:textId="77777777" w:rsidR="00844B11" w:rsidRPr="002A1E1A" w:rsidRDefault="00844B11" w:rsidP="00844B11">
      <w:pPr>
        <w:rPr>
          <w:sz w:val="24"/>
          <w:szCs w:val="24"/>
        </w:rPr>
      </w:pPr>
      <w:proofErr w:type="spellStart"/>
      <w:r w:rsidRPr="002A1E1A">
        <w:t>Aterostad</w:t>
      </w:r>
      <w:proofErr w:type="spellEnd"/>
      <w:r w:rsidRPr="002A1E1A">
        <w:t xml:space="preserve"> 10 </w:t>
      </w:r>
      <w:proofErr w:type="spellStart"/>
      <w:r w:rsidRPr="002A1E1A">
        <w:t>mg</w:t>
      </w:r>
      <w:proofErr w:type="spellEnd"/>
      <w:r w:rsidRPr="002A1E1A">
        <w:t xml:space="preserve"> </w:t>
      </w:r>
      <w:proofErr w:type="spellStart"/>
      <w:r w:rsidRPr="002A1E1A">
        <w:t>film-coated</w:t>
      </w:r>
      <w:proofErr w:type="spellEnd"/>
      <w:r w:rsidRPr="002A1E1A">
        <w:t xml:space="preserve"> </w:t>
      </w:r>
      <w:proofErr w:type="spellStart"/>
      <w:r w:rsidRPr="002A1E1A">
        <w:t>tablets</w:t>
      </w:r>
      <w:proofErr w:type="spellEnd"/>
    </w:p>
    <w:p w14:paraId="113C2E71" w14:textId="3C63CA92" w:rsidR="00844B11" w:rsidRPr="002A1E1A" w:rsidRDefault="00844B11" w:rsidP="00844B11">
      <w:proofErr w:type="spellStart"/>
      <w:r w:rsidRPr="002A1E1A">
        <w:t>Aterostad</w:t>
      </w:r>
      <w:proofErr w:type="spellEnd"/>
      <w:r w:rsidRPr="002A1E1A">
        <w:t xml:space="preserve"> 20 </w:t>
      </w:r>
      <w:proofErr w:type="spellStart"/>
      <w:r w:rsidRPr="002A1E1A">
        <w:t>mg</w:t>
      </w:r>
      <w:proofErr w:type="spellEnd"/>
      <w:r w:rsidRPr="002A1E1A">
        <w:t xml:space="preserve"> </w:t>
      </w:r>
      <w:proofErr w:type="spellStart"/>
      <w:r w:rsidRPr="002A1E1A">
        <w:t>film-coated</w:t>
      </w:r>
      <w:proofErr w:type="spellEnd"/>
      <w:r w:rsidRPr="002A1E1A">
        <w:t xml:space="preserve"> </w:t>
      </w:r>
      <w:proofErr w:type="spellStart"/>
      <w:r w:rsidRPr="002A1E1A">
        <w:t>tablets</w:t>
      </w:r>
      <w:proofErr w:type="spellEnd"/>
    </w:p>
    <w:p w14:paraId="6920A680" w14:textId="77F21C5F" w:rsidR="00C40420" w:rsidRPr="002A1E1A" w:rsidRDefault="00DD466D" w:rsidP="004A448E">
      <w:pPr>
        <w:pStyle w:val="Heading1"/>
      </w:pPr>
      <w:r w:rsidRPr="002A1E1A">
        <w:t>2. КАЧЕСТВЕН И КОЛИЧЕСТВЕН СЪСТАВ</w:t>
      </w:r>
    </w:p>
    <w:p w14:paraId="1E3761C0" w14:textId="4DADB254" w:rsidR="00844B11" w:rsidRPr="002A1E1A" w:rsidRDefault="00844B11" w:rsidP="00844B11"/>
    <w:p w14:paraId="08DD3547" w14:textId="63B57952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</w:rPr>
      </w:pPr>
      <w:r w:rsidRPr="002A1E1A">
        <w:rPr>
          <w:rFonts w:eastAsia="Times New Roman" w:cs="Arial"/>
          <w:b/>
          <w:bCs/>
          <w:color w:val="000000"/>
          <w:szCs w:val="20"/>
        </w:rPr>
        <w:t xml:space="preserve">5 </w:t>
      </w:r>
      <w:proofErr w:type="spellStart"/>
      <w:r w:rsidRPr="002A1E1A">
        <w:rPr>
          <w:rFonts w:eastAsia="Times New Roman" w:cs="Arial"/>
          <w:b/>
          <w:bCs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</w:rPr>
        <w:t xml:space="preserve">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Всяка таблетка съдържа 5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</w:t>
      </w:r>
      <w:r w:rsidRPr="002A1E1A">
        <w:rPr>
          <w:rFonts w:eastAsia="Times New Roman" w:cs="Arial"/>
          <w:i/>
          <w:iCs/>
          <w:color w:val="000000"/>
          <w:szCs w:val="20"/>
        </w:rPr>
        <w:t>(</w:t>
      </w:r>
      <w:proofErr w:type="spellStart"/>
      <w:r w:rsidRPr="002A1E1A">
        <w:rPr>
          <w:rFonts w:eastAsia="Times New Roman" w:cs="Arial"/>
          <w:i/>
          <w:iCs/>
          <w:color w:val="000000"/>
          <w:szCs w:val="20"/>
        </w:rPr>
        <w:t>rosuvastatin</w:t>
      </w:r>
      <w:proofErr w:type="spellEnd"/>
      <w:r w:rsidRPr="002A1E1A">
        <w:rPr>
          <w:rFonts w:eastAsia="Times New Roman" w:cs="Arial"/>
          <w:i/>
          <w:iCs/>
          <w:color w:val="000000"/>
          <w:szCs w:val="20"/>
        </w:rPr>
        <w:t>)</w:t>
      </w:r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като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калций. Помощно вещество с известно действие: Всяка таблетка съдържа 41,10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лактоза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монохидрат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.</w:t>
      </w:r>
    </w:p>
    <w:p w14:paraId="006A6B7F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</w:rPr>
      </w:pPr>
    </w:p>
    <w:p w14:paraId="1DE4172A" w14:textId="724EDB29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</w:rPr>
      </w:pPr>
      <w:r w:rsidRPr="002A1E1A">
        <w:rPr>
          <w:rFonts w:eastAsia="Times New Roman" w:cs="Arial"/>
          <w:b/>
          <w:bCs/>
          <w:color w:val="000000"/>
          <w:szCs w:val="20"/>
        </w:rPr>
        <w:t xml:space="preserve">10 </w:t>
      </w:r>
      <w:proofErr w:type="spellStart"/>
      <w:r w:rsidRPr="002A1E1A">
        <w:rPr>
          <w:rFonts w:eastAsia="Times New Roman" w:cs="Arial"/>
          <w:b/>
          <w:bCs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</w:rPr>
        <w:t xml:space="preserve">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Всяка таблетка съдържа 10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</w:t>
      </w:r>
      <w:r w:rsidRPr="002A1E1A">
        <w:rPr>
          <w:rFonts w:eastAsia="Times New Roman" w:cs="Arial"/>
          <w:i/>
          <w:iCs/>
          <w:color w:val="000000"/>
          <w:szCs w:val="20"/>
        </w:rPr>
        <w:t>(</w:t>
      </w:r>
      <w:proofErr w:type="spellStart"/>
      <w:r w:rsidRPr="002A1E1A">
        <w:rPr>
          <w:rFonts w:eastAsia="Times New Roman" w:cs="Arial"/>
          <w:i/>
          <w:iCs/>
          <w:color w:val="000000"/>
          <w:szCs w:val="20"/>
        </w:rPr>
        <w:t>rosuvastatin</w:t>
      </w:r>
      <w:proofErr w:type="spellEnd"/>
      <w:r w:rsidRPr="002A1E1A">
        <w:rPr>
          <w:rFonts w:eastAsia="Times New Roman" w:cs="Arial"/>
          <w:i/>
          <w:iCs/>
          <w:color w:val="000000"/>
          <w:szCs w:val="20"/>
        </w:rPr>
        <w:t>)</w:t>
      </w:r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като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калций. Помощно вещество с известно действие: Всяка таблетка съдържа 82,</w:t>
      </w:r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21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лактоза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монохидрат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.</w:t>
      </w:r>
    </w:p>
    <w:p w14:paraId="38711614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</w:rPr>
      </w:pPr>
    </w:p>
    <w:p w14:paraId="52596A24" w14:textId="661458F9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</w:rPr>
      </w:pPr>
      <w:r w:rsidRPr="002A1E1A">
        <w:rPr>
          <w:rFonts w:eastAsia="Times New Roman" w:cs="Arial"/>
          <w:b/>
          <w:bCs/>
          <w:color w:val="000000"/>
          <w:szCs w:val="20"/>
        </w:rPr>
        <w:t xml:space="preserve">20 </w:t>
      </w:r>
      <w:proofErr w:type="spellStart"/>
      <w:r w:rsidRPr="002A1E1A">
        <w:rPr>
          <w:rFonts w:eastAsia="Times New Roman" w:cs="Arial"/>
          <w:b/>
          <w:bCs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</w:rPr>
        <w:t xml:space="preserve">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Всяка таблетка съдържа 20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</w:t>
      </w:r>
      <w:r w:rsidRPr="002A1E1A">
        <w:rPr>
          <w:rFonts w:eastAsia="Times New Roman" w:cs="Arial"/>
          <w:i/>
          <w:iCs/>
          <w:color w:val="000000"/>
          <w:szCs w:val="20"/>
        </w:rPr>
        <w:t>(</w:t>
      </w:r>
      <w:proofErr w:type="spellStart"/>
      <w:r w:rsidRPr="002A1E1A">
        <w:rPr>
          <w:rFonts w:eastAsia="Times New Roman" w:cs="Arial"/>
          <w:i/>
          <w:iCs/>
          <w:color w:val="000000"/>
          <w:szCs w:val="20"/>
        </w:rPr>
        <w:t>rosuvastatin</w:t>
      </w:r>
      <w:proofErr w:type="spellEnd"/>
      <w:r w:rsidRPr="002A1E1A">
        <w:rPr>
          <w:rFonts w:eastAsia="Times New Roman" w:cs="Arial"/>
          <w:i/>
          <w:iCs/>
          <w:color w:val="000000"/>
          <w:szCs w:val="20"/>
        </w:rPr>
        <w:t>)</w:t>
      </w:r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като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калций. Помощно вещество с известно действие: Всяка таблетка съдържа 164,40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лактоза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монохидрат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.</w:t>
      </w:r>
    </w:p>
    <w:p w14:paraId="1B9F2778" w14:textId="77777777" w:rsidR="00844B11" w:rsidRPr="002A1E1A" w:rsidRDefault="00844B11" w:rsidP="00844B11"/>
    <w:p w14:paraId="614984C4" w14:textId="71A97836" w:rsidR="008A6AF2" w:rsidRPr="002A1E1A" w:rsidRDefault="00DD466D" w:rsidP="002C50EE">
      <w:pPr>
        <w:pStyle w:val="Heading1"/>
      </w:pPr>
      <w:r w:rsidRPr="002A1E1A">
        <w:t>3. ЛЕКАРСТВЕНА ФОРМА</w:t>
      </w:r>
    </w:p>
    <w:p w14:paraId="0D75A6C2" w14:textId="758B0CC2" w:rsidR="00844B11" w:rsidRPr="002A1E1A" w:rsidRDefault="00844B11" w:rsidP="00844B11"/>
    <w:p w14:paraId="11515B2A" w14:textId="77777777" w:rsidR="00844B11" w:rsidRPr="002A1E1A" w:rsidRDefault="00844B11" w:rsidP="00844B11">
      <w:pPr>
        <w:rPr>
          <w:sz w:val="24"/>
          <w:szCs w:val="24"/>
        </w:rPr>
      </w:pPr>
      <w:r w:rsidRPr="002A1E1A">
        <w:rPr>
          <w:lang w:eastAsia="bg-BG"/>
        </w:rPr>
        <w:t>Филмирана таблетка.</w:t>
      </w:r>
    </w:p>
    <w:p w14:paraId="79231F30" w14:textId="77777777" w:rsidR="00844B11" w:rsidRPr="002A1E1A" w:rsidRDefault="00844B11" w:rsidP="00844B11">
      <w:pPr>
        <w:rPr>
          <w:sz w:val="24"/>
          <w:szCs w:val="24"/>
        </w:rPr>
      </w:pPr>
      <w:proofErr w:type="spellStart"/>
      <w:r w:rsidRPr="002A1E1A">
        <w:rPr>
          <w:lang w:eastAsia="bg-BG"/>
        </w:rPr>
        <w:t>Атеростад</w:t>
      </w:r>
      <w:proofErr w:type="spellEnd"/>
      <w:r w:rsidRPr="002A1E1A">
        <w:rPr>
          <w:lang w:eastAsia="bg-BG"/>
        </w:rPr>
        <w:t xml:space="preserve"> 5 </w:t>
      </w:r>
      <w:proofErr w:type="spellStart"/>
      <w:r w:rsidRPr="002A1E1A">
        <w:t>mg</w:t>
      </w:r>
      <w:proofErr w:type="spellEnd"/>
      <w:r w:rsidRPr="002A1E1A">
        <w:t xml:space="preserve"> </w:t>
      </w:r>
      <w:r w:rsidRPr="002A1E1A">
        <w:rPr>
          <w:lang w:eastAsia="bg-BG"/>
        </w:rPr>
        <w:t xml:space="preserve">са бели, кръгли, двойноизпъкнали, филмирани таблетки с диаметър 5 </w:t>
      </w:r>
      <w:r w:rsidRPr="002A1E1A">
        <w:t>mm.</w:t>
      </w:r>
    </w:p>
    <w:p w14:paraId="39033F63" w14:textId="77777777" w:rsidR="00844B11" w:rsidRPr="002A1E1A" w:rsidRDefault="00844B11" w:rsidP="00844B11">
      <w:proofErr w:type="spellStart"/>
      <w:r w:rsidRPr="002A1E1A">
        <w:rPr>
          <w:lang w:eastAsia="bg-BG"/>
        </w:rPr>
        <w:t>Атеростад</w:t>
      </w:r>
      <w:proofErr w:type="spellEnd"/>
      <w:r w:rsidRPr="002A1E1A">
        <w:rPr>
          <w:lang w:eastAsia="bg-BG"/>
        </w:rPr>
        <w:t xml:space="preserve"> 10 </w:t>
      </w:r>
      <w:proofErr w:type="spellStart"/>
      <w:r w:rsidRPr="002A1E1A">
        <w:t>mg</w:t>
      </w:r>
      <w:proofErr w:type="spellEnd"/>
      <w:r w:rsidRPr="002A1E1A">
        <w:t xml:space="preserve"> </w:t>
      </w:r>
      <w:r w:rsidRPr="002A1E1A">
        <w:rPr>
          <w:lang w:eastAsia="bg-BG"/>
        </w:rPr>
        <w:t xml:space="preserve">са бели, кръгли, двойноизпъкнали, филмирани таблетки с диаметър 7 </w:t>
      </w:r>
      <w:r w:rsidRPr="002A1E1A">
        <w:t xml:space="preserve">mm. </w:t>
      </w:r>
    </w:p>
    <w:p w14:paraId="727555BA" w14:textId="1CD88216" w:rsidR="00844B11" w:rsidRPr="002A1E1A" w:rsidRDefault="00844B11" w:rsidP="00844B11">
      <w:proofErr w:type="spellStart"/>
      <w:r w:rsidRPr="002A1E1A">
        <w:rPr>
          <w:lang w:eastAsia="bg-BG"/>
        </w:rPr>
        <w:t>Атеростад</w:t>
      </w:r>
      <w:proofErr w:type="spellEnd"/>
      <w:r w:rsidRPr="002A1E1A">
        <w:rPr>
          <w:lang w:eastAsia="bg-BG"/>
        </w:rPr>
        <w:t xml:space="preserve"> 20 </w:t>
      </w:r>
      <w:proofErr w:type="spellStart"/>
      <w:r w:rsidRPr="002A1E1A">
        <w:t>mg</w:t>
      </w:r>
      <w:proofErr w:type="spellEnd"/>
      <w:r w:rsidRPr="002A1E1A">
        <w:t xml:space="preserve"> </w:t>
      </w:r>
      <w:r w:rsidRPr="002A1E1A">
        <w:rPr>
          <w:lang w:eastAsia="bg-BG"/>
        </w:rPr>
        <w:t xml:space="preserve">са бели, кръгли, двойноизпъкнали, филмирани таблетки с диаметър 9 </w:t>
      </w:r>
      <w:r w:rsidRPr="002A1E1A">
        <w:t>mm.</w:t>
      </w:r>
    </w:p>
    <w:p w14:paraId="490FC2C4" w14:textId="32682B15" w:rsidR="002C50EE" w:rsidRPr="002A1E1A" w:rsidRDefault="002C50EE" w:rsidP="002C50EE">
      <w:pPr>
        <w:pStyle w:val="Heading1"/>
      </w:pPr>
      <w:r w:rsidRPr="002A1E1A">
        <w:t>4. КЛИНИЧНИ ДАННИ</w:t>
      </w:r>
    </w:p>
    <w:p w14:paraId="0C8E6903" w14:textId="4CA3980C" w:rsidR="008134C8" w:rsidRPr="002A1E1A" w:rsidRDefault="002C50EE" w:rsidP="004A448E">
      <w:pPr>
        <w:pStyle w:val="Heading2"/>
      </w:pPr>
      <w:r w:rsidRPr="002A1E1A">
        <w:t>4.1. Терапевтични показания</w:t>
      </w:r>
    </w:p>
    <w:p w14:paraId="3B0CF175" w14:textId="7A97DAF6" w:rsidR="00844B11" w:rsidRPr="002A1E1A" w:rsidRDefault="00844B11" w:rsidP="00844B11"/>
    <w:p w14:paraId="46E22F4B" w14:textId="77777777" w:rsidR="00844B11" w:rsidRPr="002A1E1A" w:rsidRDefault="00844B11" w:rsidP="00844B11">
      <w:pPr>
        <w:pStyle w:val="Heading3"/>
        <w:rPr>
          <w:rFonts w:eastAsia="Times New Roman"/>
          <w:b/>
          <w:sz w:val="28"/>
        </w:rPr>
      </w:pPr>
      <w:bookmarkStart w:id="1" w:name="bookmark0"/>
      <w:r w:rsidRPr="002A1E1A">
        <w:rPr>
          <w:rFonts w:eastAsia="Times New Roman"/>
          <w:b/>
          <w:lang w:eastAsia="bg-BG"/>
        </w:rPr>
        <w:t xml:space="preserve">Лечение на </w:t>
      </w:r>
      <w:proofErr w:type="spellStart"/>
      <w:r w:rsidRPr="002A1E1A">
        <w:rPr>
          <w:rFonts w:eastAsia="Times New Roman"/>
          <w:b/>
          <w:lang w:eastAsia="bg-BG"/>
        </w:rPr>
        <w:t>хиперхолестеролемня</w:t>
      </w:r>
      <w:bookmarkEnd w:id="1"/>
      <w:proofErr w:type="spellEnd"/>
    </w:p>
    <w:p w14:paraId="6E3D1E18" w14:textId="77777777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Възрастни, юноши и деца на или над 6-годишна възраст с първична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хиперхолестеролемня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(тип Па включително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хетерозиготна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фамилна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хиперхолестеролемня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) или смесена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дислипидемия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(тип </w:t>
      </w:r>
      <w:proofErr w:type="spellStart"/>
      <w:r w:rsidRPr="002A1E1A">
        <w:rPr>
          <w:rFonts w:eastAsia="Times New Roman" w:cs="Arial"/>
          <w:color w:val="000000"/>
          <w:szCs w:val="20"/>
        </w:rPr>
        <w:t>IIb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) като добавка към диетата, </w:t>
      </w:r>
      <w:r w:rsidRPr="002A1E1A">
        <w:rPr>
          <w:rFonts w:eastAsia="Times New Roman" w:cs="Arial"/>
          <w:color w:val="000000"/>
          <w:szCs w:val="20"/>
          <w:lang w:eastAsia="bg-BG"/>
        </w:rPr>
        <w:lastRenderedPageBreak/>
        <w:t>когато резултатът от диетата и други нефармакологични мерки (напр. физически упражнения, намаляване на теглото) не е задоволителен.</w:t>
      </w:r>
    </w:p>
    <w:p w14:paraId="6EB5DD53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9B8745B" w14:textId="51F8BD8D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Възрастни, юноши и деца на или над 6-годишна възраст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хомозиготна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фамилна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хиперхолестеролемня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като добавка към диетата, както и с друго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липидопонижаващо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u w:val="single"/>
          <w:lang w:eastAsia="bg-BG"/>
        </w:rPr>
        <w:t>лечени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е (напр. </w:t>
      </w:r>
      <w:r w:rsidRPr="002A1E1A">
        <w:rPr>
          <w:rFonts w:eastAsia="Times New Roman" w:cs="Arial"/>
          <w:color w:val="000000"/>
          <w:szCs w:val="20"/>
        </w:rPr>
        <w:t xml:space="preserve">LDL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афереза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) или когато това лечение не е подходящо.</w:t>
      </w:r>
    </w:p>
    <w:p w14:paraId="4E8CA290" w14:textId="04454E13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90D7A1C" w14:textId="77777777" w:rsidR="00844B11" w:rsidRPr="002A1E1A" w:rsidRDefault="00844B11" w:rsidP="00844B11">
      <w:pPr>
        <w:pStyle w:val="Heading3"/>
        <w:rPr>
          <w:rFonts w:eastAsia="Times New Roman"/>
          <w:b/>
          <w:sz w:val="28"/>
        </w:rPr>
      </w:pPr>
      <w:r w:rsidRPr="002A1E1A">
        <w:rPr>
          <w:rFonts w:eastAsia="Times New Roman"/>
          <w:b/>
          <w:lang w:eastAsia="bg-BG"/>
        </w:rPr>
        <w:t>Превенция на сърдечно-съдови събития</w:t>
      </w:r>
    </w:p>
    <w:p w14:paraId="71D0E79F" w14:textId="54010B37" w:rsidR="00844B11" w:rsidRPr="002A1E1A" w:rsidRDefault="00844B11" w:rsidP="00844B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>Предотвратяване на големи сърдечно-съдови събития при пациенти, оценени с висок риск за първо сърдечно-съдово събитие (вж. точка 5.1), като допълнение към коригирането на други рискови фактори.</w:t>
      </w:r>
    </w:p>
    <w:p w14:paraId="2EB7F7D2" w14:textId="77777777" w:rsidR="00844B11" w:rsidRPr="002A1E1A" w:rsidRDefault="00844B11" w:rsidP="00844B11"/>
    <w:p w14:paraId="30BE2C7B" w14:textId="47181266" w:rsidR="008134C8" w:rsidRPr="002A1E1A" w:rsidRDefault="002C50EE" w:rsidP="004A448E">
      <w:pPr>
        <w:pStyle w:val="Heading2"/>
      </w:pPr>
      <w:r w:rsidRPr="002A1E1A">
        <w:t>4.2. Дозировка и начин на приложение</w:t>
      </w:r>
    </w:p>
    <w:p w14:paraId="0186AF98" w14:textId="270B1A36" w:rsidR="00844B11" w:rsidRPr="002A1E1A" w:rsidRDefault="00844B11" w:rsidP="00844B11"/>
    <w:p w14:paraId="03EC4EBA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Преди започване на терапията, пациентът трябва да бъде поставен на стандартна диета за понижаване нивото на холестерола, която да продължи и по време на лечението. Изборът на дозировка се определя от индивидуалните терапевтични цели, които се определят от препоръките на съвременните консенсусни ръководства за контрол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холестеролемията</w:t>
      </w:r>
      <w:proofErr w:type="spellEnd"/>
      <w:r w:rsidRPr="002A1E1A">
        <w:rPr>
          <w:rFonts w:eastAsia="Times New Roman" w:cs="Arial"/>
          <w:color w:val="000000"/>
          <w:lang w:eastAsia="bg-BG"/>
        </w:rPr>
        <w:t>.</w:t>
      </w:r>
    </w:p>
    <w:p w14:paraId="3D7589CE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B94F50A" w14:textId="1D5ABF9C" w:rsidR="00844B11" w:rsidRPr="002A1E1A" w:rsidRDefault="00844B11" w:rsidP="00844B11">
      <w:pPr>
        <w:spacing w:line="240" w:lineRule="auto"/>
        <w:rPr>
          <w:rFonts w:eastAsia="Times New Roman" w:cs="Arial"/>
        </w:rPr>
      </w:pP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може да се приема по всяко време на деня, със или без храна.</w:t>
      </w:r>
    </w:p>
    <w:p w14:paraId="1DD206C7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C892E57" w14:textId="064B9CFB" w:rsidR="00844B11" w:rsidRPr="002A1E1A" w:rsidRDefault="00844B11" w:rsidP="00844B11">
      <w:pPr>
        <w:pStyle w:val="Heading3"/>
        <w:rPr>
          <w:rFonts w:eastAsia="Times New Roman"/>
          <w:b/>
        </w:rPr>
      </w:pPr>
      <w:r w:rsidRPr="002A1E1A">
        <w:rPr>
          <w:rFonts w:eastAsia="Times New Roman"/>
          <w:b/>
          <w:lang w:eastAsia="bg-BG"/>
        </w:rPr>
        <w:t xml:space="preserve">Лечение на </w:t>
      </w:r>
      <w:proofErr w:type="spellStart"/>
      <w:r w:rsidRPr="002A1E1A">
        <w:rPr>
          <w:rFonts w:eastAsia="Times New Roman"/>
          <w:b/>
          <w:lang w:eastAsia="bg-BG"/>
        </w:rPr>
        <w:t>хиперхолестеролемня</w:t>
      </w:r>
      <w:proofErr w:type="spellEnd"/>
    </w:p>
    <w:p w14:paraId="75C391CD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Препоръчителната начална доза е 5 или 10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 xml:space="preserve">веднъж дневно, както при пациенти, приемали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така и при преминаване от друг инхибитор на </w:t>
      </w:r>
      <w:r w:rsidRPr="002A1E1A">
        <w:rPr>
          <w:rFonts w:eastAsia="Times New Roman" w:cs="Arial"/>
          <w:color w:val="000000"/>
        </w:rPr>
        <w:t>HMG-</w:t>
      </w:r>
      <w:proofErr w:type="spellStart"/>
      <w:r w:rsidRPr="002A1E1A">
        <w:rPr>
          <w:rFonts w:eastAsia="Times New Roman" w:cs="Arial"/>
          <w:color w:val="000000"/>
        </w:rPr>
        <w:t>CoA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. Изборът на началната доза от медикамента зависи от нивото на серумния холестерол и евентуален сърдечно-съдов риск или риск от поява на нежелани реакции към лечението (виж по-долу). При необходимост, дозата може да се коригира, като се премине на следващото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дозово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ниво след 4 седмици (вж. точка 5.1). В сравнение с по-ниските дози и предвид повишената честота на съобщаване на нежелани реакции при доза от 40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, </w:t>
      </w:r>
      <w:r w:rsidRPr="002A1E1A">
        <w:rPr>
          <w:rFonts w:eastAsia="Times New Roman" w:cs="Arial"/>
          <w:color w:val="000000"/>
          <w:lang w:eastAsia="bg-BG"/>
        </w:rPr>
        <w:t xml:space="preserve">в сравнение с по-ниските дози (вж. точка 4.8), последно титриране до максималната доза от 40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 xml:space="preserve">трябва да се предприема само при пациенти с тежка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хиперхолестеролемня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с висок сърдечно-съдов риск (особено тези с фамилна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хиперхолестеролемня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), които не достигат желаното ниво на холестерол при лечение с 20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 xml:space="preserve">и при които ще се прави рутинно проследяване в хода на лечението (вж. точка 4.4). При започване на лечение с 40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>се препоръчва постоянно наблюдение на пациента от специалист.</w:t>
      </w:r>
    </w:p>
    <w:p w14:paraId="35DD267C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6ABD4946" w14:textId="61347E46" w:rsidR="00844B11" w:rsidRPr="002A1E1A" w:rsidRDefault="00844B11" w:rsidP="00844B11">
      <w:pPr>
        <w:pStyle w:val="Heading3"/>
        <w:rPr>
          <w:rFonts w:eastAsia="Times New Roman"/>
          <w:b/>
        </w:rPr>
      </w:pPr>
      <w:r w:rsidRPr="002A1E1A">
        <w:rPr>
          <w:rFonts w:eastAsia="Times New Roman"/>
          <w:b/>
          <w:lang w:eastAsia="bg-BG"/>
        </w:rPr>
        <w:t>Превенция на сърдечно-</w:t>
      </w:r>
      <w:proofErr w:type="spellStart"/>
      <w:r w:rsidRPr="002A1E1A">
        <w:rPr>
          <w:rFonts w:eastAsia="Times New Roman"/>
          <w:b/>
          <w:lang w:eastAsia="bg-BG"/>
        </w:rPr>
        <w:t>сьдовн</w:t>
      </w:r>
      <w:proofErr w:type="spellEnd"/>
      <w:r w:rsidRPr="002A1E1A">
        <w:rPr>
          <w:rFonts w:eastAsia="Times New Roman"/>
          <w:b/>
          <w:lang w:eastAsia="bg-BG"/>
        </w:rPr>
        <w:t xml:space="preserve"> събития</w:t>
      </w:r>
      <w:bookmarkEnd w:id="2"/>
    </w:p>
    <w:p w14:paraId="7AB10088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В проучването за понижаване на риска от сърдечно-съдови събития е използвана доза от 20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>(вж. точка 5.1).</w:t>
      </w:r>
    </w:p>
    <w:p w14:paraId="0A5C599B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4"/>
    </w:p>
    <w:p w14:paraId="736E5624" w14:textId="001A41D6" w:rsidR="00844B11" w:rsidRPr="002A1E1A" w:rsidRDefault="00844B11" w:rsidP="00844B11">
      <w:pPr>
        <w:pStyle w:val="Heading3"/>
        <w:rPr>
          <w:rFonts w:eastAsia="Times New Roman"/>
          <w:b/>
        </w:rPr>
      </w:pPr>
      <w:r w:rsidRPr="002A1E1A">
        <w:rPr>
          <w:rFonts w:eastAsia="Times New Roman"/>
          <w:b/>
          <w:lang w:eastAsia="bg-BG"/>
        </w:rPr>
        <w:t>Педиатрична популация</w:t>
      </w:r>
      <w:bookmarkEnd w:id="3"/>
    </w:p>
    <w:p w14:paraId="6AEBA347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>Употребата при деца трябва да се провежда само от специалисти.</w:t>
      </w:r>
    </w:p>
    <w:p w14:paraId="03077FCC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CE3D2E7" w14:textId="13E63EE4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u w:val="single"/>
          <w:lang w:eastAsia="bg-BG"/>
        </w:rPr>
        <w:t>Деца и юноши на възраст 6 до 17 години (стадий &lt;</w:t>
      </w:r>
      <w:r w:rsidRPr="002A1E1A">
        <w:rPr>
          <w:rFonts w:eastAsia="Times New Roman" w:cs="Arial"/>
          <w:color w:val="000000"/>
          <w:u w:val="single"/>
        </w:rPr>
        <w:t>II</w:t>
      </w:r>
      <w:r w:rsidRPr="002A1E1A">
        <w:rPr>
          <w:rFonts w:eastAsia="Times New Roman" w:cs="Arial"/>
          <w:color w:val="000000"/>
          <w:u w:val="single"/>
          <w:lang w:eastAsia="bg-BG"/>
        </w:rPr>
        <w:t xml:space="preserve"> -V по Танер)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Хетерозиготна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хиперхолестеролемня</w:t>
      </w:r>
      <w:proofErr w:type="spellEnd"/>
    </w:p>
    <w:p w14:paraId="7B1EC859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При деца и юноши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хетерозиготна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хиперхолестеролемня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обичайната начална доза е 5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>дневно.</w:t>
      </w:r>
    </w:p>
    <w:p w14:paraId="04FA324C" w14:textId="77777777" w:rsidR="00844B11" w:rsidRPr="002A1E1A" w:rsidRDefault="00844B11" w:rsidP="00844B11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lastRenderedPageBreak/>
        <w:t xml:space="preserve">При деца на възраст 6 до 9 години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хетерозиготна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обичайният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дозов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диапазон е 5-10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 xml:space="preserve">перорално веднъж дневно. Безопасността и ефикасността на дози по-високи от 10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>не са проучвани при тази популация.</w:t>
      </w:r>
    </w:p>
    <w:p w14:paraId="77FC2E84" w14:textId="7F308F66" w:rsidR="00844B11" w:rsidRPr="002A1E1A" w:rsidRDefault="00844B11" w:rsidP="00844B11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При деца на възраст 10 до 17 години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хетерозиготна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обичайният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дозов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диапазон е 5-20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 xml:space="preserve">перорално веднъж дневно. Безопасността и ефикасността на дози по-високи от 20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>не са проучвани при тази популация.</w:t>
      </w:r>
    </w:p>
    <w:p w14:paraId="717952F9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0916FFF" w14:textId="0D683301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Титрирането трябва да се провежда съгласно индивидуалния отговор и поносимост на педиатричните пациенти, както се препоръчва в препоръките за лечение на деца (вж. точка 4.4). Децата и юношите трябва да се подложат на стандартна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холестероло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-понижаваща диета преди да се започне лечение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; диетата трябва да се продължи по време на лечението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>.</w:t>
      </w:r>
    </w:p>
    <w:p w14:paraId="4D26CAFC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6824ECD" w14:textId="567121B4" w:rsidR="00844B11" w:rsidRPr="002A1E1A" w:rsidRDefault="00844B11" w:rsidP="00844B11">
      <w:pPr>
        <w:spacing w:line="240" w:lineRule="auto"/>
        <w:rPr>
          <w:rFonts w:eastAsia="Times New Roman" w:cs="Arial"/>
        </w:rPr>
      </w:pPr>
      <w:proofErr w:type="spellStart"/>
      <w:r w:rsidRPr="002A1E1A">
        <w:rPr>
          <w:rFonts w:eastAsia="Times New Roman" w:cs="Arial"/>
          <w:color w:val="000000"/>
          <w:lang w:eastAsia="bg-BG"/>
        </w:rPr>
        <w:t>Хомозиготна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</w:p>
    <w:p w14:paraId="6FF941BD" w14:textId="64460228" w:rsidR="00844B11" w:rsidRPr="002A1E1A" w:rsidRDefault="00844B11" w:rsidP="00844B11">
      <w:pPr>
        <w:rPr>
          <w:rFonts w:eastAsia="Times New Roman" w:cs="Arial"/>
          <w:color w:val="000000"/>
          <w:lang w:eastAsia="bg-BG"/>
        </w:rPr>
      </w:pPr>
      <w:r w:rsidRPr="002A1E1A">
        <w:rPr>
          <w:rFonts w:eastAsia="Times New Roman" w:cs="Arial"/>
          <w:color w:val="000000"/>
          <w:lang w:eastAsia="bg-BG"/>
        </w:rPr>
        <w:t xml:space="preserve">При деца на възраст 6 до 17 години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хомозиготна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фамилна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максималната препоръчителна доза е 20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>веднъж дневно.</w:t>
      </w:r>
    </w:p>
    <w:p w14:paraId="6CCDA5D9" w14:textId="28607690" w:rsidR="00844B11" w:rsidRPr="002A1E1A" w:rsidRDefault="00844B11" w:rsidP="00844B11">
      <w:pPr>
        <w:rPr>
          <w:rFonts w:eastAsia="Times New Roman" w:cs="Arial"/>
          <w:color w:val="000000"/>
          <w:lang w:eastAsia="bg-BG"/>
        </w:rPr>
      </w:pPr>
    </w:p>
    <w:p w14:paraId="130801C8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Препоръчва се начална доза от 5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 xml:space="preserve">до 10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 xml:space="preserve">веднъж дневно, в зависимост от възрастта, телесното тегло и предишен прием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. Постепенно повишаване на дозата до 20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 xml:space="preserve">веднъж дневно трябва да се провежда съгласно индивидуалния отговор и поносимост на педиатричните пациенти, както се препоръчва в препоръките за лечение на деца (вж. точка 4.4). Децата и юношите трябва да се подложат на стандартна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холестероло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-понижаваща диета преди да се започне лечение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; диетата трябва да се продължи по време на лечението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>.</w:t>
      </w:r>
    </w:p>
    <w:p w14:paraId="52E22584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5392083" w14:textId="7F7BFE92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Има ограничен опит с дози различни от 20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>при тази популация.</w:t>
      </w:r>
    </w:p>
    <w:p w14:paraId="6BA106AC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Таблетката от 40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>не е подходяща за употреба при педиатрични пациенти.</w:t>
      </w:r>
    </w:p>
    <w:p w14:paraId="754C9F11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B89E075" w14:textId="48C62A2B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u w:val="single"/>
          <w:lang w:eastAsia="bg-BG"/>
        </w:rPr>
        <w:t>Деца по-малки от 6 години</w:t>
      </w:r>
    </w:p>
    <w:p w14:paraId="1374B89B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Безопасността и ефикасността на употребата при деца по-малки от 6 години не са проучвани. Следователно,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не се препоръчва за употреба при деца по-малки от 6 години.</w:t>
      </w:r>
    </w:p>
    <w:p w14:paraId="070CF0E8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FDACC73" w14:textId="177F3B26" w:rsidR="00844B11" w:rsidRPr="002A1E1A" w:rsidRDefault="00844B11" w:rsidP="00844B11">
      <w:pPr>
        <w:pStyle w:val="Heading3"/>
        <w:rPr>
          <w:rFonts w:eastAsia="Times New Roman"/>
          <w:b/>
        </w:rPr>
      </w:pPr>
      <w:r w:rsidRPr="002A1E1A">
        <w:rPr>
          <w:rFonts w:eastAsia="Times New Roman"/>
          <w:b/>
          <w:lang w:eastAsia="bg-BG"/>
        </w:rPr>
        <w:t>Употреба при пациенти в старческа възраст</w:t>
      </w:r>
    </w:p>
    <w:p w14:paraId="07E2562F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Препоръчваната първоначална доза при пациенти над 70-годишна възраст е 5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>(вж. точка 4.4). Друго коригиране на дозировката в зависимост от възрастта не е необходимо.</w:t>
      </w:r>
    </w:p>
    <w:p w14:paraId="2E6A63A4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1110D0A" w14:textId="1682AE6E" w:rsidR="00844B11" w:rsidRPr="002A1E1A" w:rsidRDefault="00844B11" w:rsidP="00844B11">
      <w:pPr>
        <w:pStyle w:val="Heading3"/>
        <w:rPr>
          <w:rFonts w:eastAsia="Times New Roman"/>
          <w:b/>
        </w:rPr>
      </w:pPr>
      <w:r w:rsidRPr="002A1E1A">
        <w:rPr>
          <w:rFonts w:eastAsia="Times New Roman"/>
          <w:b/>
          <w:lang w:eastAsia="bg-BG"/>
        </w:rPr>
        <w:t>Дозиране при пациенти с бъбречна недостатъчност</w:t>
      </w:r>
    </w:p>
    <w:p w14:paraId="562DE271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При пациенти с леко до умерено бъбречно увреждане се прилагат обичайните дози. При пациенти с умерено бъбречно увреждане препоръчваната първоначална доза е 5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>(</w:t>
      </w:r>
      <w:proofErr w:type="spellStart"/>
      <w:r w:rsidRPr="002A1E1A">
        <w:rPr>
          <w:rFonts w:eastAsia="Times New Roman" w:cs="Arial"/>
          <w:color w:val="000000"/>
          <w:lang w:eastAsia="bg-BG"/>
        </w:rPr>
        <w:t>креатининов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клирънс под 60 </w:t>
      </w:r>
      <w:r w:rsidRPr="002A1E1A">
        <w:rPr>
          <w:rFonts w:eastAsia="Times New Roman" w:cs="Arial"/>
          <w:color w:val="000000"/>
        </w:rPr>
        <w:t>ml/</w:t>
      </w:r>
      <w:proofErr w:type="spellStart"/>
      <w:r w:rsidRPr="002A1E1A">
        <w:rPr>
          <w:rFonts w:eastAsia="Times New Roman" w:cs="Arial"/>
          <w:color w:val="000000"/>
        </w:rPr>
        <w:t>min</w:t>
      </w:r>
      <w:proofErr w:type="spellEnd"/>
      <w:r w:rsidRPr="002A1E1A">
        <w:rPr>
          <w:rFonts w:eastAsia="Times New Roman" w:cs="Arial"/>
          <w:color w:val="000000"/>
        </w:rPr>
        <w:t xml:space="preserve">). </w:t>
      </w:r>
      <w:r w:rsidRPr="002A1E1A">
        <w:rPr>
          <w:rFonts w:eastAsia="Times New Roman" w:cs="Arial"/>
          <w:color w:val="000000"/>
          <w:lang w:eastAsia="bg-BG"/>
        </w:rPr>
        <w:t xml:space="preserve">Дозировката от 40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 xml:space="preserve">е противопоказана при пациенти с умерено бъбречно увреждане. При пациенти с тежко бъбречно увреждане употребата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е противопоказана (вж. точка 4.3 и точка 5.2).</w:t>
      </w:r>
    </w:p>
    <w:p w14:paraId="5C37F46F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954F087" w14:textId="427D4E77" w:rsidR="00844B11" w:rsidRPr="002A1E1A" w:rsidRDefault="00844B11" w:rsidP="00844B11">
      <w:pPr>
        <w:pStyle w:val="Heading3"/>
        <w:rPr>
          <w:rFonts w:eastAsia="Times New Roman"/>
          <w:b/>
        </w:rPr>
      </w:pPr>
      <w:r w:rsidRPr="002A1E1A">
        <w:rPr>
          <w:rFonts w:eastAsia="Times New Roman"/>
          <w:b/>
          <w:lang w:eastAsia="bg-BG"/>
        </w:rPr>
        <w:t>Дозиране при пациенти с чернодробно увреждане</w:t>
      </w:r>
    </w:p>
    <w:p w14:paraId="0A9C3EF7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Не е наблюдавана повишена системна експозиция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при пациенти с оценка по скалата на </w:t>
      </w:r>
      <w:proofErr w:type="spellStart"/>
      <w:r w:rsidRPr="002A1E1A">
        <w:rPr>
          <w:rFonts w:eastAsia="Times New Roman" w:cs="Arial"/>
          <w:color w:val="000000"/>
        </w:rPr>
        <w:t>Child-Pugh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 xml:space="preserve">≤ 7 или по-нисък. Въпреки това, повишена системна </w:t>
      </w:r>
      <w:r w:rsidRPr="002A1E1A">
        <w:rPr>
          <w:rFonts w:eastAsia="Times New Roman" w:cs="Arial"/>
          <w:color w:val="000000"/>
          <w:lang w:eastAsia="bg-BG"/>
        </w:rPr>
        <w:lastRenderedPageBreak/>
        <w:t xml:space="preserve">експозиция е наблюдавана при пациенти с оценка по скалата на </w:t>
      </w:r>
      <w:proofErr w:type="spellStart"/>
      <w:r w:rsidRPr="002A1E1A">
        <w:rPr>
          <w:rFonts w:eastAsia="Times New Roman" w:cs="Arial"/>
          <w:color w:val="000000"/>
        </w:rPr>
        <w:t>Child-Pugh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 xml:space="preserve">8 и 9 (вж. точка 5.2). При тези пациенти трябва да се предприеме оценка на бъбречната функция (вж. точка 4.4). Няма данни за пациенти с оценка по скалата на </w:t>
      </w:r>
      <w:proofErr w:type="spellStart"/>
      <w:r w:rsidRPr="002A1E1A">
        <w:rPr>
          <w:rFonts w:eastAsia="Times New Roman" w:cs="Arial"/>
          <w:color w:val="000000"/>
        </w:rPr>
        <w:t>Child-Plugh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 xml:space="preserve">над 9.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е противопоказан при пациенти с активно чернодробно увреждане (вж. точка 4.3).</w:t>
      </w:r>
    </w:p>
    <w:p w14:paraId="1AECFE48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6"/>
    </w:p>
    <w:p w14:paraId="27284DFE" w14:textId="69A931EB" w:rsidR="00844B11" w:rsidRPr="002A1E1A" w:rsidRDefault="00844B11" w:rsidP="00844B11">
      <w:pPr>
        <w:pStyle w:val="Heading3"/>
        <w:rPr>
          <w:rFonts w:eastAsia="Times New Roman"/>
          <w:b/>
        </w:rPr>
      </w:pPr>
      <w:r w:rsidRPr="002A1E1A">
        <w:rPr>
          <w:rFonts w:eastAsia="Times New Roman"/>
          <w:b/>
          <w:lang w:eastAsia="bg-BG"/>
        </w:rPr>
        <w:t>Раса</w:t>
      </w:r>
      <w:bookmarkEnd w:id="4"/>
    </w:p>
    <w:p w14:paraId="5044CEF5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При пациенти от азиатската раса се наблюдава повишена системна експозиция на медикамента (вж. точка 4.3, точка 4.4 и точка 5.2). Препоръчваната първоначална доза при пациенти от азиатски произход е 5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. </w:t>
      </w:r>
      <w:r w:rsidRPr="002A1E1A">
        <w:rPr>
          <w:rFonts w:eastAsia="Times New Roman" w:cs="Arial"/>
          <w:color w:val="000000"/>
          <w:lang w:eastAsia="bg-BG"/>
        </w:rPr>
        <w:t xml:space="preserve">При тези пациенти е противопоказано приложение на доза от 40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>.</w:t>
      </w:r>
    </w:p>
    <w:p w14:paraId="0FDFEC7B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5" w:name="bookmark8"/>
    </w:p>
    <w:p w14:paraId="7AC463FE" w14:textId="10E3D7F1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Style w:val="Heading3Char"/>
          <w:b/>
          <w:lang w:eastAsia="bg-BG"/>
        </w:rPr>
        <w:t>Генетичен</w:t>
      </w:r>
      <w:r w:rsidRPr="002A1E1A"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2A1E1A">
        <w:rPr>
          <w:rStyle w:val="Heading3Char"/>
          <w:b/>
          <w:lang w:eastAsia="bg-BG"/>
        </w:rPr>
        <w:t>полиморфизъм</w:t>
      </w:r>
      <w:bookmarkEnd w:id="5"/>
    </w:p>
    <w:p w14:paraId="5B3D030E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Доказано е, че съществуват различни генетични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полиморфизми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които са свързани е повишена експозиция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(вижте точка 5.2). За пациентите, за които е известно, че имат такъв специфичен генотип, се препоръчва по-ниска еднократна дневна доза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>.</w:t>
      </w:r>
    </w:p>
    <w:p w14:paraId="6FC584B6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6" w:name="bookmark10"/>
    </w:p>
    <w:p w14:paraId="4EAB0C9F" w14:textId="1C7FD971" w:rsidR="00844B11" w:rsidRPr="002A1E1A" w:rsidRDefault="00844B11" w:rsidP="00844B11">
      <w:pPr>
        <w:pStyle w:val="Heading3"/>
        <w:rPr>
          <w:rFonts w:eastAsia="Times New Roman"/>
          <w:b/>
        </w:rPr>
      </w:pPr>
      <w:r w:rsidRPr="002A1E1A">
        <w:rPr>
          <w:rFonts w:eastAsia="Times New Roman"/>
          <w:b/>
          <w:lang w:eastAsia="bg-BG"/>
        </w:rPr>
        <w:t xml:space="preserve">Дозиране при пациенти, предразположени към развитие на </w:t>
      </w:r>
      <w:proofErr w:type="spellStart"/>
      <w:r w:rsidRPr="002A1E1A">
        <w:rPr>
          <w:rFonts w:eastAsia="Times New Roman"/>
          <w:b/>
          <w:lang w:eastAsia="bg-BG"/>
        </w:rPr>
        <w:t>миопатия</w:t>
      </w:r>
      <w:bookmarkEnd w:id="6"/>
      <w:proofErr w:type="spellEnd"/>
    </w:p>
    <w:p w14:paraId="1310161E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При пациенти с предразполагащи фактори за развитите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препоръчваната начална доза е 5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>(вж. точка 4.4).</w:t>
      </w:r>
    </w:p>
    <w:p w14:paraId="6B2D3504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При някои от тези пациенти е противопоказано приложението на доза от 40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>(вж. точка 4.3).</w:t>
      </w:r>
    </w:p>
    <w:p w14:paraId="023FDDC8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057DC87" w14:textId="078130F5" w:rsidR="00844B11" w:rsidRPr="002A1E1A" w:rsidRDefault="00844B11" w:rsidP="00844B11">
      <w:pPr>
        <w:pStyle w:val="Heading3"/>
        <w:rPr>
          <w:rFonts w:eastAsia="Times New Roman"/>
          <w:b/>
        </w:rPr>
      </w:pPr>
      <w:r w:rsidRPr="002A1E1A">
        <w:rPr>
          <w:rFonts w:eastAsia="Times New Roman"/>
          <w:b/>
          <w:lang w:eastAsia="bg-BG"/>
        </w:rPr>
        <w:t>Съпътстваща терапия</w:t>
      </w:r>
    </w:p>
    <w:p w14:paraId="05B40D79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е субстрат на различни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транспортерни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протеини (</w:t>
      </w:r>
      <w:proofErr w:type="spellStart"/>
      <w:r w:rsidRPr="002A1E1A">
        <w:rPr>
          <w:rFonts w:eastAsia="Times New Roman" w:cs="Arial"/>
          <w:color w:val="000000"/>
          <w:lang w:eastAsia="bg-BG"/>
        </w:rPr>
        <w:t>иапр</w:t>
      </w:r>
      <w:proofErr w:type="spellEnd"/>
      <w:r w:rsidRPr="002A1E1A">
        <w:rPr>
          <w:rFonts w:eastAsia="Times New Roman" w:cs="Arial"/>
          <w:color w:val="000000"/>
          <w:lang w:eastAsia="bg-BG"/>
        </w:rPr>
        <w:t>. ОАТР1</w:t>
      </w:r>
      <w:r w:rsidRPr="002A1E1A">
        <w:rPr>
          <w:rFonts w:eastAsia="Times New Roman" w:cs="Arial"/>
          <w:color w:val="000000"/>
        </w:rPr>
        <w:t xml:space="preserve">B1 </w:t>
      </w:r>
      <w:r w:rsidRPr="002A1E1A">
        <w:rPr>
          <w:rFonts w:eastAsia="Times New Roman" w:cs="Arial"/>
          <w:color w:val="000000"/>
          <w:lang w:eastAsia="bg-BG"/>
        </w:rPr>
        <w:t xml:space="preserve">и </w:t>
      </w:r>
      <w:r w:rsidRPr="002A1E1A">
        <w:rPr>
          <w:rFonts w:eastAsia="Times New Roman" w:cs="Arial"/>
          <w:color w:val="000000"/>
        </w:rPr>
        <w:t>BCRP).</w:t>
      </w:r>
    </w:p>
    <w:p w14:paraId="17B12830" w14:textId="2973EB31" w:rsidR="00844B11" w:rsidRPr="002A1E1A" w:rsidRDefault="00844B11" w:rsidP="00844B11">
      <w:pPr>
        <w:rPr>
          <w:rFonts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Рискът от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(включително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) се повишава, когато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се прилага. едновременно с определени лекарствени продукти, които могат да повишат плазмената концентрация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поради взаимодействие с тези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транспортерни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протеини (напр. </w:t>
      </w:r>
      <w:r w:rsidRPr="002A1E1A">
        <w:rPr>
          <w:rFonts w:cs="Arial"/>
        </w:rPr>
        <w:t xml:space="preserve">циклоспорин и някои </w:t>
      </w:r>
      <w:proofErr w:type="spellStart"/>
      <w:r w:rsidRPr="002A1E1A">
        <w:rPr>
          <w:rFonts w:cs="Arial"/>
        </w:rPr>
        <w:t>протеазни</w:t>
      </w:r>
      <w:proofErr w:type="spellEnd"/>
      <w:r w:rsidRPr="002A1E1A">
        <w:rPr>
          <w:rFonts w:cs="Arial"/>
        </w:rPr>
        <w:t xml:space="preserve"> инхибитори, включително комбинации на ритонавир с </w:t>
      </w:r>
      <w:proofErr w:type="spellStart"/>
      <w:r w:rsidRPr="002A1E1A">
        <w:rPr>
          <w:rFonts w:cs="Arial"/>
        </w:rPr>
        <w:t>атазанавир</w:t>
      </w:r>
      <w:proofErr w:type="spellEnd"/>
      <w:r w:rsidRPr="002A1E1A">
        <w:rPr>
          <w:rFonts w:cs="Arial"/>
        </w:rPr>
        <w:t xml:space="preserve">, лопинавир и/или </w:t>
      </w:r>
      <w:proofErr w:type="spellStart"/>
      <w:r w:rsidRPr="002A1E1A">
        <w:rPr>
          <w:rFonts w:cs="Arial"/>
        </w:rPr>
        <w:t>типранавир</w:t>
      </w:r>
      <w:proofErr w:type="spellEnd"/>
      <w:r w:rsidRPr="002A1E1A">
        <w:rPr>
          <w:rFonts w:cs="Arial"/>
        </w:rPr>
        <w:t xml:space="preserve">; вж. точки 4.4 и 4.5). Когато е възможно, трябва да се имат предвид алтернативни лекарства и, ако е необходимо, да се има предвид временно прекъсване на терапията с </w:t>
      </w:r>
      <w:proofErr w:type="spellStart"/>
      <w:r w:rsidRPr="002A1E1A">
        <w:rPr>
          <w:rFonts w:cs="Arial"/>
        </w:rPr>
        <w:t>Атеростад</w:t>
      </w:r>
      <w:proofErr w:type="spellEnd"/>
      <w:r w:rsidRPr="002A1E1A">
        <w:rPr>
          <w:rFonts w:cs="Arial"/>
        </w:rPr>
        <w:t xml:space="preserve">. В ситуации, когато едновременното приложение на тези лекарствени продукти с </w:t>
      </w:r>
      <w:proofErr w:type="spellStart"/>
      <w:r w:rsidRPr="002A1E1A">
        <w:rPr>
          <w:rFonts w:cs="Arial"/>
        </w:rPr>
        <w:t>Атеростад</w:t>
      </w:r>
      <w:proofErr w:type="spellEnd"/>
      <w:r w:rsidRPr="002A1E1A">
        <w:rPr>
          <w:rFonts w:cs="Arial"/>
        </w:rPr>
        <w:t xml:space="preserve"> е неизбежно, ползата и риска от съпътстващата терапия и корекции на дозата на </w:t>
      </w:r>
      <w:proofErr w:type="spellStart"/>
      <w:r w:rsidRPr="002A1E1A">
        <w:rPr>
          <w:rFonts w:cs="Arial"/>
        </w:rPr>
        <w:t>Атеростад</w:t>
      </w:r>
      <w:proofErr w:type="spellEnd"/>
      <w:r w:rsidRPr="002A1E1A">
        <w:rPr>
          <w:rFonts w:cs="Arial"/>
        </w:rPr>
        <w:t xml:space="preserve"> трябва внимателно да се обмислят (вж. точка 4.5).</w:t>
      </w:r>
    </w:p>
    <w:p w14:paraId="7AE8D037" w14:textId="5088B622" w:rsidR="00844B11" w:rsidRPr="002A1E1A" w:rsidRDefault="00844B11" w:rsidP="00844B11"/>
    <w:p w14:paraId="28C984E8" w14:textId="3C4831F9" w:rsidR="008134C8" w:rsidRPr="002A1E1A" w:rsidRDefault="002C50EE" w:rsidP="004A448E">
      <w:pPr>
        <w:pStyle w:val="Heading2"/>
      </w:pPr>
      <w:r w:rsidRPr="002A1E1A">
        <w:t>4.3. Противопоказания</w:t>
      </w:r>
    </w:p>
    <w:p w14:paraId="38B1FDE4" w14:textId="1F65E4E7" w:rsidR="00844B11" w:rsidRPr="002A1E1A" w:rsidRDefault="00844B11" w:rsidP="00844B11"/>
    <w:p w14:paraId="27391036" w14:textId="77777777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Свръхчувствителност към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или към някое от помощните вещества, изброени в точка 6.1,</w:t>
      </w:r>
    </w:p>
    <w:p w14:paraId="532FA1FC" w14:textId="77777777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 противопоказан:</w:t>
      </w:r>
    </w:p>
    <w:p w14:paraId="22079D17" w14:textId="77777777" w:rsidR="00844B11" w:rsidRPr="002A1E1A" w:rsidRDefault="00844B11" w:rsidP="00844B11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При пациенти със свръхчувствителност към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или някое от помощните вещества;</w:t>
      </w:r>
    </w:p>
    <w:p w14:paraId="3E722796" w14:textId="77777777" w:rsidR="00844B11" w:rsidRPr="002A1E1A" w:rsidRDefault="00844B11" w:rsidP="00844B11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При пациенти с активно чернодробно заболяване, включително неуточнено, продължително покачване на серумните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трансаминази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всяко покачване на серумните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трансаминази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три пъти над горната граница на нормата;</w:t>
      </w:r>
    </w:p>
    <w:p w14:paraId="0D78D769" w14:textId="77777777" w:rsidR="00844B11" w:rsidRPr="002A1E1A" w:rsidRDefault="00844B11" w:rsidP="00844B11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>При пациенти с тежко бъбречно увреждане (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креатининов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клирънс &lt;30 </w:t>
      </w:r>
      <w:r w:rsidRPr="002A1E1A">
        <w:rPr>
          <w:rFonts w:eastAsia="Times New Roman" w:cs="Arial"/>
          <w:color w:val="000000"/>
          <w:szCs w:val="20"/>
        </w:rPr>
        <w:t>ml/</w:t>
      </w:r>
      <w:proofErr w:type="spellStart"/>
      <w:r w:rsidRPr="002A1E1A">
        <w:rPr>
          <w:rFonts w:eastAsia="Times New Roman" w:cs="Arial"/>
          <w:color w:val="000000"/>
          <w:szCs w:val="20"/>
        </w:rPr>
        <w:t>min</w:t>
      </w:r>
      <w:proofErr w:type="spellEnd"/>
      <w:r w:rsidRPr="002A1E1A">
        <w:rPr>
          <w:rFonts w:eastAsia="Times New Roman" w:cs="Arial"/>
          <w:color w:val="000000"/>
          <w:szCs w:val="20"/>
        </w:rPr>
        <w:t>);</w:t>
      </w:r>
    </w:p>
    <w:p w14:paraId="3F27655C" w14:textId="77777777" w:rsidR="00844B11" w:rsidRPr="002A1E1A" w:rsidRDefault="00844B11" w:rsidP="00844B11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lastRenderedPageBreak/>
        <w:t xml:space="preserve">При пациенти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миопатия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;</w:t>
      </w:r>
    </w:p>
    <w:p w14:paraId="2584AF6E" w14:textId="77777777" w:rsidR="00844B11" w:rsidRPr="002A1E1A" w:rsidRDefault="00844B11" w:rsidP="00844B11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>При пациенти, приемащи едновременно циклоспорин;</w:t>
      </w:r>
    </w:p>
    <w:p w14:paraId="6869BBCC" w14:textId="4030A708" w:rsidR="00844B11" w:rsidRPr="002A1E1A" w:rsidRDefault="00844B11" w:rsidP="00844B11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>По време на бременност, кърмене и при жени в детеродна възраст, които не използват подходящи контрацептивни мерки.</w:t>
      </w:r>
    </w:p>
    <w:p w14:paraId="596900C6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B56734D" w14:textId="7D26ED42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Дозата от 40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е противопоказана при пациенти </w:t>
      </w:r>
      <w:r w:rsidRPr="002A1E1A">
        <w:rPr>
          <w:rFonts w:eastAsia="Times New Roman" w:cs="Arial"/>
          <w:b/>
          <w:bCs/>
          <w:i/>
          <w:iCs/>
          <w:color w:val="000000"/>
          <w:szCs w:val="20"/>
          <w:lang w:eastAsia="bg-BG"/>
        </w:rPr>
        <w:t>с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 предразполагащи фактори за развитие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миопатия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/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рабдомиолиза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. Такива фактори са:</w:t>
      </w:r>
    </w:p>
    <w:p w14:paraId="433AA429" w14:textId="77777777" w:rsidR="00844B11" w:rsidRPr="002A1E1A" w:rsidRDefault="00844B11" w:rsidP="00844B11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>Умерено по степен бъбречно увреждане (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креатининов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клирънс под 60 </w:t>
      </w:r>
      <w:r w:rsidRPr="002A1E1A">
        <w:rPr>
          <w:rFonts w:eastAsia="Times New Roman" w:cs="Arial"/>
          <w:color w:val="000000"/>
          <w:szCs w:val="20"/>
        </w:rPr>
        <w:t>ml/</w:t>
      </w:r>
      <w:proofErr w:type="spellStart"/>
      <w:r w:rsidRPr="002A1E1A">
        <w:rPr>
          <w:rFonts w:eastAsia="Times New Roman" w:cs="Arial"/>
          <w:color w:val="000000"/>
          <w:szCs w:val="20"/>
        </w:rPr>
        <w:t>min</w:t>
      </w:r>
      <w:proofErr w:type="spellEnd"/>
      <w:r w:rsidRPr="002A1E1A">
        <w:rPr>
          <w:rFonts w:eastAsia="Times New Roman" w:cs="Arial"/>
          <w:color w:val="000000"/>
          <w:szCs w:val="20"/>
        </w:rPr>
        <w:t>);</w:t>
      </w:r>
    </w:p>
    <w:p w14:paraId="54B7BC3E" w14:textId="77777777" w:rsidR="00844B11" w:rsidRPr="002A1E1A" w:rsidRDefault="00844B11" w:rsidP="00844B11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Хипотиреоидизъм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;</w:t>
      </w:r>
    </w:p>
    <w:p w14:paraId="78ADA375" w14:textId="77777777" w:rsidR="00844B11" w:rsidRPr="002A1E1A" w:rsidRDefault="00844B11" w:rsidP="00844B11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>Лична или фамилна анамнеза за наследствени мускулни заболявания;</w:t>
      </w:r>
    </w:p>
    <w:p w14:paraId="2BB0643C" w14:textId="77777777" w:rsidR="00844B11" w:rsidRPr="002A1E1A" w:rsidRDefault="00844B11" w:rsidP="00844B11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Анамнеза за поява на мускулно увреждане по време </w:t>
      </w:r>
      <w:r w:rsidRPr="002A1E1A">
        <w:rPr>
          <w:rFonts w:eastAsia="Times New Roman" w:cs="Arial"/>
          <w:b/>
          <w:bCs/>
          <w:i/>
          <w:iCs/>
          <w:color w:val="000000"/>
          <w:szCs w:val="20"/>
          <w:lang w:eastAsia="bg-BG"/>
        </w:rPr>
        <w:t>на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 лечение с друг медикамент от групата на инхибиторите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хидрокси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-метил-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глутарил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-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коензим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редуктазата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;</w:t>
      </w:r>
    </w:p>
    <w:p w14:paraId="31EC8396" w14:textId="77777777" w:rsidR="00844B11" w:rsidRPr="002A1E1A" w:rsidRDefault="00844B11" w:rsidP="00844B11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>Злоупотреба с алкохол;</w:t>
      </w:r>
    </w:p>
    <w:p w14:paraId="13B9ADF4" w14:textId="77777777" w:rsidR="00844B11" w:rsidRPr="002A1E1A" w:rsidRDefault="00844B11" w:rsidP="00844B11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>Състояния, при които може да се повиши плазменото ниво на медикамента;</w:t>
      </w:r>
    </w:p>
    <w:p w14:paraId="5172A920" w14:textId="77777777" w:rsidR="00844B11" w:rsidRPr="002A1E1A" w:rsidRDefault="00844B11" w:rsidP="00844B11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>Лица от азиатската раса;</w:t>
      </w:r>
    </w:p>
    <w:p w14:paraId="0C5D94ED" w14:textId="6DA0EB60" w:rsidR="00844B11" w:rsidRPr="002A1E1A" w:rsidRDefault="00844B11" w:rsidP="00844B11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Съпътстващо лечение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фибрати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(вж. точка 4.4, точка 4.5 и точка 5.2).</w:t>
      </w:r>
    </w:p>
    <w:p w14:paraId="230B39ED" w14:textId="77777777" w:rsidR="00844B11" w:rsidRPr="002A1E1A" w:rsidRDefault="00844B11" w:rsidP="00844B11"/>
    <w:p w14:paraId="212F509C" w14:textId="68F4F869" w:rsidR="004F498A" w:rsidRPr="002A1E1A" w:rsidRDefault="002C50EE" w:rsidP="004A448E">
      <w:pPr>
        <w:pStyle w:val="Heading2"/>
      </w:pPr>
      <w:r w:rsidRPr="002A1E1A">
        <w:t>4.4. Специални предупреждения и предпазни мерки при употреба</w:t>
      </w:r>
    </w:p>
    <w:p w14:paraId="18EACE94" w14:textId="0303D5F7" w:rsidR="00844B11" w:rsidRPr="002A1E1A" w:rsidRDefault="00844B11" w:rsidP="00844B11"/>
    <w:p w14:paraId="23288C28" w14:textId="77777777" w:rsidR="00844B11" w:rsidRPr="002A1E1A" w:rsidRDefault="00844B11" w:rsidP="00844B11">
      <w:pPr>
        <w:pStyle w:val="Heading3"/>
        <w:rPr>
          <w:b/>
        </w:rPr>
      </w:pPr>
      <w:r w:rsidRPr="002A1E1A">
        <w:rPr>
          <w:b/>
        </w:rPr>
        <w:t>Бъбреци</w:t>
      </w:r>
    </w:p>
    <w:p w14:paraId="6595AF33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При пациенти, лекувани с по-високи дози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по-конкретно 40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, </w:t>
      </w:r>
      <w:r w:rsidRPr="002A1E1A">
        <w:rPr>
          <w:rFonts w:eastAsia="Times New Roman" w:cs="Arial"/>
          <w:color w:val="000000"/>
          <w:lang w:eastAsia="bg-BG"/>
        </w:rPr>
        <w:t xml:space="preserve">е наблюдавана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протеинурия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която е установена при изследване с тест-ленти, с предимно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тубулен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произход и в повечето случаи с преходен или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интермитентен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характер. Не е доказано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прстеинурията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да предшества остро или прогресивно бъбречно заболяване (вж. точка 4.8). Докладваната честота на сериозни бъбречни увреди при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постмаркетинговата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употреба е по-висока при дозировка от 40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. </w:t>
      </w:r>
      <w:r w:rsidRPr="002A1E1A">
        <w:rPr>
          <w:rFonts w:eastAsia="Times New Roman" w:cs="Arial"/>
          <w:color w:val="000000"/>
          <w:lang w:eastAsia="bg-BG"/>
        </w:rPr>
        <w:t xml:space="preserve">Оценка на бъбречната функция трябва да се направи по време на рутинно проследяване при пациенти, обичайно лекувани с 40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>.</w:t>
      </w:r>
    </w:p>
    <w:p w14:paraId="0D6BAC6A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3A6F1B1C" w14:textId="2524BCCC" w:rsidR="00844B11" w:rsidRPr="002A1E1A" w:rsidRDefault="00844B11" w:rsidP="00844B11">
      <w:pPr>
        <w:pStyle w:val="Heading3"/>
        <w:rPr>
          <w:b/>
        </w:rPr>
      </w:pPr>
      <w:r w:rsidRPr="002A1E1A">
        <w:rPr>
          <w:b/>
        </w:rPr>
        <w:t>Скелетна мускулатура</w:t>
      </w:r>
    </w:p>
    <w:p w14:paraId="536FC402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>Ефекти върху скелетната мускулатура(</w:t>
      </w:r>
      <w:proofErr w:type="spellStart"/>
      <w:r w:rsidRPr="002A1E1A">
        <w:rPr>
          <w:rFonts w:eastAsia="Times New Roman" w:cs="Arial"/>
          <w:color w:val="000000"/>
          <w:lang w:eastAsia="bg-BG"/>
        </w:rPr>
        <w:t>миалгия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 по-рядко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2A1E1A">
        <w:rPr>
          <w:rFonts w:eastAsia="Times New Roman" w:cs="Arial"/>
          <w:color w:val="000000"/>
          <w:lang w:eastAsia="bg-BG"/>
        </w:rPr>
        <w:t>) са</w:t>
      </w:r>
    </w:p>
    <w:p w14:paraId="4534222C" w14:textId="109A26CE" w:rsidR="00844B11" w:rsidRPr="002A1E1A" w:rsidRDefault="00844B11" w:rsidP="00844B11">
      <w:pPr>
        <w:rPr>
          <w:rFonts w:eastAsia="Times New Roman" w:cs="Arial"/>
          <w:color w:val="000000"/>
          <w:lang w:eastAsia="bg-BG"/>
        </w:rPr>
      </w:pPr>
      <w:r w:rsidRPr="002A1E1A">
        <w:rPr>
          <w:rFonts w:eastAsia="Times New Roman" w:cs="Arial"/>
          <w:color w:val="000000"/>
          <w:lang w:eastAsia="bg-BG"/>
        </w:rPr>
        <w:t xml:space="preserve">съобщавани при приложение на всички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дозови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режими, особено при дози над 20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>.</w:t>
      </w:r>
      <w:r w:rsidRPr="002A1E1A">
        <w:rPr>
          <w:rFonts w:eastAsia="Times New Roman" w:cs="Arial"/>
          <w:color w:val="000000"/>
          <w:lang w:eastAsia="bg-BG"/>
        </w:rPr>
        <w:t xml:space="preserve"> Много редки случаи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са докладвани при използването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езетимиб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в комбинация с </w:t>
      </w:r>
      <w:r w:rsidRPr="002A1E1A">
        <w:rPr>
          <w:rFonts w:eastAsia="Times New Roman" w:cs="Arial"/>
          <w:color w:val="000000"/>
        </w:rPr>
        <w:t>HMG-</w:t>
      </w:r>
      <w:proofErr w:type="spellStart"/>
      <w:r w:rsidRPr="002A1E1A">
        <w:rPr>
          <w:rFonts w:eastAsia="Times New Roman" w:cs="Arial"/>
          <w:color w:val="000000"/>
        </w:rPr>
        <w:t>CoA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редуктазни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инхибитори. Не може да бъде изключено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фармакодинамично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взаимодействие (вж. точка 4.5) и е необходимо внимание при комбинираното им използване.</w:t>
      </w:r>
    </w:p>
    <w:p w14:paraId="04CF68B5" w14:textId="23F0A040" w:rsidR="00844B11" w:rsidRPr="002A1E1A" w:rsidRDefault="00844B11" w:rsidP="00844B11">
      <w:pPr>
        <w:rPr>
          <w:rFonts w:eastAsia="Times New Roman" w:cs="Arial"/>
          <w:color w:val="000000"/>
          <w:lang w:eastAsia="bg-BG"/>
        </w:rPr>
      </w:pPr>
    </w:p>
    <w:p w14:paraId="0D59201E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Както при другите </w:t>
      </w:r>
      <w:r w:rsidRPr="002A1E1A">
        <w:rPr>
          <w:rFonts w:eastAsia="Times New Roman" w:cs="Arial"/>
          <w:color w:val="000000"/>
        </w:rPr>
        <w:t>HMG-</w:t>
      </w:r>
      <w:proofErr w:type="spellStart"/>
      <w:r w:rsidRPr="002A1E1A">
        <w:rPr>
          <w:rFonts w:eastAsia="Times New Roman" w:cs="Arial"/>
          <w:color w:val="000000"/>
        </w:rPr>
        <w:t>CoA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редуктазни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инхибитори, докладваната честота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асоциирана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при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постмаркетинговата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употреба, е по-висока при дозировка от 40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>.</w:t>
      </w:r>
    </w:p>
    <w:p w14:paraId="133DA70E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2F31D9B8" w14:textId="1552596F" w:rsidR="00844B11" w:rsidRPr="002A1E1A" w:rsidRDefault="00844B11" w:rsidP="00844B11">
      <w:pPr>
        <w:pStyle w:val="Heading3"/>
        <w:rPr>
          <w:b/>
        </w:rPr>
      </w:pPr>
      <w:r w:rsidRPr="002A1E1A">
        <w:rPr>
          <w:b/>
        </w:rPr>
        <w:t xml:space="preserve">Измерване на </w:t>
      </w:r>
      <w:proofErr w:type="spellStart"/>
      <w:r w:rsidRPr="002A1E1A">
        <w:rPr>
          <w:b/>
        </w:rPr>
        <w:t>креатинкиназата</w:t>
      </w:r>
      <w:proofErr w:type="spellEnd"/>
    </w:p>
    <w:p w14:paraId="267A31E0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proofErr w:type="spellStart"/>
      <w:r w:rsidRPr="002A1E1A">
        <w:rPr>
          <w:rFonts w:eastAsia="Times New Roman" w:cs="Arial"/>
          <w:color w:val="000000"/>
          <w:lang w:eastAsia="bg-BG"/>
        </w:rPr>
        <w:t>Креатинкиназата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(СК) не трябва да се измерва след усилени упражнения или при наличието на друг причинител на увеличение на СК, което може да затрудни тълкуването на резултата. Ако нивото на СК е значително повишено при изходно ниво (&gt;5 пъти </w:t>
      </w:r>
      <w:r w:rsidRPr="002A1E1A">
        <w:rPr>
          <w:rFonts w:eastAsia="Times New Roman" w:cs="Arial"/>
          <w:color w:val="000000"/>
          <w:lang w:eastAsia="bg-BG"/>
        </w:rPr>
        <w:lastRenderedPageBreak/>
        <w:t xml:space="preserve">горната допустима граница), тест за потвърждаване на резултата трябва да бъде направен в рамките на 5-7 дни. Ако повторното изследване потвърди изходно ниво на СК &gt;5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пъта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горната допустима граница, не трябва да се започва лечение.</w:t>
      </w:r>
    </w:p>
    <w:p w14:paraId="5E8B524C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38D82389" w14:textId="3F3E929C" w:rsidR="00844B11" w:rsidRPr="002A1E1A" w:rsidRDefault="00844B11" w:rsidP="00844B11">
      <w:pPr>
        <w:pStyle w:val="Heading3"/>
        <w:rPr>
          <w:b/>
        </w:rPr>
      </w:pPr>
      <w:r w:rsidRPr="002A1E1A">
        <w:rPr>
          <w:b/>
        </w:rPr>
        <w:t>Преди лечението</w:t>
      </w:r>
    </w:p>
    <w:p w14:paraId="56D80B58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Както и други инхибитори на </w:t>
      </w:r>
      <w:r w:rsidRPr="002A1E1A">
        <w:rPr>
          <w:rFonts w:eastAsia="Times New Roman" w:cs="Arial"/>
          <w:color w:val="000000"/>
        </w:rPr>
        <w:t>HMG-</w:t>
      </w:r>
      <w:proofErr w:type="spellStart"/>
      <w:r w:rsidRPr="002A1E1A">
        <w:rPr>
          <w:rFonts w:eastAsia="Times New Roman" w:cs="Arial"/>
          <w:color w:val="000000"/>
        </w:rPr>
        <w:t>CoA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трябва да бъде предписван с особено внимание при пациенти, за които са налице фактори, предразполагащи развитие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2A1E1A">
        <w:rPr>
          <w:rFonts w:eastAsia="Times New Roman" w:cs="Arial"/>
          <w:color w:val="000000"/>
          <w:lang w:eastAsia="bg-BG"/>
        </w:rPr>
        <w:t>/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2A1E1A">
        <w:rPr>
          <w:rFonts w:eastAsia="Times New Roman" w:cs="Arial"/>
          <w:color w:val="000000"/>
          <w:lang w:eastAsia="bg-BG"/>
        </w:rPr>
        <w:t>. Такива фактори са:</w:t>
      </w:r>
    </w:p>
    <w:p w14:paraId="5911B15A" w14:textId="77777777" w:rsidR="00844B11" w:rsidRPr="002A1E1A" w:rsidRDefault="00844B11" w:rsidP="00844B11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A1E1A">
        <w:rPr>
          <w:rFonts w:eastAsia="Times New Roman" w:cs="Arial"/>
          <w:color w:val="000000"/>
          <w:lang w:eastAsia="bg-BG"/>
        </w:rPr>
        <w:t>Бъбречно увреждане;</w:t>
      </w:r>
    </w:p>
    <w:p w14:paraId="2955935D" w14:textId="77777777" w:rsidR="00844B11" w:rsidRPr="002A1E1A" w:rsidRDefault="00844B11" w:rsidP="00844B11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2A1E1A">
        <w:rPr>
          <w:rFonts w:eastAsia="Times New Roman" w:cs="Arial"/>
          <w:color w:val="000000"/>
          <w:lang w:eastAsia="bg-BG"/>
        </w:rPr>
        <w:t>Хипотиреоидизъм</w:t>
      </w:r>
      <w:proofErr w:type="spellEnd"/>
      <w:r w:rsidRPr="002A1E1A">
        <w:rPr>
          <w:rFonts w:eastAsia="Times New Roman" w:cs="Arial"/>
          <w:color w:val="000000"/>
          <w:lang w:eastAsia="bg-BG"/>
        </w:rPr>
        <w:t>;</w:t>
      </w:r>
    </w:p>
    <w:p w14:paraId="2E24C301" w14:textId="77777777" w:rsidR="00844B11" w:rsidRPr="002A1E1A" w:rsidRDefault="00844B11" w:rsidP="00844B11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A1E1A">
        <w:rPr>
          <w:rFonts w:eastAsia="Times New Roman" w:cs="Arial"/>
          <w:color w:val="000000"/>
          <w:lang w:eastAsia="bg-BG"/>
        </w:rPr>
        <w:t>Лична или фамилна анамнеза за наследствено мускулно заболяване;</w:t>
      </w:r>
    </w:p>
    <w:p w14:paraId="7CE4EAF4" w14:textId="77777777" w:rsidR="00844B11" w:rsidRPr="002A1E1A" w:rsidRDefault="00844B11" w:rsidP="00844B11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A1E1A">
        <w:rPr>
          <w:rFonts w:eastAsia="Times New Roman" w:cs="Arial"/>
          <w:color w:val="000000"/>
          <w:lang w:eastAsia="bg-BG"/>
        </w:rPr>
        <w:t xml:space="preserve">Установена мускулна токсичност към други инхибитори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иа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</w:t>
      </w:r>
      <w:r w:rsidRPr="002A1E1A">
        <w:rPr>
          <w:rFonts w:eastAsia="Times New Roman" w:cs="Arial"/>
          <w:color w:val="000000"/>
        </w:rPr>
        <w:t>HMG-</w:t>
      </w:r>
      <w:proofErr w:type="spellStart"/>
      <w:r w:rsidRPr="002A1E1A">
        <w:rPr>
          <w:rFonts w:eastAsia="Times New Roman" w:cs="Arial"/>
          <w:color w:val="000000"/>
        </w:rPr>
        <w:t>CoA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или фибрата;</w:t>
      </w:r>
    </w:p>
    <w:p w14:paraId="06F356C2" w14:textId="77777777" w:rsidR="00844B11" w:rsidRPr="002A1E1A" w:rsidRDefault="00844B11" w:rsidP="00844B11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A1E1A">
        <w:rPr>
          <w:rFonts w:eastAsia="Times New Roman" w:cs="Arial"/>
          <w:color w:val="000000"/>
          <w:lang w:eastAsia="bg-BG"/>
        </w:rPr>
        <w:t>Злоупотреба с алкохол;</w:t>
      </w:r>
    </w:p>
    <w:p w14:paraId="4DF9C331" w14:textId="77777777" w:rsidR="00844B11" w:rsidRPr="002A1E1A" w:rsidRDefault="00844B11" w:rsidP="00844B11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A1E1A">
        <w:rPr>
          <w:rFonts w:eastAsia="Times New Roman" w:cs="Arial"/>
          <w:color w:val="000000"/>
          <w:lang w:eastAsia="bg-BG"/>
        </w:rPr>
        <w:t>Пациенти на възраст над 70 години;</w:t>
      </w:r>
    </w:p>
    <w:p w14:paraId="497152E8" w14:textId="77777777" w:rsidR="00844B11" w:rsidRPr="002A1E1A" w:rsidRDefault="00844B11" w:rsidP="00844B11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A1E1A">
        <w:rPr>
          <w:rFonts w:eastAsia="Times New Roman" w:cs="Arial"/>
          <w:color w:val="000000"/>
          <w:lang w:eastAsia="bg-BG"/>
        </w:rPr>
        <w:t>Състояния, при които може да се наблюдава покачване на плазмените нива (вж. точка 4.2, 4.5 и 5.2);</w:t>
      </w:r>
    </w:p>
    <w:p w14:paraId="7AB6FC51" w14:textId="7846A693" w:rsidR="00844B11" w:rsidRPr="002A1E1A" w:rsidRDefault="00844B11" w:rsidP="00844B11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A1E1A">
        <w:rPr>
          <w:rFonts w:eastAsia="Times New Roman" w:cs="Arial"/>
          <w:color w:val="000000"/>
          <w:lang w:eastAsia="bg-BG"/>
        </w:rPr>
        <w:t>Едновременно приложение на фибрата;</w:t>
      </w:r>
    </w:p>
    <w:p w14:paraId="58FA98B3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>При подобни пациенти трябва да се предвиди отношението риск/полза и да бъдат поставени под клинично наблюдение. Ако изходното ниво на СК е значително повишено (&gt; 5 пъти горната граница на нормата), не трябва да се започва лечение.</w:t>
      </w:r>
    </w:p>
    <w:p w14:paraId="0FC52E62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20C0ECD0" w14:textId="1B8671B7" w:rsidR="00844B11" w:rsidRPr="002A1E1A" w:rsidRDefault="00844B11" w:rsidP="00844B11">
      <w:pPr>
        <w:pStyle w:val="Heading3"/>
        <w:rPr>
          <w:b/>
        </w:rPr>
      </w:pPr>
      <w:r w:rsidRPr="002A1E1A">
        <w:rPr>
          <w:b/>
        </w:rPr>
        <w:t>По време на лечението</w:t>
      </w:r>
    </w:p>
    <w:p w14:paraId="7F741427" w14:textId="77777777" w:rsidR="00844B11" w:rsidRPr="002A1E1A" w:rsidRDefault="00844B11" w:rsidP="00844B11">
      <w:pPr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Пациентите се задължават незабавно да докладват необясними мускулни болки, усещане за слабост или схващане, най-вече ако са свързани с неразположение или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фебрилитет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. При такива пациенти трябва да се измерят нивата на СК. Терапията трябва да се прекрати, ако нивото на СК е значително повишено (&gt; 5 пъти горната допустима граница) или ако мускулните симптоми са тежки и причиняват ежедневно неразположение (дори нивото на СК да е ≤5 пъти под горната допустима граница). Ако симптомите изчезнат и нивото на СК се нормализира, може да се помисли за повторно лечение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или алтернативен инхибитор на </w:t>
      </w:r>
      <w:r w:rsidRPr="002A1E1A">
        <w:rPr>
          <w:rFonts w:eastAsia="Times New Roman" w:cs="Arial"/>
          <w:color w:val="000000"/>
        </w:rPr>
        <w:t xml:space="preserve">HMG- </w:t>
      </w:r>
      <w:proofErr w:type="spellStart"/>
      <w:r w:rsidRPr="002A1E1A">
        <w:rPr>
          <w:rFonts w:eastAsia="Times New Roman" w:cs="Arial"/>
          <w:color w:val="000000"/>
        </w:rPr>
        <w:t>CoA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в най-ниска доза под наблюдение. Рутинно наблюдение на нивото на СК при пациенти без симптоми не е основателно. Има много редки доклади за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имуномедиирана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некротизираща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която клинично се характеризира с персистираща проксимална- мускулна слабост и повишена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креатинкиназа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по време на лечението или след спиране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статините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включително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. Може да е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необходмо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допълнително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нервномускулно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или серологично изследване. Може да се наложи лечение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имуносупресиращи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лекарства. При клиничните изпитвания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не са наблюдавани данни за повишени ефекти върху скелетната мускулатура в малката група пациенти, при които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е прилаган с друго съпътстващо лечение. Увеличение на честотата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миозит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е наблюдавано обаче при пациенти, получаващи други инхибитори на </w:t>
      </w:r>
      <w:r w:rsidRPr="002A1E1A">
        <w:rPr>
          <w:rFonts w:eastAsia="Times New Roman" w:cs="Arial"/>
          <w:color w:val="000000"/>
        </w:rPr>
        <w:t>HMG-</w:t>
      </w:r>
      <w:proofErr w:type="spellStart"/>
      <w:r w:rsidRPr="002A1E1A">
        <w:rPr>
          <w:rFonts w:eastAsia="Times New Roman" w:cs="Arial"/>
          <w:color w:val="000000"/>
        </w:rPr>
        <w:t>CoA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заедно с циклоспорин, производни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фибриновата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киселина, включително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гемфиброзил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никотинова киселина,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азолови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антимикотици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протеазни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инхибитори 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макролидни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антибиотици.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Гемфибозил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повишава риска от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ако се приема едновременно с някои инхибитори на </w:t>
      </w:r>
      <w:r w:rsidRPr="002A1E1A">
        <w:rPr>
          <w:rFonts w:eastAsia="Times New Roman" w:cs="Arial"/>
          <w:color w:val="000000"/>
        </w:rPr>
        <w:t>HMG-</w:t>
      </w:r>
      <w:proofErr w:type="spellStart"/>
      <w:r w:rsidRPr="002A1E1A">
        <w:rPr>
          <w:rFonts w:eastAsia="Times New Roman" w:cs="Arial"/>
          <w:color w:val="000000"/>
        </w:rPr>
        <w:t>CoA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. Поради това, комбинацията между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гемфиброзил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не е препоръчителна. Ползата от допълнително снижаване в липидните нива в резултат от комбинираното приемане</w:t>
      </w:r>
      <w:r w:rsidRPr="002A1E1A">
        <w:rPr>
          <w:rFonts w:eastAsia="Times New Roman" w:cs="Arial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 xml:space="preserve">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 фибрата или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ниацин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трябва да бъде внимателно изчислена спрямо потенциалния риск от </w:t>
      </w:r>
      <w:r w:rsidRPr="002A1E1A">
        <w:rPr>
          <w:rFonts w:eastAsia="Times New Roman" w:cs="Arial"/>
          <w:color w:val="000000"/>
          <w:lang w:eastAsia="bg-BG"/>
        </w:rPr>
        <w:lastRenderedPageBreak/>
        <w:t xml:space="preserve">подобни комбинации. При едновременно приложение на фибрата, лечението с дози от 40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>е противопоказано (вж. точка 4.5 и точка 4.8).</w:t>
      </w:r>
    </w:p>
    <w:p w14:paraId="6A67439F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3361CAC" w14:textId="51CAC152" w:rsidR="00844B11" w:rsidRPr="002A1E1A" w:rsidRDefault="00844B11" w:rsidP="00844B11">
      <w:pPr>
        <w:spacing w:line="240" w:lineRule="auto"/>
        <w:rPr>
          <w:rFonts w:eastAsia="Times New Roman" w:cs="Arial"/>
        </w:rPr>
      </w:pP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не трябва да се прилага едновременно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киселина за системно приложение или в рамките на 7 дни след спиране на лечението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киселина. При пациенти, при които използването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киселина за системно приложение е наложително, лечението със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трябва да бъде преустановено през целия период на лечение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киселина. Има съобщения за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(включително няколко с фатален изход) при пациенти, приемащи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киселина 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в комбинация (вж. точка 4.5). Пациентите трябва да бъдат посъветвани да потърсят незабавно медицинска помощ, ако изпитват симптоми на мускулна слабост, болка или болезненост.</w:t>
      </w:r>
    </w:p>
    <w:p w14:paraId="2017F2CF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F6B9BD" w14:textId="1520A2F3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Лечението със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може да бъде подновено седем дни след последната доза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киселина.</w:t>
      </w:r>
    </w:p>
    <w:p w14:paraId="53523DFB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D407DE6" w14:textId="45BF349D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При извънредни обстоятелства, когато е необходима продължителна употреба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киселина за системно приложение, например за лечение на тежки инфекции, необходимостта от едновременно приложение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фузидова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киселина трябва да се прецени индивидуално, и под строг медицински контрол.</w:t>
      </w:r>
    </w:p>
    <w:p w14:paraId="605A401B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E2AAC4F" w14:textId="3D54269E" w:rsidR="00844B11" w:rsidRPr="002A1E1A" w:rsidRDefault="00844B11" w:rsidP="00844B11">
      <w:pPr>
        <w:spacing w:line="240" w:lineRule="auto"/>
        <w:rPr>
          <w:rFonts w:eastAsia="Times New Roman" w:cs="Arial"/>
        </w:rPr>
      </w:pP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не трябва да се употребява при пациенти с остри сериозни състояния, предполагащи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или предразполагащи към развитие на бъбречна недостатъчност, вследствие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(напр. сепсис, хипотония, голяма операция, травма, тежки метаболитни, ендокринни и електролитни нарушения или неконтролирани гърчове).</w:t>
      </w:r>
    </w:p>
    <w:p w14:paraId="7DA1DD99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6211EAD" w14:textId="015A3B4E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u w:val="single"/>
          <w:lang w:eastAsia="bg-BG"/>
        </w:rPr>
        <w:t>Влияние върху черния дроб</w:t>
      </w:r>
    </w:p>
    <w:p w14:paraId="1FA2B3BB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Както при други инхибитори на </w:t>
      </w:r>
      <w:r w:rsidRPr="002A1E1A">
        <w:rPr>
          <w:rFonts w:eastAsia="Times New Roman" w:cs="Arial"/>
          <w:color w:val="000000"/>
        </w:rPr>
        <w:t>HMG-</w:t>
      </w:r>
      <w:proofErr w:type="spellStart"/>
      <w:r w:rsidRPr="002A1E1A">
        <w:rPr>
          <w:rFonts w:eastAsia="Times New Roman" w:cs="Arial"/>
          <w:color w:val="000000"/>
        </w:rPr>
        <w:t>CoA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трябва внимателно да се прилага при пациенти, които приемат голямо количество алкохол и/или са имали заболяване на черния дроб. Препоръчително е да се направят изследвания на черния </w:t>
      </w:r>
      <w:r w:rsidRPr="002A1E1A">
        <w:rPr>
          <w:rFonts w:eastAsia="Times New Roman" w:cs="Arial"/>
          <w:i/>
          <w:iCs/>
          <w:color w:val="000000"/>
          <w:lang w:eastAsia="bg-BG"/>
        </w:rPr>
        <w:t>дроб</w:t>
      </w:r>
      <w:r w:rsidRPr="002A1E1A">
        <w:rPr>
          <w:rFonts w:eastAsia="Times New Roman" w:cs="Arial"/>
          <w:color w:val="000000"/>
          <w:lang w:eastAsia="bg-BG"/>
        </w:rPr>
        <w:t xml:space="preserve"> преди и 3 месеца след започване на лечението.</w:t>
      </w:r>
    </w:p>
    <w:p w14:paraId="33BCB3E9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FD5E174" w14:textId="169A2CFD" w:rsidR="00844B11" w:rsidRPr="002A1E1A" w:rsidRDefault="00844B11" w:rsidP="00844B11">
      <w:pPr>
        <w:spacing w:line="240" w:lineRule="auto"/>
        <w:rPr>
          <w:rFonts w:eastAsia="Times New Roman" w:cs="Arial"/>
        </w:rPr>
      </w:pP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трябва да бъде преустановен или дозата трябва да се намали, ако нивото на серумните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трансаминази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надвишава три пъти горната граница на нормата. Докладваната честота за сериозни чернодробни увреди (заключващи се главно в увеличени чернодробни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трансаминази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) при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постмаркетинговата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употреба е по-висока при дозировка от 40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>.</w:t>
      </w:r>
    </w:p>
    <w:p w14:paraId="0F627FE7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B36F4CA" w14:textId="694ECEDA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При пациенти с вторична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причинена от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хипотиреоидизъм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нефротичен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синдром, основното заболяване трябва да се лекува преди започване на лечение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>.</w:t>
      </w:r>
    </w:p>
    <w:p w14:paraId="0F4E2E26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6598E19" w14:textId="50D17A50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u w:val="single"/>
          <w:lang w:eastAsia="bg-BG"/>
        </w:rPr>
        <w:t>Раса</w:t>
      </w:r>
    </w:p>
    <w:p w14:paraId="44AD2F12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proofErr w:type="spellStart"/>
      <w:r w:rsidRPr="002A1E1A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проучвания показват, че при пациентите от азиатската раса е налице по- висока експозиция в сравнение с тези от кавказката (бялата) раса (вж. точка 4.2, точка 4.3 и точка 5.2).</w:t>
      </w:r>
    </w:p>
    <w:p w14:paraId="3CFF2998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2F3A526" w14:textId="454D2E89" w:rsidR="00844B11" w:rsidRPr="002A1E1A" w:rsidRDefault="00844B11" w:rsidP="00844B11">
      <w:pPr>
        <w:spacing w:line="240" w:lineRule="auto"/>
        <w:rPr>
          <w:rFonts w:eastAsia="Times New Roman" w:cs="Arial"/>
        </w:rPr>
      </w:pPr>
      <w:proofErr w:type="spellStart"/>
      <w:r w:rsidRPr="002A1E1A">
        <w:rPr>
          <w:rFonts w:eastAsia="Times New Roman" w:cs="Arial"/>
          <w:color w:val="000000"/>
          <w:u w:val="single"/>
          <w:lang w:eastAsia="bg-BG"/>
        </w:rPr>
        <w:t>Протеазни</w:t>
      </w:r>
      <w:proofErr w:type="spellEnd"/>
      <w:r w:rsidRPr="002A1E1A">
        <w:rPr>
          <w:rFonts w:eastAsia="Times New Roman" w:cs="Arial"/>
          <w:color w:val="000000"/>
          <w:u w:val="single"/>
          <w:lang w:eastAsia="bg-BG"/>
        </w:rPr>
        <w:t xml:space="preserve"> инхибитори</w:t>
      </w:r>
    </w:p>
    <w:p w14:paraId="2780EEAD" w14:textId="77777777" w:rsidR="00844B11" w:rsidRPr="002A1E1A" w:rsidRDefault="00844B11" w:rsidP="00844B11">
      <w:pPr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Повишена системна експозиция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е наблюдавана при пациенти, приемащи</w:t>
      </w:r>
      <w:r w:rsidRPr="002A1E1A">
        <w:rPr>
          <w:rFonts w:eastAsia="Times New Roman" w:cs="Arial"/>
          <w:color w:val="000000"/>
          <w:u w:val="single"/>
          <w:lang w:eastAsia="bg-BG"/>
        </w:rPr>
        <w:t xml:space="preserve">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едновременно с различни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протеазни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инхибитори в комбинация с ритонавир </w:t>
      </w:r>
      <w:r w:rsidRPr="002A1E1A">
        <w:rPr>
          <w:rFonts w:eastAsia="Times New Roman" w:cs="Arial"/>
          <w:color w:val="000000"/>
          <w:lang w:eastAsia="bg-BG"/>
        </w:rPr>
        <w:lastRenderedPageBreak/>
        <w:t xml:space="preserve">Трябва да се обмисли, както ползата от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липидопонижаване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чрез употреба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при: пациенти с </w:t>
      </w:r>
      <w:r w:rsidRPr="002A1E1A">
        <w:rPr>
          <w:rFonts w:eastAsia="Times New Roman" w:cs="Arial"/>
          <w:color w:val="000000"/>
        </w:rPr>
        <w:t xml:space="preserve">HIV, </w:t>
      </w:r>
      <w:r w:rsidRPr="002A1E1A">
        <w:rPr>
          <w:rFonts w:eastAsia="Times New Roman" w:cs="Arial"/>
          <w:color w:val="000000"/>
          <w:lang w:eastAsia="bg-BG"/>
        </w:rPr>
        <w:t xml:space="preserve">които приемат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протеазни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инхибитори, така и потенциала за повишена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конценрация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когато се започва терапията и се повишава доза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при пациенти, лекувани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протеазни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инхибитори. Едновременното приложение с определени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протеазни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инхибитори не се препоръчва, освен ако дозата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не се коригира (вижте точка 4.2 и 4.5).</w:t>
      </w:r>
    </w:p>
    <w:p w14:paraId="76C3F507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85118B9" w14:textId="58A616C2" w:rsidR="00844B11" w:rsidRPr="002A1E1A" w:rsidRDefault="00844B11" w:rsidP="00844B11">
      <w:pPr>
        <w:spacing w:line="240" w:lineRule="auto"/>
        <w:rPr>
          <w:rFonts w:eastAsia="Times New Roman" w:cs="Arial"/>
        </w:rPr>
      </w:pPr>
      <w:proofErr w:type="spellStart"/>
      <w:r w:rsidRPr="002A1E1A">
        <w:rPr>
          <w:rFonts w:eastAsia="Times New Roman" w:cs="Arial"/>
          <w:color w:val="000000"/>
          <w:u w:val="single"/>
          <w:lang w:eastAsia="bg-BG"/>
        </w:rPr>
        <w:t>Интерстициална</w:t>
      </w:r>
      <w:proofErr w:type="spellEnd"/>
      <w:r w:rsidRPr="002A1E1A">
        <w:rPr>
          <w:rFonts w:eastAsia="Times New Roman" w:cs="Arial"/>
          <w:color w:val="000000"/>
          <w:u w:val="single"/>
          <w:lang w:eastAsia="bg-BG"/>
        </w:rPr>
        <w:t xml:space="preserve"> белодробна болест</w:t>
      </w:r>
    </w:p>
    <w:p w14:paraId="7A2E3BAF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Докладвани са изолирани случаи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интерстициална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белодробна болест при приложение на някои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особено при продължителна терапия (вж. точка 4.8). Клиничните прояви могат да включват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диспнея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непродуктивна кашлица и влошаване на общото състояние (умора, загуба на тегло и треска). Ако има подозрение, че пациентът е развил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интерстициална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белодробна болест, терапията със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трябва да бъде преустановена.</w:t>
      </w:r>
    </w:p>
    <w:p w14:paraId="3A6979E9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AB4978B" w14:textId="569C049A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u w:val="single"/>
          <w:lang w:eastAsia="bg-BG"/>
        </w:rPr>
        <w:t>Захарен диабет</w:t>
      </w:r>
    </w:p>
    <w:p w14:paraId="5D2689C9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Някои доказателства предполагат, че стативите като клас повишават кръвната глюкоза и при някои пациенти, високорискови за развитие на диабет в бъдеще, могат да доведат до такова ниво на хипергликемия, при което е подходящо прилагането на редовната грижа, провеждана при диабет. Този риск, обаче се надделява от редукцията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васкуларния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риск със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статини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 следователно не трябва да бъде причина за спиране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статиновата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терапия. Рисковите пациенти (глюкоза на гладно 5,6 до 6,9 </w:t>
      </w:r>
      <w:proofErr w:type="spellStart"/>
      <w:r w:rsidRPr="002A1E1A">
        <w:rPr>
          <w:rFonts w:eastAsia="Times New Roman" w:cs="Arial"/>
          <w:color w:val="000000"/>
        </w:rPr>
        <w:t>mmol</w:t>
      </w:r>
      <w:proofErr w:type="spellEnd"/>
      <w:r w:rsidRPr="002A1E1A">
        <w:rPr>
          <w:rFonts w:eastAsia="Times New Roman" w:cs="Arial"/>
          <w:color w:val="000000"/>
        </w:rPr>
        <w:t xml:space="preserve">/1, </w:t>
      </w:r>
      <w:r w:rsidRPr="002A1E1A">
        <w:rPr>
          <w:rFonts w:eastAsia="Times New Roman" w:cs="Arial"/>
          <w:color w:val="000000"/>
          <w:lang w:eastAsia="bg-BG"/>
        </w:rPr>
        <w:t xml:space="preserve">индекс на телесна маса &gt;30 </w:t>
      </w:r>
      <w:proofErr w:type="spellStart"/>
      <w:r w:rsidRPr="002A1E1A">
        <w:rPr>
          <w:rFonts w:eastAsia="Times New Roman" w:cs="Arial"/>
          <w:color w:val="000000"/>
        </w:rPr>
        <w:t>kg</w:t>
      </w:r>
      <w:proofErr w:type="spellEnd"/>
      <w:r w:rsidRPr="002A1E1A">
        <w:rPr>
          <w:rFonts w:eastAsia="Times New Roman" w:cs="Arial"/>
          <w:color w:val="000000"/>
        </w:rPr>
        <w:t>/m</w:t>
      </w:r>
      <w:r w:rsidRPr="002A1E1A">
        <w:rPr>
          <w:rFonts w:eastAsia="Times New Roman" w:cs="Arial"/>
          <w:color w:val="000000"/>
          <w:vertAlign w:val="superscript"/>
        </w:rPr>
        <w:t>2</w:t>
      </w:r>
      <w:r w:rsidRPr="002A1E1A">
        <w:rPr>
          <w:rFonts w:eastAsia="Times New Roman" w:cs="Arial"/>
          <w:color w:val="000000"/>
        </w:rPr>
        <w:t xml:space="preserve">, </w:t>
      </w:r>
      <w:r w:rsidRPr="002A1E1A">
        <w:rPr>
          <w:rFonts w:eastAsia="Times New Roman" w:cs="Arial"/>
          <w:color w:val="000000"/>
          <w:lang w:eastAsia="bg-BG"/>
        </w:rPr>
        <w:t xml:space="preserve">повишени стойности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триглицеридите</w:t>
      </w:r>
      <w:proofErr w:type="spellEnd"/>
      <w:r w:rsidRPr="002A1E1A">
        <w:rPr>
          <w:rFonts w:eastAsia="Times New Roman" w:cs="Arial"/>
          <w:color w:val="000000"/>
          <w:lang w:eastAsia="bg-BG"/>
        </w:rPr>
        <w:t>, хипертония) трябва да се проследяват както клинично, така и биохимично, съгласно националните ръководства.</w:t>
      </w:r>
    </w:p>
    <w:p w14:paraId="02A6C77D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80B924" w14:textId="79490DE3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В проучването </w:t>
      </w:r>
      <w:r w:rsidRPr="002A1E1A">
        <w:rPr>
          <w:rFonts w:eastAsia="Times New Roman" w:cs="Arial"/>
          <w:color w:val="000000"/>
        </w:rPr>
        <w:t xml:space="preserve">JUPITER, </w:t>
      </w:r>
      <w:r w:rsidRPr="002A1E1A">
        <w:rPr>
          <w:rFonts w:eastAsia="Times New Roman" w:cs="Arial"/>
          <w:color w:val="000000"/>
          <w:lang w:eastAsia="bg-BG"/>
        </w:rPr>
        <w:t xml:space="preserve">съобщената обща честота на захарен диабет е 2,8% за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 2,3% за плацебо, главно при пациенти с глюкоза на гладно 5,6 до 6,9 </w:t>
      </w:r>
      <w:proofErr w:type="spellStart"/>
      <w:r w:rsidRPr="002A1E1A">
        <w:rPr>
          <w:rFonts w:eastAsia="Times New Roman" w:cs="Arial"/>
          <w:color w:val="000000"/>
        </w:rPr>
        <w:t>mmol</w:t>
      </w:r>
      <w:proofErr w:type="spellEnd"/>
      <w:r w:rsidRPr="002A1E1A">
        <w:rPr>
          <w:rFonts w:eastAsia="Times New Roman" w:cs="Arial"/>
          <w:color w:val="000000"/>
        </w:rPr>
        <w:t>/1.</w:t>
      </w:r>
    </w:p>
    <w:p w14:paraId="164BE97D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74B5ABE" w14:textId="7B76C40C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u w:val="single"/>
          <w:lang w:eastAsia="bg-BG"/>
        </w:rPr>
        <w:t>Тежки кожни нежелани реакции</w:t>
      </w:r>
    </w:p>
    <w:p w14:paraId="10E4FB80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При лечение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се съобщава за тежки кожни нежелани реакции, включващи синдром на </w:t>
      </w:r>
      <w:proofErr w:type="spellStart"/>
      <w:r w:rsidRPr="002A1E1A">
        <w:rPr>
          <w:rFonts w:eastAsia="Times New Roman" w:cs="Arial"/>
          <w:color w:val="000000"/>
        </w:rPr>
        <w:t>Stevens</w:t>
      </w:r>
      <w:proofErr w:type="spellEnd"/>
      <w:r w:rsidRPr="002A1E1A">
        <w:rPr>
          <w:rFonts w:eastAsia="Times New Roman" w:cs="Arial"/>
          <w:color w:val="000000"/>
        </w:rPr>
        <w:t xml:space="preserve"> Johnson (SJS) </w:t>
      </w:r>
      <w:r w:rsidRPr="002A1E1A">
        <w:rPr>
          <w:rFonts w:eastAsia="Times New Roman" w:cs="Arial"/>
          <w:color w:val="000000"/>
          <w:lang w:eastAsia="bg-BG"/>
        </w:rPr>
        <w:t xml:space="preserve">и лекарствена реакция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еозинофилия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 системни симптоми </w:t>
      </w:r>
      <w:r w:rsidRPr="002A1E1A">
        <w:rPr>
          <w:rFonts w:eastAsia="Times New Roman" w:cs="Arial"/>
          <w:color w:val="000000"/>
        </w:rPr>
        <w:t xml:space="preserve">(DRESS), </w:t>
      </w:r>
      <w:r w:rsidRPr="002A1E1A">
        <w:rPr>
          <w:rFonts w:eastAsia="Times New Roman" w:cs="Arial"/>
          <w:color w:val="000000"/>
          <w:lang w:eastAsia="bg-BG"/>
        </w:rPr>
        <w:t>които може да са животозастрашаващи или с летален изход. При предписването на лекарствения продукт пациентите трябва да бъдат информирани за признаците и симптомите на тежки кожни реакции и да бъдат наблюдавани с повишено внимание. Ако се появят признаци и симптоми, показателни за тази реакция, приложението на лекарствения продукт трябва незабавно да се преустанови и да се обмисли алтернативно лечение.</w:t>
      </w:r>
    </w:p>
    <w:p w14:paraId="3B911420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Ако пациентът е развил сериозна реакция, като например </w:t>
      </w:r>
      <w:r w:rsidRPr="002A1E1A">
        <w:rPr>
          <w:rFonts w:eastAsia="Times New Roman" w:cs="Arial"/>
          <w:color w:val="000000"/>
        </w:rPr>
        <w:t xml:space="preserve">SJS </w:t>
      </w:r>
      <w:r w:rsidRPr="002A1E1A">
        <w:rPr>
          <w:rFonts w:eastAsia="Times New Roman" w:cs="Arial"/>
          <w:color w:val="000000"/>
          <w:lang w:eastAsia="bg-BG"/>
        </w:rPr>
        <w:t xml:space="preserve">или </w:t>
      </w:r>
      <w:r w:rsidRPr="002A1E1A">
        <w:rPr>
          <w:rFonts w:eastAsia="Times New Roman" w:cs="Arial"/>
          <w:color w:val="000000"/>
        </w:rPr>
        <w:t xml:space="preserve">DRESS </w:t>
      </w:r>
      <w:r w:rsidRPr="002A1E1A">
        <w:rPr>
          <w:rFonts w:eastAsia="Times New Roman" w:cs="Arial"/>
          <w:color w:val="000000"/>
          <w:lang w:eastAsia="bg-BG"/>
        </w:rPr>
        <w:t xml:space="preserve">при употребата на лекарствения продукт, лечението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не трябва никога да се подновява при този пациент.</w:t>
      </w:r>
    </w:p>
    <w:p w14:paraId="4C69A68E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7BDD30F" w14:textId="533FAA00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5856D292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Оценяването на линейното израстване (височина), тегло, </w:t>
      </w:r>
      <w:r w:rsidRPr="002A1E1A">
        <w:rPr>
          <w:rFonts w:eastAsia="Times New Roman" w:cs="Arial"/>
          <w:color w:val="000000"/>
        </w:rPr>
        <w:t xml:space="preserve">BMI </w:t>
      </w:r>
      <w:r w:rsidRPr="002A1E1A">
        <w:rPr>
          <w:rFonts w:eastAsia="Times New Roman" w:cs="Arial"/>
          <w:color w:val="000000"/>
          <w:lang w:eastAsia="bg-BG"/>
        </w:rPr>
        <w:t xml:space="preserve">(индекс на телесната маса) и вторичните полови белези на половото съзряване по скалата на </w:t>
      </w:r>
      <w:proofErr w:type="spellStart"/>
      <w:r w:rsidRPr="002A1E1A">
        <w:rPr>
          <w:rFonts w:eastAsia="Times New Roman" w:cs="Arial"/>
          <w:color w:val="000000"/>
        </w:rPr>
        <w:t>Tanner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 xml:space="preserve">при педиатрични пациенти на възраст 6 до 17 години, приемащи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е ограничено до двугодишен период. След две години на третиране по време на проучването, не е забелязан никакъв ефект върху растежа, теглото, </w:t>
      </w:r>
      <w:r w:rsidRPr="002A1E1A">
        <w:rPr>
          <w:rFonts w:eastAsia="Times New Roman" w:cs="Arial"/>
          <w:color w:val="000000"/>
        </w:rPr>
        <w:t xml:space="preserve">BMI </w:t>
      </w:r>
      <w:r w:rsidRPr="002A1E1A">
        <w:rPr>
          <w:rFonts w:eastAsia="Times New Roman" w:cs="Arial"/>
          <w:color w:val="000000"/>
          <w:lang w:eastAsia="bg-BG"/>
        </w:rPr>
        <w:t>или половото съзряване (вж. точка 5.1).</w:t>
      </w:r>
    </w:p>
    <w:p w14:paraId="61FE4258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5D90901" w14:textId="0C277D4A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lastRenderedPageBreak/>
        <w:t xml:space="preserve">В клинично проучване на деца и юноши, приемащи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за 52 седмици, повишаване на СК &gt; 1 </w:t>
      </w:r>
      <w:proofErr w:type="spellStart"/>
      <w:r w:rsidRPr="002A1E1A">
        <w:rPr>
          <w:rFonts w:eastAsia="Times New Roman" w:cs="Arial"/>
          <w:color w:val="000000"/>
        </w:rPr>
        <w:t>OxULN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>и мускулните симптоми след упражнение или повишена физическа активност са наблюдавани по-често в сравнение с наблюдения от клинични проучвания при възрастни (вж. точка 4.8).</w:t>
      </w:r>
    </w:p>
    <w:p w14:paraId="36FC863E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23B164C" w14:textId="7244083A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u w:val="single"/>
          <w:lang w:eastAsia="bg-BG"/>
        </w:rPr>
        <w:t>Помощни вещества</w:t>
      </w:r>
    </w:p>
    <w:p w14:paraId="6FD33E85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>Този лекарствен продукт съдържа лактоза.</w:t>
      </w:r>
    </w:p>
    <w:p w14:paraId="61408F70" w14:textId="10B6C50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2A1E1A">
        <w:rPr>
          <w:rFonts w:eastAsia="Times New Roman" w:cs="Arial"/>
          <w:color w:val="000000"/>
          <w:lang w:eastAsia="bg-BG"/>
        </w:rPr>
        <w:t xml:space="preserve">Пациенти с редки наследствени проблеми на непоносимост към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галактоза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пълен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лактазен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дефицит или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глюкозо-галактозна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малабсорбция не трябва да приемат този лекарствен продукт.</w:t>
      </w:r>
    </w:p>
    <w:p w14:paraId="4EB1627A" w14:textId="77777777" w:rsidR="00844B11" w:rsidRPr="002A1E1A" w:rsidRDefault="00844B11" w:rsidP="00844B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DED1E" w14:textId="5E45C56B" w:rsidR="004F498A" w:rsidRPr="002A1E1A" w:rsidRDefault="002C50EE" w:rsidP="004A448E">
      <w:pPr>
        <w:pStyle w:val="Heading2"/>
      </w:pPr>
      <w:r w:rsidRPr="002A1E1A">
        <w:t>4.5. Взаимодействие с други лекарствени продукти и други форми на</w:t>
      </w:r>
      <w:r w:rsidR="004F1CE7" w:rsidRPr="002A1E1A">
        <w:t xml:space="preserve"> взаимодействие</w:t>
      </w:r>
      <w:r w:rsidRPr="002A1E1A">
        <w:t xml:space="preserve"> </w:t>
      </w:r>
    </w:p>
    <w:p w14:paraId="35B3883E" w14:textId="437E7B5B" w:rsidR="00844B11" w:rsidRPr="002A1E1A" w:rsidRDefault="00844B11" w:rsidP="00844B11"/>
    <w:p w14:paraId="12D44156" w14:textId="77777777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b/>
          <w:bCs/>
          <w:i/>
          <w:iCs/>
          <w:color w:val="000000"/>
          <w:szCs w:val="20"/>
          <w:lang w:eastAsia="bg-BG"/>
        </w:rPr>
        <w:t xml:space="preserve">Ефект на едновременно приложени лекарствени продукти върху </w:t>
      </w:r>
      <w:proofErr w:type="spellStart"/>
      <w:r w:rsidRPr="002A1E1A">
        <w:rPr>
          <w:rFonts w:eastAsia="Times New Roman" w:cs="Arial"/>
          <w:b/>
          <w:bCs/>
          <w:i/>
          <w:iCs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b/>
          <w:bCs/>
          <w:i/>
          <w:iCs/>
          <w:color w:val="000000"/>
          <w:szCs w:val="20"/>
          <w:lang w:eastAsia="bg-BG"/>
        </w:rPr>
        <w:t xml:space="preserve"> </w:t>
      </w: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Инхибитори на </w:t>
      </w:r>
      <w:proofErr w:type="spellStart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транспортерните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 протеини: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 субстрат на определени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транспортерни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протеини, включително чернодробния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ъптейк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транспортер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ОАТР1В1 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ефлукс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транспортера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</w:t>
      </w:r>
      <w:r w:rsidRPr="002A1E1A">
        <w:rPr>
          <w:rFonts w:eastAsia="Times New Roman" w:cs="Arial"/>
          <w:color w:val="000000"/>
          <w:szCs w:val="20"/>
        </w:rPr>
        <w:t xml:space="preserve">BCRP.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Едновременното приложение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 лекарствени продукти, които са инхибитори на тези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транспортерни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протеини, може да доведе до повишаване на плазмената концентрация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повишен риск от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миопатия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(вж. таблица 1 и точки 4.2,4.4 и 4.5).</w:t>
      </w:r>
    </w:p>
    <w:p w14:paraId="4095672B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73DB44CC" w14:textId="7A022D6B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Циклоспорин: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При едновременното приложение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 циклоспорин, средните стойности на </w:t>
      </w:r>
      <w:r w:rsidRPr="002A1E1A">
        <w:rPr>
          <w:rFonts w:eastAsia="Times New Roman" w:cs="Arial"/>
          <w:color w:val="000000"/>
          <w:szCs w:val="20"/>
        </w:rPr>
        <w:t xml:space="preserve">AUC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са били средно 7 пъти по-високи от тези, наблюдавани при здрави доброволци, на които е приложена същата доза (вж. таблица 1).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 противопоказан при пациенти, които едновременно получават циклоспорин (вж. точка 4.3). Едновременното приложение не е повлияло плазмените концентрации на циклоспорин.</w:t>
      </w:r>
    </w:p>
    <w:p w14:paraId="2A6A953B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3DEB4E08" w14:textId="3EA3BBDB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Протеазни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 инхибитори: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Въпреки че точният механизъм на взаимодействие не е известен, едновременното приложение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протеазни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инхибитори може рязко да повиши експозицията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(вж. таблица 1). Например, едновременното приложение на 10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комбиниран продукт, състоящ се от два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протеазни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инхибитори (300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атазанавир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/100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ритонавир) по време на едно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фармакокинетично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проучване при здрави доброволци, се асоциира с приблизително трикратно нарастване на </w:t>
      </w:r>
      <w:r w:rsidRPr="002A1E1A">
        <w:rPr>
          <w:rFonts w:eastAsia="Times New Roman" w:cs="Arial"/>
          <w:color w:val="000000"/>
          <w:szCs w:val="20"/>
        </w:rPr>
        <w:t xml:space="preserve">AUC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. Едновременното приложение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някои комбинации от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протеазни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инхибитори може да се има предвид след внимателно преценяване на корекциите на дозата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на база очакваното повишение на експозицията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(таблица 1 и точки 4.2,4.4 и 4.5).</w:t>
      </w:r>
    </w:p>
    <w:p w14:paraId="4EA48A81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071D4F91" w14:textId="55EBB5A6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Гемфиброзил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 и други </w:t>
      </w:r>
      <w:proofErr w:type="spellStart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липндопоиижаващи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 продукти: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Едновременното приложение-на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гемфиброзил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 довело до двукратно повишение на </w:t>
      </w:r>
      <w:proofErr w:type="spellStart"/>
      <w:r w:rsidRPr="002A1E1A">
        <w:rPr>
          <w:rFonts w:eastAsia="Times New Roman" w:cs="Arial"/>
          <w:color w:val="000000"/>
          <w:szCs w:val="20"/>
        </w:rPr>
        <w:t>Cmax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</w:t>
      </w:r>
      <w:r w:rsidRPr="002A1E1A">
        <w:rPr>
          <w:rFonts w:eastAsia="Times New Roman" w:cs="Arial"/>
          <w:color w:val="000000"/>
          <w:szCs w:val="20"/>
        </w:rPr>
        <w:t xml:space="preserve">AUC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вж.точка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4.4). Данните от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фармакокинетичните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проучвания, изследващи лекарствените взаимодействия, не показват взаимодействие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феиофибрат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но е възможна поява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фармакодинамични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взаимодействия.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Гемфиброзил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фенофибрат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останалите медикаменти от групата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фибратите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липидопонижаващите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дози (в дози &gt;1 </w:t>
      </w:r>
      <w:r w:rsidRPr="002A1E1A">
        <w:rPr>
          <w:rFonts w:eastAsia="Times New Roman" w:cs="Arial"/>
          <w:color w:val="000000"/>
          <w:szCs w:val="20"/>
        </w:rPr>
        <w:t xml:space="preserve">g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на ден),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ниацин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(никотинова киселина), повишават риска от поява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миопатия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при комбиниране с инхибитори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хидрокси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- метил-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глутарил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-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коензим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редуктазата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най-вероятно поради факта, че последните могат да предизвикат появата на това усложнение и при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монотерапия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. Дозата от 40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е противопоказана при едновременен прием на </w:t>
      </w:r>
      <w:r w:rsidRPr="002A1E1A">
        <w:rPr>
          <w:rFonts w:eastAsia="Times New Roman" w:cs="Arial"/>
          <w:color w:val="000000"/>
          <w:szCs w:val="20"/>
          <w:lang w:eastAsia="bg-BG"/>
        </w:rPr>
        <w:lastRenderedPageBreak/>
        <w:t xml:space="preserve">фибрата (вж. точка 4.3 и точка 4.4). При тези пациенти лечението също трябва да започне с 5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>.</w:t>
      </w:r>
    </w:p>
    <w:p w14:paraId="6BE15982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0A822C2B" w14:textId="1962519B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Езетимиб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Едновременното използване на 40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10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езетимиб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не води до промени в </w:t>
      </w:r>
      <w:r w:rsidRPr="002A1E1A">
        <w:rPr>
          <w:rFonts w:eastAsia="Times New Roman" w:cs="Arial"/>
          <w:color w:val="000000"/>
          <w:szCs w:val="20"/>
        </w:rPr>
        <w:t xml:space="preserve">AUC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 на двата продукта, когато се прилагат при здрави доброволци. Има 1,2 пъти повишение на </w:t>
      </w:r>
      <w:r w:rsidRPr="002A1E1A">
        <w:rPr>
          <w:rFonts w:eastAsia="Times New Roman" w:cs="Arial"/>
          <w:color w:val="000000"/>
          <w:szCs w:val="20"/>
        </w:rPr>
        <w:t xml:space="preserve">AUC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когато 10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10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езетимиб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са приложени при пациенти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хиперхолестеролемия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(таблица 1). Не може да се изключи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фармакодинамично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взаимодействие между тях, което да има за резултат нежелани реакции (вж. точка 4.4).</w:t>
      </w:r>
    </w:p>
    <w:p w14:paraId="401531A0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720E6869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3EE533D4" w14:textId="081D95F4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Антиациди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Едновременното приложение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антиацидна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суспензия, съдържаща алуминиев и магнезиев хидроксид, е довело до намаляване на плазмената концентрация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 приблизително </w:t>
      </w:r>
      <w:r w:rsidRPr="002A1E1A">
        <w:rPr>
          <w:rFonts w:eastAsia="Times New Roman" w:cs="Arial"/>
          <w:i/>
          <w:iCs/>
          <w:color w:val="000000"/>
          <w:szCs w:val="20"/>
          <w:lang w:eastAsia="bg-BG"/>
        </w:rPr>
        <w:t>50%.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 Този ефект е бил отслабен, когато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антиацидите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са давани 2 часа след приема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. Клиничното значение на това взаимодействие не е изследвано.</w:t>
      </w:r>
    </w:p>
    <w:p w14:paraId="664F1AD0" w14:textId="2DC87BE2" w:rsidR="00844B11" w:rsidRPr="002A1E1A" w:rsidRDefault="00844B11" w:rsidP="00844B11">
      <w:pPr>
        <w:rPr>
          <w:rFonts w:cs="Arial"/>
          <w:sz w:val="24"/>
        </w:rPr>
      </w:pPr>
    </w:p>
    <w:p w14:paraId="60111D4D" w14:textId="77777777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Еритромицин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Едновременният прием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еритромицин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 довел до 20% намаление на </w:t>
      </w:r>
      <w:r w:rsidRPr="002A1E1A">
        <w:rPr>
          <w:rFonts w:eastAsia="Times New Roman" w:cs="Arial"/>
          <w:color w:val="000000"/>
          <w:szCs w:val="20"/>
        </w:rPr>
        <w:t xml:space="preserve">AUC (0-t)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 30% намаление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С</w:t>
      </w:r>
      <w:r w:rsidRPr="002A1E1A">
        <w:rPr>
          <w:rFonts w:eastAsia="Times New Roman" w:cs="Arial"/>
          <w:color w:val="000000"/>
          <w:szCs w:val="20"/>
        </w:rPr>
        <w:t>max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. Взаимодействието може да е предизвикано от повишения чревен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мотилитет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вследствие на приема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еритромицин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.</w:t>
      </w:r>
    </w:p>
    <w:p w14:paraId="59003C15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0B9DEBEB" w14:textId="3921993B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Ензими от системата на </w:t>
      </w:r>
      <w:proofErr w:type="spellStart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цитохром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 Р450: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Данните от </w:t>
      </w:r>
      <w:proofErr w:type="spellStart"/>
      <w:r w:rsidRPr="002A1E1A">
        <w:rPr>
          <w:rFonts w:eastAsia="Times New Roman" w:cs="Arial"/>
          <w:i/>
          <w:iCs/>
          <w:color w:val="000000"/>
          <w:szCs w:val="20"/>
        </w:rPr>
        <w:t>in</w:t>
      </w:r>
      <w:proofErr w:type="spellEnd"/>
      <w:r w:rsidRPr="002A1E1A">
        <w:rPr>
          <w:rFonts w:eastAsia="Times New Roman" w:cs="Arial"/>
          <w:i/>
          <w:iCs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i/>
          <w:iCs/>
          <w:color w:val="000000"/>
          <w:szCs w:val="20"/>
        </w:rPr>
        <w:t>vitro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 </w:t>
      </w:r>
      <w:proofErr w:type="spellStart"/>
      <w:r w:rsidRPr="002A1E1A">
        <w:rPr>
          <w:rFonts w:eastAsia="Times New Roman" w:cs="Arial"/>
          <w:i/>
          <w:iCs/>
          <w:color w:val="000000"/>
          <w:szCs w:val="20"/>
        </w:rPr>
        <w:t>in</w:t>
      </w:r>
      <w:proofErr w:type="spellEnd"/>
      <w:r w:rsidRPr="002A1E1A">
        <w:rPr>
          <w:rFonts w:eastAsia="Times New Roman" w:cs="Arial"/>
          <w:i/>
          <w:iCs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i/>
          <w:iCs/>
          <w:color w:val="000000"/>
          <w:szCs w:val="20"/>
        </w:rPr>
        <w:t>vivo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проучвания показват, че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не е нито инхибитор, нито индуктор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цитохром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Р450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изоензимите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.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 слаб субстрат за тези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изоензими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. Следователно, лекарствени взаимодействия резултат от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цитохром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Р450-медиирания метаболизъм не се очакват. Не са наблюдавани клинично значими взаимодействия между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флуконазол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(инхибитор на </w:t>
      </w:r>
      <w:r w:rsidRPr="002A1E1A">
        <w:rPr>
          <w:rFonts w:eastAsia="Times New Roman" w:cs="Arial"/>
          <w:color w:val="000000"/>
          <w:szCs w:val="20"/>
        </w:rPr>
        <w:t xml:space="preserve">CYP2C9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2A1E1A">
        <w:rPr>
          <w:rFonts w:eastAsia="Times New Roman" w:cs="Arial"/>
          <w:color w:val="000000"/>
          <w:szCs w:val="20"/>
        </w:rPr>
        <w:t xml:space="preserve">CYP3A4)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или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кетоконазол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(инхибитор на </w:t>
      </w:r>
      <w:r w:rsidRPr="002A1E1A">
        <w:rPr>
          <w:rFonts w:eastAsia="Times New Roman" w:cs="Arial"/>
          <w:color w:val="000000"/>
          <w:szCs w:val="20"/>
        </w:rPr>
        <w:t xml:space="preserve">CYP2A6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2A1E1A">
        <w:rPr>
          <w:rFonts w:eastAsia="Times New Roman" w:cs="Arial"/>
          <w:color w:val="000000"/>
          <w:szCs w:val="20"/>
        </w:rPr>
        <w:t xml:space="preserve">CYP3A4).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Едновременният прием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итраконазол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(инхибитор на </w:t>
      </w:r>
      <w:r w:rsidRPr="002A1E1A">
        <w:rPr>
          <w:rFonts w:eastAsia="Times New Roman" w:cs="Arial"/>
          <w:color w:val="000000"/>
          <w:szCs w:val="20"/>
        </w:rPr>
        <w:t xml:space="preserve">CYP3A4)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води до 28% увеличение на </w:t>
      </w:r>
      <w:r w:rsidRPr="002A1E1A">
        <w:rPr>
          <w:rFonts w:eastAsia="Times New Roman" w:cs="Arial"/>
          <w:color w:val="000000"/>
          <w:szCs w:val="20"/>
        </w:rPr>
        <w:t xml:space="preserve">AUC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. Това малко увеличение не е клинично значимо. По тази причина лекарствени взаимодействия в следствие на метаболизъм,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медииран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от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цитохром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Р450, не се очакват.</w:t>
      </w:r>
    </w:p>
    <w:p w14:paraId="21BF26B5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44703AC9" w14:textId="790DCEB0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Взаимодействия, конто изискват корекция на дозата на </w:t>
      </w:r>
      <w:proofErr w:type="spellStart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 (вж. също таблица 1):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Когато е необходимо да се прилага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едновременно с други лекарствени продукти, за които е известно, че повишават експозицията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дозите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трябва да се коригират. Започва се с доза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от 5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веднъж дневно, ако очакваното повишение на експозицията </w:t>
      </w:r>
      <w:r w:rsidRPr="002A1E1A">
        <w:rPr>
          <w:rFonts w:eastAsia="Times New Roman" w:cs="Arial"/>
          <w:color w:val="000000"/>
          <w:szCs w:val="20"/>
        </w:rPr>
        <w:t xml:space="preserve">(AUC) </w:t>
      </w:r>
      <w:r w:rsidRPr="002A1E1A">
        <w:rPr>
          <w:rFonts w:eastAsia="Times New Roman" w:cs="Arial"/>
          <w:color w:val="000000"/>
          <w:szCs w:val="20"/>
          <w:lang w:eastAsia="bg-BG"/>
        </w:rPr>
        <w:t>е приблизително двукратно или по-голямо. Максималната дневна доза</w:t>
      </w:r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трябва да</w:t>
      </w:r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се коригира така, че очакваната експозиция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няма вероятност да надвиши тази на 40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дневна доза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приет без взаимодействащи лекарствени продукти, напр. доза от 20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гемфиброзил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(1,9 пъти повишение) и доза от 10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 комбинация ритонавир/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атазанавир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(3,1 пъти повишение).</w:t>
      </w:r>
    </w:p>
    <w:p w14:paraId="5C244D88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208C1580" w14:textId="67593399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  <w:u w:val="single"/>
          <w:lang w:eastAsia="bg-BG"/>
        </w:rPr>
      </w:pP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Таблица 1. Ефект на едновременно прилаган лекарствен продукт върху експозицията на </w:t>
      </w:r>
      <w:proofErr w:type="spellStart"/>
      <w:r w:rsidRPr="002A1E1A">
        <w:rPr>
          <w:rFonts w:eastAsia="Times New Roman" w:cs="Arial"/>
          <w:b/>
          <w:bCs/>
          <w:color w:val="000000"/>
          <w:szCs w:val="20"/>
          <w:u w:val="single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  <w:u w:val="single"/>
          <w:lang w:eastAsia="bg-BG"/>
        </w:rPr>
        <w:t xml:space="preserve"> </w:t>
      </w:r>
      <w:r w:rsidRPr="002A1E1A">
        <w:rPr>
          <w:rFonts w:eastAsia="Times New Roman" w:cs="Arial"/>
          <w:b/>
          <w:bCs/>
          <w:color w:val="000000"/>
          <w:szCs w:val="20"/>
          <w:u w:val="single"/>
        </w:rPr>
        <w:t xml:space="preserve">(AUC, </w:t>
      </w:r>
      <w:r w:rsidRPr="002A1E1A">
        <w:rPr>
          <w:rFonts w:eastAsia="Times New Roman" w:cs="Arial"/>
          <w:b/>
          <w:bCs/>
          <w:color w:val="000000"/>
          <w:szCs w:val="20"/>
          <w:u w:val="single"/>
          <w:lang w:eastAsia="bg-BG"/>
        </w:rPr>
        <w:t>в низходящ ред) от публикувани клинични проучвания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7"/>
        <w:gridCol w:w="3099"/>
        <w:gridCol w:w="3104"/>
      </w:tblGrid>
      <w:tr w:rsidR="00844B11" w:rsidRPr="002A1E1A" w14:paraId="5466FDB9" w14:textId="77777777" w:rsidTr="00844B11">
        <w:tc>
          <w:tcPr>
            <w:tcW w:w="3192" w:type="dxa"/>
          </w:tcPr>
          <w:p w14:paraId="73D702B0" w14:textId="44959DAE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b/>
                <w:bCs/>
                <w:szCs w:val="20"/>
              </w:rPr>
              <w:t>Дозов</w:t>
            </w:r>
            <w:proofErr w:type="spellEnd"/>
            <w:r w:rsidRPr="002A1E1A">
              <w:rPr>
                <w:b/>
                <w:bCs/>
                <w:szCs w:val="20"/>
              </w:rPr>
              <w:t xml:space="preserve"> режим на взаимодействащото лекарство</w:t>
            </w:r>
          </w:p>
        </w:tc>
        <w:tc>
          <w:tcPr>
            <w:tcW w:w="3192" w:type="dxa"/>
          </w:tcPr>
          <w:p w14:paraId="3ACEEE68" w14:textId="77777777" w:rsidR="00844B11" w:rsidRPr="002A1E1A" w:rsidRDefault="00844B11" w:rsidP="00844B11">
            <w:proofErr w:type="spellStart"/>
            <w:r w:rsidRPr="002A1E1A">
              <w:rPr>
                <w:b/>
                <w:bCs/>
                <w:szCs w:val="20"/>
              </w:rPr>
              <w:t>Дозов</w:t>
            </w:r>
            <w:proofErr w:type="spellEnd"/>
            <w:r w:rsidRPr="002A1E1A">
              <w:rPr>
                <w:b/>
                <w:bCs/>
                <w:szCs w:val="20"/>
              </w:rPr>
              <w:tab/>
              <w:t>режим</w:t>
            </w:r>
            <w:r w:rsidRPr="002A1E1A">
              <w:rPr>
                <w:b/>
                <w:bCs/>
                <w:szCs w:val="20"/>
              </w:rPr>
              <w:tab/>
              <w:t>на</w:t>
            </w:r>
          </w:p>
          <w:p w14:paraId="1A8F12CD" w14:textId="2F9CEF96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b/>
                <w:bCs/>
                <w:szCs w:val="20"/>
              </w:rPr>
              <w:t>розувастатин</w:t>
            </w:r>
            <w:proofErr w:type="spellEnd"/>
          </w:p>
        </w:tc>
        <w:tc>
          <w:tcPr>
            <w:tcW w:w="3192" w:type="dxa"/>
          </w:tcPr>
          <w:p w14:paraId="7DD0F57F" w14:textId="32A0253C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b/>
                <w:bCs/>
                <w:szCs w:val="20"/>
              </w:rPr>
              <w:t xml:space="preserve">промяна в AUC на </w:t>
            </w:r>
            <w:proofErr w:type="spellStart"/>
            <w:r w:rsidRPr="002A1E1A">
              <w:rPr>
                <w:b/>
                <w:bCs/>
                <w:szCs w:val="20"/>
              </w:rPr>
              <w:t>розувастатин</w:t>
            </w:r>
            <w:proofErr w:type="spellEnd"/>
            <w:r w:rsidRPr="002A1E1A">
              <w:rPr>
                <w:b/>
                <w:bCs/>
                <w:szCs w:val="20"/>
              </w:rPr>
              <w:t>*</w:t>
            </w:r>
          </w:p>
        </w:tc>
      </w:tr>
      <w:tr w:rsidR="00844B11" w:rsidRPr="002A1E1A" w14:paraId="78328987" w14:textId="77777777" w:rsidTr="00844B11">
        <w:tc>
          <w:tcPr>
            <w:tcW w:w="3192" w:type="dxa"/>
          </w:tcPr>
          <w:p w14:paraId="0E209454" w14:textId="44C13D2C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lastRenderedPageBreak/>
              <w:t xml:space="preserve">Циклоспорин 75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 два пъти на ден до 200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 два пъти на ден, 6 месеца</w:t>
            </w:r>
          </w:p>
        </w:tc>
        <w:tc>
          <w:tcPr>
            <w:tcW w:w="3192" w:type="dxa"/>
          </w:tcPr>
          <w:p w14:paraId="12E70022" w14:textId="44549AAC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10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 веднъж дневно, 10 дни</w:t>
            </w:r>
          </w:p>
        </w:tc>
        <w:tc>
          <w:tcPr>
            <w:tcW w:w="3192" w:type="dxa"/>
          </w:tcPr>
          <w:p w14:paraId="42FCD2DF" w14:textId="7CBEA294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7,1 пъти ↑</w:t>
            </w:r>
          </w:p>
        </w:tc>
      </w:tr>
      <w:tr w:rsidR="00844B11" w:rsidRPr="002A1E1A" w14:paraId="68FF535D" w14:textId="77777777" w:rsidTr="00844B11">
        <w:tc>
          <w:tcPr>
            <w:tcW w:w="3192" w:type="dxa"/>
          </w:tcPr>
          <w:p w14:paraId="45D2FC0D" w14:textId="38700FC3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szCs w:val="20"/>
              </w:rPr>
              <w:t>Атазанавир</w:t>
            </w:r>
            <w:proofErr w:type="spellEnd"/>
            <w:r w:rsidRPr="002A1E1A">
              <w:rPr>
                <w:szCs w:val="20"/>
              </w:rPr>
              <w:t xml:space="preserve"> 300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/ритонавир 100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 веднъж дневно, 8 дни</w:t>
            </w:r>
          </w:p>
        </w:tc>
        <w:tc>
          <w:tcPr>
            <w:tcW w:w="3192" w:type="dxa"/>
          </w:tcPr>
          <w:p w14:paraId="4A1C49E0" w14:textId="3E197964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10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>, еднократна доза</w:t>
            </w:r>
          </w:p>
        </w:tc>
        <w:tc>
          <w:tcPr>
            <w:tcW w:w="3192" w:type="dxa"/>
          </w:tcPr>
          <w:p w14:paraId="3A4AF755" w14:textId="7252CB1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3,1 пъти ↑</w:t>
            </w:r>
          </w:p>
        </w:tc>
      </w:tr>
      <w:tr w:rsidR="00844B11" w:rsidRPr="002A1E1A" w14:paraId="77799008" w14:textId="77777777" w:rsidTr="00844B11">
        <w:tc>
          <w:tcPr>
            <w:tcW w:w="3192" w:type="dxa"/>
          </w:tcPr>
          <w:p w14:paraId="262E0EAC" w14:textId="6D46226B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szCs w:val="20"/>
              </w:rPr>
              <w:t>Симепревир</w:t>
            </w:r>
            <w:proofErr w:type="spellEnd"/>
            <w:r w:rsidRPr="002A1E1A">
              <w:rPr>
                <w:szCs w:val="20"/>
              </w:rPr>
              <w:t xml:space="preserve"> 150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 веднъж дневно, 7 дни</w:t>
            </w:r>
          </w:p>
        </w:tc>
        <w:tc>
          <w:tcPr>
            <w:tcW w:w="3192" w:type="dxa"/>
          </w:tcPr>
          <w:p w14:paraId="4FF5A7F0" w14:textId="36A366D2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10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>, еднократна доза</w:t>
            </w:r>
          </w:p>
        </w:tc>
        <w:tc>
          <w:tcPr>
            <w:tcW w:w="3192" w:type="dxa"/>
          </w:tcPr>
          <w:p w14:paraId="1E3878A8" w14:textId="35AC5B2F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2,8 пъти ↑</w:t>
            </w:r>
          </w:p>
        </w:tc>
      </w:tr>
      <w:tr w:rsidR="00844B11" w:rsidRPr="002A1E1A" w14:paraId="2C8428B2" w14:textId="77777777" w:rsidTr="00844B11">
        <w:tc>
          <w:tcPr>
            <w:tcW w:w="3192" w:type="dxa"/>
          </w:tcPr>
          <w:p w14:paraId="0D977C4B" w14:textId="3032EC32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Лопинавир 400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/ритонавир 100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 два пъти на ден, 17 дни</w:t>
            </w:r>
          </w:p>
        </w:tc>
        <w:tc>
          <w:tcPr>
            <w:tcW w:w="3192" w:type="dxa"/>
          </w:tcPr>
          <w:p w14:paraId="0788069E" w14:textId="2C9C1700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20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 веднъж дневно, 7 дни</w:t>
            </w:r>
          </w:p>
        </w:tc>
        <w:tc>
          <w:tcPr>
            <w:tcW w:w="3192" w:type="dxa"/>
          </w:tcPr>
          <w:p w14:paraId="087285D0" w14:textId="7B2B36DC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2,1 пъти ↑</w:t>
            </w:r>
          </w:p>
        </w:tc>
      </w:tr>
      <w:tr w:rsidR="00844B11" w:rsidRPr="002A1E1A" w14:paraId="14411AB4" w14:textId="77777777" w:rsidTr="00844B11">
        <w:tc>
          <w:tcPr>
            <w:tcW w:w="3192" w:type="dxa"/>
          </w:tcPr>
          <w:p w14:paraId="651A0DFA" w14:textId="43E48A49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szCs w:val="20"/>
              </w:rPr>
              <w:t>Клопидогрел</w:t>
            </w:r>
            <w:proofErr w:type="spellEnd"/>
            <w:r w:rsidRPr="002A1E1A">
              <w:rPr>
                <w:szCs w:val="20"/>
              </w:rPr>
              <w:t xml:space="preserve"> 300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 натоварваща доза, последвана от доза 75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 на 24-ия час</w:t>
            </w:r>
          </w:p>
        </w:tc>
        <w:tc>
          <w:tcPr>
            <w:tcW w:w="3192" w:type="dxa"/>
          </w:tcPr>
          <w:p w14:paraId="33971D71" w14:textId="3199EFCE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20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>, еднократна доза</w:t>
            </w:r>
          </w:p>
        </w:tc>
        <w:tc>
          <w:tcPr>
            <w:tcW w:w="3192" w:type="dxa"/>
          </w:tcPr>
          <w:p w14:paraId="475147ED" w14:textId="79919124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2-пъти ↑</w:t>
            </w:r>
          </w:p>
        </w:tc>
      </w:tr>
      <w:tr w:rsidR="00844B11" w:rsidRPr="002A1E1A" w14:paraId="0B9F7288" w14:textId="77777777" w:rsidTr="00844B11">
        <w:tc>
          <w:tcPr>
            <w:tcW w:w="3192" w:type="dxa"/>
          </w:tcPr>
          <w:p w14:paraId="20AA296F" w14:textId="607A1414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szCs w:val="20"/>
              </w:rPr>
              <w:t>Гемфиброзил</w:t>
            </w:r>
            <w:proofErr w:type="spellEnd"/>
            <w:r w:rsidRPr="002A1E1A">
              <w:rPr>
                <w:szCs w:val="20"/>
              </w:rPr>
              <w:t xml:space="preserve"> 600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 два пъти на ден, 7 дни</w:t>
            </w:r>
          </w:p>
        </w:tc>
        <w:tc>
          <w:tcPr>
            <w:tcW w:w="3192" w:type="dxa"/>
          </w:tcPr>
          <w:p w14:paraId="3B044A16" w14:textId="466122CD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80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>, еднократна доза</w:t>
            </w:r>
          </w:p>
        </w:tc>
        <w:tc>
          <w:tcPr>
            <w:tcW w:w="3192" w:type="dxa"/>
          </w:tcPr>
          <w:p w14:paraId="2E9B01C3" w14:textId="1780DCA8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1,9 пъти ↑</w:t>
            </w:r>
          </w:p>
        </w:tc>
      </w:tr>
      <w:tr w:rsidR="00844B11" w:rsidRPr="002A1E1A" w14:paraId="5C1055A5" w14:textId="77777777" w:rsidTr="00844B11">
        <w:tc>
          <w:tcPr>
            <w:tcW w:w="3192" w:type="dxa"/>
          </w:tcPr>
          <w:p w14:paraId="7EF972F7" w14:textId="459DC5C3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szCs w:val="20"/>
              </w:rPr>
              <w:t>Елтромбопаг</w:t>
            </w:r>
            <w:proofErr w:type="spellEnd"/>
            <w:r w:rsidRPr="002A1E1A">
              <w:rPr>
                <w:szCs w:val="20"/>
              </w:rPr>
              <w:t xml:space="preserve"> 75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 веднъж дневно, 10 дни</w:t>
            </w:r>
          </w:p>
        </w:tc>
        <w:tc>
          <w:tcPr>
            <w:tcW w:w="3192" w:type="dxa"/>
          </w:tcPr>
          <w:p w14:paraId="42BC6A56" w14:textId="50B8B489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10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>, еднократна доза</w:t>
            </w:r>
          </w:p>
        </w:tc>
        <w:tc>
          <w:tcPr>
            <w:tcW w:w="3192" w:type="dxa"/>
          </w:tcPr>
          <w:p w14:paraId="58F2DEC9" w14:textId="77777777" w:rsidR="00844B11" w:rsidRPr="002A1E1A" w:rsidRDefault="00844B11" w:rsidP="00844B11"/>
          <w:p w14:paraId="514841C7" w14:textId="785997E3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1,6 пъти ↑</w:t>
            </w:r>
          </w:p>
        </w:tc>
      </w:tr>
      <w:tr w:rsidR="00844B11" w:rsidRPr="002A1E1A" w14:paraId="0F393015" w14:textId="77777777" w:rsidTr="00844B11">
        <w:tc>
          <w:tcPr>
            <w:tcW w:w="3192" w:type="dxa"/>
            <w:vAlign w:val="center"/>
          </w:tcPr>
          <w:p w14:paraId="79B2796C" w14:textId="0D2858C6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E1A">
              <w:t>Дарунавир</w:t>
            </w:r>
            <w:proofErr w:type="spellEnd"/>
            <w:r w:rsidRPr="002A1E1A">
              <w:t xml:space="preserve"> 600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/ритонавир 100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два </w:t>
            </w:r>
            <w:proofErr w:type="spellStart"/>
            <w:r w:rsidRPr="002A1E1A">
              <w:t>пъта</w:t>
            </w:r>
            <w:proofErr w:type="spellEnd"/>
            <w:r w:rsidRPr="002A1E1A">
              <w:t xml:space="preserve"> на ден, 7 дни</w:t>
            </w:r>
          </w:p>
        </w:tc>
        <w:tc>
          <w:tcPr>
            <w:tcW w:w="3192" w:type="dxa"/>
            <w:vAlign w:val="center"/>
          </w:tcPr>
          <w:p w14:paraId="4EE9264F" w14:textId="5FE24FD6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 xml:space="preserve">10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веднъж дневно, 7 дни</w:t>
            </w:r>
          </w:p>
        </w:tc>
        <w:tc>
          <w:tcPr>
            <w:tcW w:w="3192" w:type="dxa"/>
            <w:vAlign w:val="center"/>
          </w:tcPr>
          <w:p w14:paraId="616F8B20" w14:textId="081DAF85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>1,5 пъти ↑</w:t>
            </w:r>
          </w:p>
        </w:tc>
      </w:tr>
      <w:tr w:rsidR="00844B11" w:rsidRPr="002A1E1A" w14:paraId="01695B0C" w14:textId="77777777" w:rsidTr="00844B11">
        <w:tc>
          <w:tcPr>
            <w:tcW w:w="3192" w:type="dxa"/>
          </w:tcPr>
          <w:p w14:paraId="75E32E92" w14:textId="77777777" w:rsidR="00844B11" w:rsidRPr="002A1E1A" w:rsidRDefault="00844B11" w:rsidP="00844B11">
            <w:proofErr w:type="spellStart"/>
            <w:r w:rsidRPr="002A1E1A">
              <w:t>Типранавир</w:t>
            </w:r>
            <w:proofErr w:type="spellEnd"/>
            <w:r w:rsidRPr="002A1E1A">
              <w:tab/>
              <w:t>500</w:t>
            </w:r>
            <w:r w:rsidRPr="002A1E1A">
              <w:tab/>
            </w:r>
            <w:proofErr w:type="spellStart"/>
            <w:r w:rsidRPr="002A1E1A">
              <w:t>mg</w:t>
            </w:r>
            <w:proofErr w:type="spellEnd"/>
          </w:p>
          <w:p w14:paraId="1FF646DC" w14:textId="277E8C2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 xml:space="preserve">/ритонавир 200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два пъти на ден, 11 дни</w:t>
            </w:r>
          </w:p>
        </w:tc>
        <w:tc>
          <w:tcPr>
            <w:tcW w:w="3192" w:type="dxa"/>
          </w:tcPr>
          <w:p w14:paraId="4609265C" w14:textId="3CD38A69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 xml:space="preserve">10 </w:t>
            </w:r>
            <w:proofErr w:type="spellStart"/>
            <w:r w:rsidRPr="002A1E1A">
              <w:t>mg</w:t>
            </w:r>
            <w:proofErr w:type="spellEnd"/>
            <w:r w:rsidRPr="002A1E1A">
              <w:t>, еднократна доза</w:t>
            </w:r>
          </w:p>
        </w:tc>
        <w:tc>
          <w:tcPr>
            <w:tcW w:w="3192" w:type="dxa"/>
          </w:tcPr>
          <w:p w14:paraId="6811795A" w14:textId="1A71BA9C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>1,4 пъти ↑</w:t>
            </w:r>
          </w:p>
        </w:tc>
      </w:tr>
      <w:tr w:rsidR="00844B11" w:rsidRPr="002A1E1A" w14:paraId="10150A25" w14:textId="77777777" w:rsidTr="00844B11">
        <w:tc>
          <w:tcPr>
            <w:tcW w:w="3192" w:type="dxa"/>
            <w:vAlign w:val="center"/>
          </w:tcPr>
          <w:p w14:paraId="41D69DAC" w14:textId="1810ABB2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E1A">
              <w:t>Дронедарон</w:t>
            </w:r>
            <w:proofErr w:type="spellEnd"/>
            <w:r w:rsidRPr="002A1E1A">
              <w:t xml:space="preserve"> 400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два пъти на ден</w:t>
            </w:r>
          </w:p>
        </w:tc>
        <w:tc>
          <w:tcPr>
            <w:tcW w:w="3192" w:type="dxa"/>
            <w:vAlign w:val="center"/>
          </w:tcPr>
          <w:p w14:paraId="616B9FCF" w14:textId="529787E8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>Не е налично</w:t>
            </w:r>
          </w:p>
        </w:tc>
        <w:tc>
          <w:tcPr>
            <w:tcW w:w="3192" w:type="dxa"/>
            <w:vAlign w:val="center"/>
          </w:tcPr>
          <w:p w14:paraId="78DEA2B6" w14:textId="1A45AA9F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>1,4 пъти ↑</w:t>
            </w:r>
          </w:p>
        </w:tc>
      </w:tr>
      <w:tr w:rsidR="00844B11" w:rsidRPr="002A1E1A" w14:paraId="7E27FA9F" w14:textId="77777777" w:rsidTr="00844B11">
        <w:tc>
          <w:tcPr>
            <w:tcW w:w="3192" w:type="dxa"/>
          </w:tcPr>
          <w:p w14:paraId="1232E1D2" w14:textId="7DAF5958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E1A">
              <w:t>Итраконазол</w:t>
            </w:r>
            <w:proofErr w:type="spellEnd"/>
            <w:r w:rsidRPr="002A1E1A">
              <w:t xml:space="preserve"> 200 </w:t>
            </w:r>
            <w:proofErr w:type="spellStart"/>
            <w:r w:rsidRPr="002A1E1A">
              <w:t>mg</w:t>
            </w:r>
            <w:proofErr w:type="spellEnd"/>
            <w:r w:rsidRPr="002A1E1A">
              <w:t>, веднъж дневно, 5 дни</w:t>
            </w:r>
          </w:p>
        </w:tc>
        <w:tc>
          <w:tcPr>
            <w:tcW w:w="3192" w:type="dxa"/>
          </w:tcPr>
          <w:p w14:paraId="450DE77E" w14:textId="4B037F0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 xml:space="preserve">10 </w:t>
            </w:r>
            <w:proofErr w:type="spellStart"/>
            <w:r w:rsidRPr="002A1E1A">
              <w:t>mg</w:t>
            </w:r>
            <w:proofErr w:type="spellEnd"/>
            <w:r w:rsidRPr="002A1E1A">
              <w:t>, еднократна доза</w:t>
            </w:r>
          </w:p>
        </w:tc>
        <w:tc>
          <w:tcPr>
            <w:tcW w:w="3192" w:type="dxa"/>
          </w:tcPr>
          <w:p w14:paraId="41769B13" w14:textId="602D0556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>1,4 пъти ↑**</w:t>
            </w:r>
          </w:p>
        </w:tc>
      </w:tr>
      <w:tr w:rsidR="00844B11" w:rsidRPr="002A1E1A" w14:paraId="1707AAA8" w14:textId="77777777" w:rsidTr="00844B11">
        <w:tc>
          <w:tcPr>
            <w:tcW w:w="3192" w:type="dxa"/>
            <w:vAlign w:val="center"/>
          </w:tcPr>
          <w:p w14:paraId="5EC693FB" w14:textId="3A328D42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E1A">
              <w:t>Езетимиб</w:t>
            </w:r>
            <w:proofErr w:type="spellEnd"/>
            <w:r w:rsidRPr="002A1E1A">
              <w:t xml:space="preserve"> 10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веднъж дневно, 14 дни</w:t>
            </w:r>
          </w:p>
        </w:tc>
        <w:tc>
          <w:tcPr>
            <w:tcW w:w="3192" w:type="dxa"/>
            <w:vAlign w:val="center"/>
          </w:tcPr>
          <w:p w14:paraId="0327E585" w14:textId="4061EEB9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 xml:space="preserve">10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веднъж дневно, 14 дни</w:t>
            </w:r>
          </w:p>
        </w:tc>
        <w:tc>
          <w:tcPr>
            <w:tcW w:w="3192" w:type="dxa"/>
            <w:vAlign w:val="center"/>
          </w:tcPr>
          <w:p w14:paraId="2C9CD0EC" w14:textId="08100F92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>1,2 пъти ↑**</w:t>
            </w:r>
          </w:p>
        </w:tc>
      </w:tr>
      <w:tr w:rsidR="00844B11" w:rsidRPr="002A1E1A" w14:paraId="08D9D488" w14:textId="77777777" w:rsidTr="00844B11">
        <w:tc>
          <w:tcPr>
            <w:tcW w:w="3192" w:type="dxa"/>
            <w:vAlign w:val="bottom"/>
          </w:tcPr>
          <w:p w14:paraId="6B31F7C7" w14:textId="77777777" w:rsidR="00844B11" w:rsidRPr="002A1E1A" w:rsidRDefault="00844B11" w:rsidP="00844B11">
            <w:proofErr w:type="spellStart"/>
            <w:r w:rsidRPr="002A1E1A">
              <w:t>Фозампренавир</w:t>
            </w:r>
            <w:proofErr w:type="spellEnd"/>
            <w:r w:rsidRPr="002A1E1A">
              <w:tab/>
              <w:t>700</w:t>
            </w:r>
          </w:p>
          <w:p w14:paraId="1C2AAD00" w14:textId="76FB7FC8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E1A">
              <w:t>mg</w:t>
            </w:r>
            <w:proofErr w:type="spellEnd"/>
            <w:r w:rsidRPr="002A1E1A">
              <w:t xml:space="preserve">/ритонавир 100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два пъти на ден, 8 дни</w:t>
            </w:r>
          </w:p>
        </w:tc>
        <w:tc>
          <w:tcPr>
            <w:tcW w:w="3192" w:type="dxa"/>
          </w:tcPr>
          <w:p w14:paraId="2C3B94CB" w14:textId="29620A7A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 xml:space="preserve">10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веднъж дневно</w:t>
            </w:r>
          </w:p>
        </w:tc>
        <w:tc>
          <w:tcPr>
            <w:tcW w:w="3192" w:type="dxa"/>
          </w:tcPr>
          <w:p w14:paraId="04C807A4" w14:textId="3138B6AC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>↔</w:t>
            </w:r>
          </w:p>
        </w:tc>
      </w:tr>
      <w:tr w:rsidR="00844B11" w:rsidRPr="002A1E1A" w14:paraId="7128314D" w14:textId="77777777" w:rsidTr="00844B11">
        <w:tc>
          <w:tcPr>
            <w:tcW w:w="3192" w:type="dxa"/>
          </w:tcPr>
          <w:p w14:paraId="27BB107E" w14:textId="67C4C1D8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E1A">
              <w:t>Алеглитазар</w:t>
            </w:r>
            <w:proofErr w:type="spellEnd"/>
            <w:r w:rsidRPr="002A1E1A">
              <w:t xml:space="preserve"> 0,3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7 дни</w:t>
            </w:r>
          </w:p>
        </w:tc>
        <w:tc>
          <w:tcPr>
            <w:tcW w:w="3192" w:type="dxa"/>
            <w:vAlign w:val="center"/>
          </w:tcPr>
          <w:p w14:paraId="4E747642" w14:textId="024D61C0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 xml:space="preserve">40 </w:t>
            </w:r>
            <w:proofErr w:type="spellStart"/>
            <w:r w:rsidRPr="002A1E1A">
              <w:t>mg</w:t>
            </w:r>
            <w:proofErr w:type="spellEnd"/>
            <w:r w:rsidRPr="002A1E1A">
              <w:t>, 7 дни</w:t>
            </w:r>
          </w:p>
        </w:tc>
        <w:tc>
          <w:tcPr>
            <w:tcW w:w="3192" w:type="dxa"/>
          </w:tcPr>
          <w:p w14:paraId="64E99C90" w14:textId="6DABB3E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>↔</w:t>
            </w:r>
          </w:p>
        </w:tc>
      </w:tr>
      <w:tr w:rsidR="00844B11" w:rsidRPr="002A1E1A" w14:paraId="1361B873" w14:textId="77777777" w:rsidTr="00844B11">
        <w:tc>
          <w:tcPr>
            <w:tcW w:w="3192" w:type="dxa"/>
          </w:tcPr>
          <w:p w14:paraId="2DF853E1" w14:textId="6F2184C0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E1A">
              <w:t>Силимарин</w:t>
            </w:r>
            <w:proofErr w:type="spellEnd"/>
            <w:r w:rsidRPr="002A1E1A">
              <w:t xml:space="preserve"> 140 </w:t>
            </w:r>
            <w:proofErr w:type="spellStart"/>
            <w:r w:rsidRPr="002A1E1A">
              <w:t>mg</w:t>
            </w:r>
            <w:proofErr w:type="spellEnd"/>
            <w:r w:rsidRPr="002A1E1A">
              <w:t>, три пъти дневно, 5 дни</w:t>
            </w:r>
          </w:p>
        </w:tc>
        <w:tc>
          <w:tcPr>
            <w:tcW w:w="3192" w:type="dxa"/>
            <w:vAlign w:val="center"/>
          </w:tcPr>
          <w:p w14:paraId="2AB6B0C9" w14:textId="73EEB6CD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 xml:space="preserve">10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еднократна доза</w:t>
            </w:r>
          </w:p>
        </w:tc>
        <w:tc>
          <w:tcPr>
            <w:tcW w:w="3192" w:type="dxa"/>
            <w:vAlign w:val="center"/>
          </w:tcPr>
          <w:p w14:paraId="3DA8E4E3" w14:textId="27E7DCD2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>↔</w:t>
            </w:r>
          </w:p>
        </w:tc>
      </w:tr>
      <w:tr w:rsidR="00844B11" w:rsidRPr="002A1E1A" w14:paraId="22193EA3" w14:textId="77777777" w:rsidTr="00844B11">
        <w:tc>
          <w:tcPr>
            <w:tcW w:w="3192" w:type="dxa"/>
          </w:tcPr>
          <w:p w14:paraId="26EDE168" w14:textId="050F31FE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E1A">
              <w:t>Фенофибрат</w:t>
            </w:r>
            <w:proofErr w:type="spellEnd"/>
            <w:r w:rsidRPr="002A1E1A">
              <w:t xml:space="preserve"> 67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три пъти дневно, 7 дни</w:t>
            </w:r>
          </w:p>
        </w:tc>
        <w:tc>
          <w:tcPr>
            <w:tcW w:w="3192" w:type="dxa"/>
            <w:vAlign w:val="center"/>
          </w:tcPr>
          <w:p w14:paraId="0EED0D27" w14:textId="32FD9E9D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 xml:space="preserve">10 </w:t>
            </w:r>
            <w:proofErr w:type="spellStart"/>
            <w:r w:rsidRPr="002A1E1A">
              <w:t>mg</w:t>
            </w:r>
            <w:proofErr w:type="spellEnd"/>
            <w:r w:rsidRPr="002A1E1A">
              <w:t>, 7 дни</w:t>
            </w:r>
          </w:p>
        </w:tc>
        <w:tc>
          <w:tcPr>
            <w:tcW w:w="3192" w:type="dxa"/>
          </w:tcPr>
          <w:p w14:paraId="371E57C0" w14:textId="46BAAF7F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>↔</w:t>
            </w:r>
          </w:p>
        </w:tc>
      </w:tr>
      <w:tr w:rsidR="00844B11" w:rsidRPr="002A1E1A" w14:paraId="49CD52E7" w14:textId="77777777" w:rsidTr="00844B11">
        <w:tc>
          <w:tcPr>
            <w:tcW w:w="3192" w:type="dxa"/>
          </w:tcPr>
          <w:p w14:paraId="3D84BD8B" w14:textId="02EB796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E1A">
              <w:t>Рифампин</w:t>
            </w:r>
            <w:proofErr w:type="spellEnd"/>
            <w:r w:rsidRPr="002A1E1A">
              <w:t xml:space="preserve"> 450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веднъж дневно, 7 дни</w:t>
            </w:r>
          </w:p>
        </w:tc>
        <w:tc>
          <w:tcPr>
            <w:tcW w:w="3192" w:type="dxa"/>
            <w:vAlign w:val="center"/>
          </w:tcPr>
          <w:p w14:paraId="28685E88" w14:textId="1E9D04DD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 xml:space="preserve">20 </w:t>
            </w:r>
            <w:proofErr w:type="spellStart"/>
            <w:r w:rsidRPr="002A1E1A">
              <w:t>mg</w:t>
            </w:r>
            <w:proofErr w:type="spellEnd"/>
            <w:r w:rsidRPr="002A1E1A">
              <w:t>, еднократна доза</w:t>
            </w:r>
          </w:p>
        </w:tc>
        <w:tc>
          <w:tcPr>
            <w:tcW w:w="3192" w:type="dxa"/>
          </w:tcPr>
          <w:p w14:paraId="46FF4380" w14:textId="08D05EB8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>↔</w:t>
            </w:r>
          </w:p>
        </w:tc>
      </w:tr>
      <w:tr w:rsidR="00844B11" w:rsidRPr="002A1E1A" w14:paraId="746F7E78" w14:textId="77777777" w:rsidTr="00844B11">
        <w:tc>
          <w:tcPr>
            <w:tcW w:w="3192" w:type="dxa"/>
          </w:tcPr>
          <w:p w14:paraId="64F233BE" w14:textId="3CCE6773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E1A">
              <w:t>Кетоконазол</w:t>
            </w:r>
            <w:proofErr w:type="spellEnd"/>
            <w:r w:rsidRPr="002A1E1A">
              <w:t xml:space="preserve"> 200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два пъти дневно, 7 дни</w:t>
            </w:r>
          </w:p>
        </w:tc>
        <w:tc>
          <w:tcPr>
            <w:tcW w:w="3192" w:type="dxa"/>
            <w:vAlign w:val="center"/>
          </w:tcPr>
          <w:p w14:paraId="3AB7F955" w14:textId="55637FDE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 xml:space="preserve">80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еднократна доза</w:t>
            </w:r>
          </w:p>
        </w:tc>
        <w:tc>
          <w:tcPr>
            <w:tcW w:w="3192" w:type="dxa"/>
            <w:vAlign w:val="center"/>
          </w:tcPr>
          <w:p w14:paraId="3EE50EA4" w14:textId="652D405D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rPr>
                <w:b/>
                <w:bCs/>
              </w:rPr>
              <w:t>↔</w:t>
            </w:r>
          </w:p>
        </w:tc>
      </w:tr>
      <w:tr w:rsidR="00844B11" w:rsidRPr="002A1E1A" w14:paraId="02A9FF93" w14:textId="77777777" w:rsidTr="00844B11">
        <w:tc>
          <w:tcPr>
            <w:tcW w:w="3192" w:type="dxa"/>
          </w:tcPr>
          <w:p w14:paraId="7453BA13" w14:textId="140B0C06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E1A">
              <w:t>Флуконазол</w:t>
            </w:r>
            <w:proofErr w:type="spellEnd"/>
            <w:r w:rsidRPr="002A1E1A">
              <w:t xml:space="preserve"> 200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веднъж дневно, 11 дни</w:t>
            </w:r>
          </w:p>
        </w:tc>
        <w:tc>
          <w:tcPr>
            <w:tcW w:w="3192" w:type="dxa"/>
            <w:vAlign w:val="center"/>
          </w:tcPr>
          <w:p w14:paraId="4B166E1A" w14:textId="06D90CAA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 xml:space="preserve">80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еднократна доза</w:t>
            </w:r>
          </w:p>
        </w:tc>
        <w:tc>
          <w:tcPr>
            <w:tcW w:w="3192" w:type="dxa"/>
            <w:vAlign w:val="center"/>
          </w:tcPr>
          <w:p w14:paraId="368AB762" w14:textId="4FC77800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>«-&gt;</w:t>
            </w:r>
          </w:p>
        </w:tc>
      </w:tr>
      <w:tr w:rsidR="00844B11" w:rsidRPr="002A1E1A" w14:paraId="68272F69" w14:textId="77777777" w:rsidTr="00844B11">
        <w:tc>
          <w:tcPr>
            <w:tcW w:w="3192" w:type="dxa"/>
            <w:vAlign w:val="center"/>
          </w:tcPr>
          <w:p w14:paraId="4EBE5D21" w14:textId="3253723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E1A">
              <w:t>Еритромицин</w:t>
            </w:r>
            <w:proofErr w:type="spellEnd"/>
            <w:r w:rsidRPr="002A1E1A">
              <w:t xml:space="preserve"> 500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четири пъти на ден, 7 дни</w:t>
            </w:r>
          </w:p>
        </w:tc>
        <w:tc>
          <w:tcPr>
            <w:tcW w:w="3192" w:type="dxa"/>
            <w:vAlign w:val="center"/>
          </w:tcPr>
          <w:p w14:paraId="780793B4" w14:textId="46517621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 xml:space="preserve">80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еднократна доза</w:t>
            </w:r>
          </w:p>
        </w:tc>
        <w:tc>
          <w:tcPr>
            <w:tcW w:w="3192" w:type="dxa"/>
            <w:vAlign w:val="center"/>
          </w:tcPr>
          <w:p w14:paraId="55BA53A1" w14:textId="3E2DBB23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>28%↓</w:t>
            </w:r>
          </w:p>
        </w:tc>
      </w:tr>
      <w:tr w:rsidR="00844B11" w:rsidRPr="002A1E1A" w14:paraId="794D79A5" w14:textId="77777777" w:rsidTr="00844B11">
        <w:tc>
          <w:tcPr>
            <w:tcW w:w="3192" w:type="dxa"/>
          </w:tcPr>
          <w:p w14:paraId="4252CCE0" w14:textId="7B70FDCF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E1A">
              <w:t>Баикалин</w:t>
            </w:r>
            <w:proofErr w:type="spellEnd"/>
            <w:r w:rsidRPr="002A1E1A">
              <w:t xml:space="preserve"> 50 </w:t>
            </w:r>
            <w:proofErr w:type="spellStart"/>
            <w:r w:rsidRPr="002A1E1A">
              <w:t>mg</w:t>
            </w:r>
            <w:proofErr w:type="spellEnd"/>
            <w:r w:rsidRPr="002A1E1A">
              <w:t>, три пъти дневно</w:t>
            </w:r>
          </w:p>
        </w:tc>
        <w:tc>
          <w:tcPr>
            <w:tcW w:w="3192" w:type="dxa"/>
            <w:vAlign w:val="center"/>
          </w:tcPr>
          <w:p w14:paraId="7D8A7F45" w14:textId="38C5F512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 xml:space="preserve">20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еднократна доза</w:t>
            </w:r>
          </w:p>
        </w:tc>
        <w:tc>
          <w:tcPr>
            <w:tcW w:w="3192" w:type="dxa"/>
            <w:vAlign w:val="center"/>
          </w:tcPr>
          <w:p w14:paraId="4541685C" w14:textId="1D578B95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>47%↓</w:t>
            </w:r>
          </w:p>
        </w:tc>
      </w:tr>
      <w:tr w:rsidR="00844B11" w:rsidRPr="002A1E1A" w14:paraId="75BF3006" w14:textId="77777777" w:rsidTr="00844B11">
        <w:tc>
          <w:tcPr>
            <w:tcW w:w="3192" w:type="dxa"/>
          </w:tcPr>
          <w:p w14:paraId="2C40A22F" w14:textId="42929704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E1A">
              <w:lastRenderedPageBreak/>
              <w:t>Регорафениб</w:t>
            </w:r>
            <w:proofErr w:type="spellEnd"/>
            <w:r w:rsidRPr="002A1E1A">
              <w:t xml:space="preserve"> 160 </w:t>
            </w:r>
            <w:proofErr w:type="spellStart"/>
            <w:r w:rsidRPr="002A1E1A">
              <w:t>mg</w:t>
            </w:r>
            <w:proofErr w:type="spellEnd"/>
            <w:r w:rsidRPr="002A1E1A">
              <w:t>, веднъж дневно, 14 дни</w:t>
            </w:r>
          </w:p>
        </w:tc>
        <w:tc>
          <w:tcPr>
            <w:tcW w:w="3192" w:type="dxa"/>
            <w:vAlign w:val="center"/>
          </w:tcPr>
          <w:p w14:paraId="469AA6A3" w14:textId="0CB83DA9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 xml:space="preserve">5 </w:t>
            </w:r>
            <w:proofErr w:type="spellStart"/>
            <w:r w:rsidRPr="002A1E1A">
              <w:t>mg</w:t>
            </w:r>
            <w:proofErr w:type="spellEnd"/>
            <w:r w:rsidRPr="002A1E1A">
              <w:t>, единична доза</w:t>
            </w:r>
          </w:p>
        </w:tc>
        <w:tc>
          <w:tcPr>
            <w:tcW w:w="3192" w:type="dxa"/>
            <w:vAlign w:val="center"/>
          </w:tcPr>
          <w:p w14:paraId="35F79295" w14:textId="132241A2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>3,8 пъти ↑</w:t>
            </w:r>
          </w:p>
        </w:tc>
      </w:tr>
      <w:tr w:rsidR="00844B11" w:rsidRPr="002A1E1A" w14:paraId="2D5C9B0E" w14:textId="77777777" w:rsidTr="00844B11">
        <w:tc>
          <w:tcPr>
            <w:tcW w:w="3192" w:type="dxa"/>
          </w:tcPr>
          <w:p w14:paraId="42A24479" w14:textId="243C9109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1E1A">
              <w:t>Велпатасвир</w:t>
            </w:r>
            <w:proofErr w:type="spellEnd"/>
            <w:r w:rsidRPr="002A1E1A">
              <w:t xml:space="preserve"> 100 </w:t>
            </w:r>
            <w:proofErr w:type="spellStart"/>
            <w:r w:rsidRPr="002A1E1A">
              <w:t>mg</w:t>
            </w:r>
            <w:proofErr w:type="spellEnd"/>
            <w:r w:rsidRPr="002A1E1A">
              <w:t xml:space="preserve"> веднъж дневно</w:t>
            </w:r>
          </w:p>
        </w:tc>
        <w:tc>
          <w:tcPr>
            <w:tcW w:w="3192" w:type="dxa"/>
            <w:vAlign w:val="center"/>
          </w:tcPr>
          <w:p w14:paraId="6629BE2E" w14:textId="4294CE0D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 xml:space="preserve">10 </w:t>
            </w:r>
            <w:proofErr w:type="spellStart"/>
            <w:r w:rsidRPr="002A1E1A">
              <w:t>mg</w:t>
            </w:r>
            <w:proofErr w:type="spellEnd"/>
            <w:r w:rsidRPr="002A1E1A">
              <w:t>, единична доза</w:t>
            </w:r>
          </w:p>
        </w:tc>
        <w:tc>
          <w:tcPr>
            <w:tcW w:w="3192" w:type="dxa"/>
            <w:vAlign w:val="bottom"/>
          </w:tcPr>
          <w:p w14:paraId="6A71DDF3" w14:textId="61B1A302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E1A">
              <w:t>2,7 пъти ↑</w:t>
            </w:r>
          </w:p>
        </w:tc>
      </w:tr>
      <w:tr w:rsidR="00844B11" w:rsidRPr="002A1E1A" w14:paraId="394710D3" w14:textId="77777777" w:rsidTr="00844B11">
        <w:tc>
          <w:tcPr>
            <w:tcW w:w="3192" w:type="dxa"/>
          </w:tcPr>
          <w:p w14:paraId="54B53184" w14:textId="2CC6131A" w:rsidR="00844B11" w:rsidRPr="002A1E1A" w:rsidRDefault="00844B11" w:rsidP="00844B11">
            <w:proofErr w:type="spellStart"/>
            <w:r w:rsidRPr="002A1E1A">
              <w:rPr>
                <w:szCs w:val="20"/>
              </w:rPr>
              <w:t>Омбитасвир</w:t>
            </w:r>
            <w:proofErr w:type="spellEnd"/>
            <w:r w:rsidRPr="002A1E1A">
              <w:rPr>
                <w:szCs w:val="20"/>
              </w:rPr>
              <w:t xml:space="preserve"> 25</w:t>
            </w:r>
            <w:r w:rsidRPr="002A1E1A">
              <w:t xml:space="preserve">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>/</w:t>
            </w:r>
            <w:proofErr w:type="spellStart"/>
            <w:r w:rsidRPr="002A1E1A">
              <w:rPr>
                <w:szCs w:val="20"/>
              </w:rPr>
              <w:t>паритапревир</w:t>
            </w:r>
            <w:proofErr w:type="spellEnd"/>
            <w:r w:rsidRPr="002A1E1A">
              <w:rPr>
                <w:szCs w:val="20"/>
              </w:rPr>
              <w:t xml:space="preserve"> 150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/ ритонавир 100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 веднъж дневно / </w:t>
            </w:r>
            <w:proofErr w:type="spellStart"/>
            <w:r w:rsidRPr="002A1E1A">
              <w:rPr>
                <w:szCs w:val="20"/>
              </w:rPr>
              <w:t>дазабувир</w:t>
            </w:r>
            <w:proofErr w:type="spellEnd"/>
            <w:r w:rsidRPr="002A1E1A">
              <w:rPr>
                <w:szCs w:val="20"/>
              </w:rPr>
              <w:t xml:space="preserve"> 400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 2 пъти дневно, 14 дни</w:t>
            </w:r>
          </w:p>
        </w:tc>
        <w:tc>
          <w:tcPr>
            <w:tcW w:w="3192" w:type="dxa"/>
          </w:tcPr>
          <w:p w14:paraId="46396F18" w14:textId="0B1F892F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5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>, единична доза</w:t>
            </w:r>
          </w:p>
        </w:tc>
        <w:tc>
          <w:tcPr>
            <w:tcW w:w="3192" w:type="dxa"/>
          </w:tcPr>
          <w:p w14:paraId="2467B2E7" w14:textId="53DE7A55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2,6 </w:t>
            </w:r>
            <w:proofErr w:type="spellStart"/>
            <w:r w:rsidRPr="002A1E1A">
              <w:rPr>
                <w:szCs w:val="20"/>
              </w:rPr>
              <w:t>пъта</w:t>
            </w:r>
            <w:proofErr w:type="spellEnd"/>
            <w:r w:rsidRPr="002A1E1A">
              <w:rPr>
                <w:szCs w:val="20"/>
              </w:rPr>
              <w:t xml:space="preserve"> ↑</w:t>
            </w:r>
          </w:p>
        </w:tc>
      </w:tr>
      <w:tr w:rsidR="00844B11" w:rsidRPr="002A1E1A" w14:paraId="7140AAA1" w14:textId="77777777" w:rsidTr="00844B11">
        <w:tc>
          <w:tcPr>
            <w:tcW w:w="3192" w:type="dxa"/>
          </w:tcPr>
          <w:p w14:paraId="765D3E60" w14:textId="1907F9CE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szCs w:val="20"/>
              </w:rPr>
              <w:t>Гразопревир</w:t>
            </w:r>
            <w:proofErr w:type="spellEnd"/>
            <w:r w:rsidRPr="002A1E1A">
              <w:rPr>
                <w:szCs w:val="20"/>
              </w:rPr>
              <w:t xml:space="preserve"> 200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>/</w:t>
            </w:r>
            <w:proofErr w:type="spellStart"/>
            <w:r w:rsidRPr="002A1E1A">
              <w:rPr>
                <w:szCs w:val="20"/>
              </w:rPr>
              <w:t>елбасвир</w:t>
            </w:r>
            <w:proofErr w:type="spellEnd"/>
            <w:r w:rsidRPr="002A1E1A">
              <w:rPr>
                <w:szCs w:val="20"/>
              </w:rPr>
              <w:t xml:space="preserve"> 50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 веднъж дневно, 11 дни</w:t>
            </w:r>
          </w:p>
        </w:tc>
        <w:tc>
          <w:tcPr>
            <w:tcW w:w="3192" w:type="dxa"/>
          </w:tcPr>
          <w:p w14:paraId="722ECCE7" w14:textId="62070F0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10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>, единична доза</w:t>
            </w:r>
          </w:p>
        </w:tc>
        <w:tc>
          <w:tcPr>
            <w:tcW w:w="3192" w:type="dxa"/>
          </w:tcPr>
          <w:p w14:paraId="0877A6A5" w14:textId="43D86C6A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2,3 пъти ↑</w:t>
            </w:r>
          </w:p>
        </w:tc>
      </w:tr>
      <w:tr w:rsidR="00844B11" w:rsidRPr="002A1E1A" w14:paraId="5C45BF54" w14:textId="77777777" w:rsidTr="00844B11">
        <w:tc>
          <w:tcPr>
            <w:tcW w:w="3192" w:type="dxa"/>
          </w:tcPr>
          <w:p w14:paraId="60C3F56C" w14:textId="77777777" w:rsidR="00844B11" w:rsidRPr="002A1E1A" w:rsidRDefault="00844B11" w:rsidP="00844B11">
            <w:proofErr w:type="spellStart"/>
            <w:r w:rsidRPr="002A1E1A">
              <w:rPr>
                <w:szCs w:val="20"/>
              </w:rPr>
              <w:t>Глекапревир</w:t>
            </w:r>
            <w:proofErr w:type="spellEnd"/>
            <w:r w:rsidRPr="002A1E1A">
              <w:rPr>
                <w:szCs w:val="20"/>
              </w:rPr>
              <w:tab/>
              <w:t>400</w:t>
            </w:r>
          </w:p>
          <w:p w14:paraId="58AB250C" w14:textId="77777777" w:rsidR="00844B11" w:rsidRPr="002A1E1A" w:rsidRDefault="00844B11" w:rsidP="00844B11"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>/</w:t>
            </w:r>
            <w:proofErr w:type="spellStart"/>
            <w:r w:rsidRPr="002A1E1A">
              <w:rPr>
                <w:szCs w:val="20"/>
              </w:rPr>
              <w:t>пибрентасвир</w:t>
            </w:r>
            <w:proofErr w:type="spellEnd"/>
            <w:r w:rsidRPr="002A1E1A">
              <w:rPr>
                <w:szCs w:val="20"/>
              </w:rPr>
              <w:t xml:space="preserve"> 120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</w:p>
          <w:p w14:paraId="58DEE683" w14:textId="38B91E05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веднъж дневно, 7 дни</w:t>
            </w:r>
          </w:p>
        </w:tc>
        <w:tc>
          <w:tcPr>
            <w:tcW w:w="3192" w:type="dxa"/>
          </w:tcPr>
          <w:p w14:paraId="7A3E0B86" w14:textId="30C1656F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5 </w:t>
            </w:r>
            <w:proofErr w:type="spellStart"/>
            <w:r w:rsidRPr="002A1E1A">
              <w:rPr>
                <w:szCs w:val="20"/>
              </w:rPr>
              <w:t>mg</w:t>
            </w:r>
            <w:proofErr w:type="spellEnd"/>
            <w:r w:rsidRPr="002A1E1A">
              <w:rPr>
                <w:szCs w:val="20"/>
              </w:rPr>
              <w:t xml:space="preserve"> веднъж дневно, 7 дни</w:t>
            </w:r>
          </w:p>
        </w:tc>
        <w:tc>
          <w:tcPr>
            <w:tcW w:w="3192" w:type="dxa"/>
          </w:tcPr>
          <w:p w14:paraId="394D0F03" w14:textId="065D0EF9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2,3 </w:t>
            </w:r>
            <w:proofErr w:type="spellStart"/>
            <w:r w:rsidRPr="002A1E1A">
              <w:rPr>
                <w:szCs w:val="20"/>
              </w:rPr>
              <w:t>пъта</w:t>
            </w:r>
            <w:proofErr w:type="spellEnd"/>
            <w:r w:rsidRPr="002A1E1A">
              <w:rPr>
                <w:szCs w:val="20"/>
              </w:rPr>
              <w:t xml:space="preserve"> ↑</w:t>
            </w:r>
          </w:p>
        </w:tc>
      </w:tr>
    </w:tbl>
    <w:p w14:paraId="4A35A297" w14:textId="4C0BB56B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*Данните се представят в кратно повишаване или намаляване, в съотношението когато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се приема самостоятелно или в комбинация с други продукти. Данните дадени като % отразяват разликата относима към прием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като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монотерапия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Повишенията се представят с</w:t>
      </w:r>
      <w:r w:rsidRPr="002A1E1A">
        <w:rPr>
          <w:rFonts w:eastAsia="Times New Roman" w:cs="Arial"/>
          <w:color w:val="000000"/>
          <w:szCs w:val="20"/>
        </w:rPr>
        <w:t xml:space="preserve"> ↑,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 без промяна </w:t>
      </w:r>
      <w:r w:rsidRPr="002A1E1A">
        <w:rPr>
          <w:rFonts w:eastAsia="Times New Roman" w:cs="Arial"/>
          <w:color w:val="000000"/>
          <w:szCs w:val="20"/>
        </w:rPr>
        <w:t>↔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, понижение се представя с </w:t>
      </w:r>
      <w:r w:rsidRPr="002A1E1A">
        <w:rPr>
          <w:rFonts w:eastAsia="Times New Roman" w:cs="Arial"/>
          <w:color w:val="000000"/>
          <w:szCs w:val="20"/>
        </w:rPr>
        <w:t>↓</w:t>
      </w:r>
      <w:r w:rsidRPr="002A1E1A">
        <w:rPr>
          <w:rFonts w:eastAsia="Times New Roman" w:cs="Arial"/>
          <w:color w:val="000000"/>
          <w:szCs w:val="20"/>
          <w:lang w:eastAsia="bg-BG"/>
        </w:rPr>
        <w:t>.</w:t>
      </w:r>
    </w:p>
    <w:p w14:paraId="7B4358DF" w14:textId="26BA0A9B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**Няколко проучвания за взаимодействия са представени при различни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дозови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режими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розувастатин,таблицата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показва най-значимото съотношение</w:t>
      </w:r>
    </w:p>
    <w:p w14:paraId="160006EF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i/>
          <w:iCs/>
          <w:color w:val="000000"/>
          <w:szCs w:val="20"/>
          <w:lang w:eastAsia="bg-BG"/>
        </w:rPr>
      </w:pPr>
    </w:p>
    <w:p w14:paraId="61B56AEE" w14:textId="6F68793D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b/>
          <w:bCs/>
          <w:i/>
          <w:iCs/>
          <w:color w:val="000000"/>
          <w:szCs w:val="20"/>
          <w:lang w:eastAsia="bg-BG"/>
        </w:rPr>
        <w:t xml:space="preserve">Ефект на </w:t>
      </w:r>
      <w:proofErr w:type="spellStart"/>
      <w:r w:rsidRPr="002A1E1A">
        <w:rPr>
          <w:rFonts w:eastAsia="Times New Roman" w:cs="Arial"/>
          <w:b/>
          <w:bCs/>
          <w:i/>
          <w:iCs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b/>
          <w:bCs/>
          <w:i/>
          <w:iCs/>
          <w:color w:val="000000"/>
          <w:szCs w:val="20"/>
          <w:lang w:eastAsia="bg-BG"/>
        </w:rPr>
        <w:t xml:space="preserve"> върху едновременно приемани лекарствени продукти </w:t>
      </w: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Антагонисти на витамин К: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Подобно на други инхибитори на </w:t>
      </w:r>
      <w:r w:rsidRPr="002A1E1A">
        <w:rPr>
          <w:rFonts w:eastAsia="Times New Roman" w:cs="Arial"/>
          <w:color w:val="000000"/>
          <w:szCs w:val="20"/>
        </w:rPr>
        <w:t>HMG-</w:t>
      </w:r>
      <w:proofErr w:type="spellStart"/>
      <w:r w:rsidRPr="002A1E1A">
        <w:rPr>
          <w:rFonts w:eastAsia="Times New Roman" w:cs="Arial"/>
          <w:color w:val="000000"/>
          <w:szCs w:val="20"/>
        </w:rPr>
        <w:t>CoA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редуктазата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започването на лечение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или титрирането на дозата му при пациенти, приемащи антагонисти на витамин К (като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варфарин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или други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кумаринови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антикоагуланти), може да доведе до повишение на </w:t>
      </w:r>
      <w:r w:rsidRPr="002A1E1A">
        <w:rPr>
          <w:rFonts w:eastAsia="Times New Roman" w:cs="Arial"/>
          <w:color w:val="000000"/>
          <w:szCs w:val="20"/>
        </w:rPr>
        <w:t xml:space="preserve">International </w:t>
      </w:r>
      <w:proofErr w:type="spellStart"/>
      <w:r w:rsidRPr="002A1E1A">
        <w:rPr>
          <w:rFonts w:eastAsia="Times New Roman" w:cs="Arial"/>
          <w:color w:val="000000"/>
          <w:szCs w:val="20"/>
        </w:rPr>
        <w:t>Normalised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</w:rPr>
        <w:t>Ratio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(INR).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Прекъсването на лечението или намаляване на дозата на титриране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може да доведе до намаление на </w:t>
      </w:r>
      <w:r w:rsidRPr="002A1E1A">
        <w:rPr>
          <w:rFonts w:eastAsia="Times New Roman" w:cs="Arial"/>
          <w:color w:val="000000"/>
          <w:szCs w:val="20"/>
        </w:rPr>
        <w:t xml:space="preserve">INR.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При подобни ситуации се препоръчва мониториране на </w:t>
      </w:r>
      <w:r w:rsidRPr="002A1E1A">
        <w:rPr>
          <w:rFonts w:eastAsia="Times New Roman" w:cs="Arial"/>
          <w:color w:val="000000"/>
          <w:szCs w:val="20"/>
        </w:rPr>
        <w:t>INR.</w:t>
      </w:r>
    </w:p>
    <w:p w14:paraId="7618EABE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07D4197C" w14:textId="1A16C1E3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Перорални контрацептиви/</w:t>
      </w:r>
      <w:proofErr w:type="spellStart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хормонозаместваща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 терапия: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Едновременният прием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перорални контрацептиви е довел до повишаване на </w:t>
      </w:r>
      <w:r w:rsidRPr="002A1E1A">
        <w:rPr>
          <w:rFonts w:eastAsia="Times New Roman" w:cs="Arial"/>
          <w:color w:val="000000"/>
          <w:szCs w:val="20"/>
        </w:rPr>
        <w:t xml:space="preserve">AUC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етинил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естрадиол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норгестрел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съответно с 26% и 34%. Тези повишени плазмени концентрации трябва да се вземат под внимание, когато се определя дозировката на пероралните контрацептиви. Няма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фармакокинетични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данни за пациенти, които приемат едновременно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хормоно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- заместваща терапия. Ето защо, взаимодействието описано по-горе не трябва да бъде изключено като вероятно. Въпреки това, тази комбинация е била широко прилагана от жени в клинични изпитвания и е била толерирана добре.</w:t>
      </w:r>
    </w:p>
    <w:p w14:paraId="5363095B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6EE26889" w14:textId="34F26D97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Други лекарствени продукти:</w:t>
      </w:r>
    </w:p>
    <w:p w14:paraId="7ED13C56" w14:textId="77777777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Дигоксин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Въз основа на данните от специфични проучвания за изследване на лекарствени взаимодействия, не се очаква клинично значимо взаимодействие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дигоксин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.</w:t>
      </w:r>
    </w:p>
    <w:p w14:paraId="2E0258B9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3C04B716" w14:textId="196AB730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Фузидова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 киселина</w:t>
      </w:r>
    </w:p>
    <w:p w14:paraId="1BF0ACF9" w14:textId="77777777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Не са провеждани проучвания за изследване на взаимодействия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фузидова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киселина. Рискът от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миопатия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включително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рабдомиолиза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може да се увеличи при едновременна употреба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фузидова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киселина за системно приложение 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статини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. </w:t>
      </w:r>
      <w:r w:rsidRPr="002A1E1A">
        <w:rPr>
          <w:rFonts w:eastAsia="Times New Roman" w:cs="Arial"/>
          <w:color w:val="000000"/>
          <w:szCs w:val="20"/>
          <w:lang w:eastAsia="bg-BG"/>
        </w:rPr>
        <w:lastRenderedPageBreak/>
        <w:t>Механизмът на това взаимодействие (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фармакодинамично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или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фармакокинетично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или и двете) е все още неизвестен. Има съобщения за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рабдомиолиза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(включително няколко с фатален изход) при пациенти, приемащи тази комбинация.</w:t>
      </w:r>
    </w:p>
    <w:p w14:paraId="0ACAFF51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7B288819" w14:textId="6067D7B4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Ако терапията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фузидова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киселина за системно приложение е наложителна, ле</w:t>
      </w:r>
      <w:r w:rsidRPr="002A1E1A">
        <w:rPr>
          <w:rFonts w:eastAsia="Times New Roman" w:cs="Arial"/>
          <w:color w:val="000000"/>
          <w:szCs w:val="20"/>
          <w:u w:val="single"/>
          <w:lang w:eastAsia="bg-BG"/>
        </w:rPr>
        <w:t>чениет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о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Атеростад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трябва да бъде прекъснато по време на периода на лечение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фузидова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>киселина</w:t>
      </w:r>
    </w:p>
    <w:p w14:paraId="7DAFE818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5CFA1766" w14:textId="2B127219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Тикагрелор</w:t>
      </w:r>
      <w:proofErr w:type="spellEnd"/>
    </w:p>
    <w:p w14:paraId="3E7D648C" w14:textId="77777777" w:rsidR="00844B11" w:rsidRPr="002A1E1A" w:rsidRDefault="00844B11" w:rsidP="00844B11">
      <w:pPr>
        <w:rPr>
          <w:rFonts w:eastAsia="Times New Roman" w:cs="Arial"/>
          <w:sz w:val="28"/>
          <w:szCs w:val="24"/>
        </w:rPr>
      </w:pP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Тикагрелор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може да причини бъбречна недостатъчност и може да повлияе бъбречната екскреция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увеличавайки риска от кумулиране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. В някои случаи едновременното приложение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тикагрелор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води до намаляване на бъбречната функция, повишено ниво на СРК 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рабдомиолиза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. Препоръчва се контрол на бъбречна функция и СРК при съпътстваща употреба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тикагрелор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.</w:t>
      </w:r>
    </w:p>
    <w:p w14:paraId="198CA99B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6B8720C1" w14:textId="3F64D002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>Вижте също точка 4.4. Педиатрична популация.</w:t>
      </w:r>
    </w:p>
    <w:p w14:paraId="016088B0" w14:textId="3A007A69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>Проучвания за взаимодействия са провеждани само при възрастни. Степента на взаимодействията в педиатричната популация не е известна.</w:t>
      </w:r>
    </w:p>
    <w:p w14:paraId="7F454AC4" w14:textId="783BBA7C" w:rsidR="00844B11" w:rsidRPr="002A1E1A" w:rsidRDefault="00844B11" w:rsidP="00844B11"/>
    <w:p w14:paraId="394A7584" w14:textId="266E277A" w:rsidR="004F498A" w:rsidRPr="002A1E1A" w:rsidRDefault="002C50EE" w:rsidP="004A448E">
      <w:pPr>
        <w:pStyle w:val="Heading2"/>
      </w:pPr>
      <w:r w:rsidRPr="002A1E1A">
        <w:t>4.6. Фертилитет, бременност и кърмене</w:t>
      </w:r>
    </w:p>
    <w:p w14:paraId="6AED33AE" w14:textId="28E49B8A" w:rsidR="00844B11" w:rsidRPr="002A1E1A" w:rsidRDefault="00844B11" w:rsidP="00844B11"/>
    <w:p w14:paraId="15039BFF" w14:textId="77777777" w:rsidR="00844B11" w:rsidRPr="002A1E1A" w:rsidRDefault="00844B11" w:rsidP="00844B11">
      <w:pPr>
        <w:rPr>
          <w:sz w:val="24"/>
          <w:szCs w:val="24"/>
        </w:rPr>
      </w:pPr>
      <w:proofErr w:type="spellStart"/>
      <w:r w:rsidRPr="002A1E1A">
        <w:rPr>
          <w:lang w:eastAsia="bg-BG"/>
        </w:rPr>
        <w:t>Розувастатин</w:t>
      </w:r>
      <w:proofErr w:type="spellEnd"/>
      <w:r w:rsidRPr="002A1E1A">
        <w:rPr>
          <w:lang w:eastAsia="bg-BG"/>
        </w:rPr>
        <w:t xml:space="preserve"> е противопоказан по време на бременност и кърмене.</w:t>
      </w:r>
    </w:p>
    <w:p w14:paraId="468443C1" w14:textId="77777777" w:rsidR="00844B11" w:rsidRPr="002A1E1A" w:rsidRDefault="00844B11" w:rsidP="00844B11">
      <w:pPr>
        <w:rPr>
          <w:sz w:val="24"/>
          <w:szCs w:val="24"/>
        </w:rPr>
      </w:pPr>
      <w:r w:rsidRPr="002A1E1A">
        <w:rPr>
          <w:lang w:eastAsia="bg-BG"/>
        </w:rPr>
        <w:t>Жени в детеродна възраст трябва да прилагат подходящи контрацептивни мерки.</w:t>
      </w:r>
    </w:p>
    <w:p w14:paraId="050D7A66" w14:textId="77777777" w:rsidR="00844B11" w:rsidRPr="002A1E1A" w:rsidRDefault="00844B11" w:rsidP="00844B11">
      <w:pPr>
        <w:rPr>
          <w:lang w:eastAsia="bg-BG"/>
        </w:rPr>
      </w:pPr>
    </w:p>
    <w:p w14:paraId="5B2823D8" w14:textId="2DF4026A" w:rsidR="00844B11" w:rsidRPr="002A1E1A" w:rsidRDefault="00844B11" w:rsidP="00844B11">
      <w:pPr>
        <w:rPr>
          <w:sz w:val="24"/>
          <w:szCs w:val="24"/>
        </w:rPr>
      </w:pPr>
      <w:r w:rsidRPr="002A1E1A">
        <w:rPr>
          <w:lang w:eastAsia="bg-BG"/>
        </w:rPr>
        <w:t xml:space="preserve">Холестеролът и други продукти на </w:t>
      </w:r>
      <w:proofErr w:type="spellStart"/>
      <w:r w:rsidRPr="002A1E1A">
        <w:rPr>
          <w:lang w:eastAsia="bg-BG"/>
        </w:rPr>
        <w:t>холестероловия</w:t>
      </w:r>
      <w:proofErr w:type="spellEnd"/>
      <w:r w:rsidRPr="002A1E1A">
        <w:rPr>
          <w:lang w:eastAsia="bg-BG"/>
        </w:rPr>
        <w:t xml:space="preserve"> биосинтез са важни за развитието на плода, ето защо потенциалният риск от инхибиране на </w:t>
      </w:r>
      <w:r w:rsidRPr="002A1E1A">
        <w:t>HMG-</w:t>
      </w:r>
      <w:proofErr w:type="spellStart"/>
      <w:r w:rsidRPr="002A1E1A">
        <w:t>CoA</w:t>
      </w:r>
      <w:proofErr w:type="spellEnd"/>
      <w:r w:rsidRPr="002A1E1A">
        <w:t xml:space="preserve"> </w:t>
      </w:r>
      <w:proofErr w:type="spellStart"/>
      <w:r w:rsidRPr="002A1E1A">
        <w:rPr>
          <w:lang w:eastAsia="bg-BG"/>
        </w:rPr>
        <w:t>редуктазата</w:t>
      </w:r>
      <w:proofErr w:type="spellEnd"/>
      <w:r w:rsidRPr="002A1E1A">
        <w:rPr>
          <w:lang w:eastAsia="bg-BG"/>
        </w:rPr>
        <w:t xml:space="preserve"> е по-голям в сравнение с ползата от лечението по време на бременност. Изследванията върху животни осигуряват ограничени данни за репродуктивна токсичност (вж. точка 5.3). Ако пациентка забременее по време на лечение с това лекарство, приемът трябва да бъде незабавно преустановен. </w:t>
      </w:r>
      <w:proofErr w:type="spellStart"/>
      <w:r w:rsidRPr="002A1E1A">
        <w:rPr>
          <w:lang w:eastAsia="bg-BG"/>
        </w:rPr>
        <w:t>Розувастатин</w:t>
      </w:r>
      <w:proofErr w:type="spellEnd"/>
      <w:r w:rsidRPr="002A1E1A">
        <w:rPr>
          <w:lang w:eastAsia="bg-BG"/>
        </w:rPr>
        <w:t xml:space="preserve"> се отделя в млякото на плъхове. Няма установени данни за отделяне в млякото при хората (вж. точка 4.3).</w:t>
      </w:r>
    </w:p>
    <w:p w14:paraId="652FC463" w14:textId="77777777" w:rsidR="00844B11" w:rsidRPr="002A1E1A" w:rsidRDefault="00844B11" w:rsidP="00844B11"/>
    <w:p w14:paraId="064DF1DE" w14:textId="711D3F05" w:rsidR="00CF77F7" w:rsidRPr="002A1E1A" w:rsidRDefault="002C50EE" w:rsidP="004A448E">
      <w:pPr>
        <w:pStyle w:val="Heading2"/>
      </w:pPr>
      <w:r w:rsidRPr="002A1E1A">
        <w:t>4.7. Ефекти върху способността за шофиране и работа с машини</w:t>
      </w:r>
    </w:p>
    <w:p w14:paraId="0A0783DA" w14:textId="5D59FE5C" w:rsidR="00844B11" w:rsidRPr="002A1E1A" w:rsidRDefault="00844B11" w:rsidP="00844B11"/>
    <w:p w14:paraId="60800A27" w14:textId="0AA59F7D" w:rsidR="00844B11" w:rsidRPr="002A1E1A" w:rsidRDefault="00844B11" w:rsidP="00844B11">
      <w:r w:rsidRPr="002A1E1A">
        <w:t xml:space="preserve">Не са провеждани проучвания за установяване на влиянието на </w:t>
      </w:r>
      <w:proofErr w:type="spellStart"/>
      <w:r w:rsidRPr="002A1E1A">
        <w:t>Розувастатин</w:t>
      </w:r>
      <w:proofErr w:type="spellEnd"/>
      <w:r w:rsidRPr="002A1E1A">
        <w:t xml:space="preserve"> върху способността за шофиране и работа с машини. Въз основа на </w:t>
      </w:r>
      <w:proofErr w:type="spellStart"/>
      <w:r w:rsidRPr="002A1E1A">
        <w:t>фармакодинамичните</w:t>
      </w:r>
      <w:proofErr w:type="spellEnd"/>
      <w:r w:rsidRPr="002A1E1A">
        <w:t xml:space="preserve"> свойства, не се очаква </w:t>
      </w:r>
      <w:proofErr w:type="spellStart"/>
      <w:r w:rsidRPr="002A1E1A">
        <w:t>Розувастатин</w:t>
      </w:r>
      <w:proofErr w:type="spellEnd"/>
      <w:r w:rsidRPr="002A1E1A">
        <w:t xml:space="preserve"> да повлияе неблагоприятно тези способности. При шофиране или работа с машини трябва да се има предвид, че приемането на лекарството може да предизвика световъртеж.</w:t>
      </w:r>
    </w:p>
    <w:p w14:paraId="0EE42800" w14:textId="77777777" w:rsidR="00844B11" w:rsidRPr="002A1E1A" w:rsidRDefault="00844B11" w:rsidP="00844B11"/>
    <w:p w14:paraId="37A3FD9F" w14:textId="0CC3515C" w:rsidR="00CF77F7" w:rsidRPr="002A1E1A" w:rsidRDefault="002C50EE" w:rsidP="004A448E">
      <w:pPr>
        <w:pStyle w:val="Heading2"/>
      </w:pPr>
      <w:r w:rsidRPr="002A1E1A">
        <w:t>4.8. Нежелани лекарствени реакции</w:t>
      </w:r>
    </w:p>
    <w:p w14:paraId="3C14F271" w14:textId="61DF3435" w:rsidR="00844B11" w:rsidRPr="002A1E1A" w:rsidRDefault="00844B11" w:rsidP="00844B11"/>
    <w:p w14:paraId="652D2AFA" w14:textId="77777777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Нежеланите лекарствени реакции, наблюдавани при употребата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обикновено са леки и преходни. При контролираните клинични изпитвания под 4% от пациентите, лекувани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, са прекъснали лечението поради нежелани реакции.</w:t>
      </w:r>
    </w:p>
    <w:p w14:paraId="4365B869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0D692D0" w14:textId="20D5C14F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lastRenderedPageBreak/>
        <w:t xml:space="preserve">Базирана на данни от клинични проучвания и обширен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постмаркетингов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опит, следната таблица представя профилът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по отношение на нежелани лекарствени реакции. Нежеланите реакции, изброени по-долу са класифицирани по честота 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системо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-органен клас (СОК).</w:t>
      </w:r>
    </w:p>
    <w:p w14:paraId="12CAEED0" w14:textId="77777777" w:rsidR="00844B11" w:rsidRPr="002A1E1A" w:rsidRDefault="00844B11" w:rsidP="00844B11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>Честотата на нежеланите реакции е съобразена със следната конвенция: чести (&gt; 1/100 до 1/10); нечести (&gt; 1/1 000 до 1/100); редки (&gt; 1/10 000 до 1/1 000); много редки (&lt; 1/10 000), неизвестна честота (не може да бъде оценена от наличните данни).</w:t>
      </w:r>
    </w:p>
    <w:p w14:paraId="7BE72B0E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0E384C5A" w14:textId="6E6BB61D" w:rsidR="00844B11" w:rsidRPr="002A1E1A" w:rsidRDefault="00844B11" w:rsidP="00844B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Табличен списък на нежеланите реакции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368"/>
        <w:gridCol w:w="1021"/>
        <w:gridCol w:w="1963"/>
        <w:gridCol w:w="1597"/>
        <w:gridCol w:w="1440"/>
      </w:tblGrid>
      <w:tr w:rsidR="00844B11" w:rsidRPr="002A1E1A" w14:paraId="04383FAC" w14:textId="77777777" w:rsidTr="00844B11">
        <w:tc>
          <w:tcPr>
            <w:tcW w:w="2009" w:type="dxa"/>
          </w:tcPr>
          <w:p w14:paraId="021D0819" w14:textId="565F7AAC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szCs w:val="20"/>
              </w:rPr>
              <w:t>Системо</w:t>
            </w:r>
            <w:proofErr w:type="spellEnd"/>
            <w:r w:rsidRPr="002A1E1A">
              <w:rPr>
                <w:szCs w:val="20"/>
              </w:rPr>
              <w:t>-органен клас</w:t>
            </w:r>
          </w:p>
        </w:tc>
        <w:tc>
          <w:tcPr>
            <w:tcW w:w="1401" w:type="dxa"/>
          </w:tcPr>
          <w:p w14:paraId="2ECC674C" w14:textId="27F20D86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Чести</w:t>
            </w:r>
          </w:p>
        </w:tc>
        <w:tc>
          <w:tcPr>
            <w:tcW w:w="1043" w:type="dxa"/>
          </w:tcPr>
          <w:p w14:paraId="72A39BA3" w14:textId="0BFD9CE2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Нечести</w:t>
            </w:r>
          </w:p>
        </w:tc>
        <w:tc>
          <w:tcPr>
            <w:tcW w:w="2012" w:type="dxa"/>
          </w:tcPr>
          <w:p w14:paraId="0996A292" w14:textId="1B783D5B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Редки</w:t>
            </w:r>
          </w:p>
        </w:tc>
        <w:tc>
          <w:tcPr>
            <w:tcW w:w="1636" w:type="dxa"/>
          </w:tcPr>
          <w:p w14:paraId="72E7734F" w14:textId="6ED688D3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Много редки</w:t>
            </w:r>
          </w:p>
        </w:tc>
        <w:tc>
          <w:tcPr>
            <w:tcW w:w="1475" w:type="dxa"/>
          </w:tcPr>
          <w:p w14:paraId="343F8759" w14:textId="374BEC68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С неизвестна честота</w:t>
            </w:r>
          </w:p>
        </w:tc>
      </w:tr>
      <w:tr w:rsidR="00844B11" w:rsidRPr="002A1E1A" w14:paraId="4D1CFAC5" w14:textId="77777777" w:rsidTr="00844B11">
        <w:tc>
          <w:tcPr>
            <w:tcW w:w="2009" w:type="dxa"/>
          </w:tcPr>
          <w:p w14:paraId="7CEF50E5" w14:textId="76B91F08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Нарушения на кръвта и лимфната система</w:t>
            </w:r>
          </w:p>
        </w:tc>
        <w:tc>
          <w:tcPr>
            <w:tcW w:w="1401" w:type="dxa"/>
          </w:tcPr>
          <w:p w14:paraId="03FF4FDD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43" w:type="dxa"/>
          </w:tcPr>
          <w:p w14:paraId="74A78FB3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12" w:type="dxa"/>
          </w:tcPr>
          <w:p w14:paraId="5B40ABA1" w14:textId="36E85A29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szCs w:val="20"/>
              </w:rPr>
              <w:t>тромбоцитопения</w:t>
            </w:r>
            <w:proofErr w:type="spellEnd"/>
          </w:p>
        </w:tc>
        <w:tc>
          <w:tcPr>
            <w:tcW w:w="1636" w:type="dxa"/>
          </w:tcPr>
          <w:p w14:paraId="5B052504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5" w:type="dxa"/>
          </w:tcPr>
          <w:p w14:paraId="6F69E903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4B11" w:rsidRPr="002A1E1A" w14:paraId="21D3C0CB" w14:textId="77777777" w:rsidTr="00844B11">
        <w:tc>
          <w:tcPr>
            <w:tcW w:w="2009" w:type="dxa"/>
          </w:tcPr>
          <w:p w14:paraId="6BCD39F2" w14:textId="0AD7B23C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Нарушения на имунната система</w:t>
            </w:r>
          </w:p>
        </w:tc>
        <w:tc>
          <w:tcPr>
            <w:tcW w:w="1401" w:type="dxa"/>
          </w:tcPr>
          <w:p w14:paraId="3B34E5B6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43" w:type="dxa"/>
          </w:tcPr>
          <w:p w14:paraId="775D4710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12" w:type="dxa"/>
          </w:tcPr>
          <w:p w14:paraId="507C29BF" w14:textId="0FDD6B63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Реакции на свръхчувствителност, включително ангиоедем</w:t>
            </w:r>
          </w:p>
        </w:tc>
        <w:tc>
          <w:tcPr>
            <w:tcW w:w="1636" w:type="dxa"/>
          </w:tcPr>
          <w:p w14:paraId="465A64D2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5" w:type="dxa"/>
          </w:tcPr>
          <w:p w14:paraId="14DA9D5D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4B11" w:rsidRPr="002A1E1A" w14:paraId="25BD10D6" w14:textId="77777777" w:rsidTr="00844B11">
        <w:tc>
          <w:tcPr>
            <w:tcW w:w="2009" w:type="dxa"/>
          </w:tcPr>
          <w:p w14:paraId="5397F493" w14:textId="3C6D624C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Нарушения на ендокринната система</w:t>
            </w:r>
          </w:p>
        </w:tc>
        <w:tc>
          <w:tcPr>
            <w:tcW w:w="1401" w:type="dxa"/>
          </w:tcPr>
          <w:p w14:paraId="078E9A86" w14:textId="4B60D354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Захарен диабет</w:t>
            </w:r>
            <w:r w:rsidRPr="002A1E1A">
              <w:rPr>
                <w:szCs w:val="20"/>
                <w:vertAlign w:val="superscript"/>
              </w:rPr>
              <w:t>1</w:t>
            </w:r>
          </w:p>
        </w:tc>
        <w:tc>
          <w:tcPr>
            <w:tcW w:w="1043" w:type="dxa"/>
          </w:tcPr>
          <w:p w14:paraId="04CAC878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12" w:type="dxa"/>
          </w:tcPr>
          <w:p w14:paraId="72796980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36" w:type="dxa"/>
          </w:tcPr>
          <w:p w14:paraId="36D13F66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5" w:type="dxa"/>
          </w:tcPr>
          <w:p w14:paraId="1479F51D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4B11" w:rsidRPr="002A1E1A" w14:paraId="3A159EBB" w14:textId="77777777" w:rsidTr="00844B11">
        <w:tc>
          <w:tcPr>
            <w:tcW w:w="2009" w:type="dxa"/>
          </w:tcPr>
          <w:p w14:paraId="613B972A" w14:textId="5C980F90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Психични нарушения</w:t>
            </w:r>
          </w:p>
        </w:tc>
        <w:tc>
          <w:tcPr>
            <w:tcW w:w="1401" w:type="dxa"/>
          </w:tcPr>
          <w:p w14:paraId="462313A7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43" w:type="dxa"/>
          </w:tcPr>
          <w:p w14:paraId="4AB5CF00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12" w:type="dxa"/>
          </w:tcPr>
          <w:p w14:paraId="3BD30AF7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36" w:type="dxa"/>
          </w:tcPr>
          <w:p w14:paraId="2A588903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5" w:type="dxa"/>
          </w:tcPr>
          <w:p w14:paraId="218D056B" w14:textId="5099DD2E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Депресия</w:t>
            </w:r>
          </w:p>
        </w:tc>
      </w:tr>
      <w:tr w:rsidR="00844B11" w:rsidRPr="002A1E1A" w14:paraId="264E5CC2" w14:textId="77777777" w:rsidTr="00844B11">
        <w:tc>
          <w:tcPr>
            <w:tcW w:w="2009" w:type="dxa"/>
          </w:tcPr>
          <w:p w14:paraId="6A7742FF" w14:textId="7E8FFB2B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Нарушения на нервната система</w:t>
            </w:r>
          </w:p>
        </w:tc>
        <w:tc>
          <w:tcPr>
            <w:tcW w:w="1401" w:type="dxa"/>
          </w:tcPr>
          <w:p w14:paraId="7C523362" w14:textId="74A3AC6F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Главоболие, замайване</w:t>
            </w:r>
          </w:p>
        </w:tc>
        <w:tc>
          <w:tcPr>
            <w:tcW w:w="1043" w:type="dxa"/>
          </w:tcPr>
          <w:p w14:paraId="788A3561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12" w:type="dxa"/>
          </w:tcPr>
          <w:p w14:paraId="692EB0F6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36" w:type="dxa"/>
          </w:tcPr>
          <w:p w14:paraId="3F47CEC5" w14:textId="461B1C6E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szCs w:val="20"/>
              </w:rPr>
              <w:t>Полиневропатия</w:t>
            </w:r>
            <w:proofErr w:type="spellEnd"/>
            <w:r w:rsidRPr="002A1E1A">
              <w:rPr>
                <w:szCs w:val="20"/>
              </w:rPr>
              <w:t>, загуба на паметта</w:t>
            </w:r>
          </w:p>
        </w:tc>
        <w:tc>
          <w:tcPr>
            <w:tcW w:w="1475" w:type="dxa"/>
            <w:vAlign w:val="bottom"/>
          </w:tcPr>
          <w:p w14:paraId="40D429A4" w14:textId="191E766A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Периферна невропатия нарушение на съня (включително безсъние и кошмари)</w:t>
            </w:r>
          </w:p>
        </w:tc>
      </w:tr>
      <w:tr w:rsidR="00844B11" w:rsidRPr="002A1E1A" w14:paraId="67059676" w14:textId="77777777" w:rsidTr="00844B11">
        <w:tc>
          <w:tcPr>
            <w:tcW w:w="2009" w:type="dxa"/>
            <w:vAlign w:val="bottom"/>
          </w:tcPr>
          <w:p w14:paraId="274952B3" w14:textId="40B17ACD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Респираторни, гръдни и </w:t>
            </w:r>
            <w:proofErr w:type="spellStart"/>
            <w:r w:rsidRPr="002A1E1A">
              <w:rPr>
                <w:szCs w:val="20"/>
              </w:rPr>
              <w:t>медиастинални</w:t>
            </w:r>
            <w:proofErr w:type="spellEnd"/>
            <w:r w:rsidRPr="002A1E1A">
              <w:rPr>
                <w:szCs w:val="20"/>
              </w:rPr>
              <w:t xml:space="preserve"> нарушения</w:t>
            </w:r>
          </w:p>
        </w:tc>
        <w:tc>
          <w:tcPr>
            <w:tcW w:w="1401" w:type="dxa"/>
          </w:tcPr>
          <w:p w14:paraId="42F656CC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43" w:type="dxa"/>
          </w:tcPr>
          <w:p w14:paraId="7F6CABAB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12" w:type="dxa"/>
          </w:tcPr>
          <w:p w14:paraId="0702BDFA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36" w:type="dxa"/>
          </w:tcPr>
          <w:p w14:paraId="0F3EE73B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5" w:type="dxa"/>
          </w:tcPr>
          <w:p w14:paraId="7B3979E1" w14:textId="73C0F072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Кашлица, </w:t>
            </w:r>
            <w:proofErr w:type="spellStart"/>
            <w:r w:rsidRPr="002A1E1A">
              <w:rPr>
                <w:szCs w:val="20"/>
              </w:rPr>
              <w:t>диспнея</w:t>
            </w:r>
            <w:proofErr w:type="spellEnd"/>
          </w:p>
        </w:tc>
      </w:tr>
      <w:tr w:rsidR="00844B11" w:rsidRPr="002A1E1A" w14:paraId="2748279A" w14:textId="77777777" w:rsidTr="00844B11">
        <w:tc>
          <w:tcPr>
            <w:tcW w:w="2009" w:type="dxa"/>
          </w:tcPr>
          <w:p w14:paraId="5C6A1218" w14:textId="4BD54DC8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Стомашно-чревни нарушения</w:t>
            </w:r>
          </w:p>
        </w:tc>
        <w:tc>
          <w:tcPr>
            <w:tcW w:w="1401" w:type="dxa"/>
            <w:vAlign w:val="bottom"/>
          </w:tcPr>
          <w:p w14:paraId="6C450BC4" w14:textId="5115E1F9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Констипация, </w:t>
            </w:r>
            <w:proofErr w:type="spellStart"/>
            <w:r w:rsidRPr="002A1E1A">
              <w:rPr>
                <w:szCs w:val="20"/>
              </w:rPr>
              <w:t>прилошаваме</w:t>
            </w:r>
            <w:proofErr w:type="spellEnd"/>
            <w:r w:rsidRPr="002A1E1A">
              <w:rPr>
                <w:szCs w:val="20"/>
              </w:rPr>
              <w:t>, коремна болка</w:t>
            </w:r>
          </w:p>
        </w:tc>
        <w:tc>
          <w:tcPr>
            <w:tcW w:w="1043" w:type="dxa"/>
          </w:tcPr>
          <w:p w14:paraId="2FE1515F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12" w:type="dxa"/>
          </w:tcPr>
          <w:p w14:paraId="71FB6407" w14:textId="4F8AF203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szCs w:val="20"/>
              </w:rPr>
              <w:t>Панкреатит</w:t>
            </w:r>
            <w:proofErr w:type="spellEnd"/>
          </w:p>
        </w:tc>
        <w:tc>
          <w:tcPr>
            <w:tcW w:w="1636" w:type="dxa"/>
          </w:tcPr>
          <w:p w14:paraId="54395B6D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5" w:type="dxa"/>
          </w:tcPr>
          <w:p w14:paraId="37753A3E" w14:textId="20732DCA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диария</w:t>
            </w:r>
          </w:p>
        </w:tc>
      </w:tr>
      <w:tr w:rsidR="00844B11" w:rsidRPr="002A1E1A" w14:paraId="6A84409D" w14:textId="77777777" w:rsidTr="00844B11">
        <w:tc>
          <w:tcPr>
            <w:tcW w:w="2009" w:type="dxa"/>
          </w:tcPr>
          <w:p w14:paraId="162418F0" w14:textId="7DB069E8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szCs w:val="20"/>
              </w:rPr>
              <w:t>Хепатобилиарни</w:t>
            </w:r>
            <w:proofErr w:type="spellEnd"/>
            <w:r w:rsidRPr="002A1E1A">
              <w:rPr>
                <w:szCs w:val="20"/>
              </w:rPr>
              <w:t xml:space="preserve"> нарушения</w:t>
            </w:r>
          </w:p>
        </w:tc>
        <w:tc>
          <w:tcPr>
            <w:tcW w:w="1401" w:type="dxa"/>
          </w:tcPr>
          <w:p w14:paraId="01DD6870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43" w:type="dxa"/>
          </w:tcPr>
          <w:p w14:paraId="25FC3B79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12" w:type="dxa"/>
            <w:vAlign w:val="bottom"/>
          </w:tcPr>
          <w:p w14:paraId="58825FEF" w14:textId="73DBED14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Повишени чернодробни </w:t>
            </w:r>
            <w:proofErr w:type="spellStart"/>
            <w:r w:rsidRPr="002A1E1A">
              <w:rPr>
                <w:szCs w:val="20"/>
              </w:rPr>
              <w:t>трансаминази</w:t>
            </w:r>
            <w:proofErr w:type="spellEnd"/>
          </w:p>
        </w:tc>
        <w:tc>
          <w:tcPr>
            <w:tcW w:w="1636" w:type="dxa"/>
          </w:tcPr>
          <w:p w14:paraId="1CA72F8A" w14:textId="57230596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жълтеница хепатит</w:t>
            </w:r>
          </w:p>
        </w:tc>
        <w:tc>
          <w:tcPr>
            <w:tcW w:w="1475" w:type="dxa"/>
          </w:tcPr>
          <w:p w14:paraId="54D78132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4B11" w:rsidRPr="002A1E1A" w14:paraId="5BAE5C59" w14:textId="77777777" w:rsidTr="00844B11">
        <w:tc>
          <w:tcPr>
            <w:tcW w:w="2009" w:type="dxa"/>
          </w:tcPr>
          <w:p w14:paraId="6EAFC4FD" w14:textId="759A25ED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Нарушения на кожата и </w:t>
            </w:r>
            <w:r w:rsidRPr="002A1E1A">
              <w:rPr>
                <w:szCs w:val="20"/>
              </w:rPr>
              <w:lastRenderedPageBreak/>
              <w:t>подкожната тъкан</w:t>
            </w:r>
          </w:p>
        </w:tc>
        <w:tc>
          <w:tcPr>
            <w:tcW w:w="1401" w:type="dxa"/>
          </w:tcPr>
          <w:p w14:paraId="682504B6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43" w:type="dxa"/>
          </w:tcPr>
          <w:p w14:paraId="6F329C0C" w14:textId="35ADFE84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Сърбеж, обрив, </w:t>
            </w:r>
            <w:r w:rsidRPr="002A1E1A">
              <w:rPr>
                <w:szCs w:val="20"/>
              </w:rPr>
              <w:lastRenderedPageBreak/>
              <w:t>уртикария</w:t>
            </w:r>
          </w:p>
        </w:tc>
        <w:tc>
          <w:tcPr>
            <w:tcW w:w="2012" w:type="dxa"/>
          </w:tcPr>
          <w:p w14:paraId="039961B6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36" w:type="dxa"/>
          </w:tcPr>
          <w:p w14:paraId="2E464594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5" w:type="dxa"/>
            <w:vAlign w:val="bottom"/>
          </w:tcPr>
          <w:p w14:paraId="58E81D06" w14:textId="6F09ECE2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Синдром на Стивънс- </w:t>
            </w:r>
            <w:r w:rsidRPr="002A1E1A">
              <w:rPr>
                <w:szCs w:val="20"/>
              </w:rPr>
              <w:lastRenderedPageBreak/>
              <w:t xml:space="preserve">Джонсън Лекарствена реакция с </w:t>
            </w:r>
            <w:proofErr w:type="spellStart"/>
            <w:r w:rsidRPr="002A1E1A">
              <w:rPr>
                <w:szCs w:val="20"/>
              </w:rPr>
              <w:t>еозинофилия</w:t>
            </w:r>
            <w:proofErr w:type="spellEnd"/>
            <w:r w:rsidRPr="002A1E1A">
              <w:rPr>
                <w:szCs w:val="20"/>
              </w:rPr>
              <w:t xml:space="preserve"> и системни симптоми (DRESS)</w:t>
            </w:r>
          </w:p>
        </w:tc>
      </w:tr>
      <w:tr w:rsidR="00844B11" w:rsidRPr="002A1E1A" w14:paraId="1D10FBFB" w14:textId="77777777" w:rsidTr="00844B11">
        <w:tc>
          <w:tcPr>
            <w:tcW w:w="2009" w:type="dxa"/>
          </w:tcPr>
          <w:p w14:paraId="4B19B51F" w14:textId="37BD460B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lastRenderedPageBreak/>
              <w:t>Нарушение на мускулно-скелетната система и съединителната тъкан</w:t>
            </w:r>
          </w:p>
        </w:tc>
        <w:tc>
          <w:tcPr>
            <w:tcW w:w="1401" w:type="dxa"/>
          </w:tcPr>
          <w:p w14:paraId="34464A97" w14:textId="7334D27C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szCs w:val="20"/>
              </w:rPr>
              <w:t>миалгия</w:t>
            </w:r>
            <w:proofErr w:type="spellEnd"/>
          </w:p>
        </w:tc>
        <w:tc>
          <w:tcPr>
            <w:tcW w:w="1043" w:type="dxa"/>
          </w:tcPr>
          <w:p w14:paraId="07A86504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12" w:type="dxa"/>
          </w:tcPr>
          <w:p w14:paraId="6237FBFB" w14:textId="4C7BCB9E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szCs w:val="20"/>
              </w:rPr>
              <w:t>Миопатия</w:t>
            </w:r>
            <w:proofErr w:type="spellEnd"/>
            <w:r w:rsidRPr="002A1E1A">
              <w:rPr>
                <w:szCs w:val="20"/>
              </w:rPr>
              <w:t xml:space="preserve"> (включително </w:t>
            </w:r>
            <w:proofErr w:type="spellStart"/>
            <w:r w:rsidRPr="002A1E1A">
              <w:rPr>
                <w:szCs w:val="20"/>
              </w:rPr>
              <w:t>миозит</w:t>
            </w:r>
            <w:proofErr w:type="spellEnd"/>
            <w:r w:rsidRPr="002A1E1A">
              <w:rPr>
                <w:szCs w:val="20"/>
              </w:rPr>
              <w:t xml:space="preserve">) </w:t>
            </w:r>
            <w:proofErr w:type="spellStart"/>
            <w:r w:rsidRPr="002A1E1A">
              <w:rPr>
                <w:szCs w:val="20"/>
              </w:rPr>
              <w:t>рабдомиолиза</w:t>
            </w:r>
            <w:proofErr w:type="spellEnd"/>
          </w:p>
        </w:tc>
        <w:tc>
          <w:tcPr>
            <w:tcW w:w="1636" w:type="dxa"/>
          </w:tcPr>
          <w:p w14:paraId="18CAA87F" w14:textId="443F4DE1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szCs w:val="20"/>
              </w:rPr>
              <w:t>артралгия</w:t>
            </w:r>
            <w:proofErr w:type="spellEnd"/>
          </w:p>
        </w:tc>
        <w:tc>
          <w:tcPr>
            <w:tcW w:w="1475" w:type="dxa"/>
            <w:vAlign w:val="bottom"/>
          </w:tcPr>
          <w:p w14:paraId="31AEE196" w14:textId="4B9B96A4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 xml:space="preserve">Нарушение на сухожилията, понякога придружено с </w:t>
            </w:r>
            <w:proofErr w:type="spellStart"/>
            <w:r w:rsidRPr="002A1E1A">
              <w:rPr>
                <w:szCs w:val="20"/>
              </w:rPr>
              <w:t>руптура</w:t>
            </w:r>
            <w:proofErr w:type="spellEnd"/>
            <w:r w:rsidRPr="002A1E1A">
              <w:rPr>
                <w:szCs w:val="20"/>
              </w:rPr>
              <w:t xml:space="preserve"> </w:t>
            </w:r>
            <w:proofErr w:type="spellStart"/>
            <w:r w:rsidRPr="002A1E1A">
              <w:rPr>
                <w:szCs w:val="20"/>
              </w:rPr>
              <w:t>Имуно</w:t>
            </w:r>
            <w:proofErr w:type="spellEnd"/>
            <w:r w:rsidRPr="002A1E1A">
              <w:rPr>
                <w:szCs w:val="20"/>
              </w:rPr>
              <w:t xml:space="preserve"> </w:t>
            </w:r>
            <w:proofErr w:type="spellStart"/>
            <w:r w:rsidRPr="002A1E1A">
              <w:rPr>
                <w:szCs w:val="20"/>
              </w:rPr>
              <w:t>медиирана</w:t>
            </w:r>
            <w:proofErr w:type="spellEnd"/>
            <w:r w:rsidRPr="002A1E1A">
              <w:rPr>
                <w:szCs w:val="20"/>
              </w:rPr>
              <w:t xml:space="preserve"> </w:t>
            </w:r>
            <w:proofErr w:type="spellStart"/>
            <w:r w:rsidRPr="002A1E1A">
              <w:rPr>
                <w:szCs w:val="20"/>
              </w:rPr>
              <w:t>некротизираща</w:t>
            </w:r>
            <w:proofErr w:type="spellEnd"/>
            <w:r w:rsidRPr="002A1E1A">
              <w:rPr>
                <w:szCs w:val="20"/>
              </w:rPr>
              <w:t xml:space="preserve"> </w:t>
            </w:r>
            <w:proofErr w:type="spellStart"/>
            <w:r w:rsidRPr="002A1E1A">
              <w:rPr>
                <w:szCs w:val="20"/>
              </w:rPr>
              <w:t>миопатия</w:t>
            </w:r>
            <w:proofErr w:type="spellEnd"/>
          </w:p>
        </w:tc>
      </w:tr>
      <w:tr w:rsidR="00844B11" w:rsidRPr="002A1E1A" w14:paraId="37BC514B" w14:textId="77777777" w:rsidTr="00844B11">
        <w:tc>
          <w:tcPr>
            <w:tcW w:w="2009" w:type="dxa"/>
            <w:vAlign w:val="bottom"/>
          </w:tcPr>
          <w:p w14:paraId="2F9F8069" w14:textId="2AEEEC9E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Нарушения на бъбреците и пикочните пътища</w:t>
            </w:r>
          </w:p>
        </w:tc>
        <w:tc>
          <w:tcPr>
            <w:tcW w:w="1401" w:type="dxa"/>
          </w:tcPr>
          <w:p w14:paraId="150E06C7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43" w:type="dxa"/>
          </w:tcPr>
          <w:p w14:paraId="5626B079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12" w:type="dxa"/>
          </w:tcPr>
          <w:p w14:paraId="254CE3EE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36" w:type="dxa"/>
          </w:tcPr>
          <w:p w14:paraId="11D0F05D" w14:textId="2AF8377A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szCs w:val="20"/>
              </w:rPr>
              <w:t>хематурия</w:t>
            </w:r>
            <w:proofErr w:type="spellEnd"/>
          </w:p>
        </w:tc>
        <w:tc>
          <w:tcPr>
            <w:tcW w:w="1475" w:type="dxa"/>
          </w:tcPr>
          <w:p w14:paraId="17A1DD87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4B11" w:rsidRPr="002A1E1A" w14:paraId="6E18E3AD" w14:textId="77777777" w:rsidTr="00844B11">
        <w:tc>
          <w:tcPr>
            <w:tcW w:w="2009" w:type="dxa"/>
            <w:vAlign w:val="bottom"/>
          </w:tcPr>
          <w:p w14:paraId="4E878E80" w14:textId="0F750124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Нарушения на възпроизводителната система и гърдата</w:t>
            </w:r>
          </w:p>
        </w:tc>
        <w:tc>
          <w:tcPr>
            <w:tcW w:w="1401" w:type="dxa"/>
          </w:tcPr>
          <w:p w14:paraId="41729FB0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43" w:type="dxa"/>
          </w:tcPr>
          <w:p w14:paraId="6564FEF3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12" w:type="dxa"/>
          </w:tcPr>
          <w:p w14:paraId="6E958C36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36" w:type="dxa"/>
          </w:tcPr>
          <w:p w14:paraId="7A30EEF2" w14:textId="16B96FF0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szCs w:val="20"/>
              </w:rPr>
              <w:t>гинекомастия</w:t>
            </w:r>
            <w:proofErr w:type="spellEnd"/>
          </w:p>
        </w:tc>
        <w:tc>
          <w:tcPr>
            <w:tcW w:w="1475" w:type="dxa"/>
          </w:tcPr>
          <w:p w14:paraId="424BB984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4B11" w:rsidRPr="002A1E1A" w14:paraId="7AAFC60C" w14:textId="77777777" w:rsidTr="00844B11">
        <w:tc>
          <w:tcPr>
            <w:tcW w:w="2009" w:type="dxa"/>
            <w:vAlign w:val="bottom"/>
          </w:tcPr>
          <w:p w14:paraId="4BE3652C" w14:textId="630803F5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Общи нарушения и ефекти на мястото на приложение</w:t>
            </w:r>
          </w:p>
        </w:tc>
        <w:tc>
          <w:tcPr>
            <w:tcW w:w="1401" w:type="dxa"/>
          </w:tcPr>
          <w:p w14:paraId="6DAD369A" w14:textId="458CA991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A1E1A">
              <w:rPr>
                <w:szCs w:val="20"/>
              </w:rPr>
              <w:t>астения</w:t>
            </w:r>
            <w:proofErr w:type="spellEnd"/>
          </w:p>
        </w:tc>
        <w:tc>
          <w:tcPr>
            <w:tcW w:w="1043" w:type="dxa"/>
          </w:tcPr>
          <w:p w14:paraId="2914A82F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12" w:type="dxa"/>
          </w:tcPr>
          <w:p w14:paraId="1884DED4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36" w:type="dxa"/>
          </w:tcPr>
          <w:p w14:paraId="3C6536FE" w14:textId="77777777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5" w:type="dxa"/>
          </w:tcPr>
          <w:p w14:paraId="11FB8F29" w14:textId="4051F82B" w:rsidR="00844B11" w:rsidRPr="002A1E1A" w:rsidRDefault="00844B11" w:rsidP="00844B11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A1E1A">
              <w:rPr>
                <w:szCs w:val="20"/>
              </w:rPr>
              <w:t>едем</w:t>
            </w:r>
          </w:p>
        </w:tc>
      </w:tr>
      <w:tr w:rsidR="00844B11" w:rsidRPr="002A1E1A" w14:paraId="0E441AF9" w14:textId="77777777" w:rsidTr="00844B11">
        <w:tc>
          <w:tcPr>
            <w:tcW w:w="9576" w:type="dxa"/>
            <w:gridSpan w:val="6"/>
          </w:tcPr>
          <w:p w14:paraId="190274B6" w14:textId="5AD88AD4" w:rsidR="00844B11" w:rsidRPr="002A1E1A" w:rsidRDefault="00844B11" w:rsidP="00844B11">
            <w:pPr>
              <w:rPr>
                <w:sz w:val="24"/>
                <w:szCs w:val="24"/>
              </w:rPr>
            </w:pPr>
            <w:r w:rsidRPr="002A1E1A">
              <w:rPr>
                <w:vertAlign w:val="superscript"/>
                <w:lang w:eastAsia="bg-BG"/>
              </w:rPr>
              <w:t>1</w:t>
            </w:r>
            <w:r w:rsidRPr="002A1E1A">
              <w:rPr>
                <w:lang w:eastAsia="bg-BG"/>
              </w:rPr>
              <w:t xml:space="preserve">Честотата ще зависи от наличието или отсъствието на рискови фактори (глюкоза на гладно ≥5,6 </w:t>
            </w:r>
            <w:proofErr w:type="spellStart"/>
            <w:r w:rsidRPr="002A1E1A">
              <w:t>mrnol</w:t>
            </w:r>
            <w:proofErr w:type="spellEnd"/>
            <w:r w:rsidRPr="002A1E1A">
              <w:t xml:space="preserve">/1, </w:t>
            </w:r>
            <w:r w:rsidRPr="002A1E1A">
              <w:rPr>
                <w:lang w:eastAsia="bg-BG"/>
              </w:rPr>
              <w:t xml:space="preserve">индекс на телесна маса &gt; 30 </w:t>
            </w:r>
            <w:proofErr w:type="spellStart"/>
            <w:r w:rsidRPr="002A1E1A">
              <w:t>kg</w:t>
            </w:r>
            <w:proofErr w:type="spellEnd"/>
            <w:r w:rsidRPr="002A1E1A">
              <w:t xml:space="preserve"> </w:t>
            </w:r>
            <w:r w:rsidRPr="002A1E1A">
              <w:rPr>
                <w:lang w:eastAsia="bg-BG"/>
              </w:rPr>
              <w:t>/</w:t>
            </w:r>
            <w:r w:rsidRPr="002A1E1A">
              <w:t>m</w:t>
            </w:r>
            <w:r w:rsidRPr="002A1E1A">
              <w:rPr>
                <w:vertAlign w:val="superscript"/>
                <w:lang w:eastAsia="bg-BG"/>
              </w:rPr>
              <w:t>2</w:t>
            </w:r>
            <w:r w:rsidRPr="002A1E1A">
              <w:rPr>
                <w:lang w:eastAsia="bg-BG"/>
              </w:rPr>
              <w:t xml:space="preserve">, повишени стойности на </w:t>
            </w:r>
            <w:proofErr w:type="spellStart"/>
            <w:r w:rsidRPr="002A1E1A">
              <w:rPr>
                <w:lang w:eastAsia="bg-BG"/>
              </w:rPr>
              <w:t>триглицеридите</w:t>
            </w:r>
            <w:proofErr w:type="spellEnd"/>
            <w:r w:rsidRPr="002A1E1A">
              <w:rPr>
                <w:lang w:eastAsia="bg-BG"/>
              </w:rPr>
              <w:t>, анамнеза за хипертония)</w:t>
            </w:r>
          </w:p>
        </w:tc>
      </w:tr>
    </w:tbl>
    <w:p w14:paraId="35366475" w14:textId="77777777" w:rsidR="00844B11" w:rsidRPr="002A1E1A" w:rsidRDefault="00844B11" w:rsidP="00844B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2B589" w14:textId="2D5C2D38" w:rsidR="00844B11" w:rsidRPr="002A1E1A" w:rsidRDefault="00844B11" w:rsidP="00844B11">
      <w:r w:rsidRPr="002A1E1A">
        <w:t xml:space="preserve">Както при други </w:t>
      </w:r>
      <w:proofErr w:type="spellStart"/>
      <w:r w:rsidRPr="002A1E1A">
        <w:t>инхибигори</w:t>
      </w:r>
      <w:proofErr w:type="spellEnd"/>
      <w:r w:rsidRPr="002A1E1A">
        <w:t xml:space="preserve"> на HMG-</w:t>
      </w:r>
      <w:proofErr w:type="spellStart"/>
      <w:r w:rsidRPr="002A1E1A">
        <w:t>CoA</w:t>
      </w:r>
      <w:proofErr w:type="spellEnd"/>
      <w:r w:rsidRPr="002A1E1A">
        <w:t xml:space="preserve"> </w:t>
      </w:r>
      <w:proofErr w:type="spellStart"/>
      <w:r w:rsidRPr="002A1E1A">
        <w:t>редуктазата</w:t>
      </w:r>
      <w:proofErr w:type="spellEnd"/>
      <w:r w:rsidRPr="002A1E1A">
        <w:t>, честотата на нежеланите лекарствени реакции зависи от дозата на лекарството.</w:t>
      </w:r>
    </w:p>
    <w:p w14:paraId="443F76A0" w14:textId="5C51E65E" w:rsidR="00844B11" w:rsidRPr="002A1E1A" w:rsidRDefault="00844B11" w:rsidP="00844B11"/>
    <w:p w14:paraId="6B5F87F0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b/>
          <w:bCs/>
          <w:color w:val="000000"/>
          <w:lang w:eastAsia="bg-BG"/>
        </w:rPr>
        <w:t xml:space="preserve">Ефекти върху бъбреците: </w:t>
      </w:r>
      <w:r w:rsidRPr="002A1E1A">
        <w:rPr>
          <w:rFonts w:eastAsia="Times New Roman" w:cs="Arial"/>
          <w:color w:val="000000"/>
          <w:lang w:eastAsia="bg-BG"/>
        </w:rPr>
        <w:t xml:space="preserve">При пациенти, лекувани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е наблюдавана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протеинурия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установена при изследване с тест-лентички и която е с предимно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тубулен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произход.</w:t>
      </w:r>
    </w:p>
    <w:p w14:paraId="4AEEEA56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В определени моменти от лечението при &lt;1% от пациентите на 10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r w:rsidRPr="002A1E1A">
        <w:rPr>
          <w:rFonts w:eastAsia="Times New Roman" w:cs="Arial"/>
          <w:color w:val="000000"/>
          <w:lang w:eastAsia="bg-BG"/>
        </w:rPr>
        <w:t xml:space="preserve">и 20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, </w:t>
      </w:r>
      <w:r w:rsidRPr="002A1E1A">
        <w:rPr>
          <w:rFonts w:eastAsia="Times New Roman" w:cs="Arial"/>
          <w:color w:val="000000"/>
          <w:lang w:eastAsia="bg-BG"/>
        </w:rPr>
        <w:t xml:space="preserve">и при приблизително 3% от пациентите, лекувани с 40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, </w:t>
      </w:r>
      <w:r w:rsidRPr="002A1E1A">
        <w:rPr>
          <w:rFonts w:eastAsia="Times New Roman" w:cs="Arial"/>
          <w:color w:val="000000"/>
          <w:lang w:eastAsia="bg-BG"/>
        </w:rPr>
        <w:t xml:space="preserve">са наблюдавани промени в изследванията за протеин в урината от отрицателен резултат или следи до ++. Незначително отклонение в посока от отрицателен резултат или следи към + е наблюдавано при доза 20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 xml:space="preserve">. </w:t>
      </w:r>
      <w:r w:rsidRPr="002A1E1A">
        <w:rPr>
          <w:rFonts w:eastAsia="Times New Roman" w:cs="Arial"/>
          <w:color w:val="000000"/>
          <w:lang w:eastAsia="bg-BG"/>
        </w:rPr>
        <w:t xml:space="preserve">В повечето случаи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протеинурията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намалява или изчезва спонтанно в процеса на лечението и не е доказано да предшества остро и прогресивно бъбречно заболяване. От прегледа на данните при клиничните опити и </w:t>
      </w:r>
      <w:proofErr w:type="spellStart"/>
      <w:r w:rsidRPr="002A1E1A">
        <w:rPr>
          <w:rFonts w:eastAsia="Times New Roman" w:cs="Arial"/>
          <w:color w:val="000000"/>
          <w:lang w:eastAsia="bg-BG"/>
        </w:rPr>
        <w:lastRenderedPageBreak/>
        <w:t>постмаркетинговите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проучвания, до сега не е установена причинна връзка между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протеинурията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 остро или прогресивно бъбречно заболяване.</w:t>
      </w:r>
    </w:p>
    <w:p w14:paraId="18789044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AA0D1AA" w14:textId="17119472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При пациенти, лекувани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е наблюдавана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хематурия</w:t>
      </w:r>
      <w:proofErr w:type="spellEnd"/>
      <w:r w:rsidRPr="002A1E1A">
        <w:rPr>
          <w:rFonts w:eastAsia="Times New Roman" w:cs="Arial"/>
          <w:color w:val="000000"/>
          <w:lang w:eastAsia="bg-BG"/>
        </w:rPr>
        <w:t>, но клиничните данни сочат, че честотата й е ниска.</w:t>
      </w:r>
    </w:p>
    <w:p w14:paraId="00FC1CF9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6983A3B" w14:textId="644332AE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b/>
          <w:bCs/>
          <w:color w:val="000000"/>
          <w:lang w:eastAsia="bg-BG"/>
        </w:rPr>
        <w:t xml:space="preserve">Ефекти върху скелетната мускулатура: </w:t>
      </w:r>
      <w:r w:rsidRPr="002A1E1A">
        <w:rPr>
          <w:rFonts w:eastAsia="Times New Roman" w:cs="Arial"/>
          <w:color w:val="000000"/>
          <w:lang w:eastAsia="bg-BG"/>
        </w:rPr>
        <w:t xml:space="preserve">Както при други инхибитори на </w:t>
      </w:r>
      <w:r w:rsidRPr="002A1E1A">
        <w:rPr>
          <w:rFonts w:eastAsia="Times New Roman" w:cs="Arial"/>
          <w:color w:val="000000"/>
        </w:rPr>
        <w:t>HMG-</w:t>
      </w:r>
      <w:proofErr w:type="spellStart"/>
      <w:r w:rsidRPr="002A1E1A">
        <w:rPr>
          <w:rFonts w:eastAsia="Times New Roman" w:cs="Arial"/>
          <w:color w:val="000000"/>
        </w:rPr>
        <w:t>CoA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въздействия върху скелетната мускулатура като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неусложнена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миалгия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миопатия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(включително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миозиг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) 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са установени при пациенти лекувани с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във всички терапевтични дози, особено в дози над 20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>.</w:t>
      </w:r>
    </w:p>
    <w:p w14:paraId="3434EC72" w14:textId="77777777" w:rsidR="00844B11" w:rsidRPr="002A1E1A" w:rsidRDefault="00844B11" w:rsidP="00844B1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8FEAA3F" w14:textId="62F0352D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Увеличение на нивото на </w:t>
      </w:r>
      <w:r w:rsidRPr="002A1E1A">
        <w:rPr>
          <w:rFonts w:eastAsia="Times New Roman" w:cs="Arial"/>
          <w:i/>
          <w:iCs/>
          <w:color w:val="000000"/>
          <w:lang w:eastAsia="bg-BG"/>
        </w:rPr>
        <w:t>СК</w:t>
      </w:r>
      <w:r w:rsidRPr="002A1E1A">
        <w:rPr>
          <w:rFonts w:eastAsia="Times New Roman" w:cs="Arial"/>
          <w:color w:val="000000"/>
          <w:lang w:eastAsia="bg-BG"/>
        </w:rPr>
        <w:t xml:space="preserve"> вследствие на увеличение на дозата е наблюдавано при малък брой пациенти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; множеството от случаите са леки, преходни 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асимптоматични</w:t>
      </w:r>
      <w:proofErr w:type="spellEnd"/>
      <w:r w:rsidRPr="002A1E1A">
        <w:rPr>
          <w:rFonts w:eastAsia="Times New Roman" w:cs="Arial"/>
          <w:color w:val="000000"/>
          <w:lang w:eastAsia="bg-BG"/>
        </w:rPr>
        <w:t>. Ако нивото на СК се повиши (&gt; 5 пъти горната граница на нормата), лечението трябва временно да се преустанови (вж. точка 4.4).</w:t>
      </w:r>
    </w:p>
    <w:p w14:paraId="08E39DAE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CD6114D" w14:textId="6D5FA256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b/>
          <w:bCs/>
          <w:color w:val="000000"/>
          <w:lang w:eastAsia="bg-BG"/>
        </w:rPr>
        <w:t xml:space="preserve">Ефекти върху черния дроб: </w:t>
      </w:r>
      <w:r w:rsidRPr="002A1E1A">
        <w:rPr>
          <w:rFonts w:eastAsia="Times New Roman" w:cs="Arial"/>
          <w:color w:val="000000"/>
          <w:lang w:eastAsia="bg-BG"/>
        </w:rPr>
        <w:t xml:space="preserve">Както при други инхибитори на </w:t>
      </w:r>
      <w:r w:rsidRPr="002A1E1A">
        <w:rPr>
          <w:rFonts w:eastAsia="Times New Roman" w:cs="Arial"/>
          <w:color w:val="000000"/>
        </w:rPr>
        <w:t>HMG-</w:t>
      </w:r>
      <w:proofErr w:type="spellStart"/>
      <w:r w:rsidRPr="002A1E1A">
        <w:rPr>
          <w:rFonts w:eastAsia="Times New Roman" w:cs="Arial"/>
          <w:color w:val="000000"/>
        </w:rPr>
        <w:t>CoA</w:t>
      </w:r>
      <w:proofErr w:type="spellEnd"/>
      <w:r w:rsidRPr="002A1E1A">
        <w:rPr>
          <w:rFonts w:eastAsia="Times New Roman" w:cs="Arial"/>
          <w:color w:val="000000"/>
        </w:rPr>
        <w:t xml:space="preserve">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редуктазата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увеличение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трансаминазите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свързано с дозировката е наблюдавано при малък брой пациенти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; по-голяма част от случаите са леки,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асимптоматични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и преходни.</w:t>
      </w:r>
    </w:p>
    <w:p w14:paraId="60F2F39C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63F29CC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b/>
          <w:bCs/>
          <w:color w:val="000000"/>
          <w:lang w:eastAsia="bg-BG"/>
        </w:rPr>
        <w:t xml:space="preserve">Следните нежелани реакции са докладвани при някои </w:t>
      </w:r>
      <w:proofErr w:type="spellStart"/>
      <w:r w:rsidRPr="002A1E1A">
        <w:rPr>
          <w:rFonts w:eastAsia="Times New Roman" w:cs="Arial"/>
          <w:b/>
          <w:bCs/>
          <w:color w:val="000000"/>
          <w:lang w:eastAsia="bg-BG"/>
        </w:rPr>
        <w:t>статини</w:t>
      </w:r>
      <w:proofErr w:type="spellEnd"/>
      <w:r w:rsidRPr="002A1E1A">
        <w:rPr>
          <w:rFonts w:eastAsia="Times New Roman" w:cs="Arial"/>
          <w:b/>
          <w:bCs/>
          <w:color w:val="000000"/>
          <w:lang w:eastAsia="bg-BG"/>
        </w:rPr>
        <w:t>:</w:t>
      </w:r>
    </w:p>
    <w:p w14:paraId="5BDDEEF4" w14:textId="77777777" w:rsidR="00844B11" w:rsidRPr="002A1E1A" w:rsidRDefault="00844B11" w:rsidP="00844B11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>Сексуална дисфункция;</w:t>
      </w:r>
    </w:p>
    <w:p w14:paraId="4EC9E79A" w14:textId="130C59CE" w:rsidR="00844B11" w:rsidRPr="002A1E1A" w:rsidRDefault="00844B11" w:rsidP="00844B11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Изолирани случаи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интерстициална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белодробна болест, особено при продължителна терапия (вж. точка 4.4);</w:t>
      </w:r>
    </w:p>
    <w:p w14:paraId="32C6DA0F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Докладваната честота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рабдомиолиза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, сериозни чернодробни увреди (основно - увеличени чернодробни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трансаминази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) е по-висока при дозировка от 40 </w:t>
      </w:r>
      <w:proofErr w:type="spellStart"/>
      <w:r w:rsidRPr="002A1E1A">
        <w:rPr>
          <w:rFonts w:eastAsia="Times New Roman" w:cs="Arial"/>
          <w:color w:val="000000"/>
        </w:rPr>
        <w:t>mg</w:t>
      </w:r>
      <w:proofErr w:type="spellEnd"/>
      <w:r w:rsidRPr="002A1E1A">
        <w:rPr>
          <w:rFonts w:eastAsia="Times New Roman" w:cs="Arial"/>
          <w:color w:val="000000"/>
        </w:rPr>
        <w:t>.</w:t>
      </w:r>
    </w:p>
    <w:p w14:paraId="5F936B88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1A8467F" w14:textId="6C24EC8A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b/>
          <w:bCs/>
          <w:color w:val="000000"/>
          <w:lang w:eastAsia="bg-BG"/>
        </w:rPr>
        <w:t xml:space="preserve">Педиатрична популация: </w:t>
      </w:r>
      <w:r w:rsidRPr="002A1E1A">
        <w:rPr>
          <w:rFonts w:eastAsia="Times New Roman" w:cs="Arial"/>
          <w:color w:val="000000"/>
          <w:lang w:eastAsia="bg-BG"/>
        </w:rPr>
        <w:t xml:space="preserve">Повишаване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креатинкиназата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</w:t>
      </w:r>
      <w:r w:rsidRPr="002A1E1A">
        <w:rPr>
          <w:rFonts w:eastAsia="Times New Roman" w:cs="Arial"/>
          <w:color w:val="000000"/>
        </w:rPr>
        <w:t xml:space="preserve">&gt;10xULN </w:t>
      </w:r>
      <w:r w:rsidRPr="002A1E1A">
        <w:rPr>
          <w:rFonts w:eastAsia="Times New Roman" w:cs="Arial"/>
          <w:color w:val="000000"/>
          <w:lang w:eastAsia="bg-BG"/>
        </w:rPr>
        <w:t xml:space="preserve">и мускулни симптоми след упражнения или повишена физическа активност са наблюдавани по-често в едно 52- седмично клинично проучване на деца и юноши в сравнение с възрастните (вж. точка 4.4). В друг аспект, профилът на безопасност на </w:t>
      </w:r>
      <w:proofErr w:type="spellStart"/>
      <w:r w:rsidRPr="002A1E1A">
        <w:rPr>
          <w:rFonts w:eastAsia="Times New Roman" w:cs="Arial"/>
          <w:color w:val="00000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lang w:eastAsia="bg-BG"/>
        </w:rPr>
        <w:t xml:space="preserve"> е сходен при деца и юноши в сравнение с възрастните.</w:t>
      </w:r>
    </w:p>
    <w:p w14:paraId="1EA80685" w14:textId="77777777" w:rsidR="00844B11" w:rsidRPr="002A1E1A" w:rsidRDefault="00844B11" w:rsidP="00844B11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7FA52FD4" w14:textId="359134EC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b/>
          <w:bCs/>
          <w:color w:val="000000"/>
          <w:u w:val="single"/>
          <w:lang w:eastAsia="bg-BG"/>
        </w:rPr>
        <w:t xml:space="preserve">Съобщаване </w:t>
      </w:r>
      <w:proofErr w:type="spellStart"/>
      <w:r w:rsidRPr="002A1E1A">
        <w:rPr>
          <w:rFonts w:eastAsia="Times New Roman" w:cs="Arial"/>
          <w:b/>
          <w:bCs/>
          <w:color w:val="000000"/>
          <w:u w:val="single"/>
          <w:lang w:eastAsia="bg-BG"/>
        </w:rPr>
        <w:t>иа</w:t>
      </w:r>
      <w:proofErr w:type="spellEnd"/>
      <w:r w:rsidRPr="002A1E1A">
        <w:rPr>
          <w:rFonts w:eastAsia="Times New Roman" w:cs="Arial"/>
          <w:b/>
          <w:bCs/>
          <w:color w:val="000000"/>
          <w:u w:val="single"/>
          <w:lang w:eastAsia="bg-BG"/>
        </w:rPr>
        <w:t xml:space="preserve"> подозирани нежелани реакции</w:t>
      </w:r>
    </w:p>
    <w:p w14:paraId="7F28D2F8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лекарствения продукт. От медицинските специалисти се изисква да съобщават всяка подозирана нежелана реакция чрез:</w:t>
      </w:r>
    </w:p>
    <w:p w14:paraId="50569155" w14:textId="77777777" w:rsidR="00844B11" w:rsidRPr="002A1E1A" w:rsidRDefault="00844B11" w:rsidP="00844B11">
      <w:pPr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>Изпълнителна агенция по лекарствата ул., Дамян Груев" № 8</w:t>
      </w:r>
    </w:p>
    <w:p w14:paraId="241240A6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>1303 София</w:t>
      </w:r>
    </w:p>
    <w:p w14:paraId="6B46E0D1" w14:textId="77777777" w:rsidR="00844B11" w:rsidRPr="002A1E1A" w:rsidRDefault="00844B11" w:rsidP="00844B11">
      <w:pPr>
        <w:spacing w:line="240" w:lineRule="auto"/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>тел.:+359 2 8903417</w:t>
      </w:r>
    </w:p>
    <w:p w14:paraId="4CFF9870" w14:textId="38DF75E2" w:rsidR="00844B11" w:rsidRPr="002A1E1A" w:rsidRDefault="00844B11" w:rsidP="00844B11">
      <w:pPr>
        <w:rPr>
          <w:rFonts w:eastAsia="Times New Roman" w:cs="Arial"/>
        </w:rPr>
      </w:pPr>
      <w:r w:rsidRPr="002A1E1A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2A1E1A">
          <w:rPr>
            <w:rFonts w:eastAsia="Times New Roman" w:cs="Arial"/>
            <w:color w:val="000000"/>
          </w:rPr>
          <w:t>www.bda.bg</w:t>
        </w:r>
      </w:hyperlink>
    </w:p>
    <w:p w14:paraId="6FBA21C9" w14:textId="77777777" w:rsidR="00844B11" w:rsidRPr="002A1E1A" w:rsidRDefault="00844B11" w:rsidP="00844B11"/>
    <w:p w14:paraId="0A023CE0" w14:textId="5AF196E3" w:rsidR="00CF77F7" w:rsidRPr="002A1E1A" w:rsidRDefault="002C50EE" w:rsidP="004A448E">
      <w:pPr>
        <w:pStyle w:val="Heading2"/>
      </w:pPr>
      <w:r w:rsidRPr="002A1E1A">
        <w:t>4.9. Предозиране</w:t>
      </w:r>
    </w:p>
    <w:p w14:paraId="53E1B328" w14:textId="77777777" w:rsidR="003F7B0F" w:rsidRPr="002A1E1A" w:rsidRDefault="003F7B0F" w:rsidP="00844B11">
      <w:pPr>
        <w:rPr>
          <w:sz w:val="20"/>
          <w:szCs w:val="20"/>
        </w:rPr>
      </w:pPr>
    </w:p>
    <w:p w14:paraId="01367722" w14:textId="558113CE" w:rsidR="00844B11" w:rsidRPr="002A1E1A" w:rsidRDefault="003F7B0F" w:rsidP="003F7B0F">
      <w:r w:rsidRPr="002A1E1A">
        <w:t>Няма специфично лечение в случай на предозиране. При предозиране пациентът трябва да се лекува симптоматично и да се започнат поддържащи мерки според нуждата. Чернодробната функция и нивата на СК трябва да се следят. Малко е вероятно хемодиализата да бъде от полза.</w:t>
      </w:r>
    </w:p>
    <w:p w14:paraId="6AEE3A3E" w14:textId="503D577B" w:rsidR="00844B11" w:rsidRPr="002A1E1A" w:rsidRDefault="00844B11" w:rsidP="00844B11"/>
    <w:p w14:paraId="02081B24" w14:textId="1F46E296" w:rsidR="00395555" w:rsidRPr="002A1E1A" w:rsidRDefault="002C50EE" w:rsidP="008A6AF2">
      <w:pPr>
        <w:pStyle w:val="Heading1"/>
      </w:pPr>
      <w:r w:rsidRPr="002A1E1A">
        <w:t>5. ФАРМАКОЛОГИЧНИ СВОЙСТВА</w:t>
      </w:r>
    </w:p>
    <w:p w14:paraId="32B6DE66" w14:textId="14A2DFE6" w:rsidR="00CF77F7" w:rsidRPr="002A1E1A" w:rsidRDefault="002C50EE" w:rsidP="004A448E">
      <w:pPr>
        <w:pStyle w:val="Heading2"/>
      </w:pPr>
      <w:r w:rsidRPr="002A1E1A">
        <w:t xml:space="preserve">5.1. </w:t>
      </w:r>
      <w:proofErr w:type="spellStart"/>
      <w:r w:rsidRPr="002A1E1A">
        <w:t>Фармакодинамични</w:t>
      </w:r>
      <w:proofErr w:type="spellEnd"/>
      <w:r w:rsidRPr="002A1E1A">
        <w:t xml:space="preserve"> свойства</w:t>
      </w:r>
    </w:p>
    <w:p w14:paraId="47743047" w14:textId="4F6CF6B3" w:rsidR="003F7B0F" w:rsidRPr="002A1E1A" w:rsidRDefault="003F7B0F" w:rsidP="003F7B0F"/>
    <w:p w14:paraId="376F31AC" w14:textId="77777777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Фармакотерапевтична група: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инхибитори на </w:t>
      </w:r>
      <w:r w:rsidRPr="002A1E1A">
        <w:rPr>
          <w:rFonts w:eastAsia="Times New Roman" w:cs="Arial"/>
          <w:color w:val="000000"/>
          <w:szCs w:val="20"/>
        </w:rPr>
        <w:t>HMG-</w:t>
      </w:r>
      <w:proofErr w:type="spellStart"/>
      <w:r w:rsidRPr="002A1E1A">
        <w:rPr>
          <w:rFonts w:eastAsia="Times New Roman" w:cs="Arial"/>
          <w:color w:val="000000"/>
          <w:szCs w:val="20"/>
        </w:rPr>
        <w:t>CoA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редуктазата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, АТС код: С10АА07</w:t>
      </w:r>
    </w:p>
    <w:p w14:paraId="3FD15B7E" w14:textId="77777777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Механизъм на действие:</w:t>
      </w:r>
    </w:p>
    <w:p w14:paraId="5DAFB99A" w14:textId="77777777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 селективен и конкурентен инхибитор на </w:t>
      </w:r>
      <w:r w:rsidRPr="002A1E1A">
        <w:rPr>
          <w:rFonts w:eastAsia="Times New Roman" w:cs="Arial"/>
          <w:color w:val="000000"/>
          <w:szCs w:val="20"/>
        </w:rPr>
        <w:t>HMG-</w:t>
      </w:r>
      <w:proofErr w:type="spellStart"/>
      <w:r w:rsidRPr="002A1E1A">
        <w:rPr>
          <w:rFonts w:eastAsia="Times New Roman" w:cs="Arial"/>
          <w:color w:val="000000"/>
          <w:szCs w:val="20"/>
        </w:rPr>
        <w:t>CoA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редуктазата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скоростограничаващият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ензим, който превръща З-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хидрокси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-З-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метилглутарил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коензим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А в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мевалонат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прекурсор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на холестерола. Основно въздействие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оказва върху черния дроб, органът, в който се извършва намаляване нивото на холестерол.</w:t>
      </w:r>
    </w:p>
    <w:p w14:paraId="62C7FE84" w14:textId="77777777" w:rsidR="003F7B0F" w:rsidRPr="002A1E1A" w:rsidRDefault="003F7B0F" w:rsidP="003F7B0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9703811" w14:textId="12EE8098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увеличава броя на чернодробните </w:t>
      </w:r>
      <w:r w:rsidRPr="002A1E1A">
        <w:rPr>
          <w:rFonts w:eastAsia="Times New Roman" w:cs="Arial"/>
          <w:color w:val="000000"/>
          <w:szCs w:val="20"/>
        </w:rPr>
        <w:t xml:space="preserve">LDL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рецептори върху клетъчната повърхност, като засилва поемането 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катаболизма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на </w:t>
      </w:r>
      <w:r w:rsidRPr="002A1E1A">
        <w:rPr>
          <w:rFonts w:eastAsia="Times New Roman" w:cs="Arial"/>
          <w:color w:val="000000"/>
          <w:szCs w:val="20"/>
        </w:rPr>
        <w:t xml:space="preserve">LDL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 инхибира чернодробната синтеза на </w:t>
      </w:r>
      <w:r w:rsidRPr="002A1E1A">
        <w:rPr>
          <w:rFonts w:eastAsia="Times New Roman" w:cs="Arial"/>
          <w:color w:val="000000"/>
          <w:szCs w:val="20"/>
        </w:rPr>
        <w:t xml:space="preserve">VLDL.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По този начин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намалява общия брой на </w:t>
      </w:r>
      <w:r w:rsidRPr="002A1E1A">
        <w:rPr>
          <w:rFonts w:eastAsia="Times New Roman" w:cs="Arial"/>
          <w:color w:val="000000"/>
          <w:szCs w:val="20"/>
        </w:rPr>
        <w:t xml:space="preserve">VLDL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2A1E1A">
        <w:rPr>
          <w:rFonts w:eastAsia="Times New Roman" w:cs="Arial"/>
          <w:color w:val="000000"/>
          <w:szCs w:val="20"/>
        </w:rPr>
        <w:t xml:space="preserve">LDL </w:t>
      </w:r>
      <w:r w:rsidRPr="002A1E1A">
        <w:rPr>
          <w:rFonts w:eastAsia="Times New Roman" w:cs="Arial"/>
          <w:color w:val="000000"/>
          <w:szCs w:val="20"/>
          <w:lang w:eastAsia="bg-BG"/>
        </w:rPr>
        <w:t>частици.</w:t>
      </w:r>
    </w:p>
    <w:p w14:paraId="05C2E50F" w14:textId="77777777" w:rsidR="003F7B0F" w:rsidRPr="002A1E1A" w:rsidRDefault="003F7B0F" w:rsidP="003F7B0F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2123A5F7" w14:textId="2D7BE9BE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Фармакодинамични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 ефекти:</w:t>
      </w:r>
    </w:p>
    <w:p w14:paraId="6FA2BAA3" w14:textId="77777777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намалява повишения </w:t>
      </w:r>
      <w:r w:rsidRPr="002A1E1A">
        <w:rPr>
          <w:rFonts w:eastAsia="Times New Roman" w:cs="Arial"/>
          <w:color w:val="000000"/>
          <w:szCs w:val="20"/>
        </w:rPr>
        <w:t>LDL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-холестерол, общия холестерол 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триглицеридите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повишава </w:t>
      </w:r>
      <w:r w:rsidRPr="002A1E1A">
        <w:rPr>
          <w:rFonts w:eastAsia="Times New Roman" w:cs="Arial"/>
          <w:color w:val="000000"/>
          <w:szCs w:val="20"/>
        </w:rPr>
        <w:t>HDL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-холестерола. Той също понижава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АроВ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</w:t>
      </w:r>
      <w:proofErr w:type="spellStart"/>
      <w:r w:rsidRPr="002A1E1A">
        <w:rPr>
          <w:rFonts w:eastAsia="Times New Roman" w:cs="Arial"/>
          <w:color w:val="000000"/>
          <w:szCs w:val="20"/>
        </w:rPr>
        <w:t>non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-HDL-C, VLDL-C, VLDL-TG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 увеличава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АроА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-I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(вж. Таблица 3).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понижава и съотношенията </w:t>
      </w:r>
      <w:r w:rsidRPr="002A1E1A">
        <w:rPr>
          <w:rFonts w:eastAsia="Times New Roman" w:cs="Arial"/>
          <w:color w:val="000000"/>
          <w:szCs w:val="20"/>
        </w:rPr>
        <w:t xml:space="preserve">LDL-C/HDL-C,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общ </w:t>
      </w:r>
      <w:r w:rsidRPr="002A1E1A">
        <w:rPr>
          <w:rFonts w:eastAsia="Times New Roman" w:cs="Arial"/>
          <w:color w:val="000000"/>
          <w:szCs w:val="20"/>
        </w:rPr>
        <w:t xml:space="preserve">C/HDL-C, </w:t>
      </w:r>
      <w:proofErr w:type="spellStart"/>
      <w:r w:rsidRPr="002A1E1A">
        <w:rPr>
          <w:rFonts w:eastAsia="Times New Roman" w:cs="Arial"/>
          <w:color w:val="000000"/>
          <w:szCs w:val="20"/>
        </w:rPr>
        <w:t>non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HDL-C/HDL-C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АроВ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/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АроА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-</w:t>
      </w:r>
      <w:r w:rsidRPr="002A1E1A">
        <w:rPr>
          <w:rFonts w:eastAsia="Times New Roman" w:cs="Arial"/>
          <w:color w:val="000000"/>
          <w:szCs w:val="20"/>
        </w:rPr>
        <w:t>I</w:t>
      </w:r>
      <w:r w:rsidRPr="002A1E1A">
        <w:rPr>
          <w:rFonts w:eastAsia="Times New Roman" w:cs="Arial"/>
          <w:color w:val="000000"/>
          <w:szCs w:val="20"/>
          <w:lang w:eastAsia="bg-BG"/>
        </w:rPr>
        <w:t>.</w:t>
      </w:r>
    </w:p>
    <w:p w14:paraId="6CC07FD6" w14:textId="77777777" w:rsidR="003F7B0F" w:rsidRPr="002A1E1A" w:rsidRDefault="003F7B0F" w:rsidP="003F7B0F">
      <w:pPr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224101E1" w14:textId="3BD97A1D" w:rsidR="003F7B0F" w:rsidRPr="002A1E1A" w:rsidRDefault="003F7B0F" w:rsidP="003F7B0F">
      <w:pPr>
        <w:rPr>
          <w:rFonts w:eastAsia="Times New Roman" w:cs="Arial"/>
          <w:b/>
          <w:bCs/>
          <w:color w:val="000000"/>
          <w:szCs w:val="20"/>
          <w:lang w:eastAsia="bg-BG"/>
        </w:rPr>
      </w:pP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Таблица 3. Отговор на дозата при пациенти с първична </w:t>
      </w:r>
      <w:proofErr w:type="spellStart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хиперхолестеролемия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 (тип </w:t>
      </w:r>
      <w:proofErr w:type="spellStart"/>
      <w:r w:rsidRPr="002A1E1A">
        <w:rPr>
          <w:rFonts w:eastAsia="Times New Roman" w:cs="Arial"/>
          <w:b/>
          <w:bCs/>
          <w:color w:val="000000"/>
          <w:szCs w:val="20"/>
        </w:rPr>
        <w:t>II</w:t>
      </w: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а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 и </w:t>
      </w:r>
      <w:proofErr w:type="spellStart"/>
      <w:r w:rsidRPr="002A1E1A">
        <w:rPr>
          <w:rFonts w:eastAsia="Times New Roman" w:cs="Arial"/>
          <w:b/>
          <w:bCs/>
          <w:color w:val="000000"/>
          <w:szCs w:val="20"/>
        </w:rPr>
        <w:t>IIb</w:t>
      </w:r>
      <w:proofErr w:type="spellEnd"/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) (коригиран среден процент на промяна от изходното ниво)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897"/>
        <w:gridCol w:w="876"/>
        <w:gridCol w:w="1496"/>
        <w:gridCol w:w="890"/>
        <w:gridCol w:w="1316"/>
        <w:gridCol w:w="876"/>
        <w:gridCol w:w="876"/>
        <w:gridCol w:w="957"/>
      </w:tblGrid>
      <w:tr w:rsidR="003F7B0F" w:rsidRPr="002A1E1A" w14:paraId="2BE3B7B8" w14:textId="77777777" w:rsidTr="003F7B0F">
        <w:tc>
          <w:tcPr>
            <w:tcW w:w="1165" w:type="dxa"/>
          </w:tcPr>
          <w:p w14:paraId="0FDA0EBD" w14:textId="647D8588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Доза</w:t>
            </w:r>
          </w:p>
        </w:tc>
        <w:tc>
          <w:tcPr>
            <w:tcW w:w="934" w:type="dxa"/>
          </w:tcPr>
          <w:p w14:paraId="3B741518" w14:textId="3E789649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брой</w:t>
            </w:r>
          </w:p>
        </w:tc>
        <w:tc>
          <w:tcPr>
            <w:tcW w:w="919" w:type="dxa"/>
          </w:tcPr>
          <w:p w14:paraId="6F5A088A" w14:textId="332A4D3B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LDL-C</w:t>
            </w:r>
          </w:p>
        </w:tc>
        <w:tc>
          <w:tcPr>
            <w:tcW w:w="1496" w:type="dxa"/>
          </w:tcPr>
          <w:p w14:paraId="6C0699A1" w14:textId="78E19AAF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Общ холестерол</w:t>
            </w:r>
          </w:p>
        </w:tc>
        <w:tc>
          <w:tcPr>
            <w:tcW w:w="929" w:type="dxa"/>
          </w:tcPr>
          <w:p w14:paraId="5440AD4C" w14:textId="01F82C01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HDL- С</w:t>
            </w:r>
          </w:p>
        </w:tc>
        <w:tc>
          <w:tcPr>
            <w:tcW w:w="1316" w:type="dxa"/>
          </w:tcPr>
          <w:p w14:paraId="50452788" w14:textId="28BCE2BA" w:rsidR="003F7B0F" w:rsidRPr="002A1E1A" w:rsidRDefault="003F7B0F" w:rsidP="003F7B0F">
            <w:pPr>
              <w:rPr>
                <w:rFonts w:cs="Arial"/>
              </w:rPr>
            </w:pPr>
            <w:proofErr w:type="spellStart"/>
            <w:r w:rsidRPr="002A1E1A">
              <w:rPr>
                <w:rFonts w:cs="Arial"/>
                <w:b/>
                <w:bCs/>
              </w:rPr>
              <w:t>Трнглице</w:t>
            </w:r>
            <w:proofErr w:type="spellEnd"/>
            <w:r w:rsidRPr="002A1E1A">
              <w:rPr>
                <w:rFonts w:cs="Arial"/>
                <w:b/>
                <w:bCs/>
              </w:rPr>
              <w:t xml:space="preserve">- </w:t>
            </w:r>
            <w:proofErr w:type="spellStart"/>
            <w:r w:rsidRPr="002A1E1A">
              <w:rPr>
                <w:rFonts w:cs="Arial"/>
                <w:b/>
                <w:bCs/>
              </w:rPr>
              <w:t>рнди</w:t>
            </w:r>
            <w:proofErr w:type="spellEnd"/>
          </w:p>
        </w:tc>
        <w:tc>
          <w:tcPr>
            <w:tcW w:w="919" w:type="dxa"/>
          </w:tcPr>
          <w:p w14:paraId="080A6DF7" w14:textId="7152D488" w:rsidR="003F7B0F" w:rsidRPr="002A1E1A" w:rsidRDefault="003F7B0F" w:rsidP="003F7B0F">
            <w:pPr>
              <w:rPr>
                <w:rFonts w:cs="Arial"/>
              </w:rPr>
            </w:pPr>
            <w:proofErr w:type="spellStart"/>
            <w:r w:rsidRPr="002A1E1A">
              <w:rPr>
                <w:rFonts w:cs="Arial"/>
                <w:b/>
                <w:bCs/>
              </w:rPr>
              <w:t>Non</w:t>
            </w:r>
            <w:proofErr w:type="spellEnd"/>
            <w:r w:rsidRPr="002A1E1A">
              <w:rPr>
                <w:rFonts w:cs="Arial"/>
                <w:b/>
                <w:bCs/>
              </w:rPr>
              <w:t>- HDL С</w:t>
            </w:r>
          </w:p>
        </w:tc>
        <w:tc>
          <w:tcPr>
            <w:tcW w:w="919" w:type="dxa"/>
          </w:tcPr>
          <w:p w14:paraId="1329633E" w14:textId="11B069E2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Аро-В</w:t>
            </w:r>
          </w:p>
        </w:tc>
        <w:tc>
          <w:tcPr>
            <w:tcW w:w="979" w:type="dxa"/>
          </w:tcPr>
          <w:p w14:paraId="35D0F214" w14:textId="37DABBF9" w:rsidR="003F7B0F" w:rsidRPr="002A1E1A" w:rsidRDefault="003F7B0F" w:rsidP="003F7B0F">
            <w:pPr>
              <w:rPr>
                <w:rFonts w:cs="Arial"/>
              </w:rPr>
            </w:pPr>
            <w:proofErr w:type="spellStart"/>
            <w:r w:rsidRPr="002A1E1A">
              <w:rPr>
                <w:rFonts w:cs="Arial"/>
                <w:b/>
                <w:bCs/>
              </w:rPr>
              <w:t>АроА</w:t>
            </w:r>
            <w:proofErr w:type="spellEnd"/>
            <w:r w:rsidRPr="002A1E1A">
              <w:rPr>
                <w:rFonts w:cs="Arial"/>
                <w:b/>
                <w:bCs/>
              </w:rPr>
              <w:t>-I</w:t>
            </w:r>
          </w:p>
        </w:tc>
      </w:tr>
      <w:tr w:rsidR="003F7B0F" w:rsidRPr="002A1E1A" w14:paraId="6DCC18FA" w14:textId="77777777" w:rsidTr="003F7B0F">
        <w:tc>
          <w:tcPr>
            <w:tcW w:w="1165" w:type="dxa"/>
          </w:tcPr>
          <w:p w14:paraId="5A0BC823" w14:textId="5D6A1420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Плацебо</w:t>
            </w:r>
          </w:p>
        </w:tc>
        <w:tc>
          <w:tcPr>
            <w:tcW w:w="934" w:type="dxa"/>
          </w:tcPr>
          <w:p w14:paraId="1109CCB2" w14:textId="4992F334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13</w:t>
            </w:r>
          </w:p>
        </w:tc>
        <w:tc>
          <w:tcPr>
            <w:tcW w:w="919" w:type="dxa"/>
          </w:tcPr>
          <w:p w14:paraId="3FFE844F" w14:textId="2588FB18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-7</w:t>
            </w:r>
          </w:p>
        </w:tc>
        <w:tc>
          <w:tcPr>
            <w:tcW w:w="1496" w:type="dxa"/>
          </w:tcPr>
          <w:p w14:paraId="222694A8" w14:textId="13157C19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-5</w:t>
            </w:r>
          </w:p>
        </w:tc>
        <w:tc>
          <w:tcPr>
            <w:tcW w:w="929" w:type="dxa"/>
          </w:tcPr>
          <w:p w14:paraId="3D21AF39" w14:textId="3A467D49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3</w:t>
            </w:r>
          </w:p>
        </w:tc>
        <w:tc>
          <w:tcPr>
            <w:tcW w:w="1316" w:type="dxa"/>
          </w:tcPr>
          <w:p w14:paraId="504BEE67" w14:textId="3D4127D2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-3</w:t>
            </w:r>
          </w:p>
        </w:tc>
        <w:tc>
          <w:tcPr>
            <w:tcW w:w="919" w:type="dxa"/>
          </w:tcPr>
          <w:p w14:paraId="0C05D750" w14:textId="07A17603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-7</w:t>
            </w:r>
          </w:p>
        </w:tc>
        <w:tc>
          <w:tcPr>
            <w:tcW w:w="919" w:type="dxa"/>
          </w:tcPr>
          <w:p w14:paraId="5721CF22" w14:textId="583918F2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-3</w:t>
            </w:r>
          </w:p>
        </w:tc>
        <w:tc>
          <w:tcPr>
            <w:tcW w:w="979" w:type="dxa"/>
          </w:tcPr>
          <w:p w14:paraId="47143899" w14:textId="217EDD2C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0</w:t>
            </w:r>
          </w:p>
        </w:tc>
      </w:tr>
      <w:tr w:rsidR="003F7B0F" w:rsidRPr="002A1E1A" w14:paraId="580FCB9B" w14:textId="77777777" w:rsidTr="003F7B0F">
        <w:tc>
          <w:tcPr>
            <w:tcW w:w="1165" w:type="dxa"/>
          </w:tcPr>
          <w:p w14:paraId="49E70F07" w14:textId="1AF7B1FC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5</w:t>
            </w:r>
          </w:p>
        </w:tc>
        <w:tc>
          <w:tcPr>
            <w:tcW w:w="934" w:type="dxa"/>
          </w:tcPr>
          <w:p w14:paraId="40386213" w14:textId="2B73D196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17</w:t>
            </w:r>
          </w:p>
        </w:tc>
        <w:tc>
          <w:tcPr>
            <w:tcW w:w="919" w:type="dxa"/>
          </w:tcPr>
          <w:p w14:paraId="4E174745" w14:textId="153C3472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-45</w:t>
            </w:r>
          </w:p>
        </w:tc>
        <w:tc>
          <w:tcPr>
            <w:tcW w:w="1496" w:type="dxa"/>
          </w:tcPr>
          <w:p w14:paraId="6E161022" w14:textId="41B4C1CC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-33</w:t>
            </w:r>
          </w:p>
        </w:tc>
        <w:tc>
          <w:tcPr>
            <w:tcW w:w="929" w:type="dxa"/>
          </w:tcPr>
          <w:p w14:paraId="5F75E209" w14:textId="4E7B746B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13</w:t>
            </w:r>
          </w:p>
        </w:tc>
        <w:tc>
          <w:tcPr>
            <w:tcW w:w="1316" w:type="dxa"/>
          </w:tcPr>
          <w:p w14:paraId="486D4C82" w14:textId="712E0762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-35</w:t>
            </w:r>
          </w:p>
        </w:tc>
        <w:tc>
          <w:tcPr>
            <w:tcW w:w="919" w:type="dxa"/>
          </w:tcPr>
          <w:p w14:paraId="241CFDE1" w14:textId="0DDE24A1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-44</w:t>
            </w:r>
          </w:p>
        </w:tc>
        <w:tc>
          <w:tcPr>
            <w:tcW w:w="919" w:type="dxa"/>
          </w:tcPr>
          <w:p w14:paraId="074474BD" w14:textId="1E2FE8DE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-38</w:t>
            </w:r>
          </w:p>
        </w:tc>
        <w:tc>
          <w:tcPr>
            <w:tcW w:w="979" w:type="dxa"/>
          </w:tcPr>
          <w:p w14:paraId="683F1B86" w14:textId="2F053EDA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4</w:t>
            </w:r>
          </w:p>
        </w:tc>
      </w:tr>
      <w:tr w:rsidR="003F7B0F" w:rsidRPr="002A1E1A" w14:paraId="1ABA4F78" w14:textId="77777777" w:rsidTr="003F7B0F">
        <w:tc>
          <w:tcPr>
            <w:tcW w:w="1165" w:type="dxa"/>
          </w:tcPr>
          <w:p w14:paraId="7102D0AC" w14:textId="7748FF7E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10</w:t>
            </w:r>
          </w:p>
        </w:tc>
        <w:tc>
          <w:tcPr>
            <w:tcW w:w="934" w:type="dxa"/>
          </w:tcPr>
          <w:p w14:paraId="140C4EBF" w14:textId="467E7DDC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17</w:t>
            </w:r>
          </w:p>
        </w:tc>
        <w:tc>
          <w:tcPr>
            <w:tcW w:w="919" w:type="dxa"/>
          </w:tcPr>
          <w:p w14:paraId="3735BD65" w14:textId="7DAF28C6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-52</w:t>
            </w:r>
          </w:p>
        </w:tc>
        <w:tc>
          <w:tcPr>
            <w:tcW w:w="1496" w:type="dxa"/>
          </w:tcPr>
          <w:p w14:paraId="23AF9486" w14:textId="43BC3B8D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-36</w:t>
            </w:r>
          </w:p>
        </w:tc>
        <w:tc>
          <w:tcPr>
            <w:tcW w:w="929" w:type="dxa"/>
          </w:tcPr>
          <w:p w14:paraId="21E1A170" w14:textId="2745615F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14</w:t>
            </w:r>
          </w:p>
        </w:tc>
        <w:tc>
          <w:tcPr>
            <w:tcW w:w="1316" w:type="dxa"/>
          </w:tcPr>
          <w:p w14:paraId="67FB0779" w14:textId="2BB5487D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-10</w:t>
            </w:r>
          </w:p>
        </w:tc>
        <w:tc>
          <w:tcPr>
            <w:tcW w:w="919" w:type="dxa"/>
          </w:tcPr>
          <w:p w14:paraId="245A993B" w14:textId="64AAA81E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-48</w:t>
            </w:r>
          </w:p>
        </w:tc>
        <w:tc>
          <w:tcPr>
            <w:tcW w:w="919" w:type="dxa"/>
          </w:tcPr>
          <w:p w14:paraId="42B531F8" w14:textId="02007665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-42</w:t>
            </w:r>
          </w:p>
        </w:tc>
        <w:tc>
          <w:tcPr>
            <w:tcW w:w="979" w:type="dxa"/>
          </w:tcPr>
          <w:p w14:paraId="3C4AC026" w14:textId="66CABEF4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4</w:t>
            </w:r>
          </w:p>
        </w:tc>
      </w:tr>
      <w:tr w:rsidR="003F7B0F" w:rsidRPr="002A1E1A" w14:paraId="5D631AB7" w14:textId="77777777" w:rsidTr="003F7B0F">
        <w:tc>
          <w:tcPr>
            <w:tcW w:w="1165" w:type="dxa"/>
          </w:tcPr>
          <w:p w14:paraId="78876404" w14:textId="0B0C94AD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20</w:t>
            </w:r>
          </w:p>
        </w:tc>
        <w:tc>
          <w:tcPr>
            <w:tcW w:w="934" w:type="dxa"/>
          </w:tcPr>
          <w:p w14:paraId="7D14DAD8" w14:textId="7CB068E4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17</w:t>
            </w:r>
          </w:p>
        </w:tc>
        <w:tc>
          <w:tcPr>
            <w:tcW w:w="919" w:type="dxa"/>
          </w:tcPr>
          <w:p w14:paraId="241C982A" w14:textId="16B4EDF0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-55</w:t>
            </w:r>
          </w:p>
        </w:tc>
        <w:tc>
          <w:tcPr>
            <w:tcW w:w="1496" w:type="dxa"/>
          </w:tcPr>
          <w:p w14:paraId="78065B4C" w14:textId="3618D473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-40</w:t>
            </w:r>
          </w:p>
        </w:tc>
        <w:tc>
          <w:tcPr>
            <w:tcW w:w="929" w:type="dxa"/>
          </w:tcPr>
          <w:p w14:paraId="26E95CDC" w14:textId="719B0575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8</w:t>
            </w:r>
          </w:p>
        </w:tc>
        <w:tc>
          <w:tcPr>
            <w:tcW w:w="1316" w:type="dxa"/>
          </w:tcPr>
          <w:p w14:paraId="619C2D46" w14:textId="632D56DB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-23</w:t>
            </w:r>
          </w:p>
        </w:tc>
        <w:tc>
          <w:tcPr>
            <w:tcW w:w="919" w:type="dxa"/>
          </w:tcPr>
          <w:p w14:paraId="3F81CFF7" w14:textId="5D6A0B6A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-51</w:t>
            </w:r>
          </w:p>
        </w:tc>
        <w:tc>
          <w:tcPr>
            <w:tcW w:w="919" w:type="dxa"/>
          </w:tcPr>
          <w:p w14:paraId="72140208" w14:textId="4844C503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-46</w:t>
            </w:r>
          </w:p>
        </w:tc>
        <w:tc>
          <w:tcPr>
            <w:tcW w:w="979" w:type="dxa"/>
          </w:tcPr>
          <w:p w14:paraId="049EDBCE" w14:textId="1146E653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5</w:t>
            </w:r>
          </w:p>
        </w:tc>
      </w:tr>
      <w:tr w:rsidR="003F7B0F" w:rsidRPr="002A1E1A" w14:paraId="40C44C1C" w14:textId="77777777" w:rsidTr="003F7B0F">
        <w:tc>
          <w:tcPr>
            <w:tcW w:w="1165" w:type="dxa"/>
          </w:tcPr>
          <w:p w14:paraId="3E04D71E" w14:textId="67FEB6A5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40</w:t>
            </w:r>
          </w:p>
        </w:tc>
        <w:tc>
          <w:tcPr>
            <w:tcW w:w="934" w:type="dxa"/>
          </w:tcPr>
          <w:p w14:paraId="5ABD5E4F" w14:textId="31B1D67F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18</w:t>
            </w:r>
          </w:p>
        </w:tc>
        <w:tc>
          <w:tcPr>
            <w:tcW w:w="919" w:type="dxa"/>
          </w:tcPr>
          <w:p w14:paraId="2DD7D052" w14:textId="0E7E97F6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-63</w:t>
            </w:r>
          </w:p>
        </w:tc>
        <w:tc>
          <w:tcPr>
            <w:tcW w:w="1496" w:type="dxa"/>
          </w:tcPr>
          <w:p w14:paraId="4B5FA88A" w14:textId="29987955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-46</w:t>
            </w:r>
          </w:p>
        </w:tc>
        <w:tc>
          <w:tcPr>
            <w:tcW w:w="929" w:type="dxa"/>
          </w:tcPr>
          <w:p w14:paraId="2FD18C4D" w14:textId="597377DC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10</w:t>
            </w:r>
          </w:p>
        </w:tc>
        <w:tc>
          <w:tcPr>
            <w:tcW w:w="1316" w:type="dxa"/>
          </w:tcPr>
          <w:p w14:paraId="15003B78" w14:textId="3DCA25CA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-28</w:t>
            </w:r>
          </w:p>
        </w:tc>
        <w:tc>
          <w:tcPr>
            <w:tcW w:w="919" w:type="dxa"/>
          </w:tcPr>
          <w:p w14:paraId="44F627BC" w14:textId="0F187B52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-60</w:t>
            </w:r>
          </w:p>
        </w:tc>
        <w:tc>
          <w:tcPr>
            <w:tcW w:w="919" w:type="dxa"/>
          </w:tcPr>
          <w:p w14:paraId="325F3987" w14:textId="393FB076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-54</w:t>
            </w:r>
          </w:p>
        </w:tc>
        <w:tc>
          <w:tcPr>
            <w:tcW w:w="979" w:type="dxa"/>
          </w:tcPr>
          <w:p w14:paraId="0A2ECEE8" w14:textId="5B617722" w:rsidR="003F7B0F" w:rsidRPr="002A1E1A" w:rsidRDefault="003F7B0F" w:rsidP="003F7B0F">
            <w:pPr>
              <w:rPr>
                <w:rFonts w:cs="Arial"/>
              </w:rPr>
            </w:pPr>
            <w:r w:rsidRPr="002A1E1A">
              <w:rPr>
                <w:rFonts w:cs="Arial"/>
                <w:b/>
                <w:bCs/>
              </w:rPr>
              <w:t>0</w:t>
            </w:r>
          </w:p>
        </w:tc>
      </w:tr>
    </w:tbl>
    <w:p w14:paraId="5A513E4F" w14:textId="77777777" w:rsidR="003F7B0F" w:rsidRPr="002A1E1A" w:rsidRDefault="003F7B0F" w:rsidP="003F7B0F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14:paraId="1BF69E97" w14:textId="72419DD7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Терапевтичният отговор към лечението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се забелязва до 1 седмица от началото на терапията и 90% от максималния отговор се постига до 2 седмици. Максималният отговор обикновено се постига към 4-та седмица и се поддържа след това.</w:t>
      </w:r>
    </w:p>
    <w:p w14:paraId="71B9716F" w14:textId="77777777" w:rsidR="003F7B0F" w:rsidRPr="002A1E1A" w:rsidRDefault="003F7B0F" w:rsidP="003F7B0F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5F2EC9EA" w14:textId="58B6A3DE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>Клинична ефикасност и безопасност</w:t>
      </w:r>
    </w:p>
    <w:p w14:paraId="212E8666" w14:textId="79D04A9E" w:rsidR="003F7B0F" w:rsidRPr="002A1E1A" w:rsidRDefault="003F7B0F" w:rsidP="003F7B0F">
      <w:pPr>
        <w:rPr>
          <w:rFonts w:eastAsia="Times New Roman" w:cs="Arial"/>
          <w:color w:val="000000"/>
          <w:szCs w:val="20"/>
          <w:lang w:eastAsia="bg-BG"/>
        </w:rPr>
      </w:pP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 ефективен при възрастни хора, страдащи от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хиперхолестеролемия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със или без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хипертриглицеридемия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независимо от расова принадлежност, пол или възраст, и при специални групи като диабетици или пациенти с фамилна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хиперхолестеролемия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.</w:t>
      </w:r>
    </w:p>
    <w:p w14:paraId="46CB7B25" w14:textId="07401C14" w:rsidR="003F7B0F" w:rsidRPr="002A1E1A" w:rsidRDefault="003F7B0F" w:rsidP="003F7B0F">
      <w:pPr>
        <w:rPr>
          <w:rFonts w:eastAsia="Times New Roman" w:cs="Arial"/>
          <w:color w:val="000000"/>
          <w:szCs w:val="20"/>
          <w:lang w:eastAsia="bg-BG"/>
        </w:rPr>
      </w:pPr>
    </w:p>
    <w:p w14:paraId="6E71B632" w14:textId="77777777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Обобщените данни от III фаза на клиничните проучвания показват, че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 ефективен при лечение на голяма част от пациентите с тип </w:t>
      </w:r>
      <w:proofErr w:type="spellStart"/>
      <w:r w:rsidRPr="002A1E1A">
        <w:rPr>
          <w:rFonts w:eastAsia="Times New Roman" w:cs="Arial"/>
          <w:color w:val="000000"/>
          <w:szCs w:val="20"/>
        </w:rPr>
        <w:t>II</w:t>
      </w:r>
      <w:r w:rsidRPr="002A1E1A">
        <w:rPr>
          <w:rFonts w:eastAsia="Times New Roman" w:cs="Arial"/>
          <w:color w:val="000000"/>
          <w:szCs w:val="20"/>
          <w:lang w:eastAsia="bg-BG"/>
        </w:rPr>
        <w:t>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</w:t>
      </w:r>
      <w:r w:rsidRPr="002A1E1A">
        <w:rPr>
          <w:rFonts w:eastAsia="Times New Roman" w:cs="Arial"/>
          <w:color w:val="000000"/>
          <w:szCs w:val="20"/>
        </w:rPr>
        <w:t>II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Ь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хиперхолестеролемия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(средна изходна стойност на </w:t>
      </w:r>
      <w:r w:rsidRPr="002A1E1A">
        <w:rPr>
          <w:rFonts w:eastAsia="Times New Roman" w:cs="Arial"/>
          <w:color w:val="000000"/>
          <w:szCs w:val="20"/>
        </w:rPr>
        <w:t xml:space="preserve">LDL-C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около 4,8 </w:t>
      </w:r>
      <w:proofErr w:type="spellStart"/>
      <w:r w:rsidRPr="002A1E1A">
        <w:rPr>
          <w:rFonts w:eastAsia="Times New Roman" w:cs="Arial"/>
          <w:color w:val="000000"/>
          <w:szCs w:val="20"/>
        </w:rPr>
        <w:t>mmol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/1),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според определените от Европейската общност по атеросклероза прицелни стойности </w:t>
      </w:r>
      <w:r w:rsidRPr="002A1E1A">
        <w:rPr>
          <w:rFonts w:eastAsia="Times New Roman" w:cs="Arial"/>
          <w:color w:val="000000"/>
          <w:szCs w:val="20"/>
        </w:rPr>
        <w:t xml:space="preserve">(EAS;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1998). Около 80% от </w:t>
      </w:r>
      <w:r w:rsidRPr="002A1E1A">
        <w:rPr>
          <w:rFonts w:eastAsia="Times New Roman" w:cs="Arial"/>
          <w:color w:val="000000"/>
          <w:szCs w:val="20"/>
          <w:lang w:eastAsia="bg-BG"/>
        </w:rPr>
        <w:lastRenderedPageBreak/>
        <w:t xml:space="preserve">пациентите на 10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са достигнали желаните стойности на </w:t>
      </w:r>
      <w:r w:rsidRPr="002A1E1A">
        <w:rPr>
          <w:rFonts w:eastAsia="Times New Roman" w:cs="Arial"/>
          <w:color w:val="000000"/>
          <w:szCs w:val="20"/>
        </w:rPr>
        <w:t xml:space="preserve">LDL-C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(&lt;3 </w:t>
      </w:r>
      <w:proofErr w:type="spellStart"/>
      <w:r w:rsidRPr="002A1E1A">
        <w:rPr>
          <w:rFonts w:eastAsia="Times New Roman" w:cs="Arial"/>
          <w:color w:val="000000"/>
          <w:szCs w:val="20"/>
        </w:rPr>
        <w:t>mmol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/1)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според </w:t>
      </w:r>
      <w:r w:rsidRPr="002A1E1A">
        <w:rPr>
          <w:rFonts w:eastAsia="Times New Roman" w:cs="Arial"/>
          <w:color w:val="000000"/>
          <w:szCs w:val="20"/>
        </w:rPr>
        <w:t>EAS.</w:t>
      </w:r>
    </w:p>
    <w:p w14:paraId="73A29E43" w14:textId="77777777" w:rsidR="003F7B0F" w:rsidRPr="002A1E1A" w:rsidRDefault="003F7B0F" w:rsidP="003F7B0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B67831E" w14:textId="6972C955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В едно мащабно проучване с форсирано титриране на дозата, 435 пациенти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хетерозиготна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фамилна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хиперхолестеролемия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са лекувани с 20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до 80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.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Всички дозировки показват положителен резултат върху липидните показатели. След достигане на дневна доза от 40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(12-седмично лечение), </w:t>
      </w:r>
      <w:r w:rsidRPr="002A1E1A">
        <w:rPr>
          <w:rFonts w:eastAsia="Times New Roman" w:cs="Arial"/>
          <w:color w:val="000000"/>
          <w:szCs w:val="20"/>
        </w:rPr>
        <w:t xml:space="preserve">LDL-C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намалява с 53%. 33% от пациентите достигат стойностите на </w:t>
      </w:r>
      <w:r w:rsidRPr="002A1E1A">
        <w:rPr>
          <w:rFonts w:eastAsia="Times New Roman" w:cs="Arial"/>
          <w:color w:val="000000"/>
          <w:szCs w:val="20"/>
        </w:rPr>
        <w:t xml:space="preserve">LDL-C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според </w:t>
      </w:r>
      <w:r w:rsidRPr="002A1E1A">
        <w:rPr>
          <w:rFonts w:eastAsia="Times New Roman" w:cs="Arial"/>
          <w:color w:val="000000"/>
          <w:szCs w:val="20"/>
        </w:rPr>
        <w:t xml:space="preserve">EAS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(&lt;3 </w:t>
      </w:r>
      <w:proofErr w:type="spellStart"/>
      <w:r w:rsidRPr="002A1E1A">
        <w:rPr>
          <w:rFonts w:eastAsia="Times New Roman" w:cs="Arial"/>
          <w:color w:val="000000"/>
          <w:szCs w:val="20"/>
        </w:rPr>
        <w:t>mmol</w:t>
      </w:r>
      <w:proofErr w:type="spellEnd"/>
      <w:r w:rsidRPr="002A1E1A">
        <w:rPr>
          <w:rFonts w:eastAsia="Times New Roman" w:cs="Arial"/>
          <w:color w:val="000000"/>
          <w:szCs w:val="20"/>
        </w:rPr>
        <w:t>/1).</w:t>
      </w:r>
    </w:p>
    <w:p w14:paraId="6D1DDF8D" w14:textId="77777777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В едно отворено проучване с форсирано титриране на дозата при 42 пациенти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хомозиготна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фамилна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хиперхолестеролемия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са отчетени резултатите от приемане на 20-40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. В общата популация средното понижение на </w:t>
      </w:r>
      <w:r w:rsidRPr="002A1E1A">
        <w:rPr>
          <w:rFonts w:eastAsia="Times New Roman" w:cs="Arial"/>
          <w:color w:val="000000"/>
          <w:szCs w:val="20"/>
        </w:rPr>
        <w:t xml:space="preserve">LDL-C </w:t>
      </w:r>
      <w:r w:rsidRPr="002A1E1A">
        <w:rPr>
          <w:rFonts w:eastAsia="Times New Roman" w:cs="Arial"/>
          <w:color w:val="000000"/>
          <w:szCs w:val="20"/>
          <w:lang w:eastAsia="bg-BG"/>
        </w:rPr>
        <w:t>е 22%.</w:t>
      </w:r>
    </w:p>
    <w:p w14:paraId="1919B8A1" w14:textId="77777777" w:rsidR="003F7B0F" w:rsidRPr="002A1E1A" w:rsidRDefault="003F7B0F" w:rsidP="003F7B0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E161345" w14:textId="409E6F1E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При клинични изпитвания с ограничен брой пациенти,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показва адитивна ефективност при намаляване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триглицеридите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когато е приеман в комбинация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фенофибрат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увеличение на нивото на </w:t>
      </w:r>
      <w:r w:rsidRPr="002A1E1A">
        <w:rPr>
          <w:rFonts w:eastAsia="Times New Roman" w:cs="Arial"/>
          <w:color w:val="000000"/>
          <w:szCs w:val="20"/>
        </w:rPr>
        <w:t xml:space="preserve">HDL-C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в комбинация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ниацин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(вж. точка 4.4).</w:t>
      </w:r>
    </w:p>
    <w:p w14:paraId="69191276" w14:textId="77777777" w:rsidR="003F7B0F" w:rsidRPr="002A1E1A" w:rsidRDefault="003F7B0F" w:rsidP="003F7B0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FEDF90A" w14:textId="0ACCAD17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В едно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мултицентрово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двойно сляпо, плацебо-контролирано клинично проучване </w:t>
      </w:r>
      <w:r w:rsidRPr="002A1E1A">
        <w:rPr>
          <w:rFonts w:eastAsia="Times New Roman" w:cs="Arial"/>
          <w:color w:val="000000"/>
          <w:szCs w:val="20"/>
        </w:rPr>
        <w:t xml:space="preserve">(METEOR),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984 пациенти между 45 и 70 години с нисък риск за исхемична болест на сърцето (дефинирано като </w:t>
      </w:r>
      <w:proofErr w:type="spellStart"/>
      <w:r w:rsidRPr="002A1E1A">
        <w:rPr>
          <w:rFonts w:eastAsia="Times New Roman" w:cs="Arial"/>
          <w:color w:val="000000"/>
          <w:szCs w:val="20"/>
        </w:rPr>
        <w:t>Framingham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риск &lt;10% за 10 г.) и със среден </w:t>
      </w:r>
      <w:r w:rsidRPr="002A1E1A">
        <w:rPr>
          <w:rFonts w:eastAsia="Times New Roman" w:cs="Arial"/>
          <w:color w:val="000000"/>
          <w:szCs w:val="20"/>
        </w:rPr>
        <w:t xml:space="preserve">LDL-C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4,0 </w:t>
      </w:r>
      <w:proofErr w:type="spellStart"/>
      <w:r w:rsidRPr="002A1E1A">
        <w:rPr>
          <w:rFonts w:eastAsia="Times New Roman" w:cs="Arial"/>
          <w:color w:val="000000"/>
          <w:szCs w:val="20"/>
        </w:rPr>
        <w:t>mmol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/1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(154,5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/dl),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но със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субклинична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атеросклероза, установена чрез измерване на </w:t>
      </w:r>
      <w:r w:rsidRPr="002A1E1A">
        <w:rPr>
          <w:rFonts w:eastAsia="Times New Roman" w:cs="Arial"/>
          <w:color w:val="000000"/>
          <w:szCs w:val="20"/>
        </w:rPr>
        <w:t>CIMT (</w:t>
      </w:r>
      <w:proofErr w:type="spellStart"/>
      <w:r w:rsidRPr="002A1E1A">
        <w:rPr>
          <w:rFonts w:eastAsia="Times New Roman" w:cs="Arial"/>
          <w:color w:val="000000"/>
          <w:szCs w:val="20"/>
        </w:rPr>
        <w:t>Carotid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</w:rPr>
        <w:t>Intima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Media </w:t>
      </w:r>
      <w:proofErr w:type="spellStart"/>
      <w:r w:rsidRPr="002A1E1A">
        <w:rPr>
          <w:rFonts w:eastAsia="Times New Roman" w:cs="Arial"/>
          <w:color w:val="000000"/>
          <w:szCs w:val="20"/>
        </w:rPr>
        <w:t>Thickness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),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бяха рандомизирани на 40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веднъж дневно или плацебо за 2 години.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значително забави прогресията на максималното </w:t>
      </w:r>
      <w:r w:rsidRPr="002A1E1A">
        <w:rPr>
          <w:rFonts w:eastAsia="Times New Roman" w:cs="Arial"/>
          <w:color w:val="000000"/>
          <w:szCs w:val="20"/>
        </w:rPr>
        <w:t xml:space="preserve">CIMT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на всички (12 места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каротидните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артерии в сравнение с плацебо -0,0145 </w:t>
      </w:r>
      <w:r w:rsidRPr="002A1E1A">
        <w:rPr>
          <w:rFonts w:eastAsia="Times New Roman" w:cs="Arial"/>
          <w:color w:val="000000"/>
          <w:szCs w:val="20"/>
        </w:rPr>
        <w:t>mm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/година (95% </w:t>
      </w:r>
      <w:r w:rsidRPr="002A1E1A">
        <w:rPr>
          <w:rFonts w:eastAsia="Times New Roman" w:cs="Arial"/>
          <w:color w:val="000000"/>
          <w:szCs w:val="20"/>
        </w:rPr>
        <w:t xml:space="preserve">CI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-0,0196; 0,0093; р&lt;0,0001). Промяната спрямо изходните стойности за групата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 - 0,0014гшп/година (-12%/година (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несигнификантно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)), в сравнение с плацебо групата с прогресия от +0,0131 </w:t>
      </w:r>
      <w:r w:rsidRPr="002A1E1A">
        <w:rPr>
          <w:rFonts w:eastAsia="Times New Roman" w:cs="Arial"/>
          <w:color w:val="000000"/>
          <w:szCs w:val="20"/>
        </w:rPr>
        <w:t>mm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/година (1,12/година (р&lt;0,0001)). Не е демонстрирана директна взаимовръзка между понижението на нивата на С1МТ и понижения риск от сърдечно-съдови събития. Популацията в проучването </w:t>
      </w:r>
      <w:r w:rsidRPr="002A1E1A">
        <w:rPr>
          <w:rFonts w:eastAsia="Times New Roman" w:cs="Arial"/>
          <w:color w:val="000000"/>
          <w:szCs w:val="20"/>
        </w:rPr>
        <w:t xml:space="preserve">METEOR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е с нисък риск от исхемична болест на сърцето и не е представителна за таргетната популация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40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.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Дозировката от 40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трябва да се предписва само при пациенти с тежка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хиперхолестеролемия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 висок сърдечносъдов риск (вж. точка 4.2).</w:t>
      </w:r>
    </w:p>
    <w:p w14:paraId="74934277" w14:textId="77777777" w:rsidR="003F7B0F" w:rsidRPr="002A1E1A" w:rsidRDefault="003F7B0F" w:rsidP="003F7B0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777A63D" w14:textId="01E6212C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Проучването </w:t>
      </w:r>
      <w:r w:rsidRPr="002A1E1A">
        <w:rPr>
          <w:rFonts w:eastAsia="Times New Roman" w:cs="Arial"/>
          <w:color w:val="000000"/>
          <w:szCs w:val="20"/>
        </w:rPr>
        <w:t>JUPITER (</w:t>
      </w:r>
      <w:proofErr w:type="spellStart"/>
      <w:r w:rsidRPr="002A1E1A">
        <w:rPr>
          <w:rFonts w:eastAsia="Times New Roman" w:cs="Arial"/>
          <w:color w:val="000000"/>
          <w:szCs w:val="20"/>
        </w:rPr>
        <w:t>the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</w:rPr>
        <w:t>Justification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</w:rPr>
        <w:t>for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</w:rPr>
        <w:t>the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</w:rPr>
        <w:t>Use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</w:rPr>
        <w:t>of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</w:rPr>
        <w:t>Statins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</w:rPr>
        <w:t>in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</w:rPr>
        <w:t>Primary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</w:rPr>
        <w:t>Prevention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: </w:t>
      </w:r>
      <w:proofErr w:type="spellStart"/>
      <w:r w:rsidRPr="002A1E1A">
        <w:rPr>
          <w:rFonts w:eastAsia="Times New Roman" w:cs="Arial"/>
          <w:color w:val="000000"/>
          <w:szCs w:val="20"/>
        </w:rPr>
        <w:t>An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</w:rPr>
        <w:t>Intervention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</w:rPr>
        <w:t>Trial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</w:rPr>
        <w:t>Evaluating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</w:rPr>
        <w:t>Rosuvastatin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)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изследва ефекта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калций) върху появата на големи атеросклеротични сърдечно-съдови събития при 17 802 мъже (&gt;50 години) и жени (&gt; 60 години).</w:t>
      </w:r>
    </w:p>
    <w:p w14:paraId="14312F14" w14:textId="77777777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>Участниците в проучването са рандомизирани на плацебо (</w:t>
      </w:r>
      <w:r w:rsidRPr="002A1E1A">
        <w:rPr>
          <w:rFonts w:eastAsia="Times New Roman" w:cs="Arial"/>
          <w:color w:val="000000"/>
          <w:szCs w:val="20"/>
        </w:rPr>
        <w:t>n=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8901) или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20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>веднъж дневно (</w:t>
      </w:r>
      <w:r w:rsidRPr="002A1E1A">
        <w:rPr>
          <w:rFonts w:eastAsia="Times New Roman" w:cs="Arial"/>
          <w:color w:val="000000"/>
          <w:szCs w:val="20"/>
        </w:rPr>
        <w:t>n</w:t>
      </w:r>
      <w:r w:rsidRPr="002A1E1A">
        <w:rPr>
          <w:rFonts w:eastAsia="Times New Roman" w:cs="Arial"/>
          <w:color w:val="000000"/>
          <w:szCs w:val="20"/>
          <w:lang w:eastAsia="bg-BG"/>
        </w:rPr>
        <w:t>=8901) и са проследени за среден период от 2 години.</w:t>
      </w:r>
    </w:p>
    <w:p w14:paraId="02008F5A" w14:textId="77777777" w:rsidR="003F7B0F" w:rsidRPr="002A1E1A" w:rsidRDefault="003F7B0F" w:rsidP="003F7B0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3DE7DF98" w14:textId="5069B2E3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Конценрациите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на </w:t>
      </w:r>
      <w:r w:rsidRPr="002A1E1A">
        <w:rPr>
          <w:rFonts w:eastAsia="Times New Roman" w:cs="Arial"/>
          <w:color w:val="000000"/>
          <w:szCs w:val="20"/>
        </w:rPr>
        <w:t>LDL</w:t>
      </w:r>
      <w:r w:rsidRPr="002A1E1A">
        <w:rPr>
          <w:rFonts w:eastAsia="Times New Roman" w:cs="Arial"/>
          <w:color w:val="000000"/>
          <w:szCs w:val="20"/>
          <w:lang w:eastAsia="bg-BG"/>
        </w:rPr>
        <w:t>-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холестрола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бяха понижени с 45% (р&lt;0,001) в групата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в сравнение с плацебо групата.</w:t>
      </w:r>
    </w:p>
    <w:p w14:paraId="02EE09D8" w14:textId="77777777" w:rsidR="003F7B0F" w:rsidRPr="002A1E1A" w:rsidRDefault="003F7B0F" w:rsidP="003F7B0F">
      <w:pPr>
        <w:rPr>
          <w:rFonts w:eastAsia="Times New Roman" w:cs="Arial"/>
          <w:color w:val="000000"/>
          <w:szCs w:val="20"/>
          <w:lang w:eastAsia="bg-BG"/>
        </w:rPr>
      </w:pPr>
    </w:p>
    <w:p w14:paraId="258983A7" w14:textId="77777777" w:rsidR="003F7B0F" w:rsidRPr="002A1E1A" w:rsidRDefault="003F7B0F" w:rsidP="003F7B0F">
      <w:pPr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При </w:t>
      </w:r>
      <w:proofErr w:type="spellStart"/>
      <w:r w:rsidRPr="002A1E1A">
        <w:rPr>
          <w:rFonts w:eastAsia="Times New Roman" w:cs="Arial"/>
          <w:color w:val="000000"/>
          <w:szCs w:val="20"/>
        </w:rPr>
        <w:t>post-hoc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анализ на високо-рискова група от лица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базичен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риск по </w:t>
      </w:r>
      <w:proofErr w:type="spellStart"/>
      <w:r w:rsidRPr="002A1E1A">
        <w:rPr>
          <w:rFonts w:eastAsia="Times New Roman" w:cs="Arial"/>
          <w:color w:val="000000"/>
          <w:szCs w:val="20"/>
        </w:rPr>
        <w:t>Framingham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&gt;20% (1558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лица) имаше значителна редукция в комбинираната крайна точка от сърдечно-съдова смърт инсулт и миокарден инфаркт (р=0,028) при лечение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спрямо плацебо. Абсолютната редукция на риска в нивото на събитията за 1000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пациенто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-години беше 8,8. Тоталната смъртност беше непроменена в тази високорискова група (р=0,193). При </w:t>
      </w:r>
      <w:proofErr w:type="spellStart"/>
      <w:r w:rsidRPr="002A1E1A">
        <w:rPr>
          <w:rFonts w:eastAsia="Times New Roman" w:cs="Arial"/>
          <w:color w:val="000000"/>
          <w:szCs w:val="20"/>
        </w:rPr>
        <w:t>post-hoc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анализ на високорискова подгрупа от лица (9302 лица общо) с изходна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оценк</w:t>
      </w:r>
      <w:r w:rsidRPr="002A1E1A">
        <w:rPr>
          <w:rFonts w:eastAsia="Times New Roman" w:cs="Arial"/>
          <w:color w:val="000000"/>
          <w:szCs w:val="20"/>
        </w:rPr>
        <w:t>a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на риска &gt;5% (екстраполиран да включи лица над 65 години) имаше значителна </w:t>
      </w:r>
      <w:r w:rsidRPr="002A1E1A">
        <w:rPr>
          <w:rFonts w:eastAsia="Times New Roman" w:cs="Arial"/>
          <w:color w:val="000000"/>
          <w:szCs w:val="20"/>
          <w:lang w:eastAsia="bg-BG"/>
        </w:rPr>
        <w:lastRenderedPageBreak/>
        <w:t xml:space="preserve">редукция в комбинираната крайна точка от сърдечно-съдова смърт, инсулт и миокарден инфаркт (р=0,0003) при лечението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спрямо плацебо. Абсолютната редукция на риска в нивото на събитията беше 5,1 за 1000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пациенто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-години. Тоталната смъртност беше непроменена в тази високо-рискова група (р=0,076).</w:t>
      </w:r>
    </w:p>
    <w:p w14:paraId="43C3F071" w14:textId="77777777" w:rsidR="003F7B0F" w:rsidRPr="002A1E1A" w:rsidRDefault="003F7B0F" w:rsidP="003F7B0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78C56FD" w14:textId="2F0090E8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В проучването </w:t>
      </w:r>
      <w:r w:rsidRPr="002A1E1A">
        <w:rPr>
          <w:rFonts w:eastAsia="Times New Roman" w:cs="Arial"/>
          <w:color w:val="000000"/>
          <w:szCs w:val="20"/>
        </w:rPr>
        <w:t xml:space="preserve">JUPITER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6,6% от лицата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6,2% от лицата с плацебо прекратиха приема на изследваното лекарство поради нежелано събитие. Най-честите нежелани събития, които доведоха до прекратяване на лечението бяха: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миалгия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(0,3%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0,2% плацебо), коремна болка (0,03%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0,02% плацебо) и обрив (0,02%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0,03% плацебо). Най-честите нежелани събития с ниво по-голямо и равно на плацебо бяха инфекции на пикочните пътища (8,7%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8,6% плацебо),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назофарингит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(7,6%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7,2% плацебо), болка в гърба (7,6%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6,9% плацебо) 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миалгия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(7,6%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, 6,6% плацебо).</w:t>
      </w:r>
    </w:p>
    <w:p w14:paraId="501F38D3" w14:textId="77777777" w:rsidR="003F7B0F" w:rsidRPr="002A1E1A" w:rsidRDefault="003F7B0F" w:rsidP="003F7B0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4DF20006" w14:textId="4EEC08ED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u w:val="single"/>
          <w:lang w:eastAsia="bg-BG"/>
        </w:rPr>
        <w:t>Педиатрична популация</w:t>
      </w:r>
    </w:p>
    <w:p w14:paraId="57F7D765" w14:textId="77777777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В едно двойносляпо, рандомизирано,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мултицентрово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, плацебо-контролирано, 12-седмично проучване (</w:t>
      </w:r>
      <w:r w:rsidRPr="002A1E1A">
        <w:rPr>
          <w:rFonts w:eastAsia="Times New Roman" w:cs="Arial"/>
          <w:color w:val="000000"/>
          <w:szCs w:val="20"/>
        </w:rPr>
        <w:t>n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=176,97 от мъжки пол и 79 от женски пол), последвано от 40-седмична, открита фаза с титриране на дозата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</w:t>
      </w:r>
      <w:r w:rsidRPr="002A1E1A">
        <w:rPr>
          <w:rFonts w:eastAsia="Times New Roman" w:cs="Arial"/>
          <w:color w:val="000000"/>
          <w:szCs w:val="20"/>
        </w:rPr>
        <w:t>n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=173,96 от мъжки пол и 77 от женски пол), пациенти на възраст 10-17 години (стадий </w:t>
      </w:r>
      <w:r w:rsidRPr="002A1E1A">
        <w:rPr>
          <w:rFonts w:eastAsia="Times New Roman" w:cs="Arial"/>
          <w:color w:val="000000"/>
          <w:szCs w:val="20"/>
        </w:rPr>
        <w:t xml:space="preserve">II-V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по Танер, момичета поне 1 година след началото на менструацията)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хетерозиготна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фамилна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хиперхолестеролемия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получаваха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5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,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10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или 20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или плацебо дневно за 12 седмици, а след това всички получаваха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дневно за 40 седмици. В началото на проучването приблизително 30% от пациентите бяха 10-13 годишни и приблизително 17%, 18%, 40% и 25% бяха съответно в стадий </w:t>
      </w:r>
      <w:r w:rsidRPr="002A1E1A">
        <w:rPr>
          <w:rFonts w:eastAsia="Times New Roman" w:cs="Arial"/>
          <w:color w:val="000000"/>
          <w:szCs w:val="20"/>
        </w:rPr>
        <w:t>II</w:t>
      </w:r>
      <w:r w:rsidRPr="002A1E1A">
        <w:rPr>
          <w:rFonts w:eastAsia="Times New Roman" w:cs="Arial"/>
          <w:color w:val="000000"/>
          <w:szCs w:val="20"/>
          <w:lang w:eastAsia="bg-BG"/>
        </w:rPr>
        <w:t>,</w:t>
      </w:r>
      <w:r w:rsidRPr="002A1E1A">
        <w:rPr>
          <w:rFonts w:eastAsia="Times New Roman" w:cs="Arial"/>
          <w:color w:val="000000"/>
          <w:szCs w:val="20"/>
        </w:rPr>
        <w:t xml:space="preserve"> III</w:t>
      </w:r>
      <w:r w:rsidRPr="002A1E1A">
        <w:rPr>
          <w:rFonts w:eastAsia="Times New Roman" w:cs="Arial"/>
          <w:color w:val="000000"/>
          <w:szCs w:val="20"/>
          <w:lang w:eastAsia="bg-BG"/>
        </w:rPr>
        <w:t>, IV и V по Танер.</w:t>
      </w:r>
    </w:p>
    <w:p w14:paraId="50F24372" w14:textId="77777777" w:rsidR="003F7B0F" w:rsidRPr="002A1E1A" w:rsidRDefault="003F7B0F" w:rsidP="003F7B0F">
      <w:pPr>
        <w:spacing w:line="240" w:lineRule="auto"/>
        <w:rPr>
          <w:rFonts w:eastAsia="Times New Roman" w:cs="Arial"/>
          <w:color w:val="000000"/>
          <w:szCs w:val="20"/>
        </w:rPr>
      </w:pPr>
    </w:p>
    <w:p w14:paraId="5A0F2923" w14:textId="58D3D07D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</w:rPr>
        <w:t>LDL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-холестеролът беше понижен 38,3%, 44,6% и 50,0% от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5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,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10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,20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, </w:t>
      </w:r>
      <w:r w:rsidRPr="002A1E1A">
        <w:rPr>
          <w:rFonts w:eastAsia="Times New Roman" w:cs="Arial"/>
          <w:color w:val="000000"/>
          <w:szCs w:val="20"/>
          <w:lang w:eastAsia="bg-BG"/>
        </w:rPr>
        <w:t>съответно, в сравнение с 0,7% за плацебо.</w:t>
      </w:r>
    </w:p>
    <w:p w14:paraId="4D0CBE10" w14:textId="77777777" w:rsidR="003F7B0F" w:rsidRPr="002A1E1A" w:rsidRDefault="003F7B0F" w:rsidP="003F7B0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12AA0FB1" w14:textId="791245CD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>В</w:t>
      </w:r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>края</w:t>
      </w:r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>на</w:t>
      </w:r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40-седмичната открита фаза с титриране до прицелна стойност, с дозиране до максимум 20 </w:t>
      </w:r>
      <w:proofErr w:type="spellStart"/>
      <w:r w:rsidRPr="002A1E1A">
        <w:rPr>
          <w:rFonts w:eastAsia="Times New Roman" w:cs="Arial"/>
          <w:color w:val="000000"/>
          <w:szCs w:val="20"/>
        </w:rPr>
        <w:t>mg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веднъж дневно, 70 от 173 пациенти (40,5%) са постигнали прицелната стойност за </w:t>
      </w:r>
      <w:r w:rsidRPr="002A1E1A">
        <w:rPr>
          <w:rFonts w:eastAsia="Times New Roman" w:cs="Arial"/>
          <w:color w:val="000000"/>
          <w:szCs w:val="20"/>
        </w:rPr>
        <w:t xml:space="preserve">LDL-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холестерол от по-малко от 2,8 </w:t>
      </w:r>
      <w:proofErr w:type="spellStart"/>
      <w:r w:rsidRPr="002A1E1A">
        <w:rPr>
          <w:rFonts w:eastAsia="Times New Roman" w:cs="Arial"/>
          <w:color w:val="000000"/>
          <w:szCs w:val="20"/>
        </w:rPr>
        <w:t>mm</w:t>
      </w:r>
      <w:r w:rsidRPr="002A1E1A">
        <w:rPr>
          <w:rFonts w:eastAsia="Times New Roman" w:cs="Arial"/>
          <w:color w:val="000000"/>
          <w:szCs w:val="20"/>
          <w:lang w:eastAsia="bg-BG"/>
        </w:rPr>
        <w:t>о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1/1.</w:t>
      </w:r>
    </w:p>
    <w:p w14:paraId="5A3481A7" w14:textId="77777777" w:rsidR="003F7B0F" w:rsidRPr="002A1E1A" w:rsidRDefault="003F7B0F" w:rsidP="003F7B0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2128A2F7" w14:textId="7CE43790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 xml:space="preserve">След 52 седмици на изследваното лечение не беше установен никакъв ефект върху растежа, теглото, </w:t>
      </w:r>
      <w:r w:rsidRPr="002A1E1A">
        <w:rPr>
          <w:rFonts w:eastAsia="Times New Roman" w:cs="Arial"/>
          <w:color w:val="000000"/>
          <w:szCs w:val="20"/>
        </w:rPr>
        <w:t xml:space="preserve">BMI </w:t>
      </w:r>
      <w:r w:rsidRPr="002A1E1A">
        <w:rPr>
          <w:rFonts w:eastAsia="Times New Roman" w:cs="Arial"/>
          <w:color w:val="000000"/>
          <w:szCs w:val="20"/>
          <w:lang w:eastAsia="bg-BG"/>
        </w:rPr>
        <w:t>или половото съзряване (вж. точка 4.4). Това проучване (</w:t>
      </w:r>
      <w:r w:rsidRPr="002A1E1A">
        <w:rPr>
          <w:rFonts w:eastAsia="Times New Roman" w:cs="Arial"/>
          <w:color w:val="000000"/>
          <w:szCs w:val="20"/>
        </w:rPr>
        <w:t>n</w:t>
      </w:r>
      <w:r w:rsidRPr="002A1E1A">
        <w:rPr>
          <w:rFonts w:eastAsia="Times New Roman" w:cs="Arial"/>
          <w:color w:val="000000"/>
          <w:szCs w:val="20"/>
          <w:lang w:eastAsia="bg-BG"/>
        </w:rPr>
        <w:t>=176) не беше предназначено за сравняване на редки нежелани лекарствени реакции.</w:t>
      </w:r>
    </w:p>
    <w:p w14:paraId="4181D261" w14:textId="00FC5F31" w:rsidR="003F7B0F" w:rsidRPr="002A1E1A" w:rsidRDefault="003F7B0F" w:rsidP="003F7B0F">
      <w:pPr>
        <w:rPr>
          <w:rFonts w:cs="Arial"/>
          <w:sz w:val="24"/>
        </w:rPr>
      </w:pPr>
    </w:p>
    <w:p w14:paraId="35F84B81" w14:textId="1D860773" w:rsidR="00CF77F7" w:rsidRPr="002A1E1A" w:rsidRDefault="002C50EE" w:rsidP="004A448E">
      <w:pPr>
        <w:pStyle w:val="Heading2"/>
      </w:pPr>
      <w:r w:rsidRPr="002A1E1A">
        <w:t>5.2. Фармакокинетични свойства</w:t>
      </w:r>
    </w:p>
    <w:p w14:paraId="39D892AE" w14:textId="447FF720" w:rsidR="003F7B0F" w:rsidRPr="002A1E1A" w:rsidRDefault="003F7B0F" w:rsidP="003F7B0F"/>
    <w:p w14:paraId="52591A1F" w14:textId="77777777" w:rsidR="003F7B0F" w:rsidRPr="002A1E1A" w:rsidRDefault="003F7B0F" w:rsidP="003F7B0F">
      <w:pPr>
        <w:pStyle w:val="Heading3"/>
        <w:rPr>
          <w:rFonts w:eastAsia="Times New Roman"/>
          <w:i/>
          <w:sz w:val="28"/>
        </w:rPr>
      </w:pPr>
      <w:r w:rsidRPr="002A1E1A">
        <w:rPr>
          <w:rFonts w:eastAsia="Times New Roman"/>
          <w:i/>
          <w:lang w:eastAsia="bg-BG"/>
        </w:rPr>
        <w:t>Абсорбция</w:t>
      </w:r>
    </w:p>
    <w:p w14:paraId="3F4C08C7" w14:textId="77777777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color w:val="000000"/>
          <w:szCs w:val="20"/>
          <w:lang w:eastAsia="bg-BG"/>
        </w:rPr>
        <w:t>Максимални плазмени нива се достигат 5 часа след перорално приемане. Абсолютната бионаличност е приблизително 20%.</w:t>
      </w:r>
    </w:p>
    <w:p w14:paraId="7641E497" w14:textId="77777777" w:rsidR="003F7B0F" w:rsidRPr="002A1E1A" w:rsidRDefault="003F7B0F" w:rsidP="003F7B0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62F99B40" w14:textId="139FD883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Style w:val="Heading3Char"/>
          <w:i/>
          <w:lang w:eastAsia="bg-BG"/>
        </w:rPr>
        <w:t xml:space="preserve">Разпределение: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се поема основно от черния дроб, който е основното място на синтезиране на холестерола и отделяне на </w:t>
      </w:r>
      <w:r w:rsidRPr="002A1E1A">
        <w:rPr>
          <w:rFonts w:eastAsia="Times New Roman" w:cs="Arial"/>
          <w:color w:val="000000"/>
          <w:szCs w:val="20"/>
        </w:rPr>
        <w:t xml:space="preserve">LDL-C.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Обемът на разпределение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 приблизително 134 </w:t>
      </w:r>
      <w:r w:rsidRPr="002A1E1A">
        <w:rPr>
          <w:rFonts w:eastAsia="Times New Roman" w:cs="Arial"/>
          <w:color w:val="000000"/>
          <w:szCs w:val="20"/>
        </w:rPr>
        <w:t xml:space="preserve">L.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 свързан с плазмените протеини, предимно албумина, приблизително в 90%.</w:t>
      </w:r>
    </w:p>
    <w:p w14:paraId="2A1F7387" w14:textId="77777777" w:rsidR="003F7B0F" w:rsidRPr="002A1E1A" w:rsidRDefault="003F7B0F" w:rsidP="003F7B0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5CAF1434" w14:textId="77777777" w:rsidR="003F7B0F" w:rsidRPr="002A1E1A" w:rsidRDefault="003F7B0F" w:rsidP="003F7B0F">
      <w:pPr>
        <w:rPr>
          <w:rFonts w:eastAsia="Times New Roman" w:cs="Arial"/>
          <w:sz w:val="28"/>
          <w:szCs w:val="24"/>
        </w:rPr>
      </w:pPr>
      <w:r w:rsidRPr="002A1E1A">
        <w:rPr>
          <w:rStyle w:val="Heading3Char"/>
          <w:i/>
          <w:lang w:eastAsia="bg-BG"/>
        </w:rPr>
        <w:lastRenderedPageBreak/>
        <w:t>Биотрансформация: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 Метаболизмът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 ограничен (около 10%). </w:t>
      </w:r>
      <w:proofErr w:type="spellStart"/>
      <w:r w:rsidRPr="002A1E1A">
        <w:rPr>
          <w:rFonts w:eastAsia="Times New Roman" w:cs="Arial"/>
          <w:i/>
          <w:iCs/>
          <w:color w:val="000000"/>
          <w:szCs w:val="20"/>
        </w:rPr>
        <w:t>In</w:t>
      </w:r>
      <w:proofErr w:type="spellEnd"/>
      <w:r w:rsidRPr="002A1E1A">
        <w:rPr>
          <w:rFonts w:eastAsia="Times New Roman" w:cs="Arial"/>
          <w:i/>
          <w:iCs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i/>
          <w:iCs/>
          <w:color w:val="000000"/>
          <w:szCs w:val="20"/>
        </w:rPr>
        <w:t>vitro</w:t>
      </w:r>
      <w:proofErr w:type="spellEnd"/>
      <w:r w:rsidRPr="002A1E1A">
        <w:rPr>
          <w:rFonts w:eastAsia="Times New Roman" w:cs="Arial"/>
          <w:i/>
          <w:iCs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проучвания на метаболизма с използване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човешкихепатоцити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показват, че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 слаб субстрат за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цитохром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Р450 обусловения метаболизъм. </w:t>
      </w:r>
      <w:r w:rsidRPr="002A1E1A">
        <w:rPr>
          <w:rFonts w:eastAsia="Times New Roman" w:cs="Arial"/>
          <w:color w:val="000000"/>
          <w:szCs w:val="20"/>
        </w:rPr>
        <w:t xml:space="preserve">CYP2C9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е основният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изоензим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който участва в метаболизма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</w:t>
      </w:r>
      <w:r w:rsidRPr="002A1E1A">
        <w:rPr>
          <w:rFonts w:eastAsia="Times New Roman" w:cs="Arial"/>
          <w:color w:val="000000"/>
          <w:szCs w:val="20"/>
        </w:rPr>
        <w:t xml:space="preserve">a </w:t>
      </w:r>
      <w:r w:rsidRPr="002A1E1A">
        <w:rPr>
          <w:rFonts w:eastAsia="Times New Roman" w:cs="Arial"/>
          <w:color w:val="000000"/>
          <w:szCs w:val="20"/>
          <w:lang w:eastAsia="bg-BG"/>
        </w:rPr>
        <w:t>2С19, ЗА4 и 2</w:t>
      </w:r>
      <w:r w:rsidRPr="002A1E1A">
        <w:rPr>
          <w:rFonts w:eastAsia="Times New Roman" w:cs="Arial"/>
          <w:color w:val="000000"/>
          <w:szCs w:val="20"/>
        </w:rPr>
        <w:t>D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6 участват в по-малка степен. Основните метаболити са </w:t>
      </w:r>
      <w:r w:rsidRPr="002A1E1A">
        <w:rPr>
          <w:rFonts w:eastAsia="Times New Roman" w:cs="Arial"/>
          <w:color w:val="000000"/>
          <w:szCs w:val="20"/>
        </w:rPr>
        <w:t>N</w:t>
      </w:r>
      <w:r w:rsidRPr="002A1E1A">
        <w:rPr>
          <w:rFonts w:eastAsia="Times New Roman" w:cs="Arial"/>
          <w:color w:val="000000"/>
          <w:szCs w:val="20"/>
          <w:lang w:eastAsia="bg-BG"/>
        </w:rPr>
        <w:t>-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десметил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лактон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. </w:t>
      </w:r>
      <w:r w:rsidRPr="002A1E1A">
        <w:rPr>
          <w:rFonts w:eastAsia="Times New Roman" w:cs="Arial"/>
          <w:color w:val="000000"/>
          <w:szCs w:val="20"/>
        </w:rPr>
        <w:t>N</w:t>
      </w:r>
      <w:r w:rsidRPr="002A1E1A">
        <w:rPr>
          <w:rFonts w:eastAsia="Times New Roman" w:cs="Arial"/>
          <w:color w:val="000000"/>
          <w:szCs w:val="20"/>
          <w:lang w:eastAsia="bg-BG"/>
        </w:rPr>
        <w:t>-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десметил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 около 50% по-малко активен в сравнение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докато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лактон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се счита за клинично неактивен.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определя повече от 90% от активността на циркулиращия </w:t>
      </w:r>
      <w:r w:rsidRPr="002A1E1A">
        <w:rPr>
          <w:rFonts w:eastAsia="Times New Roman" w:cs="Arial"/>
          <w:color w:val="000000"/>
          <w:szCs w:val="20"/>
        </w:rPr>
        <w:t>HMG-</w:t>
      </w:r>
      <w:proofErr w:type="spellStart"/>
      <w:r w:rsidRPr="002A1E1A">
        <w:rPr>
          <w:rFonts w:eastAsia="Times New Roman" w:cs="Arial"/>
          <w:color w:val="000000"/>
          <w:szCs w:val="20"/>
        </w:rPr>
        <w:t>CoA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инхибитор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редуктазата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.</w:t>
      </w:r>
    </w:p>
    <w:p w14:paraId="0FE15FEE" w14:textId="77777777" w:rsidR="003F7B0F" w:rsidRPr="002A1E1A" w:rsidRDefault="003F7B0F" w:rsidP="003F7B0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43A705A7" w14:textId="4F2314CA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Style w:val="Heading3Char"/>
          <w:i/>
          <w:lang w:eastAsia="bg-BG"/>
        </w:rPr>
        <w:t>Елиминиране</w:t>
      </w:r>
      <w:r w:rsidRPr="002A1E1A">
        <w:rPr>
          <w:rFonts w:eastAsia="Times New Roman" w:cs="Arial"/>
          <w:color w:val="000000"/>
          <w:szCs w:val="20"/>
          <w:u w:val="single"/>
          <w:lang w:eastAsia="bg-BG"/>
        </w:rPr>
        <w:t>: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 Приблизително 90% от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се елиминират като непроменено лекарство с фекалиите (абсорбирано и неабсорбирано лекарствено вещество), като останалата част се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екскретира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 урината. Около 5% се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екскретира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непроменен в урината. Плазменият полуживот е около 19 часа. Плазменият полуживот не се увеличава с увеличаване на дозата. Средният плазмен клирънс е приблизително 50 литра на час (коефициент на вариабилност 21,7%). Както при други инхибитори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редуктазата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чернодробното поемане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включва мембранния преносител ОАТР-С. Този преносител е важен за чернодробното елиминиране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>.</w:t>
      </w:r>
    </w:p>
    <w:p w14:paraId="64795670" w14:textId="77777777" w:rsidR="003F7B0F" w:rsidRPr="002A1E1A" w:rsidRDefault="003F7B0F" w:rsidP="003F7B0F">
      <w:pPr>
        <w:spacing w:line="240" w:lineRule="auto"/>
        <w:rPr>
          <w:rFonts w:eastAsia="Times New Roman" w:cs="Arial"/>
          <w:color w:val="000000"/>
          <w:szCs w:val="20"/>
          <w:u w:val="single"/>
          <w:lang w:eastAsia="bg-BG"/>
        </w:rPr>
      </w:pPr>
    </w:p>
    <w:p w14:paraId="7990ADAF" w14:textId="5429D911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Style w:val="Heading3Char"/>
          <w:i/>
          <w:lang w:eastAsia="bg-BG"/>
        </w:rPr>
        <w:t xml:space="preserve">Линейност/нелинейност: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Системната експозиция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се увеличава пропорционално на приеманата доза. Няма промяна във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фармакокинетичните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параметри при многократно дозиране.</w:t>
      </w:r>
    </w:p>
    <w:p w14:paraId="7E3D3AFE" w14:textId="77777777" w:rsidR="003F7B0F" w:rsidRPr="002A1E1A" w:rsidRDefault="003F7B0F" w:rsidP="003F7B0F">
      <w:pPr>
        <w:spacing w:line="240" w:lineRule="auto"/>
        <w:rPr>
          <w:rFonts w:eastAsia="Times New Roman" w:cs="Arial"/>
          <w:b/>
          <w:bCs/>
          <w:i/>
          <w:iCs/>
          <w:color w:val="000000"/>
          <w:szCs w:val="20"/>
          <w:lang w:eastAsia="bg-BG"/>
        </w:rPr>
      </w:pPr>
    </w:p>
    <w:p w14:paraId="3E64007F" w14:textId="1DF5EACB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b/>
          <w:bCs/>
          <w:i/>
          <w:iCs/>
          <w:color w:val="000000"/>
          <w:szCs w:val="20"/>
          <w:lang w:eastAsia="bg-BG"/>
        </w:rPr>
        <w:t>Специфични популации</w:t>
      </w:r>
    </w:p>
    <w:p w14:paraId="2A80022B" w14:textId="77777777" w:rsidR="003F7B0F" w:rsidRPr="002A1E1A" w:rsidRDefault="003F7B0F" w:rsidP="003F7B0F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1D73CD99" w14:textId="0E0D2CE5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Възраст и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пол: Възрастта или полът нямат клинично значим ефект върху фармакокинетиката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при възрастни. Фармакокинетиката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при възрастни и деца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хетерозиготна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фамилна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хиперхолестеролемия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 сходна с тази на възрастните доброволци (вж. „Педиатрична популация" по-долу).</w:t>
      </w:r>
    </w:p>
    <w:p w14:paraId="28E897F3" w14:textId="77777777" w:rsidR="003F7B0F" w:rsidRPr="002A1E1A" w:rsidRDefault="003F7B0F" w:rsidP="003F7B0F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7EA328AA" w14:textId="0BDFEF36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Раса: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Фармакокинетичните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проучвания показват, че при индивиди от азиатската раса (японци, китайци, филипинци, виетнамци и корейци) се наблюдава двукратно повишаване в средната </w:t>
      </w:r>
      <w:r w:rsidRPr="002A1E1A">
        <w:rPr>
          <w:rFonts w:eastAsia="Times New Roman" w:cs="Arial"/>
          <w:color w:val="000000"/>
          <w:szCs w:val="20"/>
        </w:rPr>
        <w:t xml:space="preserve">AUC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С</w:t>
      </w:r>
      <w:r w:rsidRPr="002A1E1A">
        <w:rPr>
          <w:rFonts w:eastAsia="Times New Roman" w:cs="Arial"/>
          <w:color w:val="000000"/>
          <w:szCs w:val="20"/>
          <w:vertAlign w:val="subscript"/>
        </w:rPr>
        <w:t>max</w:t>
      </w:r>
      <w:proofErr w:type="spellEnd"/>
      <w:r w:rsidRPr="002A1E1A">
        <w:rPr>
          <w:rFonts w:eastAsia="Times New Roman" w:cs="Arial"/>
          <w:color w:val="000000"/>
          <w:szCs w:val="20"/>
        </w:rPr>
        <w:t>,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откол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кото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при индивиди от кавказката раса. При индийци е налице повишаване на </w:t>
      </w:r>
      <w:r w:rsidRPr="002A1E1A">
        <w:rPr>
          <w:rFonts w:eastAsia="Times New Roman" w:cs="Arial"/>
          <w:color w:val="000000"/>
          <w:szCs w:val="20"/>
        </w:rPr>
        <w:t xml:space="preserve">AUC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С</w:t>
      </w:r>
      <w:r w:rsidRPr="002A1E1A">
        <w:rPr>
          <w:rFonts w:eastAsia="Times New Roman" w:cs="Arial"/>
          <w:color w:val="000000"/>
          <w:szCs w:val="20"/>
          <w:vertAlign w:val="subscript"/>
        </w:rPr>
        <w:t>max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1,3 пъти. Не е известно какво е значението на факторите на околната среда и на генетичните фактори за появата на тези разлики. Един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популационен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фармакокинетичен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анализ показва, че между индивидите от кавказката и от черната раса няма клинично значими различия.</w:t>
      </w:r>
    </w:p>
    <w:p w14:paraId="4A8A7AAF" w14:textId="77777777" w:rsidR="003F7B0F" w:rsidRPr="002A1E1A" w:rsidRDefault="003F7B0F" w:rsidP="003F7B0F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545C09E7" w14:textId="7E1A1AFE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Бъбречна недостатъчност: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В едно проучване на лица с различна степен на бъбречно увреждане лекото до умерено бъбречно заболяване не е повлияло плазмените концентрации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или на неговия </w:t>
      </w:r>
      <w:r w:rsidRPr="002A1E1A">
        <w:rPr>
          <w:rFonts w:eastAsia="Times New Roman" w:cs="Arial"/>
          <w:color w:val="000000"/>
          <w:szCs w:val="20"/>
        </w:rPr>
        <w:t>N</w:t>
      </w:r>
      <w:r w:rsidRPr="002A1E1A">
        <w:rPr>
          <w:rFonts w:eastAsia="Times New Roman" w:cs="Arial"/>
          <w:color w:val="000000"/>
          <w:szCs w:val="20"/>
          <w:lang w:eastAsia="bg-BG"/>
        </w:rPr>
        <w:t>-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десметил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метаболит. Лица с тежко увреждане, обаче (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креатининов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клирънс &lt;30 </w:t>
      </w:r>
      <w:r w:rsidRPr="002A1E1A">
        <w:rPr>
          <w:rFonts w:eastAsia="Times New Roman" w:cs="Arial"/>
          <w:color w:val="000000"/>
          <w:szCs w:val="20"/>
        </w:rPr>
        <w:t>ml/</w:t>
      </w:r>
      <w:proofErr w:type="spellStart"/>
      <w:r w:rsidRPr="002A1E1A">
        <w:rPr>
          <w:rFonts w:eastAsia="Times New Roman" w:cs="Arial"/>
          <w:color w:val="000000"/>
          <w:szCs w:val="20"/>
        </w:rPr>
        <w:t>min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)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са имали трикратно увеличение на плазмената концентрация в сравнение със здрави доброволци и девет пъти по-висока концентрация на </w:t>
      </w:r>
      <w:r w:rsidRPr="002A1E1A">
        <w:rPr>
          <w:rFonts w:eastAsia="Times New Roman" w:cs="Arial"/>
          <w:color w:val="000000"/>
          <w:szCs w:val="20"/>
        </w:rPr>
        <w:t>N</w:t>
      </w:r>
      <w:r w:rsidRPr="002A1E1A">
        <w:rPr>
          <w:rFonts w:eastAsia="Times New Roman" w:cs="Arial"/>
          <w:color w:val="000000"/>
          <w:szCs w:val="20"/>
          <w:lang w:eastAsia="bg-BG"/>
        </w:rPr>
        <w:t>-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десметил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метаболита. Равновесните плазмени концентрации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при пациенти на хемодиализа са приблизително 50% по-високи в сравнение със здрави доброволци.</w:t>
      </w:r>
    </w:p>
    <w:p w14:paraId="0D56EBE8" w14:textId="77777777" w:rsidR="003F7B0F" w:rsidRPr="002A1E1A" w:rsidRDefault="003F7B0F" w:rsidP="003F7B0F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69F4BE67" w14:textId="3D916184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Чернодробна недостатъчност: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В едно проучване на лица с различна степен на чернодробно увреждане не са получени данни за повишена експозиция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при пациенти с резултат по </w:t>
      </w:r>
      <w:proofErr w:type="spellStart"/>
      <w:r w:rsidRPr="002A1E1A">
        <w:rPr>
          <w:rFonts w:eastAsia="Times New Roman" w:cs="Arial"/>
          <w:color w:val="000000"/>
          <w:szCs w:val="20"/>
        </w:rPr>
        <w:t>Child-Pugh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7 или по-нисък. При двама пациенти с тежко чернодробно увреждане (резултат по </w:t>
      </w:r>
      <w:proofErr w:type="spellStart"/>
      <w:r w:rsidRPr="002A1E1A">
        <w:rPr>
          <w:rFonts w:eastAsia="Times New Roman" w:cs="Arial"/>
          <w:color w:val="000000"/>
          <w:szCs w:val="20"/>
        </w:rPr>
        <w:t>Child-Pugh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8 и 9) системната експозиция е била </w:t>
      </w:r>
      <w:r w:rsidRPr="002A1E1A">
        <w:rPr>
          <w:rFonts w:eastAsia="Times New Roman" w:cs="Arial"/>
          <w:color w:val="000000"/>
          <w:szCs w:val="20"/>
          <w:lang w:eastAsia="bg-BG"/>
        </w:rPr>
        <w:lastRenderedPageBreak/>
        <w:t xml:space="preserve">увеличена най-малко два пъти в сравнение с лица с по-нисък резултат по </w:t>
      </w:r>
      <w:proofErr w:type="spellStart"/>
      <w:r w:rsidRPr="002A1E1A">
        <w:rPr>
          <w:rFonts w:eastAsia="Times New Roman" w:cs="Arial"/>
          <w:color w:val="000000"/>
          <w:szCs w:val="20"/>
        </w:rPr>
        <w:t>Child-Pugh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.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Няма данни за пациенти с резултат по </w:t>
      </w:r>
      <w:proofErr w:type="spellStart"/>
      <w:r w:rsidRPr="002A1E1A">
        <w:rPr>
          <w:rFonts w:eastAsia="Times New Roman" w:cs="Arial"/>
          <w:color w:val="000000"/>
          <w:szCs w:val="20"/>
        </w:rPr>
        <w:t>Child-Pugh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>над 9.</w:t>
      </w:r>
    </w:p>
    <w:p w14:paraId="041CBC21" w14:textId="77777777" w:rsidR="003F7B0F" w:rsidRPr="002A1E1A" w:rsidRDefault="003F7B0F" w:rsidP="003F7B0F">
      <w:pPr>
        <w:spacing w:line="240" w:lineRule="auto"/>
        <w:rPr>
          <w:rFonts w:eastAsia="Times New Roman" w:cs="Arial"/>
          <w:b/>
          <w:bCs/>
          <w:color w:val="000000"/>
          <w:szCs w:val="20"/>
          <w:lang w:eastAsia="bg-BG"/>
        </w:rPr>
      </w:pPr>
    </w:p>
    <w:p w14:paraId="1CC5C1BD" w14:textId="5D6A010C" w:rsidR="003F7B0F" w:rsidRPr="002A1E1A" w:rsidRDefault="003F7B0F" w:rsidP="003F7B0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Генетичен полиморфизъм: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Диспозицията на </w:t>
      </w:r>
      <w:r w:rsidRPr="002A1E1A">
        <w:rPr>
          <w:rFonts w:eastAsia="Times New Roman" w:cs="Arial"/>
          <w:color w:val="000000"/>
          <w:szCs w:val="20"/>
        </w:rPr>
        <w:t>HMG-</w:t>
      </w:r>
      <w:proofErr w:type="spellStart"/>
      <w:r w:rsidRPr="002A1E1A">
        <w:rPr>
          <w:rFonts w:eastAsia="Times New Roman" w:cs="Arial"/>
          <w:color w:val="000000"/>
          <w:szCs w:val="20"/>
        </w:rPr>
        <w:t>CoA</w:t>
      </w:r>
      <w:proofErr w:type="spellEnd"/>
      <w:r w:rsidRPr="002A1E1A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редуктазните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инхибитори, включително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, е свързана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транспортерните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протеини ОАТР1В1 и </w:t>
      </w:r>
      <w:r w:rsidRPr="002A1E1A">
        <w:rPr>
          <w:rFonts w:eastAsia="Times New Roman" w:cs="Arial"/>
          <w:color w:val="000000"/>
          <w:szCs w:val="20"/>
        </w:rPr>
        <w:t xml:space="preserve">BCRP.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При пациенти с генетичен полиморфизъм на </w:t>
      </w:r>
      <w:r w:rsidRPr="002A1E1A">
        <w:rPr>
          <w:rFonts w:eastAsia="Times New Roman" w:cs="Arial"/>
          <w:color w:val="000000"/>
          <w:szCs w:val="20"/>
        </w:rPr>
        <w:t xml:space="preserve">SLCOIBI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(ОАТР1В1) и/или </w:t>
      </w:r>
      <w:r w:rsidRPr="002A1E1A">
        <w:rPr>
          <w:rFonts w:eastAsia="Times New Roman" w:cs="Arial"/>
          <w:color w:val="000000"/>
          <w:szCs w:val="20"/>
        </w:rPr>
        <w:t xml:space="preserve">ABCG2 (BCRP) </w:t>
      </w:r>
      <w:r w:rsidRPr="002A1E1A">
        <w:rPr>
          <w:rFonts w:eastAsia="Times New Roman" w:cs="Arial"/>
          <w:color w:val="000000"/>
          <w:szCs w:val="20"/>
          <w:lang w:eastAsia="bg-BG"/>
        </w:rPr>
        <w:t>има риск</w:t>
      </w:r>
      <w:r w:rsidRPr="002A1E1A">
        <w:rPr>
          <w:rFonts w:eastAsia="Times New Roman" w:cs="Arial"/>
          <w:color w:val="000000"/>
          <w:szCs w:val="20"/>
          <w:u w:val="single"/>
          <w:lang w:eastAsia="bg-BG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от повишаване на експозицията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. Индивидуален полиморфизъм на </w:t>
      </w:r>
      <w:r w:rsidRPr="002A1E1A">
        <w:rPr>
          <w:rFonts w:eastAsia="Times New Roman" w:cs="Arial"/>
          <w:color w:val="000000"/>
          <w:szCs w:val="20"/>
        </w:rPr>
        <w:t>SLC01B1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 С.521</w:t>
      </w:r>
      <w:r w:rsidRPr="002A1E1A">
        <w:rPr>
          <w:rFonts w:eastAsia="Times New Roman" w:cs="Arial"/>
          <w:b/>
          <w:bCs/>
          <w:i/>
          <w:iCs/>
          <w:color w:val="000000"/>
          <w:szCs w:val="20"/>
        </w:rPr>
        <w:t>CC</w:t>
      </w:r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и </w:t>
      </w:r>
      <w:r w:rsidRPr="002A1E1A">
        <w:rPr>
          <w:rFonts w:eastAsia="Times New Roman" w:cs="Arial"/>
          <w:color w:val="000000"/>
          <w:szCs w:val="20"/>
        </w:rPr>
        <w:t xml:space="preserve">ABCG2 </w:t>
      </w:r>
      <w:r w:rsidRPr="002A1E1A">
        <w:rPr>
          <w:rFonts w:eastAsia="Times New Roman" w:cs="Arial"/>
          <w:color w:val="000000"/>
          <w:szCs w:val="20"/>
          <w:lang w:eastAsia="bg-BG"/>
        </w:rPr>
        <w:t>С.421АА е свързан с приблизително 1,7 пъти по-висока експозиция (</w:t>
      </w:r>
      <w:r w:rsidRPr="002A1E1A">
        <w:rPr>
          <w:rFonts w:eastAsia="Times New Roman" w:cs="Arial"/>
          <w:color w:val="000000"/>
          <w:szCs w:val="20"/>
        </w:rPr>
        <w:t>AUC)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или 2,4 пъти по-висока експозиция, съответно, в сравнение с</w:t>
      </w:r>
      <w:r w:rsidRPr="002A1E1A">
        <w:rPr>
          <w:rFonts w:eastAsia="Times New Roman" w:cs="Arial"/>
          <w:color w:val="000000"/>
          <w:szCs w:val="20"/>
        </w:rPr>
        <w:t xml:space="preserve">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генотиповете </w:t>
      </w:r>
      <w:r w:rsidRPr="002A1E1A">
        <w:rPr>
          <w:rFonts w:eastAsia="Times New Roman" w:cs="Arial"/>
          <w:color w:val="000000"/>
          <w:szCs w:val="20"/>
        </w:rPr>
        <w:t xml:space="preserve">SLCOIBI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С.521ТТ или </w:t>
      </w:r>
      <w:r w:rsidRPr="002A1E1A">
        <w:rPr>
          <w:rFonts w:eastAsia="Times New Roman" w:cs="Arial"/>
          <w:color w:val="000000"/>
          <w:szCs w:val="20"/>
        </w:rPr>
        <w:t xml:space="preserve">ABCG2 </w:t>
      </w:r>
      <w:r w:rsidRPr="002A1E1A">
        <w:rPr>
          <w:rFonts w:eastAsia="Times New Roman" w:cs="Arial"/>
          <w:color w:val="000000"/>
          <w:szCs w:val="20"/>
          <w:lang w:eastAsia="bg-BG"/>
        </w:rPr>
        <w:t>с.421СС.</w:t>
      </w:r>
    </w:p>
    <w:p w14:paraId="46B71901" w14:textId="79470790" w:rsidR="003F7B0F" w:rsidRPr="002A1E1A" w:rsidRDefault="003F7B0F" w:rsidP="003F7B0F">
      <w:pPr>
        <w:spacing w:line="240" w:lineRule="auto"/>
        <w:rPr>
          <w:rFonts w:eastAsia="Times New Roman" w:cs="Arial"/>
          <w:color w:val="000000"/>
          <w:szCs w:val="20"/>
          <w:lang w:eastAsia="bg-BG"/>
        </w:rPr>
      </w:pPr>
    </w:p>
    <w:p w14:paraId="08E9758C" w14:textId="77777777" w:rsidR="003F7B0F" w:rsidRPr="002A1E1A" w:rsidRDefault="003F7B0F" w:rsidP="003F7B0F">
      <w:pPr>
        <w:spacing w:line="240" w:lineRule="auto"/>
        <w:rPr>
          <w:rFonts w:eastAsia="Times New Roman" w:cs="Arial"/>
          <w:sz w:val="28"/>
          <w:szCs w:val="24"/>
        </w:rPr>
      </w:pPr>
      <w:r w:rsidRPr="002A1E1A">
        <w:rPr>
          <w:rFonts w:eastAsia="Times New Roman" w:cs="Arial"/>
          <w:b/>
          <w:bCs/>
          <w:color w:val="000000"/>
          <w:szCs w:val="20"/>
          <w:lang w:eastAsia="bg-BG"/>
        </w:rPr>
        <w:t xml:space="preserve">Педиатрична популация: </w:t>
      </w:r>
      <w:r w:rsidRPr="002A1E1A">
        <w:rPr>
          <w:rFonts w:eastAsia="Times New Roman" w:cs="Arial"/>
          <w:color w:val="000000"/>
          <w:szCs w:val="20"/>
          <w:lang w:eastAsia="bg-BG"/>
        </w:rPr>
        <w:t xml:space="preserve">две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фармакокинетични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проучвания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(прилаган под формата на таблетки) при педиатрични пациенти с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хетерозиготна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фамилна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хиперхолестеролемия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на възраст 10-17 или 6-17 години (общо 214 пациенти) показват, че експозицията при педиатричните пациенти изглежда сравнима или по-ниска от тази при възрастните пациенти. Експозицията на </w:t>
      </w:r>
      <w:proofErr w:type="spellStart"/>
      <w:r w:rsidRPr="002A1E1A">
        <w:rPr>
          <w:rFonts w:eastAsia="Times New Roman" w:cs="Arial"/>
          <w:color w:val="000000"/>
          <w:szCs w:val="20"/>
          <w:lang w:eastAsia="bg-BG"/>
        </w:rPr>
        <w:t>розувастатин</w:t>
      </w:r>
      <w:proofErr w:type="spellEnd"/>
      <w:r w:rsidRPr="002A1E1A">
        <w:rPr>
          <w:rFonts w:eastAsia="Times New Roman" w:cs="Arial"/>
          <w:color w:val="000000"/>
          <w:szCs w:val="20"/>
          <w:lang w:eastAsia="bg-BG"/>
        </w:rPr>
        <w:t xml:space="preserve"> е била предвидима по отношение на дозата и времето в продължение на 2-годишен период.</w:t>
      </w:r>
    </w:p>
    <w:p w14:paraId="7C385F43" w14:textId="6CF3B8E7" w:rsidR="003F7B0F" w:rsidRPr="002A1E1A" w:rsidRDefault="003F7B0F" w:rsidP="003F7B0F"/>
    <w:p w14:paraId="648E39DA" w14:textId="5D09596C" w:rsidR="00CF77F7" w:rsidRPr="002A1E1A" w:rsidRDefault="002C50EE" w:rsidP="004A448E">
      <w:pPr>
        <w:pStyle w:val="Heading2"/>
      </w:pPr>
      <w:r w:rsidRPr="002A1E1A">
        <w:t>5.3. Предклинични данни за безопасност</w:t>
      </w:r>
    </w:p>
    <w:p w14:paraId="4AB86677" w14:textId="1F3FC218" w:rsidR="003F7B0F" w:rsidRPr="002A1E1A" w:rsidRDefault="003F7B0F" w:rsidP="003F7B0F"/>
    <w:p w14:paraId="0E8C6CA5" w14:textId="77777777" w:rsidR="003F7B0F" w:rsidRPr="002A1E1A" w:rsidRDefault="003F7B0F" w:rsidP="003F7B0F">
      <w:pPr>
        <w:rPr>
          <w:sz w:val="24"/>
          <w:szCs w:val="24"/>
        </w:rPr>
      </w:pPr>
      <w:r w:rsidRPr="002A1E1A">
        <w:rPr>
          <w:lang w:eastAsia="bg-BG"/>
        </w:rPr>
        <w:t xml:space="preserve">Предклиничните данни не са показали специален риск при хора въз основа на стандартните проучвания за безопасност върху основните системи, </w:t>
      </w:r>
      <w:proofErr w:type="spellStart"/>
      <w:r w:rsidRPr="002A1E1A">
        <w:rPr>
          <w:lang w:eastAsia="bg-BG"/>
        </w:rPr>
        <w:t>генотоксичност</w:t>
      </w:r>
      <w:proofErr w:type="spellEnd"/>
      <w:r w:rsidRPr="002A1E1A">
        <w:rPr>
          <w:lang w:eastAsia="bg-BG"/>
        </w:rPr>
        <w:t xml:space="preserve">, канцерогенен потенциал. Не са провеждани специфични изследвания, оценяващи ефектите върху </w:t>
      </w:r>
      <w:proofErr w:type="spellStart"/>
      <w:r w:rsidRPr="002A1E1A">
        <w:t>hERG</w:t>
      </w:r>
      <w:proofErr w:type="spellEnd"/>
      <w:r w:rsidRPr="002A1E1A">
        <w:t xml:space="preserve">. </w:t>
      </w:r>
      <w:r w:rsidRPr="002A1E1A">
        <w:rPr>
          <w:lang w:eastAsia="bg-BG"/>
        </w:rPr>
        <w:t xml:space="preserve">Нежеланите реакции, които не са наблюдавани в клинични проучвания, но са наблюдавани при животни при нива на експозиция близки до клиничните са следните; в изпитвания за токсичност след многократно приложение се наблюдават </w:t>
      </w:r>
      <w:proofErr w:type="spellStart"/>
      <w:r w:rsidRPr="002A1E1A">
        <w:rPr>
          <w:lang w:eastAsia="bg-BG"/>
        </w:rPr>
        <w:t>хистопатологични</w:t>
      </w:r>
      <w:proofErr w:type="spellEnd"/>
      <w:r w:rsidRPr="002A1E1A">
        <w:rPr>
          <w:lang w:eastAsia="bg-BG"/>
        </w:rPr>
        <w:t xml:space="preserve"> чернодробни изменения, вследствие на фармакологичното действие на </w:t>
      </w:r>
      <w:proofErr w:type="spellStart"/>
      <w:r w:rsidRPr="002A1E1A">
        <w:rPr>
          <w:lang w:eastAsia="bg-BG"/>
        </w:rPr>
        <w:t>розувастатин</w:t>
      </w:r>
      <w:proofErr w:type="spellEnd"/>
      <w:r w:rsidRPr="002A1E1A">
        <w:rPr>
          <w:lang w:eastAsia="bg-BG"/>
        </w:rPr>
        <w:t xml:space="preserve"> при мишки, плъхове и в по-ниска степен в жлъчния мехур при кучета, но не и при маймуни. В допълнение се наблюдава токсичност по отношение на тестисите при маймуни и кучета при по-високи дози. Репродуктивна токсичност при плъхове, за която се съди по намалените големина, тегло и преживяемост на малките, се наблюдава при </w:t>
      </w:r>
      <w:proofErr w:type="spellStart"/>
      <w:r w:rsidRPr="002A1E1A">
        <w:rPr>
          <w:lang w:eastAsia="bg-BG"/>
        </w:rPr>
        <w:t>матернотоксични</w:t>
      </w:r>
      <w:proofErr w:type="spellEnd"/>
      <w:r w:rsidRPr="002A1E1A">
        <w:rPr>
          <w:lang w:eastAsia="bg-BG"/>
        </w:rPr>
        <w:t xml:space="preserve"> дози на системна експозиция няколко пъти над нивото на терапевтична експозиция.</w:t>
      </w:r>
    </w:p>
    <w:p w14:paraId="6C05C48B" w14:textId="77777777" w:rsidR="003F7B0F" w:rsidRPr="002A1E1A" w:rsidRDefault="003F7B0F" w:rsidP="003F7B0F"/>
    <w:p w14:paraId="6A7820AB" w14:textId="3C30AC6A" w:rsidR="008A6AF2" w:rsidRPr="002A1E1A" w:rsidRDefault="002C50EE" w:rsidP="00395555">
      <w:pPr>
        <w:pStyle w:val="Heading1"/>
      </w:pPr>
      <w:r w:rsidRPr="002A1E1A">
        <w:t>7. ПРИТЕЖАТЕЛ НА РАЗРЕШЕНИЕТО ЗА УПОТРЕБА</w:t>
      </w:r>
    </w:p>
    <w:p w14:paraId="32533A5F" w14:textId="3DF31C83" w:rsidR="003F7B0F" w:rsidRPr="002A1E1A" w:rsidRDefault="003F7B0F" w:rsidP="003F7B0F"/>
    <w:p w14:paraId="135B8963" w14:textId="77777777" w:rsidR="003F7B0F" w:rsidRPr="002A1E1A" w:rsidRDefault="003F7B0F" w:rsidP="003F7B0F">
      <w:pPr>
        <w:rPr>
          <w:sz w:val="24"/>
          <w:szCs w:val="24"/>
        </w:rPr>
      </w:pPr>
      <w:r w:rsidRPr="002A1E1A">
        <w:t xml:space="preserve">STADA </w:t>
      </w:r>
      <w:proofErr w:type="spellStart"/>
      <w:r w:rsidRPr="002A1E1A">
        <w:t>Arzneimittel</w:t>
      </w:r>
      <w:proofErr w:type="spellEnd"/>
      <w:r w:rsidRPr="002A1E1A">
        <w:t xml:space="preserve"> AG</w:t>
      </w:r>
    </w:p>
    <w:p w14:paraId="39B2648C" w14:textId="77777777" w:rsidR="003F7B0F" w:rsidRPr="002A1E1A" w:rsidRDefault="003F7B0F" w:rsidP="003F7B0F">
      <w:pPr>
        <w:rPr>
          <w:sz w:val="24"/>
          <w:szCs w:val="24"/>
        </w:rPr>
      </w:pPr>
      <w:proofErr w:type="spellStart"/>
      <w:r w:rsidRPr="002A1E1A">
        <w:t>Stadastrasse</w:t>
      </w:r>
      <w:proofErr w:type="spellEnd"/>
      <w:r w:rsidRPr="002A1E1A">
        <w:t xml:space="preserve"> </w:t>
      </w:r>
      <w:r w:rsidRPr="002A1E1A">
        <w:rPr>
          <w:lang w:eastAsia="bg-BG"/>
        </w:rPr>
        <w:t>2-18</w:t>
      </w:r>
    </w:p>
    <w:p w14:paraId="0BC81093" w14:textId="77777777" w:rsidR="003F7B0F" w:rsidRPr="002A1E1A" w:rsidRDefault="003F7B0F" w:rsidP="003F7B0F">
      <w:pPr>
        <w:rPr>
          <w:sz w:val="24"/>
          <w:szCs w:val="24"/>
        </w:rPr>
      </w:pPr>
      <w:r w:rsidRPr="002A1E1A">
        <w:rPr>
          <w:i/>
          <w:iCs/>
          <w:lang w:eastAsia="bg-BG"/>
        </w:rPr>
        <w:t xml:space="preserve">61118 </w:t>
      </w:r>
      <w:proofErr w:type="spellStart"/>
      <w:r w:rsidRPr="002A1E1A">
        <w:rPr>
          <w:i/>
          <w:iCs/>
        </w:rPr>
        <w:t>Bad</w:t>
      </w:r>
      <w:proofErr w:type="spellEnd"/>
      <w:r w:rsidRPr="002A1E1A">
        <w:rPr>
          <w:i/>
          <w:iCs/>
        </w:rPr>
        <w:t xml:space="preserve"> </w:t>
      </w:r>
      <w:proofErr w:type="spellStart"/>
      <w:r w:rsidRPr="002A1E1A">
        <w:rPr>
          <w:i/>
          <w:iCs/>
        </w:rPr>
        <w:t>Vilbel</w:t>
      </w:r>
      <w:proofErr w:type="spellEnd"/>
    </w:p>
    <w:p w14:paraId="15309658" w14:textId="77777777" w:rsidR="003F7B0F" w:rsidRPr="002A1E1A" w:rsidRDefault="003F7B0F" w:rsidP="003F7B0F">
      <w:pPr>
        <w:rPr>
          <w:sz w:val="24"/>
          <w:szCs w:val="24"/>
        </w:rPr>
      </w:pPr>
      <w:r w:rsidRPr="002A1E1A">
        <w:rPr>
          <w:lang w:eastAsia="bg-BG"/>
        </w:rPr>
        <w:t>Германия</w:t>
      </w:r>
    </w:p>
    <w:p w14:paraId="3299AACD" w14:textId="77777777" w:rsidR="003F7B0F" w:rsidRPr="002A1E1A" w:rsidRDefault="003F7B0F" w:rsidP="003F7B0F"/>
    <w:p w14:paraId="7BA1BA64" w14:textId="040477A1" w:rsidR="00CF77F7" w:rsidRPr="002A1E1A" w:rsidRDefault="002C50EE" w:rsidP="004A448E">
      <w:pPr>
        <w:pStyle w:val="Heading1"/>
      </w:pPr>
      <w:r w:rsidRPr="002A1E1A">
        <w:t>8. НОМЕР НА РАЗРЕШЕНИЕТО ЗА УПОТРЕБА</w:t>
      </w:r>
    </w:p>
    <w:p w14:paraId="3A6DFDCE" w14:textId="28AEA905" w:rsidR="003F7B0F" w:rsidRPr="002A1E1A" w:rsidRDefault="003F7B0F" w:rsidP="003F7B0F"/>
    <w:p w14:paraId="0C5D70AE" w14:textId="77777777" w:rsidR="003F7B0F" w:rsidRPr="002A1E1A" w:rsidRDefault="003F7B0F" w:rsidP="003F7B0F">
      <w:pPr>
        <w:rPr>
          <w:sz w:val="24"/>
          <w:szCs w:val="24"/>
        </w:rPr>
      </w:pPr>
      <w:proofErr w:type="spellStart"/>
      <w:r w:rsidRPr="002A1E1A">
        <w:rPr>
          <w:lang w:eastAsia="bg-BG"/>
        </w:rPr>
        <w:t>Атеростад</w:t>
      </w:r>
      <w:proofErr w:type="spellEnd"/>
      <w:r w:rsidRPr="002A1E1A">
        <w:rPr>
          <w:lang w:eastAsia="bg-BG"/>
        </w:rPr>
        <w:t xml:space="preserve"> 5</w:t>
      </w:r>
      <w:r w:rsidRPr="002A1E1A">
        <w:t>mg -</w:t>
      </w:r>
      <w:proofErr w:type="spellStart"/>
      <w:r w:rsidRPr="002A1E1A">
        <w:t>Per</w:t>
      </w:r>
      <w:proofErr w:type="spellEnd"/>
      <w:r w:rsidRPr="002A1E1A">
        <w:t>.</w:t>
      </w:r>
      <w:r w:rsidRPr="002A1E1A">
        <w:rPr>
          <w:lang w:eastAsia="bg-BG"/>
        </w:rPr>
        <w:t xml:space="preserve">№ </w:t>
      </w:r>
      <w:r w:rsidRPr="002A1E1A">
        <w:t>20160198</w:t>
      </w:r>
    </w:p>
    <w:p w14:paraId="77B88838" w14:textId="77777777" w:rsidR="003F7B0F" w:rsidRPr="002A1E1A" w:rsidRDefault="003F7B0F" w:rsidP="003F7B0F">
      <w:pPr>
        <w:rPr>
          <w:sz w:val="24"/>
          <w:szCs w:val="24"/>
        </w:rPr>
      </w:pPr>
      <w:proofErr w:type="spellStart"/>
      <w:r w:rsidRPr="002A1E1A">
        <w:rPr>
          <w:lang w:eastAsia="bg-BG"/>
        </w:rPr>
        <w:t>Атеростад</w:t>
      </w:r>
      <w:proofErr w:type="spellEnd"/>
      <w:r w:rsidRPr="002A1E1A">
        <w:rPr>
          <w:lang w:eastAsia="bg-BG"/>
        </w:rPr>
        <w:t xml:space="preserve"> </w:t>
      </w:r>
      <w:r w:rsidRPr="002A1E1A">
        <w:t xml:space="preserve">10 </w:t>
      </w:r>
      <w:proofErr w:type="spellStart"/>
      <w:r w:rsidRPr="002A1E1A">
        <w:t>mg</w:t>
      </w:r>
      <w:proofErr w:type="spellEnd"/>
      <w:r w:rsidRPr="002A1E1A">
        <w:t xml:space="preserve"> - </w:t>
      </w:r>
      <w:proofErr w:type="spellStart"/>
      <w:r w:rsidRPr="002A1E1A">
        <w:t>Per</w:t>
      </w:r>
      <w:proofErr w:type="spellEnd"/>
      <w:r w:rsidRPr="002A1E1A">
        <w:t>. № 20160199</w:t>
      </w:r>
    </w:p>
    <w:p w14:paraId="4F96EED8" w14:textId="7D4EB158" w:rsidR="003F7B0F" w:rsidRPr="002A1E1A" w:rsidRDefault="003F7B0F" w:rsidP="003F7B0F">
      <w:proofErr w:type="spellStart"/>
      <w:r w:rsidRPr="002A1E1A">
        <w:rPr>
          <w:lang w:eastAsia="bg-BG"/>
        </w:rPr>
        <w:t>Атеростад</w:t>
      </w:r>
      <w:proofErr w:type="spellEnd"/>
      <w:r w:rsidRPr="002A1E1A">
        <w:rPr>
          <w:lang w:eastAsia="bg-BG"/>
        </w:rPr>
        <w:t xml:space="preserve"> </w:t>
      </w:r>
      <w:r w:rsidRPr="002A1E1A">
        <w:t xml:space="preserve">20 </w:t>
      </w:r>
      <w:proofErr w:type="spellStart"/>
      <w:r w:rsidRPr="002A1E1A">
        <w:t>mg</w:t>
      </w:r>
      <w:proofErr w:type="spellEnd"/>
      <w:r w:rsidRPr="002A1E1A">
        <w:t xml:space="preserve"> - </w:t>
      </w:r>
      <w:proofErr w:type="spellStart"/>
      <w:r w:rsidRPr="002A1E1A">
        <w:t>Per</w:t>
      </w:r>
      <w:proofErr w:type="spellEnd"/>
      <w:r w:rsidRPr="002A1E1A">
        <w:t>. № 20160200</w:t>
      </w:r>
    </w:p>
    <w:p w14:paraId="2CCB5832" w14:textId="4EF6777A" w:rsidR="007C605B" w:rsidRPr="002A1E1A" w:rsidRDefault="002C50EE" w:rsidP="007C605B">
      <w:pPr>
        <w:pStyle w:val="Heading1"/>
      </w:pPr>
      <w:r w:rsidRPr="002A1E1A">
        <w:lastRenderedPageBreak/>
        <w:t>9. ДАТА НА ПЪРВО РАЗРЕШАВАНЕ/ПОДНОВЯВАНЕ НА РАЗРЕШЕНИЕТО ЗА УПОТРЕБА</w:t>
      </w:r>
    </w:p>
    <w:p w14:paraId="60525C8F" w14:textId="52B5C09A" w:rsidR="003F7B0F" w:rsidRPr="002A1E1A" w:rsidRDefault="003F7B0F" w:rsidP="003F7B0F"/>
    <w:p w14:paraId="1332A08B" w14:textId="77777777" w:rsidR="003F7B0F" w:rsidRPr="002A1E1A" w:rsidRDefault="003F7B0F" w:rsidP="003F7B0F">
      <w:pPr>
        <w:rPr>
          <w:sz w:val="24"/>
          <w:szCs w:val="24"/>
        </w:rPr>
      </w:pPr>
      <w:r w:rsidRPr="002A1E1A">
        <w:rPr>
          <w:lang w:eastAsia="bg-BG"/>
        </w:rPr>
        <w:t>Дата на първо разрешаване: 22.06.2016</w:t>
      </w:r>
    </w:p>
    <w:p w14:paraId="1845C259" w14:textId="77777777" w:rsidR="003F7B0F" w:rsidRPr="002A1E1A" w:rsidRDefault="003F7B0F" w:rsidP="003F7B0F">
      <w:pPr>
        <w:rPr>
          <w:sz w:val="24"/>
          <w:szCs w:val="24"/>
        </w:rPr>
      </w:pPr>
      <w:r w:rsidRPr="002A1E1A">
        <w:rPr>
          <w:lang w:eastAsia="bg-BG"/>
        </w:rPr>
        <w:t>Дата на последно подновяване:</w:t>
      </w:r>
    </w:p>
    <w:p w14:paraId="21AAA7F1" w14:textId="77777777" w:rsidR="003F7B0F" w:rsidRPr="002A1E1A" w:rsidRDefault="003F7B0F" w:rsidP="003F7B0F"/>
    <w:p w14:paraId="0E9D0119" w14:textId="0245C6D7" w:rsidR="002C50EE" w:rsidRPr="002A1E1A" w:rsidRDefault="002C50EE" w:rsidP="002C50EE">
      <w:pPr>
        <w:pStyle w:val="Heading1"/>
      </w:pPr>
      <w:r w:rsidRPr="002A1E1A">
        <w:t>10. ДАТА НА АКТУАЛИЗИРАНЕ НА ТЕКСТА</w:t>
      </w:r>
    </w:p>
    <w:bookmarkEnd w:id="0"/>
    <w:p w14:paraId="43FB38A2" w14:textId="5C708451" w:rsidR="007C605B" w:rsidRPr="002A1E1A" w:rsidRDefault="003F7B0F" w:rsidP="003F7B0F">
      <w:r w:rsidRPr="002A1E1A">
        <w:t>Август 2021</w:t>
      </w:r>
    </w:p>
    <w:sectPr w:rsidR="007C605B" w:rsidRPr="002A1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3348F1"/>
    <w:multiLevelType w:val="hybridMultilevel"/>
    <w:tmpl w:val="1B0A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7131D8F"/>
    <w:multiLevelType w:val="hybridMultilevel"/>
    <w:tmpl w:val="79B6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46B31"/>
    <w:multiLevelType w:val="hybridMultilevel"/>
    <w:tmpl w:val="FBCE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0521A"/>
    <w:multiLevelType w:val="hybridMultilevel"/>
    <w:tmpl w:val="EE7A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1C1A8D"/>
    <w:multiLevelType w:val="hybridMultilevel"/>
    <w:tmpl w:val="83F0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9613C"/>
    <w:multiLevelType w:val="hybridMultilevel"/>
    <w:tmpl w:val="50066168"/>
    <w:lvl w:ilvl="0" w:tplc="D38C44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391544309">
    <w:abstractNumId w:val="33"/>
  </w:num>
  <w:num w:numId="2" w16cid:durableId="1795833512">
    <w:abstractNumId w:val="0"/>
  </w:num>
  <w:num w:numId="3" w16cid:durableId="2138984874">
    <w:abstractNumId w:val="18"/>
  </w:num>
  <w:num w:numId="4" w16cid:durableId="1893272505">
    <w:abstractNumId w:val="5"/>
  </w:num>
  <w:num w:numId="5" w16cid:durableId="1482233222">
    <w:abstractNumId w:val="1"/>
  </w:num>
  <w:num w:numId="6" w16cid:durableId="762603196">
    <w:abstractNumId w:val="22"/>
  </w:num>
  <w:num w:numId="7" w16cid:durableId="1086069623">
    <w:abstractNumId w:val="15"/>
  </w:num>
  <w:num w:numId="8" w16cid:durableId="338427930">
    <w:abstractNumId w:val="21"/>
  </w:num>
  <w:num w:numId="9" w16cid:durableId="1124544417">
    <w:abstractNumId w:val="4"/>
  </w:num>
  <w:num w:numId="10" w16cid:durableId="1487740565">
    <w:abstractNumId w:val="6"/>
  </w:num>
  <w:num w:numId="11" w16cid:durableId="788862815">
    <w:abstractNumId w:val="36"/>
  </w:num>
  <w:num w:numId="12" w16cid:durableId="870656116">
    <w:abstractNumId w:val="20"/>
  </w:num>
  <w:num w:numId="13" w16cid:durableId="904949035">
    <w:abstractNumId w:val="25"/>
  </w:num>
  <w:num w:numId="14" w16cid:durableId="1637562518">
    <w:abstractNumId w:val="17"/>
  </w:num>
  <w:num w:numId="15" w16cid:durableId="532771969">
    <w:abstractNumId w:val="35"/>
  </w:num>
  <w:num w:numId="16" w16cid:durableId="1278485218">
    <w:abstractNumId w:val="14"/>
  </w:num>
  <w:num w:numId="17" w16cid:durableId="1743520706">
    <w:abstractNumId w:val="30"/>
  </w:num>
  <w:num w:numId="18" w16cid:durableId="1934316773">
    <w:abstractNumId w:val="11"/>
  </w:num>
  <w:num w:numId="19" w16cid:durableId="974330983">
    <w:abstractNumId w:val="32"/>
  </w:num>
  <w:num w:numId="20" w16cid:durableId="1238831436">
    <w:abstractNumId w:val="29"/>
  </w:num>
  <w:num w:numId="21" w16cid:durableId="594747084">
    <w:abstractNumId w:val="23"/>
  </w:num>
  <w:num w:numId="22" w16cid:durableId="1268924815">
    <w:abstractNumId w:val="31"/>
  </w:num>
  <w:num w:numId="23" w16cid:durableId="1712683436">
    <w:abstractNumId w:val="24"/>
  </w:num>
  <w:num w:numId="24" w16cid:durableId="1139105207">
    <w:abstractNumId w:val="12"/>
  </w:num>
  <w:num w:numId="25" w16cid:durableId="1679306788">
    <w:abstractNumId w:val="28"/>
  </w:num>
  <w:num w:numId="26" w16cid:durableId="893590670">
    <w:abstractNumId w:val="27"/>
  </w:num>
  <w:num w:numId="27" w16cid:durableId="1937209388">
    <w:abstractNumId w:val="37"/>
  </w:num>
  <w:num w:numId="28" w16cid:durableId="1745251523">
    <w:abstractNumId w:val="10"/>
  </w:num>
  <w:num w:numId="29" w16cid:durableId="513108344">
    <w:abstractNumId w:val="26"/>
  </w:num>
  <w:num w:numId="30" w16cid:durableId="550456993">
    <w:abstractNumId w:val="40"/>
  </w:num>
  <w:num w:numId="31" w16cid:durableId="328290798">
    <w:abstractNumId w:val="9"/>
  </w:num>
  <w:num w:numId="32" w16cid:durableId="2037777980">
    <w:abstractNumId w:val="39"/>
  </w:num>
  <w:num w:numId="33" w16cid:durableId="2083797099">
    <w:abstractNumId w:val="34"/>
  </w:num>
  <w:num w:numId="34" w16cid:durableId="1521354530">
    <w:abstractNumId w:val="38"/>
  </w:num>
  <w:num w:numId="35" w16cid:durableId="170725793">
    <w:abstractNumId w:val="2"/>
  </w:num>
  <w:num w:numId="36" w16cid:durableId="1934971867">
    <w:abstractNumId w:val="19"/>
  </w:num>
  <w:num w:numId="37" w16cid:durableId="289556373">
    <w:abstractNumId w:val="7"/>
  </w:num>
  <w:num w:numId="38" w16cid:durableId="121727268">
    <w:abstractNumId w:val="16"/>
  </w:num>
  <w:num w:numId="39" w16cid:durableId="710494453">
    <w:abstractNumId w:val="8"/>
  </w:num>
  <w:num w:numId="40" w16cid:durableId="1820878904">
    <w:abstractNumId w:val="13"/>
  </w:num>
  <w:num w:numId="41" w16cid:durableId="458888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1225E"/>
    <w:rsid w:val="002A1E1A"/>
    <w:rsid w:val="002B3C38"/>
    <w:rsid w:val="002B4DBB"/>
    <w:rsid w:val="002C50EE"/>
    <w:rsid w:val="00340A0A"/>
    <w:rsid w:val="003765DC"/>
    <w:rsid w:val="00395555"/>
    <w:rsid w:val="003E3126"/>
    <w:rsid w:val="003F7B0F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34C8"/>
    <w:rsid w:val="00814073"/>
    <w:rsid w:val="00826F0D"/>
    <w:rsid w:val="00844B11"/>
    <w:rsid w:val="00893B92"/>
    <w:rsid w:val="008A6AF2"/>
    <w:rsid w:val="008C70A2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7870</Words>
  <Characters>44864</Characters>
  <Application>Microsoft Office Word</Application>
  <DocSecurity>0</DocSecurity>
  <Lines>373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Maria Vasileva</cp:lastModifiedBy>
  <cp:revision>3</cp:revision>
  <dcterms:created xsi:type="dcterms:W3CDTF">2022-06-09T11:17:00Z</dcterms:created>
  <dcterms:modified xsi:type="dcterms:W3CDTF">2022-07-05T11:31:00Z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